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C728" w14:textId="05A539FD" w:rsidR="00FD590E" w:rsidRPr="00E4536E" w:rsidRDefault="00FD590E" w:rsidP="00C643C3">
      <w:pPr>
        <w:ind w:left="720" w:hanging="720"/>
        <w:jc w:val="center"/>
        <w:rPr>
          <w:szCs w:val="22"/>
        </w:rPr>
      </w:pPr>
    </w:p>
    <w:p w14:paraId="501730DB" w14:textId="45302DBA" w:rsidR="00FD590E" w:rsidRPr="00050087" w:rsidRDefault="004315DA" w:rsidP="00E04486">
      <w:pPr>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09FB0468" w:rsidR="00FD590E" w:rsidRPr="00050087" w:rsidRDefault="00FD590E" w:rsidP="00E04486">
      <w:pPr>
        <w:jc w:val="center"/>
      </w:pPr>
    </w:p>
    <w:p w14:paraId="157FE9C9" w14:textId="77777777" w:rsidR="00AB5AE2" w:rsidRPr="00050087" w:rsidRDefault="00AB5AE2" w:rsidP="00E04486">
      <w:pPr>
        <w:jc w:val="center"/>
        <w:rPr>
          <w:szCs w:val="22"/>
        </w:rPr>
      </w:pPr>
    </w:p>
    <w:p w14:paraId="7EEAD6AC" w14:textId="77777777" w:rsidR="00AB5AE2" w:rsidRPr="00050087" w:rsidRDefault="00AB5AE2" w:rsidP="00E04486">
      <w:pPr>
        <w:jc w:val="center"/>
        <w:rPr>
          <w:szCs w:val="22"/>
        </w:rPr>
      </w:pPr>
    </w:p>
    <w:p w14:paraId="123A831E" w14:textId="77777777" w:rsidR="00AB5AE2" w:rsidRPr="00050087" w:rsidRDefault="00AB5AE2" w:rsidP="00E04486">
      <w:pPr>
        <w:jc w:val="center"/>
        <w:rPr>
          <w:szCs w:val="22"/>
        </w:rPr>
      </w:pPr>
    </w:p>
    <w:p w14:paraId="69C4C879" w14:textId="7315820E" w:rsidR="002E6A73" w:rsidRPr="00050087" w:rsidRDefault="00920D46" w:rsidP="00E04486">
      <w:pPr>
        <w:jc w:val="center"/>
        <w:rPr>
          <w:b/>
        </w:rPr>
      </w:pPr>
      <w:r>
        <w:rPr>
          <w:b/>
          <w:sz w:val="36"/>
          <w:szCs w:val="36"/>
        </w:rPr>
        <w:t>California’s National Electric Vehicle Infrastructure Formula Program – Solicitation 2</w:t>
      </w:r>
    </w:p>
    <w:p w14:paraId="76E4680A" w14:textId="77777777" w:rsidR="006A6B72" w:rsidRPr="00050087" w:rsidRDefault="006A6B72" w:rsidP="00E04486">
      <w:pPr>
        <w:jc w:val="center"/>
        <w:rPr>
          <w:b/>
          <w:szCs w:val="22"/>
        </w:rPr>
      </w:pP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52CCC1CD" w:rsidR="00FD590E" w:rsidRPr="00050087" w:rsidRDefault="00C45780" w:rsidP="00E04486">
      <w:pPr>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jc w:val="center"/>
        <w:rPr>
          <w:szCs w:val="22"/>
        </w:rPr>
      </w:pPr>
    </w:p>
    <w:p w14:paraId="3AC3A118" w14:textId="492988CC" w:rsidR="00FD590E" w:rsidRDefault="00B43EFB" w:rsidP="00E04486">
      <w:pPr>
        <w:jc w:val="center"/>
        <w:rPr>
          <w:b/>
          <w:bCs/>
          <w:sz w:val="36"/>
          <w:szCs w:val="22"/>
          <w:u w:val="single"/>
        </w:rPr>
      </w:pPr>
      <w:r w:rsidRPr="00DA3547">
        <w:rPr>
          <w:b/>
          <w:bCs/>
          <w:sz w:val="36"/>
          <w:szCs w:val="22"/>
          <w:u w:val="single"/>
        </w:rPr>
        <w:t xml:space="preserve">Addendum </w:t>
      </w:r>
      <w:r w:rsidR="00D63637" w:rsidRPr="00DA3547">
        <w:rPr>
          <w:b/>
          <w:bCs/>
          <w:sz w:val="36"/>
          <w:szCs w:val="22"/>
          <w:u w:val="single"/>
        </w:rPr>
        <w:t>1</w:t>
      </w:r>
    </w:p>
    <w:p w14:paraId="434D3F08" w14:textId="77777777" w:rsidR="00DA3547" w:rsidRPr="00DA3547" w:rsidRDefault="00DA3547" w:rsidP="00E04486">
      <w:pPr>
        <w:jc w:val="center"/>
        <w:rPr>
          <w:b/>
          <w:bCs/>
          <w:sz w:val="36"/>
          <w:szCs w:val="22"/>
          <w:u w:val="single"/>
        </w:rPr>
      </w:pPr>
    </w:p>
    <w:p w14:paraId="036E0CE6" w14:textId="77777777" w:rsidR="00D63637" w:rsidRPr="00D63637" w:rsidRDefault="00D63637" w:rsidP="00D63637">
      <w:pPr>
        <w:jc w:val="center"/>
        <w:rPr>
          <w:rFonts w:ascii="Tahoma" w:eastAsia="Tahoma" w:hAnsi="Tahoma" w:cs="Tahoma"/>
          <w:color w:val="000000" w:themeColor="text1"/>
          <w:szCs w:val="24"/>
        </w:rPr>
      </w:pPr>
      <w:r w:rsidRPr="00D63637">
        <w:rPr>
          <w:rFonts w:ascii="Tahoma" w:eastAsia="Tahoma" w:hAnsi="Tahoma" w:cs="Tahoma"/>
          <w:color w:val="000000" w:themeColor="text1"/>
          <w:szCs w:val="24"/>
        </w:rPr>
        <w:t xml:space="preserve">Added language appears in </w:t>
      </w:r>
      <w:r w:rsidRPr="00D63637">
        <w:rPr>
          <w:rFonts w:ascii="Tahoma" w:eastAsia="Tahoma" w:hAnsi="Tahoma" w:cs="Tahoma"/>
          <w:b/>
          <w:bCs/>
          <w:color w:val="000000" w:themeColor="text1"/>
          <w:szCs w:val="24"/>
          <w:u w:val="single"/>
        </w:rPr>
        <w:t>bold underline</w:t>
      </w:r>
      <w:r w:rsidRPr="00D63637">
        <w:rPr>
          <w:rFonts w:ascii="Tahoma" w:eastAsia="Tahoma" w:hAnsi="Tahoma" w:cs="Tahoma"/>
          <w:color w:val="000000" w:themeColor="text1"/>
          <w:szCs w:val="24"/>
        </w:rPr>
        <w:t>,</w:t>
      </w:r>
      <w:r w:rsidRPr="00D63637">
        <w:rPr>
          <w:rFonts w:ascii="Tahoma" w:eastAsia="Tahoma" w:hAnsi="Tahoma" w:cs="Tahoma"/>
          <w:b/>
          <w:bCs/>
          <w:color w:val="000000" w:themeColor="text1"/>
          <w:szCs w:val="24"/>
        </w:rPr>
        <w:t xml:space="preserve"> </w:t>
      </w:r>
      <w:r w:rsidRPr="00D63637">
        <w:rPr>
          <w:rFonts w:ascii="Tahoma" w:eastAsia="Tahoma" w:hAnsi="Tahoma" w:cs="Tahoma"/>
          <w:color w:val="000000" w:themeColor="text1"/>
          <w:szCs w:val="24"/>
        </w:rPr>
        <w:t>and deleted language appears in [</w:t>
      </w:r>
      <w:r w:rsidRPr="00D63637">
        <w:rPr>
          <w:rFonts w:ascii="Tahoma" w:eastAsia="Tahoma" w:hAnsi="Tahoma" w:cs="Tahoma"/>
          <w:strike/>
          <w:color w:val="000000" w:themeColor="text1"/>
          <w:szCs w:val="24"/>
        </w:rPr>
        <w:t>strikethrough</w:t>
      </w:r>
      <w:r w:rsidRPr="00D63637">
        <w:rPr>
          <w:rFonts w:ascii="Tahoma" w:eastAsia="Tahoma" w:hAnsi="Tahoma" w:cs="Tahoma"/>
          <w:color w:val="000000" w:themeColor="text1"/>
          <w:szCs w:val="24"/>
        </w:rPr>
        <w:t>] and within square brackets.</w:t>
      </w:r>
    </w:p>
    <w:p w14:paraId="009A6EE8" w14:textId="77777777" w:rsidR="00D63637" w:rsidRPr="00050087" w:rsidRDefault="00D63637" w:rsidP="00E04486">
      <w:pPr>
        <w:jc w:val="center"/>
        <w:rPr>
          <w:b/>
          <w:szCs w:val="22"/>
        </w:rPr>
      </w:pPr>
    </w:p>
    <w:p w14:paraId="7E07F46D" w14:textId="77777777" w:rsidR="006A6B72" w:rsidRPr="00050087" w:rsidRDefault="006A6B72" w:rsidP="00E04486">
      <w:pPr>
        <w:jc w:val="center"/>
        <w:rPr>
          <w:szCs w:val="22"/>
        </w:rPr>
      </w:pPr>
    </w:p>
    <w:p w14:paraId="1238EA38" w14:textId="0ED56DB7" w:rsidR="00FD590E" w:rsidRPr="00C83361" w:rsidRDefault="004D6F3F" w:rsidP="00E04486">
      <w:pPr>
        <w:jc w:val="center"/>
        <w:rPr>
          <w:szCs w:val="24"/>
        </w:rPr>
      </w:pPr>
      <w:r w:rsidRPr="00C83361">
        <w:rPr>
          <w:szCs w:val="24"/>
        </w:rPr>
        <w:t>GFO-</w:t>
      </w:r>
      <w:r w:rsidR="004E6CBB">
        <w:rPr>
          <w:szCs w:val="24"/>
        </w:rPr>
        <w:t>24</w:t>
      </w:r>
      <w:r w:rsidR="00CE4EBB" w:rsidRPr="006B3820">
        <w:rPr>
          <w:szCs w:val="24"/>
        </w:rPr>
        <w:t>-</w:t>
      </w:r>
      <w:r w:rsidR="006B3820" w:rsidRPr="006B3820">
        <w:rPr>
          <w:szCs w:val="24"/>
        </w:rPr>
        <w:t>606</w:t>
      </w:r>
    </w:p>
    <w:p w14:paraId="2C7E1A1F" w14:textId="77777777" w:rsidR="008564B8" w:rsidRDefault="00C83361" w:rsidP="00E04486">
      <w:pPr>
        <w:jc w:val="center"/>
        <w:rPr>
          <w:rStyle w:val="Hyperlink"/>
          <w:szCs w:val="24"/>
        </w:rPr>
      </w:pPr>
      <w:hyperlink r:id="rId13" w:tooltip="California Energy Commission solicitation website" w:history="1">
        <w:r>
          <w:rPr>
            <w:rStyle w:val="Hyperlink"/>
            <w:szCs w:val="24"/>
          </w:rPr>
          <w:t>Solicitation Information</w:t>
        </w:r>
      </w:hyperlink>
    </w:p>
    <w:p w14:paraId="56334534" w14:textId="43286605" w:rsidR="0038242B" w:rsidRPr="00B670FB" w:rsidRDefault="0038242B" w:rsidP="00E04486">
      <w:pPr>
        <w:jc w:val="center"/>
        <w:rPr>
          <w:rStyle w:val="Hyperlink"/>
          <w:color w:val="auto"/>
        </w:rPr>
      </w:pPr>
      <w:r w:rsidRPr="000D2A75">
        <w:t>https://www.energy.ca.gov/funding-opportunities/solicitations</w:t>
      </w:r>
    </w:p>
    <w:p w14:paraId="74AE8451" w14:textId="53C56151" w:rsidR="00FD590E" w:rsidRPr="00C83361" w:rsidRDefault="00E4536E" w:rsidP="00E04486">
      <w:pPr>
        <w:jc w:val="center"/>
        <w:rPr>
          <w:szCs w:val="24"/>
        </w:rPr>
      </w:pPr>
      <w:r w:rsidRPr="00C83361">
        <w:rPr>
          <w:szCs w:val="24"/>
        </w:rPr>
        <w:t>State of California</w:t>
      </w:r>
    </w:p>
    <w:p w14:paraId="66170D96" w14:textId="77777777" w:rsidR="00FD590E" w:rsidRPr="00C83361" w:rsidRDefault="00FD590E" w:rsidP="00E04486">
      <w:pPr>
        <w:jc w:val="center"/>
        <w:rPr>
          <w:szCs w:val="24"/>
        </w:rPr>
      </w:pPr>
      <w:r w:rsidRPr="00C83361">
        <w:rPr>
          <w:szCs w:val="24"/>
        </w:rPr>
        <w:t>Californi</w:t>
      </w:r>
      <w:r w:rsidR="00025632" w:rsidRPr="00C83361">
        <w:rPr>
          <w:szCs w:val="24"/>
        </w:rPr>
        <w:t>a Energy Commission</w:t>
      </w:r>
    </w:p>
    <w:p w14:paraId="1D711E91" w14:textId="4A3E6FC0" w:rsidR="00852686" w:rsidRPr="00C83361" w:rsidRDefault="00EA075C" w:rsidP="00E04486">
      <w:pPr>
        <w:tabs>
          <w:tab w:val="left" w:pos="1440"/>
        </w:tabs>
        <w:jc w:val="center"/>
        <w:rPr>
          <w:szCs w:val="24"/>
        </w:rPr>
      </w:pPr>
      <w:r>
        <w:rPr>
          <w:b/>
          <w:bCs/>
          <w:szCs w:val="24"/>
          <w:u w:val="single"/>
        </w:rPr>
        <w:t>March</w:t>
      </w:r>
      <w:r w:rsidR="00A60087" w:rsidRPr="00A60087">
        <w:rPr>
          <w:b/>
          <w:bCs/>
          <w:szCs w:val="24"/>
          <w:u w:val="single"/>
        </w:rPr>
        <w:t xml:space="preserve"> 2025</w:t>
      </w:r>
      <w:r w:rsidR="00A60087">
        <w:rPr>
          <w:szCs w:val="24"/>
        </w:rPr>
        <w:t xml:space="preserve"> [</w:t>
      </w:r>
      <w:r w:rsidR="00BF3F9C" w:rsidRPr="00740353">
        <w:rPr>
          <w:strike/>
          <w:szCs w:val="24"/>
        </w:rPr>
        <w:t>December</w:t>
      </w:r>
      <w:r w:rsidR="004E6CBB" w:rsidRPr="00740353">
        <w:rPr>
          <w:strike/>
          <w:szCs w:val="24"/>
        </w:rPr>
        <w:t xml:space="preserve"> 2024</w:t>
      </w:r>
      <w:r w:rsidR="00740353">
        <w:rPr>
          <w:szCs w:val="24"/>
        </w:rPr>
        <w:t>]</w:t>
      </w:r>
    </w:p>
    <w:p w14:paraId="17AE69CF" w14:textId="77777777" w:rsidR="005B69B7" w:rsidRPr="00050087" w:rsidRDefault="005B69B7" w:rsidP="00E04486">
      <w:pPr>
        <w:tabs>
          <w:tab w:val="left" w:pos="1440"/>
        </w:tabs>
        <w:jc w:val="center"/>
        <w:rPr>
          <w:szCs w:val="22"/>
        </w:rPr>
        <w:sectPr w:rsidR="005B69B7" w:rsidRPr="00050087" w:rsidSect="007B0296">
          <w:type w:val="continuous"/>
          <w:pgSz w:w="12240" w:h="15840" w:code="1"/>
          <w:pgMar w:top="1080" w:right="1440" w:bottom="1440" w:left="1440" w:header="1008" w:footer="432" w:gutter="0"/>
          <w:pgNumType w:fmt="lowerRoman" w:start="1"/>
          <w:cols w:space="720"/>
        </w:sectPr>
      </w:pPr>
    </w:p>
    <w:p w14:paraId="191DE878"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25183FCA" w14:textId="4746F552" w:rsidR="008C7A88" w:rsidRDefault="002E6A73">
      <w:pPr>
        <w:pStyle w:val="TOC1"/>
        <w:rPr>
          <w:rFonts w:asciiTheme="minorHAnsi" w:eastAsiaTheme="minorEastAsia" w:hAnsiTheme="minorHAnsi" w:cstheme="minorBidi"/>
          <w:b w:val="0"/>
          <w:bCs w:val="0"/>
          <w:caps w:val="0"/>
          <w:noProof/>
          <w:kern w:val="2"/>
          <w:szCs w:val="24"/>
          <w14:ligatures w14:val="standardContextual"/>
        </w:rPr>
      </w:pPr>
      <w:r w:rsidRPr="00050087">
        <w:rPr>
          <w:b w:val="0"/>
          <w:bCs w:val="0"/>
          <w:caps w:val="0"/>
          <w:szCs w:val="22"/>
        </w:rPr>
        <w:fldChar w:fldCharType="begin"/>
      </w:r>
      <w:r w:rsidRPr="00050087">
        <w:rPr>
          <w:b w:val="0"/>
          <w:bCs w:val="0"/>
          <w:caps w:val="0"/>
          <w:szCs w:val="22"/>
        </w:rPr>
        <w:instrText xml:space="preserve"> TOC \o "1-3" \h \z \u </w:instrText>
      </w:r>
      <w:r w:rsidRPr="00050087">
        <w:rPr>
          <w:b w:val="0"/>
          <w:bCs w:val="0"/>
          <w:caps w:val="0"/>
          <w:szCs w:val="22"/>
        </w:rPr>
        <w:fldChar w:fldCharType="separate"/>
      </w:r>
      <w:hyperlink w:anchor="_Toc184829607" w:history="1">
        <w:r w:rsidR="008C7A88" w:rsidRPr="007C6FC5">
          <w:rPr>
            <w:rStyle w:val="Hyperlink"/>
            <w:noProof/>
          </w:rPr>
          <w:t>I.</w:t>
        </w:r>
        <w:r w:rsidR="008C7A88">
          <w:rPr>
            <w:rFonts w:asciiTheme="minorHAnsi" w:eastAsiaTheme="minorEastAsia" w:hAnsiTheme="minorHAnsi" w:cstheme="minorBidi"/>
            <w:b w:val="0"/>
            <w:bCs w:val="0"/>
            <w:caps w:val="0"/>
            <w:noProof/>
            <w:kern w:val="2"/>
            <w:szCs w:val="24"/>
            <w14:ligatures w14:val="standardContextual"/>
          </w:rPr>
          <w:tab/>
        </w:r>
        <w:r w:rsidR="008C7A88" w:rsidRPr="007C6FC5">
          <w:rPr>
            <w:rStyle w:val="Hyperlink"/>
            <w:noProof/>
          </w:rPr>
          <w:t>Introduction</w:t>
        </w:r>
        <w:r w:rsidR="008C7A88">
          <w:rPr>
            <w:noProof/>
            <w:webHidden/>
          </w:rPr>
          <w:tab/>
        </w:r>
        <w:r w:rsidR="008C7A88">
          <w:rPr>
            <w:noProof/>
            <w:webHidden/>
          </w:rPr>
          <w:fldChar w:fldCharType="begin"/>
        </w:r>
        <w:r w:rsidR="008C7A88">
          <w:rPr>
            <w:noProof/>
            <w:webHidden/>
          </w:rPr>
          <w:instrText xml:space="preserve"> PAGEREF _Toc184829607 \h </w:instrText>
        </w:r>
        <w:r w:rsidR="008C7A88">
          <w:rPr>
            <w:noProof/>
            <w:webHidden/>
          </w:rPr>
        </w:r>
        <w:r w:rsidR="008C7A88">
          <w:rPr>
            <w:noProof/>
            <w:webHidden/>
          </w:rPr>
          <w:fldChar w:fldCharType="separate"/>
        </w:r>
        <w:r w:rsidR="00BA7552">
          <w:rPr>
            <w:noProof/>
            <w:webHidden/>
          </w:rPr>
          <w:t>5</w:t>
        </w:r>
        <w:r w:rsidR="008C7A88">
          <w:rPr>
            <w:noProof/>
            <w:webHidden/>
          </w:rPr>
          <w:fldChar w:fldCharType="end"/>
        </w:r>
      </w:hyperlink>
    </w:p>
    <w:p w14:paraId="2E53F722" w14:textId="0F37BED2"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08" w:history="1">
        <w:r w:rsidRPr="007C6FC5">
          <w:rPr>
            <w:rStyle w:val="Hyperlink"/>
            <w:noProof/>
          </w:rPr>
          <w:t>A.</w:t>
        </w:r>
        <w:r>
          <w:rPr>
            <w:rFonts w:asciiTheme="minorHAnsi" w:eastAsiaTheme="minorEastAsia" w:hAnsiTheme="minorHAnsi" w:cstheme="minorBidi"/>
            <w:smallCaps w:val="0"/>
            <w:noProof/>
            <w:kern w:val="2"/>
            <w:szCs w:val="24"/>
            <w14:ligatures w14:val="standardContextual"/>
          </w:rPr>
          <w:tab/>
        </w:r>
        <w:r w:rsidRPr="007C6FC5">
          <w:rPr>
            <w:rStyle w:val="Hyperlink"/>
            <w:noProof/>
          </w:rPr>
          <w:t>Purpose of Solicitation</w:t>
        </w:r>
        <w:r>
          <w:rPr>
            <w:noProof/>
            <w:webHidden/>
          </w:rPr>
          <w:tab/>
        </w:r>
        <w:r>
          <w:rPr>
            <w:noProof/>
            <w:webHidden/>
          </w:rPr>
          <w:fldChar w:fldCharType="begin"/>
        </w:r>
        <w:r>
          <w:rPr>
            <w:noProof/>
            <w:webHidden/>
          </w:rPr>
          <w:instrText xml:space="preserve"> PAGEREF _Toc184829608 \h </w:instrText>
        </w:r>
        <w:r>
          <w:rPr>
            <w:noProof/>
            <w:webHidden/>
          </w:rPr>
        </w:r>
        <w:r>
          <w:rPr>
            <w:noProof/>
            <w:webHidden/>
          </w:rPr>
          <w:fldChar w:fldCharType="separate"/>
        </w:r>
        <w:r w:rsidR="00BA7552">
          <w:rPr>
            <w:noProof/>
            <w:webHidden/>
          </w:rPr>
          <w:t>5</w:t>
        </w:r>
        <w:r>
          <w:rPr>
            <w:noProof/>
            <w:webHidden/>
          </w:rPr>
          <w:fldChar w:fldCharType="end"/>
        </w:r>
      </w:hyperlink>
    </w:p>
    <w:p w14:paraId="663CA984" w14:textId="54E6BD00"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09" w:history="1">
        <w:r w:rsidRPr="007C6FC5">
          <w:rPr>
            <w:rStyle w:val="Hyperlink"/>
            <w:noProof/>
          </w:rPr>
          <w:t>B.</w:t>
        </w:r>
        <w:r>
          <w:rPr>
            <w:rFonts w:asciiTheme="minorHAnsi" w:eastAsiaTheme="minorEastAsia" w:hAnsiTheme="minorHAnsi" w:cstheme="minorBidi"/>
            <w:smallCaps w:val="0"/>
            <w:noProof/>
            <w:kern w:val="2"/>
            <w:szCs w:val="24"/>
            <w14:ligatures w14:val="standardContextual"/>
          </w:rPr>
          <w:tab/>
        </w:r>
        <w:r w:rsidRPr="007C6FC5">
          <w:rPr>
            <w:rStyle w:val="Hyperlink"/>
            <w:noProof/>
          </w:rPr>
          <w:t>Background</w:t>
        </w:r>
        <w:r>
          <w:rPr>
            <w:noProof/>
            <w:webHidden/>
          </w:rPr>
          <w:tab/>
        </w:r>
        <w:r>
          <w:rPr>
            <w:noProof/>
            <w:webHidden/>
          </w:rPr>
          <w:fldChar w:fldCharType="begin"/>
        </w:r>
        <w:r>
          <w:rPr>
            <w:noProof/>
            <w:webHidden/>
          </w:rPr>
          <w:instrText xml:space="preserve"> PAGEREF _Toc184829609 \h </w:instrText>
        </w:r>
        <w:r>
          <w:rPr>
            <w:noProof/>
            <w:webHidden/>
          </w:rPr>
        </w:r>
        <w:r>
          <w:rPr>
            <w:noProof/>
            <w:webHidden/>
          </w:rPr>
          <w:fldChar w:fldCharType="separate"/>
        </w:r>
        <w:r w:rsidR="00BA7552">
          <w:rPr>
            <w:noProof/>
            <w:webHidden/>
          </w:rPr>
          <w:t>5</w:t>
        </w:r>
        <w:r>
          <w:rPr>
            <w:noProof/>
            <w:webHidden/>
          </w:rPr>
          <w:fldChar w:fldCharType="end"/>
        </w:r>
      </w:hyperlink>
    </w:p>
    <w:p w14:paraId="404028CF" w14:textId="72853407"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0" w:history="1">
        <w:r w:rsidRPr="007C6FC5">
          <w:rPr>
            <w:rStyle w:val="Hyperlink"/>
            <w:noProof/>
          </w:rPr>
          <w:t>C.</w:t>
        </w:r>
        <w:r>
          <w:rPr>
            <w:rFonts w:asciiTheme="minorHAnsi" w:eastAsiaTheme="minorEastAsia" w:hAnsiTheme="minorHAnsi" w:cstheme="minorBidi"/>
            <w:smallCaps w:val="0"/>
            <w:noProof/>
            <w:kern w:val="2"/>
            <w:szCs w:val="24"/>
            <w14:ligatures w14:val="standardContextual"/>
          </w:rPr>
          <w:tab/>
        </w:r>
        <w:r w:rsidRPr="007C6FC5">
          <w:rPr>
            <w:rStyle w:val="Hyperlink"/>
            <w:noProof/>
          </w:rPr>
          <w:t>Commitment to Diversity</w:t>
        </w:r>
        <w:r>
          <w:rPr>
            <w:noProof/>
            <w:webHidden/>
          </w:rPr>
          <w:tab/>
        </w:r>
        <w:r>
          <w:rPr>
            <w:noProof/>
            <w:webHidden/>
          </w:rPr>
          <w:fldChar w:fldCharType="begin"/>
        </w:r>
        <w:r>
          <w:rPr>
            <w:noProof/>
            <w:webHidden/>
          </w:rPr>
          <w:instrText xml:space="preserve"> PAGEREF _Toc184829610 \h </w:instrText>
        </w:r>
        <w:r>
          <w:rPr>
            <w:noProof/>
            <w:webHidden/>
          </w:rPr>
        </w:r>
        <w:r>
          <w:rPr>
            <w:noProof/>
            <w:webHidden/>
          </w:rPr>
          <w:fldChar w:fldCharType="separate"/>
        </w:r>
        <w:r w:rsidR="00BA7552">
          <w:rPr>
            <w:noProof/>
            <w:webHidden/>
          </w:rPr>
          <w:t>6</w:t>
        </w:r>
        <w:r>
          <w:rPr>
            <w:noProof/>
            <w:webHidden/>
          </w:rPr>
          <w:fldChar w:fldCharType="end"/>
        </w:r>
      </w:hyperlink>
    </w:p>
    <w:p w14:paraId="786A70B3" w14:textId="438863D9"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1" w:history="1">
        <w:r w:rsidRPr="007C6FC5">
          <w:rPr>
            <w:rStyle w:val="Hyperlink"/>
            <w:noProof/>
          </w:rPr>
          <w:t>D.</w:t>
        </w:r>
        <w:r>
          <w:rPr>
            <w:rFonts w:asciiTheme="minorHAnsi" w:eastAsiaTheme="minorEastAsia" w:hAnsiTheme="minorHAnsi" w:cstheme="minorBidi"/>
            <w:smallCaps w:val="0"/>
            <w:noProof/>
            <w:kern w:val="2"/>
            <w:szCs w:val="24"/>
            <w14:ligatures w14:val="standardContextual"/>
          </w:rPr>
          <w:tab/>
        </w:r>
        <w:r w:rsidRPr="007C6FC5">
          <w:rPr>
            <w:rStyle w:val="Hyperlink"/>
            <w:noProof/>
          </w:rPr>
          <w:t>Key Activities and Dates</w:t>
        </w:r>
        <w:r>
          <w:rPr>
            <w:noProof/>
            <w:webHidden/>
          </w:rPr>
          <w:tab/>
        </w:r>
        <w:r>
          <w:rPr>
            <w:noProof/>
            <w:webHidden/>
          </w:rPr>
          <w:fldChar w:fldCharType="begin"/>
        </w:r>
        <w:r>
          <w:rPr>
            <w:noProof/>
            <w:webHidden/>
          </w:rPr>
          <w:instrText xml:space="preserve"> PAGEREF _Toc184829611 \h </w:instrText>
        </w:r>
        <w:r>
          <w:rPr>
            <w:noProof/>
            <w:webHidden/>
          </w:rPr>
        </w:r>
        <w:r>
          <w:rPr>
            <w:noProof/>
            <w:webHidden/>
          </w:rPr>
          <w:fldChar w:fldCharType="separate"/>
        </w:r>
        <w:r w:rsidR="00BA7552">
          <w:rPr>
            <w:noProof/>
            <w:webHidden/>
          </w:rPr>
          <w:t>6</w:t>
        </w:r>
        <w:r>
          <w:rPr>
            <w:noProof/>
            <w:webHidden/>
          </w:rPr>
          <w:fldChar w:fldCharType="end"/>
        </w:r>
      </w:hyperlink>
    </w:p>
    <w:p w14:paraId="26728BA0" w14:textId="03EA4322"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2" w:history="1">
        <w:r w:rsidRPr="007C6FC5">
          <w:rPr>
            <w:rStyle w:val="Hyperlink"/>
            <w:noProof/>
          </w:rPr>
          <w:t>E.</w:t>
        </w:r>
        <w:r>
          <w:rPr>
            <w:rFonts w:asciiTheme="minorHAnsi" w:eastAsiaTheme="minorEastAsia" w:hAnsiTheme="minorHAnsi" w:cstheme="minorBidi"/>
            <w:smallCaps w:val="0"/>
            <w:noProof/>
            <w:kern w:val="2"/>
            <w:szCs w:val="24"/>
            <w14:ligatures w14:val="standardContextual"/>
          </w:rPr>
          <w:tab/>
        </w:r>
        <w:r w:rsidRPr="007C6FC5">
          <w:rPr>
            <w:rStyle w:val="Hyperlink"/>
            <w:noProof/>
          </w:rPr>
          <w:t>How Award Is Determined</w:t>
        </w:r>
        <w:r>
          <w:rPr>
            <w:noProof/>
            <w:webHidden/>
          </w:rPr>
          <w:tab/>
        </w:r>
        <w:r>
          <w:rPr>
            <w:noProof/>
            <w:webHidden/>
          </w:rPr>
          <w:fldChar w:fldCharType="begin"/>
        </w:r>
        <w:r>
          <w:rPr>
            <w:noProof/>
            <w:webHidden/>
          </w:rPr>
          <w:instrText xml:space="preserve"> PAGEREF _Toc184829612 \h </w:instrText>
        </w:r>
        <w:r>
          <w:rPr>
            <w:noProof/>
            <w:webHidden/>
          </w:rPr>
        </w:r>
        <w:r>
          <w:rPr>
            <w:noProof/>
            <w:webHidden/>
          </w:rPr>
          <w:fldChar w:fldCharType="separate"/>
        </w:r>
        <w:r w:rsidR="00BA7552">
          <w:rPr>
            <w:noProof/>
            <w:webHidden/>
          </w:rPr>
          <w:t>7</w:t>
        </w:r>
        <w:r>
          <w:rPr>
            <w:noProof/>
            <w:webHidden/>
          </w:rPr>
          <w:fldChar w:fldCharType="end"/>
        </w:r>
      </w:hyperlink>
    </w:p>
    <w:p w14:paraId="136331B3" w14:textId="3862CC36"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3" w:history="1">
        <w:r w:rsidRPr="007C6FC5">
          <w:rPr>
            <w:rStyle w:val="Hyperlink"/>
            <w:noProof/>
          </w:rPr>
          <w:t>F.</w:t>
        </w:r>
        <w:r>
          <w:rPr>
            <w:rFonts w:asciiTheme="minorHAnsi" w:eastAsiaTheme="minorEastAsia" w:hAnsiTheme="minorHAnsi" w:cstheme="minorBidi"/>
            <w:smallCaps w:val="0"/>
            <w:noProof/>
            <w:kern w:val="2"/>
            <w:szCs w:val="24"/>
            <w14:ligatures w14:val="standardContextual"/>
          </w:rPr>
          <w:tab/>
        </w:r>
        <w:r w:rsidRPr="007C6FC5">
          <w:rPr>
            <w:rStyle w:val="Hyperlink"/>
            <w:noProof/>
          </w:rPr>
          <w:t>Availability of Funds</w:t>
        </w:r>
        <w:r>
          <w:rPr>
            <w:noProof/>
            <w:webHidden/>
          </w:rPr>
          <w:tab/>
        </w:r>
        <w:r>
          <w:rPr>
            <w:noProof/>
            <w:webHidden/>
          </w:rPr>
          <w:fldChar w:fldCharType="begin"/>
        </w:r>
        <w:r>
          <w:rPr>
            <w:noProof/>
            <w:webHidden/>
          </w:rPr>
          <w:instrText xml:space="preserve"> PAGEREF _Toc184829613 \h </w:instrText>
        </w:r>
        <w:r>
          <w:rPr>
            <w:noProof/>
            <w:webHidden/>
          </w:rPr>
        </w:r>
        <w:r>
          <w:rPr>
            <w:noProof/>
            <w:webHidden/>
          </w:rPr>
          <w:fldChar w:fldCharType="separate"/>
        </w:r>
        <w:r w:rsidR="00BA7552">
          <w:rPr>
            <w:noProof/>
            <w:webHidden/>
          </w:rPr>
          <w:t>7</w:t>
        </w:r>
        <w:r>
          <w:rPr>
            <w:noProof/>
            <w:webHidden/>
          </w:rPr>
          <w:fldChar w:fldCharType="end"/>
        </w:r>
      </w:hyperlink>
    </w:p>
    <w:p w14:paraId="5F7658D2" w14:textId="3729EA35"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4" w:history="1">
        <w:r w:rsidRPr="007C6FC5">
          <w:rPr>
            <w:rStyle w:val="Hyperlink"/>
            <w:noProof/>
          </w:rPr>
          <w:t>G.</w:t>
        </w:r>
        <w:r>
          <w:rPr>
            <w:rFonts w:asciiTheme="minorHAnsi" w:eastAsiaTheme="minorEastAsia" w:hAnsiTheme="minorHAnsi" w:cstheme="minorBidi"/>
            <w:smallCaps w:val="0"/>
            <w:noProof/>
            <w:kern w:val="2"/>
            <w:szCs w:val="24"/>
            <w14:ligatures w14:val="standardContextual"/>
          </w:rPr>
          <w:tab/>
        </w:r>
        <w:r w:rsidRPr="007C6FC5">
          <w:rPr>
            <w:rStyle w:val="Hyperlink"/>
            <w:noProof/>
          </w:rPr>
          <w:t>Maximum Award Per CCS Port</w:t>
        </w:r>
        <w:r>
          <w:rPr>
            <w:noProof/>
            <w:webHidden/>
          </w:rPr>
          <w:tab/>
        </w:r>
        <w:r>
          <w:rPr>
            <w:noProof/>
            <w:webHidden/>
          </w:rPr>
          <w:fldChar w:fldCharType="begin"/>
        </w:r>
        <w:r>
          <w:rPr>
            <w:noProof/>
            <w:webHidden/>
          </w:rPr>
          <w:instrText xml:space="preserve"> PAGEREF _Toc184829614 \h </w:instrText>
        </w:r>
        <w:r>
          <w:rPr>
            <w:noProof/>
            <w:webHidden/>
          </w:rPr>
        </w:r>
        <w:r>
          <w:rPr>
            <w:noProof/>
            <w:webHidden/>
          </w:rPr>
          <w:fldChar w:fldCharType="separate"/>
        </w:r>
        <w:r w:rsidR="00BA7552">
          <w:rPr>
            <w:noProof/>
            <w:webHidden/>
          </w:rPr>
          <w:t>7</w:t>
        </w:r>
        <w:r>
          <w:rPr>
            <w:noProof/>
            <w:webHidden/>
          </w:rPr>
          <w:fldChar w:fldCharType="end"/>
        </w:r>
      </w:hyperlink>
    </w:p>
    <w:p w14:paraId="5A3A645A" w14:textId="76890924"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5" w:history="1">
        <w:r w:rsidRPr="007C6FC5">
          <w:rPr>
            <w:rStyle w:val="Hyperlink"/>
            <w:noProof/>
          </w:rPr>
          <w:t>H.</w:t>
        </w:r>
        <w:r>
          <w:rPr>
            <w:rFonts w:asciiTheme="minorHAnsi" w:eastAsiaTheme="minorEastAsia" w:hAnsiTheme="minorHAnsi" w:cstheme="minorBidi"/>
            <w:smallCaps w:val="0"/>
            <w:noProof/>
            <w:kern w:val="2"/>
            <w:szCs w:val="24"/>
            <w14:ligatures w14:val="standardContextual"/>
          </w:rPr>
          <w:tab/>
        </w:r>
        <w:r w:rsidRPr="007C6FC5">
          <w:rPr>
            <w:rStyle w:val="Hyperlink"/>
            <w:noProof/>
          </w:rPr>
          <w:t>Maximum Number of Applications</w:t>
        </w:r>
        <w:r>
          <w:rPr>
            <w:noProof/>
            <w:webHidden/>
          </w:rPr>
          <w:tab/>
        </w:r>
        <w:r>
          <w:rPr>
            <w:noProof/>
            <w:webHidden/>
          </w:rPr>
          <w:fldChar w:fldCharType="begin"/>
        </w:r>
        <w:r>
          <w:rPr>
            <w:noProof/>
            <w:webHidden/>
          </w:rPr>
          <w:instrText xml:space="preserve"> PAGEREF _Toc184829615 \h </w:instrText>
        </w:r>
        <w:r>
          <w:rPr>
            <w:noProof/>
            <w:webHidden/>
          </w:rPr>
        </w:r>
        <w:r>
          <w:rPr>
            <w:noProof/>
            <w:webHidden/>
          </w:rPr>
          <w:fldChar w:fldCharType="separate"/>
        </w:r>
        <w:r w:rsidR="00BA7552">
          <w:rPr>
            <w:noProof/>
            <w:webHidden/>
          </w:rPr>
          <w:t>9</w:t>
        </w:r>
        <w:r>
          <w:rPr>
            <w:noProof/>
            <w:webHidden/>
          </w:rPr>
          <w:fldChar w:fldCharType="end"/>
        </w:r>
      </w:hyperlink>
    </w:p>
    <w:p w14:paraId="0D28B866" w14:textId="109A3624"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6" w:history="1">
        <w:r w:rsidRPr="007C6FC5">
          <w:rPr>
            <w:rStyle w:val="Hyperlink"/>
            <w:noProof/>
          </w:rPr>
          <w:t>I.</w:t>
        </w:r>
        <w:r>
          <w:rPr>
            <w:rFonts w:asciiTheme="minorHAnsi" w:eastAsiaTheme="minorEastAsia" w:hAnsiTheme="minorHAnsi" w:cstheme="minorBidi"/>
            <w:smallCaps w:val="0"/>
            <w:noProof/>
            <w:kern w:val="2"/>
            <w:szCs w:val="24"/>
            <w14:ligatures w14:val="standardContextual"/>
          </w:rPr>
          <w:tab/>
        </w:r>
        <w:r w:rsidRPr="007C6FC5">
          <w:rPr>
            <w:rStyle w:val="Hyperlink"/>
            <w:noProof/>
          </w:rPr>
          <w:t>Single Applicant Cap</w:t>
        </w:r>
        <w:r>
          <w:rPr>
            <w:noProof/>
            <w:webHidden/>
          </w:rPr>
          <w:tab/>
        </w:r>
        <w:r>
          <w:rPr>
            <w:noProof/>
            <w:webHidden/>
          </w:rPr>
          <w:fldChar w:fldCharType="begin"/>
        </w:r>
        <w:r>
          <w:rPr>
            <w:noProof/>
            <w:webHidden/>
          </w:rPr>
          <w:instrText xml:space="preserve"> PAGEREF _Toc184829616 \h </w:instrText>
        </w:r>
        <w:r>
          <w:rPr>
            <w:noProof/>
            <w:webHidden/>
          </w:rPr>
        </w:r>
        <w:r>
          <w:rPr>
            <w:noProof/>
            <w:webHidden/>
          </w:rPr>
          <w:fldChar w:fldCharType="separate"/>
        </w:r>
        <w:r w:rsidR="00BA7552">
          <w:rPr>
            <w:noProof/>
            <w:webHidden/>
          </w:rPr>
          <w:t>9</w:t>
        </w:r>
        <w:r>
          <w:rPr>
            <w:noProof/>
            <w:webHidden/>
          </w:rPr>
          <w:fldChar w:fldCharType="end"/>
        </w:r>
      </w:hyperlink>
    </w:p>
    <w:p w14:paraId="6E36E383" w14:textId="4F12DCD1"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7" w:history="1">
        <w:r w:rsidRPr="007C6FC5">
          <w:rPr>
            <w:rStyle w:val="Hyperlink"/>
            <w:noProof/>
          </w:rPr>
          <w:t>J.</w:t>
        </w:r>
        <w:r>
          <w:rPr>
            <w:rFonts w:asciiTheme="minorHAnsi" w:eastAsiaTheme="minorEastAsia" w:hAnsiTheme="minorHAnsi" w:cstheme="minorBidi"/>
            <w:smallCaps w:val="0"/>
            <w:noProof/>
            <w:kern w:val="2"/>
            <w:szCs w:val="24"/>
            <w14:ligatures w14:val="standardContextual"/>
          </w:rPr>
          <w:tab/>
        </w:r>
        <w:r w:rsidRPr="007C6FC5">
          <w:rPr>
            <w:rStyle w:val="Hyperlink"/>
            <w:noProof/>
          </w:rPr>
          <w:t>Agreement Contingent on Funding Availability</w:t>
        </w:r>
        <w:r>
          <w:rPr>
            <w:noProof/>
            <w:webHidden/>
          </w:rPr>
          <w:tab/>
        </w:r>
        <w:r>
          <w:rPr>
            <w:noProof/>
            <w:webHidden/>
          </w:rPr>
          <w:fldChar w:fldCharType="begin"/>
        </w:r>
        <w:r>
          <w:rPr>
            <w:noProof/>
            <w:webHidden/>
          </w:rPr>
          <w:instrText xml:space="preserve"> PAGEREF _Toc184829617 \h </w:instrText>
        </w:r>
        <w:r>
          <w:rPr>
            <w:noProof/>
            <w:webHidden/>
          </w:rPr>
        </w:r>
        <w:r>
          <w:rPr>
            <w:noProof/>
            <w:webHidden/>
          </w:rPr>
          <w:fldChar w:fldCharType="separate"/>
        </w:r>
        <w:r w:rsidR="00BA7552">
          <w:rPr>
            <w:noProof/>
            <w:webHidden/>
          </w:rPr>
          <w:t>9</w:t>
        </w:r>
        <w:r>
          <w:rPr>
            <w:noProof/>
            <w:webHidden/>
          </w:rPr>
          <w:fldChar w:fldCharType="end"/>
        </w:r>
      </w:hyperlink>
    </w:p>
    <w:p w14:paraId="4AC31D36" w14:textId="6B580CC0"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8" w:history="1">
        <w:r w:rsidRPr="007C6FC5">
          <w:rPr>
            <w:rStyle w:val="Hyperlink"/>
            <w:noProof/>
          </w:rPr>
          <w:t>K.</w:t>
        </w:r>
        <w:r>
          <w:rPr>
            <w:rFonts w:asciiTheme="minorHAnsi" w:eastAsiaTheme="minorEastAsia" w:hAnsiTheme="minorHAnsi" w:cstheme="minorBidi"/>
            <w:smallCaps w:val="0"/>
            <w:noProof/>
            <w:kern w:val="2"/>
            <w:szCs w:val="24"/>
            <w14:ligatures w14:val="standardContextual"/>
          </w:rPr>
          <w:tab/>
        </w:r>
        <w:r w:rsidRPr="007C6FC5">
          <w:rPr>
            <w:rStyle w:val="Hyperlink"/>
            <w:noProof/>
          </w:rPr>
          <w:t>Pre-Application Workshop</w:t>
        </w:r>
        <w:r>
          <w:rPr>
            <w:noProof/>
            <w:webHidden/>
          </w:rPr>
          <w:tab/>
        </w:r>
        <w:r>
          <w:rPr>
            <w:noProof/>
            <w:webHidden/>
          </w:rPr>
          <w:fldChar w:fldCharType="begin"/>
        </w:r>
        <w:r>
          <w:rPr>
            <w:noProof/>
            <w:webHidden/>
          </w:rPr>
          <w:instrText xml:space="preserve"> PAGEREF _Toc184829618 \h </w:instrText>
        </w:r>
        <w:r>
          <w:rPr>
            <w:noProof/>
            <w:webHidden/>
          </w:rPr>
        </w:r>
        <w:r>
          <w:rPr>
            <w:noProof/>
            <w:webHidden/>
          </w:rPr>
          <w:fldChar w:fldCharType="separate"/>
        </w:r>
        <w:r w:rsidR="00BA7552">
          <w:rPr>
            <w:noProof/>
            <w:webHidden/>
          </w:rPr>
          <w:t>10</w:t>
        </w:r>
        <w:r>
          <w:rPr>
            <w:noProof/>
            <w:webHidden/>
          </w:rPr>
          <w:fldChar w:fldCharType="end"/>
        </w:r>
      </w:hyperlink>
    </w:p>
    <w:p w14:paraId="3A448DF0" w14:textId="551D1C87"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19" w:history="1">
        <w:r w:rsidRPr="007C6FC5">
          <w:rPr>
            <w:rStyle w:val="Hyperlink"/>
            <w:noProof/>
          </w:rPr>
          <w:t>L.</w:t>
        </w:r>
        <w:r>
          <w:rPr>
            <w:rFonts w:asciiTheme="minorHAnsi" w:eastAsiaTheme="minorEastAsia" w:hAnsiTheme="minorHAnsi" w:cstheme="minorBidi"/>
            <w:smallCaps w:val="0"/>
            <w:noProof/>
            <w:kern w:val="2"/>
            <w:szCs w:val="24"/>
            <w14:ligatures w14:val="standardContextual"/>
          </w:rPr>
          <w:tab/>
        </w:r>
        <w:r w:rsidRPr="007C6FC5">
          <w:rPr>
            <w:rStyle w:val="Hyperlink"/>
            <w:noProof/>
          </w:rPr>
          <w:t>Participation Through Zoom</w:t>
        </w:r>
        <w:r>
          <w:rPr>
            <w:noProof/>
            <w:webHidden/>
          </w:rPr>
          <w:tab/>
        </w:r>
        <w:r>
          <w:rPr>
            <w:noProof/>
            <w:webHidden/>
          </w:rPr>
          <w:fldChar w:fldCharType="begin"/>
        </w:r>
        <w:r>
          <w:rPr>
            <w:noProof/>
            <w:webHidden/>
          </w:rPr>
          <w:instrText xml:space="preserve"> PAGEREF _Toc184829619 \h </w:instrText>
        </w:r>
        <w:r>
          <w:rPr>
            <w:noProof/>
            <w:webHidden/>
          </w:rPr>
        </w:r>
        <w:r>
          <w:rPr>
            <w:noProof/>
            <w:webHidden/>
          </w:rPr>
          <w:fldChar w:fldCharType="separate"/>
        </w:r>
        <w:r w:rsidR="00BA7552">
          <w:rPr>
            <w:noProof/>
            <w:webHidden/>
          </w:rPr>
          <w:t>10</w:t>
        </w:r>
        <w:r>
          <w:rPr>
            <w:noProof/>
            <w:webHidden/>
          </w:rPr>
          <w:fldChar w:fldCharType="end"/>
        </w:r>
      </w:hyperlink>
    </w:p>
    <w:p w14:paraId="73060A8C" w14:textId="5C58BA27"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0" w:history="1">
        <w:r w:rsidRPr="007C6FC5">
          <w:rPr>
            <w:rStyle w:val="Hyperlink"/>
            <w:noProof/>
          </w:rPr>
          <w:t>M.</w:t>
        </w:r>
        <w:r>
          <w:rPr>
            <w:rFonts w:asciiTheme="minorHAnsi" w:eastAsiaTheme="minorEastAsia" w:hAnsiTheme="minorHAnsi" w:cstheme="minorBidi"/>
            <w:smallCaps w:val="0"/>
            <w:noProof/>
            <w:kern w:val="2"/>
            <w:szCs w:val="24"/>
            <w14:ligatures w14:val="standardContextual"/>
          </w:rPr>
          <w:tab/>
        </w:r>
        <w:r w:rsidRPr="007C6FC5">
          <w:rPr>
            <w:rStyle w:val="Hyperlink"/>
            <w:noProof/>
          </w:rPr>
          <w:t>Questions</w:t>
        </w:r>
        <w:r>
          <w:rPr>
            <w:noProof/>
            <w:webHidden/>
          </w:rPr>
          <w:tab/>
        </w:r>
        <w:r>
          <w:rPr>
            <w:noProof/>
            <w:webHidden/>
          </w:rPr>
          <w:fldChar w:fldCharType="begin"/>
        </w:r>
        <w:r>
          <w:rPr>
            <w:noProof/>
            <w:webHidden/>
          </w:rPr>
          <w:instrText xml:space="preserve"> PAGEREF _Toc184829620 \h </w:instrText>
        </w:r>
        <w:r>
          <w:rPr>
            <w:noProof/>
            <w:webHidden/>
          </w:rPr>
        </w:r>
        <w:r>
          <w:rPr>
            <w:noProof/>
            <w:webHidden/>
          </w:rPr>
          <w:fldChar w:fldCharType="separate"/>
        </w:r>
        <w:r w:rsidR="00BA7552">
          <w:rPr>
            <w:noProof/>
            <w:webHidden/>
          </w:rPr>
          <w:t>11</w:t>
        </w:r>
        <w:r>
          <w:rPr>
            <w:noProof/>
            <w:webHidden/>
          </w:rPr>
          <w:fldChar w:fldCharType="end"/>
        </w:r>
      </w:hyperlink>
    </w:p>
    <w:p w14:paraId="49CF9F4F" w14:textId="68170419"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1" w:history="1">
        <w:r w:rsidRPr="007C6FC5">
          <w:rPr>
            <w:rStyle w:val="Hyperlink"/>
            <w:noProof/>
          </w:rPr>
          <w:t>N.</w:t>
        </w:r>
        <w:r>
          <w:rPr>
            <w:rFonts w:asciiTheme="minorHAnsi" w:eastAsiaTheme="minorEastAsia" w:hAnsiTheme="minorHAnsi" w:cstheme="minorBidi"/>
            <w:smallCaps w:val="0"/>
            <w:noProof/>
            <w:kern w:val="2"/>
            <w:szCs w:val="24"/>
            <w14:ligatures w14:val="standardContextual"/>
          </w:rPr>
          <w:tab/>
        </w:r>
        <w:r w:rsidRPr="007C6FC5">
          <w:rPr>
            <w:rStyle w:val="Hyperlink"/>
            <w:noProof/>
          </w:rPr>
          <w:t>Contact Information</w:t>
        </w:r>
        <w:r>
          <w:rPr>
            <w:noProof/>
            <w:webHidden/>
          </w:rPr>
          <w:tab/>
        </w:r>
        <w:r>
          <w:rPr>
            <w:noProof/>
            <w:webHidden/>
          </w:rPr>
          <w:fldChar w:fldCharType="begin"/>
        </w:r>
        <w:r>
          <w:rPr>
            <w:noProof/>
            <w:webHidden/>
          </w:rPr>
          <w:instrText xml:space="preserve"> PAGEREF _Toc184829621 \h </w:instrText>
        </w:r>
        <w:r>
          <w:rPr>
            <w:noProof/>
            <w:webHidden/>
          </w:rPr>
        </w:r>
        <w:r>
          <w:rPr>
            <w:noProof/>
            <w:webHidden/>
          </w:rPr>
          <w:fldChar w:fldCharType="separate"/>
        </w:r>
        <w:r w:rsidR="00BA7552">
          <w:rPr>
            <w:noProof/>
            <w:webHidden/>
          </w:rPr>
          <w:t>11</w:t>
        </w:r>
        <w:r>
          <w:rPr>
            <w:noProof/>
            <w:webHidden/>
          </w:rPr>
          <w:fldChar w:fldCharType="end"/>
        </w:r>
      </w:hyperlink>
    </w:p>
    <w:p w14:paraId="3D1F7CAE" w14:textId="29E287F3"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2" w:history="1">
        <w:r w:rsidRPr="007C6FC5">
          <w:rPr>
            <w:rStyle w:val="Hyperlink"/>
            <w:noProof/>
          </w:rPr>
          <w:t>O.</w:t>
        </w:r>
        <w:r>
          <w:rPr>
            <w:rFonts w:asciiTheme="minorHAnsi" w:eastAsiaTheme="minorEastAsia" w:hAnsiTheme="minorHAnsi" w:cstheme="minorBidi"/>
            <w:smallCaps w:val="0"/>
            <w:noProof/>
            <w:kern w:val="2"/>
            <w:szCs w:val="24"/>
            <w14:ligatures w14:val="standardContextual"/>
          </w:rPr>
          <w:tab/>
        </w:r>
        <w:r w:rsidRPr="007C6FC5">
          <w:rPr>
            <w:rStyle w:val="Hyperlink"/>
            <w:noProof/>
          </w:rPr>
          <w:t>Pilot Project with PG&amp;E on Corridor Segments 13 A Through 13 E</w:t>
        </w:r>
        <w:r>
          <w:rPr>
            <w:noProof/>
            <w:webHidden/>
          </w:rPr>
          <w:tab/>
        </w:r>
        <w:r>
          <w:rPr>
            <w:noProof/>
            <w:webHidden/>
          </w:rPr>
          <w:fldChar w:fldCharType="begin"/>
        </w:r>
        <w:r>
          <w:rPr>
            <w:noProof/>
            <w:webHidden/>
          </w:rPr>
          <w:instrText xml:space="preserve"> PAGEREF _Toc184829622 \h </w:instrText>
        </w:r>
        <w:r>
          <w:rPr>
            <w:noProof/>
            <w:webHidden/>
          </w:rPr>
        </w:r>
        <w:r>
          <w:rPr>
            <w:noProof/>
            <w:webHidden/>
          </w:rPr>
          <w:fldChar w:fldCharType="separate"/>
        </w:r>
        <w:r w:rsidR="00BA7552">
          <w:rPr>
            <w:noProof/>
            <w:webHidden/>
          </w:rPr>
          <w:t>11</w:t>
        </w:r>
        <w:r>
          <w:rPr>
            <w:noProof/>
            <w:webHidden/>
          </w:rPr>
          <w:fldChar w:fldCharType="end"/>
        </w:r>
      </w:hyperlink>
    </w:p>
    <w:p w14:paraId="7BFEF706" w14:textId="4A01BA65"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3" w:history="1">
        <w:r w:rsidRPr="007C6FC5">
          <w:rPr>
            <w:rStyle w:val="Hyperlink"/>
            <w:noProof/>
          </w:rPr>
          <w:t>P.</w:t>
        </w:r>
        <w:r>
          <w:rPr>
            <w:rFonts w:asciiTheme="minorHAnsi" w:eastAsiaTheme="minorEastAsia" w:hAnsiTheme="minorHAnsi" w:cstheme="minorBidi"/>
            <w:smallCaps w:val="0"/>
            <w:noProof/>
            <w:kern w:val="2"/>
            <w:szCs w:val="24"/>
            <w14:ligatures w14:val="standardContextual"/>
          </w:rPr>
          <w:tab/>
        </w:r>
        <w:r w:rsidRPr="007C6FC5">
          <w:rPr>
            <w:rStyle w:val="Hyperlink"/>
            <w:noProof/>
          </w:rPr>
          <w:t>Reference Documents</w:t>
        </w:r>
        <w:r>
          <w:rPr>
            <w:noProof/>
            <w:webHidden/>
          </w:rPr>
          <w:tab/>
        </w:r>
        <w:r>
          <w:rPr>
            <w:noProof/>
            <w:webHidden/>
          </w:rPr>
          <w:fldChar w:fldCharType="begin"/>
        </w:r>
        <w:r>
          <w:rPr>
            <w:noProof/>
            <w:webHidden/>
          </w:rPr>
          <w:instrText xml:space="preserve"> PAGEREF _Toc184829623 \h </w:instrText>
        </w:r>
        <w:r>
          <w:rPr>
            <w:noProof/>
            <w:webHidden/>
          </w:rPr>
        </w:r>
        <w:r>
          <w:rPr>
            <w:noProof/>
            <w:webHidden/>
          </w:rPr>
          <w:fldChar w:fldCharType="separate"/>
        </w:r>
        <w:r w:rsidR="00BA7552">
          <w:rPr>
            <w:noProof/>
            <w:webHidden/>
          </w:rPr>
          <w:t>13</w:t>
        </w:r>
        <w:r>
          <w:rPr>
            <w:noProof/>
            <w:webHidden/>
          </w:rPr>
          <w:fldChar w:fldCharType="end"/>
        </w:r>
      </w:hyperlink>
    </w:p>
    <w:p w14:paraId="7F579CE2" w14:textId="6BAD01C9" w:rsidR="008C7A88" w:rsidRDefault="008C7A88">
      <w:pPr>
        <w:pStyle w:val="TOC1"/>
        <w:rPr>
          <w:rFonts w:asciiTheme="minorHAnsi" w:eastAsiaTheme="minorEastAsia" w:hAnsiTheme="minorHAnsi" w:cstheme="minorBidi"/>
          <w:b w:val="0"/>
          <w:bCs w:val="0"/>
          <w:caps w:val="0"/>
          <w:noProof/>
          <w:kern w:val="2"/>
          <w:szCs w:val="24"/>
          <w14:ligatures w14:val="standardContextual"/>
        </w:rPr>
      </w:pPr>
      <w:hyperlink w:anchor="_Toc184829624" w:history="1">
        <w:r w:rsidRPr="007C6FC5">
          <w:rPr>
            <w:rStyle w:val="Hyperlink"/>
            <w:noProof/>
          </w:rPr>
          <w:t>II.</w:t>
        </w:r>
        <w:r>
          <w:rPr>
            <w:rFonts w:asciiTheme="minorHAnsi" w:eastAsiaTheme="minorEastAsia" w:hAnsiTheme="minorHAnsi" w:cstheme="minorBidi"/>
            <w:b w:val="0"/>
            <w:bCs w:val="0"/>
            <w:caps w:val="0"/>
            <w:noProof/>
            <w:kern w:val="2"/>
            <w:szCs w:val="24"/>
            <w14:ligatures w14:val="standardContextual"/>
          </w:rPr>
          <w:tab/>
        </w:r>
        <w:r w:rsidRPr="007C6FC5">
          <w:rPr>
            <w:rStyle w:val="Hyperlink"/>
            <w:noProof/>
          </w:rPr>
          <w:t>Eligibility Requirements</w:t>
        </w:r>
        <w:r>
          <w:rPr>
            <w:noProof/>
            <w:webHidden/>
          </w:rPr>
          <w:tab/>
        </w:r>
        <w:r>
          <w:rPr>
            <w:noProof/>
            <w:webHidden/>
          </w:rPr>
          <w:fldChar w:fldCharType="begin"/>
        </w:r>
        <w:r>
          <w:rPr>
            <w:noProof/>
            <w:webHidden/>
          </w:rPr>
          <w:instrText xml:space="preserve"> PAGEREF _Toc184829624 \h </w:instrText>
        </w:r>
        <w:r>
          <w:rPr>
            <w:noProof/>
            <w:webHidden/>
          </w:rPr>
        </w:r>
        <w:r>
          <w:rPr>
            <w:noProof/>
            <w:webHidden/>
          </w:rPr>
          <w:fldChar w:fldCharType="separate"/>
        </w:r>
        <w:r w:rsidR="00BA7552">
          <w:rPr>
            <w:noProof/>
            <w:webHidden/>
          </w:rPr>
          <w:t>17</w:t>
        </w:r>
        <w:r>
          <w:rPr>
            <w:noProof/>
            <w:webHidden/>
          </w:rPr>
          <w:fldChar w:fldCharType="end"/>
        </w:r>
      </w:hyperlink>
    </w:p>
    <w:p w14:paraId="5F2A861B" w14:textId="020D6B87"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5" w:history="1">
        <w:r w:rsidRPr="007C6FC5">
          <w:rPr>
            <w:rStyle w:val="Hyperlink"/>
            <w:noProof/>
          </w:rPr>
          <w:t>A.</w:t>
        </w:r>
        <w:r>
          <w:rPr>
            <w:rFonts w:asciiTheme="minorHAnsi" w:eastAsiaTheme="minorEastAsia" w:hAnsiTheme="minorHAnsi" w:cstheme="minorBidi"/>
            <w:smallCaps w:val="0"/>
            <w:noProof/>
            <w:kern w:val="2"/>
            <w:szCs w:val="24"/>
            <w14:ligatures w14:val="standardContextual"/>
          </w:rPr>
          <w:tab/>
        </w:r>
        <w:r w:rsidRPr="007C6FC5">
          <w:rPr>
            <w:rStyle w:val="Hyperlink"/>
            <w:noProof/>
          </w:rPr>
          <w:t>Applicant Requirements</w:t>
        </w:r>
        <w:r>
          <w:rPr>
            <w:noProof/>
            <w:webHidden/>
          </w:rPr>
          <w:tab/>
        </w:r>
        <w:r>
          <w:rPr>
            <w:noProof/>
            <w:webHidden/>
          </w:rPr>
          <w:fldChar w:fldCharType="begin"/>
        </w:r>
        <w:r>
          <w:rPr>
            <w:noProof/>
            <w:webHidden/>
          </w:rPr>
          <w:instrText xml:space="preserve"> PAGEREF _Toc184829625 \h </w:instrText>
        </w:r>
        <w:r>
          <w:rPr>
            <w:noProof/>
            <w:webHidden/>
          </w:rPr>
        </w:r>
        <w:r>
          <w:rPr>
            <w:noProof/>
            <w:webHidden/>
          </w:rPr>
          <w:fldChar w:fldCharType="separate"/>
        </w:r>
        <w:r w:rsidR="00BA7552">
          <w:rPr>
            <w:noProof/>
            <w:webHidden/>
          </w:rPr>
          <w:t>17</w:t>
        </w:r>
        <w:r>
          <w:rPr>
            <w:noProof/>
            <w:webHidden/>
          </w:rPr>
          <w:fldChar w:fldCharType="end"/>
        </w:r>
      </w:hyperlink>
    </w:p>
    <w:p w14:paraId="7D67AB52" w14:textId="6F0856BF"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6" w:history="1">
        <w:r w:rsidRPr="007C6FC5">
          <w:rPr>
            <w:rStyle w:val="Hyperlink"/>
            <w:noProof/>
          </w:rPr>
          <w:t>B.</w:t>
        </w:r>
        <w:r>
          <w:rPr>
            <w:rFonts w:asciiTheme="minorHAnsi" w:eastAsiaTheme="minorEastAsia" w:hAnsiTheme="minorHAnsi" w:cstheme="minorBidi"/>
            <w:smallCaps w:val="0"/>
            <w:noProof/>
            <w:kern w:val="2"/>
            <w:szCs w:val="24"/>
            <w14:ligatures w14:val="standardContextual"/>
          </w:rPr>
          <w:tab/>
        </w:r>
        <w:r w:rsidRPr="007C6FC5">
          <w:rPr>
            <w:rStyle w:val="Hyperlink"/>
            <w:noProof/>
          </w:rPr>
          <w:t>Project Requirements</w:t>
        </w:r>
        <w:r>
          <w:rPr>
            <w:noProof/>
            <w:webHidden/>
          </w:rPr>
          <w:tab/>
        </w:r>
        <w:r>
          <w:rPr>
            <w:noProof/>
            <w:webHidden/>
          </w:rPr>
          <w:fldChar w:fldCharType="begin"/>
        </w:r>
        <w:r>
          <w:rPr>
            <w:noProof/>
            <w:webHidden/>
          </w:rPr>
          <w:instrText xml:space="preserve"> PAGEREF _Toc184829626 \h </w:instrText>
        </w:r>
        <w:r>
          <w:rPr>
            <w:noProof/>
            <w:webHidden/>
          </w:rPr>
        </w:r>
        <w:r>
          <w:rPr>
            <w:noProof/>
            <w:webHidden/>
          </w:rPr>
          <w:fldChar w:fldCharType="separate"/>
        </w:r>
        <w:r w:rsidR="00BA7552">
          <w:rPr>
            <w:noProof/>
            <w:webHidden/>
          </w:rPr>
          <w:t>19</w:t>
        </w:r>
        <w:r>
          <w:rPr>
            <w:noProof/>
            <w:webHidden/>
          </w:rPr>
          <w:fldChar w:fldCharType="end"/>
        </w:r>
      </w:hyperlink>
    </w:p>
    <w:p w14:paraId="0D24701D" w14:textId="1C335691"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7" w:history="1">
        <w:r w:rsidRPr="007C6FC5">
          <w:rPr>
            <w:rStyle w:val="Hyperlink"/>
            <w:noProof/>
          </w:rPr>
          <w:t>C.</w:t>
        </w:r>
        <w:r>
          <w:rPr>
            <w:rFonts w:asciiTheme="minorHAnsi" w:eastAsiaTheme="minorEastAsia" w:hAnsiTheme="minorHAnsi" w:cstheme="minorBidi"/>
            <w:smallCaps w:val="0"/>
            <w:noProof/>
            <w:kern w:val="2"/>
            <w:szCs w:val="24"/>
            <w14:ligatures w14:val="standardContextual"/>
          </w:rPr>
          <w:tab/>
        </w:r>
        <w:r w:rsidRPr="007C6FC5">
          <w:rPr>
            <w:rStyle w:val="Hyperlink"/>
            <w:noProof/>
          </w:rPr>
          <w:t>Match Funding Requirements</w:t>
        </w:r>
        <w:r>
          <w:rPr>
            <w:noProof/>
            <w:webHidden/>
          </w:rPr>
          <w:tab/>
        </w:r>
        <w:r>
          <w:rPr>
            <w:noProof/>
            <w:webHidden/>
          </w:rPr>
          <w:fldChar w:fldCharType="begin"/>
        </w:r>
        <w:r>
          <w:rPr>
            <w:noProof/>
            <w:webHidden/>
          </w:rPr>
          <w:instrText xml:space="preserve"> PAGEREF _Toc184829627 \h </w:instrText>
        </w:r>
        <w:r>
          <w:rPr>
            <w:noProof/>
            <w:webHidden/>
          </w:rPr>
        </w:r>
        <w:r>
          <w:rPr>
            <w:noProof/>
            <w:webHidden/>
          </w:rPr>
          <w:fldChar w:fldCharType="separate"/>
        </w:r>
        <w:r w:rsidR="00BA7552">
          <w:rPr>
            <w:noProof/>
            <w:webHidden/>
          </w:rPr>
          <w:t>48</w:t>
        </w:r>
        <w:r>
          <w:rPr>
            <w:noProof/>
            <w:webHidden/>
          </w:rPr>
          <w:fldChar w:fldCharType="end"/>
        </w:r>
      </w:hyperlink>
    </w:p>
    <w:p w14:paraId="49EDBDCF" w14:textId="19652462"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28" w:history="1">
        <w:r w:rsidRPr="007C6FC5">
          <w:rPr>
            <w:rStyle w:val="Hyperlink"/>
            <w:noProof/>
          </w:rPr>
          <w:t>D.</w:t>
        </w:r>
        <w:r>
          <w:rPr>
            <w:rFonts w:asciiTheme="minorHAnsi" w:eastAsiaTheme="minorEastAsia" w:hAnsiTheme="minorHAnsi" w:cstheme="minorBidi"/>
            <w:smallCaps w:val="0"/>
            <w:noProof/>
            <w:kern w:val="2"/>
            <w:szCs w:val="24"/>
            <w14:ligatures w14:val="standardContextual"/>
          </w:rPr>
          <w:tab/>
        </w:r>
        <w:r w:rsidRPr="007C6FC5">
          <w:rPr>
            <w:rStyle w:val="Hyperlink"/>
            <w:noProof/>
          </w:rPr>
          <w:t>Unallowable Costs (Reimbursable or Match Share)</w:t>
        </w:r>
        <w:r>
          <w:rPr>
            <w:noProof/>
            <w:webHidden/>
          </w:rPr>
          <w:tab/>
        </w:r>
        <w:r>
          <w:rPr>
            <w:noProof/>
            <w:webHidden/>
          </w:rPr>
          <w:fldChar w:fldCharType="begin"/>
        </w:r>
        <w:r>
          <w:rPr>
            <w:noProof/>
            <w:webHidden/>
          </w:rPr>
          <w:instrText xml:space="preserve"> PAGEREF _Toc184829628 \h </w:instrText>
        </w:r>
        <w:r>
          <w:rPr>
            <w:noProof/>
            <w:webHidden/>
          </w:rPr>
        </w:r>
        <w:r>
          <w:rPr>
            <w:noProof/>
            <w:webHidden/>
          </w:rPr>
          <w:fldChar w:fldCharType="separate"/>
        </w:r>
        <w:r w:rsidR="00BA7552">
          <w:rPr>
            <w:noProof/>
            <w:webHidden/>
          </w:rPr>
          <w:t>50</w:t>
        </w:r>
        <w:r>
          <w:rPr>
            <w:noProof/>
            <w:webHidden/>
          </w:rPr>
          <w:fldChar w:fldCharType="end"/>
        </w:r>
      </w:hyperlink>
    </w:p>
    <w:p w14:paraId="40978DA8" w14:textId="5C0667CD" w:rsidR="008C7A88" w:rsidRDefault="008C7A88">
      <w:pPr>
        <w:pStyle w:val="TOC1"/>
        <w:rPr>
          <w:rFonts w:asciiTheme="minorHAnsi" w:eastAsiaTheme="minorEastAsia" w:hAnsiTheme="minorHAnsi" w:cstheme="minorBidi"/>
          <w:b w:val="0"/>
          <w:bCs w:val="0"/>
          <w:caps w:val="0"/>
          <w:noProof/>
          <w:kern w:val="2"/>
          <w:szCs w:val="24"/>
          <w14:ligatures w14:val="standardContextual"/>
        </w:rPr>
      </w:pPr>
      <w:hyperlink w:anchor="_Toc184829629" w:history="1">
        <w:r w:rsidRPr="007C6FC5">
          <w:rPr>
            <w:rStyle w:val="Hyperlink"/>
            <w:noProof/>
          </w:rPr>
          <w:t>III.</w:t>
        </w:r>
        <w:r>
          <w:rPr>
            <w:rFonts w:asciiTheme="minorHAnsi" w:eastAsiaTheme="minorEastAsia" w:hAnsiTheme="minorHAnsi" w:cstheme="minorBidi"/>
            <w:b w:val="0"/>
            <w:bCs w:val="0"/>
            <w:caps w:val="0"/>
            <w:noProof/>
            <w:kern w:val="2"/>
            <w:szCs w:val="24"/>
            <w14:ligatures w14:val="standardContextual"/>
          </w:rPr>
          <w:tab/>
        </w:r>
        <w:r w:rsidRPr="007C6FC5">
          <w:rPr>
            <w:rStyle w:val="Hyperlink"/>
            <w:noProof/>
          </w:rPr>
          <w:t>Application Format, Required Documents, and Delivery</w:t>
        </w:r>
        <w:r>
          <w:rPr>
            <w:noProof/>
            <w:webHidden/>
          </w:rPr>
          <w:tab/>
        </w:r>
        <w:r>
          <w:rPr>
            <w:noProof/>
            <w:webHidden/>
          </w:rPr>
          <w:fldChar w:fldCharType="begin"/>
        </w:r>
        <w:r>
          <w:rPr>
            <w:noProof/>
            <w:webHidden/>
          </w:rPr>
          <w:instrText xml:space="preserve"> PAGEREF _Toc184829629 \h </w:instrText>
        </w:r>
        <w:r>
          <w:rPr>
            <w:noProof/>
            <w:webHidden/>
          </w:rPr>
        </w:r>
        <w:r>
          <w:rPr>
            <w:noProof/>
            <w:webHidden/>
          </w:rPr>
          <w:fldChar w:fldCharType="separate"/>
        </w:r>
        <w:r w:rsidR="00BA7552">
          <w:rPr>
            <w:noProof/>
            <w:webHidden/>
          </w:rPr>
          <w:t>52</w:t>
        </w:r>
        <w:r>
          <w:rPr>
            <w:noProof/>
            <w:webHidden/>
          </w:rPr>
          <w:fldChar w:fldCharType="end"/>
        </w:r>
      </w:hyperlink>
    </w:p>
    <w:p w14:paraId="11224F9C" w14:textId="63DA3DE7"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0" w:history="1">
        <w:r w:rsidRPr="007C6FC5">
          <w:rPr>
            <w:rStyle w:val="Hyperlink"/>
            <w:noProof/>
          </w:rPr>
          <w:t>A.</w:t>
        </w:r>
        <w:r>
          <w:rPr>
            <w:rFonts w:asciiTheme="minorHAnsi" w:eastAsiaTheme="minorEastAsia" w:hAnsiTheme="minorHAnsi" w:cstheme="minorBidi"/>
            <w:smallCaps w:val="0"/>
            <w:noProof/>
            <w:kern w:val="2"/>
            <w:szCs w:val="24"/>
            <w14:ligatures w14:val="standardContextual"/>
          </w:rPr>
          <w:tab/>
        </w:r>
        <w:r w:rsidRPr="007C6FC5">
          <w:rPr>
            <w:rStyle w:val="Hyperlink"/>
            <w:noProof/>
          </w:rPr>
          <w:t>Required Format for an Application</w:t>
        </w:r>
        <w:r>
          <w:rPr>
            <w:noProof/>
            <w:webHidden/>
          </w:rPr>
          <w:tab/>
        </w:r>
        <w:r>
          <w:rPr>
            <w:noProof/>
            <w:webHidden/>
          </w:rPr>
          <w:fldChar w:fldCharType="begin"/>
        </w:r>
        <w:r>
          <w:rPr>
            <w:noProof/>
            <w:webHidden/>
          </w:rPr>
          <w:instrText xml:space="preserve"> PAGEREF _Toc184829630 \h </w:instrText>
        </w:r>
        <w:r>
          <w:rPr>
            <w:noProof/>
            <w:webHidden/>
          </w:rPr>
        </w:r>
        <w:r>
          <w:rPr>
            <w:noProof/>
            <w:webHidden/>
          </w:rPr>
          <w:fldChar w:fldCharType="separate"/>
        </w:r>
        <w:r w:rsidR="00BA7552">
          <w:rPr>
            <w:noProof/>
            <w:webHidden/>
          </w:rPr>
          <w:t>52</w:t>
        </w:r>
        <w:r>
          <w:rPr>
            <w:noProof/>
            <w:webHidden/>
          </w:rPr>
          <w:fldChar w:fldCharType="end"/>
        </w:r>
      </w:hyperlink>
    </w:p>
    <w:p w14:paraId="6C54C486" w14:textId="3948AEA7"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1" w:history="1">
        <w:r w:rsidRPr="007C6FC5">
          <w:rPr>
            <w:rStyle w:val="Hyperlink"/>
            <w:noProof/>
          </w:rPr>
          <w:t>B.</w:t>
        </w:r>
        <w:r>
          <w:rPr>
            <w:rFonts w:asciiTheme="minorHAnsi" w:eastAsiaTheme="minorEastAsia" w:hAnsiTheme="minorHAnsi" w:cstheme="minorBidi"/>
            <w:smallCaps w:val="0"/>
            <w:noProof/>
            <w:kern w:val="2"/>
            <w:szCs w:val="24"/>
            <w14:ligatures w14:val="standardContextual"/>
          </w:rPr>
          <w:tab/>
        </w:r>
        <w:r w:rsidRPr="007C6FC5">
          <w:rPr>
            <w:rStyle w:val="Hyperlink"/>
            <w:noProof/>
          </w:rPr>
          <w:t>Method for Delivery</w:t>
        </w:r>
        <w:r>
          <w:rPr>
            <w:noProof/>
            <w:webHidden/>
          </w:rPr>
          <w:tab/>
        </w:r>
        <w:r>
          <w:rPr>
            <w:noProof/>
            <w:webHidden/>
          </w:rPr>
          <w:fldChar w:fldCharType="begin"/>
        </w:r>
        <w:r>
          <w:rPr>
            <w:noProof/>
            <w:webHidden/>
          </w:rPr>
          <w:instrText xml:space="preserve"> PAGEREF _Toc184829631 \h </w:instrText>
        </w:r>
        <w:r>
          <w:rPr>
            <w:noProof/>
            <w:webHidden/>
          </w:rPr>
        </w:r>
        <w:r>
          <w:rPr>
            <w:noProof/>
            <w:webHidden/>
          </w:rPr>
          <w:fldChar w:fldCharType="separate"/>
        </w:r>
        <w:r w:rsidR="00BA7552">
          <w:rPr>
            <w:noProof/>
            <w:webHidden/>
          </w:rPr>
          <w:t>52</w:t>
        </w:r>
        <w:r>
          <w:rPr>
            <w:noProof/>
            <w:webHidden/>
          </w:rPr>
          <w:fldChar w:fldCharType="end"/>
        </w:r>
      </w:hyperlink>
    </w:p>
    <w:p w14:paraId="0B043302" w14:textId="4D9CFB54"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2" w:history="1">
        <w:r w:rsidRPr="007C6FC5">
          <w:rPr>
            <w:rStyle w:val="Hyperlink"/>
            <w:noProof/>
          </w:rPr>
          <w:t>C.</w:t>
        </w:r>
        <w:r>
          <w:rPr>
            <w:rFonts w:asciiTheme="minorHAnsi" w:eastAsiaTheme="minorEastAsia" w:hAnsiTheme="minorHAnsi" w:cstheme="minorBidi"/>
            <w:smallCaps w:val="0"/>
            <w:noProof/>
            <w:kern w:val="2"/>
            <w:szCs w:val="24"/>
            <w14:ligatures w14:val="standardContextual"/>
          </w:rPr>
          <w:tab/>
        </w:r>
        <w:r w:rsidRPr="007C6FC5">
          <w:rPr>
            <w:rStyle w:val="Hyperlink"/>
            <w:noProof/>
          </w:rPr>
          <w:t>Page Limitations</w:t>
        </w:r>
        <w:r>
          <w:rPr>
            <w:noProof/>
            <w:webHidden/>
          </w:rPr>
          <w:tab/>
        </w:r>
        <w:r>
          <w:rPr>
            <w:noProof/>
            <w:webHidden/>
          </w:rPr>
          <w:fldChar w:fldCharType="begin"/>
        </w:r>
        <w:r>
          <w:rPr>
            <w:noProof/>
            <w:webHidden/>
          </w:rPr>
          <w:instrText xml:space="preserve"> PAGEREF _Toc184829632 \h </w:instrText>
        </w:r>
        <w:r>
          <w:rPr>
            <w:noProof/>
            <w:webHidden/>
          </w:rPr>
        </w:r>
        <w:r>
          <w:rPr>
            <w:noProof/>
            <w:webHidden/>
          </w:rPr>
          <w:fldChar w:fldCharType="separate"/>
        </w:r>
        <w:r w:rsidR="00BA7552">
          <w:rPr>
            <w:noProof/>
            <w:webHidden/>
          </w:rPr>
          <w:t>53</w:t>
        </w:r>
        <w:r>
          <w:rPr>
            <w:noProof/>
            <w:webHidden/>
          </w:rPr>
          <w:fldChar w:fldCharType="end"/>
        </w:r>
      </w:hyperlink>
    </w:p>
    <w:p w14:paraId="3B257D9D" w14:textId="029A7062"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3" w:history="1">
        <w:r w:rsidRPr="007C6FC5">
          <w:rPr>
            <w:rStyle w:val="Hyperlink"/>
            <w:noProof/>
          </w:rPr>
          <w:t>D.</w:t>
        </w:r>
        <w:r>
          <w:rPr>
            <w:rFonts w:asciiTheme="minorHAnsi" w:eastAsiaTheme="minorEastAsia" w:hAnsiTheme="minorHAnsi" w:cstheme="minorBidi"/>
            <w:smallCaps w:val="0"/>
            <w:noProof/>
            <w:kern w:val="2"/>
            <w:szCs w:val="24"/>
            <w14:ligatures w14:val="standardContextual"/>
          </w:rPr>
          <w:tab/>
        </w:r>
        <w:r w:rsidRPr="007C6FC5">
          <w:rPr>
            <w:rStyle w:val="Hyperlink"/>
            <w:noProof/>
          </w:rPr>
          <w:t>Application Content</w:t>
        </w:r>
        <w:r>
          <w:rPr>
            <w:noProof/>
            <w:webHidden/>
          </w:rPr>
          <w:tab/>
        </w:r>
        <w:r>
          <w:rPr>
            <w:noProof/>
            <w:webHidden/>
          </w:rPr>
          <w:fldChar w:fldCharType="begin"/>
        </w:r>
        <w:r>
          <w:rPr>
            <w:noProof/>
            <w:webHidden/>
          </w:rPr>
          <w:instrText xml:space="preserve"> PAGEREF _Toc184829633 \h </w:instrText>
        </w:r>
        <w:r>
          <w:rPr>
            <w:noProof/>
            <w:webHidden/>
          </w:rPr>
        </w:r>
        <w:r>
          <w:rPr>
            <w:noProof/>
            <w:webHidden/>
          </w:rPr>
          <w:fldChar w:fldCharType="separate"/>
        </w:r>
        <w:r w:rsidR="00BA7552">
          <w:rPr>
            <w:noProof/>
            <w:webHidden/>
          </w:rPr>
          <w:t>53</w:t>
        </w:r>
        <w:r>
          <w:rPr>
            <w:noProof/>
            <w:webHidden/>
          </w:rPr>
          <w:fldChar w:fldCharType="end"/>
        </w:r>
      </w:hyperlink>
    </w:p>
    <w:p w14:paraId="2850B81E" w14:textId="3729AD0A" w:rsidR="008C7A88" w:rsidRDefault="008C7A88">
      <w:pPr>
        <w:pStyle w:val="TOC1"/>
        <w:rPr>
          <w:rFonts w:asciiTheme="minorHAnsi" w:eastAsiaTheme="minorEastAsia" w:hAnsiTheme="minorHAnsi" w:cstheme="minorBidi"/>
          <w:b w:val="0"/>
          <w:bCs w:val="0"/>
          <w:caps w:val="0"/>
          <w:noProof/>
          <w:kern w:val="2"/>
          <w:szCs w:val="24"/>
          <w14:ligatures w14:val="standardContextual"/>
        </w:rPr>
      </w:pPr>
      <w:hyperlink w:anchor="_Toc184829634" w:history="1">
        <w:r w:rsidRPr="007C6FC5">
          <w:rPr>
            <w:rStyle w:val="Hyperlink"/>
            <w:noProof/>
          </w:rPr>
          <w:t>IV.</w:t>
        </w:r>
        <w:r>
          <w:rPr>
            <w:rFonts w:asciiTheme="minorHAnsi" w:eastAsiaTheme="minorEastAsia" w:hAnsiTheme="minorHAnsi" w:cstheme="minorBidi"/>
            <w:b w:val="0"/>
            <w:bCs w:val="0"/>
            <w:caps w:val="0"/>
            <w:noProof/>
            <w:kern w:val="2"/>
            <w:szCs w:val="24"/>
            <w14:ligatures w14:val="standardContextual"/>
          </w:rPr>
          <w:tab/>
        </w:r>
        <w:r w:rsidRPr="007C6FC5">
          <w:rPr>
            <w:rStyle w:val="Hyperlink"/>
            <w:noProof/>
          </w:rPr>
          <w:t>Evaluation Process and Criteria</w:t>
        </w:r>
        <w:r>
          <w:rPr>
            <w:noProof/>
            <w:webHidden/>
          </w:rPr>
          <w:tab/>
        </w:r>
        <w:r>
          <w:rPr>
            <w:noProof/>
            <w:webHidden/>
          </w:rPr>
          <w:fldChar w:fldCharType="begin"/>
        </w:r>
        <w:r>
          <w:rPr>
            <w:noProof/>
            <w:webHidden/>
          </w:rPr>
          <w:instrText xml:space="preserve"> PAGEREF _Toc184829634 \h </w:instrText>
        </w:r>
        <w:r>
          <w:rPr>
            <w:noProof/>
            <w:webHidden/>
          </w:rPr>
        </w:r>
        <w:r>
          <w:rPr>
            <w:noProof/>
            <w:webHidden/>
          </w:rPr>
          <w:fldChar w:fldCharType="separate"/>
        </w:r>
        <w:r w:rsidR="00BA7552">
          <w:rPr>
            <w:noProof/>
            <w:webHidden/>
          </w:rPr>
          <w:t>71</w:t>
        </w:r>
        <w:r>
          <w:rPr>
            <w:noProof/>
            <w:webHidden/>
          </w:rPr>
          <w:fldChar w:fldCharType="end"/>
        </w:r>
      </w:hyperlink>
    </w:p>
    <w:p w14:paraId="3BB426B3" w14:textId="21E86BB0"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5" w:history="1">
        <w:r w:rsidRPr="007C6FC5">
          <w:rPr>
            <w:rStyle w:val="Hyperlink"/>
            <w:noProof/>
          </w:rPr>
          <w:t>A.</w:t>
        </w:r>
        <w:r>
          <w:rPr>
            <w:rFonts w:asciiTheme="minorHAnsi" w:eastAsiaTheme="minorEastAsia" w:hAnsiTheme="minorHAnsi" w:cstheme="minorBidi"/>
            <w:smallCaps w:val="0"/>
            <w:noProof/>
            <w:kern w:val="2"/>
            <w:szCs w:val="24"/>
            <w14:ligatures w14:val="standardContextual"/>
          </w:rPr>
          <w:tab/>
        </w:r>
        <w:r w:rsidRPr="007C6FC5">
          <w:rPr>
            <w:rStyle w:val="Hyperlink"/>
            <w:noProof/>
          </w:rPr>
          <w:t>Application Evaluation</w:t>
        </w:r>
        <w:r>
          <w:rPr>
            <w:noProof/>
            <w:webHidden/>
          </w:rPr>
          <w:tab/>
        </w:r>
        <w:r>
          <w:rPr>
            <w:noProof/>
            <w:webHidden/>
          </w:rPr>
          <w:fldChar w:fldCharType="begin"/>
        </w:r>
        <w:r>
          <w:rPr>
            <w:noProof/>
            <w:webHidden/>
          </w:rPr>
          <w:instrText xml:space="preserve"> PAGEREF _Toc184829635 \h </w:instrText>
        </w:r>
        <w:r>
          <w:rPr>
            <w:noProof/>
            <w:webHidden/>
          </w:rPr>
        </w:r>
        <w:r>
          <w:rPr>
            <w:noProof/>
            <w:webHidden/>
          </w:rPr>
          <w:fldChar w:fldCharType="separate"/>
        </w:r>
        <w:r w:rsidR="00BA7552">
          <w:rPr>
            <w:noProof/>
            <w:webHidden/>
          </w:rPr>
          <w:t>71</w:t>
        </w:r>
        <w:r>
          <w:rPr>
            <w:noProof/>
            <w:webHidden/>
          </w:rPr>
          <w:fldChar w:fldCharType="end"/>
        </w:r>
      </w:hyperlink>
    </w:p>
    <w:p w14:paraId="093D65AA" w14:textId="4B4DDBC3"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6" w:history="1">
        <w:r w:rsidRPr="007C6FC5">
          <w:rPr>
            <w:rStyle w:val="Hyperlink"/>
            <w:noProof/>
          </w:rPr>
          <w:t>B.</w:t>
        </w:r>
        <w:r>
          <w:rPr>
            <w:rFonts w:asciiTheme="minorHAnsi" w:eastAsiaTheme="minorEastAsia" w:hAnsiTheme="minorHAnsi" w:cstheme="minorBidi"/>
            <w:smallCaps w:val="0"/>
            <w:noProof/>
            <w:kern w:val="2"/>
            <w:szCs w:val="24"/>
            <w14:ligatures w14:val="standardContextual"/>
          </w:rPr>
          <w:tab/>
        </w:r>
        <w:r w:rsidRPr="007C6FC5">
          <w:rPr>
            <w:rStyle w:val="Hyperlink"/>
            <w:noProof/>
          </w:rPr>
          <w:t>Notice of Proposed Awards</w:t>
        </w:r>
        <w:r>
          <w:rPr>
            <w:noProof/>
            <w:webHidden/>
          </w:rPr>
          <w:tab/>
        </w:r>
        <w:r>
          <w:rPr>
            <w:noProof/>
            <w:webHidden/>
          </w:rPr>
          <w:fldChar w:fldCharType="begin"/>
        </w:r>
        <w:r>
          <w:rPr>
            <w:noProof/>
            <w:webHidden/>
          </w:rPr>
          <w:instrText xml:space="preserve"> PAGEREF _Toc184829636 \h </w:instrText>
        </w:r>
        <w:r>
          <w:rPr>
            <w:noProof/>
            <w:webHidden/>
          </w:rPr>
        </w:r>
        <w:r>
          <w:rPr>
            <w:noProof/>
            <w:webHidden/>
          </w:rPr>
          <w:fldChar w:fldCharType="separate"/>
        </w:r>
        <w:r w:rsidR="00BA7552">
          <w:rPr>
            <w:noProof/>
            <w:webHidden/>
          </w:rPr>
          <w:t>73</w:t>
        </w:r>
        <w:r>
          <w:rPr>
            <w:noProof/>
            <w:webHidden/>
          </w:rPr>
          <w:fldChar w:fldCharType="end"/>
        </w:r>
      </w:hyperlink>
    </w:p>
    <w:p w14:paraId="1371ECEC" w14:textId="7CDB4BEC"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7" w:history="1">
        <w:r w:rsidRPr="007C6FC5">
          <w:rPr>
            <w:rStyle w:val="Hyperlink"/>
            <w:noProof/>
          </w:rPr>
          <w:t>C.</w:t>
        </w:r>
        <w:r>
          <w:rPr>
            <w:rFonts w:asciiTheme="minorHAnsi" w:eastAsiaTheme="minorEastAsia" w:hAnsiTheme="minorHAnsi" w:cstheme="minorBidi"/>
            <w:smallCaps w:val="0"/>
            <w:noProof/>
            <w:kern w:val="2"/>
            <w:szCs w:val="24"/>
            <w14:ligatures w14:val="standardContextual"/>
          </w:rPr>
          <w:tab/>
        </w:r>
        <w:r w:rsidRPr="007C6FC5">
          <w:rPr>
            <w:rStyle w:val="Hyperlink"/>
            <w:noProof/>
          </w:rPr>
          <w:t>Debriefings</w:t>
        </w:r>
        <w:r>
          <w:rPr>
            <w:noProof/>
            <w:webHidden/>
          </w:rPr>
          <w:tab/>
        </w:r>
        <w:r>
          <w:rPr>
            <w:noProof/>
            <w:webHidden/>
          </w:rPr>
          <w:fldChar w:fldCharType="begin"/>
        </w:r>
        <w:r>
          <w:rPr>
            <w:noProof/>
            <w:webHidden/>
          </w:rPr>
          <w:instrText xml:space="preserve"> PAGEREF _Toc184829637 \h </w:instrText>
        </w:r>
        <w:r>
          <w:rPr>
            <w:noProof/>
            <w:webHidden/>
          </w:rPr>
        </w:r>
        <w:r>
          <w:rPr>
            <w:noProof/>
            <w:webHidden/>
          </w:rPr>
          <w:fldChar w:fldCharType="separate"/>
        </w:r>
        <w:r w:rsidR="00BA7552">
          <w:rPr>
            <w:noProof/>
            <w:webHidden/>
          </w:rPr>
          <w:t>74</w:t>
        </w:r>
        <w:r>
          <w:rPr>
            <w:noProof/>
            <w:webHidden/>
          </w:rPr>
          <w:fldChar w:fldCharType="end"/>
        </w:r>
      </w:hyperlink>
    </w:p>
    <w:p w14:paraId="149ADC20" w14:textId="7C66417E"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8" w:history="1">
        <w:r w:rsidRPr="007C6FC5">
          <w:rPr>
            <w:rStyle w:val="Hyperlink"/>
            <w:noProof/>
          </w:rPr>
          <w:t>D.</w:t>
        </w:r>
        <w:r>
          <w:rPr>
            <w:rFonts w:asciiTheme="minorHAnsi" w:eastAsiaTheme="minorEastAsia" w:hAnsiTheme="minorHAnsi" w:cstheme="minorBidi"/>
            <w:smallCaps w:val="0"/>
            <w:noProof/>
            <w:kern w:val="2"/>
            <w:szCs w:val="24"/>
            <w14:ligatures w14:val="standardContextual"/>
          </w:rPr>
          <w:tab/>
        </w:r>
        <w:r w:rsidRPr="007C6FC5">
          <w:rPr>
            <w:rStyle w:val="Hyperlink"/>
            <w:noProof/>
          </w:rPr>
          <w:t>Scoring Scale</w:t>
        </w:r>
        <w:r>
          <w:rPr>
            <w:noProof/>
            <w:webHidden/>
          </w:rPr>
          <w:tab/>
        </w:r>
        <w:r>
          <w:rPr>
            <w:noProof/>
            <w:webHidden/>
          </w:rPr>
          <w:fldChar w:fldCharType="begin"/>
        </w:r>
        <w:r>
          <w:rPr>
            <w:noProof/>
            <w:webHidden/>
          </w:rPr>
          <w:instrText xml:space="preserve"> PAGEREF _Toc184829638 \h </w:instrText>
        </w:r>
        <w:r>
          <w:rPr>
            <w:noProof/>
            <w:webHidden/>
          </w:rPr>
        </w:r>
        <w:r>
          <w:rPr>
            <w:noProof/>
            <w:webHidden/>
          </w:rPr>
          <w:fldChar w:fldCharType="separate"/>
        </w:r>
        <w:r w:rsidR="00BA7552">
          <w:rPr>
            <w:noProof/>
            <w:webHidden/>
          </w:rPr>
          <w:t>74</w:t>
        </w:r>
        <w:r>
          <w:rPr>
            <w:noProof/>
            <w:webHidden/>
          </w:rPr>
          <w:fldChar w:fldCharType="end"/>
        </w:r>
      </w:hyperlink>
    </w:p>
    <w:p w14:paraId="13FB688E" w14:textId="797CAABD"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39" w:history="1">
        <w:r w:rsidRPr="007C6FC5">
          <w:rPr>
            <w:rStyle w:val="Hyperlink"/>
            <w:noProof/>
          </w:rPr>
          <w:t>E.</w:t>
        </w:r>
        <w:r>
          <w:rPr>
            <w:rFonts w:asciiTheme="minorHAnsi" w:eastAsiaTheme="minorEastAsia" w:hAnsiTheme="minorHAnsi" w:cstheme="minorBidi"/>
            <w:smallCaps w:val="0"/>
            <w:noProof/>
            <w:kern w:val="2"/>
            <w:szCs w:val="24"/>
            <w14:ligatures w14:val="standardContextual"/>
          </w:rPr>
          <w:tab/>
        </w:r>
        <w:r w:rsidRPr="007C6FC5">
          <w:rPr>
            <w:rStyle w:val="Hyperlink"/>
            <w:noProof/>
          </w:rPr>
          <w:t>Evaluation Criteria</w:t>
        </w:r>
        <w:r>
          <w:rPr>
            <w:noProof/>
            <w:webHidden/>
          </w:rPr>
          <w:tab/>
        </w:r>
        <w:r>
          <w:rPr>
            <w:noProof/>
            <w:webHidden/>
          </w:rPr>
          <w:fldChar w:fldCharType="begin"/>
        </w:r>
        <w:r>
          <w:rPr>
            <w:noProof/>
            <w:webHidden/>
          </w:rPr>
          <w:instrText xml:space="preserve"> PAGEREF _Toc184829639 \h </w:instrText>
        </w:r>
        <w:r>
          <w:rPr>
            <w:noProof/>
            <w:webHidden/>
          </w:rPr>
        </w:r>
        <w:r>
          <w:rPr>
            <w:noProof/>
            <w:webHidden/>
          </w:rPr>
          <w:fldChar w:fldCharType="separate"/>
        </w:r>
        <w:r w:rsidR="00BA7552">
          <w:rPr>
            <w:noProof/>
            <w:webHidden/>
          </w:rPr>
          <w:t>75</w:t>
        </w:r>
        <w:r>
          <w:rPr>
            <w:noProof/>
            <w:webHidden/>
          </w:rPr>
          <w:fldChar w:fldCharType="end"/>
        </w:r>
      </w:hyperlink>
    </w:p>
    <w:p w14:paraId="2EE6DA84" w14:textId="1B75F1CB"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0" w:history="1">
        <w:r w:rsidRPr="007C6FC5">
          <w:rPr>
            <w:rStyle w:val="Hyperlink"/>
            <w:noProof/>
          </w:rPr>
          <w:t>F.</w:t>
        </w:r>
        <w:r>
          <w:rPr>
            <w:rFonts w:asciiTheme="minorHAnsi" w:eastAsiaTheme="minorEastAsia" w:hAnsiTheme="minorHAnsi" w:cstheme="minorBidi"/>
            <w:smallCaps w:val="0"/>
            <w:noProof/>
            <w:kern w:val="2"/>
            <w:szCs w:val="24"/>
            <w14:ligatures w14:val="standardContextual"/>
          </w:rPr>
          <w:tab/>
        </w:r>
        <w:r w:rsidRPr="007C6FC5">
          <w:rPr>
            <w:rStyle w:val="Hyperlink"/>
            <w:noProof/>
          </w:rPr>
          <w:t>Tie Breakers</w:t>
        </w:r>
        <w:r>
          <w:rPr>
            <w:noProof/>
            <w:webHidden/>
          </w:rPr>
          <w:tab/>
        </w:r>
        <w:r>
          <w:rPr>
            <w:noProof/>
            <w:webHidden/>
          </w:rPr>
          <w:fldChar w:fldCharType="begin"/>
        </w:r>
        <w:r>
          <w:rPr>
            <w:noProof/>
            <w:webHidden/>
          </w:rPr>
          <w:instrText xml:space="preserve"> PAGEREF _Toc184829640 \h </w:instrText>
        </w:r>
        <w:r>
          <w:rPr>
            <w:noProof/>
            <w:webHidden/>
          </w:rPr>
        </w:r>
        <w:r>
          <w:rPr>
            <w:noProof/>
            <w:webHidden/>
          </w:rPr>
          <w:fldChar w:fldCharType="separate"/>
        </w:r>
        <w:r w:rsidR="00BA7552">
          <w:rPr>
            <w:noProof/>
            <w:webHidden/>
          </w:rPr>
          <w:t>80</w:t>
        </w:r>
        <w:r>
          <w:rPr>
            <w:noProof/>
            <w:webHidden/>
          </w:rPr>
          <w:fldChar w:fldCharType="end"/>
        </w:r>
      </w:hyperlink>
    </w:p>
    <w:p w14:paraId="6959C601" w14:textId="4AC50E14" w:rsidR="008C7A88" w:rsidRDefault="008C7A88">
      <w:pPr>
        <w:pStyle w:val="TOC1"/>
        <w:rPr>
          <w:rFonts w:asciiTheme="minorHAnsi" w:eastAsiaTheme="minorEastAsia" w:hAnsiTheme="minorHAnsi" w:cstheme="minorBidi"/>
          <w:b w:val="0"/>
          <w:bCs w:val="0"/>
          <w:caps w:val="0"/>
          <w:noProof/>
          <w:kern w:val="2"/>
          <w:szCs w:val="24"/>
          <w14:ligatures w14:val="standardContextual"/>
        </w:rPr>
      </w:pPr>
      <w:hyperlink w:anchor="_Toc184829641" w:history="1">
        <w:r w:rsidRPr="007C6FC5">
          <w:rPr>
            <w:rStyle w:val="Hyperlink"/>
            <w:noProof/>
          </w:rPr>
          <w:t>V.</w:t>
        </w:r>
        <w:r>
          <w:rPr>
            <w:rFonts w:asciiTheme="minorHAnsi" w:eastAsiaTheme="minorEastAsia" w:hAnsiTheme="minorHAnsi" w:cstheme="minorBidi"/>
            <w:b w:val="0"/>
            <w:bCs w:val="0"/>
            <w:caps w:val="0"/>
            <w:noProof/>
            <w:kern w:val="2"/>
            <w:szCs w:val="24"/>
            <w14:ligatures w14:val="standardContextual"/>
          </w:rPr>
          <w:tab/>
        </w:r>
        <w:r w:rsidRPr="007C6FC5">
          <w:rPr>
            <w:rStyle w:val="Hyperlink"/>
            <w:noProof/>
          </w:rPr>
          <w:t>Administration</w:t>
        </w:r>
        <w:r>
          <w:rPr>
            <w:noProof/>
            <w:webHidden/>
          </w:rPr>
          <w:tab/>
        </w:r>
        <w:r>
          <w:rPr>
            <w:noProof/>
            <w:webHidden/>
          </w:rPr>
          <w:fldChar w:fldCharType="begin"/>
        </w:r>
        <w:r>
          <w:rPr>
            <w:noProof/>
            <w:webHidden/>
          </w:rPr>
          <w:instrText xml:space="preserve"> PAGEREF _Toc184829641 \h </w:instrText>
        </w:r>
        <w:r>
          <w:rPr>
            <w:noProof/>
            <w:webHidden/>
          </w:rPr>
        </w:r>
        <w:r>
          <w:rPr>
            <w:noProof/>
            <w:webHidden/>
          </w:rPr>
          <w:fldChar w:fldCharType="separate"/>
        </w:r>
        <w:r w:rsidR="00BA7552">
          <w:rPr>
            <w:noProof/>
            <w:webHidden/>
          </w:rPr>
          <w:t>81</w:t>
        </w:r>
        <w:r>
          <w:rPr>
            <w:noProof/>
            <w:webHidden/>
          </w:rPr>
          <w:fldChar w:fldCharType="end"/>
        </w:r>
      </w:hyperlink>
    </w:p>
    <w:p w14:paraId="340DFC37" w14:textId="62551D14"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2" w:history="1">
        <w:r w:rsidRPr="007C6FC5">
          <w:rPr>
            <w:rStyle w:val="Hyperlink"/>
            <w:noProof/>
          </w:rPr>
          <w:t>A.</w:t>
        </w:r>
        <w:r>
          <w:rPr>
            <w:rFonts w:asciiTheme="minorHAnsi" w:eastAsiaTheme="minorEastAsia" w:hAnsiTheme="minorHAnsi" w:cstheme="minorBidi"/>
            <w:smallCaps w:val="0"/>
            <w:noProof/>
            <w:kern w:val="2"/>
            <w:szCs w:val="24"/>
            <w14:ligatures w14:val="standardContextual"/>
          </w:rPr>
          <w:tab/>
        </w:r>
        <w:r w:rsidRPr="007C6FC5">
          <w:rPr>
            <w:rStyle w:val="Hyperlink"/>
            <w:noProof/>
          </w:rPr>
          <w:t>Definition of Key Words</w:t>
        </w:r>
        <w:r>
          <w:rPr>
            <w:noProof/>
            <w:webHidden/>
          </w:rPr>
          <w:tab/>
        </w:r>
        <w:r>
          <w:rPr>
            <w:noProof/>
            <w:webHidden/>
          </w:rPr>
          <w:fldChar w:fldCharType="begin"/>
        </w:r>
        <w:r>
          <w:rPr>
            <w:noProof/>
            <w:webHidden/>
          </w:rPr>
          <w:instrText xml:space="preserve"> PAGEREF _Toc184829642 \h </w:instrText>
        </w:r>
        <w:r>
          <w:rPr>
            <w:noProof/>
            <w:webHidden/>
          </w:rPr>
        </w:r>
        <w:r>
          <w:rPr>
            <w:noProof/>
            <w:webHidden/>
          </w:rPr>
          <w:fldChar w:fldCharType="separate"/>
        </w:r>
        <w:r w:rsidR="00BA7552">
          <w:rPr>
            <w:noProof/>
            <w:webHidden/>
          </w:rPr>
          <w:t>81</w:t>
        </w:r>
        <w:r>
          <w:rPr>
            <w:noProof/>
            <w:webHidden/>
          </w:rPr>
          <w:fldChar w:fldCharType="end"/>
        </w:r>
      </w:hyperlink>
    </w:p>
    <w:p w14:paraId="17919A62" w14:textId="6609E168"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3" w:history="1">
        <w:r w:rsidRPr="007C6FC5">
          <w:rPr>
            <w:rStyle w:val="Hyperlink"/>
            <w:noProof/>
          </w:rPr>
          <w:t>B.</w:t>
        </w:r>
        <w:r>
          <w:rPr>
            <w:rFonts w:asciiTheme="minorHAnsi" w:eastAsiaTheme="minorEastAsia" w:hAnsiTheme="minorHAnsi" w:cstheme="minorBidi"/>
            <w:smallCaps w:val="0"/>
            <w:noProof/>
            <w:kern w:val="2"/>
            <w:szCs w:val="24"/>
            <w14:ligatures w14:val="standardContextual"/>
          </w:rPr>
          <w:tab/>
        </w:r>
        <w:r w:rsidRPr="007C6FC5">
          <w:rPr>
            <w:rStyle w:val="Hyperlink"/>
            <w:noProof/>
          </w:rPr>
          <w:t>Cost of Developing Application</w:t>
        </w:r>
        <w:r>
          <w:rPr>
            <w:noProof/>
            <w:webHidden/>
          </w:rPr>
          <w:tab/>
        </w:r>
        <w:r>
          <w:rPr>
            <w:noProof/>
            <w:webHidden/>
          </w:rPr>
          <w:fldChar w:fldCharType="begin"/>
        </w:r>
        <w:r>
          <w:rPr>
            <w:noProof/>
            <w:webHidden/>
          </w:rPr>
          <w:instrText xml:space="preserve"> PAGEREF _Toc184829643 \h </w:instrText>
        </w:r>
        <w:r>
          <w:rPr>
            <w:noProof/>
            <w:webHidden/>
          </w:rPr>
        </w:r>
        <w:r>
          <w:rPr>
            <w:noProof/>
            <w:webHidden/>
          </w:rPr>
          <w:fldChar w:fldCharType="separate"/>
        </w:r>
        <w:r w:rsidR="00BA7552">
          <w:rPr>
            <w:noProof/>
            <w:webHidden/>
          </w:rPr>
          <w:t>86</w:t>
        </w:r>
        <w:r>
          <w:rPr>
            <w:noProof/>
            <w:webHidden/>
          </w:rPr>
          <w:fldChar w:fldCharType="end"/>
        </w:r>
      </w:hyperlink>
    </w:p>
    <w:p w14:paraId="47DC5141" w14:textId="64ED4871"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4" w:history="1">
        <w:r w:rsidRPr="007C6FC5">
          <w:rPr>
            <w:rStyle w:val="Hyperlink"/>
            <w:noProof/>
          </w:rPr>
          <w:t>C.</w:t>
        </w:r>
        <w:r>
          <w:rPr>
            <w:rFonts w:asciiTheme="minorHAnsi" w:eastAsiaTheme="minorEastAsia" w:hAnsiTheme="minorHAnsi" w:cstheme="minorBidi"/>
            <w:smallCaps w:val="0"/>
            <w:noProof/>
            <w:kern w:val="2"/>
            <w:szCs w:val="24"/>
            <w14:ligatures w14:val="standardContextual"/>
          </w:rPr>
          <w:tab/>
        </w:r>
        <w:r w:rsidRPr="007C6FC5">
          <w:rPr>
            <w:rStyle w:val="Hyperlink"/>
            <w:noProof/>
          </w:rPr>
          <w:t>Confidential Information</w:t>
        </w:r>
        <w:r>
          <w:rPr>
            <w:noProof/>
            <w:webHidden/>
          </w:rPr>
          <w:tab/>
        </w:r>
        <w:r>
          <w:rPr>
            <w:noProof/>
            <w:webHidden/>
          </w:rPr>
          <w:fldChar w:fldCharType="begin"/>
        </w:r>
        <w:r>
          <w:rPr>
            <w:noProof/>
            <w:webHidden/>
          </w:rPr>
          <w:instrText xml:space="preserve"> PAGEREF _Toc184829644 \h </w:instrText>
        </w:r>
        <w:r>
          <w:rPr>
            <w:noProof/>
            <w:webHidden/>
          </w:rPr>
        </w:r>
        <w:r>
          <w:rPr>
            <w:noProof/>
            <w:webHidden/>
          </w:rPr>
          <w:fldChar w:fldCharType="separate"/>
        </w:r>
        <w:r w:rsidR="00BA7552">
          <w:rPr>
            <w:noProof/>
            <w:webHidden/>
          </w:rPr>
          <w:t>86</w:t>
        </w:r>
        <w:r>
          <w:rPr>
            <w:noProof/>
            <w:webHidden/>
          </w:rPr>
          <w:fldChar w:fldCharType="end"/>
        </w:r>
      </w:hyperlink>
    </w:p>
    <w:p w14:paraId="6A261888" w14:textId="5187109B"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5" w:history="1">
        <w:r w:rsidRPr="007C6FC5">
          <w:rPr>
            <w:rStyle w:val="Hyperlink"/>
            <w:noProof/>
          </w:rPr>
          <w:t>D.</w:t>
        </w:r>
        <w:r>
          <w:rPr>
            <w:rFonts w:asciiTheme="minorHAnsi" w:eastAsiaTheme="minorEastAsia" w:hAnsiTheme="minorHAnsi" w:cstheme="minorBidi"/>
            <w:smallCaps w:val="0"/>
            <w:noProof/>
            <w:kern w:val="2"/>
            <w:szCs w:val="24"/>
            <w14:ligatures w14:val="standardContextual"/>
          </w:rPr>
          <w:tab/>
        </w:r>
        <w:r w:rsidRPr="007C6FC5">
          <w:rPr>
            <w:rStyle w:val="Hyperlink"/>
            <w:noProof/>
          </w:rPr>
          <w:t>Solicitation Cancellation and Amendments</w:t>
        </w:r>
        <w:r>
          <w:rPr>
            <w:noProof/>
            <w:webHidden/>
          </w:rPr>
          <w:tab/>
        </w:r>
        <w:r>
          <w:rPr>
            <w:noProof/>
            <w:webHidden/>
          </w:rPr>
          <w:fldChar w:fldCharType="begin"/>
        </w:r>
        <w:r>
          <w:rPr>
            <w:noProof/>
            <w:webHidden/>
          </w:rPr>
          <w:instrText xml:space="preserve"> PAGEREF _Toc184829645 \h </w:instrText>
        </w:r>
        <w:r>
          <w:rPr>
            <w:noProof/>
            <w:webHidden/>
          </w:rPr>
        </w:r>
        <w:r>
          <w:rPr>
            <w:noProof/>
            <w:webHidden/>
          </w:rPr>
          <w:fldChar w:fldCharType="separate"/>
        </w:r>
        <w:r w:rsidR="00BA7552">
          <w:rPr>
            <w:noProof/>
            <w:webHidden/>
          </w:rPr>
          <w:t>86</w:t>
        </w:r>
        <w:r>
          <w:rPr>
            <w:noProof/>
            <w:webHidden/>
          </w:rPr>
          <w:fldChar w:fldCharType="end"/>
        </w:r>
      </w:hyperlink>
    </w:p>
    <w:p w14:paraId="52880527" w14:textId="2D6585B1"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6" w:history="1">
        <w:r w:rsidRPr="007C6FC5">
          <w:rPr>
            <w:rStyle w:val="Hyperlink"/>
            <w:noProof/>
          </w:rPr>
          <w:t>E.</w:t>
        </w:r>
        <w:r>
          <w:rPr>
            <w:rFonts w:asciiTheme="minorHAnsi" w:eastAsiaTheme="minorEastAsia" w:hAnsiTheme="minorHAnsi" w:cstheme="minorBidi"/>
            <w:smallCaps w:val="0"/>
            <w:noProof/>
            <w:kern w:val="2"/>
            <w:szCs w:val="24"/>
            <w14:ligatures w14:val="standardContextual"/>
          </w:rPr>
          <w:tab/>
        </w:r>
        <w:r w:rsidRPr="007C6FC5">
          <w:rPr>
            <w:rStyle w:val="Hyperlink"/>
            <w:noProof/>
          </w:rPr>
          <w:t>Errors</w:t>
        </w:r>
        <w:r>
          <w:rPr>
            <w:noProof/>
            <w:webHidden/>
          </w:rPr>
          <w:tab/>
        </w:r>
        <w:r>
          <w:rPr>
            <w:noProof/>
            <w:webHidden/>
          </w:rPr>
          <w:fldChar w:fldCharType="begin"/>
        </w:r>
        <w:r>
          <w:rPr>
            <w:noProof/>
            <w:webHidden/>
          </w:rPr>
          <w:instrText xml:space="preserve"> PAGEREF _Toc184829646 \h </w:instrText>
        </w:r>
        <w:r>
          <w:rPr>
            <w:noProof/>
            <w:webHidden/>
          </w:rPr>
        </w:r>
        <w:r>
          <w:rPr>
            <w:noProof/>
            <w:webHidden/>
          </w:rPr>
          <w:fldChar w:fldCharType="separate"/>
        </w:r>
        <w:r w:rsidR="00BA7552">
          <w:rPr>
            <w:noProof/>
            <w:webHidden/>
          </w:rPr>
          <w:t>86</w:t>
        </w:r>
        <w:r>
          <w:rPr>
            <w:noProof/>
            <w:webHidden/>
          </w:rPr>
          <w:fldChar w:fldCharType="end"/>
        </w:r>
      </w:hyperlink>
    </w:p>
    <w:p w14:paraId="473A8AA6" w14:textId="50C705E4"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7" w:history="1">
        <w:r w:rsidRPr="007C6FC5">
          <w:rPr>
            <w:rStyle w:val="Hyperlink"/>
            <w:noProof/>
          </w:rPr>
          <w:t>F.</w:t>
        </w:r>
        <w:r>
          <w:rPr>
            <w:rFonts w:asciiTheme="minorHAnsi" w:eastAsiaTheme="minorEastAsia" w:hAnsiTheme="minorHAnsi" w:cstheme="minorBidi"/>
            <w:smallCaps w:val="0"/>
            <w:noProof/>
            <w:kern w:val="2"/>
            <w:szCs w:val="24"/>
            <w14:ligatures w14:val="standardContextual"/>
          </w:rPr>
          <w:tab/>
        </w:r>
        <w:r w:rsidRPr="007C6FC5">
          <w:rPr>
            <w:rStyle w:val="Hyperlink"/>
            <w:noProof/>
          </w:rPr>
          <w:t>Modifying or Recalling an Application</w:t>
        </w:r>
        <w:r>
          <w:rPr>
            <w:noProof/>
            <w:webHidden/>
          </w:rPr>
          <w:tab/>
        </w:r>
        <w:r>
          <w:rPr>
            <w:noProof/>
            <w:webHidden/>
          </w:rPr>
          <w:fldChar w:fldCharType="begin"/>
        </w:r>
        <w:r>
          <w:rPr>
            <w:noProof/>
            <w:webHidden/>
          </w:rPr>
          <w:instrText xml:space="preserve"> PAGEREF _Toc184829647 \h </w:instrText>
        </w:r>
        <w:r>
          <w:rPr>
            <w:noProof/>
            <w:webHidden/>
          </w:rPr>
        </w:r>
        <w:r>
          <w:rPr>
            <w:noProof/>
            <w:webHidden/>
          </w:rPr>
          <w:fldChar w:fldCharType="separate"/>
        </w:r>
        <w:r w:rsidR="00BA7552">
          <w:rPr>
            <w:noProof/>
            <w:webHidden/>
          </w:rPr>
          <w:t>87</w:t>
        </w:r>
        <w:r>
          <w:rPr>
            <w:noProof/>
            <w:webHidden/>
          </w:rPr>
          <w:fldChar w:fldCharType="end"/>
        </w:r>
      </w:hyperlink>
    </w:p>
    <w:p w14:paraId="2BE5E835" w14:textId="19F8C6C3"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8" w:history="1">
        <w:r w:rsidRPr="007C6FC5">
          <w:rPr>
            <w:rStyle w:val="Hyperlink"/>
            <w:noProof/>
          </w:rPr>
          <w:t>G.</w:t>
        </w:r>
        <w:r>
          <w:rPr>
            <w:rFonts w:asciiTheme="minorHAnsi" w:eastAsiaTheme="minorEastAsia" w:hAnsiTheme="minorHAnsi" w:cstheme="minorBidi"/>
            <w:smallCaps w:val="0"/>
            <w:noProof/>
            <w:kern w:val="2"/>
            <w:szCs w:val="24"/>
            <w14:ligatures w14:val="standardContextual"/>
          </w:rPr>
          <w:tab/>
        </w:r>
        <w:r w:rsidRPr="007C6FC5">
          <w:rPr>
            <w:rStyle w:val="Hyperlink"/>
            <w:noProof/>
          </w:rPr>
          <w:t>Immaterial Defect</w:t>
        </w:r>
        <w:r>
          <w:rPr>
            <w:noProof/>
            <w:webHidden/>
          </w:rPr>
          <w:tab/>
        </w:r>
        <w:r>
          <w:rPr>
            <w:noProof/>
            <w:webHidden/>
          </w:rPr>
          <w:fldChar w:fldCharType="begin"/>
        </w:r>
        <w:r>
          <w:rPr>
            <w:noProof/>
            <w:webHidden/>
          </w:rPr>
          <w:instrText xml:space="preserve"> PAGEREF _Toc184829648 \h </w:instrText>
        </w:r>
        <w:r>
          <w:rPr>
            <w:noProof/>
            <w:webHidden/>
          </w:rPr>
        </w:r>
        <w:r>
          <w:rPr>
            <w:noProof/>
            <w:webHidden/>
          </w:rPr>
          <w:fldChar w:fldCharType="separate"/>
        </w:r>
        <w:r w:rsidR="00BA7552">
          <w:rPr>
            <w:noProof/>
            <w:webHidden/>
          </w:rPr>
          <w:t>87</w:t>
        </w:r>
        <w:r>
          <w:rPr>
            <w:noProof/>
            <w:webHidden/>
          </w:rPr>
          <w:fldChar w:fldCharType="end"/>
        </w:r>
      </w:hyperlink>
    </w:p>
    <w:p w14:paraId="2E0A144B" w14:textId="04228A52"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49" w:history="1">
        <w:r w:rsidRPr="007C6FC5">
          <w:rPr>
            <w:rStyle w:val="Hyperlink"/>
            <w:noProof/>
          </w:rPr>
          <w:t>H.</w:t>
        </w:r>
        <w:r>
          <w:rPr>
            <w:rFonts w:asciiTheme="minorHAnsi" w:eastAsiaTheme="minorEastAsia" w:hAnsiTheme="minorHAnsi" w:cstheme="minorBidi"/>
            <w:smallCaps w:val="0"/>
            <w:noProof/>
            <w:kern w:val="2"/>
            <w:szCs w:val="24"/>
            <w14:ligatures w14:val="standardContextual"/>
          </w:rPr>
          <w:tab/>
        </w:r>
        <w:r w:rsidRPr="007C6FC5">
          <w:rPr>
            <w:rStyle w:val="Hyperlink"/>
            <w:noProof/>
          </w:rPr>
          <w:t>Opportunity to Cure Administrative Errors</w:t>
        </w:r>
        <w:r>
          <w:rPr>
            <w:noProof/>
            <w:webHidden/>
          </w:rPr>
          <w:tab/>
        </w:r>
        <w:r>
          <w:rPr>
            <w:noProof/>
            <w:webHidden/>
          </w:rPr>
          <w:fldChar w:fldCharType="begin"/>
        </w:r>
        <w:r>
          <w:rPr>
            <w:noProof/>
            <w:webHidden/>
          </w:rPr>
          <w:instrText xml:space="preserve"> PAGEREF _Toc184829649 \h </w:instrText>
        </w:r>
        <w:r>
          <w:rPr>
            <w:noProof/>
            <w:webHidden/>
          </w:rPr>
        </w:r>
        <w:r>
          <w:rPr>
            <w:noProof/>
            <w:webHidden/>
          </w:rPr>
          <w:fldChar w:fldCharType="separate"/>
        </w:r>
        <w:r w:rsidR="00BA7552">
          <w:rPr>
            <w:noProof/>
            <w:webHidden/>
          </w:rPr>
          <w:t>87</w:t>
        </w:r>
        <w:r>
          <w:rPr>
            <w:noProof/>
            <w:webHidden/>
          </w:rPr>
          <w:fldChar w:fldCharType="end"/>
        </w:r>
      </w:hyperlink>
    </w:p>
    <w:p w14:paraId="53B94F52" w14:textId="2813B4B4" w:rsidR="008C7A88" w:rsidRDefault="008C7A88">
      <w:pPr>
        <w:pStyle w:val="TOC2"/>
        <w:rPr>
          <w:noProof/>
        </w:rPr>
      </w:pPr>
      <w:hyperlink w:anchor="_Toc184829650" w:history="1">
        <w:r w:rsidRPr="007C6FC5">
          <w:rPr>
            <w:rStyle w:val="Hyperlink"/>
            <w:noProof/>
          </w:rPr>
          <w:t>I.</w:t>
        </w:r>
        <w:r>
          <w:rPr>
            <w:rFonts w:asciiTheme="minorHAnsi" w:eastAsiaTheme="minorEastAsia" w:hAnsiTheme="minorHAnsi" w:cstheme="minorBidi"/>
            <w:smallCaps w:val="0"/>
            <w:noProof/>
            <w:kern w:val="2"/>
            <w:szCs w:val="24"/>
            <w14:ligatures w14:val="standardContextual"/>
          </w:rPr>
          <w:tab/>
        </w:r>
        <w:r w:rsidRPr="007C6FC5">
          <w:rPr>
            <w:rStyle w:val="Hyperlink"/>
            <w:noProof/>
          </w:rPr>
          <w:t>Disposition of Applicant’s Documents</w:t>
        </w:r>
        <w:r>
          <w:rPr>
            <w:noProof/>
            <w:webHidden/>
          </w:rPr>
          <w:tab/>
        </w:r>
        <w:r>
          <w:rPr>
            <w:noProof/>
            <w:webHidden/>
          </w:rPr>
          <w:fldChar w:fldCharType="begin"/>
        </w:r>
        <w:r>
          <w:rPr>
            <w:noProof/>
            <w:webHidden/>
          </w:rPr>
          <w:instrText xml:space="preserve"> PAGEREF _Toc184829650 \h </w:instrText>
        </w:r>
        <w:r>
          <w:rPr>
            <w:noProof/>
            <w:webHidden/>
          </w:rPr>
        </w:r>
        <w:r>
          <w:rPr>
            <w:noProof/>
            <w:webHidden/>
          </w:rPr>
          <w:fldChar w:fldCharType="separate"/>
        </w:r>
        <w:r w:rsidR="00BA7552">
          <w:rPr>
            <w:noProof/>
            <w:webHidden/>
          </w:rPr>
          <w:t>88</w:t>
        </w:r>
        <w:r>
          <w:rPr>
            <w:noProof/>
            <w:webHidden/>
          </w:rPr>
          <w:fldChar w:fldCharType="end"/>
        </w:r>
      </w:hyperlink>
    </w:p>
    <w:p w14:paraId="2144E259" w14:textId="77777777" w:rsidR="00740353" w:rsidRPr="00DB0EDF" w:rsidRDefault="00740353" w:rsidP="00DB0EDF">
      <w:pPr>
        <w:rPr>
          <w:noProof/>
        </w:rPr>
      </w:pPr>
    </w:p>
    <w:p w14:paraId="4C847011" w14:textId="77777777" w:rsidR="00740353" w:rsidRPr="00DB0EDF" w:rsidRDefault="00740353" w:rsidP="00DB0EDF">
      <w:pPr>
        <w:rPr>
          <w:rFonts w:eastAsiaTheme="minorEastAsia"/>
          <w:noProof/>
        </w:rPr>
      </w:pPr>
    </w:p>
    <w:p w14:paraId="0724E0F9" w14:textId="00294825"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51" w:history="1">
        <w:r w:rsidRPr="007C6FC5">
          <w:rPr>
            <w:rStyle w:val="Hyperlink"/>
            <w:noProof/>
          </w:rPr>
          <w:t>J.</w:t>
        </w:r>
        <w:r>
          <w:rPr>
            <w:rFonts w:asciiTheme="minorHAnsi" w:eastAsiaTheme="minorEastAsia" w:hAnsiTheme="minorHAnsi" w:cstheme="minorBidi"/>
            <w:smallCaps w:val="0"/>
            <w:noProof/>
            <w:kern w:val="2"/>
            <w:szCs w:val="24"/>
            <w14:ligatures w14:val="standardContextual"/>
          </w:rPr>
          <w:tab/>
        </w:r>
        <w:r w:rsidRPr="007C6FC5">
          <w:rPr>
            <w:rStyle w:val="Hyperlink"/>
            <w:noProof/>
          </w:rPr>
          <w:t>Applicants’ Admonishment</w:t>
        </w:r>
        <w:r>
          <w:rPr>
            <w:noProof/>
            <w:webHidden/>
          </w:rPr>
          <w:tab/>
        </w:r>
        <w:r>
          <w:rPr>
            <w:noProof/>
            <w:webHidden/>
          </w:rPr>
          <w:fldChar w:fldCharType="begin"/>
        </w:r>
        <w:r>
          <w:rPr>
            <w:noProof/>
            <w:webHidden/>
          </w:rPr>
          <w:instrText xml:space="preserve"> PAGEREF _Toc184829651 \h </w:instrText>
        </w:r>
        <w:r>
          <w:rPr>
            <w:noProof/>
            <w:webHidden/>
          </w:rPr>
        </w:r>
        <w:r>
          <w:rPr>
            <w:noProof/>
            <w:webHidden/>
          </w:rPr>
          <w:fldChar w:fldCharType="separate"/>
        </w:r>
        <w:r w:rsidR="00BA7552">
          <w:rPr>
            <w:noProof/>
            <w:webHidden/>
          </w:rPr>
          <w:t>89</w:t>
        </w:r>
        <w:r>
          <w:rPr>
            <w:noProof/>
            <w:webHidden/>
          </w:rPr>
          <w:fldChar w:fldCharType="end"/>
        </w:r>
      </w:hyperlink>
    </w:p>
    <w:p w14:paraId="2CD75E51" w14:textId="4598CE56"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52" w:history="1">
        <w:r w:rsidRPr="007C6FC5">
          <w:rPr>
            <w:rStyle w:val="Hyperlink"/>
            <w:noProof/>
          </w:rPr>
          <w:t>K.</w:t>
        </w:r>
        <w:r>
          <w:rPr>
            <w:rFonts w:asciiTheme="minorHAnsi" w:eastAsiaTheme="minorEastAsia" w:hAnsiTheme="minorHAnsi" w:cstheme="minorBidi"/>
            <w:smallCaps w:val="0"/>
            <w:noProof/>
            <w:kern w:val="2"/>
            <w:szCs w:val="24"/>
            <w14:ligatures w14:val="standardContextual"/>
          </w:rPr>
          <w:tab/>
        </w:r>
        <w:r w:rsidRPr="007C6FC5">
          <w:rPr>
            <w:rStyle w:val="Hyperlink"/>
            <w:noProof/>
          </w:rPr>
          <w:t>Agreement Requirements</w:t>
        </w:r>
        <w:r>
          <w:rPr>
            <w:noProof/>
            <w:webHidden/>
          </w:rPr>
          <w:tab/>
        </w:r>
        <w:r>
          <w:rPr>
            <w:noProof/>
            <w:webHidden/>
          </w:rPr>
          <w:fldChar w:fldCharType="begin"/>
        </w:r>
        <w:r>
          <w:rPr>
            <w:noProof/>
            <w:webHidden/>
          </w:rPr>
          <w:instrText xml:space="preserve"> PAGEREF _Toc184829652 \h </w:instrText>
        </w:r>
        <w:r>
          <w:rPr>
            <w:noProof/>
            <w:webHidden/>
          </w:rPr>
        </w:r>
        <w:r>
          <w:rPr>
            <w:noProof/>
            <w:webHidden/>
          </w:rPr>
          <w:fldChar w:fldCharType="separate"/>
        </w:r>
        <w:r w:rsidR="00BA7552">
          <w:rPr>
            <w:noProof/>
            <w:webHidden/>
          </w:rPr>
          <w:t>89</w:t>
        </w:r>
        <w:r>
          <w:rPr>
            <w:noProof/>
            <w:webHidden/>
          </w:rPr>
          <w:fldChar w:fldCharType="end"/>
        </w:r>
      </w:hyperlink>
    </w:p>
    <w:p w14:paraId="5D4A0332" w14:textId="3363F87C"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53" w:history="1">
        <w:r w:rsidRPr="007C6FC5">
          <w:rPr>
            <w:rStyle w:val="Hyperlink"/>
            <w:noProof/>
          </w:rPr>
          <w:t>L.</w:t>
        </w:r>
        <w:r>
          <w:rPr>
            <w:rFonts w:asciiTheme="minorHAnsi" w:eastAsiaTheme="minorEastAsia" w:hAnsiTheme="minorHAnsi" w:cstheme="minorBidi"/>
            <w:smallCaps w:val="0"/>
            <w:noProof/>
            <w:kern w:val="2"/>
            <w:szCs w:val="24"/>
            <w14:ligatures w14:val="standardContextual"/>
          </w:rPr>
          <w:tab/>
        </w:r>
        <w:r w:rsidRPr="007C6FC5">
          <w:rPr>
            <w:rStyle w:val="Hyperlink"/>
            <w:noProof/>
          </w:rPr>
          <w:t>No Agreement Until Signed and Approved</w:t>
        </w:r>
        <w:r>
          <w:rPr>
            <w:noProof/>
            <w:webHidden/>
          </w:rPr>
          <w:tab/>
        </w:r>
        <w:r>
          <w:rPr>
            <w:noProof/>
            <w:webHidden/>
          </w:rPr>
          <w:fldChar w:fldCharType="begin"/>
        </w:r>
        <w:r>
          <w:rPr>
            <w:noProof/>
            <w:webHidden/>
          </w:rPr>
          <w:instrText xml:space="preserve"> PAGEREF _Toc184829653 \h </w:instrText>
        </w:r>
        <w:r>
          <w:rPr>
            <w:noProof/>
            <w:webHidden/>
          </w:rPr>
        </w:r>
        <w:r>
          <w:rPr>
            <w:noProof/>
            <w:webHidden/>
          </w:rPr>
          <w:fldChar w:fldCharType="separate"/>
        </w:r>
        <w:r w:rsidR="00BA7552">
          <w:rPr>
            <w:noProof/>
            <w:webHidden/>
          </w:rPr>
          <w:t>90</w:t>
        </w:r>
        <w:r>
          <w:rPr>
            <w:noProof/>
            <w:webHidden/>
          </w:rPr>
          <w:fldChar w:fldCharType="end"/>
        </w:r>
      </w:hyperlink>
    </w:p>
    <w:p w14:paraId="7B6970B9" w14:textId="2776F60E" w:rsidR="008C7A88" w:rsidRDefault="008C7A88">
      <w:pPr>
        <w:pStyle w:val="TOC2"/>
        <w:rPr>
          <w:rFonts w:asciiTheme="minorHAnsi" w:eastAsiaTheme="minorEastAsia" w:hAnsiTheme="minorHAnsi" w:cstheme="minorBidi"/>
          <w:smallCaps w:val="0"/>
          <w:noProof/>
          <w:kern w:val="2"/>
          <w:szCs w:val="24"/>
          <w14:ligatures w14:val="standardContextual"/>
        </w:rPr>
      </w:pPr>
      <w:hyperlink w:anchor="_Toc184829654" w:history="1">
        <w:r w:rsidRPr="007C6FC5">
          <w:rPr>
            <w:rStyle w:val="Hyperlink"/>
            <w:noProof/>
          </w:rPr>
          <w:t>M.</w:t>
        </w:r>
        <w:r>
          <w:rPr>
            <w:rFonts w:asciiTheme="minorHAnsi" w:eastAsiaTheme="minorEastAsia" w:hAnsiTheme="minorHAnsi" w:cstheme="minorBidi"/>
            <w:smallCaps w:val="0"/>
            <w:noProof/>
            <w:kern w:val="2"/>
            <w:szCs w:val="24"/>
            <w14:ligatures w14:val="standardContextual"/>
          </w:rPr>
          <w:tab/>
        </w:r>
        <w:r w:rsidRPr="007C6FC5">
          <w:rPr>
            <w:rStyle w:val="Hyperlink"/>
            <w:noProof/>
          </w:rPr>
          <w:t>Executive Order N-6-22 – Russia Sanctions</w:t>
        </w:r>
        <w:r>
          <w:rPr>
            <w:noProof/>
            <w:webHidden/>
          </w:rPr>
          <w:tab/>
        </w:r>
        <w:r>
          <w:rPr>
            <w:noProof/>
            <w:webHidden/>
          </w:rPr>
          <w:fldChar w:fldCharType="begin"/>
        </w:r>
        <w:r>
          <w:rPr>
            <w:noProof/>
            <w:webHidden/>
          </w:rPr>
          <w:instrText xml:space="preserve"> PAGEREF _Toc184829654 \h </w:instrText>
        </w:r>
        <w:r>
          <w:rPr>
            <w:noProof/>
            <w:webHidden/>
          </w:rPr>
        </w:r>
        <w:r>
          <w:rPr>
            <w:noProof/>
            <w:webHidden/>
          </w:rPr>
          <w:fldChar w:fldCharType="separate"/>
        </w:r>
        <w:r w:rsidR="00BA7552">
          <w:rPr>
            <w:noProof/>
            <w:webHidden/>
          </w:rPr>
          <w:t>90</w:t>
        </w:r>
        <w:r>
          <w:rPr>
            <w:noProof/>
            <w:webHidden/>
          </w:rPr>
          <w:fldChar w:fldCharType="end"/>
        </w:r>
      </w:hyperlink>
    </w:p>
    <w:p w14:paraId="2023893C" w14:textId="17166810" w:rsidR="00AB3677" w:rsidRPr="00050087" w:rsidRDefault="002E6A73" w:rsidP="00E04486">
      <w:pPr>
        <w:rPr>
          <w:b/>
          <w:bCs/>
          <w:caps/>
          <w:szCs w:val="22"/>
        </w:rPr>
      </w:pPr>
      <w:r w:rsidRPr="00050087">
        <w:rPr>
          <w:b/>
          <w:bCs/>
          <w:caps/>
          <w:szCs w:val="22"/>
        </w:rPr>
        <w:fldChar w:fldCharType="end"/>
      </w:r>
    </w:p>
    <w:p w14:paraId="59C035EC" w14:textId="44BCA516" w:rsidR="006E1A26" w:rsidRPr="00050087" w:rsidRDefault="00AB3677" w:rsidP="00E04486">
      <w:pPr>
        <w:rPr>
          <w:szCs w:val="22"/>
        </w:rPr>
      </w:pPr>
      <w:r w:rsidRPr="00050087">
        <w:rPr>
          <w:b/>
          <w:bCs/>
          <w:caps/>
          <w:szCs w:val="22"/>
        </w:rPr>
        <w:br w:type="page"/>
      </w:r>
      <w:bookmarkStart w:id="0" w:name="_Toc481569610"/>
      <w:bookmarkStart w:id="1" w:name="_Toc481570193"/>
      <w:bookmarkStart w:id="2" w:name="_Toc12770880"/>
      <w:bookmarkStart w:id="3" w:name="_Toc219275079"/>
    </w:p>
    <w:p w14:paraId="07FC2CE2" w14:textId="0EC94BD9" w:rsidR="00633976" w:rsidRPr="00633976" w:rsidRDefault="00633976" w:rsidP="00633976">
      <w:pPr>
        <w:pStyle w:val="Heading5"/>
        <w:keepNext w:val="0"/>
        <w:spacing w:after="0"/>
        <w:jc w:val="center"/>
        <w:rPr>
          <w:sz w:val="28"/>
          <w:szCs w:val="28"/>
        </w:rPr>
      </w:pPr>
      <w:r w:rsidRPr="101EB4DA">
        <w:rPr>
          <w:sz w:val="28"/>
          <w:szCs w:val="28"/>
        </w:rPr>
        <w:lastRenderedPageBreak/>
        <w:t>Attachments</w:t>
      </w:r>
    </w:p>
    <w:p w14:paraId="2083CE84" w14:textId="701BAFCF" w:rsidR="7C775012" w:rsidRDefault="7C775012" w:rsidP="00C849E9">
      <w:pPr>
        <w:rPr>
          <w:szCs w:val="24"/>
        </w:rPr>
      </w:pPr>
      <w:r w:rsidRPr="00367279">
        <w:rPr>
          <w:szCs w:val="24"/>
        </w:rPr>
        <w:t xml:space="preserve">1 </w:t>
      </w:r>
      <w:r w:rsidR="004E527C">
        <w:rPr>
          <w:szCs w:val="24"/>
        </w:rPr>
        <w:t xml:space="preserve">Part A </w:t>
      </w:r>
      <w:r w:rsidR="00A626B5" w:rsidRPr="00367279">
        <w:rPr>
          <w:szCs w:val="24"/>
        </w:rPr>
        <w:t>–</w:t>
      </w:r>
      <w:r w:rsidRPr="00367279">
        <w:rPr>
          <w:szCs w:val="24"/>
        </w:rPr>
        <w:t xml:space="preserve"> </w:t>
      </w:r>
      <w:r w:rsidR="16BE4716" w:rsidRPr="00367279">
        <w:rPr>
          <w:szCs w:val="24"/>
        </w:rPr>
        <w:t>Project Narrative</w:t>
      </w:r>
      <w:r w:rsidR="004E527C">
        <w:rPr>
          <w:szCs w:val="24"/>
        </w:rPr>
        <w:t xml:space="preserve"> </w:t>
      </w:r>
      <w:r w:rsidR="004E527C" w:rsidRPr="004E527C">
        <w:rPr>
          <w:szCs w:val="24"/>
        </w:rPr>
        <w:t>Unique to Corridor Segment</w:t>
      </w:r>
    </w:p>
    <w:p w14:paraId="42E7664A" w14:textId="5CED307D" w:rsidR="004E527C" w:rsidRPr="00367279" w:rsidRDefault="004E527C" w:rsidP="00C849E9">
      <w:pPr>
        <w:rPr>
          <w:szCs w:val="24"/>
        </w:rPr>
      </w:pPr>
      <w:r>
        <w:rPr>
          <w:szCs w:val="24"/>
        </w:rPr>
        <w:t>1</w:t>
      </w:r>
      <w:r w:rsidR="00BB3298">
        <w:rPr>
          <w:szCs w:val="24"/>
        </w:rPr>
        <w:t xml:space="preserve"> Part B – Project Narrative </w:t>
      </w:r>
      <w:r w:rsidR="006E7D6B">
        <w:rPr>
          <w:szCs w:val="24"/>
        </w:rPr>
        <w:t xml:space="preserve">to </w:t>
      </w:r>
      <w:r w:rsidR="000915D3">
        <w:rPr>
          <w:szCs w:val="24"/>
        </w:rPr>
        <w:t xml:space="preserve">Complete Once for </w:t>
      </w:r>
      <w:r w:rsidR="0021412A">
        <w:rPr>
          <w:szCs w:val="24"/>
        </w:rPr>
        <w:t>all</w:t>
      </w:r>
      <w:r w:rsidR="000915D3">
        <w:rPr>
          <w:szCs w:val="24"/>
        </w:rPr>
        <w:t xml:space="preserve"> </w:t>
      </w:r>
      <w:r w:rsidR="0021412A">
        <w:rPr>
          <w:szCs w:val="24"/>
        </w:rPr>
        <w:t>Corridor Segments</w:t>
      </w:r>
    </w:p>
    <w:p w14:paraId="6A7FDF82" w14:textId="7F553D70" w:rsidR="40FE9986" w:rsidRPr="00367279" w:rsidRDefault="40FE9986" w:rsidP="101EB4DA">
      <w:pPr>
        <w:rPr>
          <w:szCs w:val="24"/>
        </w:rPr>
      </w:pPr>
      <w:r w:rsidRPr="00367279">
        <w:rPr>
          <w:szCs w:val="24"/>
        </w:rPr>
        <w:t xml:space="preserve">2 </w:t>
      </w:r>
      <w:r w:rsidR="00A626B5" w:rsidRPr="00367279">
        <w:rPr>
          <w:szCs w:val="24"/>
        </w:rPr>
        <w:t>–</w:t>
      </w:r>
      <w:r w:rsidRPr="00367279">
        <w:rPr>
          <w:szCs w:val="24"/>
        </w:rPr>
        <w:t xml:space="preserve"> </w:t>
      </w:r>
      <w:r w:rsidR="16BE4716" w:rsidRPr="00367279">
        <w:rPr>
          <w:szCs w:val="24"/>
        </w:rPr>
        <w:t>Scope of Work Template</w:t>
      </w:r>
    </w:p>
    <w:p w14:paraId="3B6C8A5C" w14:textId="48B84B67" w:rsidR="00633976" w:rsidRPr="00367279" w:rsidRDefault="32C872F8" w:rsidP="101EB4DA">
      <w:pPr>
        <w:rPr>
          <w:szCs w:val="24"/>
        </w:rPr>
      </w:pPr>
      <w:r w:rsidRPr="00367279">
        <w:rPr>
          <w:szCs w:val="24"/>
        </w:rPr>
        <w:t xml:space="preserve">3 </w:t>
      </w:r>
      <w:r w:rsidR="00A626B5" w:rsidRPr="00367279">
        <w:rPr>
          <w:szCs w:val="24"/>
        </w:rPr>
        <w:t>–</w:t>
      </w:r>
      <w:r w:rsidRPr="00367279">
        <w:rPr>
          <w:szCs w:val="24"/>
        </w:rPr>
        <w:t xml:space="preserve"> </w:t>
      </w:r>
      <w:r w:rsidR="00633976" w:rsidRPr="00367279">
        <w:rPr>
          <w:szCs w:val="24"/>
        </w:rPr>
        <w:t>Scope of Work Instructions</w:t>
      </w:r>
    </w:p>
    <w:p w14:paraId="298BDBF1" w14:textId="468123EA" w:rsidR="00633976" w:rsidRPr="00367279" w:rsidRDefault="70CFB197" w:rsidP="101EB4DA">
      <w:pPr>
        <w:rPr>
          <w:szCs w:val="24"/>
        </w:rPr>
      </w:pPr>
      <w:r w:rsidRPr="00367279">
        <w:rPr>
          <w:szCs w:val="24"/>
        </w:rPr>
        <w:t xml:space="preserve">4 </w:t>
      </w:r>
      <w:r w:rsidR="00A626B5" w:rsidRPr="00367279">
        <w:rPr>
          <w:szCs w:val="24"/>
        </w:rPr>
        <w:t>–</w:t>
      </w:r>
      <w:r w:rsidRPr="00367279">
        <w:rPr>
          <w:szCs w:val="24"/>
        </w:rPr>
        <w:t xml:space="preserve"> </w:t>
      </w:r>
      <w:r w:rsidR="00633976" w:rsidRPr="00367279">
        <w:rPr>
          <w:szCs w:val="24"/>
        </w:rPr>
        <w:t>Schedule of Products and Due Dates</w:t>
      </w:r>
    </w:p>
    <w:p w14:paraId="03F3C8AE" w14:textId="6550CD3D" w:rsidR="00633976" w:rsidRPr="00367279" w:rsidRDefault="4462C167" w:rsidP="101EB4DA">
      <w:pPr>
        <w:rPr>
          <w:szCs w:val="24"/>
        </w:rPr>
      </w:pPr>
      <w:r w:rsidRPr="00367279">
        <w:rPr>
          <w:szCs w:val="24"/>
        </w:rPr>
        <w:t xml:space="preserve">5 </w:t>
      </w:r>
      <w:r w:rsidR="00A626B5" w:rsidRPr="00367279">
        <w:rPr>
          <w:szCs w:val="24"/>
        </w:rPr>
        <w:t>–</w:t>
      </w:r>
      <w:r w:rsidRPr="00367279">
        <w:rPr>
          <w:szCs w:val="24"/>
        </w:rPr>
        <w:t xml:space="preserve"> </w:t>
      </w:r>
      <w:r w:rsidR="00633976" w:rsidRPr="00367279">
        <w:rPr>
          <w:szCs w:val="24"/>
        </w:rPr>
        <w:t>Budget Forms</w:t>
      </w:r>
    </w:p>
    <w:p w14:paraId="620D81E1" w14:textId="5EA1947D" w:rsidR="2896E0DB" w:rsidRPr="00367279" w:rsidRDefault="2896E0DB" w:rsidP="101EB4DA">
      <w:pPr>
        <w:rPr>
          <w:szCs w:val="24"/>
        </w:rPr>
      </w:pPr>
      <w:r w:rsidRPr="00367279">
        <w:rPr>
          <w:szCs w:val="24"/>
        </w:rPr>
        <w:t xml:space="preserve">6 </w:t>
      </w:r>
      <w:r w:rsidR="00A626B5" w:rsidRPr="00367279">
        <w:rPr>
          <w:szCs w:val="24"/>
        </w:rPr>
        <w:t>–</w:t>
      </w:r>
      <w:r w:rsidRPr="00367279">
        <w:rPr>
          <w:szCs w:val="24"/>
        </w:rPr>
        <w:t xml:space="preserve"> </w:t>
      </w:r>
      <w:r w:rsidR="1D24DD7A" w:rsidRPr="00367279">
        <w:rPr>
          <w:szCs w:val="24"/>
        </w:rPr>
        <w:t>Resumes</w:t>
      </w:r>
    </w:p>
    <w:p w14:paraId="03E847B0" w14:textId="283C2485" w:rsidR="00633976" w:rsidRPr="00367279" w:rsidRDefault="550C40C5" w:rsidP="101EB4DA">
      <w:pPr>
        <w:rPr>
          <w:szCs w:val="24"/>
        </w:rPr>
      </w:pPr>
      <w:r w:rsidRPr="00367279">
        <w:rPr>
          <w:szCs w:val="24"/>
        </w:rPr>
        <w:t xml:space="preserve">7 </w:t>
      </w:r>
      <w:r w:rsidR="00A626B5" w:rsidRPr="00367279">
        <w:rPr>
          <w:szCs w:val="24"/>
        </w:rPr>
        <w:t>–</w:t>
      </w:r>
      <w:r w:rsidRPr="00367279">
        <w:rPr>
          <w:szCs w:val="24"/>
        </w:rPr>
        <w:t xml:space="preserve"> </w:t>
      </w:r>
      <w:r w:rsidR="00633976" w:rsidRPr="00367279">
        <w:rPr>
          <w:szCs w:val="24"/>
        </w:rPr>
        <w:t>Contact List</w:t>
      </w:r>
    </w:p>
    <w:p w14:paraId="68EA842A" w14:textId="2A69DF62" w:rsidR="4B795D5A" w:rsidRPr="00367279" w:rsidRDefault="4B795D5A" w:rsidP="101EB4DA">
      <w:pPr>
        <w:rPr>
          <w:szCs w:val="24"/>
        </w:rPr>
      </w:pPr>
      <w:r w:rsidRPr="00367279">
        <w:rPr>
          <w:szCs w:val="24"/>
        </w:rPr>
        <w:t xml:space="preserve">8 </w:t>
      </w:r>
      <w:r w:rsidR="00A626B5" w:rsidRPr="00367279">
        <w:rPr>
          <w:szCs w:val="24"/>
        </w:rPr>
        <w:t>–</w:t>
      </w:r>
      <w:r w:rsidRPr="00367279">
        <w:rPr>
          <w:szCs w:val="24"/>
        </w:rPr>
        <w:t xml:space="preserve"> </w:t>
      </w:r>
      <w:r w:rsidR="40A61557" w:rsidRPr="00367279">
        <w:rPr>
          <w:szCs w:val="24"/>
        </w:rPr>
        <w:t>Letters of Commitment</w:t>
      </w:r>
    </w:p>
    <w:p w14:paraId="41F8FA05" w14:textId="0FA3E39F" w:rsidR="4F4563BA" w:rsidRPr="00367279" w:rsidRDefault="4F4563BA" w:rsidP="101EB4DA">
      <w:pPr>
        <w:rPr>
          <w:szCs w:val="24"/>
        </w:rPr>
      </w:pPr>
      <w:r w:rsidRPr="00367279">
        <w:rPr>
          <w:szCs w:val="24"/>
        </w:rPr>
        <w:t xml:space="preserve">9 </w:t>
      </w:r>
      <w:r w:rsidR="00A626B5" w:rsidRPr="00367279">
        <w:rPr>
          <w:szCs w:val="24"/>
        </w:rPr>
        <w:t>–</w:t>
      </w:r>
      <w:r w:rsidRPr="00367279">
        <w:rPr>
          <w:szCs w:val="24"/>
        </w:rPr>
        <w:t xml:space="preserve"> </w:t>
      </w:r>
      <w:r w:rsidR="40A61557" w:rsidRPr="00367279">
        <w:rPr>
          <w:szCs w:val="24"/>
        </w:rPr>
        <w:t>Letters of Support</w:t>
      </w:r>
    </w:p>
    <w:p w14:paraId="49C932C0" w14:textId="459020BA" w:rsidR="00633976" w:rsidRPr="00367279" w:rsidRDefault="11FBFDD4" w:rsidP="101EB4DA">
      <w:pPr>
        <w:rPr>
          <w:szCs w:val="24"/>
        </w:rPr>
      </w:pPr>
      <w:r w:rsidRPr="00367279">
        <w:rPr>
          <w:szCs w:val="24"/>
        </w:rPr>
        <w:t xml:space="preserve">10 </w:t>
      </w:r>
      <w:r w:rsidR="00A626B5" w:rsidRPr="00367279">
        <w:rPr>
          <w:szCs w:val="24"/>
        </w:rPr>
        <w:t>–</w:t>
      </w:r>
      <w:r w:rsidRPr="00367279">
        <w:rPr>
          <w:szCs w:val="24"/>
        </w:rPr>
        <w:t xml:space="preserve"> </w:t>
      </w:r>
      <w:r w:rsidR="00633976" w:rsidRPr="00367279">
        <w:rPr>
          <w:szCs w:val="24"/>
        </w:rPr>
        <w:t>California Environmental Quality Act (CEQA) Worksheet</w:t>
      </w:r>
    </w:p>
    <w:p w14:paraId="03E4C93B" w14:textId="3FC47C87" w:rsidR="006B04E7" w:rsidRPr="00367279" w:rsidRDefault="603E3E80" w:rsidP="0B0F112B">
      <w:r w:rsidDel="603E3E80">
        <w:t xml:space="preserve">11 </w:t>
      </w:r>
      <w:r w:rsidDel="00A626B5">
        <w:t>–</w:t>
      </w:r>
      <w:r w:rsidDel="603E3E80">
        <w:t xml:space="preserve"> </w:t>
      </w:r>
      <w:r w:rsidR="00F57475">
        <w:t>Utility Verification Form</w:t>
      </w:r>
    </w:p>
    <w:p w14:paraId="64140A14" w14:textId="73714D64" w:rsidR="00633976" w:rsidRPr="00367279" w:rsidRDefault="1A6342F2" w:rsidP="101EB4DA">
      <w:r>
        <w:t xml:space="preserve">12 </w:t>
      </w:r>
      <w:r w:rsidR="00A626B5">
        <w:t>–</w:t>
      </w:r>
      <w:r>
        <w:t xml:space="preserve"> </w:t>
      </w:r>
      <w:r w:rsidR="00633976">
        <w:t>Past Performance Reference Form</w:t>
      </w:r>
    </w:p>
    <w:p w14:paraId="2531C7DB" w14:textId="20A73DD2" w:rsidR="4D922785" w:rsidRDefault="4D922785" w:rsidP="0B0F112B">
      <w:r>
        <w:t xml:space="preserve">13 – </w:t>
      </w:r>
      <w:r w:rsidR="008C7F51">
        <w:t xml:space="preserve">Preliminary </w:t>
      </w:r>
      <w:r w:rsidR="00F57475">
        <w:t>Site Design</w:t>
      </w:r>
    </w:p>
    <w:p w14:paraId="4190CA25" w14:textId="0594DAED" w:rsidR="00720626" w:rsidRPr="00367279" w:rsidRDefault="00720626" w:rsidP="00720626">
      <w:r>
        <w:t>14 – National Environmental Policy Act Preliminary Environmental Study Form</w:t>
      </w:r>
    </w:p>
    <w:p w14:paraId="2A065015" w14:textId="6A7DD23A" w:rsidR="00132AAA" w:rsidRPr="00367279" w:rsidRDefault="00132AAA" w:rsidP="00132AAA">
      <w:r>
        <w:t>1</w:t>
      </w:r>
      <w:r w:rsidR="00E21929">
        <w:t>5</w:t>
      </w:r>
      <w:r>
        <w:t xml:space="preserve"> – Applicant Declaration</w:t>
      </w:r>
    </w:p>
    <w:p w14:paraId="43CB2D5A" w14:textId="77F6E431" w:rsidR="00720626" w:rsidRPr="00367279" w:rsidRDefault="00720626" w:rsidP="00720626">
      <w:r>
        <w:t>1</w:t>
      </w:r>
      <w:r w:rsidR="00E21929">
        <w:t>6</w:t>
      </w:r>
      <w:r>
        <w:t xml:space="preserve"> – National Electric Vehicle Infrastructure Formula Program Terms and Conditions</w:t>
      </w:r>
    </w:p>
    <w:p w14:paraId="2BBD5DCA" w14:textId="31C9629B" w:rsidR="005247D1" w:rsidRDefault="00720626" w:rsidP="00720626">
      <w:r>
        <w:t>1</w:t>
      </w:r>
      <w:r w:rsidR="00E21929">
        <w:t>7</w:t>
      </w:r>
      <w:r>
        <w:t xml:space="preserve"> – Special Federal Award Terms and Conditions</w:t>
      </w:r>
    </w:p>
    <w:p w14:paraId="4C4BBA47" w14:textId="3F31AA13" w:rsidR="00667C4F" w:rsidRPr="00401D23" w:rsidRDefault="00667C4F" w:rsidP="00401D23">
      <w:pPr>
        <w:ind w:left="540" w:hanging="540"/>
        <w:rPr>
          <w:b/>
          <w:bCs/>
          <w:u w:val="single"/>
        </w:rPr>
      </w:pPr>
      <w:r w:rsidRPr="00401D23">
        <w:rPr>
          <w:b/>
          <w:bCs/>
          <w:u w:val="single"/>
        </w:rPr>
        <w:t>18 – Special Terms and Conditions for California Tribal Organizations Serving California Native American Tribes With Sovereign Immunity</w:t>
      </w:r>
    </w:p>
    <w:p w14:paraId="64FDA4AC" w14:textId="588A3B1B" w:rsidR="645B694A" w:rsidRPr="00367279" w:rsidRDefault="645B694A" w:rsidP="2435A651">
      <w:pPr>
        <w:rPr>
          <w:szCs w:val="24"/>
        </w:rPr>
      </w:pPr>
    </w:p>
    <w:p w14:paraId="695385D8" w14:textId="3482E8BC" w:rsidR="0682DA0E" w:rsidRDefault="0682DA0E" w:rsidP="0682DA0E">
      <w:pPr>
        <w:rPr>
          <w:szCs w:val="22"/>
          <w:highlight w:val="yellow"/>
        </w:rPr>
      </w:pPr>
    </w:p>
    <w:p w14:paraId="6802E281" w14:textId="377FD12F" w:rsidR="00633976" w:rsidRPr="00633976" w:rsidRDefault="00633976" w:rsidP="00633976">
      <w:pPr>
        <w:rPr>
          <w:szCs w:val="24"/>
          <w:highlight w:val="green"/>
        </w:rPr>
      </w:pPr>
    </w:p>
    <w:p w14:paraId="3DE17D38" w14:textId="77777777" w:rsidR="00410B3B" w:rsidRPr="00050087" w:rsidRDefault="006E1A26" w:rsidP="00E04486">
      <w:pPr>
        <w:rPr>
          <w:szCs w:val="22"/>
        </w:rPr>
      </w:pPr>
      <w:r w:rsidRPr="00050087">
        <w:rPr>
          <w:szCs w:val="22"/>
        </w:rPr>
        <w:br w:type="page"/>
      </w:r>
    </w:p>
    <w:p w14:paraId="0E8DA90F" w14:textId="77777777" w:rsidR="00FD590E" w:rsidRPr="00050087" w:rsidRDefault="00FD590E" w:rsidP="00E04486">
      <w:pPr>
        <w:pStyle w:val="Heading1"/>
        <w:keepNext w:val="0"/>
        <w:keepLines w:val="0"/>
        <w:spacing w:before="0" w:after="0"/>
      </w:pPr>
      <w:bookmarkStart w:id="4" w:name="_Toc184829607"/>
      <w:r w:rsidRPr="00050087">
        <w:lastRenderedPageBreak/>
        <w:t>I.</w:t>
      </w:r>
      <w:r w:rsidRPr="00050087">
        <w:tab/>
        <w:t>Introduction</w:t>
      </w:r>
      <w:bookmarkEnd w:id="0"/>
      <w:bookmarkEnd w:id="1"/>
      <w:bookmarkEnd w:id="2"/>
      <w:bookmarkEnd w:id="3"/>
      <w:bookmarkEnd w:id="4"/>
    </w:p>
    <w:p w14:paraId="6B9B6483" w14:textId="77777777" w:rsidR="00E4536E" w:rsidRPr="00050087" w:rsidRDefault="00E4536E" w:rsidP="00E04486">
      <w:pPr>
        <w:rPr>
          <w:szCs w:val="22"/>
        </w:rPr>
      </w:pPr>
    </w:p>
    <w:p w14:paraId="436BDB0B" w14:textId="77777777" w:rsidR="004F5B15" w:rsidRPr="00050087" w:rsidRDefault="004F5B15" w:rsidP="00164AC5">
      <w:pPr>
        <w:pStyle w:val="Heading2"/>
        <w:keepNext w:val="0"/>
        <w:numPr>
          <w:ilvl w:val="0"/>
          <w:numId w:val="11"/>
        </w:numPr>
        <w:spacing w:before="0"/>
        <w:ind w:hanging="720"/>
      </w:pPr>
      <w:bookmarkStart w:id="5" w:name="_Toc184829608"/>
      <w:r>
        <w:t>Purpose of Solicitation</w:t>
      </w:r>
      <w:bookmarkEnd w:id="5"/>
    </w:p>
    <w:p w14:paraId="1BBF0CBD" w14:textId="1152470C" w:rsidR="009C732B" w:rsidRPr="00C83361" w:rsidRDefault="00C779C9" w:rsidP="00E26DE1">
      <w:pPr>
        <w:ind w:left="720"/>
      </w:pPr>
      <w:r>
        <w:t>This is a competitive</w:t>
      </w:r>
      <w:r w:rsidR="00CE4EBB">
        <w:t xml:space="preserve"> </w:t>
      </w:r>
      <w:r>
        <w:t xml:space="preserve">grant solicitation. </w:t>
      </w:r>
      <w:r w:rsidR="00D62EA3">
        <w:t xml:space="preserve">The California Energy Commission (CEC) announces the availability of up to </w:t>
      </w:r>
      <w:r w:rsidR="00D62EA3" w:rsidRPr="006B3820">
        <w:t>$107,000,000</w:t>
      </w:r>
      <w:r w:rsidR="00D62EA3">
        <w:t xml:space="preserve"> in grant funds for projects that will strategically deploy publicly accessible, high-powered, direct current (DC) fast charger infrastructure to support electric vehicle (EV) travel along major corridors of the state highway system. The purpose of this solicitation is to significantly expand the EV charging infrastructure along these corridors per National Electric Vehicle Infrastructure (NEVI) formula program requirements, contributing to the national charging network being built under this program</w:t>
      </w:r>
      <w:r w:rsidR="00CE4EBB">
        <w:t>.</w:t>
      </w:r>
    </w:p>
    <w:p w14:paraId="0B587D0A" w14:textId="77777777" w:rsidR="00356D38" w:rsidRPr="00050087" w:rsidRDefault="00356D38" w:rsidP="00E04486"/>
    <w:p w14:paraId="5CC19BF5" w14:textId="77777777" w:rsidR="00D014EA" w:rsidRPr="00677FAD" w:rsidRDefault="00D014EA" w:rsidP="00164AC5">
      <w:pPr>
        <w:pStyle w:val="Heading2"/>
        <w:keepNext w:val="0"/>
        <w:numPr>
          <w:ilvl w:val="0"/>
          <w:numId w:val="11"/>
        </w:numPr>
        <w:spacing w:before="0"/>
        <w:ind w:hanging="720"/>
        <w:rPr>
          <w:szCs w:val="22"/>
        </w:rPr>
      </w:pPr>
      <w:bookmarkStart w:id="6" w:name="_Toc184829609"/>
      <w:r w:rsidRPr="00677FAD">
        <w:rPr>
          <w:szCs w:val="22"/>
        </w:rPr>
        <w:t>Background</w:t>
      </w:r>
      <w:bookmarkEnd w:id="6"/>
    </w:p>
    <w:p w14:paraId="195BD8EA" w14:textId="77777777" w:rsidR="004B6506" w:rsidRDefault="004B6506" w:rsidP="00FF0734">
      <w:pPr>
        <w:ind w:left="720"/>
      </w:pPr>
      <w:r w:rsidRPr="004B6506">
        <w:t>President Joseph R. Biden Jr. signed the Infrastructure Investment and Jobs Act (IIJA) into law in November 2021 (Public Law 117-58). The law authorizes hundreds of billions of dollars in new investments in a wide array of infrastructure categories, including roads and bridges, water infrastructure, passenger rail, energy, and broadband internet. EV charging infrastructure will see significant new funding, with $5 billion to accelerate EV infrastructure deployment nationally under the NEVI formula program. California’s share is expected to be $384 million, allocated over 5 years.</w:t>
      </w:r>
    </w:p>
    <w:p w14:paraId="5F3AD24A" w14:textId="77777777" w:rsidR="00BE0CFA" w:rsidRPr="004B6506" w:rsidRDefault="00BE0CFA" w:rsidP="00FF0734">
      <w:pPr>
        <w:ind w:left="720"/>
      </w:pPr>
    </w:p>
    <w:p w14:paraId="71C4771D" w14:textId="2254B609" w:rsidR="004B6506" w:rsidRPr="004B6506" w:rsidRDefault="004B6506" w:rsidP="00FF0734">
      <w:pPr>
        <w:pStyle w:val="ListParagraph"/>
        <w:rPr>
          <w:szCs w:val="24"/>
        </w:rPr>
      </w:pPr>
      <w:r w:rsidRPr="004B6506">
        <w:rPr>
          <w:szCs w:val="24"/>
        </w:rPr>
        <w:t>NEVI is an initiative to create a coast-to-coast network of EV chargers focused on major highways that support the majority of long-distance trips. This national network will give drivers confidence that they can always find a place to charge</w:t>
      </w:r>
      <w:r w:rsidR="00C7233E">
        <w:rPr>
          <w:szCs w:val="24"/>
        </w:rPr>
        <w:t xml:space="preserve"> </w:t>
      </w:r>
      <w:r w:rsidR="00C7233E" w:rsidRPr="00347FAD">
        <w:rPr>
          <w:b/>
          <w:bCs/>
          <w:szCs w:val="24"/>
          <w:u w:val="single"/>
        </w:rPr>
        <w:t>and</w:t>
      </w:r>
      <w:r w:rsidR="00744BDF" w:rsidRPr="003B3114">
        <w:rPr>
          <w:szCs w:val="24"/>
        </w:rPr>
        <w:t>[</w:t>
      </w:r>
      <w:r w:rsidRPr="00744BDF">
        <w:rPr>
          <w:strike/>
          <w:szCs w:val="24"/>
        </w:rPr>
        <w:t>,</w:t>
      </w:r>
      <w:r w:rsidR="00744BDF" w:rsidRPr="003B3114">
        <w:rPr>
          <w:szCs w:val="24"/>
        </w:rPr>
        <w:t>]</w:t>
      </w:r>
      <w:r w:rsidRPr="00347FAD">
        <w:rPr>
          <w:szCs w:val="24"/>
        </w:rPr>
        <w:t xml:space="preserve"> jump start private investment in charging infrastructure and EVs</w:t>
      </w:r>
      <w:r w:rsidR="00FD183A" w:rsidRPr="00FD183A">
        <w:rPr>
          <w:b/>
          <w:bCs/>
          <w:szCs w:val="24"/>
          <w:u w:val="single"/>
        </w:rPr>
        <w:t>.</w:t>
      </w:r>
      <w:r w:rsidR="00FD183A">
        <w:rPr>
          <w:szCs w:val="24"/>
        </w:rPr>
        <w:t xml:space="preserve"> </w:t>
      </w:r>
      <w:r w:rsidR="00B526E8" w:rsidRPr="00A778F3">
        <w:rPr>
          <w:szCs w:val="24"/>
        </w:rPr>
        <w:t>[</w:t>
      </w:r>
      <w:r w:rsidRPr="00A778F3">
        <w:rPr>
          <w:strike/>
          <w:szCs w:val="24"/>
        </w:rPr>
        <w:t>, and support President Biden’s goal of having EVs make up at least 50</w:t>
      </w:r>
      <w:r w:rsidR="006B5277" w:rsidRPr="00A778F3">
        <w:rPr>
          <w:strike/>
          <w:szCs w:val="24"/>
        </w:rPr>
        <w:t xml:space="preserve"> percent</w:t>
      </w:r>
      <w:r w:rsidRPr="00A778F3">
        <w:rPr>
          <w:strike/>
          <w:szCs w:val="24"/>
        </w:rPr>
        <w:t xml:space="preserve"> of new car sales by 2030.</w:t>
      </w:r>
      <w:r w:rsidRPr="00176A37">
        <w:rPr>
          <w:rStyle w:val="FootnoteReference"/>
          <w:strike/>
          <w:szCs w:val="24"/>
        </w:rPr>
        <w:footnoteReference w:id="2"/>
      </w:r>
      <w:r w:rsidR="00176A37">
        <w:rPr>
          <w:szCs w:val="24"/>
        </w:rPr>
        <w:t>]</w:t>
      </w:r>
    </w:p>
    <w:p w14:paraId="191A85F4" w14:textId="77777777" w:rsidR="004B6506" w:rsidRPr="004B6506" w:rsidRDefault="004B6506" w:rsidP="00FF0734">
      <w:pPr>
        <w:pStyle w:val="ListParagraph"/>
        <w:rPr>
          <w:szCs w:val="24"/>
        </w:rPr>
      </w:pPr>
    </w:p>
    <w:p w14:paraId="2991A334" w14:textId="77777777" w:rsidR="004B6506" w:rsidRPr="004B6506" w:rsidRDefault="004B6506" w:rsidP="00FF0734">
      <w:pPr>
        <w:pStyle w:val="ListParagraph"/>
        <w:rPr>
          <w:szCs w:val="24"/>
        </w:rPr>
      </w:pPr>
      <w:r w:rsidRPr="004B6506">
        <w:rPr>
          <w:szCs w:val="24"/>
        </w:rPr>
        <w:t>The CEC is collaborating with the California Department of Transportation (Caltrans) on charging infrastructure deployment under an interagency agreement in which the CEC is charged with implementing and administering California’s NEVI formula program.</w:t>
      </w:r>
    </w:p>
    <w:p w14:paraId="532ED942" w14:textId="77777777" w:rsidR="004B6506" w:rsidRPr="004B6506" w:rsidRDefault="004B6506" w:rsidP="00FF0734">
      <w:pPr>
        <w:pStyle w:val="ListParagraph"/>
        <w:rPr>
          <w:szCs w:val="24"/>
        </w:rPr>
      </w:pPr>
    </w:p>
    <w:p w14:paraId="09621075" w14:textId="7689A5D3" w:rsidR="00E6750C" w:rsidRDefault="004B6506" w:rsidP="00FF0734">
      <w:pPr>
        <w:pStyle w:val="ListParagraph"/>
        <w:rPr>
          <w:szCs w:val="24"/>
        </w:rPr>
      </w:pPr>
      <w:r w:rsidRPr="00FD2866">
        <w:t xml:space="preserve">On </w:t>
      </w:r>
      <w:r w:rsidR="00CB1E7E" w:rsidRPr="00FD2866">
        <w:t>November 15, 2024</w:t>
      </w:r>
      <w:r w:rsidRPr="00564FF7">
        <w:t xml:space="preserve">, the Federal Highway Administration </w:t>
      </w:r>
      <w:r w:rsidR="00F05FAA" w:rsidRPr="00564FF7">
        <w:t xml:space="preserve">(FHWA) </w:t>
      </w:r>
      <w:r w:rsidRPr="00564FF7">
        <w:t xml:space="preserve">approved the </w:t>
      </w:r>
      <w:hyperlink r:id="rId14" w:history="1">
        <w:r w:rsidR="004E252B" w:rsidRPr="00FD2866">
          <w:rPr>
            <w:rStyle w:val="Hyperlink"/>
          </w:rPr>
          <w:t>2024 annual update to California’s Deployment Plan for the National Electric Vehicle Infrastructure Program</w:t>
        </w:r>
      </w:hyperlink>
      <w:r w:rsidRPr="00FD2866">
        <w:t xml:space="preserve">, found at </w:t>
      </w:r>
      <w:r w:rsidR="004E252B" w:rsidRPr="004E252B">
        <w:t>https://dot.ca.gov/-/media/dot-media/programs/esta/documents/transportation-electrification/nevi/2024-ca-nevi-plan-update-a11y.pdf</w:t>
      </w:r>
      <w:r w:rsidRPr="00564FF7">
        <w:t xml:space="preserve">. To maximize NEVI investments and benefits to travelers, California’s plan includes ongoing engagement and outreach efforts to shape the continued development and refinement of plan elements. The deployment plan </w:t>
      </w:r>
      <w:r w:rsidR="00FD6557" w:rsidRPr="00564FF7">
        <w:t>includes a</w:t>
      </w:r>
      <w:r w:rsidRPr="00564FF7">
        <w:t xml:space="preserve"> focus </w:t>
      </w:r>
      <w:r w:rsidR="00E86337" w:rsidRPr="00564FF7">
        <w:t>for</w:t>
      </w:r>
      <w:r w:rsidRPr="00564FF7">
        <w:t xml:space="preserve"> </w:t>
      </w:r>
      <w:r w:rsidR="00006CC8" w:rsidRPr="00564FF7">
        <w:t xml:space="preserve">the state’s second NEVI solicitation </w:t>
      </w:r>
      <w:r w:rsidRPr="00564FF7">
        <w:t>on investments in light-</w:t>
      </w:r>
      <w:r w:rsidRPr="00564FF7">
        <w:lastRenderedPageBreak/>
        <w:t>duty EV charging infrastructure</w:t>
      </w:r>
      <w:r w:rsidR="00FD6557" w:rsidRPr="00564FF7">
        <w:t>,</w:t>
      </w:r>
      <w:r w:rsidRPr="00564FF7">
        <w:t xml:space="preserve"> </w:t>
      </w:r>
      <w:r w:rsidR="00006CC8" w:rsidRPr="00564FF7">
        <w:t>with</w:t>
      </w:r>
      <w:r w:rsidR="00AC6FD4" w:rsidRPr="00564FF7">
        <w:t xml:space="preserve"> </w:t>
      </w:r>
      <w:r w:rsidR="00015D50" w:rsidRPr="00564FF7">
        <w:t xml:space="preserve">consideration </w:t>
      </w:r>
      <w:r w:rsidR="00AC6FD4" w:rsidRPr="00564FF7">
        <w:t>for</w:t>
      </w:r>
      <w:r w:rsidRPr="00564FF7">
        <w:t xml:space="preserve"> projects that can also accommodate medium- and heavy-duty charging infrastructure. </w:t>
      </w:r>
      <w:r w:rsidR="00F24402" w:rsidRPr="00564FF7">
        <w:rPr>
          <w:szCs w:val="24"/>
        </w:rPr>
        <w:t xml:space="preserve">The </w:t>
      </w:r>
      <w:r w:rsidR="004C7488" w:rsidRPr="00564FF7">
        <w:rPr>
          <w:szCs w:val="24"/>
        </w:rPr>
        <w:t xml:space="preserve">deployment plan </w:t>
      </w:r>
      <w:r w:rsidR="00A66461">
        <w:rPr>
          <w:szCs w:val="24"/>
        </w:rPr>
        <w:t>discusses the intended</w:t>
      </w:r>
      <w:r w:rsidR="00F63703">
        <w:rPr>
          <w:szCs w:val="24"/>
        </w:rPr>
        <w:t xml:space="preserve"> shift in focus to</w:t>
      </w:r>
      <w:r w:rsidR="00F24402">
        <w:rPr>
          <w:szCs w:val="24"/>
        </w:rPr>
        <w:t xml:space="preserve"> </w:t>
      </w:r>
      <w:r w:rsidR="00F24402" w:rsidRPr="00564FF7">
        <w:rPr>
          <w:szCs w:val="24"/>
        </w:rPr>
        <w:t>medium- and heavy-duty charging</w:t>
      </w:r>
      <w:r w:rsidR="00401D15" w:rsidRPr="00564FF7">
        <w:rPr>
          <w:szCs w:val="24"/>
        </w:rPr>
        <w:t xml:space="preserve"> in </w:t>
      </w:r>
      <w:r w:rsidR="00291E61">
        <w:rPr>
          <w:szCs w:val="24"/>
        </w:rPr>
        <w:t>the</w:t>
      </w:r>
      <w:r w:rsidR="00401D15" w:rsidRPr="00564FF7">
        <w:rPr>
          <w:szCs w:val="24"/>
        </w:rPr>
        <w:t xml:space="preserve"> </w:t>
      </w:r>
      <w:r w:rsidR="002557C2">
        <w:rPr>
          <w:szCs w:val="24"/>
        </w:rPr>
        <w:t xml:space="preserve">state’s </w:t>
      </w:r>
      <w:r w:rsidR="00401D15" w:rsidRPr="00FD2866">
        <w:rPr>
          <w:szCs w:val="24"/>
        </w:rPr>
        <w:t>third NEVI solicitation</w:t>
      </w:r>
      <w:r w:rsidR="00AB02BC" w:rsidRPr="00FD2866">
        <w:rPr>
          <w:szCs w:val="24"/>
        </w:rPr>
        <w:t xml:space="preserve">. </w:t>
      </w:r>
    </w:p>
    <w:p w14:paraId="0C75362D" w14:textId="77777777" w:rsidR="00E6750C" w:rsidRDefault="00E6750C" w:rsidP="00FF0734">
      <w:pPr>
        <w:pStyle w:val="ListParagraph"/>
        <w:rPr>
          <w:szCs w:val="24"/>
        </w:rPr>
      </w:pPr>
    </w:p>
    <w:p w14:paraId="3ADC00DE" w14:textId="6269F8A6" w:rsidR="00AE41B0" w:rsidRPr="00B22B23" w:rsidRDefault="001F5A7A" w:rsidP="00FF0734">
      <w:pPr>
        <w:pStyle w:val="ListParagraph"/>
        <w:rPr>
          <w:b/>
          <w:bCs/>
          <w:szCs w:val="24"/>
          <w:u w:val="single"/>
        </w:rPr>
      </w:pPr>
      <w:r w:rsidRPr="00B22B23">
        <w:rPr>
          <w:b/>
          <w:bCs/>
          <w:szCs w:val="24"/>
          <w:u w:val="single"/>
        </w:rPr>
        <w:t xml:space="preserve">As of February 6, 2025, FHWA </w:t>
      </w:r>
      <w:r w:rsidR="0092522E" w:rsidRPr="00B22B23">
        <w:rPr>
          <w:b/>
          <w:bCs/>
          <w:szCs w:val="24"/>
          <w:u w:val="single"/>
        </w:rPr>
        <w:t>suspended</w:t>
      </w:r>
      <w:r w:rsidRPr="00B22B23">
        <w:rPr>
          <w:b/>
          <w:bCs/>
          <w:szCs w:val="24"/>
          <w:u w:val="single"/>
        </w:rPr>
        <w:t xml:space="preserve"> the approval of all state</w:t>
      </w:r>
      <w:r w:rsidR="00702EC2" w:rsidRPr="00B22B23">
        <w:rPr>
          <w:b/>
          <w:bCs/>
          <w:szCs w:val="24"/>
          <w:u w:val="single"/>
        </w:rPr>
        <w:t xml:space="preserve">s’ </w:t>
      </w:r>
      <w:r w:rsidR="004641C2" w:rsidRPr="00B22B23">
        <w:rPr>
          <w:b/>
          <w:bCs/>
          <w:szCs w:val="24"/>
          <w:u w:val="single"/>
        </w:rPr>
        <w:t xml:space="preserve">previously approved </w:t>
      </w:r>
      <w:r w:rsidR="00FE2E26">
        <w:rPr>
          <w:b/>
          <w:bCs/>
          <w:szCs w:val="24"/>
          <w:u w:val="single"/>
        </w:rPr>
        <w:t xml:space="preserve">NEVI </w:t>
      </w:r>
      <w:r w:rsidR="00F57726" w:rsidRPr="00B22B23">
        <w:rPr>
          <w:b/>
          <w:bCs/>
          <w:szCs w:val="24"/>
          <w:u w:val="single"/>
        </w:rPr>
        <w:t>deployment plans</w:t>
      </w:r>
      <w:r w:rsidR="0092522E" w:rsidRPr="00B22B23">
        <w:rPr>
          <w:b/>
          <w:bCs/>
          <w:szCs w:val="24"/>
          <w:u w:val="single"/>
        </w:rPr>
        <w:t xml:space="preserve"> while it undergoes a review of the NEVI </w:t>
      </w:r>
      <w:r w:rsidR="00C44E12">
        <w:rPr>
          <w:b/>
          <w:bCs/>
          <w:szCs w:val="24"/>
          <w:u w:val="single"/>
        </w:rPr>
        <w:t>f</w:t>
      </w:r>
      <w:r w:rsidR="00AD1853" w:rsidRPr="00B22B23">
        <w:rPr>
          <w:b/>
          <w:bCs/>
          <w:szCs w:val="24"/>
          <w:u w:val="single"/>
        </w:rPr>
        <w:t xml:space="preserve">ormula </w:t>
      </w:r>
      <w:r w:rsidR="00C44E12">
        <w:rPr>
          <w:b/>
          <w:bCs/>
          <w:szCs w:val="24"/>
          <w:u w:val="single"/>
        </w:rPr>
        <w:t>p</w:t>
      </w:r>
      <w:r w:rsidR="00AD1853" w:rsidRPr="00B22B23">
        <w:rPr>
          <w:b/>
          <w:bCs/>
          <w:szCs w:val="24"/>
          <w:u w:val="single"/>
        </w:rPr>
        <w:t xml:space="preserve">rogram </w:t>
      </w:r>
      <w:r w:rsidR="00C44E12">
        <w:rPr>
          <w:b/>
          <w:bCs/>
          <w:szCs w:val="24"/>
          <w:u w:val="single"/>
        </w:rPr>
        <w:t>g</w:t>
      </w:r>
      <w:r w:rsidR="0092522E" w:rsidRPr="00B22B23">
        <w:rPr>
          <w:b/>
          <w:bCs/>
          <w:szCs w:val="24"/>
          <w:u w:val="single"/>
        </w:rPr>
        <w:t>uidance</w:t>
      </w:r>
      <w:r w:rsidR="00D866BA" w:rsidRPr="00B22B23">
        <w:rPr>
          <w:b/>
          <w:bCs/>
          <w:szCs w:val="24"/>
          <w:u w:val="single"/>
        </w:rPr>
        <w:t xml:space="preserve">. The </w:t>
      </w:r>
      <w:r w:rsidR="00112155">
        <w:rPr>
          <w:b/>
          <w:bCs/>
          <w:szCs w:val="24"/>
          <w:u w:val="single"/>
        </w:rPr>
        <w:t>existing</w:t>
      </w:r>
      <w:r w:rsidR="00D866BA" w:rsidRPr="00B22B23">
        <w:rPr>
          <w:b/>
          <w:bCs/>
          <w:szCs w:val="24"/>
          <w:u w:val="single"/>
        </w:rPr>
        <w:t xml:space="preserve"> </w:t>
      </w:r>
      <w:r w:rsidR="00687837" w:rsidRPr="00B22B23">
        <w:rPr>
          <w:b/>
          <w:bCs/>
          <w:szCs w:val="24"/>
          <w:u w:val="single"/>
        </w:rPr>
        <w:t xml:space="preserve">NEVI </w:t>
      </w:r>
      <w:r w:rsidR="00C44E12">
        <w:rPr>
          <w:b/>
          <w:bCs/>
          <w:szCs w:val="24"/>
          <w:u w:val="single"/>
        </w:rPr>
        <w:t>f</w:t>
      </w:r>
      <w:r w:rsidR="00687837" w:rsidRPr="00B22B23">
        <w:rPr>
          <w:b/>
          <w:bCs/>
          <w:szCs w:val="24"/>
          <w:u w:val="single"/>
        </w:rPr>
        <w:t xml:space="preserve">ormula </w:t>
      </w:r>
      <w:r w:rsidR="00C44E12">
        <w:rPr>
          <w:b/>
          <w:bCs/>
          <w:szCs w:val="24"/>
          <w:u w:val="single"/>
        </w:rPr>
        <w:t>p</w:t>
      </w:r>
      <w:r w:rsidR="00687837" w:rsidRPr="00B22B23">
        <w:rPr>
          <w:b/>
          <w:bCs/>
          <w:szCs w:val="24"/>
          <w:u w:val="single"/>
        </w:rPr>
        <w:t xml:space="preserve">rogram </w:t>
      </w:r>
      <w:r w:rsidR="00C44E12">
        <w:rPr>
          <w:b/>
          <w:bCs/>
          <w:szCs w:val="24"/>
          <w:u w:val="single"/>
        </w:rPr>
        <w:t>g</w:t>
      </w:r>
      <w:r w:rsidR="00687837" w:rsidRPr="00B22B23">
        <w:rPr>
          <w:b/>
          <w:bCs/>
          <w:szCs w:val="24"/>
          <w:u w:val="single"/>
        </w:rPr>
        <w:t>uidance has been rescinded</w:t>
      </w:r>
      <w:r w:rsidR="00680F7B" w:rsidRPr="00B22B23">
        <w:rPr>
          <w:b/>
          <w:bCs/>
          <w:szCs w:val="24"/>
          <w:u w:val="single"/>
        </w:rPr>
        <w:t xml:space="preserve"> during this review</w:t>
      </w:r>
      <w:r w:rsidR="00F57726" w:rsidRPr="00B22B23">
        <w:rPr>
          <w:b/>
          <w:bCs/>
          <w:szCs w:val="24"/>
          <w:u w:val="single"/>
        </w:rPr>
        <w:t xml:space="preserve">. </w:t>
      </w:r>
      <w:r w:rsidR="003B4478" w:rsidRPr="00B22B23">
        <w:rPr>
          <w:b/>
          <w:bCs/>
          <w:szCs w:val="24"/>
          <w:u w:val="single"/>
        </w:rPr>
        <w:t xml:space="preserve">FHWA plans to release new NEVI </w:t>
      </w:r>
      <w:r w:rsidR="00C44E12">
        <w:rPr>
          <w:b/>
          <w:bCs/>
          <w:szCs w:val="24"/>
          <w:u w:val="single"/>
        </w:rPr>
        <w:t>f</w:t>
      </w:r>
      <w:r w:rsidR="00680F7B" w:rsidRPr="00B22B23">
        <w:rPr>
          <w:b/>
          <w:bCs/>
          <w:szCs w:val="24"/>
          <w:u w:val="single"/>
        </w:rPr>
        <w:t xml:space="preserve">ormula </w:t>
      </w:r>
      <w:r w:rsidR="00C44E12">
        <w:rPr>
          <w:b/>
          <w:bCs/>
          <w:szCs w:val="24"/>
          <w:u w:val="single"/>
        </w:rPr>
        <w:t>p</w:t>
      </w:r>
      <w:r w:rsidR="00680F7B" w:rsidRPr="00B22B23">
        <w:rPr>
          <w:b/>
          <w:bCs/>
          <w:szCs w:val="24"/>
          <w:u w:val="single"/>
        </w:rPr>
        <w:t xml:space="preserve">rogram </w:t>
      </w:r>
      <w:r w:rsidR="00C44E12">
        <w:rPr>
          <w:b/>
          <w:bCs/>
          <w:szCs w:val="24"/>
          <w:u w:val="single"/>
        </w:rPr>
        <w:t>g</w:t>
      </w:r>
      <w:r w:rsidR="003B4478" w:rsidRPr="00B22B23">
        <w:rPr>
          <w:b/>
          <w:bCs/>
          <w:szCs w:val="24"/>
          <w:u w:val="single"/>
        </w:rPr>
        <w:t>uidance in spring 2025</w:t>
      </w:r>
      <w:r w:rsidR="000E0917" w:rsidRPr="00B22B23">
        <w:rPr>
          <w:b/>
          <w:bCs/>
          <w:szCs w:val="24"/>
          <w:u w:val="single"/>
        </w:rPr>
        <w:t>, which will include</w:t>
      </w:r>
      <w:r w:rsidR="00D12A0B" w:rsidRPr="00B22B23">
        <w:rPr>
          <w:b/>
          <w:bCs/>
          <w:szCs w:val="24"/>
          <w:u w:val="single"/>
        </w:rPr>
        <w:t xml:space="preserve"> instructions </w:t>
      </w:r>
      <w:r w:rsidR="000E0917" w:rsidRPr="00B22B23">
        <w:rPr>
          <w:b/>
          <w:bCs/>
          <w:szCs w:val="24"/>
          <w:u w:val="single"/>
        </w:rPr>
        <w:t xml:space="preserve">to states </w:t>
      </w:r>
      <w:r w:rsidR="003721CE" w:rsidRPr="00B22B23">
        <w:rPr>
          <w:b/>
          <w:bCs/>
          <w:szCs w:val="24"/>
          <w:u w:val="single"/>
        </w:rPr>
        <w:t xml:space="preserve">on </w:t>
      </w:r>
      <w:r w:rsidR="003B4478" w:rsidRPr="00B22B23">
        <w:rPr>
          <w:b/>
          <w:bCs/>
          <w:szCs w:val="24"/>
          <w:u w:val="single"/>
        </w:rPr>
        <w:t>amend</w:t>
      </w:r>
      <w:r w:rsidR="003721CE" w:rsidRPr="00B22B23">
        <w:rPr>
          <w:b/>
          <w:bCs/>
          <w:szCs w:val="24"/>
          <w:u w:val="single"/>
        </w:rPr>
        <w:t>ing</w:t>
      </w:r>
      <w:r w:rsidR="003B4478" w:rsidRPr="00B22B23">
        <w:rPr>
          <w:b/>
          <w:bCs/>
          <w:szCs w:val="24"/>
          <w:u w:val="single"/>
        </w:rPr>
        <w:t xml:space="preserve"> their deployment plans</w:t>
      </w:r>
      <w:r w:rsidR="00F60E7D" w:rsidRPr="00B22B23">
        <w:rPr>
          <w:b/>
          <w:bCs/>
          <w:szCs w:val="24"/>
          <w:u w:val="single"/>
        </w:rPr>
        <w:t>.</w:t>
      </w:r>
      <w:r w:rsidR="00573D97">
        <w:rPr>
          <w:rStyle w:val="FootnoteReference"/>
          <w:b/>
          <w:bCs/>
          <w:szCs w:val="24"/>
          <w:u w:val="single"/>
        </w:rPr>
        <w:footnoteReference w:id="3"/>
      </w:r>
      <w:r w:rsidR="00F60E7D" w:rsidRPr="00B22B23">
        <w:rPr>
          <w:b/>
          <w:bCs/>
          <w:szCs w:val="24"/>
          <w:u w:val="single"/>
        </w:rPr>
        <w:t xml:space="preserve"> </w:t>
      </w:r>
    </w:p>
    <w:p w14:paraId="66D354DF" w14:textId="77777777" w:rsidR="00AE41B0" w:rsidRDefault="00AE41B0" w:rsidP="00FF0734">
      <w:pPr>
        <w:pStyle w:val="ListParagraph"/>
        <w:rPr>
          <w:szCs w:val="24"/>
        </w:rPr>
      </w:pPr>
    </w:p>
    <w:p w14:paraId="040C4791" w14:textId="019AB6EE" w:rsidR="004B6506" w:rsidRPr="004B6506" w:rsidRDefault="005E7CA9" w:rsidP="00FF0734">
      <w:pPr>
        <w:pStyle w:val="ListParagraph"/>
        <w:rPr>
          <w:szCs w:val="24"/>
        </w:rPr>
      </w:pPr>
      <w:r w:rsidRPr="00B22B23">
        <w:rPr>
          <w:b/>
          <w:bCs/>
          <w:szCs w:val="24"/>
          <w:u w:val="single"/>
        </w:rPr>
        <w:t>The CEC and Caltrans expect to also prepare and submit</w:t>
      </w:r>
      <w:r w:rsidR="00B22B23" w:rsidRPr="00B22B23">
        <w:rPr>
          <w:b/>
          <w:bCs/>
          <w:szCs w:val="24"/>
          <w:u w:val="single"/>
        </w:rPr>
        <w:t xml:space="preserve"> a 2025 deployment plan update</w:t>
      </w:r>
      <w:r w:rsidR="00B22B23">
        <w:rPr>
          <w:szCs w:val="24"/>
        </w:rPr>
        <w:t xml:space="preserve"> </w:t>
      </w:r>
      <w:r w:rsidR="00B22B23" w:rsidRPr="00EA275E">
        <w:rPr>
          <w:szCs w:val="24"/>
        </w:rPr>
        <w:t>[</w:t>
      </w:r>
      <w:r w:rsidR="004B6506" w:rsidRPr="008505D6">
        <w:rPr>
          <w:strike/>
          <w:szCs w:val="24"/>
        </w:rPr>
        <w:t>The deployment plan will be updated again in 2025</w:t>
      </w:r>
      <w:r w:rsidR="008505D6">
        <w:rPr>
          <w:szCs w:val="24"/>
        </w:rPr>
        <w:t>]</w:t>
      </w:r>
      <w:r w:rsidR="004B6506" w:rsidRPr="00FD2866">
        <w:rPr>
          <w:szCs w:val="24"/>
        </w:rPr>
        <w:t xml:space="preserve"> to reflect progress, identify new challenges and opportunities, highlight future plans, and ensure alignment with California’s EV charging infrastructure planning efforts, such as the state’s Zero Emission Vehicle Infrastructure Plan. California is committed to reviewing the outcomes from the deployment plan to determine best practices, ensure that the plan meets the program guidelines, and to confirm that the plan is accomplishing the state’s goals for a network of EV chargers.</w:t>
      </w:r>
    </w:p>
    <w:p w14:paraId="25E7409D" w14:textId="1F3EF27E" w:rsidR="72F0F457" w:rsidRPr="00A91AB1" w:rsidRDefault="72F0F457" w:rsidP="72F0F457">
      <w:pPr>
        <w:ind w:firstLine="720"/>
        <w:rPr>
          <w:rStyle w:val="normaltextrun"/>
          <w:rFonts w:eastAsia="Arial"/>
          <w:szCs w:val="24"/>
          <w:u w:val="single"/>
        </w:rPr>
      </w:pPr>
    </w:p>
    <w:p w14:paraId="2B07D2B6" w14:textId="77777777" w:rsidR="000C45E2" w:rsidRPr="00677FAD" w:rsidRDefault="000C45E2" w:rsidP="00164AC5">
      <w:pPr>
        <w:pStyle w:val="Heading2"/>
        <w:keepNext w:val="0"/>
        <w:numPr>
          <w:ilvl w:val="0"/>
          <w:numId w:val="11"/>
        </w:numPr>
        <w:spacing w:before="0"/>
        <w:ind w:hanging="720"/>
        <w:rPr>
          <w:lang w:val="en-US"/>
        </w:rPr>
      </w:pPr>
      <w:bookmarkStart w:id="7" w:name="_Toc184829610"/>
      <w:r w:rsidRPr="00677FAD">
        <w:rPr>
          <w:lang w:val="en-US"/>
        </w:rPr>
        <w:t>Commitment to Diversity</w:t>
      </w:r>
      <w:bookmarkEnd w:id="7"/>
    </w:p>
    <w:p w14:paraId="662B6336" w14:textId="543FAE15" w:rsidR="000C45E2" w:rsidRPr="00C83361" w:rsidRDefault="000C45E2" w:rsidP="00E26DE1">
      <w:pPr>
        <w:ind w:left="720"/>
      </w:pPr>
      <w:r>
        <w:t xml:space="preserve">The </w:t>
      </w:r>
      <w:r w:rsidR="005A220D">
        <w:t>CEC</w:t>
      </w:r>
      <w:r>
        <w:t xml:space="preserve"> is committed to ensuring </w:t>
      </w:r>
      <w:r w:rsidR="00C363E4">
        <w:t xml:space="preserve">that </w:t>
      </w:r>
      <w:r>
        <w:t xml:space="preserve">participation in its </w:t>
      </w:r>
      <w:r w:rsidR="00686412">
        <w:t>p</w:t>
      </w:r>
      <w:r w:rsidR="005A220D">
        <w:t>rogram</w:t>
      </w:r>
      <w:r w:rsidR="00686412">
        <w:t>s and funding opportunities</w:t>
      </w:r>
      <w:r w:rsidR="005A220D">
        <w:t xml:space="preserve"> </w:t>
      </w:r>
      <w:r>
        <w:t>reflect</w:t>
      </w:r>
      <w:r w:rsidR="00C363E4">
        <w:t>s</w:t>
      </w:r>
      <w:r>
        <w:t xml:space="preserve"> the rich and diverse characteristics of California and its people. To meet this commitment, </w:t>
      </w:r>
      <w:r w:rsidR="005A220D">
        <w:t>CEC</w:t>
      </w:r>
      <w:r>
        <w:t xml:space="preserve"> staff conducts activities to: </w:t>
      </w:r>
    </w:p>
    <w:p w14:paraId="2989F951" w14:textId="77777777" w:rsidR="000C45E2" w:rsidRPr="00C83361" w:rsidRDefault="000C45E2" w:rsidP="00E04486">
      <w:pPr>
        <w:rPr>
          <w:szCs w:val="28"/>
        </w:rPr>
      </w:pPr>
    </w:p>
    <w:p w14:paraId="2D2E6514" w14:textId="204A6C4D" w:rsidR="000C45E2" w:rsidRPr="00C83361" w:rsidRDefault="000C45E2" w:rsidP="00C47484">
      <w:pPr>
        <w:numPr>
          <w:ilvl w:val="0"/>
          <w:numId w:val="18"/>
        </w:numPr>
        <w:tabs>
          <w:tab w:val="clear" w:pos="720"/>
        </w:tabs>
        <w:spacing w:after="120"/>
        <w:ind w:left="1440" w:hanging="720"/>
        <w:rPr>
          <w:szCs w:val="24"/>
        </w:rPr>
      </w:pPr>
      <w:r w:rsidRPr="0D5EEECE">
        <w:rPr>
          <w:szCs w:val="24"/>
        </w:rPr>
        <w:t>Ensure potential new applicants throug</w:t>
      </w:r>
      <w:r w:rsidR="005A220D" w:rsidRPr="0D5EEECE">
        <w:rPr>
          <w:szCs w:val="24"/>
        </w:rPr>
        <w:t xml:space="preserve">hout the state are aware of CEC’s </w:t>
      </w:r>
      <w:r w:rsidR="00484CC1">
        <w:rPr>
          <w:szCs w:val="24"/>
        </w:rPr>
        <w:t>programs</w:t>
      </w:r>
      <w:r w:rsidR="005A220D" w:rsidRPr="0D5EEECE">
        <w:rPr>
          <w:szCs w:val="24"/>
        </w:rPr>
        <w:t xml:space="preserve"> </w:t>
      </w:r>
      <w:r w:rsidRPr="0D5EEECE">
        <w:rPr>
          <w:szCs w:val="24"/>
        </w:rPr>
        <w:t>and funding opportunities.</w:t>
      </w:r>
    </w:p>
    <w:p w14:paraId="67E88322" w14:textId="2165A9C9" w:rsidR="000C45E2" w:rsidRPr="00C83361" w:rsidRDefault="000C45E2" w:rsidP="00C47484">
      <w:pPr>
        <w:numPr>
          <w:ilvl w:val="0"/>
          <w:numId w:val="18"/>
        </w:numPr>
        <w:tabs>
          <w:tab w:val="clear" w:pos="720"/>
        </w:tabs>
        <w:spacing w:after="120"/>
        <w:ind w:left="1440" w:hanging="720"/>
      </w:pPr>
      <w:r>
        <w:t xml:space="preserve">Encourage greater participation by underrepresented groups including disabled veteran-, women-, minority-, and </w:t>
      </w:r>
      <w:r w:rsidR="00866824" w:rsidRPr="006B3820">
        <w:t>lesbian, gay, bisexual, transgender</w:t>
      </w:r>
      <w:r w:rsidR="164A10E7">
        <w:t>, and queer</w:t>
      </w:r>
      <w:r w:rsidR="5AE8EBC1">
        <w:t xml:space="preserve"> </w:t>
      </w:r>
      <w:r w:rsidR="03B6725B">
        <w:t>(</w:t>
      </w:r>
      <w:r w:rsidR="2DB78457">
        <w:t>LGBT</w:t>
      </w:r>
      <w:r w:rsidR="06A27402">
        <w:t>Q</w:t>
      </w:r>
      <w:r w:rsidR="00CE7E03" w:rsidRPr="006B3820">
        <w:t>)</w:t>
      </w:r>
      <w:r w:rsidRPr="006B3820">
        <w:t>-owned businesses.</w:t>
      </w:r>
    </w:p>
    <w:p w14:paraId="5DFBAB82" w14:textId="2FA02372" w:rsidR="000C45E2" w:rsidRPr="00677FAD" w:rsidRDefault="000C45E2" w:rsidP="00C47484">
      <w:pPr>
        <w:numPr>
          <w:ilvl w:val="0"/>
          <w:numId w:val="18"/>
        </w:numPr>
        <w:tabs>
          <w:tab w:val="clear" w:pos="720"/>
        </w:tabs>
        <w:spacing w:after="120"/>
        <w:ind w:left="1440" w:hanging="720"/>
        <w:rPr>
          <w:szCs w:val="24"/>
        </w:rPr>
      </w:pPr>
      <w:r w:rsidRPr="00C83361">
        <w:rPr>
          <w:szCs w:val="28"/>
        </w:rPr>
        <w:t xml:space="preserve">Assist applicants in understanding how to apply for funding from </w:t>
      </w:r>
      <w:r w:rsidR="005A220D" w:rsidRPr="00C83361">
        <w:rPr>
          <w:szCs w:val="28"/>
        </w:rPr>
        <w:t xml:space="preserve">CEC’s </w:t>
      </w:r>
      <w:r w:rsidR="00B00B5E" w:rsidRPr="00B00B5E">
        <w:rPr>
          <w:szCs w:val="28"/>
        </w:rPr>
        <w:t>programs</w:t>
      </w:r>
      <w:r w:rsidRPr="00C83361">
        <w:rPr>
          <w:szCs w:val="28"/>
        </w:rPr>
        <w:t>.</w:t>
      </w:r>
    </w:p>
    <w:p w14:paraId="6F24E345" w14:textId="77777777" w:rsidR="00E92350" w:rsidRPr="00677FAD" w:rsidRDefault="00E92350" w:rsidP="00164AC5">
      <w:pPr>
        <w:pStyle w:val="Heading2"/>
        <w:keepNext w:val="0"/>
        <w:numPr>
          <w:ilvl w:val="0"/>
          <w:numId w:val="11"/>
        </w:numPr>
        <w:spacing w:before="0"/>
        <w:ind w:hanging="720"/>
      </w:pPr>
      <w:bookmarkStart w:id="8" w:name="_Toc494707121"/>
      <w:bookmarkStart w:id="9" w:name="_Toc219275082"/>
      <w:bookmarkStart w:id="10" w:name="_Toc184829611"/>
      <w:r w:rsidRPr="00677FAD">
        <w:t>Key Activities and Dates</w:t>
      </w:r>
      <w:bookmarkEnd w:id="8"/>
      <w:bookmarkEnd w:id="9"/>
      <w:bookmarkEnd w:id="10"/>
    </w:p>
    <w:p w14:paraId="752FAE6C" w14:textId="77777777" w:rsidR="00356D38" w:rsidRPr="00C83361" w:rsidRDefault="00732657" w:rsidP="00E26DE1">
      <w:pPr>
        <w:ind w:left="720"/>
        <w:rPr>
          <w:szCs w:val="24"/>
        </w:rPr>
      </w:pPr>
      <w:r w:rsidRPr="00C83361">
        <w:rPr>
          <w:szCs w:val="24"/>
        </w:rPr>
        <w:t xml:space="preserve">Key activities including dates and times for this </w:t>
      </w:r>
      <w:r w:rsidR="00F66DFA" w:rsidRPr="00C83361">
        <w:rPr>
          <w:szCs w:val="24"/>
        </w:rPr>
        <w:t>solicitation</w:t>
      </w:r>
      <w:r w:rsidRPr="00C83361">
        <w:rPr>
          <w:szCs w:val="24"/>
        </w:rPr>
        <w:t xml:space="preserve"> are presented below.  An addendum will be released if the dates change for the asterisked (*) activities.</w:t>
      </w:r>
      <w:r w:rsidR="007D7FE5">
        <w:rPr>
          <w:szCs w:val="24"/>
        </w:rPr>
        <w:t xml:space="preserve"> Times listed are Pacific Standard Time or Pacific Daylight Time, whichever is being observed.</w:t>
      </w:r>
    </w:p>
    <w:p w14:paraId="414355DA" w14:textId="77777777" w:rsidR="00732657" w:rsidRPr="00677FAD" w:rsidRDefault="00732657" w:rsidP="00E04486">
      <w:pPr>
        <w:rPr>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5935"/>
        <w:gridCol w:w="3335"/>
      </w:tblGrid>
      <w:tr w:rsidR="00740BE9" w:rsidRPr="00C83361" w14:paraId="5F52F680" w14:textId="77777777" w:rsidTr="000C11A5">
        <w:trPr>
          <w:cantSplit/>
          <w:trHeight w:hRule="exact" w:val="360"/>
          <w:tblHeader/>
        </w:trPr>
        <w:tc>
          <w:tcPr>
            <w:tcW w:w="5935" w:type="dxa"/>
            <w:shd w:val="clear" w:color="auto" w:fill="D9D9D9" w:themeFill="background1" w:themeFillShade="D9"/>
            <w:vAlign w:val="center"/>
          </w:tcPr>
          <w:p w14:paraId="4F416655" w14:textId="77777777" w:rsidR="00740BE9" w:rsidRPr="00C83361" w:rsidRDefault="00740BE9" w:rsidP="000C11A5">
            <w:pPr>
              <w:jc w:val="center"/>
              <w:rPr>
                <w:b/>
                <w:szCs w:val="22"/>
              </w:rPr>
            </w:pPr>
            <w:r w:rsidRPr="00C83361">
              <w:rPr>
                <w:b/>
                <w:szCs w:val="22"/>
              </w:rPr>
              <w:t>ACTIVITY</w:t>
            </w:r>
          </w:p>
        </w:tc>
        <w:tc>
          <w:tcPr>
            <w:tcW w:w="3335" w:type="dxa"/>
            <w:shd w:val="clear" w:color="auto" w:fill="D9D9D9" w:themeFill="background1" w:themeFillShade="D9"/>
            <w:vAlign w:val="center"/>
          </w:tcPr>
          <w:p w14:paraId="1AFFB86D" w14:textId="77777777" w:rsidR="00740BE9" w:rsidRPr="00C83361" w:rsidRDefault="00740BE9" w:rsidP="000C11A5">
            <w:pPr>
              <w:jc w:val="center"/>
              <w:rPr>
                <w:b/>
                <w:szCs w:val="22"/>
              </w:rPr>
            </w:pPr>
            <w:r w:rsidRPr="00C83361">
              <w:rPr>
                <w:b/>
                <w:szCs w:val="22"/>
              </w:rPr>
              <w:t>ACTION DATE</w:t>
            </w:r>
          </w:p>
        </w:tc>
      </w:tr>
      <w:tr w:rsidR="00740BE9" w:rsidRPr="00C83361" w14:paraId="088D12F7" w14:textId="77777777" w:rsidTr="00CC4FCF">
        <w:trPr>
          <w:cantSplit/>
          <w:trHeight w:val="360"/>
        </w:trPr>
        <w:tc>
          <w:tcPr>
            <w:tcW w:w="5935" w:type="dxa"/>
            <w:vAlign w:val="center"/>
          </w:tcPr>
          <w:p w14:paraId="0CC78297" w14:textId="77777777" w:rsidR="00740BE9" w:rsidRPr="00C83361" w:rsidRDefault="00740BE9" w:rsidP="00CC4FCF">
            <w:pPr>
              <w:rPr>
                <w:szCs w:val="22"/>
              </w:rPr>
            </w:pPr>
            <w:r w:rsidRPr="00C83361">
              <w:rPr>
                <w:szCs w:val="22"/>
              </w:rPr>
              <w:t>Solicitation Release</w:t>
            </w:r>
          </w:p>
        </w:tc>
        <w:tc>
          <w:tcPr>
            <w:tcW w:w="3335" w:type="dxa"/>
            <w:vAlign w:val="center"/>
          </w:tcPr>
          <w:p w14:paraId="5CE99885" w14:textId="44060D0B" w:rsidR="00740BE9" w:rsidRPr="00CE4C67" w:rsidRDefault="50FFB18B" w:rsidP="00CC4FCF">
            <w:pPr>
              <w:rPr>
                <w:highlight w:val="yellow"/>
              </w:rPr>
            </w:pPr>
            <w:r w:rsidRPr="00BA297B">
              <w:t xml:space="preserve">December </w:t>
            </w:r>
            <w:r w:rsidR="3C68C02E" w:rsidRPr="00BA297B">
              <w:t>1</w:t>
            </w:r>
            <w:r w:rsidR="00D63BE7">
              <w:t>9</w:t>
            </w:r>
            <w:r w:rsidR="00ED2C8E" w:rsidRPr="00BA297B">
              <w:t>, 2024</w:t>
            </w:r>
          </w:p>
        </w:tc>
      </w:tr>
      <w:tr w:rsidR="00834622" w:rsidRPr="00C83361" w14:paraId="65D81F46" w14:textId="77777777" w:rsidTr="00CC4FCF">
        <w:trPr>
          <w:cantSplit/>
          <w:trHeight w:val="360"/>
        </w:trPr>
        <w:tc>
          <w:tcPr>
            <w:tcW w:w="5935" w:type="dxa"/>
            <w:vAlign w:val="center"/>
          </w:tcPr>
          <w:p w14:paraId="271D4FBF" w14:textId="62FE89FC" w:rsidR="00834622" w:rsidRPr="00C83361" w:rsidRDefault="00834622" w:rsidP="00CC4FCF">
            <w:pPr>
              <w:rPr>
                <w:szCs w:val="22"/>
              </w:rPr>
            </w:pPr>
            <w:r w:rsidRPr="00C83361">
              <w:rPr>
                <w:szCs w:val="22"/>
              </w:rPr>
              <w:lastRenderedPageBreak/>
              <w:t>Pre-Application Workshop*</w:t>
            </w:r>
            <w:r w:rsidR="00467A1A">
              <w:rPr>
                <w:szCs w:val="22"/>
              </w:rPr>
              <w:t xml:space="preserve"> </w:t>
            </w:r>
          </w:p>
        </w:tc>
        <w:tc>
          <w:tcPr>
            <w:tcW w:w="3335" w:type="dxa"/>
            <w:vAlign w:val="center"/>
          </w:tcPr>
          <w:p w14:paraId="2A8906D7" w14:textId="07BB8CCB" w:rsidR="00834622" w:rsidRPr="00CE4C67" w:rsidRDefault="0EFD4E83" w:rsidP="00CC4FCF">
            <w:pPr>
              <w:rPr>
                <w:highlight w:val="yellow"/>
              </w:rPr>
            </w:pPr>
            <w:r w:rsidRPr="00BF6D4B">
              <w:t>January 14</w:t>
            </w:r>
            <w:r w:rsidR="00631AD7" w:rsidRPr="00BF6D4B">
              <w:t>, 202</w:t>
            </w:r>
            <w:r w:rsidR="48CED528" w:rsidRPr="00BF6D4B">
              <w:t>5</w:t>
            </w:r>
          </w:p>
        </w:tc>
      </w:tr>
      <w:tr w:rsidR="00834622" w:rsidRPr="00C83361" w14:paraId="33D8F2EC" w14:textId="77777777" w:rsidTr="00CC4FCF">
        <w:trPr>
          <w:cantSplit/>
          <w:trHeight w:val="360"/>
        </w:trPr>
        <w:tc>
          <w:tcPr>
            <w:tcW w:w="5935" w:type="dxa"/>
            <w:vAlign w:val="center"/>
          </w:tcPr>
          <w:p w14:paraId="2F34B0F9" w14:textId="67354AE9" w:rsidR="00834622" w:rsidRPr="00C83361" w:rsidRDefault="00834622" w:rsidP="00CC4FCF">
            <w:r>
              <w:t>Deadline for Written Questions</w:t>
            </w:r>
            <w:r w:rsidR="61EE08C8">
              <w:t xml:space="preserve"> by 5:00 p.m.</w:t>
            </w:r>
            <w:r>
              <w:t>*</w:t>
            </w:r>
          </w:p>
        </w:tc>
        <w:tc>
          <w:tcPr>
            <w:tcW w:w="3335" w:type="dxa"/>
            <w:vAlign w:val="center"/>
          </w:tcPr>
          <w:p w14:paraId="1376138E" w14:textId="5C005583" w:rsidR="00834622" w:rsidRPr="00CE4C67" w:rsidRDefault="00083DB4" w:rsidP="00CC4FCF">
            <w:pPr>
              <w:rPr>
                <w:highlight w:val="yellow"/>
              </w:rPr>
            </w:pPr>
            <w:r w:rsidRPr="00BF6D4B">
              <w:t xml:space="preserve">January </w:t>
            </w:r>
            <w:r w:rsidR="5D7D0C09" w:rsidRPr="00BF6D4B">
              <w:t>2</w:t>
            </w:r>
            <w:r w:rsidR="00A442EC" w:rsidRPr="00BF6D4B">
              <w:t>1</w:t>
            </w:r>
            <w:r w:rsidRPr="00BF6D4B">
              <w:t>, 2025</w:t>
            </w:r>
          </w:p>
        </w:tc>
      </w:tr>
      <w:tr w:rsidR="00834622" w:rsidRPr="00C83361" w14:paraId="4348A389" w14:textId="77777777" w:rsidTr="00CC4FCF">
        <w:trPr>
          <w:cantSplit/>
          <w:trHeight w:val="360"/>
        </w:trPr>
        <w:tc>
          <w:tcPr>
            <w:tcW w:w="5935" w:type="dxa"/>
            <w:vAlign w:val="center"/>
          </w:tcPr>
          <w:p w14:paraId="24EC1463" w14:textId="77777777" w:rsidR="00834622" w:rsidRPr="00C83361" w:rsidRDefault="00834622" w:rsidP="00CC4FCF">
            <w:pPr>
              <w:rPr>
                <w:szCs w:val="22"/>
              </w:rPr>
            </w:pPr>
            <w:r w:rsidRPr="00C83361">
              <w:rPr>
                <w:szCs w:val="22"/>
              </w:rPr>
              <w:t>Anticipated Distribution of Questions/Answers</w:t>
            </w:r>
          </w:p>
        </w:tc>
        <w:tc>
          <w:tcPr>
            <w:tcW w:w="3335" w:type="dxa"/>
            <w:vAlign w:val="center"/>
          </w:tcPr>
          <w:p w14:paraId="0FD6ECD7" w14:textId="1E25ED0D" w:rsidR="00834622" w:rsidRPr="00C83361" w:rsidRDefault="009C1A14" w:rsidP="00CC4FCF">
            <w:r>
              <w:t xml:space="preserve">Week of </w:t>
            </w:r>
            <w:r w:rsidR="12E1FF1A">
              <w:t>February 1</w:t>
            </w:r>
            <w:r w:rsidR="00531E46">
              <w:t>7, 2025</w:t>
            </w:r>
          </w:p>
        </w:tc>
      </w:tr>
      <w:tr w:rsidR="00513B3D" w:rsidRPr="00C83361" w14:paraId="66461844" w14:textId="77777777" w:rsidTr="00CC4FCF">
        <w:trPr>
          <w:cantSplit/>
          <w:trHeight w:val="360"/>
        </w:trPr>
        <w:tc>
          <w:tcPr>
            <w:tcW w:w="5935" w:type="dxa"/>
            <w:vAlign w:val="center"/>
          </w:tcPr>
          <w:p w14:paraId="35D18C33" w14:textId="01716BAE" w:rsidR="00513B3D" w:rsidRPr="00B177D8" w:rsidRDefault="00004F7C" w:rsidP="00CC4FCF">
            <w:pPr>
              <w:rPr>
                <w:bCs/>
                <w:szCs w:val="22"/>
              </w:rPr>
            </w:pPr>
            <w:r w:rsidRPr="00B177D8">
              <w:rPr>
                <w:bCs/>
                <w:szCs w:val="22"/>
              </w:rPr>
              <w:t xml:space="preserve">Support for Application Submission in </w:t>
            </w:r>
            <w:r w:rsidR="00F657B1">
              <w:rPr>
                <w:bCs/>
                <w:szCs w:val="22"/>
              </w:rPr>
              <w:t>the Energy Commission Agreement Management System (</w:t>
            </w:r>
            <w:r w:rsidRPr="00B177D8">
              <w:rPr>
                <w:bCs/>
                <w:szCs w:val="22"/>
              </w:rPr>
              <w:t>ECAMS</w:t>
            </w:r>
            <w:r w:rsidR="00F657B1">
              <w:rPr>
                <w:bCs/>
                <w:szCs w:val="22"/>
              </w:rPr>
              <w:t>)</w:t>
            </w:r>
            <w:r w:rsidRPr="00B177D8">
              <w:rPr>
                <w:bCs/>
                <w:szCs w:val="22"/>
              </w:rPr>
              <w:t xml:space="preserve"> until 5:00 p.m.</w:t>
            </w:r>
          </w:p>
        </w:tc>
        <w:tc>
          <w:tcPr>
            <w:tcW w:w="3335" w:type="dxa"/>
            <w:vAlign w:val="center"/>
          </w:tcPr>
          <w:p w14:paraId="42FC5B44" w14:textId="215DCCF8" w:rsidR="00513B3D" w:rsidRPr="00C83361" w:rsidRDefault="00DB0CA0" w:rsidP="00CC4FCF">
            <w:pPr>
              <w:rPr>
                <w:b/>
                <w:bCs/>
              </w:rPr>
            </w:pPr>
            <w:r w:rsidRPr="61788717">
              <w:rPr>
                <w:b/>
                <w:bCs/>
              </w:rPr>
              <w:t xml:space="preserve">Ongoing until </w:t>
            </w:r>
            <w:r w:rsidR="00CC4FCF">
              <w:br/>
            </w:r>
            <w:r w:rsidR="00602133" w:rsidRPr="7BD6B12B">
              <w:rPr>
                <w:b/>
                <w:u w:val="single"/>
              </w:rPr>
              <w:t xml:space="preserve">March </w:t>
            </w:r>
            <w:r w:rsidR="01435B59" w:rsidRPr="7BD6B12B">
              <w:rPr>
                <w:b/>
                <w:bCs/>
                <w:u w:val="single"/>
              </w:rPr>
              <w:t>2</w:t>
            </w:r>
            <w:r w:rsidR="003824A2">
              <w:rPr>
                <w:b/>
                <w:bCs/>
                <w:u w:val="single"/>
              </w:rPr>
              <w:t>5</w:t>
            </w:r>
            <w:r w:rsidR="01435B59" w:rsidRPr="7BD6B12B">
              <w:rPr>
                <w:b/>
                <w:bCs/>
              </w:rPr>
              <w:t xml:space="preserve"> [</w:t>
            </w:r>
            <w:r w:rsidR="00602133" w:rsidRPr="00616894">
              <w:rPr>
                <w:b/>
                <w:bCs/>
                <w:strike/>
              </w:rPr>
              <w:t xml:space="preserve">March </w:t>
            </w:r>
            <w:r w:rsidR="60000316" w:rsidRPr="00616894">
              <w:rPr>
                <w:b/>
                <w:bCs/>
                <w:strike/>
              </w:rPr>
              <w:t>1</w:t>
            </w:r>
            <w:r w:rsidR="00602133" w:rsidRPr="00616894">
              <w:rPr>
                <w:b/>
                <w:bCs/>
                <w:strike/>
              </w:rPr>
              <w:t>7</w:t>
            </w:r>
            <w:r w:rsidR="3A399C41" w:rsidRPr="7BD6B12B">
              <w:rPr>
                <w:b/>
                <w:bCs/>
              </w:rPr>
              <w:t>]</w:t>
            </w:r>
            <w:r w:rsidR="00602133" w:rsidRPr="7BD6B12B">
              <w:rPr>
                <w:b/>
                <w:bCs/>
              </w:rPr>
              <w:t>,</w:t>
            </w:r>
            <w:r w:rsidR="00602133" w:rsidRPr="61788717">
              <w:rPr>
                <w:b/>
                <w:bCs/>
              </w:rPr>
              <w:t xml:space="preserve"> 2025</w:t>
            </w:r>
          </w:p>
        </w:tc>
      </w:tr>
      <w:tr w:rsidR="00834622" w:rsidRPr="00C83361" w14:paraId="533AFE8F" w14:textId="77777777" w:rsidTr="00CC4FCF">
        <w:trPr>
          <w:cantSplit/>
          <w:trHeight w:val="360"/>
        </w:trPr>
        <w:tc>
          <w:tcPr>
            <w:tcW w:w="5935" w:type="dxa"/>
            <w:vAlign w:val="center"/>
          </w:tcPr>
          <w:p w14:paraId="54B697C9" w14:textId="77777777" w:rsidR="00834622" w:rsidRPr="00C83361" w:rsidRDefault="00834622" w:rsidP="00CC4FCF">
            <w:pPr>
              <w:rPr>
                <w:b/>
                <w:szCs w:val="22"/>
              </w:rPr>
            </w:pPr>
            <w:r w:rsidRPr="00C83361">
              <w:rPr>
                <w:b/>
                <w:szCs w:val="22"/>
              </w:rPr>
              <w:t xml:space="preserve">Deadline to Submit Applications by </w:t>
            </w:r>
            <w:r w:rsidR="004270CC">
              <w:rPr>
                <w:b/>
                <w:szCs w:val="22"/>
              </w:rPr>
              <w:t>11:59</w:t>
            </w:r>
            <w:r w:rsidRPr="00C83361">
              <w:rPr>
                <w:b/>
                <w:szCs w:val="22"/>
              </w:rPr>
              <w:t xml:space="preserve"> p.m.*</w:t>
            </w:r>
          </w:p>
        </w:tc>
        <w:tc>
          <w:tcPr>
            <w:tcW w:w="3335" w:type="dxa"/>
            <w:vAlign w:val="center"/>
          </w:tcPr>
          <w:p w14:paraId="7BE9CBC3" w14:textId="0A7CFA23" w:rsidR="00834622" w:rsidRPr="00C83361" w:rsidRDefault="00616894" w:rsidP="00CC4FCF">
            <w:pPr>
              <w:rPr>
                <w:b/>
                <w:bCs/>
              </w:rPr>
            </w:pPr>
            <w:r w:rsidRPr="7BD6B12B">
              <w:rPr>
                <w:b/>
                <w:u w:val="single"/>
              </w:rPr>
              <w:t xml:space="preserve">March </w:t>
            </w:r>
            <w:r w:rsidRPr="7BD6B12B">
              <w:rPr>
                <w:b/>
                <w:bCs/>
                <w:u w:val="single"/>
              </w:rPr>
              <w:t>2</w:t>
            </w:r>
            <w:r w:rsidR="003824A2">
              <w:rPr>
                <w:b/>
                <w:bCs/>
                <w:u w:val="single"/>
              </w:rPr>
              <w:t>5</w:t>
            </w:r>
            <w:r w:rsidRPr="7BD6B12B">
              <w:rPr>
                <w:b/>
                <w:bCs/>
              </w:rPr>
              <w:t xml:space="preserve"> [</w:t>
            </w:r>
            <w:r w:rsidRPr="00616894">
              <w:rPr>
                <w:b/>
                <w:bCs/>
                <w:strike/>
              </w:rPr>
              <w:t>March 17</w:t>
            </w:r>
            <w:r w:rsidRPr="7BD6B12B">
              <w:rPr>
                <w:b/>
                <w:bCs/>
              </w:rPr>
              <w:t>]</w:t>
            </w:r>
            <w:r w:rsidR="00602133" w:rsidRPr="61788717">
              <w:rPr>
                <w:b/>
                <w:bCs/>
              </w:rPr>
              <w:t>, 202</w:t>
            </w:r>
            <w:r w:rsidR="00E40A50" w:rsidRPr="61788717">
              <w:rPr>
                <w:b/>
                <w:bCs/>
              </w:rPr>
              <w:t>5</w:t>
            </w:r>
          </w:p>
        </w:tc>
      </w:tr>
      <w:tr w:rsidR="00834622" w:rsidRPr="00C83361" w14:paraId="78A9C13C" w14:textId="77777777" w:rsidTr="00CC4FCF">
        <w:trPr>
          <w:cantSplit/>
          <w:trHeight w:val="360"/>
        </w:trPr>
        <w:tc>
          <w:tcPr>
            <w:tcW w:w="5935" w:type="dxa"/>
            <w:vAlign w:val="center"/>
          </w:tcPr>
          <w:p w14:paraId="1944A492" w14:textId="77777777" w:rsidR="00834622" w:rsidRPr="00C83361" w:rsidRDefault="00834622" w:rsidP="00CC4FCF">
            <w:pPr>
              <w:rPr>
                <w:szCs w:val="22"/>
              </w:rPr>
            </w:pPr>
            <w:r w:rsidRPr="00C83361">
              <w:rPr>
                <w:szCs w:val="22"/>
              </w:rPr>
              <w:t xml:space="preserve">Anticipated Notice of Proposed Awards Posting </w:t>
            </w:r>
          </w:p>
        </w:tc>
        <w:tc>
          <w:tcPr>
            <w:tcW w:w="3335" w:type="dxa"/>
            <w:vAlign w:val="center"/>
          </w:tcPr>
          <w:p w14:paraId="796A28BD" w14:textId="2A56D055" w:rsidR="00834622" w:rsidRPr="00C83361" w:rsidRDefault="00293804" w:rsidP="00CC4FCF">
            <w:r>
              <w:t xml:space="preserve">Week of </w:t>
            </w:r>
            <w:r w:rsidR="00A115A5" w:rsidRPr="00473B95">
              <w:rPr>
                <w:b/>
                <w:bCs/>
                <w:u w:val="single"/>
              </w:rPr>
              <w:t>June 16</w:t>
            </w:r>
            <w:r w:rsidR="00A115A5">
              <w:t xml:space="preserve"> </w:t>
            </w:r>
            <w:r w:rsidR="00473B95">
              <w:t>[</w:t>
            </w:r>
            <w:r w:rsidR="00E40A50" w:rsidRPr="00473B95">
              <w:rPr>
                <w:strike/>
              </w:rPr>
              <w:t xml:space="preserve">June </w:t>
            </w:r>
            <w:r w:rsidR="1800FC8A" w:rsidRPr="00473B95">
              <w:rPr>
                <w:strike/>
              </w:rPr>
              <w:t>9</w:t>
            </w:r>
            <w:r w:rsidR="00473B95">
              <w:t>]</w:t>
            </w:r>
            <w:r w:rsidR="00E40A50">
              <w:t>, 2025</w:t>
            </w:r>
          </w:p>
        </w:tc>
      </w:tr>
      <w:tr w:rsidR="00834622" w:rsidRPr="00C83361" w14:paraId="2AF84E55" w14:textId="77777777" w:rsidTr="00CC4FCF">
        <w:trPr>
          <w:cantSplit/>
          <w:trHeight w:val="360"/>
        </w:trPr>
        <w:tc>
          <w:tcPr>
            <w:tcW w:w="5935" w:type="dxa"/>
            <w:vAlign w:val="center"/>
          </w:tcPr>
          <w:p w14:paraId="23670E43" w14:textId="487ECC69" w:rsidR="00834622" w:rsidRPr="00C83361" w:rsidRDefault="00834622" w:rsidP="00CC4FCF">
            <w:r>
              <w:t xml:space="preserve">Anticipated </w:t>
            </w:r>
            <w:r w:rsidR="005A220D">
              <w:t>CEC</w:t>
            </w:r>
            <w:r>
              <w:t xml:space="preserve"> Business Meeting </w:t>
            </w:r>
          </w:p>
        </w:tc>
        <w:tc>
          <w:tcPr>
            <w:tcW w:w="3335" w:type="dxa"/>
            <w:vAlign w:val="center"/>
          </w:tcPr>
          <w:p w14:paraId="439AF6BB" w14:textId="4E9D892D" w:rsidR="00834622" w:rsidRPr="00C83361" w:rsidRDefault="007F353B" w:rsidP="00CC4FCF">
            <w:pPr>
              <w:rPr>
                <w:szCs w:val="22"/>
              </w:rPr>
            </w:pPr>
            <w:r>
              <w:rPr>
                <w:szCs w:val="22"/>
              </w:rPr>
              <w:t xml:space="preserve">September </w:t>
            </w:r>
            <w:r w:rsidR="00A044C9">
              <w:rPr>
                <w:szCs w:val="22"/>
              </w:rPr>
              <w:t>2025</w:t>
            </w:r>
          </w:p>
        </w:tc>
      </w:tr>
    </w:tbl>
    <w:p w14:paraId="12E1EA06" w14:textId="77777777" w:rsidR="00E4536E" w:rsidRPr="00677FAD" w:rsidRDefault="00E4536E" w:rsidP="00E04486">
      <w:pPr>
        <w:rPr>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677FAD" w:rsidRDefault="003D1490" w:rsidP="00164AC5">
      <w:pPr>
        <w:pStyle w:val="Heading2"/>
        <w:keepNext w:val="0"/>
        <w:numPr>
          <w:ilvl w:val="0"/>
          <w:numId w:val="11"/>
        </w:numPr>
        <w:spacing w:before="0"/>
        <w:ind w:hanging="720"/>
      </w:pPr>
      <w:bookmarkStart w:id="17" w:name="_Toc184829612"/>
      <w:r w:rsidRPr="00677FAD">
        <w:t xml:space="preserve">How Award </w:t>
      </w:r>
      <w:r w:rsidR="00920DB9">
        <w:rPr>
          <w:lang w:val="en-US"/>
        </w:rPr>
        <w:t>I</w:t>
      </w:r>
      <w:r w:rsidRPr="00677FAD">
        <w:t>s Determined</w:t>
      </w:r>
      <w:bookmarkEnd w:id="11"/>
      <w:bookmarkEnd w:id="12"/>
      <w:bookmarkEnd w:id="17"/>
    </w:p>
    <w:p w14:paraId="285C5D48" w14:textId="3ADC532C" w:rsidR="00D77B27" w:rsidRPr="00C83361" w:rsidRDefault="00232886" w:rsidP="00E26DE1">
      <w:pPr>
        <w:ind w:left="720"/>
      </w:pPr>
      <w:r>
        <w:t>Applicants</w:t>
      </w:r>
      <w:r w:rsidR="00644881">
        <w:t xml:space="preserve"> passing administrative and technical screening will</w:t>
      </w:r>
      <w:r>
        <w:t xml:space="preserve"> compete based on </w:t>
      </w:r>
      <w:r w:rsidR="00644881">
        <w:t xml:space="preserve">evaluation </w:t>
      </w:r>
      <w:r w:rsidR="007D7FE5">
        <w:t>criteria and</w:t>
      </w:r>
      <w:r>
        <w:t xml:space="preserve"> </w:t>
      </w:r>
      <w:r w:rsidR="00644881">
        <w:t xml:space="preserve">will be </w:t>
      </w:r>
      <w:r>
        <w:t>scored and ranked based on those criteria.</w:t>
      </w:r>
      <w:r w:rsidR="00D77B27">
        <w:t xml:space="preserve"> </w:t>
      </w:r>
      <w:r w:rsidR="002A1478">
        <w:t xml:space="preserve">Unless </w:t>
      </w:r>
      <w:r w:rsidR="0022464C">
        <w:t>CEC</w:t>
      </w:r>
      <w:r w:rsidR="002A1478">
        <w:t xml:space="preserve"> exercises any of its other rights regarding this solicitation (e.g., to cancel the solicitation or reduce funding), </w:t>
      </w:r>
      <w:r w:rsidR="006B192F">
        <w:t xml:space="preserve">the </w:t>
      </w:r>
      <w:r w:rsidR="3C8D297D">
        <w:t>application</w:t>
      </w:r>
      <w:r w:rsidR="006B192F">
        <w:t xml:space="preserve"> obtaining the highest score for each corridor segment (</w:t>
      </w:r>
      <w:r w:rsidR="00F3230D">
        <w:t>which are defined in</w:t>
      </w:r>
      <w:r w:rsidR="006B192F">
        <w:t xml:space="preserve"> Section II.B.) and at least the minimum passing score will be recommended for funding. The CEC</w:t>
      </w:r>
      <w:r w:rsidR="3C8D297D">
        <w:t xml:space="preserve"> </w:t>
      </w:r>
      <w:r w:rsidR="132D26F6">
        <w:t xml:space="preserve">may recommend for funding </w:t>
      </w:r>
      <w:r w:rsidR="006B192F">
        <w:t>additional applications</w:t>
      </w:r>
      <w:r w:rsidR="009A0BA3">
        <w:t xml:space="preserve">, according to </w:t>
      </w:r>
      <w:r w:rsidR="00617840">
        <w:t>ranked order of score, for those applications</w:t>
      </w:r>
      <w:r w:rsidR="006B192F">
        <w:t xml:space="preserve"> with at least the minimum passing score if there are remaining funds available under this solicitation after all corridor segments with passing applications have one application proposed for funding.</w:t>
      </w:r>
      <w:r w:rsidR="008E731C">
        <w:t xml:space="preserve"> By funding more than one application on a corridor segment, </w:t>
      </w:r>
      <w:r w:rsidR="00A039D2">
        <w:t>the distance between EV fast charging stations on the corridor could be reduced</w:t>
      </w:r>
      <w:r w:rsidR="000E0F52">
        <w:t xml:space="preserve"> further below the 50-mile maximum distance between stations.</w:t>
      </w:r>
    </w:p>
    <w:p w14:paraId="7A7353F7" w14:textId="77777777" w:rsidR="00356D38" w:rsidRPr="00C83361" w:rsidRDefault="00356D38" w:rsidP="00E04486">
      <w:pPr>
        <w:rPr>
          <w:szCs w:val="24"/>
        </w:rPr>
      </w:pPr>
    </w:p>
    <w:p w14:paraId="35692F81" w14:textId="4CC7DC59" w:rsidR="00DA798F" w:rsidRPr="00C83361" w:rsidRDefault="00DA798F" w:rsidP="00E26DE1">
      <w:pPr>
        <w:ind w:left="720"/>
        <w:rPr>
          <w:szCs w:val="24"/>
        </w:rPr>
      </w:pPr>
      <w:r w:rsidRPr="00C83361">
        <w:rPr>
          <w:szCs w:val="24"/>
        </w:rPr>
        <w:t xml:space="preserve">If the funds available under this solicitation are insufficient to fully fund a grant proposal, </w:t>
      </w:r>
      <w:r w:rsidR="005A220D" w:rsidRPr="00C83361">
        <w:rPr>
          <w:szCs w:val="24"/>
        </w:rPr>
        <w:t>CEC</w:t>
      </w:r>
      <w:r w:rsidRPr="00C83361">
        <w:rPr>
          <w:szCs w:val="24"/>
        </w:rPr>
        <w:t xml:space="preserve"> reserves the right to recommend partially funding that proposal. In this event, the </w:t>
      </w:r>
      <w:r w:rsidR="00E0770E" w:rsidRPr="00C83361">
        <w:rPr>
          <w:szCs w:val="24"/>
        </w:rPr>
        <w:t>p</w:t>
      </w:r>
      <w:r w:rsidRPr="00C83361">
        <w:rPr>
          <w:szCs w:val="24"/>
        </w:rPr>
        <w:t xml:space="preserve">roposed Applicant/Awardee and Commission Agreement Manager (CAM) shall meet and </w:t>
      </w:r>
      <w:r w:rsidR="005A220D" w:rsidRPr="00C83361">
        <w:rPr>
          <w:szCs w:val="24"/>
        </w:rPr>
        <w:t xml:space="preserve">attempt to </w:t>
      </w:r>
      <w:r w:rsidRPr="00C83361">
        <w:rPr>
          <w:szCs w:val="24"/>
        </w:rPr>
        <w:t>reach agreement on a reduced scope of work commensurate with the level of available funding.</w:t>
      </w:r>
    </w:p>
    <w:p w14:paraId="1F503C9C" w14:textId="77777777" w:rsidR="0026624D" w:rsidRPr="00C83361" w:rsidRDefault="0026624D" w:rsidP="00E04486">
      <w:pPr>
        <w:rPr>
          <w:szCs w:val="24"/>
        </w:rPr>
      </w:pPr>
    </w:p>
    <w:p w14:paraId="6431F0DB" w14:textId="77777777" w:rsidR="00DD5F50" w:rsidRPr="00677FAD" w:rsidRDefault="00FF4E8A" w:rsidP="00164AC5">
      <w:pPr>
        <w:pStyle w:val="Heading2"/>
        <w:keepNext w:val="0"/>
        <w:numPr>
          <w:ilvl w:val="0"/>
          <w:numId w:val="11"/>
        </w:numPr>
        <w:spacing w:before="0"/>
        <w:ind w:hanging="720"/>
      </w:pPr>
      <w:bookmarkStart w:id="18" w:name="_Toc352232771"/>
      <w:bookmarkStart w:id="19" w:name="_Toc184829613"/>
      <w:r w:rsidRPr="00677FAD">
        <w:t>Availability of Funds</w:t>
      </w:r>
      <w:bookmarkEnd w:id="18"/>
      <w:bookmarkEnd w:id="19"/>
    </w:p>
    <w:p w14:paraId="6AF1E6A2" w14:textId="40238900" w:rsidR="00360B39" w:rsidRPr="00C83361" w:rsidRDefault="00FF4E8A" w:rsidP="00E26DE1">
      <w:pPr>
        <w:ind w:left="720"/>
        <w:rPr>
          <w:szCs w:val="24"/>
        </w:rPr>
      </w:pPr>
      <w:r w:rsidRPr="00C83361">
        <w:rPr>
          <w:szCs w:val="24"/>
        </w:rPr>
        <w:t xml:space="preserve">A total </w:t>
      </w:r>
      <w:r w:rsidRPr="00D43920">
        <w:rPr>
          <w:szCs w:val="24"/>
        </w:rPr>
        <w:t xml:space="preserve">of </w:t>
      </w:r>
      <w:r w:rsidR="00961BD8" w:rsidRPr="006F517B">
        <w:rPr>
          <w:szCs w:val="24"/>
        </w:rPr>
        <w:t>$</w:t>
      </w:r>
      <w:r w:rsidR="00D43920" w:rsidRPr="006F517B">
        <w:rPr>
          <w:szCs w:val="24"/>
        </w:rPr>
        <w:t>107,000,000</w:t>
      </w:r>
      <w:r w:rsidR="00D47CD0" w:rsidRPr="00C83361">
        <w:rPr>
          <w:szCs w:val="24"/>
        </w:rPr>
        <w:t xml:space="preserve"> is</w:t>
      </w:r>
      <w:r w:rsidRPr="00C83361">
        <w:rPr>
          <w:szCs w:val="24"/>
        </w:rPr>
        <w:t xml:space="preserve"> available for awards under this solicitation. </w:t>
      </w:r>
      <w:r w:rsidR="005A220D" w:rsidRPr="00C83361">
        <w:rPr>
          <w:szCs w:val="24"/>
        </w:rPr>
        <w:t>CEC</w:t>
      </w:r>
      <w:r w:rsidRPr="00C83361">
        <w:rPr>
          <w:szCs w:val="24"/>
        </w:rPr>
        <w:t>, at its sole discretion, reserves the right to increase or decrease</w:t>
      </w:r>
      <w:r w:rsidR="00985645" w:rsidRPr="00C83361">
        <w:rPr>
          <w:szCs w:val="24"/>
        </w:rPr>
        <w:t xml:space="preserve"> </w:t>
      </w:r>
      <w:r w:rsidRPr="00C83361">
        <w:rPr>
          <w:szCs w:val="24"/>
        </w:rPr>
        <w:t>the amount of funds available under this solicitation.</w:t>
      </w:r>
    </w:p>
    <w:p w14:paraId="5D29D654" w14:textId="77777777" w:rsidR="00DD5F50" w:rsidRPr="00677FAD" w:rsidRDefault="00DD5F50" w:rsidP="00E04486">
      <w:pPr>
        <w:rPr>
          <w:szCs w:val="22"/>
        </w:rPr>
      </w:pPr>
    </w:p>
    <w:p w14:paraId="29102990" w14:textId="696EB39F" w:rsidR="00FF4E8A" w:rsidRPr="00677FAD" w:rsidRDefault="000D0EA9" w:rsidP="00164AC5">
      <w:pPr>
        <w:pStyle w:val="Heading2"/>
        <w:keepNext w:val="0"/>
        <w:numPr>
          <w:ilvl w:val="0"/>
          <w:numId w:val="11"/>
        </w:numPr>
        <w:spacing w:before="0"/>
        <w:ind w:hanging="720"/>
      </w:pPr>
      <w:bookmarkStart w:id="20" w:name="_Toc184829614"/>
      <w:r w:rsidRPr="00677FAD">
        <w:rPr>
          <w:lang w:val="en-US"/>
        </w:rPr>
        <w:t>Maximum</w:t>
      </w:r>
      <w:r w:rsidR="00FD56EE" w:rsidRPr="00677FAD">
        <w:rPr>
          <w:lang w:val="en-US"/>
        </w:rPr>
        <w:t xml:space="preserve"> Award</w:t>
      </w:r>
      <w:r w:rsidR="00B9321C">
        <w:rPr>
          <w:lang w:val="en-US"/>
        </w:rPr>
        <w:t xml:space="preserve"> Per</w:t>
      </w:r>
      <w:r w:rsidR="009B1581">
        <w:rPr>
          <w:lang w:val="en-US"/>
        </w:rPr>
        <w:t xml:space="preserve"> CCS</w:t>
      </w:r>
      <w:r w:rsidR="00B9321C">
        <w:rPr>
          <w:lang w:val="en-US"/>
        </w:rPr>
        <w:t xml:space="preserve"> Port</w:t>
      </w:r>
      <w:bookmarkEnd w:id="20"/>
    </w:p>
    <w:p w14:paraId="602A01B8" w14:textId="3C6C7810" w:rsidR="00847F33" w:rsidRDefault="00847F33" w:rsidP="00847F33">
      <w:pPr>
        <w:pStyle w:val="ListParagraph"/>
      </w:pPr>
      <w:r>
        <w:t>T</w:t>
      </w:r>
      <w:r w:rsidR="00EC2AD5">
        <w:t>his solicitation</w:t>
      </w:r>
      <w:r w:rsidR="007C42C6">
        <w:t xml:space="preserve"> sets a maximum award amount per </w:t>
      </w:r>
      <w:r w:rsidR="00DD7C1F">
        <w:t xml:space="preserve">CCS </w:t>
      </w:r>
      <w:r w:rsidR="007C42C6">
        <w:t>EV charging port, which is</w:t>
      </w:r>
      <w:r w:rsidR="00EC2AD5">
        <w:t xml:space="preserve"> determined by the number of new </w:t>
      </w:r>
      <w:r w:rsidR="003A5C57">
        <w:t>Combined Charging System (</w:t>
      </w:r>
      <w:r w:rsidR="00EC2AD5">
        <w:t>CCS</w:t>
      </w:r>
      <w:r w:rsidR="003A5C57">
        <w:t>)</w:t>
      </w:r>
      <w:r w:rsidR="00EC2AD5">
        <w:t xml:space="preserve"> </w:t>
      </w:r>
      <w:r w:rsidR="0026352C">
        <w:t xml:space="preserve">EV </w:t>
      </w:r>
      <w:r w:rsidR="00EC2AD5">
        <w:t xml:space="preserve">charging ports </w:t>
      </w:r>
      <w:r w:rsidR="002C49D1">
        <w:t>proposed in the Application</w:t>
      </w:r>
      <w:r w:rsidR="00367A8C">
        <w:t xml:space="preserve">, </w:t>
      </w:r>
      <w:r w:rsidR="002142C9">
        <w:t xml:space="preserve">the maximum CEC reimbursable share (as a percentage), and </w:t>
      </w:r>
      <w:r w:rsidR="00367A8C">
        <w:t xml:space="preserve">the </w:t>
      </w:r>
      <w:r w:rsidR="002800B0">
        <w:t>presence</w:t>
      </w:r>
      <w:r w:rsidR="00367A8C">
        <w:t xml:space="preserve"> of </w:t>
      </w:r>
      <w:r w:rsidR="002800B0">
        <w:t>onsite renewable energy generation or storage</w:t>
      </w:r>
      <w:r w:rsidR="00EC2AD5">
        <w:t xml:space="preserve">. </w:t>
      </w:r>
      <w:r w:rsidR="0026352C">
        <w:t xml:space="preserve">Each </w:t>
      </w:r>
      <w:r w:rsidR="005221EF">
        <w:t>Application must</w:t>
      </w:r>
      <w:r w:rsidR="0026352C">
        <w:t xml:space="preserve"> install</w:t>
      </w:r>
      <w:r w:rsidR="005221EF">
        <w:t xml:space="preserve"> the</w:t>
      </w:r>
      <w:r w:rsidR="0026352C">
        <w:t xml:space="preserve"> minimum number of new EV charging stations and </w:t>
      </w:r>
      <w:r w:rsidR="005221EF">
        <w:t>the</w:t>
      </w:r>
      <w:r w:rsidR="0026352C">
        <w:t xml:space="preserve"> minimum number of new CCS EV charging ports </w:t>
      </w:r>
      <w:r w:rsidR="005221EF">
        <w:lastRenderedPageBreak/>
        <w:t xml:space="preserve">specified for the </w:t>
      </w:r>
      <w:r w:rsidR="0032199C">
        <w:t>relevant</w:t>
      </w:r>
      <w:r w:rsidR="005221EF">
        <w:t xml:space="preserve"> corridor segment</w:t>
      </w:r>
      <w:r w:rsidR="0032199C">
        <w:t xml:space="preserve"> (see these minimum numbers in Section II.B)</w:t>
      </w:r>
      <w:r w:rsidR="005221EF">
        <w:t>.</w:t>
      </w:r>
    </w:p>
    <w:p w14:paraId="37EE7BDD" w14:textId="77777777" w:rsidR="00530B52" w:rsidRPr="00847F33" w:rsidRDefault="00530B52" w:rsidP="00530B52">
      <w:pPr>
        <w:pStyle w:val="ListParagraph"/>
        <w:rPr>
          <w:szCs w:val="24"/>
        </w:rPr>
      </w:pPr>
    </w:p>
    <w:p w14:paraId="53128D33" w14:textId="6094AF3B" w:rsidR="00530B52" w:rsidRDefault="00530B52" w:rsidP="00530B52">
      <w:pPr>
        <w:ind w:left="720"/>
      </w:pPr>
      <w:r>
        <w:t xml:space="preserve">The maximum award per </w:t>
      </w:r>
      <w:r w:rsidR="00B85676">
        <w:t xml:space="preserve">CCS </w:t>
      </w:r>
      <w:r>
        <w:t>EV charging port is based on the following equation:</w:t>
      </w:r>
    </w:p>
    <w:p w14:paraId="09BFB50C" w14:textId="77777777" w:rsidR="00530B52" w:rsidRDefault="00530B52" w:rsidP="00530B52">
      <w:pPr>
        <w:ind w:left="720"/>
      </w:pPr>
    </w:p>
    <w:p w14:paraId="1A9146D5" w14:textId="447A94CB" w:rsidR="00530B52" w:rsidRDefault="00530B52" w:rsidP="00530B52">
      <w:pPr>
        <w:ind w:left="1440"/>
      </w:pPr>
      <w:r>
        <w:t>Maximum award per</w:t>
      </w:r>
      <w:r w:rsidR="009B1581">
        <w:t xml:space="preserve"> CCS</w:t>
      </w:r>
      <w:r>
        <w:t xml:space="preserve"> port = </w:t>
      </w:r>
      <w:r>
        <w:br/>
        <w:t>Per port cost cap x Maximum % CEC reimbursable share</w:t>
      </w:r>
    </w:p>
    <w:p w14:paraId="52571911" w14:textId="77777777" w:rsidR="00530B52" w:rsidRDefault="00530B52" w:rsidP="00530B52">
      <w:pPr>
        <w:ind w:left="1440"/>
      </w:pPr>
    </w:p>
    <w:p w14:paraId="4579547E" w14:textId="2671040B" w:rsidR="006056E2" w:rsidRDefault="00530B52" w:rsidP="00741DF6">
      <w:pPr>
        <w:spacing w:after="120"/>
        <w:ind w:left="720"/>
      </w:pPr>
      <w:r>
        <w:t>The per-port cost cap is</w:t>
      </w:r>
      <w:r w:rsidR="006056E2">
        <w:t>:</w:t>
      </w:r>
    </w:p>
    <w:p w14:paraId="1200C0D1" w14:textId="5C66AAD3" w:rsidR="006056E2" w:rsidRDefault="00530B52" w:rsidP="006056E2">
      <w:pPr>
        <w:pStyle w:val="ListParagraph"/>
        <w:numPr>
          <w:ilvl w:val="0"/>
          <w:numId w:val="90"/>
        </w:numPr>
        <w:ind w:left="1440" w:hanging="720"/>
      </w:pPr>
      <w:r>
        <w:t>$200,000 for a CCS EV charging port at a station not proposed to include onsite renewable energy generation or storage</w:t>
      </w:r>
      <w:r w:rsidR="00E658E0">
        <w:t>; or</w:t>
      </w:r>
    </w:p>
    <w:p w14:paraId="72698A26" w14:textId="78FC0FCC" w:rsidR="00530B52" w:rsidRDefault="00530B52" w:rsidP="006056E2">
      <w:pPr>
        <w:pStyle w:val="ListParagraph"/>
        <w:numPr>
          <w:ilvl w:val="0"/>
          <w:numId w:val="90"/>
        </w:numPr>
        <w:ind w:left="1440" w:hanging="720"/>
      </w:pPr>
      <w:r>
        <w:t xml:space="preserve">$300,000 for </w:t>
      </w:r>
      <w:r w:rsidR="00C85AB5">
        <w:t>a CCS EV charging port</w:t>
      </w:r>
      <w:r>
        <w:t xml:space="preserve"> at a station where onsite renewable energy generation or storage is proposed.</w:t>
      </w:r>
    </w:p>
    <w:p w14:paraId="5FD86BC1" w14:textId="77777777" w:rsidR="0032199C" w:rsidRDefault="0032199C" w:rsidP="00847F33">
      <w:pPr>
        <w:pStyle w:val="ListParagraph"/>
        <w:rPr>
          <w:szCs w:val="24"/>
        </w:rPr>
      </w:pPr>
    </w:p>
    <w:p w14:paraId="4628F52B" w14:textId="201D22AE" w:rsidR="001B04A7" w:rsidRPr="00865A80" w:rsidRDefault="00865A80" w:rsidP="00865A80">
      <w:pPr>
        <w:pStyle w:val="Caption"/>
      </w:pPr>
      <w:r>
        <w:t xml:space="preserve">Table </w:t>
      </w:r>
      <w:r>
        <w:fldChar w:fldCharType="begin"/>
      </w:r>
      <w:r>
        <w:instrText xml:space="preserve"> SEQ Table \* ARABIC </w:instrText>
      </w:r>
      <w:r>
        <w:fldChar w:fldCharType="separate"/>
      </w:r>
      <w:r w:rsidR="0062656C" w:rsidRPr="2EBD591C">
        <w:t>1</w:t>
      </w:r>
      <w:r>
        <w:fldChar w:fldCharType="end"/>
      </w:r>
      <w:r>
        <w:t xml:space="preserve">: </w:t>
      </w:r>
      <w:r w:rsidR="001B04A7">
        <w:t>Maximum Award</w:t>
      </w:r>
      <w:r w:rsidR="00D55207">
        <w:t xml:space="preserve"> </w:t>
      </w:r>
      <w:r w:rsidR="00B310A4">
        <w:t xml:space="preserve">Per CCS </w:t>
      </w:r>
      <w:r w:rsidR="00854B9E">
        <w:t>P</w:t>
      </w:r>
      <w:r w:rsidR="00B310A4">
        <w:t>ort</w:t>
      </w:r>
    </w:p>
    <w:tbl>
      <w:tblPr>
        <w:tblStyle w:val="TableGrid"/>
        <w:tblW w:w="0" w:type="auto"/>
        <w:tblInd w:w="720" w:type="dxa"/>
        <w:tblLook w:val="04A0" w:firstRow="1" w:lastRow="0" w:firstColumn="1" w:lastColumn="0" w:noHBand="0" w:noVBand="1"/>
      </w:tblPr>
      <w:tblGrid>
        <w:gridCol w:w="2826"/>
        <w:gridCol w:w="2902"/>
        <w:gridCol w:w="2902"/>
      </w:tblGrid>
      <w:tr w:rsidR="00102561" w14:paraId="00F9C6DC" w14:textId="77777777" w:rsidTr="005D2083">
        <w:trPr>
          <w:cantSplit/>
          <w:tblHeader/>
        </w:trPr>
        <w:tc>
          <w:tcPr>
            <w:tcW w:w="3116" w:type="dxa"/>
            <w:vAlign w:val="center"/>
          </w:tcPr>
          <w:p w14:paraId="314D4C78" w14:textId="39BAB34C" w:rsidR="00D71957" w:rsidRPr="00114E16" w:rsidRDefault="000B4154" w:rsidP="00AC13C7">
            <w:pPr>
              <w:pStyle w:val="ListParagraph"/>
              <w:ind w:left="0"/>
              <w:rPr>
                <w:b/>
                <w:bCs/>
                <w:szCs w:val="24"/>
              </w:rPr>
            </w:pPr>
            <w:r>
              <w:rPr>
                <w:b/>
                <w:bCs/>
                <w:szCs w:val="24"/>
              </w:rPr>
              <w:t xml:space="preserve">Proposed </w:t>
            </w:r>
            <w:r w:rsidR="00C023DC">
              <w:rPr>
                <w:b/>
                <w:bCs/>
                <w:szCs w:val="24"/>
              </w:rPr>
              <w:t>EV Charging Station</w:t>
            </w:r>
            <w:r>
              <w:rPr>
                <w:b/>
                <w:bCs/>
                <w:szCs w:val="24"/>
              </w:rPr>
              <w:t xml:space="preserve"> </w:t>
            </w:r>
          </w:p>
        </w:tc>
        <w:tc>
          <w:tcPr>
            <w:tcW w:w="3117" w:type="dxa"/>
            <w:vAlign w:val="bottom"/>
          </w:tcPr>
          <w:p w14:paraId="7D7B5DB9" w14:textId="39899A99" w:rsidR="00D71957" w:rsidRPr="00114E16" w:rsidRDefault="007A72A7" w:rsidP="00114E16">
            <w:pPr>
              <w:pStyle w:val="ListParagraph"/>
              <w:ind w:left="0"/>
              <w:jc w:val="center"/>
              <w:rPr>
                <w:b/>
              </w:rPr>
            </w:pPr>
            <w:r w:rsidRPr="25D22A84">
              <w:rPr>
                <w:b/>
              </w:rPr>
              <w:t xml:space="preserve">Maximum Award Per </w:t>
            </w:r>
            <w:r w:rsidR="00854B9E">
              <w:rPr>
                <w:b/>
              </w:rPr>
              <w:t xml:space="preserve">CCS </w:t>
            </w:r>
            <w:r w:rsidRPr="25D22A84">
              <w:rPr>
                <w:b/>
              </w:rPr>
              <w:t xml:space="preserve">Port if on a </w:t>
            </w:r>
            <w:r w:rsidR="00C01DB9" w:rsidRPr="25D22A84">
              <w:rPr>
                <w:b/>
              </w:rPr>
              <w:t xml:space="preserve">Corridor Segment </w:t>
            </w:r>
            <w:r w:rsidR="00462BA2" w:rsidRPr="25D22A84">
              <w:rPr>
                <w:b/>
              </w:rPr>
              <w:t>E</w:t>
            </w:r>
            <w:r w:rsidR="00C01DB9" w:rsidRPr="25D22A84">
              <w:rPr>
                <w:b/>
              </w:rPr>
              <w:t xml:space="preserve">ligible for 80% </w:t>
            </w:r>
            <w:r w:rsidR="00102561" w:rsidRPr="25D22A84">
              <w:rPr>
                <w:b/>
              </w:rPr>
              <w:t>Maximum CEC Reimbursable Share</w:t>
            </w:r>
          </w:p>
        </w:tc>
        <w:tc>
          <w:tcPr>
            <w:tcW w:w="3117" w:type="dxa"/>
            <w:vAlign w:val="bottom"/>
          </w:tcPr>
          <w:p w14:paraId="00C78303" w14:textId="4BBDD921" w:rsidR="00D71957" w:rsidRPr="00114E16" w:rsidRDefault="007A72A7" w:rsidP="00114E16">
            <w:pPr>
              <w:pStyle w:val="ListParagraph"/>
              <w:ind w:left="0"/>
              <w:jc w:val="center"/>
              <w:rPr>
                <w:b/>
              </w:rPr>
            </w:pPr>
            <w:r w:rsidRPr="25D22A84">
              <w:rPr>
                <w:b/>
              </w:rPr>
              <w:t xml:space="preserve">Maximum Award Per </w:t>
            </w:r>
            <w:r w:rsidR="00854B9E">
              <w:rPr>
                <w:b/>
              </w:rPr>
              <w:t xml:space="preserve">CCS </w:t>
            </w:r>
            <w:r w:rsidRPr="25D22A84">
              <w:rPr>
                <w:b/>
              </w:rPr>
              <w:t xml:space="preserve">Port if on a </w:t>
            </w:r>
            <w:r w:rsidR="00114E16" w:rsidRPr="25D22A84">
              <w:rPr>
                <w:b/>
              </w:rPr>
              <w:t xml:space="preserve">Corridor Segment </w:t>
            </w:r>
            <w:r w:rsidR="00462BA2" w:rsidRPr="25D22A84">
              <w:rPr>
                <w:b/>
              </w:rPr>
              <w:t>E</w:t>
            </w:r>
            <w:r w:rsidR="00114E16" w:rsidRPr="25D22A84">
              <w:rPr>
                <w:b/>
              </w:rPr>
              <w:t xml:space="preserve">ligible for </w:t>
            </w:r>
            <w:r w:rsidR="00741E48" w:rsidRPr="25D22A84">
              <w:rPr>
                <w:b/>
              </w:rPr>
              <w:t>5</w:t>
            </w:r>
            <w:r w:rsidR="00114E16" w:rsidRPr="25D22A84">
              <w:rPr>
                <w:b/>
              </w:rPr>
              <w:t xml:space="preserve">0% </w:t>
            </w:r>
            <w:r w:rsidR="00233761" w:rsidRPr="25D22A84">
              <w:rPr>
                <w:b/>
              </w:rPr>
              <w:t>Maximum CEC Reimbursable Share</w:t>
            </w:r>
          </w:p>
        </w:tc>
      </w:tr>
      <w:tr w:rsidR="00102561" w14:paraId="4BCC1CBA" w14:textId="77777777" w:rsidTr="009C7CA4">
        <w:trPr>
          <w:cantSplit/>
        </w:trPr>
        <w:tc>
          <w:tcPr>
            <w:tcW w:w="3116" w:type="dxa"/>
            <w:vAlign w:val="center"/>
          </w:tcPr>
          <w:p w14:paraId="094EA551" w14:textId="568A0314" w:rsidR="00D71957" w:rsidRDefault="00642E4F" w:rsidP="009C7CA4">
            <w:pPr>
              <w:pStyle w:val="ListParagraph"/>
              <w:ind w:left="0"/>
              <w:rPr>
                <w:szCs w:val="24"/>
              </w:rPr>
            </w:pPr>
            <w:r>
              <w:rPr>
                <w:szCs w:val="24"/>
              </w:rPr>
              <w:t>Do</w:t>
            </w:r>
            <w:r w:rsidR="00690E32">
              <w:rPr>
                <w:szCs w:val="24"/>
              </w:rPr>
              <w:t>es</w:t>
            </w:r>
            <w:r>
              <w:rPr>
                <w:szCs w:val="24"/>
              </w:rPr>
              <w:t xml:space="preserve"> not i</w:t>
            </w:r>
            <w:r w:rsidR="000B4154">
              <w:rPr>
                <w:szCs w:val="24"/>
              </w:rPr>
              <w:t xml:space="preserve">nclude </w:t>
            </w:r>
            <w:r w:rsidR="000948AB">
              <w:rPr>
                <w:szCs w:val="24"/>
              </w:rPr>
              <w:t xml:space="preserve">onsite renewable energy generation </w:t>
            </w:r>
            <w:r w:rsidR="00760DBE">
              <w:rPr>
                <w:szCs w:val="24"/>
              </w:rPr>
              <w:t>or</w:t>
            </w:r>
            <w:r w:rsidR="000948AB">
              <w:rPr>
                <w:szCs w:val="24"/>
              </w:rPr>
              <w:t xml:space="preserve"> storage</w:t>
            </w:r>
          </w:p>
        </w:tc>
        <w:tc>
          <w:tcPr>
            <w:tcW w:w="3117" w:type="dxa"/>
            <w:vAlign w:val="center"/>
          </w:tcPr>
          <w:p w14:paraId="2928C6AA" w14:textId="62F40646" w:rsidR="00D71957" w:rsidRDefault="00741E48" w:rsidP="00B126A8">
            <w:pPr>
              <w:pStyle w:val="ListParagraph"/>
              <w:ind w:left="0"/>
              <w:jc w:val="center"/>
              <w:rPr>
                <w:szCs w:val="24"/>
              </w:rPr>
            </w:pPr>
            <w:r>
              <w:rPr>
                <w:szCs w:val="24"/>
              </w:rPr>
              <w:t>$160,000</w:t>
            </w:r>
          </w:p>
        </w:tc>
        <w:tc>
          <w:tcPr>
            <w:tcW w:w="3117" w:type="dxa"/>
            <w:vAlign w:val="center"/>
          </w:tcPr>
          <w:p w14:paraId="1C5A35BC" w14:textId="276566AA" w:rsidR="00D71957" w:rsidRDefault="00741E48" w:rsidP="00B126A8">
            <w:pPr>
              <w:pStyle w:val="ListParagraph"/>
              <w:ind w:left="0"/>
              <w:jc w:val="center"/>
              <w:rPr>
                <w:szCs w:val="24"/>
              </w:rPr>
            </w:pPr>
            <w:r>
              <w:rPr>
                <w:szCs w:val="24"/>
              </w:rPr>
              <w:t>$100,000</w:t>
            </w:r>
          </w:p>
        </w:tc>
      </w:tr>
      <w:tr w:rsidR="00102561" w14:paraId="49002C4A" w14:textId="77777777" w:rsidTr="009C7CA4">
        <w:trPr>
          <w:cantSplit/>
        </w:trPr>
        <w:tc>
          <w:tcPr>
            <w:tcW w:w="3116" w:type="dxa"/>
            <w:vAlign w:val="center"/>
          </w:tcPr>
          <w:p w14:paraId="7076E495" w14:textId="1A1CF032" w:rsidR="00D71957" w:rsidRDefault="00642E4F" w:rsidP="009C7CA4">
            <w:pPr>
              <w:pStyle w:val="ListParagraph"/>
              <w:ind w:left="0"/>
              <w:rPr>
                <w:szCs w:val="24"/>
              </w:rPr>
            </w:pPr>
            <w:r>
              <w:rPr>
                <w:szCs w:val="24"/>
              </w:rPr>
              <w:t>I</w:t>
            </w:r>
            <w:r w:rsidR="000948AB">
              <w:rPr>
                <w:szCs w:val="24"/>
              </w:rPr>
              <w:t>nclude</w:t>
            </w:r>
            <w:r w:rsidR="00367A8C">
              <w:rPr>
                <w:szCs w:val="24"/>
              </w:rPr>
              <w:t>s</w:t>
            </w:r>
            <w:r w:rsidR="000948AB">
              <w:rPr>
                <w:szCs w:val="24"/>
              </w:rPr>
              <w:t xml:space="preserve"> onsite renewable energy generation </w:t>
            </w:r>
            <w:r w:rsidR="00760DBE">
              <w:rPr>
                <w:szCs w:val="24"/>
              </w:rPr>
              <w:t>or</w:t>
            </w:r>
            <w:r w:rsidR="000948AB">
              <w:rPr>
                <w:szCs w:val="24"/>
              </w:rPr>
              <w:t xml:space="preserve"> storage</w:t>
            </w:r>
          </w:p>
        </w:tc>
        <w:tc>
          <w:tcPr>
            <w:tcW w:w="3117" w:type="dxa"/>
            <w:vAlign w:val="center"/>
          </w:tcPr>
          <w:p w14:paraId="1C2C203E" w14:textId="00D07C03" w:rsidR="00D71957" w:rsidRDefault="00741E48" w:rsidP="00B126A8">
            <w:pPr>
              <w:pStyle w:val="ListParagraph"/>
              <w:ind w:left="0"/>
              <w:jc w:val="center"/>
              <w:rPr>
                <w:szCs w:val="24"/>
              </w:rPr>
            </w:pPr>
            <w:r>
              <w:rPr>
                <w:szCs w:val="24"/>
              </w:rPr>
              <w:t>$240,000</w:t>
            </w:r>
          </w:p>
        </w:tc>
        <w:tc>
          <w:tcPr>
            <w:tcW w:w="3117" w:type="dxa"/>
            <w:vAlign w:val="center"/>
          </w:tcPr>
          <w:p w14:paraId="63DDA497" w14:textId="75ABF841" w:rsidR="00D71957" w:rsidRDefault="00B126A8" w:rsidP="00B126A8">
            <w:pPr>
              <w:pStyle w:val="ListParagraph"/>
              <w:ind w:left="0"/>
              <w:jc w:val="center"/>
              <w:rPr>
                <w:szCs w:val="24"/>
              </w:rPr>
            </w:pPr>
            <w:r>
              <w:rPr>
                <w:szCs w:val="24"/>
              </w:rPr>
              <w:t>$150,000</w:t>
            </w:r>
          </w:p>
        </w:tc>
      </w:tr>
    </w:tbl>
    <w:p w14:paraId="3C59EE9D" w14:textId="77777777" w:rsidR="009B376E" w:rsidRPr="00050087" w:rsidRDefault="009B376E" w:rsidP="00AF5CCA">
      <w:pPr>
        <w:ind w:left="720"/>
      </w:pPr>
    </w:p>
    <w:p w14:paraId="72BB211C" w14:textId="0B3F54CE" w:rsidR="00AF5CCA" w:rsidRDefault="00D22B32" w:rsidP="00AF5CCA">
      <w:pPr>
        <w:ind w:left="720"/>
      </w:pPr>
      <w:r>
        <w:t xml:space="preserve">Applications may propose to install </w:t>
      </w:r>
      <w:r w:rsidR="00EA2C78">
        <w:t xml:space="preserve">SAE </w:t>
      </w:r>
      <w:r>
        <w:t>J3400</w:t>
      </w:r>
      <w:r w:rsidR="00EA2C78">
        <w:t xml:space="preserve"> connectors in addition to CCS connectors</w:t>
      </w:r>
      <w:r w:rsidR="00395CB9">
        <w:t xml:space="preserve"> as long as each port has a CCS connector</w:t>
      </w:r>
      <w:r w:rsidR="00EA2C78">
        <w:t>.</w:t>
      </w:r>
      <w:r w:rsidR="00EA01F0">
        <w:t xml:space="preserve"> However, including a SAE J3400 connector in addition to a CCS connector </w:t>
      </w:r>
      <w:r w:rsidR="00DA77EF">
        <w:t>at</w:t>
      </w:r>
      <w:r w:rsidR="00EA01F0">
        <w:t xml:space="preserve"> </w:t>
      </w:r>
      <w:r w:rsidR="00DA77EF">
        <w:t>a</w:t>
      </w:r>
      <w:r w:rsidR="00EA01F0">
        <w:t xml:space="preserve"> charging port does not increase the maximum </w:t>
      </w:r>
      <w:r w:rsidR="008E542B">
        <w:t>award</w:t>
      </w:r>
      <w:r w:rsidR="00EA01F0">
        <w:t xml:space="preserve"> for the project.</w:t>
      </w:r>
    </w:p>
    <w:p w14:paraId="14D9AC40" w14:textId="77777777" w:rsidR="008E542B" w:rsidRDefault="008E542B" w:rsidP="00AF5CCA">
      <w:pPr>
        <w:ind w:left="720"/>
      </w:pPr>
    </w:p>
    <w:p w14:paraId="44E97B47" w14:textId="35A19261" w:rsidR="008E542B" w:rsidRDefault="008E542B" w:rsidP="00AF5CCA">
      <w:pPr>
        <w:ind w:left="720"/>
      </w:pPr>
      <w:r>
        <w:t xml:space="preserve">For example, </w:t>
      </w:r>
      <w:r w:rsidR="008520CB">
        <w:t>for</w:t>
      </w:r>
      <w:r>
        <w:t xml:space="preserve"> a</w:t>
      </w:r>
      <w:r w:rsidR="00853F73">
        <w:t xml:space="preserve">n application proposing a </w:t>
      </w:r>
      <w:r w:rsidR="00F5449B">
        <w:t>station without onsite renewable energy generation or storage with</w:t>
      </w:r>
      <w:r w:rsidR="00853F73">
        <w:t xml:space="preserve"> </w:t>
      </w:r>
      <w:r w:rsidR="008F4089">
        <w:t>eight</w:t>
      </w:r>
      <w:r w:rsidR="00853F73">
        <w:t xml:space="preserve"> CCS charging ports</w:t>
      </w:r>
      <w:r w:rsidR="0001613D">
        <w:t xml:space="preserve"> </w:t>
      </w:r>
      <w:r w:rsidR="008F4089">
        <w:t xml:space="preserve">(assume this meets the minimum requirement) </w:t>
      </w:r>
      <w:r w:rsidR="00853F73">
        <w:t xml:space="preserve">on a corridor segment eligible for 80% maximum </w:t>
      </w:r>
      <w:r w:rsidR="0001613D">
        <w:t>CEC reimbursable share</w:t>
      </w:r>
      <w:r w:rsidR="00B50BF2">
        <w:t>,</w:t>
      </w:r>
      <w:r w:rsidR="0001613D">
        <w:t xml:space="preserve"> </w:t>
      </w:r>
      <w:r w:rsidR="00B50BF2">
        <w:t>the maximum</w:t>
      </w:r>
      <w:r w:rsidR="0001613D">
        <w:t xml:space="preserve"> </w:t>
      </w:r>
      <w:r w:rsidR="005B73A0">
        <w:t xml:space="preserve">award amount </w:t>
      </w:r>
      <w:r w:rsidR="0001613D">
        <w:t xml:space="preserve">is </w:t>
      </w:r>
      <w:r w:rsidR="008F4089">
        <w:t>8</w:t>
      </w:r>
      <w:r w:rsidR="0001613D">
        <w:t xml:space="preserve"> x $160,000 = </w:t>
      </w:r>
      <w:r w:rsidR="00D405B6">
        <w:t>$</w:t>
      </w:r>
      <w:r w:rsidR="00D93C9E">
        <w:t>1,280</w:t>
      </w:r>
      <w:r w:rsidR="00D405B6">
        <w:t>,000. Th</w:t>
      </w:r>
      <w:r w:rsidR="00D93C9E">
        <w:t>e</w:t>
      </w:r>
      <w:r w:rsidR="00D405B6">
        <w:t xml:space="preserve"> maximum award amount </w:t>
      </w:r>
      <w:r w:rsidR="0015330B">
        <w:t xml:space="preserve">per CCS port, and total award amount, </w:t>
      </w:r>
      <w:r w:rsidR="00D405B6">
        <w:t>w</w:t>
      </w:r>
      <w:r w:rsidR="00D93C9E">
        <w:t>ould</w:t>
      </w:r>
      <w:r w:rsidR="00D405B6">
        <w:t xml:space="preserve"> not change if the application also </w:t>
      </w:r>
      <w:r w:rsidR="00CB3ACC">
        <w:t>propose</w:t>
      </w:r>
      <w:r w:rsidR="00D93C9E">
        <w:t>d</w:t>
      </w:r>
      <w:r w:rsidR="00D405B6">
        <w:t xml:space="preserve"> SAE J3400 connectors </w:t>
      </w:r>
      <w:r w:rsidR="003D2267">
        <w:t>on</w:t>
      </w:r>
      <w:r w:rsidR="00D405B6">
        <w:t xml:space="preserve"> the </w:t>
      </w:r>
      <w:r w:rsidR="00D93C9E">
        <w:t>eight</w:t>
      </w:r>
      <w:r w:rsidR="00D405B6">
        <w:t xml:space="preserve"> proposed ports</w:t>
      </w:r>
      <w:r w:rsidR="00D95C5D">
        <w:t xml:space="preserve"> with CCS connectors</w:t>
      </w:r>
      <w:r w:rsidR="00D74ED4">
        <w:t xml:space="preserve">. </w:t>
      </w:r>
      <w:r w:rsidR="00CB3ACC">
        <w:t>While the maximum award amount does not change, the costs associated with</w:t>
      </w:r>
      <w:r w:rsidR="00D95C5D">
        <w:t xml:space="preserve"> </w:t>
      </w:r>
      <w:r w:rsidR="00284A49">
        <w:t xml:space="preserve">planning for, </w:t>
      </w:r>
      <w:r w:rsidR="00D95C5D">
        <w:t>purchasing</w:t>
      </w:r>
      <w:r w:rsidR="00284A49">
        <w:t>,</w:t>
      </w:r>
      <w:r w:rsidR="00D95C5D">
        <w:t xml:space="preserve"> installing</w:t>
      </w:r>
      <w:r w:rsidR="00284A49">
        <w:t>, and operating</w:t>
      </w:r>
      <w:r w:rsidR="00CB3ACC">
        <w:t xml:space="preserve"> </w:t>
      </w:r>
      <w:r w:rsidR="00D95C5D">
        <w:t>the electric vehicle s</w:t>
      </w:r>
      <w:r w:rsidR="00F14DBD">
        <w:t>upply</w:t>
      </w:r>
      <w:r w:rsidR="00D95C5D">
        <w:t xml:space="preserve"> equipment (EVSE) that includes</w:t>
      </w:r>
      <w:r w:rsidR="00CB3ACC">
        <w:t xml:space="preserve"> SAE J3400 connectors </w:t>
      </w:r>
      <w:r w:rsidR="00395CB9">
        <w:t xml:space="preserve">as well as CCS connectors </w:t>
      </w:r>
      <w:r w:rsidR="00CB3ACC">
        <w:t xml:space="preserve">are </w:t>
      </w:r>
      <w:r w:rsidR="0094273D">
        <w:t xml:space="preserve">eligible </w:t>
      </w:r>
      <w:r w:rsidR="006019F3">
        <w:t xml:space="preserve">project </w:t>
      </w:r>
      <w:r w:rsidR="0094273D">
        <w:t>costs for both reimbursable and match share expenses</w:t>
      </w:r>
      <w:r w:rsidR="006019F3">
        <w:t>. Eligible project costs are described in full in Section II.B.18 of this manual.</w:t>
      </w:r>
    </w:p>
    <w:p w14:paraId="43EA377C" w14:textId="77777777" w:rsidR="00AF5CCA" w:rsidRPr="00050087" w:rsidRDefault="00AF5CCA" w:rsidP="00233761">
      <w:pPr>
        <w:ind w:left="1440"/>
      </w:pPr>
    </w:p>
    <w:p w14:paraId="6DA22E79" w14:textId="77777777" w:rsidR="00380AAC" w:rsidRPr="00050087" w:rsidRDefault="00380AAC" w:rsidP="00164AC5">
      <w:pPr>
        <w:pStyle w:val="Heading2"/>
        <w:keepNext w:val="0"/>
        <w:numPr>
          <w:ilvl w:val="0"/>
          <w:numId w:val="11"/>
        </w:numPr>
        <w:spacing w:before="0"/>
        <w:ind w:hanging="720"/>
        <w:rPr>
          <w:lang w:val="en-US"/>
        </w:rPr>
      </w:pPr>
      <w:bookmarkStart w:id="21" w:name="_Toc184829615"/>
      <w:r w:rsidRPr="00050087">
        <w:rPr>
          <w:lang w:val="en-US"/>
        </w:rPr>
        <w:t>Maximum Number of Applications</w:t>
      </w:r>
      <w:bookmarkEnd w:id="21"/>
    </w:p>
    <w:p w14:paraId="2ACF20EC" w14:textId="520FDBCC" w:rsidR="00651728" w:rsidRDefault="00A53A72" w:rsidP="00651728">
      <w:pPr>
        <w:ind w:left="720"/>
      </w:pPr>
      <w:r>
        <w:t xml:space="preserve">There is no maximum on the number of </w:t>
      </w:r>
      <w:proofErr w:type="gramStart"/>
      <w:r>
        <w:t>corridor</w:t>
      </w:r>
      <w:proofErr w:type="gramEnd"/>
      <w:r>
        <w:t xml:space="preserve"> segments an </w:t>
      </w:r>
      <w:r w:rsidR="630A0499">
        <w:t>A</w:t>
      </w:r>
      <w:r>
        <w:t xml:space="preserve">pplicant </w:t>
      </w:r>
      <w:r w:rsidR="00EE10F4">
        <w:t>may</w:t>
      </w:r>
      <w:r>
        <w:t xml:space="preserve"> apply for</w:t>
      </w:r>
      <w:r w:rsidR="008016C7">
        <w:t>.</w:t>
      </w:r>
      <w:r>
        <w:t xml:space="preserve"> </w:t>
      </w:r>
      <w:r w:rsidR="002C5CC0">
        <w:t xml:space="preserve">However, </w:t>
      </w:r>
      <w:r w:rsidR="008016C7">
        <w:t>A</w:t>
      </w:r>
      <w:r w:rsidR="00651728">
        <w:t xml:space="preserve">pplicants may submit no more than one application per corridor segment under this solicitation. Each proposed project must be separate and distinct and adhere to all requirements contained in this solicitation. Applicants may also be </w:t>
      </w:r>
      <w:r w:rsidR="007A6474">
        <w:t>subrecipients</w:t>
      </w:r>
      <w:r w:rsidR="001A4F8A">
        <w:t>, vendors, or suppliers</w:t>
      </w:r>
      <w:r w:rsidR="00651728">
        <w:t xml:space="preserve"> </w:t>
      </w:r>
      <w:r w:rsidR="00594DCC">
        <w:t>for</w:t>
      </w:r>
      <w:r w:rsidR="00651728">
        <w:t xml:space="preserve"> other Applicants’ projects, but must ensure they </w:t>
      </w:r>
      <w:r w:rsidR="004C47F8">
        <w:t xml:space="preserve">are prepared to </w:t>
      </w:r>
      <w:r w:rsidR="00BE7B1F">
        <w:t>complete their designated work</w:t>
      </w:r>
      <w:r w:rsidR="004C47F8">
        <w:t xml:space="preserve"> </w:t>
      </w:r>
      <w:r w:rsidR="00E24CE9">
        <w:t>if</w:t>
      </w:r>
      <w:r w:rsidR="004A5D4A">
        <w:t xml:space="preserve"> </w:t>
      </w:r>
      <w:r w:rsidR="004C47F8">
        <w:t>all</w:t>
      </w:r>
      <w:r w:rsidR="00651728">
        <w:t xml:space="preserve"> projects</w:t>
      </w:r>
      <w:r w:rsidR="0046134E">
        <w:t xml:space="preserve"> </w:t>
      </w:r>
      <w:r w:rsidR="00E24CE9">
        <w:t xml:space="preserve">in which they propose to be involved are </w:t>
      </w:r>
      <w:r w:rsidR="00EE4BE4">
        <w:t>awarded.</w:t>
      </w:r>
    </w:p>
    <w:p w14:paraId="747893CD" w14:textId="77777777" w:rsidR="00555A21" w:rsidRDefault="00555A21" w:rsidP="00651728">
      <w:pPr>
        <w:ind w:left="720"/>
      </w:pPr>
    </w:p>
    <w:p w14:paraId="028DF4F0" w14:textId="4A291BB3" w:rsidR="00555A21" w:rsidRPr="006F336B" w:rsidRDefault="00555A21" w:rsidP="00555A21">
      <w:pPr>
        <w:ind w:left="720"/>
      </w:pPr>
      <w:r>
        <w:t xml:space="preserve">If an applicant is proposed for multiple awards, CEC reserves the right to, in its sole discretion, combine those awards into a single grant agreement for ease of administration. </w:t>
      </w:r>
    </w:p>
    <w:p w14:paraId="1E469D46" w14:textId="77777777" w:rsidR="00905FD8" w:rsidRPr="00050087" w:rsidRDefault="00905FD8" w:rsidP="00E04486"/>
    <w:p w14:paraId="5D667B9B" w14:textId="6ABC6AB7" w:rsidR="00612DE9" w:rsidRDefault="00612DE9" w:rsidP="00164AC5">
      <w:pPr>
        <w:pStyle w:val="Heading2"/>
        <w:keepNext w:val="0"/>
        <w:numPr>
          <w:ilvl w:val="0"/>
          <w:numId w:val="11"/>
        </w:numPr>
        <w:tabs>
          <w:tab w:val="left" w:pos="810"/>
        </w:tabs>
        <w:spacing w:before="0"/>
        <w:ind w:hanging="720"/>
      </w:pPr>
      <w:bookmarkStart w:id="22" w:name="_Toc184829616"/>
      <w:r>
        <w:t>Single Applicant Cap</w:t>
      </w:r>
      <w:bookmarkEnd w:id="22"/>
    </w:p>
    <w:p w14:paraId="19B7439D" w14:textId="7DE5DEDA" w:rsidR="00577F45" w:rsidRDefault="00DE65C4" w:rsidP="00657A78">
      <w:pPr>
        <w:ind w:left="720"/>
      </w:pPr>
      <w:r>
        <w:t xml:space="preserve">Applicants submitting applications </w:t>
      </w:r>
      <w:r w:rsidR="00B120C3">
        <w:t xml:space="preserve">for multiple corridor segments </w:t>
      </w:r>
      <w:r>
        <w:t>may only receive up to</w:t>
      </w:r>
      <w:r w:rsidR="005B4A8A">
        <w:t xml:space="preserve"> 30 percent of </w:t>
      </w:r>
      <w:r w:rsidR="00BE0CFA">
        <w:t xml:space="preserve">the </w:t>
      </w:r>
      <w:r w:rsidR="00BB18F9">
        <w:t xml:space="preserve">total </w:t>
      </w:r>
      <w:r w:rsidR="00BE0CFA">
        <w:t xml:space="preserve">funds available </w:t>
      </w:r>
      <w:r>
        <w:t>under this solicitation. If an Applicant has the highest scoring application</w:t>
      </w:r>
      <w:r w:rsidR="00CC6AB6">
        <w:t>s</w:t>
      </w:r>
      <w:r>
        <w:t xml:space="preserve"> </w:t>
      </w:r>
      <w:r w:rsidR="003001BF">
        <w:t>for projects totaling more than 30 percent of the funds available</w:t>
      </w:r>
      <w:r>
        <w:t xml:space="preserve">, the CEC intends to propose awards to </w:t>
      </w:r>
      <w:r w:rsidR="00B27ABE">
        <w:t xml:space="preserve">the </w:t>
      </w:r>
      <w:r w:rsidR="002342C0">
        <w:t xml:space="preserve">Applicant </w:t>
      </w:r>
      <w:r w:rsidR="000559D2">
        <w:t>using the overall</w:t>
      </w:r>
      <w:r w:rsidR="00085B79">
        <w:t xml:space="preserve"> project score</w:t>
      </w:r>
      <w:r w:rsidR="000559D2">
        <w:t xml:space="preserve"> of each highest-ranking project</w:t>
      </w:r>
      <w:r>
        <w:t xml:space="preserve">. </w:t>
      </w:r>
      <w:r w:rsidR="00D21C24">
        <w:t xml:space="preserve">If some </w:t>
      </w:r>
      <w:r w:rsidR="00577F45">
        <w:t xml:space="preserve">of the Applicant’s </w:t>
      </w:r>
      <w:r w:rsidR="00740DD3">
        <w:t>overall project scores are the same, the tie</w:t>
      </w:r>
      <w:r w:rsidR="00577F45">
        <w:t xml:space="preserve"> </w:t>
      </w:r>
      <w:r w:rsidR="00740DD3">
        <w:t>break</w:t>
      </w:r>
      <w:r w:rsidR="00DC058F">
        <w:t>er</w:t>
      </w:r>
      <w:r w:rsidR="00740DD3">
        <w:t xml:space="preserve"> criteria listed in Section IV.F will be used</w:t>
      </w:r>
      <w:r w:rsidR="00DE4EC9">
        <w:t xml:space="preserve"> to determine which projects are proposed for award. </w:t>
      </w:r>
    </w:p>
    <w:p w14:paraId="30A20DDB" w14:textId="77777777" w:rsidR="00577F45" w:rsidRDefault="00577F45" w:rsidP="00657A78">
      <w:pPr>
        <w:ind w:left="720"/>
        <w:rPr>
          <w:szCs w:val="22"/>
        </w:rPr>
      </w:pPr>
    </w:p>
    <w:p w14:paraId="485E38D5" w14:textId="3043B5CC" w:rsidR="00657A78" w:rsidRPr="00DE65C4" w:rsidRDefault="00DE65C4" w:rsidP="00657A78">
      <w:pPr>
        <w:ind w:left="720"/>
        <w:rPr>
          <w:szCs w:val="22"/>
        </w:rPr>
      </w:pPr>
      <w:r w:rsidRPr="00DE65C4">
        <w:rPr>
          <w:szCs w:val="22"/>
        </w:rPr>
        <w:t xml:space="preserve">If the highest-scoring application in a corridor </w:t>
      </w:r>
      <w:r w:rsidR="00B120C3">
        <w:rPr>
          <w:szCs w:val="22"/>
        </w:rPr>
        <w:t>segment</w:t>
      </w:r>
      <w:r w:rsidRPr="00DE65C4">
        <w:rPr>
          <w:szCs w:val="22"/>
        </w:rPr>
        <w:t xml:space="preserve"> is not eligible because </w:t>
      </w:r>
      <w:r w:rsidR="0001413A">
        <w:rPr>
          <w:szCs w:val="22"/>
        </w:rPr>
        <w:t>the Applicant has exceed</w:t>
      </w:r>
      <w:r w:rsidR="004B5843">
        <w:rPr>
          <w:szCs w:val="22"/>
        </w:rPr>
        <w:t>ed</w:t>
      </w:r>
      <w:r w:rsidR="0001413A">
        <w:rPr>
          <w:szCs w:val="22"/>
        </w:rPr>
        <w:t xml:space="preserve"> the </w:t>
      </w:r>
      <w:r w:rsidRPr="00DE65C4">
        <w:rPr>
          <w:szCs w:val="22"/>
        </w:rPr>
        <w:t xml:space="preserve">single applicant cap, the CEC intends to propose an award for that corridor </w:t>
      </w:r>
      <w:r w:rsidR="004B5843">
        <w:rPr>
          <w:szCs w:val="22"/>
        </w:rPr>
        <w:t>segment</w:t>
      </w:r>
      <w:r w:rsidRPr="00DE65C4">
        <w:rPr>
          <w:szCs w:val="22"/>
        </w:rPr>
        <w:t xml:space="preserve"> to the next-highest scoring application with at least the minimum passing score. The CEC reserves the right, at its sole discretion, to modify the single applicant cap.</w:t>
      </w:r>
    </w:p>
    <w:p w14:paraId="499AFEFD" w14:textId="77777777" w:rsidR="00DE65C4" w:rsidRPr="00612DE9" w:rsidRDefault="00DE65C4" w:rsidP="00DE65C4"/>
    <w:p w14:paraId="03EB3FBB" w14:textId="36E527A1" w:rsidR="00657A78" w:rsidRDefault="00094713" w:rsidP="00164AC5">
      <w:pPr>
        <w:pStyle w:val="Heading2"/>
        <w:keepNext w:val="0"/>
        <w:numPr>
          <w:ilvl w:val="0"/>
          <w:numId w:val="11"/>
        </w:numPr>
        <w:tabs>
          <w:tab w:val="left" w:pos="810"/>
        </w:tabs>
        <w:spacing w:before="0"/>
        <w:ind w:hanging="720"/>
      </w:pPr>
      <w:bookmarkStart w:id="23" w:name="_Toc184829617"/>
      <w:r w:rsidRPr="004302BF">
        <w:t>Agreement Contingent on Funding Availability</w:t>
      </w:r>
      <w:bookmarkEnd w:id="23"/>
    </w:p>
    <w:p w14:paraId="30003903" w14:textId="1626ACC4" w:rsidR="00094713" w:rsidRPr="004302BF" w:rsidRDefault="00094713" w:rsidP="004302BF">
      <w:pPr>
        <w:pStyle w:val="xxmsonormal"/>
        <w:ind w:left="720"/>
      </w:pPr>
      <w:r w:rsidRPr="004302BF">
        <w:rPr>
          <w:rFonts w:ascii="Arial" w:hAnsi="Arial" w:cs="Arial"/>
        </w:rPr>
        <w:t xml:space="preserve">Without limitation to any other of CEC’s rights and remedies, if any of the Clean Transportation Program funds used for this agreement, or any of the federal funds for the NEVI program, become unavailable; are reduced; or are deleted, for any reason including but not limited to FHWA’s failure to provide sufficient funds to reimburse the state of California for the work identified in Exhibit A, or for CEC administrative costs to oversee and implement this Agreement, as CEC may in its sole discretion determine, the CEC shall have the option to either: 1) cancel this Agreement with no liability occurring to the CEC; or 2) offer an Agreement amendment to the Recipient to reflect a reduced amount of funds. Should CEC choose to cancel this Agreement, CEC shall have no liability to pay any funds whatsoever to the Agreement Recipient, any subrecipients, and any vendors; nor to furnish any other consideration under this Agreement; and the Recipient shall not be obligated to perform any provisions of this Agreement. </w:t>
      </w:r>
    </w:p>
    <w:p w14:paraId="1964D369" w14:textId="40A3C347" w:rsidR="0061108A" w:rsidRDefault="0061108A">
      <w:pPr>
        <w:rPr>
          <w:b/>
        </w:rPr>
      </w:pPr>
      <w:r>
        <w:br w:type="page"/>
      </w:r>
    </w:p>
    <w:p w14:paraId="160C49F1" w14:textId="7361A45C" w:rsidR="00052A64" w:rsidRPr="00050087" w:rsidRDefault="00052A64" w:rsidP="00164AC5">
      <w:pPr>
        <w:pStyle w:val="Heading2"/>
        <w:keepNext w:val="0"/>
        <w:numPr>
          <w:ilvl w:val="0"/>
          <w:numId w:val="11"/>
        </w:numPr>
        <w:tabs>
          <w:tab w:val="left" w:pos="810"/>
        </w:tabs>
        <w:spacing w:before="0"/>
        <w:ind w:hanging="720"/>
      </w:pPr>
      <w:bookmarkStart w:id="24" w:name="_Toc184829618"/>
      <w:r w:rsidRPr="00050087">
        <w:lastRenderedPageBreak/>
        <w:t>Pre-</w:t>
      </w:r>
      <w:r w:rsidR="001661BE" w:rsidRPr="00050087">
        <w:t>Application</w:t>
      </w:r>
      <w:r w:rsidRPr="00050087">
        <w:t xml:space="preserve"> Workshop</w:t>
      </w:r>
      <w:bookmarkEnd w:id="24"/>
    </w:p>
    <w:p w14:paraId="707D6F46" w14:textId="43CF180B" w:rsidR="00052A64" w:rsidRPr="00C83361" w:rsidRDefault="15E1C28A" w:rsidP="00906E74">
      <w:pPr>
        <w:pStyle w:val="ListParagraph"/>
        <w:rPr>
          <w:szCs w:val="24"/>
        </w:rPr>
      </w:pPr>
      <w:r w:rsidRPr="04ACA070">
        <w:rPr>
          <w:szCs w:val="24"/>
        </w:rPr>
        <w:t>There will be one Pre-</w:t>
      </w:r>
      <w:r w:rsidR="70E995ED" w:rsidRPr="04ACA070">
        <w:rPr>
          <w:szCs w:val="24"/>
        </w:rPr>
        <w:t>Application</w:t>
      </w:r>
      <w:r w:rsidRPr="04ACA070">
        <w:rPr>
          <w:szCs w:val="24"/>
        </w:rPr>
        <w:t xml:space="preserve"> Workshop; participation in this meeting is optional but encouraged. The Pre-</w:t>
      </w:r>
      <w:r w:rsidR="70E995ED" w:rsidRPr="04ACA070">
        <w:rPr>
          <w:szCs w:val="24"/>
        </w:rPr>
        <w:t>Application</w:t>
      </w:r>
      <w:r w:rsidRPr="04ACA070">
        <w:rPr>
          <w:szCs w:val="24"/>
        </w:rPr>
        <w:t xml:space="preserve"> Workshop will be held </w:t>
      </w:r>
      <w:r w:rsidR="4A70C6B6" w:rsidRPr="04ACA070">
        <w:rPr>
          <w:szCs w:val="24"/>
        </w:rPr>
        <w:t xml:space="preserve">remotely </w:t>
      </w:r>
      <w:r w:rsidRPr="04ACA070">
        <w:rPr>
          <w:szCs w:val="24"/>
        </w:rPr>
        <w:t xml:space="preserve">through </w:t>
      </w:r>
      <w:r w:rsidR="0DBB788C" w:rsidRPr="04ACA070">
        <w:rPr>
          <w:szCs w:val="24"/>
        </w:rPr>
        <w:t>Zoom</w:t>
      </w:r>
      <w:r w:rsidRPr="04ACA070">
        <w:rPr>
          <w:szCs w:val="24"/>
        </w:rPr>
        <w:t xml:space="preserve"> at the date, time and location listed below. Please call </w:t>
      </w:r>
      <w:r w:rsidR="28B2B15B" w:rsidRPr="04ACA070">
        <w:rPr>
          <w:szCs w:val="24"/>
        </w:rPr>
        <w:t>the</w:t>
      </w:r>
      <w:r w:rsidR="10F5015F" w:rsidRPr="04ACA070">
        <w:rPr>
          <w:szCs w:val="24"/>
        </w:rPr>
        <w:t xml:space="preserve"> Commission Agreement Officer</w:t>
      </w:r>
      <w:r w:rsidR="1821BFFE" w:rsidRPr="04ACA070">
        <w:rPr>
          <w:szCs w:val="24"/>
        </w:rPr>
        <w:t xml:space="preserve"> (CAO)</w:t>
      </w:r>
      <w:r w:rsidR="10F5015F" w:rsidRPr="04ACA070">
        <w:rPr>
          <w:szCs w:val="24"/>
        </w:rPr>
        <w:t xml:space="preserve"> listed </w:t>
      </w:r>
      <w:r w:rsidR="5D74F7F1" w:rsidRPr="04ACA070">
        <w:rPr>
          <w:szCs w:val="24"/>
        </w:rPr>
        <w:t xml:space="preserve">below </w:t>
      </w:r>
      <w:r w:rsidRPr="04ACA070">
        <w:rPr>
          <w:szCs w:val="24"/>
        </w:rPr>
        <w:t xml:space="preserve">or refer to </w:t>
      </w:r>
      <w:hyperlink r:id="rId15">
        <w:r w:rsidR="48EC1203" w:rsidRPr="04ACA070">
          <w:rPr>
            <w:rStyle w:val="Hyperlink"/>
            <w:szCs w:val="24"/>
          </w:rPr>
          <w:t>CEC's solicitation information website</w:t>
        </w:r>
      </w:hyperlink>
      <w:r w:rsidR="056E22CC" w:rsidRPr="04ACA070">
        <w:rPr>
          <w:szCs w:val="24"/>
        </w:rPr>
        <w:t xml:space="preserve"> </w:t>
      </w:r>
      <w:r w:rsidR="3EA0962A" w:rsidRPr="04ACA070">
        <w:rPr>
          <w:szCs w:val="24"/>
        </w:rPr>
        <w:t xml:space="preserve">at </w:t>
      </w:r>
      <w:r w:rsidR="44E5165E" w:rsidRPr="04ACA070">
        <w:rPr>
          <w:szCs w:val="24"/>
        </w:rPr>
        <w:t>http</w:t>
      </w:r>
      <w:r w:rsidR="5DC93F62" w:rsidRPr="04ACA070">
        <w:rPr>
          <w:szCs w:val="24"/>
        </w:rPr>
        <w:t>s</w:t>
      </w:r>
      <w:r w:rsidR="44E5165E" w:rsidRPr="04ACA070">
        <w:rPr>
          <w:szCs w:val="24"/>
        </w:rPr>
        <w:t>://www.energy.ca.gov/</w:t>
      </w:r>
      <w:r w:rsidR="5DC93F62" w:rsidRPr="04ACA070">
        <w:rPr>
          <w:szCs w:val="24"/>
        </w:rPr>
        <w:t>funding-opportunities/solicitations</w:t>
      </w:r>
      <w:r w:rsidR="44E5165E" w:rsidRPr="04ACA070">
        <w:rPr>
          <w:szCs w:val="24"/>
        </w:rPr>
        <w:t xml:space="preserve"> </w:t>
      </w:r>
      <w:r w:rsidRPr="04ACA070">
        <w:rPr>
          <w:szCs w:val="24"/>
        </w:rPr>
        <w:t>to confirm the date and time.</w:t>
      </w:r>
    </w:p>
    <w:p w14:paraId="1722D0A3" w14:textId="77777777" w:rsidR="00E4536E" w:rsidRPr="00C83361" w:rsidRDefault="00E4536E" w:rsidP="00E04486">
      <w:pPr>
        <w:rPr>
          <w:szCs w:val="24"/>
        </w:rPr>
      </w:pPr>
    </w:p>
    <w:p w14:paraId="2DAAA89A" w14:textId="23B9E9C5" w:rsidR="00052A64" w:rsidRPr="00536304" w:rsidRDefault="00B27DC0" w:rsidP="00E04486">
      <w:pPr>
        <w:jc w:val="center"/>
        <w:rPr>
          <w:b/>
          <w:szCs w:val="24"/>
        </w:rPr>
      </w:pPr>
      <w:r w:rsidRPr="00536304">
        <w:rPr>
          <w:b/>
          <w:szCs w:val="24"/>
        </w:rPr>
        <w:t>January</w:t>
      </w:r>
      <w:r w:rsidR="00811E81" w:rsidRPr="00536304">
        <w:rPr>
          <w:b/>
          <w:szCs w:val="24"/>
        </w:rPr>
        <w:t xml:space="preserve"> 1</w:t>
      </w:r>
      <w:r w:rsidRPr="00536304">
        <w:rPr>
          <w:b/>
          <w:szCs w:val="24"/>
        </w:rPr>
        <w:t>4</w:t>
      </w:r>
      <w:r w:rsidR="00811E81" w:rsidRPr="00536304">
        <w:rPr>
          <w:b/>
          <w:szCs w:val="24"/>
        </w:rPr>
        <w:t>, 202</w:t>
      </w:r>
      <w:r w:rsidRPr="00536304">
        <w:rPr>
          <w:b/>
          <w:szCs w:val="24"/>
        </w:rPr>
        <w:t>5</w:t>
      </w:r>
    </w:p>
    <w:p w14:paraId="0712D5F2" w14:textId="604C5874" w:rsidR="00052A64" w:rsidRPr="00C83361" w:rsidRDefault="007573B9" w:rsidP="00E04486">
      <w:pPr>
        <w:jc w:val="center"/>
        <w:rPr>
          <w:szCs w:val="24"/>
        </w:rPr>
      </w:pPr>
      <w:r w:rsidRPr="00536304">
        <w:rPr>
          <w:szCs w:val="24"/>
        </w:rPr>
        <w:t>9:</w:t>
      </w:r>
      <w:r w:rsidR="00176FDA" w:rsidRPr="00536304">
        <w:rPr>
          <w:szCs w:val="24"/>
        </w:rPr>
        <w:t>0</w:t>
      </w:r>
      <w:r w:rsidRPr="00536304">
        <w:rPr>
          <w:szCs w:val="24"/>
        </w:rPr>
        <w:t>0 a.m.</w:t>
      </w:r>
      <w:r w:rsidR="00536304" w:rsidRPr="00536304">
        <w:rPr>
          <w:szCs w:val="24"/>
        </w:rPr>
        <w:t xml:space="preserve"> Pacific</w:t>
      </w:r>
    </w:p>
    <w:p w14:paraId="1E40A909" w14:textId="348BE30C" w:rsidR="1903CFCA" w:rsidRDefault="1903CFCA" w:rsidP="6E426E1A">
      <w:pPr>
        <w:jc w:val="center"/>
        <w:rPr>
          <w:szCs w:val="24"/>
        </w:rPr>
      </w:pPr>
      <w:r w:rsidRPr="6E426E1A">
        <w:rPr>
          <w:szCs w:val="24"/>
        </w:rPr>
        <w:t>Via Zoom</w:t>
      </w:r>
    </w:p>
    <w:p w14:paraId="3C4208DA" w14:textId="4F7083A2" w:rsidR="000F72DA" w:rsidRPr="00050087" w:rsidRDefault="000F72DA">
      <w:pPr>
        <w:rPr>
          <w:szCs w:val="22"/>
        </w:rPr>
      </w:pPr>
    </w:p>
    <w:p w14:paraId="4C5A574E" w14:textId="77777777" w:rsidR="0045255C" w:rsidRPr="00C83361" w:rsidRDefault="0045255C" w:rsidP="00164AC5">
      <w:pPr>
        <w:pStyle w:val="Heading2"/>
        <w:keepNext w:val="0"/>
        <w:numPr>
          <w:ilvl w:val="0"/>
          <w:numId w:val="11"/>
        </w:numPr>
        <w:spacing w:before="0"/>
        <w:ind w:hanging="720"/>
        <w:jc w:val="both"/>
        <w:rPr>
          <w:rFonts w:cs="Arial"/>
          <w:szCs w:val="28"/>
          <w:u w:val="single"/>
        </w:rPr>
      </w:pPr>
      <w:bookmarkStart w:id="25" w:name="_Toc184829619"/>
      <w:r w:rsidRPr="00C83361">
        <w:rPr>
          <w:rFonts w:cs="Arial"/>
          <w:szCs w:val="28"/>
        </w:rPr>
        <w:t xml:space="preserve">Participation Through </w:t>
      </w:r>
      <w:r w:rsidRPr="00C83361">
        <w:rPr>
          <w:rFonts w:cs="Arial"/>
          <w:szCs w:val="28"/>
          <w:lang w:val="en-US"/>
        </w:rPr>
        <w:t>Zoom</w:t>
      </w:r>
      <w:bookmarkEnd w:id="25"/>
    </w:p>
    <w:p w14:paraId="40D42972" w14:textId="0F2F0769" w:rsidR="0045255C" w:rsidRPr="00C83361" w:rsidRDefault="16AC129A" w:rsidP="0045255C">
      <w:pPr>
        <w:pStyle w:val="ListParagraph"/>
        <w:rPr>
          <w:szCs w:val="24"/>
        </w:rPr>
      </w:pPr>
      <w:r w:rsidRPr="2915ECD9">
        <w:rPr>
          <w:szCs w:val="24"/>
        </w:rPr>
        <w:t xml:space="preserve">Zoom is the CEC's online meeting service. When attending remotely, presentations will appear on your computer/laptop/mobile device screen, and audio may be heard via the device or telephone. </w:t>
      </w:r>
      <w:r w:rsidR="12D6E55A" w:rsidRPr="2915ECD9">
        <w:rPr>
          <w:szCs w:val="24"/>
        </w:rPr>
        <w:t xml:space="preserve">Please be aware that the </w:t>
      </w:r>
      <w:r w:rsidRPr="2915ECD9">
        <w:rPr>
          <w:szCs w:val="24"/>
        </w:rPr>
        <w:t>Zoom meeting will be recorded</w:t>
      </w:r>
      <w:r w:rsidR="260EB2A7" w:rsidRPr="2915ECD9">
        <w:rPr>
          <w:szCs w:val="24"/>
        </w:rPr>
        <w:t>.</w:t>
      </w:r>
    </w:p>
    <w:p w14:paraId="2646D9A6" w14:textId="77777777" w:rsidR="0045255C" w:rsidRPr="00BE3537" w:rsidRDefault="0045255C" w:rsidP="0045255C">
      <w:pPr>
        <w:pStyle w:val="ListParagraph"/>
        <w:tabs>
          <w:tab w:val="left" w:pos="1080"/>
        </w:tabs>
        <w:jc w:val="both"/>
        <w:rPr>
          <w:rFonts w:ascii="Tahoma" w:hAnsi="Tahoma" w:cs="Tahoma"/>
          <w:szCs w:val="24"/>
        </w:rPr>
      </w:pPr>
    </w:p>
    <w:p w14:paraId="071889FA" w14:textId="77777777" w:rsidR="0045255C" w:rsidRPr="00C83361" w:rsidRDefault="0045255C" w:rsidP="0045255C">
      <w:pPr>
        <w:pStyle w:val="ListParagraph"/>
        <w:tabs>
          <w:tab w:val="left" w:pos="1080"/>
        </w:tabs>
        <w:jc w:val="both"/>
        <w:rPr>
          <w:b/>
          <w:bCs/>
          <w:szCs w:val="24"/>
        </w:rPr>
      </w:pPr>
      <w:r w:rsidRPr="00C83361">
        <w:rPr>
          <w:b/>
          <w:bCs/>
          <w:szCs w:val="24"/>
        </w:rPr>
        <w:t>Zoom Instructions:</w:t>
      </w:r>
    </w:p>
    <w:p w14:paraId="5371F909" w14:textId="35B6F3C8" w:rsidR="0045255C" w:rsidRPr="00C83361" w:rsidRDefault="0045255C" w:rsidP="0045255C">
      <w:pPr>
        <w:pStyle w:val="ListParagraph"/>
        <w:rPr>
          <w:szCs w:val="24"/>
        </w:rPr>
      </w:pPr>
      <w:r w:rsidRPr="004B5843">
        <w:rPr>
          <w:szCs w:val="24"/>
        </w:rPr>
        <w:t xml:space="preserve">To join this workshop, go to Zoom </w:t>
      </w:r>
      <w:r w:rsidR="00E47E20" w:rsidRPr="004B5843">
        <w:rPr>
          <w:szCs w:val="24"/>
        </w:rPr>
        <w:t>at:</w:t>
      </w:r>
      <w:r w:rsidRPr="004B5843">
        <w:rPr>
          <w:szCs w:val="24"/>
        </w:rPr>
        <w:t xml:space="preserve"> </w:t>
      </w:r>
      <w:hyperlink r:id="rId16" w:history="1">
        <w:r w:rsidR="004A2761" w:rsidRPr="004E3075">
          <w:rPr>
            <w:rStyle w:val="Hyperlink"/>
            <w:szCs w:val="24"/>
          </w:rPr>
          <w:t>https://energy.zoom.us/j/88024806865?pwd=dtk95tTBoaqGibS3JQWkn62NcGX7DQ.1</w:t>
        </w:r>
      </w:hyperlink>
      <w:r w:rsidRPr="001B1C48">
        <w:rPr>
          <w:szCs w:val="24"/>
        </w:rPr>
        <w:t xml:space="preserve">. </w:t>
      </w:r>
      <w:r w:rsidRPr="004B5843">
        <w:rPr>
          <w:szCs w:val="24"/>
        </w:rPr>
        <w:t xml:space="preserve">You may also access the workshop by going to the </w:t>
      </w:r>
      <w:hyperlink r:id="rId17" w:history="1">
        <w:r w:rsidR="00C51BC3" w:rsidRPr="004B5843">
          <w:rPr>
            <w:rStyle w:val="Hyperlink"/>
            <w:rFonts w:eastAsia="Tahoma"/>
            <w:szCs w:val="24"/>
          </w:rPr>
          <w:t>Zoom webpage</w:t>
        </w:r>
      </w:hyperlink>
      <w:r w:rsidRPr="004B5843">
        <w:rPr>
          <w:szCs w:val="24"/>
        </w:rPr>
        <w:t xml:space="preserve"> at https://join.zoom.us and enter the unique meeting ID and password below:</w:t>
      </w:r>
    </w:p>
    <w:p w14:paraId="566BB778" w14:textId="77777777" w:rsidR="0045255C" w:rsidRPr="00BE3537" w:rsidRDefault="0045255C" w:rsidP="0045255C">
      <w:pPr>
        <w:pStyle w:val="ListParagraph"/>
        <w:tabs>
          <w:tab w:val="left" w:pos="810"/>
        </w:tabs>
        <w:rPr>
          <w:rFonts w:ascii="Tahoma" w:hAnsi="Tahoma" w:cs="Tahoma"/>
          <w:szCs w:val="24"/>
        </w:rPr>
      </w:pPr>
    </w:p>
    <w:p w14:paraId="7D6A5154" w14:textId="6D13E9A8" w:rsidR="0045255C" w:rsidRPr="001B1C48" w:rsidRDefault="0045255C" w:rsidP="005D5963">
      <w:pPr>
        <w:ind w:left="720" w:firstLine="720"/>
        <w:jc w:val="center"/>
        <w:rPr>
          <w:b/>
          <w:szCs w:val="24"/>
        </w:rPr>
      </w:pPr>
      <w:r w:rsidRPr="001B1C48">
        <w:rPr>
          <w:b/>
          <w:szCs w:val="24"/>
        </w:rPr>
        <w:t>Meeting ID:</w:t>
      </w:r>
      <w:r w:rsidRPr="001B1C48">
        <w:rPr>
          <w:szCs w:val="24"/>
        </w:rPr>
        <w:t xml:space="preserve"> </w:t>
      </w:r>
      <w:r w:rsidR="00661EB3" w:rsidRPr="001B1C48">
        <w:rPr>
          <w:szCs w:val="24"/>
        </w:rPr>
        <w:t xml:space="preserve">880 </w:t>
      </w:r>
      <w:r w:rsidR="00BD55AD" w:rsidRPr="001B1C48">
        <w:rPr>
          <w:szCs w:val="24"/>
        </w:rPr>
        <w:t xml:space="preserve">2480 </w:t>
      </w:r>
      <w:r w:rsidR="00A872FB" w:rsidRPr="001B1C48">
        <w:rPr>
          <w:szCs w:val="24"/>
        </w:rPr>
        <w:t>68</w:t>
      </w:r>
      <w:r w:rsidR="002D26EE" w:rsidRPr="001B1C48">
        <w:rPr>
          <w:szCs w:val="24"/>
        </w:rPr>
        <w:t>6</w:t>
      </w:r>
      <w:r w:rsidR="00A872FB" w:rsidRPr="001B1C48">
        <w:rPr>
          <w:szCs w:val="24"/>
        </w:rPr>
        <w:t>5</w:t>
      </w:r>
    </w:p>
    <w:p w14:paraId="72BF0271" w14:textId="78373180" w:rsidR="0045255C" w:rsidRPr="001B1C48" w:rsidRDefault="0045255C" w:rsidP="005D5963">
      <w:pPr>
        <w:ind w:left="720" w:firstLine="720"/>
        <w:jc w:val="center"/>
        <w:rPr>
          <w:szCs w:val="24"/>
        </w:rPr>
      </w:pPr>
      <w:r w:rsidRPr="001B1C48">
        <w:rPr>
          <w:b/>
          <w:szCs w:val="24"/>
        </w:rPr>
        <w:t>Meeting Password:</w:t>
      </w:r>
      <w:r w:rsidRPr="00532CBD">
        <w:rPr>
          <w:szCs w:val="24"/>
        </w:rPr>
        <w:t xml:space="preserve"> </w:t>
      </w:r>
      <w:r w:rsidR="0034287C" w:rsidRPr="001B1C48">
        <w:rPr>
          <w:bCs/>
          <w:szCs w:val="24"/>
        </w:rPr>
        <w:t>694672</w:t>
      </w:r>
    </w:p>
    <w:p w14:paraId="24CD9DDE" w14:textId="726F9D13" w:rsidR="0045255C" w:rsidRPr="002C2AB0" w:rsidRDefault="0045255C" w:rsidP="005D5963">
      <w:pPr>
        <w:ind w:left="720" w:firstLine="720"/>
        <w:jc w:val="center"/>
        <w:rPr>
          <w:szCs w:val="24"/>
        </w:rPr>
      </w:pPr>
      <w:r w:rsidRPr="00566B8C">
        <w:rPr>
          <w:b/>
          <w:szCs w:val="24"/>
        </w:rPr>
        <w:t>Topic:</w:t>
      </w:r>
      <w:r w:rsidRPr="00566B8C">
        <w:rPr>
          <w:color w:val="0070C0"/>
          <w:szCs w:val="24"/>
        </w:rPr>
        <w:t xml:space="preserve"> </w:t>
      </w:r>
      <w:r w:rsidR="007573B9" w:rsidRPr="00566B8C">
        <w:rPr>
          <w:szCs w:val="24"/>
        </w:rPr>
        <w:t>Pre-Application Workshop for C</w:t>
      </w:r>
      <w:r w:rsidR="00714459" w:rsidRPr="00566B8C">
        <w:rPr>
          <w:szCs w:val="24"/>
        </w:rPr>
        <w:t>alifornia’s NEVI Formula Program Solicitation 2</w:t>
      </w:r>
    </w:p>
    <w:p w14:paraId="7F2E0804" w14:textId="77777777" w:rsidR="0045255C" w:rsidRDefault="0045255C" w:rsidP="0045255C">
      <w:pPr>
        <w:ind w:left="720" w:firstLine="720"/>
        <w:rPr>
          <w:rFonts w:ascii="Tahoma" w:hAnsi="Tahoma" w:cs="Tahoma"/>
          <w:szCs w:val="24"/>
        </w:rPr>
      </w:pPr>
    </w:p>
    <w:p w14:paraId="23F66E67" w14:textId="77777777" w:rsidR="0045255C" w:rsidRPr="002C2AB0" w:rsidRDefault="0045255C" w:rsidP="005D5963">
      <w:pPr>
        <w:pStyle w:val="ListParagraph"/>
        <w:tabs>
          <w:tab w:val="left" w:pos="1080"/>
        </w:tabs>
        <w:jc w:val="both"/>
        <w:rPr>
          <w:b/>
          <w:bCs/>
          <w:szCs w:val="24"/>
        </w:rPr>
      </w:pPr>
      <w:r w:rsidRPr="002C2AB0">
        <w:rPr>
          <w:b/>
          <w:bCs/>
          <w:szCs w:val="24"/>
        </w:rPr>
        <w:t>Telephone Access Only:</w:t>
      </w:r>
    </w:p>
    <w:p w14:paraId="3FF61D17" w14:textId="77777777" w:rsidR="0045255C" w:rsidRPr="002C2AB0" w:rsidRDefault="0045255C" w:rsidP="04ACA070">
      <w:pPr>
        <w:pStyle w:val="ListParagraph"/>
        <w:tabs>
          <w:tab w:val="left" w:pos="1080"/>
        </w:tabs>
        <w:rPr>
          <w:szCs w:val="24"/>
        </w:rPr>
      </w:pPr>
      <w:r w:rsidRPr="04ACA070">
        <w:rPr>
          <w:szCs w:val="24"/>
        </w:rPr>
        <w:t>Call (888) 853-5257 or (888) 475-4499 (toll-free). When prompted, enter the unique meeting ID number above. To comment over the telephone, dial *9 to “raise your hand” and *6 to mute/unmute your phone line.</w:t>
      </w:r>
    </w:p>
    <w:p w14:paraId="5FC6D39F" w14:textId="77777777" w:rsidR="009A4D7F" w:rsidRDefault="009A4D7F" w:rsidP="009A4D7F">
      <w:pPr>
        <w:pStyle w:val="ListParagraph"/>
        <w:tabs>
          <w:tab w:val="left" w:pos="1080"/>
        </w:tabs>
        <w:jc w:val="both"/>
        <w:rPr>
          <w:b/>
          <w:bCs/>
          <w:szCs w:val="24"/>
        </w:rPr>
      </w:pPr>
    </w:p>
    <w:p w14:paraId="15BCB6E3" w14:textId="6616F747" w:rsidR="009A4D7F" w:rsidRPr="005508AA" w:rsidRDefault="009A4D7F" w:rsidP="005508AA">
      <w:pPr>
        <w:pStyle w:val="ListParagraph"/>
        <w:tabs>
          <w:tab w:val="left" w:pos="1080"/>
        </w:tabs>
        <w:jc w:val="both"/>
        <w:rPr>
          <w:b/>
          <w:bCs/>
          <w:szCs w:val="24"/>
        </w:rPr>
      </w:pPr>
      <w:r w:rsidRPr="009A4D7F">
        <w:rPr>
          <w:b/>
          <w:bCs/>
          <w:szCs w:val="24"/>
        </w:rPr>
        <w:t>Access by Mobile Device:</w:t>
      </w:r>
    </w:p>
    <w:p w14:paraId="03C0E920" w14:textId="7BB8D352" w:rsidR="009A4D7F" w:rsidRPr="009A4D7F" w:rsidRDefault="242C9D27" w:rsidP="2915ECD9">
      <w:pPr>
        <w:pStyle w:val="ListParagraph"/>
        <w:tabs>
          <w:tab w:val="left" w:pos="1080"/>
        </w:tabs>
        <w:rPr>
          <w:rFonts w:eastAsia="Arial"/>
          <w:szCs w:val="24"/>
        </w:rPr>
      </w:pPr>
      <w:r w:rsidRPr="2915ECD9">
        <w:rPr>
          <w:rFonts w:eastAsia="Arial"/>
          <w:szCs w:val="24"/>
        </w:rPr>
        <w:t xml:space="preserve">Download the application from the </w:t>
      </w:r>
      <w:hyperlink r:id="rId18">
        <w:r w:rsidR="2FB9C159" w:rsidRPr="2915ECD9">
          <w:rPr>
            <w:rStyle w:val="Hyperlink"/>
            <w:rFonts w:eastAsia="Arial"/>
            <w:szCs w:val="24"/>
          </w:rPr>
          <w:t>Zoom Download Center</w:t>
        </w:r>
      </w:hyperlink>
      <w:r w:rsidR="2B10A55B" w:rsidRPr="2915ECD9">
        <w:rPr>
          <w:rFonts w:eastAsia="Arial"/>
          <w:szCs w:val="24"/>
        </w:rPr>
        <w:t xml:space="preserve"> at</w:t>
      </w:r>
      <w:r w:rsidRPr="2915ECD9">
        <w:rPr>
          <w:rFonts w:eastAsia="Arial"/>
          <w:szCs w:val="24"/>
        </w:rPr>
        <w:t xml:space="preserve"> https://energy.zoom.us/download</w:t>
      </w:r>
      <w:r w:rsidR="3DC9F0DA" w:rsidRPr="2915ECD9">
        <w:rPr>
          <w:rFonts w:eastAsia="Arial"/>
          <w:szCs w:val="24"/>
        </w:rPr>
        <w:t>.</w:t>
      </w:r>
    </w:p>
    <w:p w14:paraId="1ABC2F1E" w14:textId="77777777" w:rsidR="0045255C" w:rsidRPr="002C2AB0" w:rsidRDefault="0045255C" w:rsidP="0045255C">
      <w:pPr>
        <w:jc w:val="both"/>
        <w:rPr>
          <w:szCs w:val="24"/>
        </w:rPr>
      </w:pPr>
    </w:p>
    <w:p w14:paraId="4068581B" w14:textId="77777777" w:rsidR="0045255C" w:rsidRPr="002C2AB0" w:rsidRDefault="0045255C" w:rsidP="0045255C">
      <w:pPr>
        <w:pStyle w:val="ListParagraph"/>
        <w:tabs>
          <w:tab w:val="left" w:pos="1080"/>
        </w:tabs>
        <w:jc w:val="both"/>
        <w:rPr>
          <w:b/>
          <w:bCs/>
          <w:szCs w:val="24"/>
        </w:rPr>
      </w:pPr>
      <w:r w:rsidRPr="002C2AB0">
        <w:rPr>
          <w:b/>
          <w:bCs/>
          <w:szCs w:val="24"/>
        </w:rPr>
        <w:t>Technical Support:</w:t>
      </w:r>
    </w:p>
    <w:p w14:paraId="7E08E536" w14:textId="4721E428" w:rsidR="0045255C" w:rsidRDefault="0045255C" w:rsidP="04ACA070">
      <w:pPr>
        <w:pStyle w:val="ListParagraph"/>
        <w:tabs>
          <w:tab w:val="left" w:pos="1080"/>
        </w:tabs>
        <w:rPr>
          <w:szCs w:val="24"/>
        </w:rPr>
      </w:pPr>
      <w:r w:rsidRPr="04ACA070">
        <w:rPr>
          <w:szCs w:val="24"/>
        </w:rPr>
        <w:t xml:space="preserve">For assistance with problems or questions about joining or attending the meeting, please call Zoom technical support at (888) 799-9666 ext. 2, or you may contact the CEC’s Public Advisor’s Office at </w:t>
      </w:r>
      <w:hyperlink r:id="rId19">
        <w:r w:rsidR="00B94859" w:rsidRPr="04ACA070">
          <w:rPr>
            <w:rStyle w:val="Hyperlink"/>
            <w:rFonts w:eastAsia="Tahoma"/>
            <w:szCs w:val="24"/>
          </w:rPr>
          <w:t>publicadvisor@energy.ca.gov</w:t>
        </w:r>
      </w:hyperlink>
      <w:r w:rsidRPr="04ACA070">
        <w:rPr>
          <w:szCs w:val="24"/>
        </w:rPr>
        <w:t>, or (</w:t>
      </w:r>
      <w:r w:rsidR="56B57478" w:rsidRPr="04ACA070">
        <w:rPr>
          <w:szCs w:val="24"/>
        </w:rPr>
        <w:t>916) 957-7910</w:t>
      </w:r>
      <w:r w:rsidRPr="04ACA070">
        <w:rPr>
          <w:szCs w:val="24"/>
        </w:rPr>
        <w:t>.</w:t>
      </w:r>
    </w:p>
    <w:p w14:paraId="364E4DEA" w14:textId="77777777" w:rsidR="008500DD" w:rsidRDefault="008500DD" w:rsidP="0045255C">
      <w:pPr>
        <w:pStyle w:val="ListParagraph"/>
        <w:tabs>
          <w:tab w:val="left" w:pos="1080"/>
        </w:tabs>
        <w:jc w:val="both"/>
        <w:rPr>
          <w:szCs w:val="24"/>
        </w:rPr>
      </w:pPr>
    </w:p>
    <w:p w14:paraId="750FE93D" w14:textId="00F6FAC8"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w:t>
      </w:r>
      <w:r w:rsidR="00034740">
        <w:rPr>
          <w:rStyle w:val="normaltextrun"/>
          <w:rFonts w:ascii="Arial" w:hAnsi="Arial" w:cs="Arial"/>
        </w:rPr>
        <w:t xml:space="preserve"> </w:t>
      </w:r>
      <w:r w:rsidRPr="00B952E3">
        <w:rPr>
          <w:rStyle w:val="normaltextrun"/>
          <w:rFonts w:ascii="Arial" w:hAnsi="Arial" w:cs="Arial"/>
        </w:rPr>
        <w:t>determine whether your computer is compatible</w:t>
      </w:r>
      <w:r w:rsidR="00095D51">
        <w:rPr>
          <w:rStyle w:val="normaltextrun"/>
          <w:rFonts w:ascii="Arial" w:hAnsi="Arial" w:cs="Arial"/>
        </w:rPr>
        <w:t xml:space="preserve"> </w:t>
      </w:r>
      <w:r w:rsidRPr="00B952E3">
        <w:rPr>
          <w:rStyle w:val="normaltextrun"/>
          <w:rFonts w:ascii="Arial" w:hAnsi="Arial" w:cs="Arial"/>
        </w:rPr>
        <w:t>with Zoom, visit</w:t>
      </w:r>
      <w:r w:rsidR="00095D51">
        <w:rPr>
          <w:rStyle w:val="normaltextrun"/>
          <w:rFonts w:ascii="Arial" w:hAnsi="Arial" w:cs="Arial"/>
        </w:rPr>
        <w:t xml:space="preserve"> </w:t>
      </w:r>
    </w:p>
    <w:p w14:paraId="05438113" w14:textId="37034A73" w:rsidR="0015063E" w:rsidRPr="00842A60" w:rsidRDefault="00046CAD" w:rsidP="0015063E">
      <w:pPr>
        <w:ind w:left="720"/>
        <w:rPr>
          <w:szCs w:val="24"/>
        </w:rPr>
      </w:pPr>
      <w:hyperlink r:id="rId20" w:history="1">
        <w:r w:rsidRPr="00046CAD">
          <w:rPr>
            <w:rStyle w:val="Hyperlink"/>
            <w:szCs w:val="24"/>
          </w:rPr>
          <w:t>the Zoom support website</w:t>
        </w:r>
      </w:hyperlink>
      <w:r w:rsidR="0048060C">
        <w:rPr>
          <w:szCs w:val="24"/>
        </w:rPr>
        <w:t xml:space="preserve"> at</w:t>
      </w:r>
      <w:r w:rsidR="0015063E" w:rsidRPr="00842A60">
        <w:rPr>
          <w:szCs w:val="24"/>
        </w:rPr>
        <w:t xml:space="preserve"> </w:t>
      </w:r>
      <w:r w:rsidR="0015063E" w:rsidRPr="00095D51">
        <w:rPr>
          <w:szCs w:val="24"/>
        </w:rPr>
        <w:t>https://support.zoom.us/hc/en-us/articles/201362023-System-requirements-for-Windows-macOS-and-Linux</w:t>
      </w:r>
      <w:r w:rsidR="0015063E" w:rsidRPr="00842A60">
        <w:rPr>
          <w:szCs w:val="24"/>
        </w:rPr>
        <w:t>.</w:t>
      </w:r>
    </w:p>
    <w:p w14:paraId="6ED58540" w14:textId="77777777" w:rsidR="00D10859" w:rsidRPr="004865B8" w:rsidRDefault="00D10859" w:rsidP="00E04486">
      <w:pPr>
        <w:rPr>
          <w:szCs w:val="22"/>
        </w:rPr>
      </w:pPr>
    </w:p>
    <w:p w14:paraId="1065E815" w14:textId="77777777" w:rsidR="0045255C" w:rsidRPr="002C2AB0" w:rsidRDefault="0045255C" w:rsidP="00164AC5">
      <w:pPr>
        <w:pStyle w:val="Heading2"/>
        <w:keepNext w:val="0"/>
        <w:numPr>
          <w:ilvl w:val="0"/>
          <w:numId w:val="11"/>
        </w:numPr>
        <w:spacing w:before="0"/>
        <w:ind w:hanging="720"/>
        <w:rPr>
          <w:rFonts w:cs="Arial"/>
          <w:szCs w:val="28"/>
        </w:rPr>
      </w:pPr>
      <w:bookmarkStart w:id="26" w:name="_Toc198951307"/>
      <w:bookmarkStart w:id="27" w:name="_Toc201713535"/>
      <w:bookmarkStart w:id="28" w:name="_Toc219275084"/>
      <w:bookmarkStart w:id="29" w:name="_Toc184829620"/>
      <w:r w:rsidRPr="002C2AB0">
        <w:rPr>
          <w:rFonts w:cs="Arial"/>
          <w:szCs w:val="28"/>
        </w:rPr>
        <w:t>Question</w:t>
      </w:r>
      <w:bookmarkEnd w:id="26"/>
      <w:r w:rsidRPr="002C2AB0">
        <w:rPr>
          <w:rFonts w:cs="Arial"/>
          <w:szCs w:val="28"/>
        </w:rPr>
        <w:t>s</w:t>
      </w:r>
      <w:bookmarkEnd w:id="27"/>
      <w:bookmarkEnd w:id="28"/>
      <w:bookmarkEnd w:id="29"/>
    </w:p>
    <w:p w14:paraId="3C548E1D" w14:textId="31315D2C" w:rsidR="006150FE" w:rsidRDefault="008E3BEB" w:rsidP="006150FE">
      <w:pPr>
        <w:ind w:left="720"/>
        <w:rPr>
          <w:szCs w:val="24"/>
        </w:rPr>
      </w:pPr>
      <w:r w:rsidRPr="04991C40">
        <w:rPr>
          <w:szCs w:val="24"/>
        </w:rPr>
        <w:t>During the solicitation process, for questions only related to submission of applications in EC</w:t>
      </w:r>
      <w:r w:rsidR="001177A4" w:rsidRPr="04991C40">
        <w:rPr>
          <w:szCs w:val="24"/>
        </w:rPr>
        <w:t>A</w:t>
      </w:r>
      <w:r w:rsidRPr="04991C40">
        <w:rPr>
          <w:szCs w:val="24"/>
        </w:rPr>
        <w:t xml:space="preserve">MS, please contact </w:t>
      </w:r>
      <w:hyperlink r:id="rId21">
        <w:r w:rsidR="00565ABB" w:rsidRPr="04991C40">
          <w:rPr>
            <w:rStyle w:val="Hyperlink"/>
            <w:szCs w:val="24"/>
          </w:rPr>
          <w:t>ECAMS.Salesfor</w:t>
        </w:r>
        <w:r w:rsidR="2A50CB0F" w:rsidRPr="04991C40">
          <w:rPr>
            <w:rStyle w:val="Hyperlink"/>
            <w:szCs w:val="24"/>
          </w:rPr>
          <w:t>c</w:t>
        </w:r>
        <w:r w:rsidR="00565ABB" w:rsidRPr="04991C40">
          <w:rPr>
            <w:rStyle w:val="Hyperlink"/>
            <w:szCs w:val="24"/>
          </w:rPr>
          <w:t>eSupport@energy.ca.gov</w:t>
        </w:r>
      </w:hyperlink>
      <w:r w:rsidRPr="04991C40">
        <w:rPr>
          <w:szCs w:val="24"/>
        </w:rPr>
        <w:t>.</w:t>
      </w:r>
      <w:r w:rsidR="00565ABB" w:rsidRPr="04991C40">
        <w:rPr>
          <w:szCs w:val="24"/>
        </w:rPr>
        <w:t xml:space="preserve"> </w:t>
      </w:r>
      <w:r w:rsidR="006150FE" w:rsidRPr="04991C40">
        <w:rPr>
          <w:szCs w:val="24"/>
        </w:rPr>
        <w:t>By contacting this email address, Applicants will be able to access a team of technical assistants who can answer questions about application submission. Please also see Section III for additional information about ECAMS.</w:t>
      </w:r>
    </w:p>
    <w:p w14:paraId="183BE68F" w14:textId="77777777" w:rsidR="00CE02F8" w:rsidRPr="00842A60" w:rsidRDefault="00CE02F8" w:rsidP="006150FE">
      <w:pPr>
        <w:ind w:left="720"/>
        <w:rPr>
          <w:szCs w:val="24"/>
        </w:rPr>
      </w:pPr>
    </w:p>
    <w:p w14:paraId="30851C9C" w14:textId="3BE7595D" w:rsidR="0045255C" w:rsidRPr="000F2301" w:rsidRDefault="00AC5700" w:rsidP="0045255C">
      <w:pPr>
        <w:ind w:left="720"/>
      </w:pPr>
      <w:r>
        <w:t xml:space="preserve">Applicants may ask questions at the Pre-Application Workshop and may submit written questions via e-mail to the </w:t>
      </w:r>
      <w:r w:rsidR="00B952E3">
        <w:t>CAO</w:t>
      </w:r>
      <w:r>
        <w:t xml:space="preserve"> listed in </w:t>
      </w:r>
      <w:r w:rsidR="006F7408">
        <w:t>the following section</w:t>
      </w:r>
      <w:r w:rsidR="00CA0F63">
        <w:t>.</w:t>
      </w:r>
      <w: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t xml:space="preserve">. </w:t>
      </w:r>
      <w:r w:rsidR="0015107F">
        <w:t xml:space="preserve">Similarly, questions related to submission of applications in ECAMS may be submitted to </w:t>
      </w:r>
      <w:hyperlink r:id="rId22">
        <w:r w:rsidR="0015107F" w:rsidRPr="009D56C1">
          <w:rPr>
            <w:rStyle w:val="Hyperlink"/>
            <w:szCs w:val="24"/>
          </w:rPr>
          <w:t>ECAMS.SalesforceSupport@energy.ca.gov</w:t>
        </w:r>
      </w:hyperlink>
      <w:r w:rsidR="0F0FEC12">
        <w:t xml:space="preserve"> </w:t>
      </w:r>
      <w:r w:rsidR="0015107F">
        <w:t>at any time prior to 5:00 p.m. of the application deadline date.</w:t>
      </w:r>
    </w:p>
    <w:p w14:paraId="7DA7623D" w14:textId="77777777" w:rsidR="0045255C" w:rsidRPr="002C2AB0" w:rsidRDefault="0045255C" w:rsidP="0045255C">
      <w:pPr>
        <w:ind w:left="720"/>
        <w:rPr>
          <w:szCs w:val="24"/>
        </w:rPr>
      </w:pPr>
    </w:p>
    <w:p w14:paraId="1970A8A3" w14:textId="5127F556" w:rsidR="0045255C" w:rsidRPr="002C2AB0" w:rsidRDefault="0045255C" w:rsidP="0045255C">
      <w:pPr>
        <w:ind w:left="720"/>
        <w:rPr>
          <w:szCs w:val="24"/>
        </w:rPr>
      </w:pPr>
      <w:r w:rsidRPr="6E426E1A">
        <w:rPr>
          <w:szCs w:val="24"/>
        </w:rPr>
        <w:t>The question</w:t>
      </w:r>
      <w:r w:rsidR="00CA7F40">
        <w:rPr>
          <w:szCs w:val="24"/>
        </w:rPr>
        <w:t>-</w:t>
      </w:r>
      <w:r w:rsidRPr="6E426E1A">
        <w:rPr>
          <w:szCs w:val="24"/>
        </w:rPr>
        <w:t>and</w:t>
      </w:r>
      <w:r w:rsidR="00CA7F40">
        <w:rPr>
          <w:szCs w:val="24"/>
        </w:rPr>
        <w:t>-</w:t>
      </w:r>
      <w:r w:rsidRPr="6E426E1A">
        <w:rPr>
          <w:szCs w:val="24"/>
        </w:rPr>
        <w:t>answer</w:t>
      </w:r>
      <w:r w:rsidR="7E60C906" w:rsidRPr="6E426E1A">
        <w:rPr>
          <w:szCs w:val="24"/>
        </w:rPr>
        <w:t xml:space="preserve"> set</w:t>
      </w:r>
      <w:r w:rsidRPr="6E426E1A">
        <w:rPr>
          <w:szCs w:val="24"/>
        </w:rPr>
        <w:t xml:space="preserve"> will be posted on the </w:t>
      </w:r>
      <w:hyperlink r:id="rId23">
        <w:r w:rsidR="002C2AB0" w:rsidRPr="6E426E1A">
          <w:rPr>
            <w:rStyle w:val="Hyperlink"/>
            <w:szCs w:val="24"/>
          </w:rPr>
          <w:t>CEC’s solicitation information website</w:t>
        </w:r>
      </w:hyperlink>
      <w:r w:rsidRPr="6E426E1A">
        <w:rPr>
          <w:szCs w:val="24"/>
        </w:rPr>
        <w:t xml:space="preserve"> at</w:t>
      </w:r>
      <w:r w:rsidR="002C2AB0" w:rsidRPr="6E426E1A">
        <w:rPr>
          <w:szCs w:val="24"/>
        </w:rPr>
        <w:t xml:space="preserve"> www.energy.ca.gov/</w:t>
      </w:r>
      <w:r w:rsidR="00825DB2" w:rsidRPr="6E426E1A">
        <w:rPr>
          <w:szCs w:val="24"/>
        </w:rPr>
        <w:t>funding-opportunities/solicitations.</w:t>
      </w:r>
    </w:p>
    <w:p w14:paraId="12022D0A" w14:textId="77777777" w:rsidR="0045255C" w:rsidRPr="002C2AB0" w:rsidRDefault="0045255C" w:rsidP="0045255C">
      <w:pPr>
        <w:ind w:left="720"/>
        <w:rPr>
          <w:szCs w:val="24"/>
        </w:rPr>
      </w:pPr>
    </w:p>
    <w:p w14:paraId="78869878" w14:textId="0C3DB201" w:rsidR="0045255C" w:rsidRPr="002C2AB0" w:rsidRDefault="0045255C" w:rsidP="0045255C">
      <w:pPr>
        <w:ind w:left="720"/>
        <w:rPr>
          <w:szCs w:val="24"/>
        </w:rPr>
      </w:pPr>
      <w:r w:rsidRPr="60D49439">
        <w:rPr>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050087" w:rsidRDefault="00D10859" w:rsidP="00E04486">
      <w:pPr>
        <w:rPr>
          <w:szCs w:val="22"/>
        </w:rPr>
      </w:pPr>
    </w:p>
    <w:p w14:paraId="752F7AE4" w14:textId="77777777" w:rsidR="00052A64" w:rsidRPr="00050087" w:rsidRDefault="00052A64" w:rsidP="00164AC5">
      <w:pPr>
        <w:pStyle w:val="Heading2"/>
        <w:keepNext w:val="0"/>
        <w:numPr>
          <w:ilvl w:val="0"/>
          <w:numId w:val="11"/>
        </w:numPr>
        <w:spacing w:before="0"/>
        <w:ind w:hanging="720"/>
      </w:pPr>
      <w:bookmarkStart w:id="30" w:name="_Toc182730692"/>
      <w:bookmarkStart w:id="31" w:name="_Toc201713536"/>
      <w:bookmarkStart w:id="32" w:name="_Toc219275085"/>
      <w:bookmarkStart w:id="33" w:name="_Toc184829621"/>
      <w:r w:rsidRPr="00050087">
        <w:t>Contact Information</w:t>
      </w:r>
      <w:bookmarkEnd w:id="30"/>
      <w:bookmarkEnd w:id="31"/>
      <w:bookmarkEnd w:id="32"/>
      <w:bookmarkEnd w:id="33"/>
    </w:p>
    <w:p w14:paraId="398A697A" w14:textId="77777777" w:rsidR="00D10859" w:rsidRPr="00050087" w:rsidRDefault="00D10859" w:rsidP="00E04486">
      <w:pPr>
        <w:jc w:val="center"/>
        <w:rPr>
          <w:szCs w:val="22"/>
        </w:rPr>
      </w:pPr>
    </w:p>
    <w:p w14:paraId="0DFD2F7C" w14:textId="7B4324B0" w:rsidR="00052A64" w:rsidRPr="002C2AB0" w:rsidRDefault="00AD42B2" w:rsidP="00E04486">
      <w:pPr>
        <w:jc w:val="center"/>
        <w:rPr>
          <w:szCs w:val="24"/>
        </w:rPr>
      </w:pPr>
      <w:r w:rsidRPr="00AD42B2">
        <w:rPr>
          <w:szCs w:val="24"/>
        </w:rPr>
        <w:t>Marissa Sutton</w:t>
      </w:r>
      <w:r w:rsidR="00CB24F5" w:rsidRPr="00AD42B2">
        <w:rPr>
          <w:szCs w:val="24"/>
        </w:rPr>
        <w:t>,</w:t>
      </w:r>
      <w:r w:rsidR="00DD6B5B" w:rsidRPr="002C2AB0">
        <w:rPr>
          <w:szCs w:val="24"/>
        </w:rPr>
        <w:t xml:space="preserve"> </w:t>
      </w:r>
      <w:r w:rsidR="00052A64" w:rsidRPr="002C2AB0">
        <w:rPr>
          <w:szCs w:val="24"/>
        </w:rPr>
        <w:t xml:space="preserve">Commission </w:t>
      </w:r>
      <w:r w:rsidR="004B6EC1" w:rsidRPr="002C2AB0">
        <w:rPr>
          <w:szCs w:val="24"/>
        </w:rPr>
        <w:t xml:space="preserve">Agreement </w:t>
      </w:r>
      <w:r w:rsidR="00052A64" w:rsidRPr="002C2AB0">
        <w:rPr>
          <w:szCs w:val="24"/>
        </w:rPr>
        <w:t>Officer</w:t>
      </w:r>
    </w:p>
    <w:p w14:paraId="45136A6F" w14:textId="77777777" w:rsidR="00052A64" w:rsidRPr="002C2AB0" w:rsidRDefault="00052A64" w:rsidP="00E04486">
      <w:pPr>
        <w:jc w:val="center"/>
        <w:rPr>
          <w:szCs w:val="24"/>
        </w:rPr>
      </w:pPr>
      <w:r w:rsidRPr="002C2AB0">
        <w:rPr>
          <w:szCs w:val="24"/>
        </w:rPr>
        <w:t>Californi</w:t>
      </w:r>
      <w:r w:rsidR="00025632" w:rsidRPr="002C2AB0">
        <w:rPr>
          <w:szCs w:val="24"/>
        </w:rPr>
        <w:t>a Energy Commission</w:t>
      </w:r>
    </w:p>
    <w:p w14:paraId="14E6FB9E" w14:textId="77777777" w:rsidR="00052A64" w:rsidRPr="002C2AB0" w:rsidRDefault="00CA2F76" w:rsidP="00E04486">
      <w:pPr>
        <w:jc w:val="center"/>
        <w:rPr>
          <w:szCs w:val="24"/>
        </w:rPr>
      </w:pPr>
      <w:r w:rsidRPr="002C2AB0">
        <w:rPr>
          <w:szCs w:val="24"/>
        </w:rPr>
        <w:t>715 P Street</w:t>
      </w:r>
      <w:r w:rsidR="00052A64" w:rsidRPr="002C2AB0">
        <w:rPr>
          <w:szCs w:val="24"/>
        </w:rPr>
        <w:t xml:space="preserve">, </w:t>
      </w:r>
      <w:r w:rsidR="000C6B71" w:rsidRPr="002C2AB0">
        <w:rPr>
          <w:szCs w:val="24"/>
        </w:rPr>
        <w:t>MS-1</w:t>
      </w:r>
    </w:p>
    <w:p w14:paraId="7C4FA753" w14:textId="77777777" w:rsidR="00052A64" w:rsidRPr="002C2AB0" w:rsidRDefault="00052A64" w:rsidP="00E04486">
      <w:pPr>
        <w:jc w:val="center"/>
        <w:rPr>
          <w:szCs w:val="24"/>
        </w:rPr>
      </w:pPr>
      <w:r w:rsidRPr="002C2AB0">
        <w:rPr>
          <w:szCs w:val="24"/>
        </w:rPr>
        <w:t>Sacramento, California  95814</w:t>
      </w:r>
    </w:p>
    <w:p w14:paraId="16D30D92" w14:textId="66343CCD" w:rsidR="00F60AC4" w:rsidRPr="002C2AB0" w:rsidRDefault="000C6B71" w:rsidP="00E04486">
      <w:pPr>
        <w:jc w:val="center"/>
        <w:rPr>
          <w:szCs w:val="24"/>
        </w:rPr>
      </w:pPr>
      <w:r w:rsidRPr="002C2AB0">
        <w:rPr>
          <w:szCs w:val="24"/>
        </w:rPr>
        <w:t xml:space="preserve">Telephone: </w:t>
      </w:r>
      <w:r w:rsidR="004D6F3F" w:rsidRPr="002C2AB0">
        <w:rPr>
          <w:szCs w:val="24"/>
        </w:rPr>
        <w:t xml:space="preserve">(916) </w:t>
      </w:r>
      <w:r w:rsidR="00B20800">
        <w:rPr>
          <w:szCs w:val="24"/>
        </w:rPr>
        <w:t>237-</w:t>
      </w:r>
      <w:r w:rsidR="003A74CF">
        <w:rPr>
          <w:szCs w:val="24"/>
        </w:rPr>
        <w:t>2515</w:t>
      </w:r>
    </w:p>
    <w:p w14:paraId="39BC5B9A" w14:textId="4033ED16" w:rsidR="00052A64" w:rsidRPr="002C2AB0" w:rsidRDefault="00052A64" w:rsidP="00E04486">
      <w:pPr>
        <w:jc w:val="center"/>
        <w:rPr>
          <w:szCs w:val="24"/>
          <w:lang w:val="de-DE"/>
        </w:rPr>
      </w:pPr>
      <w:r w:rsidRPr="002C2AB0">
        <w:rPr>
          <w:szCs w:val="24"/>
          <w:lang w:val="de-DE"/>
        </w:rPr>
        <w:t xml:space="preserve">E-mail: </w:t>
      </w:r>
      <w:hyperlink r:id="rId24" w:history="1">
        <w:r w:rsidR="00E77C0C" w:rsidRPr="00CE58D3">
          <w:rPr>
            <w:rStyle w:val="Hyperlink"/>
            <w:szCs w:val="24"/>
            <w:lang w:val="de-DE"/>
          </w:rPr>
          <w:t>marissa.sutton@energy.ca.gov</w:t>
        </w:r>
      </w:hyperlink>
    </w:p>
    <w:p w14:paraId="0A12FA51" w14:textId="77777777" w:rsidR="00D10859" w:rsidRDefault="00D10859" w:rsidP="00E04486">
      <w:pPr>
        <w:rPr>
          <w:szCs w:val="22"/>
          <w:lang w:val="de-DE"/>
        </w:rPr>
      </w:pPr>
    </w:p>
    <w:p w14:paraId="03E2179B" w14:textId="546A5F82" w:rsidR="003B1CDD" w:rsidRDefault="003B1CDD" w:rsidP="00164AC5">
      <w:pPr>
        <w:pStyle w:val="Heading2"/>
        <w:keepNext w:val="0"/>
        <w:numPr>
          <w:ilvl w:val="0"/>
          <w:numId w:val="11"/>
        </w:numPr>
        <w:spacing w:before="0"/>
        <w:ind w:hanging="720"/>
      </w:pPr>
      <w:bookmarkStart w:id="34" w:name="_Toc184829622"/>
      <w:bookmarkStart w:id="35" w:name="_Toc219275088"/>
      <w:r w:rsidRPr="255405BF">
        <w:rPr>
          <w:lang w:val="en-US"/>
        </w:rPr>
        <w:t xml:space="preserve">Pilot Project with PG&amp;E </w:t>
      </w:r>
      <w:r w:rsidR="00CB209A" w:rsidRPr="255405BF">
        <w:rPr>
          <w:lang w:val="en-US"/>
        </w:rPr>
        <w:t>on</w:t>
      </w:r>
      <w:r w:rsidRPr="255405BF">
        <w:rPr>
          <w:lang w:val="en-US"/>
        </w:rPr>
        <w:t xml:space="preserve"> </w:t>
      </w:r>
      <w:r w:rsidR="00350752" w:rsidRPr="255405BF">
        <w:rPr>
          <w:lang w:val="en-US"/>
        </w:rPr>
        <w:t>Corridor Segments</w:t>
      </w:r>
      <w:r w:rsidR="00AC403F">
        <w:t xml:space="preserve"> 13 A Through 13 E</w:t>
      </w:r>
      <w:bookmarkEnd w:id="34"/>
    </w:p>
    <w:p w14:paraId="06A070FD" w14:textId="258322C8" w:rsidR="001779FF" w:rsidRDefault="005B1812" w:rsidP="003B1CDD">
      <w:pPr>
        <w:ind w:left="720"/>
      </w:pPr>
      <w:r>
        <w:t xml:space="preserve">For </w:t>
      </w:r>
      <w:r w:rsidR="001E6BF2">
        <w:t>A</w:t>
      </w:r>
      <w:r>
        <w:t>pplicants’ information, l</w:t>
      </w:r>
      <w:r w:rsidR="00226A7F">
        <w:t>ocati</w:t>
      </w:r>
      <w:r w:rsidR="00511C57">
        <w:t>ng</w:t>
      </w:r>
      <w:r w:rsidR="00226A7F">
        <w:t xml:space="preserve"> </w:t>
      </w:r>
      <w:r w:rsidR="002A204B">
        <w:t xml:space="preserve">EV charging station sites </w:t>
      </w:r>
      <w:r w:rsidR="005B4D35">
        <w:t xml:space="preserve">that are </w:t>
      </w:r>
      <w:r w:rsidR="00602073">
        <w:t>within P</w:t>
      </w:r>
      <w:r w:rsidR="00445D39">
        <w:t>acific Gas &amp; Electric (P</w:t>
      </w:r>
      <w:r w:rsidR="00602073">
        <w:t>G&amp;E</w:t>
      </w:r>
      <w:r w:rsidR="00445D39">
        <w:t>)</w:t>
      </w:r>
      <w:r w:rsidR="00602073">
        <w:t xml:space="preserve"> territory </w:t>
      </w:r>
      <w:r w:rsidR="003466FF">
        <w:t xml:space="preserve">near </w:t>
      </w:r>
      <w:r w:rsidR="000831B3">
        <w:t>certain</w:t>
      </w:r>
      <w:r w:rsidR="003466FF">
        <w:t xml:space="preserve"> PG&amp;E substations</w:t>
      </w:r>
      <w:r w:rsidR="00C63AB9">
        <w:t xml:space="preserve"> may</w:t>
      </w:r>
      <w:r w:rsidR="001E6BF2">
        <w:t xml:space="preserve"> have the potential to</w:t>
      </w:r>
      <w:r w:rsidR="00C63AB9">
        <w:t xml:space="preserve"> result in a </w:t>
      </w:r>
      <w:r w:rsidR="008317C4">
        <w:t>timelier</w:t>
      </w:r>
      <w:r w:rsidR="00C63AB9">
        <w:t xml:space="preserve"> utility connection. </w:t>
      </w:r>
      <w:r w:rsidR="003B1CDD">
        <w:t xml:space="preserve">The CEC and PG&amp;E </w:t>
      </w:r>
      <w:r w:rsidR="002D71D2">
        <w:t xml:space="preserve">are using NEVI corridor segments </w:t>
      </w:r>
      <w:r w:rsidR="007724B6">
        <w:t xml:space="preserve">A through E </w:t>
      </w:r>
      <w:r w:rsidR="00567744">
        <w:t>within Corridor Group 13</w:t>
      </w:r>
      <w:r w:rsidR="002D71D2">
        <w:t xml:space="preserve"> as a pilot project to </w:t>
      </w:r>
      <w:r w:rsidR="00AB5DC5">
        <w:t>support the accelerated deployment of EV charging infrastructure</w:t>
      </w:r>
      <w:r w:rsidR="00CB209A">
        <w:t>.</w:t>
      </w:r>
      <w:r w:rsidR="008A66A7">
        <w:t xml:space="preserve"> PG&amp;E staff conducted </w:t>
      </w:r>
      <w:r w:rsidR="008D7063">
        <w:t xml:space="preserve">a </w:t>
      </w:r>
      <w:r w:rsidR="008A66A7">
        <w:t xml:space="preserve">purpose-driven analysis of the </w:t>
      </w:r>
      <w:r w:rsidR="00036FBB">
        <w:t xml:space="preserve">current and expected capacity </w:t>
      </w:r>
      <w:r w:rsidR="006E5382">
        <w:t>of substations along the Corridor Group 13 corridor segments</w:t>
      </w:r>
      <w:r w:rsidR="00CB209A">
        <w:t xml:space="preserve"> </w:t>
      </w:r>
      <w:r w:rsidR="008B2361">
        <w:t xml:space="preserve">and identified substations </w:t>
      </w:r>
      <w:r w:rsidR="00D025B8">
        <w:t xml:space="preserve">that are more likely to have available capacity. </w:t>
      </w:r>
    </w:p>
    <w:p w14:paraId="4ABE4E1D" w14:textId="77777777" w:rsidR="001779FF" w:rsidRDefault="001779FF" w:rsidP="003B1CDD">
      <w:pPr>
        <w:ind w:left="720"/>
      </w:pPr>
    </w:p>
    <w:p w14:paraId="0B110910" w14:textId="5AB18F7D" w:rsidR="00EA51F5" w:rsidRDefault="00EA51F5" w:rsidP="003B1CDD">
      <w:pPr>
        <w:ind w:left="720"/>
      </w:pPr>
      <w:r w:rsidRPr="00EA51F5">
        <w:t xml:space="preserve">PG&amp;E </w:t>
      </w:r>
      <w:r w:rsidR="002A3517">
        <w:t>s</w:t>
      </w:r>
      <w:r w:rsidRPr="00EA51F5">
        <w:t xml:space="preserve">ubstations shown on the map in Figure </w:t>
      </w:r>
      <w:r w:rsidR="0093597C">
        <w:t>1</w:t>
      </w:r>
      <w:r w:rsidRPr="00EA51F5">
        <w:t xml:space="preserve"> were shown to have a minimum available distribution transformer bank and/or circuit outlet capacity to serve assumed average station demand along Corridor Group 13 </w:t>
      </w:r>
      <w:r w:rsidR="00D3259A">
        <w:t xml:space="preserve">corridor </w:t>
      </w:r>
      <w:r w:rsidRPr="00EA51F5">
        <w:t>segments. This is based on PG&amp;E’s finalized distribution system forecast for 2024 and beyond. It is important to consider that this analysis was based on the distribution forecast as published on the date it was analyzed and may not include reductions in capacity from additional loads or distribution configuration changes. Further, this analysis did not assess or reveal potential distribution line constraints, due to lack of locational specificity or final proposed size of potential NEVI sites.</w:t>
      </w:r>
    </w:p>
    <w:p w14:paraId="146F78CF" w14:textId="77777777" w:rsidR="00EA51F5" w:rsidRDefault="00EA51F5" w:rsidP="003B1CDD">
      <w:pPr>
        <w:ind w:left="720"/>
      </w:pPr>
    </w:p>
    <w:p w14:paraId="4B98CE61" w14:textId="760F5102" w:rsidR="004954A2" w:rsidRDefault="00E57459" w:rsidP="003B1CDD">
      <w:pPr>
        <w:ind w:left="720"/>
      </w:pPr>
      <w:r>
        <w:t xml:space="preserve">The </w:t>
      </w:r>
      <w:r w:rsidR="0067308E">
        <w:t xml:space="preserve">map in </w:t>
      </w:r>
      <w:r w:rsidR="00E649C7">
        <w:t xml:space="preserve">Figure </w:t>
      </w:r>
      <w:r w:rsidR="0093597C">
        <w:t>1</w:t>
      </w:r>
      <w:r w:rsidR="0067308E">
        <w:t xml:space="preserve"> shows </w:t>
      </w:r>
      <w:r w:rsidR="00E97F34">
        <w:t>substation locations, denoted by blue diamond symbols</w:t>
      </w:r>
      <w:r w:rsidR="00336D0E">
        <w:t xml:space="preserve">, </w:t>
      </w:r>
      <w:r w:rsidR="00ED1472">
        <w:t xml:space="preserve">along with the name of the substation. </w:t>
      </w:r>
      <w:r w:rsidR="00D94A0C">
        <w:t xml:space="preserve">The area </w:t>
      </w:r>
      <w:r w:rsidR="00AE7415">
        <w:t xml:space="preserve">around the substation shown in orange is the </w:t>
      </w:r>
      <w:r w:rsidR="000A2690">
        <w:t xml:space="preserve">area served by that substation. </w:t>
      </w:r>
      <w:r w:rsidR="00F1463D">
        <w:t xml:space="preserve">Applicants </w:t>
      </w:r>
      <w:r w:rsidR="002D1AE2">
        <w:t xml:space="preserve">to any of the corridor segments within Corridor Group 13 </w:t>
      </w:r>
      <w:r w:rsidR="00F1463D">
        <w:t>are encouraged</w:t>
      </w:r>
      <w:r w:rsidR="009D51DF">
        <w:t>, but not required,</w:t>
      </w:r>
      <w:r w:rsidR="00F1463D">
        <w:t xml:space="preserve"> to review this map and</w:t>
      </w:r>
      <w:r w:rsidR="00B51FE1">
        <w:t xml:space="preserve"> use it as a guide </w:t>
      </w:r>
      <w:r w:rsidR="00544019">
        <w:t xml:space="preserve">to help </w:t>
      </w:r>
      <w:r w:rsidR="00641B12">
        <w:t xml:space="preserve">identify </w:t>
      </w:r>
      <w:r w:rsidR="004C6DC5">
        <w:t>viable</w:t>
      </w:r>
      <w:r w:rsidR="00641B12">
        <w:t xml:space="preserve"> EV charging station sites along </w:t>
      </w:r>
      <w:r w:rsidR="002D1AE2">
        <w:t>the relevant corridors.</w:t>
      </w:r>
      <w:r w:rsidR="004C6DC5">
        <w:t xml:space="preserve"> While not guaranteed, </w:t>
      </w:r>
      <w:r w:rsidR="008573CB">
        <w:t xml:space="preserve">locations </w:t>
      </w:r>
      <w:r w:rsidR="006B7FB8">
        <w:t>served by the denoted</w:t>
      </w:r>
      <w:r w:rsidR="00A10CFA">
        <w:t xml:space="preserve"> </w:t>
      </w:r>
      <w:r w:rsidR="00DF4626">
        <w:t xml:space="preserve">substations may have faster </w:t>
      </w:r>
      <w:r w:rsidR="00061B76">
        <w:t>utility</w:t>
      </w:r>
      <w:r w:rsidR="008E2254">
        <w:t xml:space="preserve"> </w:t>
      </w:r>
      <w:r w:rsidR="00E01E17">
        <w:t xml:space="preserve">planning processes </w:t>
      </w:r>
      <w:r w:rsidR="00CC7BEC">
        <w:t>and</w:t>
      </w:r>
      <w:r w:rsidR="008C11B0">
        <w:t xml:space="preserve">, by choosing to locate stations in these areas, PG&amp;E </w:t>
      </w:r>
      <w:r w:rsidR="005C6D68">
        <w:t xml:space="preserve">may </w:t>
      </w:r>
      <w:r w:rsidR="008C11B0">
        <w:t xml:space="preserve">be </w:t>
      </w:r>
      <w:r w:rsidR="00E3056E">
        <w:t xml:space="preserve">better </w:t>
      </w:r>
      <w:r w:rsidR="008C11B0">
        <w:t xml:space="preserve">able to proactively plan for </w:t>
      </w:r>
      <w:r w:rsidR="00087D64">
        <w:t xml:space="preserve">and interconnect </w:t>
      </w:r>
      <w:r w:rsidR="00732212">
        <w:t>these stations</w:t>
      </w:r>
      <w:r w:rsidR="0071488C">
        <w:t xml:space="preserve">. </w:t>
      </w:r>
      <w:r w:rsidR="005D767F" w:rsidRPr="005D767F">
        <w:t>Potential available capacity for a particular site will not be allocated or reserved until a formal application for service has been submitted</w:t>
      </w:r>
      <w:r w:rsidR="00C46D56">
        <w:t xml:space="preserve"> to PG&amp;E</w:t>
      </w:r>
      <w:r w:rsidR="005D767F" w:rsidRPr="005D767F">
        <w:t>.</w:t>
      </w:r>
    </w:p>
    <w:p w14:paraId="1A78CC57" w14:textId="77777777" w:rsidR="004954A2" w:rsidRDefault="004954A2" w:rsidP="003B1CDD">
      <w:pPr>
        <w:ind w:left="720"/>
      </w:pPr>
    </w:p>
    <w:p w14:paraId="5B6C6BF7" w14:textId="77777777" w:rsidR="00963A3D" w:rsidRDefault="00963A3D" w:rsidP="00963A3D">
      <w:pPr>
        <w:ind w:left="720"/>
      </w:pPr>
      <w:r>
        <w:t xml:space="preserve">In addition to this map, Applicants are encouraged to use </w:t>
      </w:r>
      <w:r w:rsidRPr="00DF5CF3">
        <w:t xml:space="preserve">PG&amp;E’s </w:t>
      </w:r>
      <w:r>
        <w:t xml:space="preserve">recently released </w:t>
      </w:r>
      <w:r w:rsidRPr="00DF5CF3">
        <w:t>Grid Resource Integration Portal (GRIP) tool</w:t>
      </w:r>
      <w:r>
        <w:t xml:space="preserve">. The GRIP tool </w:t>
      </w:r>
      <w:r w:rsidRPr="00DF5CF3">
        <w:t>can be utilized to inform general locational hosting capacity and forecast data. Generally, proposed charging station locations closer in proximity to PG&amp;E substations will minimize required distribution upgrades to serve proposed sites.</w:t>
      </w:r>
      <w:r>
        <w:t xml:space="preserve"> </w:t>
      </w:r>
    </w:p>
    <w:p w14:paraId="42A68BA4" w14:textId="77777777" w:rsidR="00EF055B" w:rsidRDefault="00EF055B" w:rsidP="00963A3D">
      <w:pPr>
        <w:ind w:left="720"/>
      </w:pPr>
    </w:p>
    <w:p w14:paraId="6976CF26" w14:textId="69073A44" w:rsidR="00963A3D" w:rsidRPr="00937D86" w:rsidRDefault="00963A3D" w:rsidP="00926E45">
      <w:pPr>
        <w:tabs>
          <w:tab w:val="left" w:pos="720"/>
        </w:tabs>
        <w:spacing w:after="120"/>
        <w:ind w:left="720"/>
      </w:pPr>
      <w:r w:rsidRPr="00937D86">
        <w:t>PG&amp;E’s GRIP website and additional resources are</w:t>
      </w:r>
      <w:r w:rsidR="00275DBE">
        <w:t xml:space="preserve"> available at</w:t>
      </w:r>
      <w:r w:rsidR="00C16BC3">
        <w:t>:</w:t>
      </w:r>
    </w:p>
    <w:p w14:paraId="0DF5DEA4" w14:textId="7F2752B2" w:rsidR="00963A3D" w:rsidRPr="003774ED" w:rsidRDefault="00963A3D" w:rsidP="00926E45">
      <w:pPr>
        <w:pStyle w:val="ListParagraph"/>
        <w:numPr>
          <w:ilvl w:val="0"/>
          <w:numId w:val="91"/>
        </w:numPr>
        <w:spacing w:after="120"/>
        <w:ind w:left="1440" w:hanging="720"/>
        <w:rPr>
          <w:u w:val="single"/>
        </w:rPr>
      </w:pPr>
      <w:hyperlink r:id="rId25" w:history="1">
        <w:r w:rsidRPr="00374FB4">
          <w:rPr>
            <w:rStyle w:val="Hyperlink"/>
          </w:rPr>
          <w:t>PG&amp;E’s GRIP website</w:t>
        </w:r>
      </w:hyperlink>
      <w:r w:rsidRPr="00937D86">
        <w:t xml:space="preserve">: </w:t>
      </w:r>
      <w:r w:rsidR="00D56AC9" w:rsidRPr="003774ED">
        <w:t>https://grip.pge.com/</w:t>
      </w:r>
    </w:p>
    <w:p w14:paraId="2C6AFA65" w14:textId="4548ED22" w:rsidR="00963A3D" w:rsidRPr="00937D86" w:rsidRDefault="00963A3D" w:rsidP="00926E45">
      <w:pPr>
        <w:pStyle w:val="ListParagraph"/>
        <w:numPr>
          <w:ilvl w:val="0"/>
          <w:numId w:val="91"/>
        </w:numPr>
        <w:spacing w:after="120"/>
        <w:ind w:left="1440" w:hanging="720"/>
      </w:pPr>
      <w:hyperlink r:id="rId26" w:history="1">
        <w:r w:rsidRPr="00F13B0B">
          <w:rPr>
            <w:rStyle w:val="Hyperlink"/>
          </w:rPr>
          <w:t>GRIP Quick Start Guide</w:t>
        </w:r>
      </w:hyperlink>
      <w:r w:rsidRPr="00937D86">
        <w:t xml:space="preserve">: </w:t>
      </w:r>
      <w:r w:rsidR="00F13B0B" w:rsidRPr="00F13B0B">
        <w:t>https://www.pge.com/assets/pge/docs/about/doing-business-with-pge/pge-grip-quick-start-guide.pdf</w:t>
      </w:r>
    </w:p>
    <w:p w14:paraId="1F14ACBD" w14:textId="4543AA04" w:rsidR="00963A3D" w:rsidRPr="00937D86" w:rsidRDefault="00963A3D" w:rsidP="00926E45">
      <w:pPr>
        <w:pStyle w:val="ListParagraph"/>
        <w:numPr>
          <w:ilvl w:val="0"/>
          <w:numId w:val="91"/>
        </w:numPr>
        <w:spacing w:after="120"/>
        <w:ind w:left="1440" w:hanging="720"/>
      </w:pPr>
      <w:hyperlink r:id="rId27" w:history="1">
        <w:r w:rsidRPr="00B73CA1">
          <w:rPr>
            <w:rStyle w:val="Hyperlink"/>
          </w:rPr>
          <w:t>GRIP User Guide</w:t>
        </w:r>
      </w:hyperlink>
      <w:r w:rsidRPr="00937D86">
        <w:t xml:space="preserve">: </w:t>
      </w:r>
      <w:r w:rsidR="00B73CA1" w:rsidRPr="00B73CA1">
        <w:t>https://www.pge.com/assets/pge/docs/about/doing-business-with-pge/pge-grip-user-guide.pdf</w:t>
      </w:r>
    </w:p>
    <w:p w14:paraId="7733A367" w14:textId="77777777" w:rsidR="00963A3D" w:rsidRPr="00DF5CF3" w:rsidRDefault="00963A3D" w:rsidP="00963A3D"/>
    <w:p w14:paraId="131090F8" w14:textId="72923E80" w:rsidR="00963A3D" w:rsidRPr="00DF5CF3" w:rsidRDefault="00963A3D" w:rsidP="00EF055B">
      <w:pPr>
        <w:ind w:left="720"/>
      </w:pPr>
      <w:r>
        <w:t>PG&amp;E and the CEC are interested in understanding if th</w:t>
      </w:r>
      <w:r w:rsidR="004272D7">
        <w:t>ese resources</w:t>
      </w:r>
      <w:r>
        <w:t xml:space="preserve"> w</w:t>
      </w:r>
      <w:r w:rsidR="004272D7">
        <w:t>ere</w:t>
      </w:r>
      <w:r>
        <w:t xml:space="preserve"> useful</w:t>
      </w:r>
      <w:r w:rsidR="005F56C9">
        <w:t xml:space="preserve"> to Applicants</w:t>
      </w:r>
      <w:r>
        <w:t xml:space="preserve"> </w:t>
      </w:r>
      <w:r w:rsidR="00DE6170">
        <w:t xml:space="preserve">to </w:t>
      </w:r>
      <w:r w:rsidR="006D5611">
        <w:t xml:space="preserve">corridor segments within Corridor Group 13, </w:t>
      </w:r>
      <w:r>
        <w:t>and how we can better support future grant applications. Please provide us your feedback by answering a few questions</w:t>
      </w:r>
      <w:r w:rsidR="002E4888">
        <w:t xml:space="preserve"> </w:t>
      </w:r>
      <w:r w:rsidR="000149E1">
        <w:t>using the</w:t>
      </w:r>
      <w:r>
        <w:t xml:space="preserve"> </w:t>
      </w:r>
      <w:hyperlink r:id="rId28" w:history="1">
        <w:r w:rsidRPr="00017DD9">
          <w:rPr>
            <w:rStyle w:val="Hyperlink"/>
          </w:rPr>
          <w:t>PG&amp;E/CEC NEVI Feedback Form</w:t>
        </w:r>
      </w:hyperlink>
      <w:r w:rsidR="00087843">
        <w:rPr>
          <w:rStyle w:val="Hyperlink"/>
        </w:rPr>
        <w:t xml:space="preserve"> </w:t>
      </w:r>
      <w:r w:rsidR="00087843" w:rsidRPr="00293ED5">
        <w:rPr>
          <w:rStyle w:val="Hyperlink"/>
          <w:color w:val="auto"/>
          <w:u w:val="none"/>
        </w:rPr>
        <w:t>at</w:t>
      </w:r>
      <w:r w:rsidR="00D07800" w:rsidRPr="00293ED5">
        <w:rPr>
          <w:rStyle w:val="Hyperlink"/>
          <w:color w:val="auto"/>
          <w:u w:val="none"/>
        </w:rPr>
        <w:t xml:space="preserve"> </w:t>
      </w:r>
      <w:r w:rsidR="00AB6EB0" w:rsidRPr="00AB6EB0">
        <w:rPr>
          <w:rStyle w:val="Hyperlink"/>
          <w:color w:val="auto"/>
          <w:u w:val="none"/>
        </w:rPr>
        <w:t>https://forms.office.com/r/7D29X1ekhs</w:t>
      </w:r>
      <w:r w:rsidR="002E4888" w:rsidRPr="00293ED5">
        <w:rPr>
          <w:rStyle w:val="Hyperlink"/>
          <w:color w:val="auto"/>
          <w:u w:val="none"/>
        </w:rPr>
        <w:t>.</w:t>
      </w:r>
      <w:r w:rsidR="005F5ADF">
        <w:rPr>
          <w:rStyle w:val="Hyperlink"/>
          <w:color w:val="auto"/>
          <w:u w:val="none"/>
        </w:rPr>
        <w:t xml:space="preserve"> </w:t>
      </w:r>
      <w:r w:rsidR="005A51E0">
        <w:rPr>
          <w:rStyle w:val="Hyperlink"/>
          <w:color w:val="auto"/>
          <w:u w:val="none"/>
        </w:rPr>
        <w:t>(Submitted f</w:t>
      </w:r>
      <w:r w:rsidR="000F5B86">
        <w:rPr>
          <w:rStyle w:val="Hyperlink"/>
          <w:color w:val="auto"/>
          <w:u w:val="none"/>
        </w:rPr>
        <w:t xml:space="preserve">eedback, or the absence thereof, will not </w:t>
      </w:r>
      <w:r w:rsidR="002149C5">
        <w:rPr>
          <w:rStyle w:val="Hyperlink"/>
          <w:color w:val="auto"/>
          <w:u w:val="none"/>
        </w:rPr>
        <w:t xml:space="preserve">be </w:t>
      </w:r>
      <w:r w:rsidR="005A51E0">
        <w:rPr>
          <w:rStyle w:val="Hyperlink"/>
          <w:color w:val="auto"/>
          <w:u w:val="none"/>
        </w:rPr>
        <w:t>a factor</w:t>
      </w:r>
      <w:r w:rsidR="00EB4E1E">
        <w:rPr>
          <w:rStyle w:val="Hyperlink"/>
          <w:color w:val="auto"/>
          <w:u w:val="none"/>
        </w:rPr>
        <w:t xml:space="preserve"> in </w:t>
      </w:r>
      <w:r w:rsidR="00885E4A">
        <w:rPr>
          <w:rStyle w:val="Hyperlink"/>
          <w:color w:val="auto"/>
          <w:u w:val="none"/>
        </w:rPr>
        <w:t xml:space="preserve">the evaluation or selection </w:t>
      </w:r>
      <w:r w:rsidR="005A51E0">
        <w:rPr>
          <w:rStyle w:val="Hyperlink"/>
          <w:color w:val="auto"/>
          <w:u w:val="none"/>
        </w:rPr>
        <w:t>of applications under this solicitation.)</w:t>
      </w:r>
    </w:p>
    <w:p w14:paraId="17A8BDCC" w14:textId="2D6E3B57" w:rsidR="00A30AD8" w:rsidRDefault="00A30AD8"/>
    <w:p w14:paraId="286F892D" w14:textId="1D7FCEFF" w:rsidR="003677FF" w:rsidRDefault="003677FF" w:rsidP="002F5603">
      <w:pPr>
        <w:pStyle w:val="Caption"/>
        <w:keepNext/>
        <w:keepLines/>
      </w:pPr>
      <w:r>
        <w:lastRenderedPageBreak/>
        <w:t xml:space="preserve">Figure </w:t>
      </w:r>
      <w:r>
        <w:fldChar w:fldCharType="begin"/>
      </w:r>
      <w:r>
        <w:instrText xml:space="preserve"> SEQ Figure \* ARABIC </w:instrText>
      </w:r>
      <w:r>
        <w:fldChar w:fldCharType="separate"/>
      </w:r>
      <w:r>
        <w:rPr>
          <w:noProof/>
        </w:rPr>
        <w:t>1</w:t>
      </w:r>
      <w:r>
        <w:fldChar w:fldCharType="end"/>
      </w:r>
      <w:r w:rsidR="0055386F">
        <w:t>: Select PG&amp;E Substations and</w:t>
      </w:r>
      <w:r w:rsidR="009246D6">
        <w:t xml:space="preserve"> Their Areas Served</w:t>
      </w:r>
      <w:r w:rsidR="00A30AD8">
        <w:br/>
      </w:r>
      <w:r w:rsidR="009246D6">
        <w:t xml:space="preserve"> near Corr</w:t>
      </w:r>
      <w:r w:rsidR="006067DE">
        <w:t>idor Group 13</w:t>
      </w:r>
      <w:r w:rsidR="00E7209D">
        <w:t xml:space="preserve"> </w:t>
      </w:r>
      <w:r w:rsidR="00A30AD8">
        <w:t>Corridor Segments</w:t>
      </w:r>
    </w:p>
    <w:p w14:paraId="10E283F8" w14:textId="052EF3D7" w:rsidR="003B1CDD" w:rsidRPr="006C0F21" w:rsidRDefault="00BB2A68" w:rsidP="003677FF">
      <w:pPr>
        <w:jc w:val="center"/>
      </w:pPr>
      <w:r>
        <w:rPr>
          <w:noProof/>
        </w:rPr>
        <w:drawing>
          <wp:inline distT="0" distB="0" distL="0" distR="0" wp14:anchorId="754D246B" wp14:editId="7FA0B45C">
            <wp:extent cx="5829848" cy="6035040"/>
            <wp:effectExtent l="0" t="0" r="0" b="3810"/>
            <wp:docPr id="1813225519" name="Picture 1" descr="Map of central California showing the corridor segments within Corridor Group 13, the locations of PG&amp;E substations, and the areas served by those subs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25519" name="Picture 1" descr="Map of central California showing the corridor segments within Corridor Group 13, the locations of PG&amp;E substations, and the areas served by those substations."/>
                    <pic:cNvPicPr/>
                  </pic:nvPicPr>
                  <pic:blipFill rotWithShape="1">
                    <a:blip r:embed="rId29">
                      <a:extLst>
                        <a:ext uri="{28A0092B-C50C-407E-A947-70E740481C1C}">
                          <a14:useLocalDpi xmlns:a14="http://schemas.microsoft.com/office/drawing/2010/main" val="0"/>
                        </a:ext>
                      </a:extLst>
                    </a:blip>
                    <a:srcRect l="11539" t="9039" r="11057" b="29043"/>
                    <a:stretch/>
                  </pic:blipFill>
                  <pic:spPr bwMode="auto">
                    <a:xfrm>
                      <a:off x="0" y="0"/>
                      <a:ext cx="5829848" cy="6035040"/>
                    </a:xfrm>
                    <a:prstGeom prst="rect">
                      <a:avLst/>
                    </a:prstGeom>
                    <a:ln>
                      <a:noFill/>
                    </a:ln>
                    <a:extLst>
                      <a:ext uri="{53640926-AAD7-44D8-BBD7-CCE9431645EC}">
                        <a14:shadowObscured xmlns:a14="http://schemas.microsoft.com/office/drawing/2010/main"/>
                      </a:ext>
                    </a:extLst>
                  </pic:spPr>
                </pic:pic>
              </a:graphicData>
            </a:graphic>
          </wp:inline>
        </w:drawing>
      </w:r>
    </w:p>
    <w:p w14:paraId="3BBBE055" w14:textId="77777777" w:rsidR="0093597C" w:rsidRPr="006C0F21" w:rsidRDefault="0093597C" w:rsidP="003B1CDD">
      <w:pPr>
        <w:ind w:left="720"/>
      </w:pPr>
    </w:p>
    <w:p w14:paraId="1519A0F6" w14:textId="248ED00D" w:rsidR="00052A64" w:rsidRPr="00050087" w:rsidRDefault="00052A64" w:rsidP="00164AC5">
      <w:pPr>
        <w:pStyle w:val="Heading2"/>
        <w:keepNext w:val="0"/>
        <w:numPr>
          <w:ilvl w:val="0"/>
          <w:numId w:val="11"/>
        </w:numPr>
        <w:spacing w:before="0"/>
        <w:ind w:hanging="720"/>
      </w:pPr>
      <w:bookmarkStart w:id="36" w:name="_Toc184829623"/>
      <w:r w:rsidRPr="00050087">
        <w:t>Reference Documents</w:t>
      </w:r>
      <w:bookmarkEnd w:id="35"/>
      <w:bookmarkEnd w:id="36"/>
    </w:p>
    <w:p w14:paraId="1340C54D" w14:textId="77777777" w:rsidR="004B6EC1" w:rsidRPr="008556EB" w:rsidRDefault="0075790B" w:rsidP="00E26DE1">
      <w:pPr>
        <w:ind w:left="720"/>
        <w:rPr>
          <w:szCs w:val="24"/>
        </w:rPr>
      </w:pPr>
      <w:r w:rsidRPr="008556EB">
        <w:rPr>
          <w:szCs w:val="24"/>
        </w:rPr>
        <w:t>Applicants responding to this solicitation may want to familiarize themselves with the following documents:</w:t>
      </w:r>
    </w:p>
    <w:p w14:paraId="71FE864D" w14:textId="77777777" w:rsidR="007651F7" w:rsidRPr="008556EB" w:rsidRDefault="007651F7" w:rsidP="002D5085">
      <w:pPr>
        <w:ind w:left="1440" w:hanging="720"/>
        <w:rPr>
          <w:szCs w:val="24"/>
        </w:rPr>
      </w:pPr>
    </w:p>
    <w:p w14:paraId="329EB712" w14:textId="013E57AD" w:rsidR="00E44283" w:rsidRPr="008556EB" w:rsidRDefault="0063682F" w:rsidP="00164AC5">
      <w:pPr>
        <w:pStyle w:val="ListParagraph"/>
        <w:numPr>
          <w:ilvl w:val="0"/>
          <w:numId w:val="24"/>
        </w:numPr>
        <w:ind w:hanging="720"/>
        <w:rPr>
          <w:szCs w:val="24"/>
        </w:rPr>
      </w:pPr>
      <w:hyperlink r:id="rId30" w:history="1">
        <w:r w:rsidRPr="008556EB">
          <w:rPr>
            <w:rStyle w:val="Hyperlink"/>
            <w:szCs w:val="24"/>
          </w:rPr>
          <w:t>Energy Commission Agreement Management System (ECAMS)</w:t>
        </w:r>
      </w:hyperlink>
      <w:r w:rsidRPr="008556EB">
        <w:rPr>
          <w:szCs w:val="24"/>
        </w:rPr>
        <w:t xml:space="preserve"> </w:t>
      </w:r>
      <w:r w:rsidR="00791A3B" w:rsidRPr="008556EB">
        <w:rPr>
          <w:szCs w:val="24"/>
        </w:rPr>
        <w:t>https://www.energy.ca.gov/funding-opportunities/funding-resources/ecams-resources</w:t>
      </w:r>
      <w:r w:rsidRPr="008556EB">
        <w:rPr>
          <w:szCs w:val="24"/>
        </w:rPr>
        <w:t>.</w:t>
      </w:r>
    </w:p>
    <w:p w14:paraId="16059D36" w14:textId="77777777" w:rsidR="00791A3B" w:rsidRPr="008556EB" w:rsidRDefault="00791A3B" w:rsidP="00791A3B">
      <w:pPr>
        <w:pStyle w:val="ListParagraph"/>
        <w:rPr>
          <w:szCs w:val="24"/>
        </w:rPr>
      </w:pPr>
    </w:p>
    <w:p w14:paraId="1E21D36F" w14:textId="762F0CD4" w:rsidR="00B9245F" w:rsidRDefault="00B9245F" w:rsidP="00164AC5">
      <w:pPr>
        <w:numPr>
          <w:ilvl w:val="0"/>
          <w:numId w:val="36"/>
        </w:numPr>
        <w:ind w:left="1440" w:hanging="720"/>
        <w:rPr>
          <w:szCs w:val="24"/>
        </w:rPr>
      </w:pPr>
      <w:bookmarkStart w:id="37" w:name="_Hlk118445928"/>
      <w:bookmarkStart w:id="38" w:name="_Hlk118446001"/>
      <w:r w:rsidRPr="008556EB">
        <w:rPr>
          <w:szCs w:val="24"/>
        </w:rPr>
        <w:lastRenderedPageBreak/>
        <w:t xml:space="preserve">California Energy Commission. </w:t>
      </w:r>
      <w:hyperlink r:id="rId31" w:history="1">
        <w:r w:rsidRPr="008556EB">
          <w:rPr>
            <w:rStyle w:val="Hyperlink"/>
            <w:szCs w:val="24"/>
          </w:rPr>
          <w:t>National Electric Vehicle Infrastructure (NEVI) Formula Program</w:t>
        </w:r>
      </w:hyperlink>
      <w:r w:rsidRPr="008556EB">
        <w:rPr>
          <w:szCs w:val="24"/>
        </w:rPr>
        <w:t xml:space="preserve">. </w:t>
      </w:r>
      <w:r w:rsidR="00DC089C" w:rsidRPr="00DC089C">
        <w:rPr>
          <w:szCs w:val="24"/>
        </w:rPr>
        <w:t>https://www.energy.ca.gov/programs-and-topics/programs/national-electric-vehicle-infrastructure-nevi-formula-program</w:t>
      </w:r>
      <w:r w:rsidR="002D5E3F" w:rsidRPr="008556EB">
        <w:rPr>
          <w:szCs w:val="24"/>
        </w:rPr>
        <w:t>.</w:t>
      </w:r>
    </w:p>
    <w:p w14:paraId="6D1E0439" w14:textId="77777777" w:rsidR="00DC089C" w:rsidRDefault="00DC089C" w:rsidP="00DC089C">
      <w:pPr>
        <w:ind w:left="1440"/>
        <w:rPr>
          <w:szCs w:val="24"/>
        </w:rPr>
      </w:pPr>
    </w:p>
    <w:p w14:paraId="6CB89B55" w14:textId="77777777" w:rsidR="00DC089C" w:rsidRPr="008556EB" w:rsidRDefault="00DC089C" w:rsidP="00164AC5">
      <w:pPr>
        <w:numPr>
          <w:ilvl w:val="0"/>
          <w:numId w:val="36"/>
        </w:numPr>
        <w:ind w:left="1440" w:hanging="720"/>
        <w:rPr>
          <w:szCs w:val="24"/>
        </w:rPr>
      </w:pPr>
      <w:r w:rsidRPr="008556EB">
        <w:rPr>
          <w:szCs w:val="24"/>
        </w:rPr>
        <w:t xml:space="preserve">California Energy Commission. </w:t>
      </w:r>
      <w:hyperlink r:id="rId32" w:history="1">
        <w:r w:rsidRPr="008556EB">
          <w:rPr>
            <w:rStyle w:val="Hyperlink"/>
            <w:szCs w:val="24"/>
          </w:rPr>
          <w:t>California’s National Electric Vehicle Infrastructure Funding Program Map</w:t>
        </w:r>
      </w:hyperlink>
      <w:r w:rsidRPr="008556EB">
        <w:rPr>
          <w:szCs w:val="24"/>
        </w:rPr>
        <w:t xml:space="preserve">. </w:t>
      </w:r>
    </w:p>
    <w:p w14:paraId="012BF7EE" w14:textId="44897B26" w:rsidR="00DC089C" w:rsidRDefault="00D91E20" w:rsidP="00DC089C">
      <w:pPr>
        <w:ind w:left="1440"/>
        <w:rPr>
          <w:szCs w:val="24"/>
        </w:rPr>
      </w:pPr>
      <w:r w:rsidRPr="00206CCA">
        <w:rPr>
          <w:szCs w:val="24"/>
        </w:rPr>
        <w:t>https://experience.arcgis.com/experience/135c0da4b70f4717b4664ad2e427d2bc</w:t>
      </w:r>
      <w:r w:rsidR="00DC089C" w:rsidRPr="008556EB">
        <w:rPr>
          <w:szCs w:val="24"/>
        </w:rPr>
        <w:t>.</w:t>
      </w:r>
    </w:p>
    <w:p w14:paraId="23D9E31F" w14:textId="77777777" w:rsidR="00D91E20" w:rsidRDefault="00D91E20" w:rsidP="00DC089C">
      <w:pPr>
        <w:ind w:left="1440"/>
        <w:rPr>
          <w:szCs w:val="24"/>
        </w:rPr>
      </w:pPr>
    </w:p>
    <w:p w14:paraId="3BE3EB6A" w14:textId="59412463" w:rsidR="00D91E20" w:rsidRPr="00D91E20" w:rsidRDefault="00D91E20" w:rsidP="00D91E20">
      <w:pPr>
        <w:pStyle w:val="ListParagraph"/>
        <w:numPr>
          <w:ilvl w:val="0"/>
          <w:numId w:val="36"/>
        </w:numPr>
        <w:ind w:left="1440" w:hanging="720"/>
        <w:rPr>
          <w:szCs w:val="24"/>
        </w:rPr>
      </w:pPr>
      <w:r>
        <w:rPr>
          <w:szCs w:val="24"/>
        </w:rPr>
        <w:t xml:space="preserve">Caltrans. </w:t>
      </w:r>
      <w:hyperlink r:id="rId33" w:history="1">
        <w:r w:rsidRPr="00FD28FB">
          <w:rPr>
            <w:rStyle w:val="Hyperlink"/>
            <w:szCs w:val="24"/>
          </w:rPr>
          <w:t>Local Assistance Procedures Manual</w:t>
        </w:r>
      </w:hyperlink>
      <w:r>
        <w:rPr>
          <w:szCs w:val="24"/>
        </w:rPr>
        <w:t xml:space="preserve">. </w:t>
      </w:r>
      <w:r w:rsidR="00E81DA1" w:rsidRPr="00E81DA1">
        <w:rPr>
          <w:szCs w:val="24"/>
        </w:rPr>
        <w:t>https://dot.ca.gov/programs/local-assistance/guidelines-and-procedures/local-assistance-procedures-manual-lapm</w:t>
      </w:r>
      <w:r w:rsidR="00FD28FB">
        <w:rPr>
          <w:szCs w:val="24"/>
        </w:rPr>
        <w:t>.</w:t>
      </w:r>
    </w:p>
    <w:p w14:paraId="4947E7D6" w14:textId="77777777" w:rsidR="00CF4E2F" w:rsidRDefault="00CF4E2F" w:rsidP="00DC089C">
      <w:pPr>
        <w:ind w:left="1440"/>
        <w:rPr>
          <w:szCs w:val="24"/>
        </w:rPr>
      </w:pPr>
    </w:p>
    <w:p w14:paraId="548C214A" w14:textId="77777777" w:rsidR="00CF4E2F" w:rsidRPr="008556EB" w:rsidRDefault="00CF4E2F" w:rsidP="00164AC5">
      <w:pPr>
        <w:numPr>
          <w:ilvl w:val="0"/>
          <w:numId w:val="36"/>
        </w:numPr>
        <w:ind w:left="1440" w:hanging="720"/>
        <w:rPr>
          <w:szCs w:val="24"/>
        </w:rPr>
      </w:pPr>
      <w:r w:rsidRPr="00EB539B">
        <w:rPr>
          <w:szCs w:val="24"/>
        </w:rPr>
        <w:t xml:space="preserve">Caltrans. </w:t>
      </w:r>
      <w:hyperlink r:id="rId34" w:history="1">
        <w:r w:rsidRPr="00CF4E2F">
          <w:rPr>
            <w:rStyle w:val="Hyperlink"/>
            <w:szCs w:val="24"/>
          </w:rPr>
          <w:t>Local Assistance Guidelines and Procedures</w:t>
        </w:r>
      </w:hyperlink>
      <w:r>
        <w:rPr>
          <w:szCs w:val="24"/>
        </w:rPr>
        <w:t>.</w:t>
      </w:r>
    </w:p>
    <w:p w14:paraId="1EE602B4" w14:textId="2C51626F" w:rsidR="00CF4E2F" w:rsidRDefault="00B94B42" w:rsidP="00CF4E2F">
      <w:pPr>
        <w:pStyle w:val="ListParagraph"/>
        <w:ind w:left="1440"/>
        <w:rPr>
          <w:szCs w:val="24"/>
        </w:rPr>
      </w:pPr>
      <w:r w:rsidRPr="00206CCA">
        <w:rPr>
          <w:szCs w:val="24"/>
        </w:rPr>
        <w:t>https://dot.ca.gov/programs/local-assistance/guidelines-and-procedures</w:t>
      </w:r>
      <w:r w:rsidR="00CF4E2F">
        <w:rPr>
          <w:szCs w:val="24"/>
        </w:rPr>
        <w:t>.</w:t>
      </w:r>
    </w:p>
    <w:p w14:paraId="37C03FB0" w14:textId="77777777" w:rsidR="00B94B42" w:rsidRDefault="00B94B42" w:rsidP="00CF4E2F">
      <w:pPr>
        <w:pStyle w:val="ListParagraph"/>
        <w:ind w:left="1440"/>
        <w:rPr>
          <w:szCs w:val="24"/>
        </w:rPr>
      </w:pPr>
    </w:p>
    <w:p w14:paraId="0A9EF233" w14:textId="6778FC00" w:rsidR="00B94B42" w:rsidRPr="008556EB" w:rsidRDefault="00B94B42" w:rsidP="00B94B42">
      <w:pPr>
        <w:pStyle w:val="ListParagraph"/>
        <w:numPr>
          <w:ilvl w:val="0"/>
          <w:numId w:val="36"/>
        </w:numPr>
        <w:ind w:left="1440" w:hanging="720"/>
        <w:rPr>
          <w:szCs w:val="24"/>
        </w:rPr>
      </w:pPr>
      <w:r>
        <w:rPr>
          <w:szCs w:val="24"/>
        </w:rPr>
        <w:t xml:space="preserve">Caltrans. </w:t>
      </w:r>
      <w:hyperlink r:id="rId35" w:history="1">
        <w:r w:rsidRPr="00FE7DA2">
          <w:rPr>
            <w:rStyle w:val="Hyperlink"/>
            <w:szCs w:val="24"/>
          </w:rPr>
          <w:t>Right of Way Manual</w:t>
        </w:r>
      </w:hyperlink>
      <w:r>
        <w:rPr>
          <w:szCs w:val="24"/>
        </w:rPr>
        <w:t xml:space="preserve">. </w:t>
      </w:r>
      <w:r w:rsidR="00FE7DA2" w:rsidRPr="00FE7DA2">
        <w:rPr>
          <w:szCs w:val="24"/>
        </w:rPr>
        <w:t>https://dot.ca.gov/programs/right-of-way/right-of-way-manual</w:t>
      </w:r>
      <w:r w:rsidR="00FE7DA2">
        <w:rPr>
          <w:szCs w:val="24"/>
        </w:rPr>
        <w:t>.</w:t>
      </w:r>
    </w:p>
    <w:p w14:paraId="64046024" w14:textId="77777777" w:rsidR="002D5E3F" w:rsidRPr="008556EB" w:rsidRDefault="002D5E3F" w:rsidP="002D5E3F">
      <w:pPr>
        <w:ind w:left="1440"/>
        <w:rPr>
          <w:szCs w:val="24"/>
        </w:rPr>
      </w:pPr>
    </w:p>
    <w:p w14:paraId="5C5CCD70" w14:textId="413EEE8B" w:rsidR="00791A3B" w:rsidRPr="008556EB" w:rsidRDefault="00791A3B" w:rsidP="00164AC5">
      <w:pPr>
        <w:numPr>
          <w:ilvl w:val="0"/>
          <w:numId w:val="36"/>
        </w:numPr>
        <w:ind w:left="1440" w:hanging="720"/>
        <w:rPr>
          <w:szCs w:val="24"/>
        </w:rPr>
      </w:pPr>
      <w:hyperlink r:id="rId36" w:history="1">
        <w:r w:rsidRPr="008556EB">
          <w:rPr>
            <w:rStyle w:val="Hyperlink"/>
            <w:szCs w:val="24"/>
          </w:rPr>
          <w:t>National Electric Vehicle Infrastructure Standards and Requirements</w:t>
        </w:r>
      </w:hyperlink>
      <w:r w:rsidR="00582195">
        <w:rPr>
          <w:rStyle w:val="Hyperlink"/>
          <w:szCs w:val="24"/>
        </w:rPr>
        <w:t xml:space="preserve"> (</w:t>
      </w:r>
      <w:r w:rsidR="00582195" w:rsidRPr="00582195">
        <w:rPr>
          <w:color w:val="0000FF"/>
          <w:szCs w:val="24"/>
          <w:u w:val="single"/>
        </w:rPr>
        <w:t>23 CFR Part 680</w:t>
      </w:r>
      <w:r w:rsidR="00582195">
        <w:rPr>
          <w:color w:val="0000FF"/>
          <w:szCs w:val="24"/>
          <w:u w:val="single"/>
        </w:rPr>
        <w:t>)</w:t>
      </w:r>
    </w:p>
    <w:p w14:paraId="6F422544" w14:textId="26224E78" w:rsidR="00791A3B" w:rsidRPr="008556EB" w:rsidRDefault="00791A3B" w:rsidP="0069163E">
      <w:pPr>
        <w:pStyle w:val="ListParagraph"/>
        <w:ind w:left="1440"/>
        <w:rPr>
          <w:szCs w:val="24"/>
        </w:rPr>
      </w:pPr>
      <w:r w:rsidRPr="008556EB">
        <w:rPr>
          <w:szCs w:val="24"/>
        </w:rPr>
        <w:t>https://www.federalregister.gov/documents/2023/02/28/2023-03500/national-electric-vehicle-infrastructure-standards-and-requirements</w:t>
      </w:r>
      <w:r w:rsidR="00B67090" w:rsidRPr="008556EB">
        <w:rPr>
          <w:szCs w:val="24"/>
        </w:rPr>
        <w:t>.</w:t>
      </w:r>
    </w:p>
    <w:p w14:paraId="579C8AE7" w14:textId="77777777" w:rsidR="00791A3B" w:rsidRPr="008556EB" w:rsidRDefault="00791A3B" w:rsidP="00061D0F">
      <w:pPr>
        <w:ind w:left="1440"/>
        <w:rPr>
          <w:szCs w:val="24"/>
        </w:rPr>
      </w:pPr>
    </w:p>
    <w:p w14:paraId="486D76E2" w14:textId="26196C44" w:rsidR="00791A3B" w:rsidRPr="008556EB" w:rsidRDefault="00AE795E" w:rsidP="00164AC5">
      <w:pPr>
        <w:pStyle w:val="ListParagraph"/>
        <w:numPr>
          <w:ilvl w:val="0"/>
          <w:numId w:val="36"/>
        </w:numPr>
        <w:ind w:left="1440" w:hanging="720"/>
        <w:rPr>
          <w:szCs w:val="24"/>
        </w:rPr>
      </w:pPr>
      <w:r w:rsidRPr="008556EB">
        <w:rPr>
          <w:szCs w:val="24"/>
        </w:rPr>
        <w:t xml:space="preserve">U.S. Department of Transportation, Federal Highway Administration. </w:t>
      </w:r>
      <w:hyperlink r:id="rId37" w:history="1">
        <w:r w:rsidRPr="008556EB">
          <w:rPr>
            <w:rStyle w:val="Hyperlink"/>
            <w:szCs w:val="24"/>
          </w:rPr>
          <w:t>National Electric Vehicle Infrastructure (NEVI) Program</w:t>
        </w:r>
      </w:hyperlink>
      <w:r w:rsidRPr="008556EB">
        <w:rPr>
          <w:szCs w:val="24"/>
        </w:rPr>
        <w:t xml:space="preserve">. </w:t>
      </w:r>
      <w:r w:rsidR="00537025" w:rsidRPr="008556EB">
        <w:rPr>
          <w:szCs w:val="24"/>
        </w:rPr>
        <w:t>https://www.fhwa.dot.gov/environment/nevi/.</w:t>
      </w:r>
    </w:p>
    <w:p w14:paraId="45806FBD" w14:textId="77777777" w:rsidR="00061D0F" w:rsidRDefault="00061D0F" w:rsidP="00061D0F">
      <w:pPr>
        <w:pStyle w:val="ListParagraph"/>
        <w:ind w:left="1440"/>
        <w:rPr>
          <w:szCs w:val="24"/>
        </w:rPr>
      </w:pPr>
    </w:p>
    <w:p w14:paraId="57704043" w14:textId="1140DB5E" w:rsidR="00E37054" w:rsidRPr="008556EB" w:rsidRDefault="00F61AA6" w:rsidP="00164AC5">
      <w:pPr>
        <w:pStyle w:val="ListParagraph"/>
        <w:numPr>
          <w:ilvl w:val="0"/>
          <w:numId w:val="36"/>
        </w:numPr>
        <w:ind w:left="1440" w:hanging="720"/>
        <w:rPr>
          <w:szCs w:val="24"/>
        </w:rPr>
      </w:pPr>
      <w:r>
        <w:rPr>
          <w:szCs w:val="24"/>
        </w:rPr>
        <w:t>[</w:t>
      </w:r>
      <w:r w:rsidR="00E37054" w:rsidRPr="00F61AA6">
        <w:rPr>
          <w:strike/>
          <w:szCs w:val="24"/>
        </w:rPr>
        <w:t xml:space="preserve">U.S. Department of Transportation, Federal Highway Administration. </w:t>
      </w:r>
      <w:hyperlink r:id="rId38" w:history="1">
        <w:r w:rsidR="00E37054" w:rsidRPr="00F61AA6">
          <w:rPr>
            <w:rStyle w:val="Hyperlink"/>
            <w:strike/>
            <w:szCs w:val="24"/>
          </w:rPr>
          <w:t>National Electric Vehicle Infrastructure (NEVI) Formula Program Guidance</w:t>
        </w:r>
      </w:hyperlink>
      <w:r w:rsidR="00E37054" w:rsidRPr="00F61AA6">
        <w:rPr>
          <w:strike/>
          <w:szCs w:val="24"/>
        </w:rPr>
        <w:t xml:space="preserve">. </w:t>
      </w:r>
      <w:r w:rsidR="00061D0F" w:rsidRPr="00F61AA6">
        <w:rPr>
          <w:strike/>
          <w:szCs w:val="24"/>
        </w:rPr>
        <w:t>https://www.fhwa.dot.gov/environment/nevi/formula_prog_guid/90d_nevi_formula_program_guidance.pdf.</w:t>
      </w:r>
      <w:r>
        <w:rPr>
          <w:szCs w:val="24"/>
        </w:rPr>
        <w:t>]</w:t>
      </w:r>
    </w:p>
    <w:p w14:paraId="0D20F007" w14:textId="77777777" w:rsidR="00537025" w:rsidRPr="008556EB" w:rsidRDefault="00537025" w:rsidP="00537025">
      <w:pPr>
        <w:pStyle w:val="ListParagraph"/>
        <w:ind w:left="1440"/>
        <w:rPr>
          <w:szCs w:val="24"/>
        </w:rPr>
      </w:pPr>
    </w:p>
    <w:bookmarkEnd w:id="37"/>
    <w:p w14:paraId="7CF7A4DD" w14:textId="5DE5EA50" w:rsidR="00D80950" w:rsidRPr="00D80950" w:rsidRDefault="00D80950" w:rsidP="00164AC5">
      <w:pPr>
        <w:numPr>
          <w:ilvl w:val="0"/>
          <w:numId w:val="36"/>
        </w:numPr>
        <w:ind w:left="1440" w:hanging="720"/>
        <w:rPr>
          <w:szCs w:val="24"/>
        </w:rPr>
      </w:pPr>
      <w:r>
        <w:rPr>
          <w:szCs w:val="24"/>
        </w:rPr>
        <w:t xml:space="preserve">U.S. Department of Transportation, Federal Highway Administration. </w:t>
      </w:r>
      <w:hyperlink r:id="rId39" w:history="1">
        <w:r w:rsidRPr="00650B32">
          <w:rPr>
            <w:rStyle w:val="Hyperlink"/>
            <w:szCs w:val="24"/>
          </w:rPr>
          <w:t>National Electric Vehicle Infrastructure (NEVI) Formula Program Q&amp;A</w:t>
        </w:r>
      </w:hyperlink>
      <w:r>
        <w:rPr>
          <w:szCs w:val="24"/>
        </w:rPr>
        <w:t xml:space="preserve">. </w:t>
      </w:r>
      <w:r w:rsidR="00650B32" w:rsidRPr="00650B32">
        <w:rPr>
          <w:szCs w:val="24"/>
        </w:rPr>
        <w:t>https://www.fhwa.dot.gov/environment/nevi/resources/nevi_program_faqs.cfm</w:t>
      </w:r>
      <w:r w:rsidR="00650B32">
        <w:rPr>
          <w:szCs w:val="24"/>
        </w:rPr>
        <w:t>.</w:t>
      </w:r>
    </w:p>
    <w:p w14:paraId="437CBFAD" w14:textId="77777777" w:rsidR="00D80950" w:rsidRDefault="00D80950" w:rsidP="008337BD">
      <w:pPr>
        <w:pStyle w:val="ListParagraph"/>
        <w:ind w:left="1440"/>
      </w:pPr>
    </w:p>
    <w:p w14:paraId="2A768ED3" w14:textId="77E75C32" w:rsidR="00791A3B" w:rsidRPr="008556EB" w:rsidRDefault="006E08F1" w:rsidP="00164AC5">
      <w:pPr>
        <w:numPr>
          <w:ilvl w:val="0"/>
          <w:numId w:val="36"/>
        </w:numPr>
        <w:ind w:left="1440" w:hanging="720"/>
        <w:rPr>
          <w:rStyle w:val="Hyperlink"/>
          <w:color w:val="auto"/>
          <w:szCs w:val="24"/>
          <w:u w:val="none"/>
        </w:rPr>
      </w:pPr>
      <w:r>
        <w:rPr>
          <w:szCs w:val="24"/>
        </w:rPr>
        <w:t xml:space="preserve">Caltrans and the California Energy Commission. </w:t>
      </w:r>
      <w:hyperlink r:id="rId40" w:history="1">
        <w:r w:rsidR="00210E4C" w:rsidRPr="00210E4C">
          <w:rPr>
            <w:rStyle w:val="Hyperlink"/>
            <w:szCs w:val="24"/>
          </w:rPr>
          <w:t>California's Deployment Plan for the National Electric Vehicle Infrastructure Program - 2024 Annual Update</w:t>
        </w:r>
      </w:hyperlink>
      <w:r>
        <w:rPr>
          <w:szCs w:val="24"/>
        </w:rPr>
        <w:t>.</w:t>
      </w:r>
    </w:p>
    <w:p w14:paraId="2151FC83" w14:textId="06703DFB" w:rsidR="00791A3B" w:rsidRPr="00210E4C" w:rsidRDefault="00406F74" w:rsidP="008337BD">
      <w:pPr>
        <w:ind w:left="1440"/>
        <w:rPr>
          <w:szCs w:val="24"/>
        </w:rPr>
      </w:pPr>
      <w:r w:rsidRPr="00210E4C">
        <w:rPr>
          <w:szCs w:val="24"/>
        </w:rPr>
        <w:t>https://dot.ca.gov/-/media/dot-media/programs/esta/documents/transportation-electrification/nevi/2024-ca-nevi-plan-update-a11y.pdf</w:t>
      </w:r>
      <w:r w:rsidR="009A0437" w:rsidRPr="00210E4C">
        <w:rPr>
          <w:szCs w:val="24"/>
        </w:rPr>
        <w:t>.</w:t>
      </w:r>
    </w:p>
    <w:p w14:paraId="6150E87B" w14:textId="77777777" w:rsidR="00791A3B" w:rsidRPr="008556EB" w:rsidRDefault="00791A3B" w:rsidP="008337BD">
      <w:pPr>
        <w:pStyle w:val="ListParagraph"/>
        <w:ind w:left="1440"/>
        <w:rPr>
          <w:szCs w:val="24"/>
        </w:rPr>
      </w:pPr>
    </w:p>
    <w:p w14:paraId="77F3AE0B" w14:textId="77A09C67" w:rsidR="00791A3B" w:rsidRPr="008556EB" w:rsidRDefault="00791A3B" w:rsidP="00164AC5">
      <w:pPr>
        <w:widowControl w:val="0"/>
        <w:numPr>
          <w:ilvl w:val="0"/>
          <w:numId w:val="36"/>
        </w:numPr>
        <w:ind w:left="1440" w:hanging="720"/>
        <w:rPr>
          <w:szCs w:val="24"/>
        </w:rPr>
      </w:pPr>
      <w:r w:rsidRPr="008556EB">
        <w:rPr>
          <w:szCs w:val="24"/>
        </w:rPr>
        <w:lastRenderedPageBreak/>
        <w:t xml:space="preserve">Joint Office of Energy and Transportation. </w:t>
      </w:r>
      <w:hyperlink r:id="rId41" w:history="1">
        <w:r w:rsidRPr="008556EB">
          <w:rPr>
            <w:rStyle w:val="Hyperlink"/>
            <w:szCs w:val="24"/>
          </w:rPr>
          <w:t>Technical Assistance</w:t>
        </w:r>
      </w:hyperlink>
    </w:p>
    <w:p w14:paraId="5A68C365" w14:textId="7A571CD9" w:rsidR="00791A3B" w:rsidRPr="008556EB" w:rsidRDefault="00791A3B" w:rsidP="0069163E">
      <w:pPr>
        <w:pStyle w:val="ListParagraph"/>
        <w:widowControl w:val="0"/>
        <w:ind w:left="1440"/>
        <w:rPr>
          <w:szCs w:val="24"/>
        </w:rPr>
      </w:pPr>
      <w:r w:rsidRPr="008556EB">
        <w:rPr>
          <w:szCs w:val="24"/>
        </w:rPr>
        <w:t>https://driveelectric.gov/technical-assistance/</w:t>
      </w:r>
      <w:r w:rsidR="009B449A" w:rsidRPr="008556EB">
        <w:rPr>
          <w:szCs w:val="24"/>
        </w:rPr>
        <w:t>.</w:t>
      </w:r>
    </w:p>
    <w:bookmarkEnd w:id="38"/>
    <w:p w14:paraId="001CED03" w14:textId="77777777" w:rsidR="00791A3B" w:rsidRPr="008556EB" w:rsidRDefault="00791A3B" w:rsidP="0069163E">
      <w:pPr>
        <w:widowControl w:val="0"/>
        <w:ind w:left="1440" w:hanging="720"/>
        <w:rPr>
          <w:szCs w:val="24"/>
        </w:rPr>
      </w:pPr>
    </w:p>
    <w:p w14:paraId="70BD2E1B" w14:textId="422D5347" w:rsidR="00791A3B" w:rsidRPr="008556EB" w:rsidRDefault="00791A3B" w:rsidP="00164AC5">
      <w:pPr>
        <w:widowControl w:val="0"/>
        <w:numPr>
          <w:ilvl w:val="0"/>
          <w:numId w:val="36"/>
        </w:numPr>
        <w:ind w:left="1440" w:hanging="720"/>
        <w:rPr>
          <w:szCs w:val="24"/>
        </w:rPr>
      </w:pPr>
      <w:r w:rsidRPr="008556EB">
        <w:rPr>
          <w:szCs w:val="24"/>
        </w:rPr>
        <w:t xml:space="preserve">National Archives – Federal Register. </w:t>
      </w:r>
      <w:hyperlink r:id="rId42" w:history="1">
        <w:r w:rsidRPr="008556EB">
          <w:rPr>
            <w:rStyle w:val="Hyperlink"/>
            <w:szCs w:val="24"/>
          </w:rPr>
          <w:t>Waiver of Buy America Requirements for Electric Vehicle Chargers</w:t>
        </w:r>
      </w:hyperlink>
    </w:p>
    <w:p w14:paraId="249EAD7C" w14:textId="78F53104" w:rsidR="00791A3B" w:rsidRPr="008556EB" w:rsidRDefault="00AE795E" w:rsidP="0069163E">
      <w:pPr>
        <w:pStyle w:val="ListParagraph"/>
        <w:widowControl w:val="0"/>
        <w:ind w:left="1440"/>
        <w:rPr>
          <w:szCs w:val="24"/>
        </w:rPr>
      </w:pPr>
      <w:r w:rsidRPr="008556EB">
        <w:rPr>
          <w:szCs w:val="24"/>
        </w:rPr>
        <w:t>https://www.federalregister.gov/documents/2023/02/21/2023-03498/waiver-of-buy-america-requirements-for-electric-vehicle-chargers</w:t>
      </w:r>
      <w:r w:rsidR="00445321" w:rsidRPr="008556EB">
        <w:rPr>
          <w:szCs w:val="24"/>
        </w:rPr>
        <w:t>.</w:t>
      </w:r>
    </w:p>
    <w:p w14:paraId="058C7BA5" w14:textId="77777777" w:rsidR="00AE795E" w:rsidRPr="008556EB" w:rsidRDefault="00AE795E" w:rsidP="0069163E">
      <w:pPr>
        <w:pStyle w:val="ListParagraph"/>
        <w:widowControl w:val="0"/>
        <w:ind w:left="1440"/>
        <w:rPr>
          <w:szCs w:val="24"/>
        </w:rPr>
      </w:pPr>
    </w:p>
    <w:p w14:paraId="67BCC886" w14:textId="1068A678" w:rsidR="00AE795E" w:rsidRPr="00176A37" w:rsidRDefault="00176A37" w:rsidP="00164AC5">
      <w:pPr>
        <w:numPr>
          <w:ilvl w:val="0"/>
          <w:numId w:val="36"/>
        </w:numPr>
        <w:ind w:left="1440" w:hanging="720"/>
        <w:rPr>
          <w:strike/>
          <w:szCs w:val="24"/>
        </w:rPr>
      </w:pPr>
      <w:r>
        <w:rPr>
          <w:szCs w:val="24"/>
        </w:rPr>
        <w:t>[</w:t>
      </w:r>
      <w:r w:rsidR="00AE795E" w:rsidRPr="00176A37">
        <w:rPr>
          <w:strike/>
          <w:szCs w:val="24"/>
        </w:rPr>
        <w:t xml:space="preserve">The White House. </w:t>
      </w:r>
      <w:hyperlink r:id="rId43" w:history="1">
        <w:r w:rsidR="00AE795E" w:rsidRPr="00176A37">
          <w:rPr>
            <w:rStyle w:val="Hyperlink"/>
            <w:strike/>
            <w:szCs w:val="24"/>
          </w:rPr>
          <w:t>FACT SHEET: Biden-Harris Administration Announces New Standards and Major Progress for a Made-in-America National Network of Electric Vehicle Chargers</w:t>
        </w:r>
      </w:hyperlink>
    </w:p>
    <w:p w14:paraId="5065A79A" w14:textId="20B3AA9B" w:rsidR="00AE795E" w:rsidRPr="008556EB" w:rsidRDefault="00AE795E" w:rsidP="00AE795E">
      <w:pPr>
        <w:pStyle w:val="ListParagraph"/>
        <w:ind w:left="1440"/>
        <w:rPr>
          <w:szCs w:val="24"/>
        </w:rPr>
      </w:pPr>
      <w:r w:rsidRPr="00176A37">
        <w:rPr>
          <w:strike/>
          <w:szCs w:val="24"/>
        </w:rPr>
        <w:t>https://www.whitehouse.gov/briefing-room/statements-releases/2023/02/15/fact-sheet-biden-harris-administration-announces-new-standards-and-major-progress-for-a-made-in-america-national-network-of-electric-vehicle-chargers/.</w:t>
      </w:r>
      <w:r w:rsidR="00176A37">
        <w:rPr>
          <w:szCs w:val="24"/>
        </w:rPr>
        <w:t>]</w:t>
      </w:r>
    </w:p>
    <w:p w14:paraId="767230A8" w14:textId="77777777" w:rsidR="00791A3B" w:rsidRPr="008556EB" w:rsidRDefault="00791A3B" w:rsidP="0069163E">
      <w:pPr>
        <w:widowControl w:val="0"/>
        <w:ind w:left="1440" w:hanging="720"/>
        <w:rPr>
          <w:szCs w:val="24"/>
        </w:rPr>
      </w:pPr>
    </w:p>
    <w:p w14:paraId="15C1893B" w14:textId="6A561EA5" w:rsidR="00791A3B" w:rsidRPr="008556EB" w:rsidRDefault="00791A3B" w:rsidP="00164AC5">
      <w:pPr>
        <w:widowControl w:val="0"/>
        <w:numPr>
          <w:ilvl w:val="0"/>
          <w:numId w:val="36"/>
        </w:numPr>
        <w:ind w:left="1440" w:hanging="720"/>
        <w:rPr>
          <w:szCs w:val="24"/>
        </w:rPr>
      </w:pPr>
      <w:r w:rsidRPr="008556EB">
        <w:rPr>
          <w:szCs w:val="24"/>
        </w:rPr>
        <w:t xml:space="preserve">California Air Resources Board. </w:t>
      </w:r>
      <w:hyperlink r:id="rId44" w:history="1">
        <w:r w:rsidRPr="008556EB">
          <w:rPr>
            <w:rStyle w:val="Hyperlink"/>
            <w:szCs w:val="24"/>
          </w:rPr>
          <w:t>California Climate Investment Priority Populations 202</w:t>
        </w:r>
        <w:r w:rsidR="00460517" w:rsidRPr="008556EB">
          <w:rPr>
            <w:rStyle w:val="Hyperlink"/>
            <w:szCs w:val="24"/>
          </w:rPr>
          <w:t>4</w:t>
        </w:r>
        <w:r w:rsidRPr="008556EB">
          <w:rPr>
            <w:rStyle w:val="Hyperlink"/>
            <w:szCs w:val="24"/>
          </w:rPr>
          <w:t xml:space="preserve"> CES 4.0</w:t>
        </w:r>
      </w:hyperlink>
      <w:r w:rsidRPr="008556EB">
        <w:rPr>
          <w:szCs w:val="24"/>
        </w:rPr>
        <w:t xml:space="preserve"> </w:t>
      </w:r>
      <w:r w:rsidR="00CF65D6" w:rsidRPr="008556EB">
        <w:rPr>
          <w:szCs w:val="24"/>
        </w:rPr>
        <w:t>(for identifying California</w:t>
      </w:r>
      <w:r w:rsidR="00CD4E88">
        <w:rPr>
          <w:szCs w:val="24"/>
        </w:rPr>
        <w:t>-designated</w:t>
      </w:r>
      <w:r w:rsidR="00CF65D6" w:rsidRPr="008556EB">
        <w:rPr>
          <w:szCs w:val="24"/>
        </w:rPr>
        <w:t xml:space="preserve"> disadvantaged and low-income communities). </w:t>
      </w:r>
      <w:r w:rsidRPr="008556EB">
        <w:rPr>
          <w:szCs w:val="24"/>
        </w:rPr>
        <w:t>https://webmaps.arb.ca.gov/PriorityPopulations/</w:t>
      </w:r>
    </w:p>
    <w:p w14:paraId="3CBA5B00" w14:textId="77777777" w:rsidR="00791A3B" w:rsidRPr="008556EB" w:rsidRDefault="00791A3B" w:rsidP="0069163E">
      <w:pPr>
        <w:widowControl w:val="0"/>
        <w:ind w:left="1440" w:hanging="720"/>
        <w:rPr>
          <w:szCs w:val="24"/>
        </w:rPr>
      </w:pPr>
    </w:p>
    <w:p w14:paraId="7DA887A1" w14:textId="150B7468" w:rsidR="00791A3B" w:rsidRPr="008556EB" w:rsidRDefault="00DB0EDF" w:rsidP="00164AC5">
      <w:pPr>
        <w:numPr>
          <w:ilvl w:val="0"/>
          <w:numId w:val="36"/>
        </w:numPr>
        <w:ind w:left="1440" w:hanging="720"/>
        <w:rPr>
          <w:szCs w:val="24"/>
        </w:rPr>
      </w:pPr>
      <w:r>
        <w:rPr>
          <w:szCs w:val="24"/>
        </w:rPr>
        <w:t>[</w:t>
      </w:r>
      <w:r w:rsidR="00D86790" w:rsidRPr="00DB0EDF">
        <w:rPr>
          <w:strike/>
          <w:szCs w:val="24"/>
        </w:rPr>
        <w:t xml:space="preserve">Climate and Economic Justice Screening Tool. </w:t>
      </w:r>
      <w:hyperlink r:id="rId45" w:history="1">
        <w:r w:rsidR="0068735D" w:rsidRPr="00DB0EDF">
          <w:rPr>
            <w:rStyle w:val="Hyperlink"/>
            <w:strike/>
            <w:szCs w:val="24"/>
          </w:rPr>
          <w:t xml:space="preserve">Explore the </w:t>
        </w:r>
        <w:r w:rsidR="002176D4" w:rsidRPr="00DB0EDF">
          <w:rPr>
            <w:rStyle w:val="Hyperlink"/>
            <w:strike/>
            <w:szCs w:val="24"/>
          </w:rPr>
          <w:t>map</w:t>
        </w:r>
      </w:hyperlink>
      <w:r w:rsidR="002176D4" w:rsidRPr="00DB0EDF">
        <w:rPr>
          <w:strike/>
          <w:szCs w:val="24"/>
        </w:rPr>
        <w:t xml:space="preserve"> </w:t>
      </w:r>
      <w:r w:rsidR="00CF65D6" w:rsidRPr="00DB0EDF">
        <w:rPr>
          <w:strike/>
          <w:szCs w:val="24"/>
        </w:rPr>
        <w:t xml:space="preserve">(for identifying Justice40 disadvantaged communities). </w:t>
      </w:r>
      <w:r w:rsidR="002176D4" w:rsidRPr="00DB0EDF">
        <w:rPr>
          <w:strike/>
          <w:szCs w:val="24"/>
        </w:rPr>
        <w:t>https://screeningtool.geoplatform.gov/en/.</w:t>
      </w:r>
      <w:r>
        <w:rPr>
          <w:szCs w:val="24"/>
        </w:rPr>
        <w:t>]</w:t>
      </w:r>
    </w:p>
    <w:p w14:paraId="20BCEFD6" w14:textId="77777777" w:rsidR="00CA6D48" w:rsidRPr="008556EB" w:rsidRDefault="00CA6D48" w:rsidP="0069163E">
      <w:pPr>
        <w:ind w:left="1440" w:hanging="720"/>
        <w:rPr>
          <w:szCs w:val="24"/>
        </w:rPr>
      </w:pPr>
    </w:p>
    <w:p w14:paraId="7E719B23" w14:textId="6624C832" w:rsidR="00791A3B" w:rsidRPr="008556EB" w:rsidRDefault="00791A3B" w:rsidP="00164AC5">
      <w:pPr>
        <w:numPr>
          <w:ilvl w:val="0"/>
          <w:numId w:val="36"/>
        </w:numPr>
        <w:ind w:left="1440" w:hanging="720"/>
        <w:rPr>
          <w:szCs w:val="24"/>
        </w:rPr>
      </w:pPr>
      <w:r w:rsidRPr="008556EB">
        <w:rPr>
          <w:szCs w:val="24"/>
        </w:rPr>
        <w:t xml:space="preserve">California Energy Commission. </w:t>
      </w:r>
      <w:r w:rsidR="00D168A1" w:rsidRPr="008556EB">
        <w:rPr>
          <w:szCs w:val="24"/>
        </w:rPr>
        <w:t>National Electric Vehicle Infrastructure (NEVI) Funding Program</w:t>
      </w:r>
      <w:r w:rsidR="00AF45A7" w:rsidRPr="008556EB">
        <w:rPr>
          <w:szCs w:val="24"/>
        </w:rPr>
        <w:t xml:space="preserve">, </w:t>
      </w:r>
      <w:hyperlink r:id="rId46" w:history="1">
        <w:r w:rsidR="00AF45A7" w:rsidRPr="008556EB">
          <w:rPr>
            <w:rStyle w:val="Hyperlink"/>
            <w:szCs w:val="24"/>
          </w:rPr>
          <w:t>Docket Log 22-EVI-05</w:t>
        </w:r>
      </w:hyperlink>
      <w:r w:rsidR="00AF45A7" w:rsidRPr="008556EB">
        <w:rPr>
          <w:szCs w:val="24"/>
        </w:rPr>
        <w:t>. https://efiling.energy.ca.gov/Lists/DocketLog.aspx?docketnumber=22-EVI-05</w:t>
      </w:r>
      <w:r w:rsidR="007078D4" w:rsidRPr="008556EB">
        <w:rPr>
          <w:szCs w:val="24"/>
        </w:rPr>
        <w:t>.</w:t>
      </w:r>
    </w:p>
    <w:p w14:paraId="6E5EE7E1" w14:textId="77777777" w:rsidR="00791A3B" w:rsidRPr="008556EB" w:rsidRDefault="00791A3B" w:rsidP="0069163E">
      <w:pPr>
        <w:ind w:left="1440" w:hanging="720"/>
        <w:rPr>
          <w:szCs w:val="24"/>
        </w:rPr>
      </w:pPr>
    </w:p>
    <w:p w14:paraId="3EC0462F" w14:textId="77777777" w:rsidR="00791A3B" w:rsidRPr="008556EB" w:rsidRDefault="00791A3B" w:rsidP="00164AC5">
      <w:pPr>
        <w:numPr>
          <w:ilvl w:val="0"/>
          <w:numId w:val="36"/>
        </w:numPr>
        <w:ind w:left="1440" w:hanging="720"/>
        <w:rPr>
          <w:szCs w:val="24"/>
        </w:rPr>
      </w:pPr>
      <w:hyperlink r:id="rId47" w:history="1">
        <w:r w:rsidRPr="008556EB">
          <w:rPr>
            <w:rStyle w:val="Hyperlink"/>
            <w:szCs w:val="24"/>
          </w:rPr>
          <w:t>Electric Vehicle Infrastructure Training Program</w:t>
        </w:r>
      </w:hyperlink>
    </w:p>
    <w:p w14:paraId="71514A25" w14:textId="3B0D6141" w:rsidR="00791A3B" w:rsidRPr="008556EB" w:rsidRDefault="00791A3B" w:rsidP="0069163E">
      <w:pPr>
        <w:pStyle w:val="ListParagraph"/>
        <w:ind w:left="1440"/>
        <w:rPr>
          <w:szCs w:val="24"/>
        </w:rPr>
      </w:pPr>
      <w:r w:rsidRPr="008556EB">
        <w:rPr>
          <w:szCs w:val="24"/>
        </w:rPr>
        <w:t>https://evitp.org/</w:t>
      </w:r>
      <w:r w:rsidR="007078D4" w:rsidRPr="008556EB">
        <w:rPr>
          <w:szCs w:val="24"/>
        </w:rPr>
        <w:t>.</w:t>
      </w:r>
    </w:p>
    <w:p w14:paraId="56965BCF" w14:textId="77777777" w:rsidR="00791A3B" w:rsidRPr="008556EB" w:rsidRDefault="00791A3B" w:rsidP="0069163E">
      <w:pPr>
        <w:ind w:left="1440" w:hanging="720"/>
        <w:rPr>
          <w:szCs w:val="24"/>
        </w:rPr>
      </w:pPr>
    </w:p>
    <w:p w14:paraId="614D0377" w14:textId="77777777" w:rsidR="00791A3B" w:rsidRPr="008556EB" w:rsidRDefault="00791A3B" w:rsidP="00164AC5">
      <w:pPr>
        <w:numPr>
          <w:ilvl w:val="0"/>
          <w:numId w:val="36"/>
        </w:numPr>
        <w:ind w:left="1440" w:hanging="720"/>
        <w:rPr>
          <w:szCs w:val="24"/>
        </w:rPr>
      </w:pPr>
      <w:r w:rsidRPr="008556EB">
        <w:rPr>
          <w:szCs w:val="24"/>
        </w:rPr>
        <w:t xml:space="preserve">California Air Resources Board. </w:t>
      </w:r>
      <w:hyperlink r:id="rId48" w:history="1">
        <w:r w:rsidRPr="008556EB">
          <w:rPr>
            <w:rStyle w:val="Hyperlink"/>
            <w:szCs w:val="24"/>
          </w:rPr>
          <w:t>Senate Bill 350 Low-Income Barriers Study, Part B: Overcoming Barriers to Clean Transportation Access for Low-Income Residents</w:t>
        </w:r>
      </w:hyperlink>
      <w:r w:rsidRPr="008556EB">
        <w:rPr>
          <w:szCs w:val="24"/>
        </w:rPr>
        <w:t>. https://ww2.arb.ca.gov/resources/documents/carb-barriers-report-final-guidance-document.</w:t>
      </w:r>
    </w:p>
    <w:p w14:paraId="628AE251" w14:textId="77777777" w:rsidR="00791A3B" w:rsidRPr="008556EB" w:rsidRDefault="00791A3B" w:rsidP="0069163E">
      <w:pPr>
        <w:ind w:left="1440" w:hanging="720"/>
        <w:rPr>
          <w:szCs w:val="24"/>
        </w:rPr>
      </w:pPr>
    </w:p>
    <w:p w14:paraId="05192175" w14:textId="43244023" w:rsidR="00791A3B" w:rsidRPr="008556EB" w:rsidRDefault="00791A3B" w:rsidP="00164AC5">
      <w:pPr>
        <w:numPr>
          <w:ilvl w:val="0"/>
          <w:numId w:val="36"/>
        </w:numPr>
        <w:ind w:left="1440" w:hanging="720"/>
        <w:rPr>
          <w:szCs w:val="24"/>
        </w:rPr>
      </w:pPr>
      <w:r w:rsidRPr="008556EB">
        <w:rPr>
          <w:szCs w:val="24"/>
        </w:rPr>
        <w:t xml:space="preserve">California Energy Commission. </w:t>
      </w:r>
      <w:hyperlink r:id="rId49" w:history="1">
        <w:r w:rsidR="00C322D7" w:rsidRPr="005B47BB">
          <w:rPr>
            <w:rStyle w:val="Hyperlink"/>
            <w:szCs w:val="24"/>
          </w:rPr>
          <w:t xml:space="preserve">Electric Vehicle Infrastructure Deployment Assessment </w:t>
        </w:r>
        <w:r w:rsidR="00B02E3C" w:rsidRPr="005B47BB">
          <w:rPr>
            <w:rStyle w:val="Hyperlink"/>
            <w:szCs w:val="24"/>
          </w:rPr>
          <w:t>– SB 1000</w:t>
        </w:r>
      </w:hyperlink>
      <w:r w:rsidR="00C322D7">
        <w:rPr>
          <w:rStyle w:val="Hyperlink"/>
          <w:color w:val="auto"/>
          <w:szCs w:val="24"/>
          <w:u w:val="none"/>
        </w:rPr>
        <w:t>.</w:t>
      </w:r>
    </w:p>
    <w:p w14:paraId="30254BCA" w14:textId="77777777" w:rsidR="00791A3B" w:rsidRPr="008556EB" w:rsidRDefault="00791A3B" w:rsidP="0069163E">
      <w:pPr>
        <w:pStyle w:val="ListParagraph"/>
        <w:ind w:left="1440"/>
        <w:rPr>
          <w:szCs w:val="24"/>
        </w:rPr>
      </w:pPr>
      <w:r w:rsidRPr="008556EB">
        <w:rPr>
          <w:szCs w:val="24"/>
        </w:rPr>
        <w:t>https://www.energy.ca.gov/programs-and-topics/programs/clean-transportation-program/electric-vehicle-infrastructure</w:t>
      </w:r>
    </w:p>
    <w:p w14:paraId="21D94666" w14:textId="77777777" w:rsidR="00791A3B" w:rsidRPr="008556EB" w:rsidRDefault="00791A3B" w:rsidP="0069163E">
      <w:pPr>
        <w:ind w:left="1440" w:hanging="720"/>
        <w:rPr>
          <w:szCs w:val="24"/>
        </w:rPr>
      </w:pPr>
    </w:p>
    <w:p w14:paraId="276E6B82" w14:textId="5D97DB9E" w:rsidR="00791A3B" w:rsidRPr="008556EB" w:rsidRDefault="00791A3B" w:rsidP="00164AC5">
      <w:pPr>
        <w:numPr>
          <w:ilvl w:val="0"/>
          <w:numId w:val="36"/>
        </w:numPr>
        <w:ind w:left="1440" w:hanging="720"/>
        <w:rPr>
          <w:szCs w:val="24"/>
        </w:rPr>
      </w:pPr>
      <w:r w:rsidRPr="008556EB">
        <w:rPr>
          <w:szCs w:val="24"/>
        </w:rPr>
        <w:t xml:space="preserve">California Energy Commission. </w:t>
      </w:r>
      <w:hyperlink r:id="rId50" w:history="1">
        <w:r w:rsidRPr="00446ADB">
          <w:rPr>
            <w:rStyle w:val="Hyperlink"/>
            <w:szCs w:val="24"/>
          </w:rPr>
          <w:t>Electric Vehicles Charging Infrastructure Assessment</w:t>
        </w:r>
        <w:r w:rsidR="005B47BB" w:rsidRPr="00446ADB">
          <w:rPr>
            <w:rStyle w:val="Hyperlink"/>
            <w:szCs w:val="24"/>
          </w:rPr>
          <w:t xml:space="preserve"> – AB 2127</w:t>
        </w:r>
      </w:hyperlink>
      <w:r w:rsidR="005B47BB">
        <w:rPr>
          <w:rStyle w:val="Hyperlink"/>
          <w:color w:val="auto"/>
          <w:szCs w:val="24"/>
          <w:u w:val="none"/>
        </w:rPr>
        <w:t>.</w:t>
      </w:r>
    </w:p>
    <w:p w14:paraId="521F1365" w14:textId="77777777" w:rsidR="00791A3B" w:rsidRPr="008556EB" w:rsidRDefault="00791A3B" w:rsidP="0069163E">
      <w:pPr>
        <w:pStyle w:val="ListParagraph"/>
        <w:ind w:left="1440"/>
        <w:rPr>
          <w:szCs w:val="24"/>
        </w:rPr>
      </w:pPr>
      <w:r w:rsidRPr="008556EB">
        <w:rPr>
          <w:szCs w:val="24"/>
        </w:rPr>
        <w:lastRenderedPageBreak/>
        <w:t>https://www.energy.ca.gov/programs-and-topics/programs/electric-vehicle-charging-infrastructure-assessment-ab-2127</w:t>
      </w:r>
    </w:p>
    <w:p w14:paraId="0D37FA3D" w14:textId="77777777" w:rsidR="00791A3B" w:rsidRPr="008556EB" w:rsidRDefault="00791A3B" w:rsidP="0036547A">
      <w:pPr>
        <w:pStyle w:val="ListParagraph"/>
        <w:ind w:left="1440"/>
        <w:rPr>
          <w:szCs w:val="24"/>
        </w:rPr>
      </w:pPr>
    </w:p>
    <w:p w14:paraId="3787A2E5" w14:textId="77777777" w:rsidR="00791A3B" w:rsidRPr="008556EB" w:rsidRDefault="00791A3B" w:rsidP="00164AC5">
      <w:pPr>
        <w:numPr>
          <w:ilvl w:val="0"/>
          <w:numId w:val="36"/>
        </w:numPr>
        <w:ind w:left="1440" w:hanging="720"/>
        <w:rPr>
          <w:szCs w:val="24"/>
        </w:rPr>
      </w:pPr>
      <w:r w:rsidRPr="008556EB">
        <w:rPr>
          <w:szCs w:val="24"/>
        </w:rPr>
        <w:t xml:space="preserve">California Air Resources Board. </w:t>
      </w:r>
      <w:hyperlink r:id="rId51" w:history="1">
        <w:r w:rsidRPr="008556EB">
          <w:rPr>
            <w:rStyle w:val="Hyperlink"/>
            <w:szCs w:val="24"/>
          </w:rPr>
          <w:t>Electric Vehicle Supply Equipment (EVSE) Standards.</w:t>
        </w:r>
      </w:hyperlink>
    </w:p>
    <w:p w14:paraId="6980EF86" w14:textId="77777777" w:rsidR="00791A3B" w:rsidRPr="008556EB" w:rsidRDefault="00791A3B" w:rsidP="0069163E">
      <w:pPr>
        <w:pStyle w:val="ListParagraph"/>
        <w:widowControl w:val="0"/>
        <w:ind w:left="1440"/>
        <w:rPr>
          <w:szCs w:val="24"/>
        </w:rPr>
      </w:pPr>
      <w:r w:rsidRPr="008556EB">
        <w:rPr>
          <w:szCs w:val="24"/>
        </w:rPr>
        <w:t>https://ww2.arb.ca.gov/our-work/programs/electric-vehicle-supply-equipment-evse-standards.</w:t>
      </w:r>
    </w:p>
    <w:p w14:paraId="1271DAB3" w14:textId="77777777" w:rsidR="00791A3B" w:rsidRPr="008556EB" w:rsidRDefault="00791A3B" w:rsidP="0036547A">
      <w:pPr>
        <w:pStyle w:val="ListParagraph"/>
        <w:ind w:left="1440"/>
        <w:rPr>
          <w:szCs w:val="24"/>
        </w:rPr>
      </w:pPr>
    </w:p>
    <w:p w14:paraId="34DFB189" w14:textId="77777777" w:rsidR="00791A3B" w:rsidRPr="008556EB" w:rsidRDefault="00791A3B" w:rsidP="00164AC5">
      <w:pPr>
        <w:widowControl w:val="0"/>
        <w:numPr>
          <w:ilvl w:val="0"/>
          <w:numId w:val="36"/>
        </w:numPr>
        <w:ind w:left="1440" w:hanging="720"/>
        <w:rPr>
          <w:szCs w:val="24"/>
        </w:rPr>
      </w:pPr>
      <w:r w:rsidRPr="008556EB">
        <w:rPr>
          <w:szCs w:val="24"/>
        </w:rPr>
        <w:t xml:space="preserve">California Department of Food and Agriculture, Division of Measurement Standards. </w:t>
      </w:r>
      <w:hyperlink r:id="rId52" w:history="1">
        <w:r w:rsidRPr="008556EB">
          <w:rPr>
            <w:rStyle w:val="Hyperlink"/>
            <w:szCs w:val="24"/>
          </w:rPr>
          <w:t>Zero-Emission Vehicle Projects.</w:t>
        </w:r>
      </w:hyperlink>
      <w:r w:rsidRPr="008556EB">
        <w:rPr>
          <w:szCs w:val="24"/>
        </w:rPr>
        <w:t xml:space="preserve"> https://www.cdfa.ca.gov/dms/programs/zevfuels/.</w:t>
      </w:r>
    </w:p>
    <w:p w14:paraId="04AAAA91" w14:textId="77777777" w:rsidR="00791A3B" w:rsidRPr="008556EB" w:rsidRDefault="00791A3B" w:rsidP="0036547A">
      <w:pPr>
        <w:pStyle w:val="ListParagraph"/>
        <w:ind w:left="1440"/>
        <w:rPr>
          <w:szCs w:val="24"/>
        </w:rPr>
      </w:pPr>
    </w:p>
    <w:p w14:paraId="48373E02" w14:textId="5D780CDC" w:rsidR="008B2164" w:rsidRDefault="007078D4" w:rsidP="00164AC5">
      <w:pPr>
        <w:numPr>
          <w:ilvl w:val="0"/>
          <w:numId w:val="24"/>
        </w:numPr>
        <w:ind w:hanging="720"/>
        <w:rPr>
          <w:szCs w:val="24"/>
        </w:rPr>
      </w:pPr>
      <w:hyperlink r:id="rId53" w:history="1">
        <w:r w:rsidRPr="008556EB">
          <w:rPr>
            <w:rStyle w:val="Hyperlink"/>
            <w:szCs w:val="24"/>
          </w:rPr>
          <w:t>2024-2025 Investment Plan Update for the Clean Transportation Program</w:t>
        </w:r>
      </w:hyperlink>
      <w:r w:rsidRPr="008556EB">
        <w:rPr>
          <w:szCs w:val="24"/>
        </w:rPr>
        <w:t xml:space="preserve"> (CEC-600-2024-047). https://www.energy.ca.gov/publications/2024/2024-2025-investment-plan-update-clean-transportation-program.</w:t>
      </w:r>
    </w:p>
    <w:p w14:paraId="619247FC" w14:textId="77777777" w:rsidR="008B2164" w:rsidRDefault="008B2164">
      <w:pPr>
        <w:rPr>
          <w:szCs w:val="24"/>
        </w:rPr>
      </w:pPr>
      <w:r>
        <w:rPr>
          <w:szCs w:val="24"/>
        </w:rPr>
        <w:br w:type="page"/>
      </w:r>
    </w:p>
    <w:p w14:paraId="43BD0251" w14:textId="77777777" w:rsidR="00D1451B" w:rsidRPr="00050087" w:rsidRDefault="00D1451B" w:rsidP="00E04486">
      <w:pPr>
        <w:pStyle w:val="Heading1"/>
        <w:keepNext w:val="0"/>
        <w:keepLines w:val="0"/>
        <w:spacing w:before="0" w:after="0"/>
      </w:pPr>
      <w:bookmarkStart w:id="39" w:name="_Toc184829624"/>
      <w:bookmarkStart w:id="40" w:name="_Toc310513471"/>
      <w:r w:rsidRPr="00050087">
        <w:lastRenderedPageBreak/>
        <w:t>II.</w:t>
      </w:r>
      <w:r w:rsidRPr="00050087">
        <w:tab/>
        <w:t>Eligibility Requirements</w:t>
      </w:r>
      <w:bookmarkEnd w:id="39"/>
    </w:p>
    <w:p w14:paraId="450EA8E1" w14:textId="77777777" w:rsidR="00D10859" w:rsidRPr="00050087" w:rsidRDefault="00D10859" w:rsidP="00E04486">
      <w:pPr>
        <w:rPr>
          <w:szCs w:val="22"/>
        </w:rPr>
      </w:pPr>
    </w:p>
    <w:p w14:paraId="5E719634" w14:textId="77777777" w:rsidR="007F5B86" w:rsidRPr="00050087" w:rsidRDefault="00840576" w:rsidP="00164AC5">
      <w:pPr>
        <w:pStyle w:val="Heading2"/>
        <w:keepNext w:val="0"/>
        <w:numPr>
          <w:ilvl w:val="0"/>
          <w:numId w:val="12"/>
        </w:numPr>
        <w:spacing w:before="0"/>
        <w:ind w:hanging="720"/>
        <w:rPr>
          <w:lang w:val="en-US"/>
        </w:rPr>
      </w:pPr>
      <w:bookmarkStart w:id="41" w:name="_Toc184829625"/>
      <w:bookmarkEnd w:id="40"/>
      <w:r w:rsidRPr="00050087">
        <w:rPr>
          <w:lang w:val="en-US"/>
        </w:rPr>
        <w:t>Applicant Requirements</w:t>
      </w:r>
      <w:bookmarkEnd w:id="41"/>
    </w:p>
    <w:p w14:paraId="469C3A42" w14:textId="77777777" w:rsidR="001547F9" w:rsidRPr="00050087" w:rsidRDefault="001547F9" w:rsidP="00E04486"/>
    <w:p w14:paraId="7273C8FF" w14:textId="77777777" w:rsidR="00840576" w:rsidRPr="002C2AB0" w:rsidRDefault="00840576" w:rsidP="00164AC5">
      <w:pPr>
        <w:numPr>
          <w:ilvl w:val="0"/>
          <w:numId w:val="16"/>
        </w:numPr>
        <w:ind w:left="1440" w:hanging="720"/>
        <w:jc w:val="both"/>
        <w:rPr>
          <w:b/>
          <w:szCs w:val="24"/>
        </w:rPr>
      </w:pPr>
      <w:r w:rsidRPr="002C2AB0">
        <w:rPr>
          <w:b/>
          <w:szCs w:val="24"/>
        </w:rPr>
        <w:t>Eligibility</w:t>
      </w:r>
    </w:p>
    <w:p w14:paraId="5D916F45" w14:textId="062A1020" w:rsidR="00C95DB7" w:rsidRPr="008A79CF" w:rsidRDefault="00C95DB7" w:rsidP="00577D6E">
      <w:pPr>
        <w:pStyle w:val="ListParagraph"/>
        <w:ind w:left="1440"/>
        <w:rPr>
          <w:b/>
          <w:u w:val="single"/>
        </w:rPr>
      </w:pPr>
      <w:r>
        <w:t xml:space="preserve">This solicitation is open to all </w:t>
      </w:r>
      <w:r w:rsidR="00C46A95">
        <w:t>private entities</w:t>
      </w:r>
      <w:r w:rsidR="00577D6E">
        <w:t>, excluding</w:t>
      </w:r>
      <w:r w:rsidR="0E5D792D">
        <w:t xml:space="preserve"> investor-owned utilities</w:t>
      </w:r>
      <w:r w:rsidR="0B20EDE5" w:rsidRPr="00F31BCC">
        <w:rPr>
          <w:b/>
          <w:bCs/>
          <w:u w:val="single"/>
        </w:rPr>
        <w:t>, and is also open to</w:t>
      </w:r>
      <w:r w:rsidR="00227B92" w:rsidRPr="00F31BCC">
        <w:rPr>
          <w:b/>
          <w:bCs/>
          <w:u w:val="single"/>
        </w:rPr>
        <w:t xml:space="preserve"> </w:t>
      </w:r>
      <w:r w:rsidR="00227B92" w:rsidRPr="51A8E381">
        <w:rPr>
          <w:b/>
          <w:u w:val="single"/>
        </w:rPr>
        <w:t>California Tribal Organizations</w:t>
      </w:r>
      <w:r w:rsidR="007103C7">
        <w:rPr>
          <w:b/>
          <w:u w:val="single"/>
        </w:rPr>
        <w:t xml:space="preserve"> </w:t>
      </w:r>
      <w:r w:rsidR="00227B92" w:rsidRPr="51A8E381">
        <w:rPr>
          <w:b/>
          <w:u w:val="single"/>
        </w:rPr>
        <w:t>serving California Native American Tribes</w:t>
      </w:r>
      <w:r w:rsidR="000F5397" w:rsidRPr="002A66D6">
        <w:rPr>
          <w:bCs/>
        </w:rPr>
        <w:t>.</w:t>
      </w:r>
    </w:p>
    <w:p w14:paraId="22176100" w14:textId="77777777" w:rsidR="007651F7" w:rsidRPr="009B5B23" w:rsidRDefault="007651F7" w:rsidP="00E04486">
      <w:pPr>
        <w:ind w:firstLine="720"/>
        <w:jc w:val="both"/>
        <w:rPr>
          <w:szCs w:val="24"/>
        </w:rPr>
      </w:pPr>
    </w:p>
    <w:p w14:paraId="75F0F019" w14:textId="77777777" w:rsidR="00840576" w:rsidRPr="009B5B23" w:rsidRDefault="00840576" w:rsidP="00164AC5">
      <w:pPr>
        <w:numPr>
          <w:ilvl w:val="0"/>
          <w:numId w:val="16"/>
        </w:numPr>
        <w:ind w:left="1440" w:hanging="720"/>
        <w:jc w:val="both"/>
        <w:rPr>
          <w:b/>
          <w:szCs w:val="24"/>
        </w:rPr>
      </w:pPr>
      <w:bookmarkStart w:id="42" w:name="_Toc381079914"/>
      <w:bookmarkStart w:id="43" w:name="_Toc382571176"/>
      <w:bookmarkStart w:id="44" w:name="_Toc395180678"/>
      <w:bookmarkStart w:id="45" w:name="_Toc425316663"/>
      <w:r w:rsidRPr="009B5B23">
        <w:rPr>
          <w:b/>
          <w:szCs w:val="24"/>
        </w:rPr>
        <w:t>Terms and Conditions</w:t>
      </w:r>
      <w:bookmarkEnd w:id="42"/>
      <w:bookmarkEnd w:id="43"/>
      <w:bookmarkEnd w:id="44"/>
      <w:bookmarkEnd w:id="45"/>
    </w:p>
    <w:p w14:paraId="3737EAA4" w14:textId="483396CE" w:rsidR="00840576" w:rsidRPr="009B5B23" w:rsidRDefault="5A64025C" w:rsidP="002F3A35">
      <w:pPr>
        <w:ind w:left="1440"/>
      </w:pPr>
      <w:r>
        <w:t>Each grant agreement resulting from this solicitation will include terms and conditions that set forth the</w:t>
      </w:r>
      <w:r w:rsidR="0E708B98">
        <w:t xml:space="preserve"> grant</w:t>
      </w:r>
      <w:r>
        <w:t xml:space="preserve"> recipient’s rights and responsibilities. By </w:t>
      </w:r>
      <w:r w:rsidR="32516B5C">
        <w:t>providing the authorizations and certifications</w:t>
      </w:r>
      <w:r w:rsidR="0E708B98">
        <w:t xml:space="preserve"> required under this solicitation</w:t>
      </w:r>
      <w:r>
        <w:t xml:space="preserve">, each </w:t>
      </w:r>
      <w:r w:rsidR="18A2B34D">
        <w:t>A</w:t>
      </w:r>
      <w:r>
        <w:t xml:space="preserve">pplicant agrees to </w:t>
      </w:r>
      <w:r w:rsidRPr="41962BB8">
        <w:rPr>
          <w:rStyle w:val="Style10pt"/>
          <w:rFonts w:cs="Arial"/>
          <w:sz w:val="24"/>
          <w:szCs w:val="24"/>
        </w:rPr>
        <w:t>enter into an agreement</w:t>
      </w:r>
      <w:r w:rsidR="5103B393" w:rsidRPr="41962BB8">
        <w:rPr>
          <w:rStyle w:val="Style10pt"/>
          <w:rFonts w:cs="Arial"/>
          <w:sz w:val="24"/>
          <w:szCs w:val="24"/>
        </w:rPr>
        <w:t>, if awarded,</w:t>
      </w:r>
      <w:r w:rsidRPr="41962BB8">
        <w:rPr>
          <w:rStyle w:val="Style10pt"/>
          <w:rFonts w:cs="Arial"/>
          <w:sz w:val="24"/>
          <w:szCs w:val="24"/>
        </w:rPr>
        <w:t xml:space="preserve"> with the </w:t>
      </w:r>
      <w:r w:rsidR="32516B5C" w:rsidRPr="41962BB8">
        <w:rPr>
          <w:rStyle w:val="Style10pt"/>
          <w:rFonts w:cs="Arial"/>
          <w:sz w:val="24"/>
          <w:szCs w:val="24"/>
        </w:rPr>
        <w:t xml:space="preserve">CEC </w:t>
      </w:r>
      <w:r w:rsidRPr="41962BB8">
        <w:rPr>
          <w:rStyle w:val="Style10pt"/>
          <w:rFonts w:cs="Arial"/>
          <w:sz w:val="24"/>
          <w:szCs w:val="24"/>
        </w:rPr>
        <w:t xml:space="preserve">to conduct the proposed project according to the terms and conditions </w:t>
      </w:r>
      <w:r w:rsidR="002F3A35">
        <w:rPr>
          <w:rStyle w:val="Style10pt"/>
          <w:rFonts w:cs="Arial"/>
          <w:sz w:val="24"/>
          <w:szCs w:val="24"/>
        </w:rPr>
        <w:t xml:space="preserve">for this solicitation (Attachments </w:t>
      </w:r>
      <w:r w:rsidR="002F3A35" w:rsidRPr="031245C1">
        <w:rPr>
          <w:rStyle w:val="Style10pt"/>
          <w:rFonts w:cs="Arial"/>
          <w:sz w:val="24"/>
          <w:szCs w:val="24"/>
        </w:rPr>
        <w:t>1</w:t>
      </w:r>
      <w:r w:rsidR="5A935A99" w:rsidRPr="031245C1">
        <w:rPr>
          <w:rStyle w:val="Style10pt"/>
          <w:rFonts w:cs="Arial"/>
          <w:sz w:val="24"/>
          <w:szCs w:val="24"/>
        </w:rPr>
        <w:t>6</w:t>
      </w:r>
      <w:r w:rsidR="002F3A35">
        <w:rPr>
          <w:rStyle w:val="Style10pt"/>
          <w:rFonts w:cs="Arial"/>
          <w:sz w:val="24"/>
          <w:szCs w:val="24"/>
        </w:rPr>
        <w:t xml:space="preserve"> and </w:t>
      </w:r>
      <w:r w:rsidR="002F3A35" w:rsidRPr="50C8654D">
        <w:rPr>
          <w:rStyle w:val="Style10pt"/>
          <w:rFonts w:cs="Arial"/>
          <w:sz w:val="24"/>
          <w:szCs w:val="24"/>
        </w:rPr>
        <w:t>1</w:t>
      </w:r>
      <w:r w:rsidR="4C06DBBD" w:rsidRPr="50C8654D">
        <w:rPr>
          <w:rStyle w:val="Style10pt"/>
          <w:rFonts w:cs="Arial"/>
          <w:sz w:val="24"/>
          <w:szCs w:val="24"/>
        </w:rPr>
        <w:t>7</w:t>
      </w:r>
      <w:r w:rsidR="00A4124B">
        <w:rPr>
          <w:rStyle w:val="Style10pt"/>
          <w:rFonts w:cs="Arial"/>
          <w:sz w:val="24"/>
          <w:szCs w:val="24"/>
        </w:rPr>
        <w:t xml:space="preserve">, and </w:t>
      </w:r>
      <w:r w:rsidR="00A4124B">
        <w:t xml:space="preserve">the </w:t>
      </w:r>
      <w:hyperlink r:id="rId54" w:history="1">
        <w:r w:rsidR="00A4124B" w:rsidRPr="0082182D">
          <w:rPr>
            <w:rStyle w:val="Hyperlink"/>
          </w:rPr>
          <w:t xml:space="preserve">Insolvency, Bankruptcy, or Receivership </w:t>
        </w:r>
        <w:r w:rsidR="00A4124B">
          <w:rPr>
            <w:rStyle w:val="Hyperlink"/>
          </w:rPr>
          <w:t>t</w:t>
        </w:r>
        <w:r w:rsidR="00A4124B" w:rsidRPr="0082182D">
          <w:rPr>
            <w:rStyle w:val="Hyperlink"/>
          </w:rPr>
          <w:t xml:space="preserve">erms and </w:t>
        </w:r>
        <w:r w:rsidR="00A4124B">
          <w:rPr>
            <w:rStyle w:val="Hyperlink"/>
          </w:rPr>
          <w:t>c</w:t>
        </w:r>
        <w:r w:rsidR="00A4124B" w:rsidRPr="0082182D">
          <w:rPr>
            <w:rStyle w:val="Hyperlink"/>
          </w:rPr>
          <w:t>onditions</w:t>
        </w:r>
      </w:hyperlink>
      <w:r w:rsidR="00A4124B">
        <w:t xml:space="preserve"> found at </w:t>
      </w:r>
      <w:r w:rsidR="007D7162" w:rsidRPr="007D7162">
        <w:t>https://www.energy.ca.gov/sites/default/files/2024-12/Special_Terms_and_Conditions_Bankruptcy_ada.pdf</w:t>
      </w:r>
      <w:r w:rsidR="00A4124B" w:rsidRPr="00572515">
        <w:t>)</w:t>
      </w:r>
      <w:r w:rsidR="00D570A1" w:rsidRPr="182AB817">
        <w:rPr>
          <w:b/>
          <w:bCs/>
          <w:u w:val="single"/>
        </w:rPr>
        <w:t>,</w:t>
      </w:r>
      <w:r w:rsidR="00D570A1" w:rsidRPr="007D7162">
        <w:rPr>
          <w:b/>
          <w:bCs/>
          <w:u w:val="single"/>
        </w:rPr>
        <w:t xml:space="preserve"> and</w:t>
      </w:r>
      <w:r w:rsidR="00D71EC7" w:rsidRPr="007D7162">
        <w:rPr>
          <w:b/>
          <w:bCs/>
          <w:u w:val="single"/>
        </w:rPr>
        <w:t>, if applicable,</w:t>
      </w:r>
      <w:r w:rsidR="00D570A1" w:rsidRPr="007D7162">
        <w:rPr>
          <w:b/>
          <w:bCs/>
          <w:u w:val="single"/>
        </w:rPr>
        <w:t xml:space="preserve"> the </w:t>
      </w:r>
      <w:r w:rsidR="00860656" w:rsidRPr="00572515">
        <w:rPr>
          <w:b/>
          <w:bCs/>
          <w:u w:val="single"/>
        </w:rPr>
        <w:t>Special Terms and Conditions for California Tribal Organizations serving California Native American Tribes with Sovereign Immunity</w:t>
      </w:r>
      <w:r w:rsidR="00A24354" w:rsidRPr="00572515">
        <w:rPr>
          <w:b/>
          <w:bCs/>
          <w:u w:val="single"/>
        </w:rPr>
        <w:t xml:space="preserve"> (Attachment 18)</w:t>
      </w:r>
      <w:r w:rsidR="006412F9">
        <w:rPr>
          <w:rStyle w:val="Style10pt"/>
          <w:rFonts w:cs="Arial"/>
          <w:sz w:val="24"/>
          <w:szCs w:val="24"/>
        </w:rPr>
        <w:t>, without negotiation.</w:t>
      </w:r>
    </w:p>
    <w:p w14:paraId="77315D48" w14:textId="77777777" w:rsidR="007651F7" w:rsidRPr="009B5B23" w:rsidRDefault="007651F7" w:rsidP="003A0DDC">
      <w:pPr>
        <w:ind w:left="1440"/>
        <w:rPr>
          <w:szCs w:val="22"/>
        </w:rPr>
      </w:pPr>
    </w:p>
    <w:p w14:paraId="3BD48CD7" w14:textId="3462B656" w:rsidR="00840576" w:rsidRDefault="5A64025C" w:rsidP="003A0DDC">
      <w:pPr>
        <w:ind w:left="1440"/>
        <w:rPr>
          <w:szCs w:val="24"/>
        </w:rPr>
      </w:pPr>
      <w:r w:rsidRPr="41962BB8">
        <w:rPr>
          <w:szCs w:val="24"/>
        </w:rPr>
        <w:t xml:space="preserve">Failure to agree to the terms and conditions by taking actions such as failing to </w:t>
      </w:r>
      <w:r w:rsidR="32516B5C" w:rsidRPr="41962BB8">
        <w:rPr>
          <w:szCs w:val="24"/>
        </w:rPr>
        <w:t>provide the required authorizations and certifications</w:t>
      </w:r>
      <w:r w:rsidRPr="41962BB8">
        <w:rPr>
          <w:szCs w:val="24"/>
        </w:rPr>
        <w:t xml:space="preserve"> or indicating that acceptance is based on modification of the terms </w:t>
      </w:r>
      <w:r w:rsidR="5787E600" w:rsidRPr="41962BB8">
        <w:rPr>
          <w:szCs w:val="24"/>
        </w:rPr>
        <w:t>may</w:t>
      </w:r>
      <w:r w:rsidRPr="41962BB8">
        <w:rPr>
          <w:szCs w:val="24"/>
        </w:rPr>
        <w:t xml:space="preserve"> result in rejection of the application. Applicants must read the terms and conditions carefully. </w:t>
      </w:r>
      <w:r w:rsidR="32516B5C" w:rsidRPr="41962BB8">
        <w:rPr>
          <w:szCs w:val="24"/>
        </w:rPr>
        <w:t xml:space="preserve">CEC </w:t>
      </w:r>
      <w:r w:rsidRPr="41962BB8">
        <w:rPr>
          <w:szCs w:val="24"/>
        </w:rPr>
        <w:t>reserves the right to modify the terms and conditions prior to executing grant agreements.</w:t>
      </w:r>
    </w:p>
    <w:p w14:paraId="5D18F27F" w14:textId="77777777" w:rsidR="00DB7B2C" w:rsidRDefault="00DB7B2C" w:rsidP="003A0DDC">
      <w:pPr>
        <w:ind w:left="1440"/>
      </w:pPr>
    </w:p>
    <w:p w14:paraId="4FF243C9" w14:textId="42A660E9" w:rsidR="00DB7B2C" w:rsidRPr="00850978" w:rsidRDefault="00DB7B2C" w:rsidP="00DB7B2C">
      <w:pPr>
        <w:ind w:left="1440"/>
        <w:rPr>
          <w:b/>
          <w:u w:val="single"/>
        </w:rPr>
      </w:pPr>
      <w:r w:rsidRPr="52FD2018">
        <w:rPr>
          <w:b/>
          <w:u w:val="single"/>
        </w:rPr>
        <w:t xml:space="preserve">If a California Tribal Organization </w:t>
      </w:r>
      <w:r w:rsidR="00E9729F">
        <w:rPr>
          <w:b/>
          <w:u w:val="single"/>
        </w:rPr>
        <w:t xml:space="preserve">(Tribal Organization) </w:t>
      </w:r>
      <w:r w:rsidR="00836591">
        <w:rPr>
          <w:b/>
          <w:u w:val="single"/>
        </w:rPr>
        <w:t>serving</w:t>
      </w:r>
      <w:r w:rsidRPr="52FD2018">
        <w:rPr>
          <w:b/>
          <w:u w:val="single"/>
        </w:rPr>
        <w:t xml:space="preserve"> a California Native American Tribe (Trib</w:t>
      </w:r>
      <w:r w:rsidR="00E9729F">
        <w:rPr>
          <w:b/>
          <w:u w:val="single"/>
        </w:rPr>
        <w:t>e</w:t>
      </w:r>
      <w:r w:rsidRPr="52FD2018">
        <w:rPr>
          <w:b/>
          <w:u w:val="single"/>
        </w:rPr>
        <w:t xml:space="preserve">) with sovereign immunity is listed as a proposed awardee in the Notice of Proposed Awards (NOPA), before bringing the proposed award to a Business Meeting, CEC staff must receive (a) resolution(s) or other authorizing document(s) by the governing body of the </w:t>
      </w:r>
      <w:r w:rsidR="004409A6" w:rsidRPr="52FD2018">
        <w:rPr>
          <w:b/>
          <w:u w:val="single"/>
        </w:rPr>
        <w:t xml:space="preserve">Tribe or </w:t>
      </w:r>
      <w:r w:rsidRPr="52FD2018">
        <w:rPr>
          <w:b/>
          <w:u w:val="single"/>
        </w:rPr>
        <w:t>Tribal Organization which:</w:t>
      </w:r>
    </w:p>
    <w:p w14:paraId="0A082E7A" w14:textId="77777777" w:rsidR="00CF010A" w:rsidRPr="00850978" w:rsidRDefault="00CF010A" w:rsidP="00DB7B2C">
      <w:pPr>
        <w:ind w:left="1440"/>
        <w:rPr>
          <w:b/>
          <w:bCs/>
          <w:szCs w:val="24"/>
          <w:u w:val="single"/>
        </w:rPr>
      </w:pPr>
    </w:p>
    <w:p w14:paraId="1C1F54F5" w14:textId="63041157" w:rsidR="00DB7B2C" w:rsidRPr="00850978" w:rsidRDefault="00DB7B2C" w:rsidP="00A756D1">
      <w:pPr>
        <w:pStyle w:val="ListParagraph"/>
        <w:numPr>
          <w:ilvl w:val="2"/>
          <w:numId w:val="18"/>
        </w:numPr>
        <w:spacing w:before="60" w:after="60"/>
        <w:ind w:left="2160"/>
        <w:rPr>
          <w:b/>
          <w:bCs/>
          <w:szCs w:val="24"/>
          <w:u w:val="single"/>
        </w:rPr>
      </w:pPr>
      <w:r w:rsidRPr="00850978">
        <w:rPr>
          <w:b/>
          <w:bCs/>
          <w:szCs w:val="24"/>
          <w:u w:val="single"/>
        </w:rPr>
        <w:t xml:space="preserve">Authorizes the </w:t>
      </w:r>
      <w:r w:rsidR="004409A6">
        <w:rPr>
          <w:b/>
          <w:bCs/>
          <w:szCs w:val="24"/>
          <w:u w:val="single"/>
        </w:rPr>
        <w:t xml:space="preserve">Tribe or </w:t>
      </w:r>
      <w:r w:rsidRPr="00850978">
        <w:rPr>
          <w:b/>
          <w:bCs/>
          <w:szCs w:val="24"/>
          <w:u w:val="single"/>
        </w:rPr>
        <w:t xml:space="preserve">Tribal Organization to enter into the proposed agreement, including accepting the </w:t>
      </w:r>
      <w:r w:rsidR="007F101E" w:rsidRPr="00B62501">
        <w:rPr>
          <w:b/>
          <w:bCs/>
          <w:szCs w:val="24"/>
          <w:u w:val="single"/>
        </w:rPr>
        <w:t>Special Terms and Conditions for California Tribal Organizations Serving California Native American Tribes with Sovereign Immunity</w:t>
      </w:r>
      <w:r w:rsidR="004B3A97">
        <w:rPr>
          <w:b/>
          <w:bCs/>
          <w:szCs w:val="24"/>
          <w:u w:val="single"/>
        </w:rPr>
        <w:t xml:space="preserve"> (Attachment 18)</w:t>
      </w:r>
      <w:r w:rsidRPr="00B62501">
        <w:rPr>
          <w:b/>
          <w:bCs/>
          <w:szCs w:val="24"/>
          <w:u w:val="single"/>
        </w:rPr>
        <w:t>,</w:t>
      </w:r>
      <w:r w:rsidRPr="00850978">
        <w:rPr>
          <w:b/>
          <w:bCs/>
          <w:szCs w:val="24"/>
          <w:u w:val="single"/>
        </w:rPr>
        <w:t xml:space="preserve"> including the Limited Waiver of Sovereign Immunity and Consent to Jurisdiction; and</w:t>
      </w:r>
    </w:p>
    <w:p w14:paraId="790AF3CC" w14:textId="28FB76B7" w:rsidR="00DB7B2C" w:rsidRPr="00850978" w:rsidRDefault="00DB7B2C" w:rsidP="00A756D1">
      <w:pPr>
        <w:pStyle w:val="ListParagraph"/>
        <w:numPr>
          <w:ilvl w:val="2"/>
          <w:numId w:val="18"/>
        </w:numPr>
        <w:spacing w:before="60" w:after="60"/>
        <w:ind w:left="2160"/>
        <w:rPr>
          <w:b/>
          <w:bCs/>
          <w:szCs w:val="24"/>
          <w:u w:val="single"/>
        </w:rPr>
      </w:pPr>
      <w:r w:rsidRPr="00850978">
        <w:rPr>
          <w:b/>
          <w:bCs/>
          <w:szCs w:val="24"/>
          <w:u w:val="single"/>
        </w:rPr>
        <w:t xml:space="preserve">Approves a limited waiver of tribal sovereign immunity, to the extent that any such sovereign immunity exists, for any and all </w:t>
      </w:r>
      <w:r w:rsidRPr="00850978">
        <w:rPr>
          <w:b/>
          <w:bCs/>
          <w:szCs w:val="24"/>
          <w:u w:val="single"/>
        </w:rPr>
        <w:lastRenderedPageBreak/>
        <w:t>claims by the CEC that may arise relating to this Agreement and any remedies therefore under the laws of the state of California and the laws of the United States of America; and</w:t>
      </w:r>
    </w:p>
    <w:p w14:paraId="3437CD2D" w14:textId="357F6C2B" w:rsidR="00DB7B2C" w:rsidRPr="00850978" w:rsidRDefault="00DB7B2C" w:rsidP="00A756D1">
      <w:pPr>
        <w:pStyle w:val="ListParagraph"/>
        <w:numPr>
          <w:ilvl w:val="2"/>
          <w:numId w:val="18"/>
        </w:numPr>
        <w:spacing w:before="60" w:after="60"/>
        <w:ind w:left="2160"/>
        <w:rPr>
          <w:b/>
          <w:bCs/>
          <w:szCs w:val="24"/>
          <w:u w:val="single"/>
        </w:rPr>
      </w:pPr>
      <w:r w:rsidRPr="00850978">
        <w:rPr>
          <w:b/>
          <w:bCs/>
          <w:szCs w:val="24"/>
          <w:u w:val="single"/>
        </w:rPr>
        <w:t xml:space="preserve">Consents to personal jurisdiction over the </w:t>
      </w:r>
      <w:r w:rsidR="004B3A97">
        <w:rPr>
          <w:b/>
          <w:bCs/>
          <w:szCs w:val="24"/>
          <w:u w:val="single"/>
        </w:rPr>
        <w:t xml:space="preserve">Tribe or </w:t>
      </w:r>
      <w:r w:rsidRPr="00850978">
        <w:rPr>
          <w:b/>
          <w:bCs/>
          <w:szCs w:val="24"/>
          <w:u w:val="single"/>
        </w:rPr>
        <w:t xml:space="preserve">Tribal Organization, and consents to venue in any court of the State of California and any federal court sitting in the State of California; and waives any and all claim that the </w:t>
      </w:r>
      <w:r w:rsidR="00F54F94">
        <w:rPr>
          <w:b/>
          <w:bCs/>
          <w:szCs w:val="24"/>
          <w:u w:val="single"/>
        </w:rPr>
        <w:t xml:space="preserve">Tribe or </w:t>
      </w:r>
      <w:r w:rsidRPr="00850978">
        <w:rPr>
          <w:b/>
          <w:bCs/>
          <w:szCs w:val="24"/>
          <w:u w:val="single"/>
        </w:rPr>
        <w:t>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w:t>
      </w:r>
    </w:p>
    <w:p w14:paraId="5BC6F8C2" w14:textId="002AC90E" w:rsidR="00DB7B2C" w:rsidRPr="00850978" w:rsidRDefault="00DB7B2C" w:rsidP="00A756D1">
      <w:pPr>
        <w:pStyle w:val="ListParagraph"/>
        <w:numPr>
          <w:ilvl w:val="2"/>
          <w:numId w:val="18"/>
        </w:numPr>
        <w:spacing w:before="60" w:after="60"/>
        <w:ind w:left="2160"/>
        <w:rPr>
          <w:b/>
          <w:bCs/>
          <w:szCs w:val="24"/>
          <w:u w:val="single"/>
        </w:rPr>
      </w:pPr>
      <w:r w:rsidRPr="00850978">
        <w:rPr>
          <w:b/>
          <w:bCs/>
          <w:szCs w:val="24"/>
          <w:u w:val="single"/>
        </w:rPr>
        <w:t>Delegates authority to execute the proposed agreement to an appropriate individual.</w:t>
      </w:r>
    </w:p>
    <w:p w14:paraId="7B421A44" w14:textId="4C71C20D" w:rsidR="00DB7B2C" w:rsidRPr="00850978" w:rsidRDefault="00DB7B2C" w:rsidP="00A756D1">
      <w:pPr>
        <w:ind w:left="2160" w:hanging="720"/>
        <w:rPr>
          <w:b/>
          <w:bCs/>
          <w:szCs w:val="24"/>
          <w:u w:val="single"/>
        </w:rPr>
      </w:pPr>
    </w:p>
    <w:p w14:paraId="31F6A335" w14:textId="755BBD61" w:rsidR="00DB7B2C" w:rsidRPr="00850978" w:rsidRDefault="00DB7B2C" w:rsidP="00DB7B2C">
      <w:pPr>
        <w:ind w:left="1440"/>
        <w:rPr>
          <w:b/>
          <w:bCs/>
          <w:szCs w:val="24"/>
          <w:u w:val="single"/>
        </w:rPr>
      </w:pPr>
      <w:r w:rsidRPr="00850978">
        <w:rPr>
          <w:b/>
          <w:bCs/>
          <w:szCs w:val="24"/>
          <w:u w:val="single"/>
        </w:rPr>
        <w:t>The above requirements may be provided in one or more documents. The document(s) will be included as an exhibit to the resulting grant agreement.</w:t>
      </w:r>
    </w:p>
    <w:p w14:paraId="60928F20" w14:textId="77777777" w:rsidR="00CA1509" w:rsidRPr="00850978" w:rsidRDefault="00CA1509" w:rsidP="00DB7B2C">
      <w:pPr>
        <w:ind w:left="1440"/>
        <w:rPr>
          <w:b/>
          <w:bCs/>
          <w:szCs w:val="24"/>
          <w:u w:val="single"/>
        </w:rPr>
      </w:pPr>
    </w:p>
    <w:p w14:paraId="5DDFEF82" w14:textId="43F5F1CE" w:rsidR="00DB7B2C" w:rsidRPr="00850978" w:rsidRDefault="00DB7B2C" w:rsidP="00DB7B2C">
      <w:pPr>
        <w:ind w:left="1440"/>
        <w:rPr>
          <w:b/>
          <w:u w:val="single"/>
        </w:rPr>
      </w:pPr>
      <w:r w:rsidRPr="3673B454">
        <w:rPr>
          <w:b/>
          <w:u w:val="single"/>
        </w:rPr>
        <w:t xml:space="preserve">Delay in award. Any delay in the </w:t>
      </w:r>
      <w:r w:rsidR="00F54F94" w:rsidRPr="3673B454">
        <w:rPr>
          <w:b/>
          <w:u w:val="single"/>
        </w:rPr>
        <w:t xml:space="preserve">Tribe or </w:t>
      </w:r>
      <w:r w:rsidRPr="3673B454">
        <w:rPr>
          <w:b/>
          <w:u w:val="single"/>
        </w:rPr>
        <w:t>Tribal Organization’s ability to provide the documentation specified in sections (</w:t>
      </w:r>
      <w:proofErr w:type="spellStart"/>
      <w:r w:rsidRPr="3673B454">
        <w:rPr>
          <w:b/>
          <w:u w:val="single"/>
        </w:rPr>
        <w:t>i</w:t>
      </w:r>
      <w:proofErr w:type="spellEnd"/>
      <w:r w:rsidRPr="3673B454">
        <w:rPr>
          <w:b/>
          <w:u w:val="single"/>
        </w:rPr>
        <w:t xml:space="preserve">)-(iv) above may </w:t>
      </w:r>
      <w:proofErr w:type="spellStart"/>
      <w:r w:rsidR="3E93E9CC" w:rsidRPr="3673B454">
        <w:rPr>
          <w:b/>
          <w:bCs/>
          <w:u w:val="single"/>
        </w:rPr>
        <w:t>f</w:t>
      </w:r>
      <w:r w:rsidRPr="3673B454">
        <w:rPr>
          <w:b/>
          <w:bCs/>
          <w:u w:val="single"/>
        </w:rPr>
        <w:t>result</w:t>
      </w:r>
      <w:proofErr w:type="spellEnd"/>
      <w:r w:rsidRPr="3673B454">
        <w:rPr>
          <w:b/>
          <w:u w:val="single"/>
        </w:rPr>
        <w:t xml:space="preserve"> in delayed award of the grant agreement.</w:t>
      </w:r>
    </w:p>
    <w:p w14:paraId="443A3701" w14:textId="77777777" w:rsidR="00D651BF" w:rsidRPr="00850978" w:rsidRDefault="00D651BF" w:rsidP="00DB7B2C">
      <w:pPr>
        <w:ind w:left="1440"/>
        <w:rPr>
          <w:b/>
          <w:bCs/>
          <w:szCs w:val="24"/>
          <w:u w:val="single"/>
        </w:rPr>
      </w:pPr>
    </w:p>
    <w:p w14:paraId="5F12B114" w14:textId="56A2BFDB" w:rsidR="00DB7B2C" w:rsidRPr="00850978" w:rsidRDefault="00DB7B2C" w:rsidP="00850978">
      <w:pPr>
        <w:ind w:left="1440"/>
        <w:rPr>
          <w:b/>
          <w:bCs/>
          <w:szCs w:val="24"/>
          <w:u w:val="single"/>
        </w:rPr>
      </w:pPr>
      <w:r w:rsidRPr="00850978">
        <w:rPr>
          <w:b/>
          <w:bCs/>
          <w:szCs w:val="24"/>
          <w:u w:val="single"/>
        </w:rPr>
        <w:t>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w:t>
      </w:r>
      <w:proofErr w:type="spellStart"/>
      <w:r w:rsidRPr="00850978">
        <w:rPr>
          <w:b/>
          <w:bCs/>
          <w:szCs w:val="24"/>
          <w:u w:val="single"/>
        </w:rPr>
        <w:t>i</w:t>
      </w:r>
      <w:proofErr w:type="spellEnd"/>
      <w:r w:rsidRPr="00850978">
        <w:rPr>
          <w:b/>
          <w:bCs/>
          <w:szCs w:val="24"/>
          <w:u w:val="single"/>
        </w:rPr>
        <w:t>)-(iv)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642BED58" w14:textId="77777777" w:rsidR="007651F7" w:rsidRPr="009B5B23" w:rsidRDefault="007651F7" w:rsidP="00E04486">
      <w:pPr>
        <w:ind w:left="720"/>
        <w:rPr>
          <w:szCs w:val="22"/>
        </w:rPr>
      </w:pPr>
    </w:p>
    <w:p w14:paraId="043D2FA0" w14:textId="77777777" w:rsidR="00840576" w:rsidRPr="009B5B23" w:rsidRDefault="00840576" w:rsidP="00164AC5">
      <w:pPr>
        <w:numPr>
          <w:ilvl w:val="0"/>
          <w:numId w:val="16"/>
        </w:numPr>
        <w:ind w:left="1440" w:hanging="720"/>
        <w:jc w:val="both"/>
        <w:rPr>
          <w:b/>
          <w:szCs w:val="24"/>
        </w:rPr>
      </w:pPr>
      <w:r w:rsidRPr="009B5B23">
        <w:rPr>
          <w:b/>
          <w:szCs w:val="24"/>
        </w:rPr>
        <w:t>California Secretary of State Registration</w:t>
      </w:r>
    </w:p>
    <w:p w14:paraId="6B278F8C" w14:textId="6C812C59" w:rsidR="00236D70" w:rsidRDefault="00AE14D7" w:rsidP="00AE14D7">
      <w:pPr>
        <w:ind w:left="1440"/>
      </w:pPr>
      <w:r>
        <w:t xml:space="preserve">All corporations, limited liability companies (LLCs), limited partnerships (LPs) and limited liability partnerships (LLPs) </w:t>
      </w:r>
      <w:r w:rsidR="00794B88">
        <w:t xml:space="preserve">that conduct intrastate business in California </w:t>
      </w:r>
      <w:r>
        <w:t xml:space="preserve">are required to be registered and in good standing with the California Secretary of State prior to its project being recommended for approval at a </w:t>
      </w:r>
      <w:r w:rsidR="00EE2C04">
        <w:t xml:space="preserve">CEC </w:t>
      </w:r>
      <w:r>
        <w:t xml:space="preserve">Business Meeting. If not currently registered with the California Secretary of State, </w:t>
      </w:r>
      <w:r w:rsidR="004F5375">
        <w:t>A</w:t>
      </w:r>
      <w:r>
        <w:t>pplicants</w:t>
      </w:r>
      <w:r w:rsidR="00A7634E">
        <w:t xml:space="preserve"> and project team members (e.g.</w:t>
      </w:r>
      <w:r w:rsidR="00630BB2">
        <w:t>,</w:t>
      </w:r>
      <w:r w:rsidR="00A7634E">
        <w:t xml:space="preserve"> subrecipients and even match fund partners)</w:t>
      </w:r>
      <w:r>
        <w:t xml:space="preserve"> are encouraged to contact the Secretary of State’s Office as soon as possible </w:t>
      </w:r>
      <w:r>
        <w:lastRenderedPageBreak/>
        <w:t xml:space="preserve">to avoid potential delays in beginning the proposed project(s) (should the application be </w:t>
      </w:r>
      <w:r w:rsidR="00CC231C">
        <w:t>proposed for funding</w:t>
      </w:r>
      <w:r>
        <w:t xml:space="preserve">). </w:t>
      </w:r>
    </w:p>
    <w:p w14:paraId="0CE71238" w14:textId="3276137B" w:rsidR="035F2E26" w:rsidRDefault="035F2E26" w:rsidP="035F2E26">
      <w:pPr>
        <w:ind w:left="1440"/>
        <w:rPr>
          <w:szCs w:val="24"/>
        </w:rPr>
      </w:pPr>
    </w:p>
    <w:p w14:paraId="3A58BAC2" w14:textId="67BAD40F" w:rsidR="00AE14D7" w:rsidRPr="009B5B23" w:rsidRDefault="00AE14D7" w:rsidP="00AE14D7">
      <w:pPr>
        <w:ind w:left="1440"/>
        <w:rPr>
          <w:szCs w:val="24"/>
        </w:rPr>
      </w:pPr>
      <w:r w:rsidRPr="3882B55A">
        <w:rPr>
          <w:szCs w:val="24"/>
        </w:rPr>
        <w:t xml:space="preserve">For more information, contact the Secretary of State’s Office via </w:t>
      </w:r>
      <w:r w:rsidR="002E3506" w:rsidRPr="3882B55A">
        <w:rPr>
          <w:rStyle w:val="Hyperlink"/>
          <w:szCs w:val="24"/>
        </w:rPr>
        <w:t>the Secretary of State Office’s website</w:t>
      </w:r>
      <w:r w:rsidRPr="3882B55A">
        <w:rPr>
          <w:szCs w:val="24"/>
        </w:rPr>
        <w:t xml:space="preserve"> at </w:t>
      </w:r>
      <w:r w:rsidR="00037199" w:rsidRPr="3882B55A">
        <w:rPr>
          <w:szCs w:val="24"/>
        </w:rPr>
        <w:t>www.sos.ca.gov</w:t>
      </w:r>
      <w:r w:rsidRPr="3882B55A">
        <w:rPr>
          <w:szCs w:val="24"/>
        </w:rPr>
        <w:t xml:space="preserve">. Sole proprietors using a fictitious business name must be registered with the appropriate county and provide evidence of registration to </w:t>
      </w:r>
      <w:r w:rsidR="00EE2C04" w:rsidRPr="3882B55A">
        <w:rPr>
          <w:szCs w:val="24"/>
        </w:rPr>
        <w:t>CEC</w:t>
      </w:r>
      <w:r w:rsidRPr="3882B55A">
        <w:rPr>
          <w:szCs w:val="24"/>
        </w:rPr>
        <w:t xml:space="preserve"> prior to their project being recommended for approval at </w:t>
      </w:r>
      <w:r w:rsidR="00EE2C04" w:rsidRPr="3882B55A">
        <w:rPr>
          <w:szCs w:val="24"/>
        </w:rPr>
        <w:t xml:space="preserve">a CEC </w:t>
      </w:r>
      <w:r w:rsidRPr="3882B55A">
        <w:rPr>
          <w:szCs w:val="24"/>
        </w:rPr>
        <w:t>Business Meeting.</w:t>
      </w:r>
    </w:p>
    <w:p w14:paraId="79016FB4" w14:textId="4AD322A5" w:rsidR="00393BF4" w:rsidRDefault="00393BF4"/>
    <w:p w14:paraId="47273451" w14:textId="77777777" w:rsidR="00A53D28" w:rsidRPr="004865B8" w:rsidRDefault="00840576" w:rsidP="00164AC5">
      <w:pPr>
        <w:pStyle w:val="Heading2"/>
        <w:keepNext w:val="0"/>
        <w:numPr>
          <w:ilvl w:val="0"/>
          <w:numId w:val="12"/>
        </w:numPr>
        <w:spacing w:before="0"/>
        <w:ind w:hanging="720"/>
        <w:rPr>
          <w:lang w:val="en-US"/>
        </w:rPr>
      </w:pPr>
      <w:bookmarkStart w:id="46" w:name="_Toc184829626"/>
      <w:r w:rsidRPr="004865B8">
        <w:rPr>
          <w:lang w:val="en-US"/>
        </w:rPr>
        <w:t>Project Requirements</w:t>
      </w:r>
      <w:bookmarkEnd w:id="46"/>
    </w:p>
    <w:p w14:paraId="5B86D70C" w14:textId="291BBB04" w:rsidR="00CB76AA" w:rsidRDefault="007F5234" w:rsidP="007F5234">
      <w:pPr>
        <w:pStyle w:val="ListParagraph"/>
      </w:pPr>
      <w:r w:rsidRPr="00752BAE">
        <w:rPr>
          <w:szCs w:val="24"/>
        </w:rPr>
        <w:t xml:space="preserve">Each application must </w:t>
      </w:r>
      <w:r w:rsidR="001B68B7" w:rsidRPr="00752BAE">
        <w:rPr>
          <w:szCs w:val="24"/>
        </w:rPr>
        <w:t xml:space="preserve">propose to install EV charging stations </w:t>
      </w:r>
      <w:r w:rsidR="006E5167" w:rsidRPr="00752BAE">
        <w:rPr>
          <w:szCs w:val="24"/>
        </w:rPr>
        <w:t>along</w:t>
      </w:r>
      <w:r w:rsidRPr="00752BAE">
        <w:rPr>
          <w:szCs w:val="24"/>
        </w:rPr>
        <w:t xml:space="preserve"> one of the 51 identified corridor segments listed in Table 2. An Applicant may submit</w:t>
      </w:r>
      <w:r w:rsidR="00A31192">
        <w:rPr>
          <w:szCs w:val="24"/>
        </w:rPr>
        <w:t xml:space="preserve"> only</w:t>
      </w:r>
      <w:r w:rsidRPr="00752BAE">
        <w:rPr>
          <w:szCs w:val="24"/>
        </w:rPr>
        <w:t xml:space="preserve"> one application per corridor </w:t>
      </w:r>
      <w:r w:rsidR="001B68B7" w:rsidRPr="00752BAE">
        <w:rPr>
          <w:szCs w:val="24"/>
        </w:rPr>
        <w:t>segment</w:t>
      </w:r>
      <w:r w:rsidRPr="00752BAE">
        <w:rPr>
          <w:szCs w:val="24"/>
        </w:rPr>
        <w:t xml:space="preserve">. Applicants must propose to deploy at least the minimum number of </w:t>
      </w:r>
      <w:r w:rsidR="0088076F" w:rsidRPr="00752BAE">
        <w:rPr>
          <w:szCs w:val="24"/>
        </w:rPr>
        <w:t xml:space="preserve">EV </w:t>
      </w:r>
      <w:r w:rsidRPr="00752BAE">
        <w:rPr>
          <w:szCs w:val="24"/>
        </w:rPr>
        <w:t xml:space="preserve">charging stations and </w:t>
      </w:r>
      <w:r w:rsidR="001B68B7" w:rsidRPr="00752BAE">
        <w:rPr>
          <w:szCs w:val="24"/>
        </w:rPr>
        <w:t>minimum number</w:t>
      </w:r>
      <w:r w:rsidRPr="00752BAE">
        <w:rPr>
          <w:szCs w:val="24"/>
        </w:rPr>
        <w:t xml:space="preserve"> of new </w:t>
      </w:r>
      <w:r w:rsidR="0088076F" w:rsidRPr="00752BAE">
        <w:rPr>
          <w:szCs w:val="24"/>
        </w:rPr>
        <w:t xml:space="preserve">CCS </w:t>
      </w:r>
      <w:r w:rsidRPr="00752BAE">
        <w:rPr>
          <w:szCs w:val="24"/>
        </w:rPr>
        <w:t xml:space="preserve">charging ports for </w:t>
      </w:r>
      <w:r w:rsidR="000803F9" w:rsidRPr="00752BAE">
        <w:rPr>
          <w:szCs w:val="24"/>
        </w:rPr>
        <w:t xml:space="preserve">the </w:t>
      </w:r>
      <w:r w:rsidRPr="00752BAE">
        <w:rPr>
          <w:szCs w:val="24"/>
        </w:rPr>
        <w:t>corridor segment</w:t>
      </w:r>
      <w:r w:rsidR="000803F9" w:rsidRPr="00752BAE">
        <w:rPr>
          <w:szCs w:val="24"/>
        </w:rPr>
        <w:t xml:space="preserve"> they are applying for</w:t>
      </w:r>
      <w:r w:rsidRPr="00752BAE">
        <w:rPr>
          <w:szCs w:val="24"/>
        </w:rPr>
        <w:t xml:space="preserve">, as detailed in Table 2 below. </w:t>
      </w:r>
      <w:bookmarkStart w:id="47" w:name="_Hlk188615529"/>
      <w:r w:rsidR="005A7644" w:rsidRPr="4D6DB4BC">
        <w:rPr>
          <w:rFonts w:ascii="Tahoma" w:hAnsi="Tahoma" w:cs="Tahoma"/>
        </w:rPr>
        <w:t xml:space="preserve">The </w:t>
      </w:r>
      <w:hyperlink r:id="rId55">
        <w:r w:rsidR="005A7644" w:rsidRPr="4D6DB4BC">
          <w:rPr>
            <w:rStyle w:val="Hyperlink"/>
          </w:rPr>
          <w:t>California’s National Electric Vehicle Infrastructure Funding Program Map</w:t>
        </w:r>
      </w:hyperlink>
      <w:r w:rsidR="005A7644">
        <w:t xml:space="preserve"> at https://experience.arcgis.com/experience/135c0da4b70f4717b4664ad2e427d2b</w:t>
      </w:r>
      <w:r w:rsidR="00E6065D" w:rsidRPr="00E6065D">
        <w:rPr>
          <w:b/>
          <w:bCs/>
          <w:u w:val="single"/>
        </w:rPr>
        <w:t>c</w:t>
      </w:r>
      <w:r w:rsidR="005A7644">
        <w:t xml:space="preserve"> </w:t>
      </w:r>
      <w:bookmarkEnd w:id="47"/>
      <w:r w:rsidR="005A7644">
        <w:t>is also available for reference.</w:t>
      </w:r>
    </w:p>
    <w:p w14:paraId="365E3599" w14:textId="77777777" w:rsidR="00522AAC" w:rsidRDefault="00522AAC" w:rsidP="007F5234">
      <w:pPr>
        <w:pStyle w:val="ListParagraph"/>
      </w:pPr>
    </w:p>
    <w:p w14:paraId="31458955" w14:textId="77777777" w:rsidR="00522AAC" w:rsidRPr="00365A54" w:rsidRDefault="00522AAC" w:rsidP="00522AAC">
      <w:pPr>
        <w:ind w:left="720"/>
        <w:rPr>
          <w:szCs w:val="24"/>
          <w:highlight w:val="yellow"/>
        </w:rPr>
      </w:pPr>
      <w:r w:rsidRPr="00365A54">
        <w:rPr>
          <w:szCs w:val="24"/>
        </w:rPr>
        <w:t>A project that receives incentive funding from another CEC grant funding opportunity (GFO) or block grant incentive project is not eligible for this GFO.</w:t>
      </w:r>
    </w:p>
    <w:p w14:paraId="0C704C05" w14:textId="77777777" w:rsidR="00522AAC" w:rsidRPr="00752BAE" w:rsidRDefault="00522AAC" w:rsidP="007F5234">
      <w:pPr>
        <w:pStyle w:val="ListParagraph"/>
        <w:rPr>
          <w:szCs w:val="24"/>
        </w:rPr>
      </w:pPr>
    </w:p>
    <w:p w14:paraId="6F932876" w14:textId="77777777" w:rsidR="00CB76AA" w:rsidRPr="00752BAE" w:rsidRDefault="00CB76AA" w:rsidP="007F5234">
      <w:pPr>
        <w:pStyle w:val="ListParagraph"/>
        <w:rPr>
          <w:szCs w:val="24"/>
        </w:rPr>
      </w:pPr>
    </w:p>
    <w:p w14:paraId="54D5C942" w14:textId="77777777" w:rsidR="0062656C" w:rsidRDefault="0062656C" w:rsidP="007F5234">
      <w:pPr>
        <w:pStyle w:val="ListParagraph"/>
        <w:rPr>
          <w:szCs w:val="24"/>
        </w:rPr>
        <w:sectPr w:rsidR="0062656C" w:rsidSect="007B0296">
          <w:headerReference w:type="even" r:id="rId56"/>
          <w:headerReference w:type="default" r:id="rId57"/>
          <w:footerReference w:type="default" r:id="rId58"/>
          <w:headerReference w:type="first" r:id="rId59"/>
          <w:footerReference w:type="first" r:id="rId60"/>
          <w:pgSz w:w="12240" w:h="15840" w:code="1"/>
          <w:pgMar w:top="979" w:right="1440" w:bottom="1260" w:left="1440" w:header="720" w:footer="720" w:gutter="0"/>
          <w:cols w:space="720"/>
          <w:docGrid w:linePitch="326"/>
        </w:sectPr>
      </w:pPr>
    </w:p>
    <w:p w14:paraId="1AABDA6E" w14:textId="719B4872" w:rsidR="00CB76AA" w:rsidRDefault="0062656C" w:rsidP="00DA0DB1">
      <w:pPr>
        <w:pStyle w:val="Caption"/>
        <w:keepNext/>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DA0DB1">
        <w:t>Project Corridor Segments</w:t>
      </w:r>
    </w:p>
    <w:tbl>
      <w:tblPr>
        <w:tblStyle w:val="TableGrid"/>
        <w:tblW w:w="14125" w:type="dxa"/>
        <w:tblLook w:val="04A0" w:firstRow="1" w:lastRow="0" w:firstColumn="1" w:lastColumn="0" w:noHBand="0" w:noVBand="1"/>
      </w:tblPr>
      <w:tblGrid>
        <w:gridCol w:w="1132"/>
        <w:gridCol w:w="1282"/>
        <w:gridCol w:w="3085"/>
        <w:gridCol w:w="1246"/>
        <w:gridCol w:w="1182"/>
        <w:gridCol w:w="4992"/>
        <w:gridCol w:w="1206"/>
      </w:tblGrid>
      <w:tr w:rsidR="0062656C" w14:paraId="7B7D67FE" w14:textId="77777777">
        <w:trPr>
          <w:cantSplit/>
          <w:tblHeader/>
        </w:trPr>
        <w:tc>
          <w:tcPr>
            <w:tcW w:w="1133" w:type="dxa"/>
            <w:vAlign w:val="bottom"/>
          </w:tcPr>
          <w:p w14:paraId="0455B5D4" w14:textId="77777777" w:rsidR="0062656C" w:rsidRPr="008C4DD8" w:rsidRDefault="0062656C">
            <w:pPr>
              <w:spacing w:before="60" w:after="60"/>
              <w:jc w:val="center"/>
              <w:rPr>
                <w:b/>
                <w:sz w:val="22"/>
              </w:rPr>
            </w:pPr>
            <w:r w:rsidRPr="1C1BD348">
              <w:rPr>
                <w:b/>
                <w:sz w:val="22"/>
              </w:rPr>
              <w:t>Corridor Group</w:t>
            </w:r>
          </w:p>
        </w:tc>
        <w:tc>
          <w:tcPr>
            <w:tcW w:w="1287" w:type="dxa"/>
            <w:vAlign w:val="bottom"/>
          </w:tcPr>
          <w:p w14:paraId="672D4A33" w14:textId="77777777" w:rsidR="0062656C" w:rsidRPr="008C4DD8" w:rsidRDefault="0062656C">
            <w:pPr>
              <w:spacing w:before="60" w:after="60"/>
              <w:jc w:val="center"/>
              <w:rPr>
                <w:b/>
                <w:sz w:val="22"/>
              </w:rPr>
            </w:pPr>
            <w:r w:rsidRPr="1C1BD348">
              <w:rPr>
                <w:b/>
                <w:sz w:val="22"/>
              </w:rPr>
              <w:t>Corridor Segment</w:t>
            </w:r>
          </w:p>
        </w:tc>
        <w:tc>
          <w:tcPr>
            <w:tcW w:w="3142" w:type="dxa"/>
            <w:vAlign w:val="bottom"/>
          </w:tcPr>
          <w:p w14:paraId="4F846B9B" w14:textId="77777777" w:rsidR="0062656C" w:rsidRPr="008C4DD8" w:rsidRDefault="0062656C">
            <w:pPr>
              <w:spacing w:before="60" w:after="60"/>
              <w:jc w:val="center"/>
              <w:rPr>
                <w:b/>
                <w:sz w:val="22"/>
              </w:rPr>
            </w:pPr>
            <w:r w:rsidRPr="1C1BD348">
              <w:rPr>
                <w:b/>
                <w:sz w:val="22"/>
              </w:rPr>
              <w:t>Description</w:t>
            </w:r>
          </w:p>
        </w:tc>
        <w:tc>
          <w:tcPr>
            <w:tcW w:w="1248" w:type="dxa"/>
            <w:vAlign w:val="bottom"/>
          </w:tcPr>
          <w:p w14:paraId="2620F46C" w14:textId="77777777" w:rsidR="0062656C" w:rsidRPr="008C4DD8" w:rsidRDefault="0062656C">
            <w:pPr>
              <w:spacing w:before="60" w:after="60"/>
              <w:jc w:val="center"/>
              <w:rPr>
                <w:b/>
                <w:sz w:val="22"/>
              </w:rPr>
            </w:pPr>
            <w:r w:rsidRPr="1C1BD348">
              <w:rPr>
                <w:b/>
                <w:sz w:val="22"/>
              </w:rPr>
              <w:t>Minimum # of EV Charging Stations</w:t>
            </w:r>
          </w:p>
        </w:tc>
        <w:tc>
          <w:tcPr>
            <w:tcW w:w="1015" w:type="dxa"/>
            <w:vAlign w:val="bottom"/>
          </w:tcPr>
          <w:p w14:paraId="594DA847" w14:textId="77777777" w:rsidR="0062656C" w:rsidRPr="008C4DD8" w:rsidRDefault="0062656C">
            <w:pPr>
              <w:spacing w:before="60" w:after="60"/>
              <w:jc w:val="center"/>
              <w:rPr>
                <w:b/>
                <w:sz w:val="22"/>
              </w:rPr>
            </w:pPr>
            <w:r w:rsidRPr="1C1BD348">
              <w:rPr>
                <w:b/>
                <w:sz w:val="22"/>
              </w:rPr>
              <w:t>Minimum # of New CCS Charging Ports</w:t>
            </w:r>
          </w:p>
        </w:tc>
        <w:tc>
          <w:tcPr>
            <w:tcW w:w="5093" w:type="dxa"/>
            <w:vAlign w:val="bottom"/>
          </w:tcPr>
          <w:p w14:paraId="133D8BDB" w14:textId="77777777" w:rsidR="0062656C" w:rsidRPr="008C4DD8" w:rsidRDefault="0062656C">
            <w:pPr>
              <w:spacing w:before="60" w:after="60"/>
              <w:jc w:val="center"/>
              <w:rPr>
                <w:b/>
                <w:sz w:val="22"/>
              </w:rPr>
            </w:pPr>
            <w:r w:rsidRPr="1C1BD348">
              <w:rPr>
                <w:b/>
                <w:sz w:val="22"/>
              </w:rPr>
              <w:t xml:space="preserve">Needed </w:t>
            </w:r>
            <w:r w:rsidRPr="1C1BD348">
              <w:rPr>
                <w:b/>
                <w:bCs/>
                <w:sz w:val="22"/>
              </w:rPr>
              <w:t>Locations</w:t>
            </w:r>
          </w:p>
        </w:tc>
        <w:tc>
          <w:tcPr>
            <w:tcW w:w="1207" w:type="dxa"/>
            <w:vAlign w:val="bottom"/>
          </w:tcPr>
          <w:p w14:paraId="3B2AFECA" w14:textId="77777777" w:rsidR="0062656C" w:rsidRPr="008C4DD8" w:rsidRDefault="0062656C">
            <w:pPr>
              <w:spacing w:before="60" w:after="60"/>
              <w:jc w:val="center"/>
              <w:rPr>
                <w:b/>
                <w:sz w:val="22"/>
              </w:rPr>
            </w:pPr>
            <w:r w:rsidRPr="1C1BD348">
              <w:rPr>
                <w:b/>
                <w:sz w:val="22"/>
              </w:rPr>
              <w:t>Required Match</w:t>
            </w:r>
          </w:p>
        </w:tc>
      </w:tr>
      <w:tr w:rsidR="0062656C" w14:paraId="113F1282" w14:textId="77777777">
        <w:trPr>
          <w:cantSplit/>
        </w:trPr>
        <w:tc>
          <w:tcPr>
            <w:tcW w:w="1133" w:type="dxa"/>
            <w:vAlign w:val="center"/>
          </w:tcPr>
          <w:p w14:paraId="150B6899" w14:textId="77777777" w:rsidR="0062656C" w:rsidRDefault="0062656C">
            <w:pPr>
              <w:spacing w:before="60" w:after="60"/>
              <w:jc w:val="center"/>
            </w:pPr>
            <w:r>
              <w:t>1</w:t>
            </w:r>
          </w:p>
        </w:tc>
        <w:tc>
          <w:tcPr>
            <w:tcW w:w="1287" w:type="dxa"/>
            <w:vAlign w:val="center"/>
          </w:tcPr>
          <w:p w14:paraId="71B869A8" w14:textId="35FFC379" w:rsidR="00A32B41" w:rsidRPr="00A32B41" w:rsidRDefault="0062656C" w:rsidP="008C2668">
            <w:pPr>
              <w:spacing w:before="60" w:after="60"/>
              <w:jc w:val="center"/>
            </w:pPr>
            <w:r>
              <w:t>A</w:t>
            </w:r>
          </w:p>
        </w:tc>
        <w:tc>
          <w:tcPr>
            <w:tcW w:w="3142" w:type="dxa"/>
            <w:vAlign w:val="center"/>
          </w:tcPr>
          <w:p w14:paraId="4ABA3516" w14:textId="77777777" w:rsidR="0062656C" w:rsidRDefault="0062656C">
            <w:pPr>
              <w:spacing w:before="60" w:after="60"/>
            </w:pPr>
            <w:r w:rsidRPr="00FF32F2">
              <w:t>I-5: Sacramento to Oregon</w:t>
            </w:r>
            <w:r>
              <w:t>*</w:t>
            </w:r>
          </w:p>
        </w:tc>
        <w:tc>
          <w:tcPr>
            <w:tcW w:w="1248" w:type="dxa"/>
            <w:vAlign w:val="center"/>
          </w:tcPr>
          <w:p w14:paraId="64936BED" w14:textId="77777777" w:rsidR="0062656C" w:rsidRDefault="0062656C">
            <w:pPr>
              <w:spacing w:before="60" w:after="60"/>
              <w:jc w:val="center"/>
            </w:pPr>
            <w:r>
              <w:t>6</w:t>
            </w:r>
          </w:p>
        </w:tc>
        <w:tc>
          <w:tcPr>
            <w:tcW w:w="1015" w:type="dxa"/>
            <w:vAlign w:val="center"/>
          </w:tcPr>
          <w:p w14:paraId="06A04243" w14:textId="77777777" w:rsidR="0062656C" w:rsidRDefault="0062656C">
            <w:pPr>
              <w:spacing w:before="60" w:after="60"/>
              <w:jc w:val="center"/>
            </w:pPr>
            <w:r>
              <w:t>32</w:t>
            </w:r>
          </w:p>
        </w:tc>
        <w:tc>
          <w:tcPr>
            <w:tcW w:w="5093" w:type="dxa"/>
            <w:vAlign w:val="center"/>
          </w:tcPr>
          <w:p w14:paraId="4D1AABAD" w14:textId="77777777" w:rsidR="0062656C" w:rsidRDefault="0062656C" w:rsidP="00164AC5">
            <w:pPr>
              <w:pStyle w:val="ListParagraph"/>
              <w:numPr>
                <w:ilvl w:val="0"/>
                <w:numId w:val="46"/>
              </w:numPr>
              <w:spacing w:before="60" w:after="60"/>
              <w:ind w:left="316" w:hanging="316"/>
              <w:contextualSpacing/>
            </w:pPr>
            <w:r>
              <w:t>One station along I-5 within 40 miles north of the Elk Grove Blvd junction (Sacramento).</w:t>
            </w:r>
          </w:p>
          <w:p w14:paraId="1338F38D" w14:textId="77777777" w:rsidR="0062656C" w:rsidRDefault="0062656C" w:rsidP="00164AC5">
            <w:pPr>
              <w:pStyle w:val="ListParagraph"/>
              <w:numPr>
                <w:ilvl w:val="0"/>
                <w:numId w:val="46"/>
              </w:numPr>
              <w:spacing w:before="60" w:after="60"/>
              <w:ind w:left="316" w:hanging="316"/>
              <w:contextualSpacing/>
            </w:pPr>
            <w:r w:rsidRPr="00B817F4">
              <w:t xml:space="preserve">One station </w:t>
            </w:r>
            <w:r>
              <w:t xml:space="preserve">along I-5 </w:t>
            </w:r>
            <w:r w:rsidRPr="00B817F4">
              <w:t>within 25</w:t>
            </w:r>
            <w:r>
              <w:t xml:space="preserve"> </w:t>
            </w:r>
            <w:r w:rsidRPr="00B817F4">
              <w:t xml:space="preserve">miles </w:t>
            </w:r>
            <w:r>
              <w:t>either side of the I-5/</w:t>
            </w:r>
            <w:r w:rsidRPr="00B817F4">
              <w:t>SR</w:t>
            </w:r>
            <w:r>
              <w:t xml:space="preserve"> </w:t>
            </w:r>
            <w:r w:rsidRPr="00B817F4">
              <w:t>36</w:t>
            </w:r>
            <w:r>
              <w:t xml:space="preserve"> junction (Red Bluff)</w:t>
            </w:r>
            <w:r w:rsidRPr="00B817F4">
              <w:t>.</w:t>
            </w:r>
          </w:p>
          <w:p w14:paraId="0AE42AB0" w14:textId="77777777" w:rsidR="0062656C" w:rsidRDefault="0062656C" w:rsidP="00164AC5">
            <w:pPr>
              <w:pStyle w:val="ListParagraph"/>
              <w:numPr>
                <w:ilvl w:val="0"/>
                <w:numId w:val="46"/>
              </w:numPr>
              <w:spacing w:before="60" w:after="60"/>
              <w:ind w:left="316" w:hanging="316"/>
              <w:contextualSpacing/>
            </w:pPr>
            <w:r w:rsidRPr="007356FB">
              <w:t>One station</w:t>
            </w:r>
            <w:r>
              <w:t xml:space="preserve"> along I-5</w:t>
            </w:r>
            <w:r w:rsidRPr="007356FB">
              <w:t xml:space="preserve"> within 25</w:t>
            </w:r>
            <w:r>
              <w:t xml:space="preserve"> </w:t>
            </w:r>
            <w:r w:rsidRPr="007356FB">
              <w:t xml:space="preserve">miles </w:t>
            </w:r>
            <w:r>
              <w:t>either side of the I-5/SR 44 junction (</w:t>
            </w:r>
            <w:r w:rsidRPr="007356FB">
              <w:t>Redding</w:t>
            </w:r>
            <w:r>
              <w:t>)</w:t>
            </w:r>
            <w:r w:rsidRPr="007356FB">
              <w:t>.</w:t>
            </w:r>
          </w:p>
          <w:p w14:paraId="6E4659D5" w14:textId="77777777" w:rsidR="0062656C" w:rsidRDefault="0062656C" w:rsidP="00164AC5">
            <w:pPr>
              <w:pStyle w:val="ListParagraph"/>
              <w:numPr>
                <w:ilvl w:val="0"/>
                <w:numId w:val="46"/>
              </w:numPr>
              <w:spacing w:before="60" w:after="60"/>
              <w:ind w:left="316" w:hanging="316"/>
              <w:contextualSpacing/>
            </w:pPr>
            <w:r>
              <w:t>One station along I-5 within 25 miles either side of the I-5/US 97 junction (Weed).</w:t>
            </w:r>
          </w:p>
          <w:p w14:paraId="1BF12D8D" w14:textId="604D4797" w:rsidR="00DE74B6" w:rsidRPr="00DE74B6" w:rsidRDefault="0062656C" w:rsidP="001C54CC">
            <w:pPr>
              <w:pStyle w:val="ListParagraph"/>
              <w:numPr>
                <w:ilvl w:val="0"/>
                <w:numId w:val="46"/>
              </w:numPr>
              <w:spacing w:before="60" w:after="60"/>
              <w:ind w:left="316" w:hanging="316"/>
              <w:contextualSpacing/>
            </w:pPr>
            <w:r>
              <w:t>One station along I-5 in California within 25 miles of the Oregon border.</w:t>
            </w:r>
          </w:p>
        </w:tc>
        <w:tc>
          <w:tcPr>
            <w:tcW w:w="1207" w:type="dxa"/>
            <w:vAlign w:val="center"/>
          </w:tcPr>
          <w:p w14:paraId="0E6D46BA" w14:textId="77777777" w:rsidR="0062656C" w:rsidRDefault="0062656C">
            <w:pPr>
              <w:spacing w:before="60" w:after="60"/>
              <w:jc w:val="center"/>
            </w:pPr>
            <w:r>
              <w:t>50%</w:t>
            </w:r>
          </w:p>
        </w:tc>
      </w:tr>
      <w:tr w:rsidR="0062656C" w14:paraId="2612124F" w14:textId="77777777">
        <w:trPr>
          <w:cantSplit/>
        </w:trPr>
        <w:tc>
          <w:tcPr>
            <w:tcW w:w="1133" w:type="dxa"/>
            <w:vAlign w:val="center"/>
          </w:tcPr>
          <w:p w14:paraId="3BB5BCE6" w14:textId="77777777" w:rsidR="0062656C" w:rsidRDefault="0062656C">
            <w:pPr>
              <w:spacing w:before="60" w:after="60"/>
              <w:jc w:val="center"/>
            </w:pPr>
            <w:r>
              <w:t>1</w:t>
            </w:r>
          </w:p>
        </w:tc>
        <w:tc>
          <w:tcPr>
            <w:tcW w:w="1287" w:type="dxa"/>
            <w:vAlign w:val="center"/>
          </w:tcPr>
          <w:p w14:paraId="461C9BD2" w14:textId="0D774DD9" w:rsidR="00A32B41" w:rsidRPr="00A32B41" w:rsidRDefault="0062656C" w:rsidP="008C2668">
            <w:pPr>
              <w:spacing w:before="60" w:after="60"/>
              <w:jc w:val="center"/>
            </w:pPr>
            <w:r>
              <w:t>B</w:t>
            </w:r>
          </w:p>
        </w:tc>
        <w:tc>
          <w:tcPr>
            <w:tcW w:w="3142" w:type="dxa"/>
            <w:vAlign w:val="center"/>
          </w:tcPr>
          <w:p w14:paraId="5292A014" w14:textId="77777777" w:rsidR="0062656C" w:rsidRDefault="0062656C">
            <w:pPr>
              <w:spacing w:before="60" w:after="60"/>
            </w:pPr>
            <w:r w:rsidRPr="00534A34">
              <w:t>US</w:t>
            </w:r>
            <w:r>
              <w:t xml:space="preserve"> </w:t>
            </w:r>
            <w:r w:rsidRPr="00534A34">
              <w:t>97: Weed (I-5) to Oregon</w:t>
            </w:r>
          </w:p>
        </w:tc>
        <w:tc>
          <w:tcPr>
            <w:tcW w:w="1248" w:type="dxa"/>
            <w:vAlign w:val="center"/>
          </w:tcPr>
          <w:p w14:paraId="5E140278" w14:textId="77777777" w:rsidR="0062656C" w:rsidRDefault="0062656C">
            <w:pPr>
              <w:spacing w:before="60" w:after="60"/>
              <w:jc w:val="center"/>
            </w:pPr>
            <w:r>
              <w:t>2</w:t>
            </w:r>
          </w:p>
        </w:tc>
        <w:tc>
          <w:tcPr>
            <w:tcW w:w="1015" w:type="dxa"/>
            <w:vAlign w:val="center"/>
          </w:tcPr>
          <w:p w14:paraId="40AFA251" w14:textId="77777777" w:rsidR="0062656C" w:rsidRDefault="0062656C">
            <w:pPr>
              <w:spacing w:before="60" w:after="60"/>
              <w:jc w:val="center"/>
            </w:pPr>
            <w:r>
              <w:t>8</w:t>
            </w:r>
          </w:p>
        </w:tc>
        <w:tc>
          <w:tcPr>
            <w:tcW w:w="5093" w:type="dxa"/>
            <w:vAlign w:val="center"/>
          </w:tcPr>
          <w:p w14:paraId="2CF2C668" w14:textId="77777777" w:rsidR="0062656C" w:rsidRDefault="0062656C" w:rsidP="00164AC5">
            <w:pPr>
              <w:pStyle w:val="ListParagraph"/>
              <w:numPr>
                <w:ilvl w:val="0"/>
                <w:numId w:val="47"/>
              </w:numPr>
              <w:spacing w:before="60" w:after="60"/>
              <w:ind w:left="316" w:hanging="316"/>
              <w:contextualSpacing/>
            </w:pPr>
            <w:r>
              <w:t>One station along US 97 within 25 miles either side of the US 97/I-5 junction (Weed).</w:t>
            </w:r>
          </w:p>
          <w:p w14:paraId="78B25A78" w14:textId="05155644" w:rsidR="00DE74B6" w:rsidRPr="00DE74B6" w:rsidRDefault="0062656C" w:rsidP="001C54CC">
            <w:pPr>
              <w:pStyle w:val="ListParagraph"/>
              <w:numPr>
                <w:ilvl w:val="0"/>
                <w:numId w:val="47"/>
              </w:numPr>
              <w:spacing w:before="60" w:after="60"/>
              <w:ind w:left="316" w:hanging="316"/>
              <w:contextualSpacing/>
            </w:pPr>
            <w:r>
              <w:t>One station along US 97 in California within 25 miles of the Oregon border.</w:t>
            </w:r>
          </w:p>
        </w:tc>
        <w:tc>
          <w:tcPr>
            <w:tcW w:w="1207" w:type="dxa"/>
            <w:vAlign w:val="center"/>
          </w:tcPr>
          <w:p w14:paraId="6D45B3DD" w14:textId="77777777" w:rsidR="0062656C" w:rsidRDefault="0062656C">
            <w:pPr>
              <w:spacing w:before="60" w:after="60"/>
              <w:jc w:val="center"/>
            </w:pPr>
            <w:r>
              <w:t>20%</w:t>
            </w:r>
          </w:p>
        </w:tc>
      </w:tr>
      <w:tr w:rsidR="0062656C" w14:paraId="62630D67" w14:textId="77777777">
        <w:trPr>
          <w:cantSplit/>
        </w:trPr>
        <w:tc>
          <w:tcPr>
            <w:tcW w:w="1133" w:type="dxa"/>
            <w:vAlign w:val="center"/>
          </w:tcPr>
          <w:p w14:paraId="1E551F44" w14:textId="77777777" w:rsidR="0062656C" w:rsidRDefault="0062656C">
            <w:pPr>
              <w:spacing w:before="60" w:after="60"/>
              <w:jc w:val="center"/>
            </w:pPr>
            <w:r>
              <w:lastRenderedPageBreak/>
              <w:t>1</w:t>
            </w:r>
          </w:p>
        </w:tc>
        <w:tc>
          <w:tcPr>
            <w:tcW w:w="1287" w:type="dxa"/>
            <w:vAlign w:val="center"/>
          </w:tcPr>
          <w:p w14:paraId="429D40E1" w14:textId="77777777" w:rsidR="0062656C" w:rsidRDefault="0062656C">
            <w:pPr>
              <w:spacing w:before="60" w:after="60"/>
              <w:jc w:val="center"/>
            </w:pPr>
            <w:r>
              <w:t>C</w:t>
            </w:r>
          </w:p>
        </w:tc>
        <w:tc>
          <w:tcPr>
            <w:tcW w:w="3142" w:type="dxa"/>
            <w:vAlign w:val="center"/>
          </w:tcPr>
          <w:p w14:paraId="25CED507" w14:textId="77777777" w:rsidR="0062656C" w:rsidRDefault="0062656C">
            <w:pPr>
              <w:spacing w:before="60" w:after="60"/>
            </w:pPr>
            <w:r w:rsidRPr="00534A34">
              <w:t>SR</w:t>
            </w:r>
            <w:r>
              <w:t xml:space="preserve"> </w:t>
            </w:r>
            <w:r w:rsidRPr="00534A34">
              <w:t>99: Red Bluff (I-5) to Sacramento (I-5)</w:t>
            </w:r>
            <w:r>
              <w:t>*</w:t>
            </w:r>
          </w:p>
          <w:p w14:paraId="0ACF267E" w14:textId="77777777" w:rsidR="0062656C" w:rsidRDefault="0062656C">
            <w:pPr>
              <w:spacing w:before="60" w:after="60"/>
            </w:pPr>
            <w:r w:rsidRPr="00130F70">
              <w:t>SR</w:t>
            </w:r>
            <w:r>
              <w:t xml:space="preserve"> </w:t>
            </w:r>
            <w:r w:rsidRPr="00130F70">
              <w:t>32: Orland (I-5) to Chico (SR</w:t>
            </w:r>
            <w:r>
              <w:t xml:space="preserve"> </w:t>
            </w:r>
            <w:r w:rsidRPr="00130F70">
              <w:t>99)</w:t>
            </w:r>
          </w:p>
        </w:tc>
        <w:tc>
          <w:tcPr>
            <w:tcW w:w="1248" w:type="dxa"/>
            <w:vAlign w:val="center"/>
          </w:tcPr>
          <w:p w14:paraId="4804650C" w14:textId="77777777" w:rsidR="0062656C" w:rsidRDefault="0062656C">
            <w:pPr>
              <w:spacing w:before="60" w:after="60"/>
              <w:jc w:val="center"/>
            </w:pPr>
            <w:r>
              <w:t>3</w:t>
            </w:r>
          </w:p>
        </w:tc>
        <w:tc>
          <w:tcPr>
            <w:tcW w:w="1015" w:type="dxa"/>
            <w:vAlign w:val="center"/>
          </w:tcPr>
          <w:p w14:paraId="6BA55CD1" w14:textId="77777777" w:rsidR="0062656C" w:rsidRDefault="0062656C">
            <w:pPr>
              <w:spacing w:before="60" w:after="60"/>
              <w:jc w:val="center"/>
            </w:pPr>
            <w:r>
              <w:t>12</w:t>
            </w:r>
          </w:p>
        </w:tc>
        <w:tc>
          <w:tcPr>
            <w:tcW w:w="5093" w:type="dxa"/>
            <w:vAlign w:val="center"/>
          </w:tcPr>
          <w:p w14:paraId="41E6A780" w14:textId="77777777" w:rsidR="0062656C" w:rsidRDefault="0062656C" w:rsidP="00164AC5">
            <w:pPr>
              <w:pStyle w:val="ListParagraph"/>
              <w:numPr>
                <w:ilvl w:val="0"/>
                <w:numId w:val="48"/>
              </w:numPr>
              <w:spacing w:before="60" w:after="60"/>
              <w:ind w:left="316" w:hanging="316"/>
              <w:contextualSpacing/>
            </w:pPr>
            <w:r>
              <w:t>One station along SR 99 within 25 miles north of the I-5 junction (Sacramento).</w:t>
            </w:r>
          </w:p>
          <w:p w14:paraId="48B4B0CB" w14:textId="77777777" w:rsidR="0062656C" w:rsidRDefault="0062656C" w:rsidP="00164AC5">
            <w:pPr>
              <w:pStyle w:val="ListParagraph"/>
              <w:numPr>
                <w:ilvl w:val="0"/>
                <w:numId w:val="48"/>
              </w:numPr>
              <w:spacing w:before="60" w:after="60"/>
              <w:ind w:left="316" w:hanging="316"/>
              <w:contextualSpacing/>
            </w:pPr>
            <w:r>
              <w:t>One station along SR 99 within 25-miles south of the I-5/SR 36 junction (Red Bluff).</w:t>
            </w:r>
          </w:p>
          <w:p w14:paraId="56EF26AC" w14:textId="5E298132" w:rsidR="0062656C" w:rsidRDefault="0062656C" w:rsidP="00164AC5">
            <w:pPr>
              <w:pStyle w:val="ListParagraph"/>
              <w:numPr>
                <w:ilvl w:val="0"/>
                <w:numId w:val="48"/>
              </w:numPr>
              <w:spacing w:before="60" w:after="60"/>
              <w:ind w:left="316" w:hanging="316"/>
              <w:contextualSpacing/>
            </w:pPr>
            <w:r>
              <w:t>A station is NOT required along SR 32; siting along this route is optional.</w:t>
            </w:r>
            <w:r w:rsidR="0027795B" w:rsidRPr="00B01719">
              <w:rPr>
                <w:vertAlign w:val="superscript"/>
              </w:rPr>
              <w:t>+</w:t>
            </w:r>
          </w:p>
        </w:tc>
        <w:tc>
          <w:tcPr>
            <w:tcW w:w="1207" w:type="dxa"/>
            <w:vAlign w:val="center"/>
          </w:tcPr>
          <w:p w14:paraId="2FAB86E7" w14:textId="77777777" w:rsidR="0062656C" w:rsidRDefault="0062656C">
            <w:pPr>
              <w:spacing w:before="60" w:after="60"/>
              <w:jc w:val="center"/>
            </w:pPr>
            <w:r>
              <w:t>20%</w:t>
            </w:r>
          </w:p>
        </w:tc>
      </w:tr>
      <w:tr w:rsidR="0062656C" w14:paraId="08DB1248" w14:textId="77777777">
        <w:trPr>
          <w:cantSplit/>
        </w:trPr>
        <w:tc>
          <w:tcPr>
            <w:tcW w:w="1133" w:type="dxa"/>
            <w:vAlign w:val="center"/>
          </w:tcPr>
          <w:p w14:paraId="0D061F2F" w14:textId="77777777" w:rsidR="0062656C" w:rsidRDefault="0062656C">
            <w:pPr>
              <w:spacing w:before="60" w:after="60"/>
              <w:jc w:val="center"/>
            </w:pPr>
            <w:r>
              <w:t>1</w:t>
            </w:r>
          </w:p>
        </w:tc>
        <w:tc>
          <w:tcPr>
            <w:tcW w:w="1287" w:type="dxa"/>
            <w:vAlign w:val="center"/>
          </w:tcPr>
          <w:p w14:paraId="3EE6FDBB" w14:textId="77777777" w:rsidR="0062656C" w:rsidRDefault="0062656C">
            <w:pPr>
              <w:spacing w:before="60" w:after="60"/>
              <w:jc w:val="center"/>
            </w:pPr>
            <w:r>
              <w:t>D</w:t>
            </w:r>
          </w:p>
        </w:tc>
        <w:tc>
          <w:tcPr>
            <w:tcW w:w="3142" w:type="dxa"/>
            <w:vAlign w:val="center"/>
          </w:tcPr>
          <w:p w14:paraId="3EA0B67E" w14:textId="77777777" w:rsidR="0062656C" w:rsidRDefault="0062656C">
            <w:pPr>
              <w:spacing w:before="60" w:after="60"/>
            </w:pPr>
            <w:r w:rsidRPr="00490453">
              <w:t>SR</w:t>
            </w:r>
            <w:r>
              <w:t xml:space="preserve"> </w:t>
            </w:r>
            <w:r w:rsidRPr="00490453">
              <w:t xml:space="preserve">65: </w:t>
            </w:r>
            <w:r>
              <w:t>Roseville</w:t>
            </w:r>
            <w:r w:rsidRPr="00490453">
              <w:t xml:space="preserve"> (I-80) to </w:t>
            </w:r>
            <w:proofErr w:type="spellStart"/>
            <w:r w:rsidRPr="00490453">
              <w:t>Olivehurst</w:t>
            </w:r>
            <w:proofErr w:type="spellEnd"/>
            <w:r w:rsidRPr="00490453">
              <w:t xml:space="preserve"> (SR</w:t>
            </w:r>
            <w:r>
              <w:t xml:space="preserve"> </w:t>
            </w:r>
            <w:r w:rsidRPr="00490453">
              <w:t>70)</w:t>
            </w:r>
          </w:p>
          <w:p w14:paraId="3685C528" w14:textId="77777777" w:rsidR="0062656C" w:rsidRDefault="0062656C">
            <w:pPr>
              <w:spacing w:before="60" w:after="60"/>
            </w:pPr>
            <w:r w:rsidRPr="00490453">
              <w:t>SR</w:t>
            </w:r>
            <w:r>
              <w:t xml:space="preserve"> </w:t>
            </w:r>
            <w:r w:rsidRPr="00490453">
              <w:t xml:space="preserve">70/149: </w:t>
            </w:r>
            <w:r>
              <w:t>SR 70/SR 99 junction s</w:t>
            </w:r>
            <w:r w:rsidRPr="00490453">
              <w:t>outh of Plumas Lake (SR</w:t>
            </w:r>
            <w:r>
              <w:t xml:space="preserve"> </w:t>
            </w:r>
            <w:r w:rsidRPr="00490453">
              <w:t xml:space="preserve">99) to </w:t>
            </w:r>
            <w:r>
              <w:t>SR 149/</w:t>
            </w:r>
            <w:r w:rsidRPr="00490453">
              <w:t>SR</w:t>
            </w:r>
            <w:r>
              <w:t xml:space="preserve"> </w:t>
            </w:r>
            <w:r w:rsidRPr="00490453">
              <w:t>99</w:t>
            </w:r>
            <w:r>
              <w:t xml:space="preserve"> near Durham</w:t>
            </w:r>
          </w:p>
        </w:tc>
        <w:tc>
          <w:tcPr>
            <w:tcW w:w="1248" w:type="dxa"/>
            <w:vAlign w:val="center"/>
          </w:tcPr>
          <w:p w14:paraId="44E97103" w14:textId="77777777" w:rsidR="0062656C" w:rsidRDefault="0062656C">
            <w:pPr>
              <w:spacing w:before="60" w:after="60"/>
              <w:jc w:val="center"/>
            </w:pPr>
            <w:r>
              <w:t>3</w:t>
            </w:r>
          </w:p>
        </w:tc>
        <w:tc>
          <w:tcPr>
            <w:tcW w:w="1015" w:type="dxa"/>
            <w:vAlign w:val="center"/>
          </w:tcPr>
          <w:p w14:paraId="4AA165FE" w14:textId="77777777" w:rsidR="0062656C" w:rsidRDefault="0062656C">
            <w:pPr>
              <w:spacing w:before="60" w:after="60"/>
              <w:jc w:val="center"/>
            </w:pPr>
            <w:r>
              <w:t>12</w:t>
            </w:r>
          </w:p>
        </w:tc>
        <w:tc>
          <w:tcPr>
            <w:tcW w:w="5093" w:type="dxa"/>
            <w:vAlign w:val="center"/>
          </w:tcPr>
          <w:p w14:paraId="2CD29C50" w14:textId="77777777" w:rsidR="0062656C" w:rsidRDefault="0062656C" w:rsidP="00164AC5">
            <w:pPr>
              <w:pStyle w:val="ListParagraph"/>
              <w:numPr>
                <w:ilvl w:val="0"/>
                <w:numId w:val="49"/>
              </w:numPr>
              <w:spacing w:before="60" w:after="60"/>
              <w:ind w:left="316" w:hanging="316"/>
              <w:contextualSpacing/>
            </w:pPr>
            <w:r>
              <w:t>One station minimum along SR 65. If only one station proposed, it must be within 25 miles of both I-80 and SR 70.</w:t>
            </w:r>
          </w:p>
          <w:p w14:paraId="26C37724" w14:textId="77777777" w:rsidR="0062656C" w:rsidRDefault="0062656C" w:rsidP="00164AC5">
            <w:pPr>
              <w:pStyle w:val="ListParagraph"/>
              <w:numPr>
                <w:ilvl w:val="0"/>
                <w:numId w:val="49"/>
              </w:numPr>
              <w:spacing w:before="60" w:after="60"/>
              <w:ind w:left="316" w:hanging="316"/>
              <w:contextualSpacing/>
            </w:pPr>
            <w:r>
              <w:t>One station along SR 70 within 25 miles of the SR 70/SR 99 junction (south of Plumas Lake).</w:t>
            </w:r>
          </w:p>
          <w:p w14:paraId="33BE5DE5" w14:textId="77777777" w:rsidR="0062656C" w:rsidRDefault="0062656C" w:rsidP="00164AC5">
            <w:pPr>
              <w:pStyle w:val="ListParagraph"/>
              <w:numPr>
                <w:ilvl w:val="0"/>
                <w:numId w:val="49"/>
              </w:numPr>
              <w:spacing w:before="60" w:after="60"/>
              <w:ind w:left="316" w:hanging="316"/>
              <w:contextualSpacing/>
            </w:pPr>
            <w:r>
              <w:t>One station along SR 70 or SR 149 within 25 miles of the SR 149/SR 99 junction (near Durham).</w:t>
            </w:r>
          </w:p>
        </w:tc>
        <w:tc>
          <w:tcPr>
            <w:tcW w:w="1207" w:type="dxa"/>
            <w:vAlign w:val="center"/>
          </w:tcPr>
          <w:p w14:paraId="2924EE6A" w14:textId="77777777" w:rsidR="0062656C" w:rsidRDefault="0062656C">
            <w:pPr>
              <w:spacing w:before="60" w:after="60"/>
              <w:jc w:val="center"/>
            </w:pPr>
            <w:r>
              <w:t>20%</w:t>
            </w:r>
          </w:p>
        </w:tc>
      </w:tr>
      <w:tr w:rsidR="0062656C" w14:paraId="7123E6A8" w14:textId="77777777">
        <w:trPr>
          <w:cantSplit/>
        </w:trPr>
        <w:tc>
          <w:tcPr>
            <w:tcW w:w="1133" w:type="dxa"/>
            <w:vAlign w:val="center"/>
          </w:tcPr>
          <w:p w14:paraId="5759095B" w14:textId="77777777" w:rsidR="0062656C" w:rsidRDefault="0062656C">
            <w:pPr>
              <w:spacing w:before="60" w:after="60"/>
              <w:jc w:val="center"/>
            </w:pPr>
            <w:r>
              <w:t>1</w:t>
            </w:r>
          </w:p>
        </w:tc>
        <w:tc>
          <w:tcPr>
            <w:tcW w:w="1287" w:type="dxa"/>
            <w:vAlign w:val="center"/>
          </w:tcPr>
          <w:p w14:paraId="0DC8C08D" w14:textId="77777777" w:rsidR="0062656C" w:rsidRDefault="0062656C">
            <w:pPr>
              <w:spacing w:before="60" w:after="60"/>
              <w:jc w:val="center"/>
            </w:pPr>
            <w:r>
              <w:t>E</w:t>
            </w:r>
          </w:p>
        </w:tc>
        <w:tc>
          <w:tcPr>
            <w:tcW w:w="3142" w:type="dxa"/>
            <w:vAlign w:val="center"/>
          </w:tcPr>
          <w:p w14:paraId="698FA88D" w14:textId="77777777" w:rsidR="0062656C" w:rsidRDefault="0062656C">
            <w:pPr>
              <w:spacing w:before="60" w:after="60"/>
            </w:pPr>
            <w:r w:rsidRPr="005621F8">
              <w:rPr>
                <w:b/>
                <w:bCs/>
              </w:rPr>
              <w:t>AFC Round 8</w:t>
            </w:r>
            <w:r>
              <w:t xml:space="preserve">: </w:t>
            </w:r>
            <w:r>
              <w:br/>
              <w:t>SR 44: Redding (I-5) to Susanville (SR 36)</w:t>
            </w:r>
          </w:p>
        </w:tc>
        <w:tc>
          <w:tcPr>
            <w:tcW w:w="1248" w:type="dxa"/>
            <w:vAlign w:val="center"/>
          </w:tcPr>
          <w:p w14:paraId="4742266D" w14:textId="77777777" w:rsidR="0062656C" w:rsidRDefault="0062656C">
            <w:pPr>
              <w:spacing w:before="60" w:after="60"/>
              <w:jc w:val="center"/>
            </w:pPr>
            <w:r>
              <w:t>3</w:t>
            </w:r>
          </w:p>
        </w:tc>
        <w:tc>
          <w:tcPr>
            <w:tcW w:w="1015" w:type="dxa"/>
            <w:vAlign w:val="center"/>
          </w:tcPr>
          <w:p w14:paraId="4FC91171" w14:textId="77777777" w:rsidR="0062656C" w:rsidRDefault="0062656C">
            <w:pPr>
              <w:spacing w:before="60" w:after="60"/>
              <w:jc w:val="center"/>
            </w:pPr>
            <w:r>
              <w:t>12</w:t>
            </w:r>
          </w:p>
        </w:tc>
        <w:tc>
          <w:tcPr>
            <w:tcW w:w="5093" w:type="dxa"/>
            <w:vAlign w:val="center"/>
          </w:tcPr>
          <w:p w14:paraId="6FAF00D4" w14:textId="77777777" w:rsidR="0062656C" w:rsidRDefault="0062656C" w:rsidP="00164AC5">
            <w:pPr>
              <w:pStyle w:val="ListParagraph"/>
              <w:numPr>
                <w:ilvl w:val="0"/>
                <w:numId w:val="50"/>
              </w:numPr>
              <w:spacing w:before="60" w:after="60"/>
              <w:ind w:left="316" w:hanging="316"/>
              <w:contextualSpacing/>
            </w:pPr>
            <w:r>
              <w:t>One station along SR 44 within 25 miles east of the SR 44/I-5 junction (Redding).</w:t>
            </w:r>
          </w:p>
          <w:p w14:paraId="27BFAA9F" w14:textId="77777777" w:rsidR="0062656C" w:rsidRDefault="0062656C" w:rsidP="00164AC5">
            <w:pPr>
              <w:pStyle w:val="ListParagraph"/>
              <w:numPr>
                <w:ilvl w:val="0"/>
                <w:numId w:val="50"/>
              </w:numPr>
              <w:spacing w:before="60" w:after="60"/>
              <w:ind w:left="316" w:hanging="316"/>
              <w:contextualSpacing/>
            </w:pPr>
            <w:r>
              <w:t>One station along SR 44 within 25 miles west of the SR 44/SR 36 junction (Susanville).</w:t>
            </w:r>
          </w:p>
        </w:tc>
        <w:tc>
          <w:tcPr>
            <w:tcW w:w="1207" w:type="dxa"/>
            <w:vAlign w:val="center"/>
          </w:tcPr>
          <w:p w14:paraId="7F0154EC" w14:textId="77777777" w:rsidR="0062656C" w:rsidRDefault="0062656C">
            <w:pPr>
              <w:spacing w:before="60" w:after="60"/>
              <w:jc w:val="center"/>
            </w:pPr>
            <w:r>
              <w:t>20%</w:t>
            </w:r>
          </w:p>
        </w:tc>
      </w:tr>
      <w:tr w:rsidR="0062656C" w14:paraId="22FAF156" w14:textId="77777777">
        <w:trPr>
          <w:cantSplit/>
        </w:trPr>
        <w:tc>
          <w:tcPr>
            <w:tcW w:w="1133" w:type="dxa"/>
            <w:vAlign w:val="center"/>
          </w:tcPr>
          <w:p w14:paraId="09549DDE" w14:textId="77777777" w:rsidR="0062656C" w:rsidRDefault="0062656C">
            <w:pPr>
              <w:spacing w:before="60" w:after="60"/>
              <w:jc w:val="center"/>
            </w:pPr>
            <w:r>
              <w:t>2</w:t>
            </w:r>
          </w:p>
        </w:tc>
        <w:tc>
          <w:tcPr>
            <w:tcW w:w="1287" w:type="dxa"/>
            <w:vAlign w:val="center"/>
          </w:tcPr>
          <w:p w14:paraId="0E38F13E" w14:textId="77777777" w:rsidR="0062656C" w:rsidRDefault="0062656C">
            <w:pPr>
              <w:spacing w:before="60" w:after="60"/>
              <w:jc w:val="center"/>
            </w:pPr>
            <w:r>
              <w:t>A</w:t>
            </w:r>
          </w:p>
        </w:tc>
        <w:tc>
          <w:tcPr>
            <w:tcW w:w="3142" w:type="dxa"/>
            <w:vAlign w:val="center"/>
          </w:tcPr>
          <w:p w14:paraId="398B95B7" w14:textId="77777777" w:rsidR="0062656C" w:rsidRDefault="0062656C">
            <w:pPr>
              <w:spacing w:before="60" w:after="60"/>
            </w:pPr>
            <w:r>
              <w:t>US 101: North of Leggett to Oregon</w:t>
            </w:r>
          </w:p>
        </w:tc>
        <w:tc>
          <w:tcPr>
            <w:tcW w:w="1248" w:type="dxa"/>
            <w:vAlign w:val="center"/>
          </w:tcPr>
          <w:p w14:paraId="3AFB5E2E" w14:textId="77777777" w:rsidR="0062656C" w:rsidRDefault="0062656C">
            <w:pPr>
              <w:spacing w:before="60" w:after="60"/>
              <w:jc w:val="center"/>
            </w:pPr>
            <w:r>
              <w:t>4</w:t>
            </w:r>
          </w:p>
        </w:tc>
        <w:tc>
          <w:tcPr>
            <w:tcW w:w="1015" w:type="dxa"/>
            <w:vAlign w:val="center"/>
          </w:tcPr>
          <w:p w14:paraId="5858D63D" w14:textId="77777777" w:rsidR="0062656C" w:rsidRDefault="0062656C">
            <w:pPr>
              <w:spacing w:before="60" w:after="60"/>
              <w:jc w:val="center"/>
            </w:pPr>
            <w:r>
              <w:t>16</w:t>
            </w:r>
          </w:p>
        </w:tc>
        <w:tc>
          <w:tcPr>
            <w:tcW w:w="5093" w:type="dxa"/>
            <w:vAlign w:val="center"/>
          </w:tcPr>
          <w:p w14:paraId="631FBF98" w14:textId="77777777" w:rsidR="0062656C" w:rsidRDefault="0062656C" w:rsidP="00164AC5">
            <w:pPr>
              <w:pStyle w:val="ListParagraph"/>
              <w:numPr>
                <w:ilvl w:val="0"/>
                <w:numId w:val="51"/>
              </w:numPr>
              <w:spacing w:before="60" w:after="60"/>
              <w:ind w:left="316" w:hanging="316"/>
              <w:contextualSpacing/>
            </w:pPr>
            <w:r>
              <w:t>One station along US 101 within 25 miles north of the northern city limit of Leggett.</w:t>
            </w:r>
          </w:p>
          <w:p w14:paraId="54061777" w14:textId="77777777" w:rsidR="0062656C" w:rsidRDefault="0062656C" w:rsidP="00164AC5">
            <w:pPr>
              <w:pStyle w:val="ListParagraph"/>
              <w:numPr>
                <w:ilvl w:val="0"/>
                <w:numId w:val="51"/>
              </w:numPr>
              <w:spacing w:before="60" w:after="60"/>
              <w:ind w:left="316" w:hanging="316"/>
              <w:contextualSpacing/>
            </w:pPr>
            <w:r>
              <w:t>One station along US 101 in California within 25 miles of the Oregon border.</w:t>
            </w:r>
          </w:p>
        </w:tc>
        <w:tc>
          <w:tcPr>
            <w:tcW w:w="1207" w:type="dxa"/>
            <w:vAlign w:val="center"/>
          </w:tcPr>
          <w:p w14:paraId="08BF03A1" w14:textId="77777777" w:rsidR="0062656C" w:rsidRDefault="0062656C">
            <w:pPr>
              <w:spacing w:before="60" w:after="60"/>
              <w:jc w:val="center"/>
            </w:pPr>
            <w:r>
              <w:t>20%</w:t>
            </w:r>
          </w:p>
        </w:tc>
      </w:tr>
      <w:tr w:rsidR="0062656C" w14:paraId="53D5FE52" w14:textId="77777777">
        <w:trPr>
          <w:cantSplit/>
        </w:trPr>
        <w:tc>
          <w:tcPr>
            <w:tcW w:w="1133" w:type="dxa"/>
            <w:vAlign w:val="center"/>
          </w:tcPr>
          <w:p w14:paraId="10092C6A" w14:textId="77777777" w:rsidR="0062656C" w:rsidRDefault="0062656C">
            <w:pPr>
              <w:spacing w:before="60" w:after="60"/>
              <w:jc w:val="center"/>
            </w:pPr>
            <w:r>
              <w:lastRenderedPageBreak/>
              <w:t>2</w:t>
            </w:r>
          </w:p>
        </w:tc>
        <w:tc>
          <w:tcPr>
            <w:tcW w:w="1287" w:type="dxa"/>
            <w:vAlign w:val="center"/>
          </w:tcPr>
          <w:p w14:paraId="4AF98C83" w14:textId="77777777" w:rsidR="0062656C" w:rsidRDefault="0062656C">
            <w:pPr>
              <w:spacing w:before="60" w:after="60"/>
              <w:jc w:val="center"/>
            </w:pPr>
            <w:r>
              <w:t>B</w:t>
            </w:r>
          </w:p>
        </w:tc>
        <w:tc>
          <w:tcPr>
            <w:tcW w:w="3142" w:type="dxa"/>
            <w:vAlign w:val="center"/>
          </w:tcPr>
          <w:p w14:paraId="62906BA8" w14:textId="77129911" w:rsidR="0062656C" w:rsidRDefault="0062656C">
            <w:pPr>
              <w:spacing w:before="60" w:after="60"/>
            </w:pPr>
            <w:r w:rsidRPr="00AF16CF">
              <w:rPr>
                <w:b/>
                <w:bCs/>
              </w:rPr>
              <w:t>Stand-alone Project</w:t>
            </w:r>
            <w:r>
              <w:t xml:space="preserve">: </w:t>
            </w:r>
            <w:r>
              <w:br/>
              <w:t>SR 199: Crescent City (US 101) to Oregon</w:t>
            </w:r>
          </w:p>
        </w:tc>
        <w:tc>
          <w:tcPr>
            <w:tcW w:w="1248" w:type="dxa"/>
            <w:vAlign w:val="center"/>
          </w:tcPr>
          <w:p w14:paraId="597F05B7" w14:textId="77777777" w:rsidR="0062656C" w:rsidRDefault="0062656C">
            <w:pPr>
              <w:spacing w:before="60" w:after="60"/>
              <w:jc w:val="center"/>
            </w:pPr>
            <w:r>
              <w:t>1</w:t>
            </w:r>
          </w:p>
        </w:tc>
        <w:tc>
          <w:tcPr>
            <w:tcW w:w="1015" w:type="dxa"/>
            <w:vAlign w:val="center"/>
          </w:tcPr>
          <w:p w14:paraId="790B16B8" w14:textId="77777777" w:rsidR="0062656C" w:rsidRDefault="0062656C">
            <w:pPr>
              <w:spacing w:before="60" w:after="60"/>
              <w:jc w:val="center"/>
            </w:pPr>
            <w:r>
              <w:t>4</w:t>
            </w:r>
          </w:p>
        </w:tc>
        <w:tc>
          <w:tcPr>
            <w:tcW w:w="5093" w:type="dxa"/>
            <w:vAlign w:val="center"/>
          </w:tcPr>
          <w:p w14:paraId="3973777F" w14:textId="4B678A54" w:rsidR="0062656C" w:rsidRDefault="0062656C" w:rsidP="00164AC5">
            <w:pPr>
              <w:pStyle w:val="ListParagraph"/>
              <w:numPr>
                <w:ilvl w:val="0"/>
                <w:numId w:val="52"/>
              </w:numPr>
              <w:spacing w:before="60" w:after="60"/>
              <w:ind w:left="316" w:hanging="316"/>
              <w:contextualSpacing/>
            </w:pPr>
            <w:r>
              <w:t>Preference for a station along SR 199 within 25 miles of the Oregon border.</w:t>
            </w:r>
          </w:p>
        </w:tc>
        <w:tc>
          <w:tcPr>
            <w:tcW w:w="1207" w:type="dxa"/>
            <w:vAlign w:val="center"/>
          </w:tcPr>
          <w:p w14:paraId="1DBC1749" w14:textId="77777777" w:rsidR="0062656C" w:rsidRDefault="0062656C">
            <w:pPr>
              <w:spacing w:before="60" w:after="60"/>
              <w:jc w:val="center"/>
            </w:pPr>
            <w:r>
              <w:t>20%</w:t>
            </w:r>
          </w:p>
        </w:tc>
      </w:tr>
      <w:tr w:rsidR="0062656C" w14:paraId="20955A27" w14:textId="77777777">
        <w:trPr>
          <w:cantSplit/>
        </w:trPr>
        <w:tc>
          <w:tcPr>
            <w:tcW w:w="1133" w:type="dxa"/>
            <w:vAlign w:val="center"/>
          </w:tcPr>
          <w:p w14:paraId="538A6F79" w14:textId="77777777" w:rsidR="0062656C" w:rsidRDefault="0062656C">
            <w:pPr>
              <w:spacing w:before="60" w:after="60"/>
              <w:jc w:val="center"/>
            </w:pPr>
            <w:r>
              <w:t>2</w:t>
            </w:r>
          </w:p>
        </w:tc>
        <w:tc>
          <w:tcPr>
            <w:tcW w:w="1287" w:type="dxa"/>
            <w:vAlign w:val="center"/>
          </w:tcPr>
          <w:p w14:paraId="00E34D14" w14:textId="77777777" w:rsidR="0062656C" w:rsidRDefault="0062656C">
            <w:pPr>
              <w:spacing w:before="60" w:after="60"/>
              <w:jc w:val="center"/>
            </w:pPr>
            <w:r>
              <w:t>C</w:t>
            </w:r>
          </w:p>
        </w:tc>
        <w:tc>
          <w:tcPr>
            <w:tcW w:w="3142" w:type="dxa"/>
            <w:vAlign w:val="center"/>
          </w:tcPr>
          <w:p w14:paraId="2B109CC2" w14:textId="77777777" w:rsidR="0062656C" w:rsidRDefault="0062656C">
            <w:pPr>
              <w:spacing w:before="60" w:after="60"/>
            </w:pPr>
            <w:r>
              <w:t>SR 299: Arcata (US 101) to Redding</w:t>
            </w:r>
          </w:p>
        </w:tc>
        <w:tc>
          <w:tcPr>
            <w:tcW w:w="1248" w:type="dxa"/>
            <w:vAlign w:val="center"/>
          </w:tcPr>
          <w:p w14:paraId="375A8390" w14:textId="77777777" w:rsidR="0062656C" w:rsidRDefault="0062656C">
            <w:pPr>
              <w:spacing w:before="60" w:after="60"/>
              <w:jc w:val="center"/>
            </w:pPr>
            <w:r>
              <w:t>3</w:t>
            </w:r>
          </w:p>
        </w:tc>
        <w:tc>
          <w:tcPr>
            <w:tcW w:w="1015" w:type="dxa"/>
            <w:vAlign w:val="center"/>
          </w:tcPr>
          <w:p w14:paraId="2675FC6D" w14:textId="77777777" w:rsidR="0062656C" w:rsidRDefault="0062656C">
            <w:pPr>
              <w:spacing w:before="60" w:after="60"/>
              <w:jc w:val="center"/>
            </w:pPr>
            <w:r>
              <w:t>12</w:t>
            </w:r>
          </w:p>
        </w:tc>
        <w:tc>
          <w:tcPr>
            <w:tcW w:w="5093" w:type="dxa"/>
            <w:vAlign w:val="center"/>
          </w:tcPr>
          <w:p w14:paraId="176199F2" w14:textId="77777777" w:rsidR="0062656C" w:rsidRDefault="0062656C" w:rsidP="00164AC5">
            <w:pPr>
              <w:pStyle w:val="ListParagraph"/>
              <w:numPr>
                <w:ilvl w:val="0"/>
                <w:numId w:val="52"/>
              </w:numPr>
              <w:spacing w:before="60" w:after="60"/>
              <w:ind w:left="316" w:hanging="316"/>
              <w:contextualSpacing/>
            </w:pPr>
            <w:r>
              <w:t>One station along SR 299 within 25 miles east of the SR 299/US 101 junction (Arcata).</w:t>
            </w:r>
          </w:p>
          <w:p w14:paraId="165BA32C" w14:textId="77777777" w:rsidR="0062656C" w:rsidRDefault="0062656C" w:rsidP="00164AC5">
            <w:pPr>
              <w:pStyle w:val="ListParagraph"/>
              <w:numPr>
                <w:ilvl w:val="0"/>
                <w:numId w:val="52"/>
              </w:numPr>
              <w:spacing w:before="60" w:after="60"/>
              <w:ind w:left="316" w:hanging="316"/>
              <w:contextualSpacing/>
            </w:pPr>
            <w:r>
              <w:t>One station along SR 299 within 25 miles west of the SR 299/S. Market Street junction (Redding).</w:t>
            </w:r>
          </w:p>
        </w:tc>
        <w:tc>
          <w:tcPr>
            <w:tcW w:w="1207" w:type="dxa"/>
            <w:vAlign w:val="center"/>
          </w:tcPr>
          <w:p w14:paraId="548F82AF" w14:textId="77777777" w:rsidR="0062656C" w:rsidRDefault="0062656C">
            <w:pPr>
              <w:spacing w:before="60" w:after="60"/>
              <w:jc w:val="center"/>
            </w:pPr>
            <w:r>
              <w:t>20%</w:t>
            </w:r>
          </w:p>
        </w:tc>
      </w:tr>
      <w:tr w:rsidR="0062656C" w14:paraId="09FFDA42" w14:textId="77777777">
        <w:trPr>
          <w:cantSplit/>
        </w:trPr>
        <w:tc>
          <w:tcPr>
            <w:tcW w:w="1133" w:type="dxa"/>
            <w:vAlign w:val="center"/>
          </w:tcPr>
          <w:p w14:paraId="1CB05732" w14:textId="77777777" w:rsidR="0062656C" w:rsidRDefault="0062656C">
            <w:pPr>
              <w:spacing w:before="60" w:after="60"/>
              <w:jc w:val="center"/>
            </w:pPr>
            <w:r>
              <w:t>3</w:t>
            </w:r>
          </w:p>
        </w:tc>
        <w:tc>
          <w:tcPr>
            <w:tcW w:w="1287" w:type="dxa"/>
            <w:vAlign w:val="center"/>
          </w:tcPr>
          <w:p w14:paraId="340DE884" w14:textId="77777777" w:rsidR="0062656C" w:rsidRDefault="0062656C">
            <w:pPr>
              <w:spacing w:before="60" w:after="60"/>
              <w:jc w:val="center"/>
            </w:pPr>
            <w:r>
              <w:t>A</w:t>
            </w:r>
          </w:p>
        </w:tc>
        <w:tc>
          <w:tcPr>
            <w:tcW w:w="3142" w:type="dxa"/>
            <w:vAlign w:val="center"/>
          </w:tcPr>
          <w:p w14:paraId="149DD125" w14:textId="77777777" w:rsidR="0062656C" w:rsidRDefault="0062656C">
            <w:pPr>
              <w:spacing w:before="60" w:after="60"/>
            </w:pPr>
            <w:r>
              <w:t>SR 1: North of San Francisco (US 101) to Leggett (US 101)</w:t>
            </w:r>
          </w:p>
        </w:tc>
        <w:tc>
          <w:tcPr>
            <w:tcW w:w="1248" w:type="dxa"/>
            <w:vAlign w:val="center"/>
          </w:tcPr>
          <w:p w14:paraId="056D2CF8" w14:textId="77777777" w:rsidR="0062656C" w:rsidRDefault="0062656C">
            <w:pPr>
              <w:spacing w:before="60" w:after="60"/>
              <w:jc w:val="center"/>
            </w:pPr>
            <w:r>
              <w:t>5</w:t>
            </w:r>
          </w:p>
        </w:tc>
        <w:tc>
          <w:tcPr>
            <w:tcW w:w="1015" w:type="dxa"/>
            <w:vAlign w:val="center"/>
          </w:tcPr>
          <w:p w14:paraId="4862E63B" w14:textId="77777777" w:rsidR="0062656C" w:rsidRDefault="0062656C">
            <w:pPr>
              <w:spacing w:before="60" w:after="60"/>
              <w:jc w:val="center"/>
            </w:pPr>
            <w:r>
              <w:t>20</w:t>
            </w:r>
          </w:p>
        </w:tc>
        <w:tc>
          <w:tcPr>
            <w:tcW w:w="5093" w:type="dxa"/>
            <w:vAlign w:val="center"/>
          </w:tcPr>
          <w:p w14:paraId="152751DC" w14:textId="77777777" w:rsidR="0062656C" w:rsidRDefault="0062656C" w:rsidP="00164AC5">
            <w:pPr>
              <w:pStyle w:val="ListParagraph"/>
              <w:numPr>
                <w:ilvl w:val="0"/>
                <w:numId w:val="53"/>
              </w:numPr>
              <w:spacing w:before="60" w:after="60"/>
              <w:ind w:left="316" w:hanging="316"/>
              <w:contextualSpacing/>
            </w:pPr>
            <w:r>
              <w:t>One station along SR 1 within 25 miles north of the SR 1/US 101 junction (Sausalito).</w:t>
            </w:r>
          </w:p>
          <w:p w14:paraId="207C1208" w14:textId="77777777" w:rsidR="0062656C" w:rsidRDefault="0062656C" w:rsidP="00164AC5">
            <w:pPr>
              <w:pStyle w:val="ListParagraph"/>
              <w:numPr>
                <w:ilvl w:val="0"/>
                <w:numId w:val="53"/>
              </w:numPr>
              <w:spacing w:before="60" w:after="60"/>
              <w:ind w:left="316" w:hanging="316"/>
              <w:contextualSpacing/>
            </w:pPr>
            <w:r>
              <w:t>One station along SR 1 within 25 miles south of the SR 1/US 101 junction (Leggett).</w:t>
            </w:r>
          </w:p>
        </w:tc>
        <w:tc>
          <w:tcPr>
            <w:tcW w:w="1207" w:type="dxa"/>
            <w:vAlign w:val="center"/>
          </w:tcPr>
          <w:p w14:paraId="52CC7DB8" w14:textId="77777777" w:rsidR="0062656C" w:rsidRDefault="0062656C">
            <w:pPr>
              <w:spacing w:before="60" w:after="60"/>
              <w:jc w:val="center"/>
            </w:pPr>
            <w:r>
              <w:t>20%</w:t>
            </w:r>
          </w:p>
        </w:tc>
      </w:tr>
      <w:tr w:rsidR="0062656C" w14:paraId="2523E265" w14:textId="77777777">
        <w:trPr>
          <w:cantSplit/>
        </w:trPr>
        <w:tc>
          <w:tcPr>
            <w:tcW w:w="1133" w:type="dxa"/>
            <w:vAlign w:val="center"/>
          </w:tcPr>
          <w:p w14:paraId="3764C45C" w14:textId="77777777" w:rsidR="0062656C" w:rsidRDefault="0062656C">
            <w:pPr>
              <w:spacing w:before="60" w:after="60"/>
              <w:jc w:val="center"/>
            </w:pPr>
            <w:r>
              <w:t>3</w:t>
            </w:r>
          </w:p>
        </w:tc>
        <w:tc>
          <w:tcPr>
            <w:tcW w:w="1287" w:type="dxa"/>
            <w:vAlign w:val="center"/>
          </w:tcPr>
          <w:p w14:paraId="2FCDC19C" w14:textId="77777777" w:rsidR="0062656C" w:rsidRDefault="0062656C">
            <w:pPr>
              <w:spacing w:before="60" w:after="60"/>
              <w:jc w:val="center"/>
            </w:pPr>
            <w:r>
              <w:t>B</w:t>
            </w:r>
          </w:p>
        </w:tc>
        <w:tc>
          <w:tcPr>
            <w:tcW w:w="3142" w:type="dxa"/>
            <w:vAlign w:val="center"/>
          </w:tcPr>
          <w:p w14:paraId="03893C64" w14:textId="77777777" w:rsidR="0062656C" w:rsidRDefault="0062656C">
            <w:pPr>
              <w:spacing w:before="60" w:after="60"/>
            </w:pPr>
            <w:r>
              <w:t>US 101: San Francisco to Leggett (SR 1)*</w:t>
            </w:r>
          </w:p>
        </w:tc>
        <w:tc>
          <w:tcPr>
            <w:tcW w:w="1248" w:type="dxa"/>
            <w:vAlign w:val="center"/>
          </w:tcPr>
          <w:p w14:paraId="42DE7D14" w14:textId="77777777" w:rsidR="0062656C" w:rsidRDefault="0062656C">
            <w:pPr>
              <w:spacing w:before="60" w:after="60"/>
              <w:jc w:val="center"/>
            </w:pPr>
            <w:r>
              <w:t>4</w:t>
            </w:r>
          </w:p>
        </w:tc>
        <w:tc>
          <w:tcPr>
            <w:tcW w:w="1015" w:type="dxa"/>
            <w:vAlign w:val="center"/>
          </w:tcPr>
          <w:p w14:paraId="6C713D4F" w14:textId="77777777" w:rsidR="0062656C" w:rsidRDefault="0062656C">
            <w:pPr>
              <w:spacing w:before="60" w:after="60"/>
              <w:jc w:val="center"/>
            </w:pPr>
            <w:r>
              <w:t>16</w:t>
            </w:r>
          </w:p>
        </w:tc>
        <w:tc>
          <w:tcPr>
            <w:tcW w:w="5093" w:type="dxa"/>
            <w:vAlign w:val="center"/>
          </w:tcPr>
          <w:p w14:paraId="4F49DFC2" w14:textId="77777777" w:rsidR="0062656C" w:rsidRDefault="0062656C" w:rsidP="00164AC5">
            <w:pPr>
              <w:pStyle w:val="ListParagraph"/>
              <w:numPr>
                <w:ilvl w:val="0"/>
                <w:numId w:val="54"/>
              </w:numPr>
              <w:spacing w:before="60" w:after="60"/>
              <w:ind w:left="316" w:hanging="316"/>
              <w:contextualSpacing/>
            </w:pPr>
            <w:r>
              <w:t>One station along US 101 within 25 miles north of the Golden Gate Bridge.</w:t>
            </w:r>
          </w:p>
          <w:p w14:paraId="6019EA38" w14:textId="77777777" w:rsidR="0062656C" w:rsidRDefault="0062656C" w:rsidP="00164AC5">
            <w:pPr>
              <w:pStyle w:val="ListParagraph"/>
              <w:numPr>
                <w:ilvl w:val="0"/>
                <w:numId w:val="54"/>
              </w:numPr>
              <w:spacing w:before="60" w:after="60"/>
              <w:ind w:left="316" w:hanging="316"/>
              <w:contextualSpacing/>
            </w:pPr>
            <w:r>
              <w:t>One station along US 101 within 25 miles either side of the US 101/SR 12 junction (Santa Rosa).</w:t>
            </w:r>
          </w:p>
          <w:p w14:paraId="5D3B50E4" w14:textId="77777777" w:rsidR="0062656C" w:rsidRDefault="0062656C" w:rsidP="00164AC5">
            <w:pPr>
              <w:pStyle w:val="ListParagraph"/>
              <w:numPr>
                <w:ilvl w:val="0"/>
                <w:numId w:val="54"/>
              </w:numPr>
              <w:spacing w:before="60" w:after="60"/>
              <w:ind w:left="316" w:hanging="316"/>
              <w:contextualSpacing/>
            </w:pPr>
            <w:r>
              <w:t>One station along US 101 within 25 miles south of the US 101/SR 1 junction (Leggett).</w:t>
            </w:r>
          </w:p>
        </w:tc>
        <w:tc>
          <w:tcPr>
            <w:tcW w:w="1207" w:type="dxa"/>
            <w:vAlign w:val="center"/>
          </w:tcPr>
          <w:p w14:paraId="479B1FE8" w14:textId="77777777" w:rsidR="0062656C" w:rsidRDefault="0062656C">
            <w:pPr>
              <w:spacing w:before="60" w:after="60"/>
              <w:jc w:val="center"/>
            </w:pPr>
            <w:r>
              <w:t>20%</w:t>
            </w:r>
          </w:p>
        </w:tc>
      </w:tr>
      <w:tr w:rsidR="0062656C" w14:paraId="63F10D68" w14:textId="77777777">
        <w:trPr>
          <w:cantSplit/>
        </w:trPr>
        <w:tc>
          <w:tcPr>
            <w:tcW w:w="1133" w:type="dxa"/>
            <w:vAlign w:val="center"/>
          </w:tcPr>
          <w:p w14:paraId="6CB111BC" w14:textId="77777777" w:rsidR="0062656C" w:rsidRDefault="0062656C">
            <w:pPr>
              <w:spacing w:before="60" w:after="60"/>
              <w:jc w:val="center"/>
            </w:pPr>
            <w:r>
              <w:lastRenderedPageBreak/>
              <w:t>4</w:t>
            </w:r>
          </w:p>
        </w:tc>
        <w:tc>
          <w:tcPr>
            <w:tcW w:w="1287" w:type="dxa"/>
            <w:vAlign w:val="center"/>
          </w:tcPr>
          <w:p w14:paraId="6002395A" w14:textId="77777777" w:rsidR="0062656C" w:rsidRDefault="0062656C">
            <w:pPr>
              <w:spacing w:before="60" w:after="60"/>
              <w:jc w:val="center"/>
            </w:pPr>
            <w:r>
              <w:t>A</w:t>
            </w:r>
          </w:p>
        </w:tc>
        <w:tc>
          <w:tcPr>
            <w:tcW w:w="3142" w:type="dxa"/>
            <w:vAlign w:val="center"/>
          </w:tcPr>
          <w:p w14:paraId="505F2CCD" w14:textId="77777777" w:rsidR="0062656C" w:rsidRDefault="0062656C">
            <w:pPr>
              <w:spacing w:before="60" w:after="60"/>
            </w:pPr>
            <w:r>
              <w:t>US 395: Nevada near Cold Springs to Oregon near New Pine Creek</w:t>
            </w:r>
          </w:p>
        </w:tc>
        <w:tc>
          <w:tcPr>
            <w:tcW w:w="1248" w:type="dxa"/>
            <w:vAlign w:val="center"/>
          </w:tcPr>
          <w:p w14:paraId="6E469F05" w14:textId="77777777" w:rsidR="0062656C" w:rsidRDefault="0062656C">
            <w:pPr>
              <w:spacing w:before="60" w:after="60"/>
              <w:jc w:val="center"/>
            </w:pPr>
            <w:r>
              <w:t>4</w:t>
            </w:r>
          </w:p>
        </w:tc>
        <w:tc>
          <w:tcPr>
            <w:tcW w:w="1015" w:type="dxa"/>
            <w:vAlign w:val="center"/>
          </w:tcPr>
          <w:p w14:paraId="264F67E6" w14:textId="77777777" w:rsidR="0062656C" w:rsidRDefault="0062656C">
            <w:pPr>
              <w:spacing w:before="60" w:after="60"/>
              <w:jc w:val="center"/>
            </w:pPr>
            <w:r>
              <w:t>16</w:t>
            </w:r>
          </w:p>
        </w:tc>
        <w:tc>
          <w:tcPr>
            <w:tcW w:w="5093" w:type="dxa"/>
            <w:vAlign w:val="center"/>
          </w:tcPr>
          <w:p w14:paraId="4F519761" w14:textId="77777777" w:rsidR="0062656C" w:rsidRDefault="0062656C" w:rsidP="00164AC5">
            <w:pPr>
              <w:pStyle w:val="ListParagraph"/>
              <w:numPr>
                <w:ilvl w:val="0"/>
                <w:numId w:val="55"/>
              </w:numPr>
              <w:spacing w:before="60" w:after="60"/>
              <w:ind w:left="316" w:hanging="316"/>
              <w:contextualSpacing/>
            </w:pPr>
            <w:r>
              <w:t>One station along US 395 in California within 25 miles of the Nevada border.</w:t>
            </w:r>
          </w:p>
          <w:p w14:paraId="08294041" w14:textId="77777777" w:rsidR="0062656C" w:rsidRDefault="0062656C" w:rsidP="00164AC5">
            <w:pPr>
              <w:pStyle w:val="ListParagraph"/>
              <w:numPr>
                <w:ilvl w:val="0"/>
                <w:numId w:val="55"/>
              </w:numPr>
              <w:spacing w:before="60" w:after="60"/>
              <w:ind w:left="316" w:hanging="316"/>
              <w:contextualSpacing/>
            </w:pPr>
            <w:r>
              <w:t>One station along US 395 within 25 miles of the Oregon border.</w:t>
            </w:r>
          </w:p>
        </w:tc>
        <w:tc>
          <w:tcPr>
            <w:tcW w:w="1207" w:type="dxa"/>
            <w:vAlign w:val="center"/>
          </w:tcPr>
          <w:p w14:paraId="3192B330" w14:textId="77777777" w:rsidR="0062656C" w:rsidRDefault="0062656C">
            <w:pPr>
              <w:spacing w:before="60" w:after="60"/>
              <w:jc w:val="center"/>
            </w:pPr>
            <w:r>
              <w:t>20%</w:t>
            </w:r>
          </w:p>
        </w:tc>
      </w:tr>
      <w:tr w:rsidR="0062656C" w14:paraId="502C7E71" w14:textId="77777777">
        <w:trPr>
          <w:cantSplit/>
        </w:trPr>
        <w:tc>
          <w:tcPr>
            <w:tcW w:w="1133" w:type="dxa"/>
            <w:vAlign w:val="center"/>
          </w:tcPr>
          <w:p w14:paraId="319C27DF" w14:textId="77777777" w:rsidR="0062656C" w:rsidRDefault="0062656C">
            <w:pPr>
              <w:spacing w:before="60" w:after="60"/>
              <w:jc w:val="center"/>
            </w:pPr>
            <w:r>
              <w:t>5</w:t>
            </w:r>
          </w:p>
        </w:tc>
        <w:tc>
          <w:tcPr>
            <w:tcW w:w="1287" w:type="dxa"/>
            <w:vAlign w:val="center"/>
          </w:tcPr>
          <w:p w14:paraId="4EB26EBA" w14:textId="77777777" w:rsidR="0062656C" w:rsidRDefault="0062656C">
            <w:pPr>
              <w:spacing w:before="60" w:after="60"/>
              <w:jc w:val="center"/>
            </w:pPr>
            <w:r>
              <w:t>A</w:t>
            </w:r>
          </w:p>
        </w:tc>
        <w:tc>
          <w:tcPr>
            <w:tcW w:w="3142" w:type="dxa"/>
            <w:vAlign w:val="center"/>
          </w:tcPr>
          <w:p w14:paraId="2E4EB1CF" w14:textId="77777777" w:rsidR="0062656C" w:rsidRDefault="0062656C">
            <w:pPr>
              <w:spacing w:before="60" w:after="60"/>
            </w:pPr>
            <w:r>
              <w:t>US 395: Hesperia (I-15) to SR 14 (Inyokern)</w:t>
            </w:r>
          </w:p>
        </w:tc>
        <w:tc>
          <w:tcPr>
            <w:tcW w:w="1248" w:type="dxa"/>
            <w:vAlign w:val="center"/>
          </w:tcPr>
          <w:p w14:paraId="1C081CAE" w14:textId="77777777" w:rsidR="0062656C" w:rsidRDefault="0062656C">
            <w:pPr>
              <w:spacing w:before="60" w:after="60"/>
              <w:jc w:val="center"/>
            </w:pPr>
            <w:r>
              <w:t>2</w:t>
            </w:r>
          </w:p>
        </w:tc>
        <w:tc>
          <w:tcPr>
            <w:tcW w:w="1015" w:type="dxa"/>
            <w:vAlign w:val="center"/>
          </w:tcPr>
          <w:p w14:paraId="7E4107D0" w14:textId="77777777" w:rsidR="0062656C" w:rsidRDefault="0062656C">
            <w:pPr>
              <w:spacing w:before="60" w:after="60"/>
              <w:jc w:val="center"/>
            </w:pPr>
            <w:r>
              <w:t>8</w:t>
            </w:r>
          </w:p>
        </w:tc>
        <w:tc>
          <w:tcPr>
            <w:tcW w:w="5093" w:type="dxa"/>
            <w:vAlign w:val="center"/>
          </w:tcPr>
          <w:p w14:paraId="1FD5B724" w14:textId="77777777" w:rsidR="0062656C" w:rsidRDefault="0062656C" w:rsidP="00164AC5">
            <w:pPr>
              <w:pStyle w:val="ListParagraph"/>
              <w:numPr>
                <w:ilvl w:val="0"/>
                <w:numId w:val="56"/>
              </w:numPr>
              <w:spacing w:before="60" w:after="60"/>
              <w:ind w:left="316" w:hanging="316"/>
              <w:contextualSpacing/>
            </w:pPr>
            <w:r>
              <w:t>One station along US 395 within 25 miles north of the US 395/I-15 junction (Hesperia).</w:t>
            </w:r>
          </w:p>
          <w:p w14:paraId="64DFAE3A" w14:textId="77777777" w:rsidR="0062656C" w:rsidRDefault="0062656C" w:rsidP="00164AC5">
            <w:pPr>
              <w:pStyle w:val="ListParagraph"/>
              <w:numPr>
                <w:ilvl w:val="0"/>
                <w:numId w:val="56"/>
              </w:numPr>
              <w:spacing w:before="60" w:after="60"/>
              <w:ind w:left="316" w:hanging="316"/>
              <w:contextualSpacing/>
            </w:pPr>
            <w:r>
              <w:t>One station along US 395 within 25 miles south of the US 395/SR 14 junction (Inyokern)</w:t>
            </w:r>
          </w:p>
        </w:tc>
        <w:tc>
          <w:tcPr>
            <w:tcW w:w="1207" w:type="dxa"/>
            <w:vAlign w:val="center"/>
          </w:tcPr>
          <w:p w14:paraId="742BD237" w14:textId="77777777" w:rsidR="0062656C" w:rsidRDefault="0062656C">
            <w:pPr>
              <w:spacing w:before="60" w:after="60"/>
              <w:jc w:val="center"/>
            </w:pPr>
            <w:r>
              <w:t>20%</w:t>
            </w:r>
          </w:p>
        </w:tc>
      </w:tr>
      <w:tr w:rsidR="0062656C" w14:paraId="1BBCCB9F" w14:textId="77777777">
        <w:trPr>
          <w:cantSplit/>
        </w:trPr>
        <w:tc>
          <w:tcPr>
            <w:tcW w:w="1133" w:type="dxa"/>
            <w:vAlign w:val="center"/>
          </w:tcPr>
          <w:p w14:paraId="55FB95A2" w14:textId="77777777" w:rsidR="0062656C" w:rsidRDefault="0062656C">
            <w:pPr>
              <w:spacing w:before="60" w:after="60"/>
              <w:jc w:val="center"/>
            </w:pPr>
            <w:r>
              <w:t>5</w:t>
            </w:r>
          </w:p>
        </w:tc>
        <w:tc>
          <w:tcPr>
            <w:tcW w:w="1287" w:type="dxa"/>
            <w:vAlign w:val="center"/>
          </w:tcPr>
          <w:p w14:paraId="2FA846DD" w14:textId="77777777" w:rsidR="0062656C" w:rsidRDefault="0062656C">
            <w:pPr>
              <w:spacing w:before="60" w:after="60"/>
              <w:jc w:val="center"/>
            </w:pPr>
            <w:r>
              <w:t>B</w:t>
            </w:r>
          </w:p>
        </w:tc>
        <w:tc>
          <w:tcPr>
            <w:tcW w:w="3142" w:type="dxa"/>
            <w:vAlign w:val="center"/>
          </w:tcPr>
          <w:p w14:paraId="65B34C0C" w14:textId="77777777" w:rsidR="0062656C" w:rsidRDefault="0062656C">
            <w:pPr>
              <w:spacing w:before="60" w:after="60"/>
            </w:pPr>
            <w:r>
              <w:t>US 395: Inyokern (SR 14) to Nevada near Topaz Lake*</w:t>
            </w:r>
          </w:p>
        </w:tc>
        <w:tc>
          <w:tcPr>
            <w:tcW w:w="1248" w:type="dxa"/>
            <w:vAlign w:val="center"/>
          </w:tcPr>
          <w:p w14:paraId="2A79584E" w14:textId="77777777" w:rsidR="0062656C" w:rsidRDefault="0062656C">
            <w:pPr>
              <w:spacing w:before="60" w:after="60"/>
              <w:jc w:val="center"/>
            </w:pPr>
            <w:r>
              <w:t>5</w:t>
            </w:r>
          </w:p>
        </w:tc>
        <w:tc>
          <w:tcPr>
            <w:tcW w:w="1015" w:type="dxa"/>
            <w:vAlign w:val="center"/>
          </w:tcPr>
          <w:p w14:paraId="0C3D6A0D" w14:textId="77777777" w:rsidR="0062656C" w:rsidRDefault="0062656C">
            <w:pPr>
              <w:spacing w:before="60" w:after="60"/>
              <w:jc w:val="center"/>
            </w:pPr>
            <w:r>
              <w:t>20</w:t>
            </w:r>
          </w:p>
        </w:tc>
        <w:tc>
          <w:tcPr>
            <w:tcW w:w="5093" w:type="dxa"/>
            <w:vAlign w:val="center"/>
          </w:tcPr>
          <w:p w14:paraId="2B1A33AA" w14:textId="77777777" w:rsidR="0062656C" w:rsidRDefault="0062656C" w:rsidP="00164AC5">
            <w:pPr>
              <w:pStyle w:val="ListParagraph"/>
              <w:numPr>
                <w:ilvl w:val="0"/>
                <w:numId w:val="56"/>
              </w:numPr>
              <w:spacing w:before="60" w:after="60"/>
              <w:ind w:left="316" w:hanging="316"/>
              <w:contextualSpacing/>
            </w:pPr>
            <w:r>
              <w:t>One station along US 395 within 25 miles north of the US 395/SR 14 junction (Inyokern).</w:t>
            </w:r>
          </w:p>
          <w:p w14:paraId="273CCA6A" w14:textId="77777777" w:rsidR="0062656C" w:rsidRDefault="0062656C" w:rsidP="00164AC5">
            <w:pPr>
              <w:pStyle w:val="ListParagraph"/>
              <w:numPr>
                <w:ilvl w:val="0"/>
                <w:numId w:val="56"/>
              </w:numPr>
              <w:spacing w:before="60" w:after="60"/>
              <w:ind w:left="316" w:hanging="316"/>
              <w:contextualSpacing/>
            </w:pPr>
            <w:r>
              <w:t>One station along US 395 in California within 25 miles of the Nevada border.</w:t>
            </w:r>
          </w:p>
        </w:tc>
        <w:tc>
          <w:tcPr>
            <w:tcW w:w="1207" w:type="dxa"/>
            <w:vAlign w:val="center"/>
          </w:tcPr>
          <w:p w14:paraId="622E0D30" w14:textId="77777777" w:rsidR="0062656C" w:rsidRDefault="0062656C">
            <w:pPr>
              <w:spacing w:before="60" w:after="60"/>
              <w:jc w:val="center"/>
            </w:pPr>
            <w:r>
              <w:t>20%</w:t>
            </w:r>
          </w:p>
        </w:tc>
      </w:tr>
      <w:tr w:rsidR="0062656C" w14:paraId="7B4B59AC" w14:textId="77777777">
        <w:trPr>
          <w:cantSplit/>
        </w:trPr>
        <w:tc>
          <w:tcPr>
            <w:tcW w:w="1133" w:type="dxa"/>
            <w:vAlign w:val="center"/>
          </w:tcPr>
          <w:p w14:paraId="34DC5CCB" w14:textId="77777777" w:rsidR="0062656C" w:rsidRDefault="0062656C">
            <w:pPr>
              <w:spacing w:before="60" w:after="60"/>
              <w:jc w:val="center"/>
            </w:pPr>
            <w:r>
              <w:t>5</w:t>
            </w:r>
          </w:p>
        </w:tc>
        <w:tc>
          <w:tcPr>
            <w:tcW w:w="1287" w:type="dxa"/>
            <w:vAlign w:val="center"/>
          </w:tcPr>
          <w:p w14:paraId="04E09CE9" w14:textId="77777777" w:rsidR="0062656C" w:rsidRDefault="0062656C">
            <w:pPr>
              <w:spacing w:before="60" w:after="60"/>
              <w:jc w:val="center"/>
            </w:pPr>
            <w:r>
              <w:t>C</w:t>
            </w:r>
          </w:p>
        </w:tc>
        <w:tc>
          <w:tcPr>
            <w:tcW w:w="3142" w:type="dxa"/>
            <w:vAlign w:val="center"/>
          </w:tcPr>
          <w:p w14:paraId="37F03CDC" w14:textId="77777777" w:rsidR="0062656C" w:rsidRDefault="0062656C">
            <w:pPr>
              <w:spacing w:before="60" w:after="60"/>
            </w:pPr>
            <w:r>
              <w:t>SR 14: Santa Clarita (I-5) to Inyokern (US 395)</w:t>
            </w:r>
          </w:p>
        </w:tc>
        <w:tc>
          <w:tcPr>
            <w:tcW w:w="1248" w:type="dxa"/>
            <w:vAlign w:val="center"/>
          </w:tcPr>
          <w:p w14:paraId="165B8FD4" w14:textId="77777777" w:rsidR="0062656C" w:rsidRDefault="0062656C">
            <w:pPr>
              <w:spacing w:before="60" w:after="60"/>
              <w:jc w:val="center"/>
            </w:pPr>
            <w:r>
              <w:t>3</w:t>
            </w:r>
          </w:p>
        </w:tc>
        <w:tc>
          <w:tcPr>
            <w:tcW w:w="1015" w:type="dxa"/>
            <w:vAlign w:val="center"/>
          </w:tcPr>
          <w:p w14:paraId="51A96B91" w14:textId="77777777" w:rsidR="0062656C" w:rsidRDefault="0062656C">
            <w:pPr>
              <w:spacing w:before="60" w:after="60"/>
              <w:jc w:val="center"/>
            </w:pPr>
            <w:r>
              <w:t>12</w:t>
            </w:r>
          </w:p>
        </w:tc>
        <w:tc>
          <w:tcPr>
            <w:tcW w:w="5093" w:type="dxa"/>
            <w:vAlign w:val="center"/>
          </w:tcPr>
          <w:p w14:paraId="6B907250" w14:textId="77777777" w:rsidR="0062656C" w:rsidRDefault="0062656C" w:rsidP="00164AC5">
            <w:pPr>
              <w:pStyle w:val="ListParagraph"/>
              <w:numPr>
                <w:ilvl w:val="0"/>
                <w:numId w:val="57"/>
              </w:numPr>
              <w:spacing w:before="60" w:after="60"/>
              <w:ind w:left="316" w:hanging="316"/>
              <w:contextualSpacing/>
            </w:pPr>
            <w:r>
              <w:t>One station along SR 14 within 25 miles northeast of the SR 14/I-5 junction (Santa Clarita/Sylmar).</w:t>
            </w:r>
          </w:p>
          <w:p w14:paraId="1F7E62B2" w14:textId="77777777" w:rsidR="0062656C" w:rsidRDefault="0062656C" w:rsidP="00164AC5">
            <w:pPr>
              <w:pStyle w:val="ListParagraph"/>
              <w:numPr>
                <w:ilvl w:val="0"/>
                <w:numId w:val="57"/>
              </w:numPr>
              <w:spacing w:before="60" w:after="60"/>
              <w:ind w:left="316" w:hanging="316"/>
              <w:contextualSpacing/>
            </w:pPr>
            <w:r>
              <w:t>One station along SR 14 within 25 miles southeast of the SR 14/US 395 junction (Inyokern).</w:t>
            </w:r>
          </w:p>
        </w:tc>
        <w:tc>
          <w:tcPr>
            <w:tcW w:w="1207" w:type="dxa"/>
            <w:vAlign w:val="center"/>
          </w:tcPr>
          <w:p w14:paraId="4E9D156A" w14:textId="77777777" w:rsidR="0062656C" w:rsidRDefault="0062656C">
            <w:pPr>
              <w:spacing w:before="60" w:after="60"/>
              <w:jc w:val="center"/>
            </w:pPr>
            <w:r>
              <w:t>20%</w:t>
            </w:r>
          </w:p>
        </w:tc>
      </w:tr>
      <w:tr w:rsidR="00092694" w14:paraId="141999C3" w14:textId="77777777">
        <w:trPr>
          <w:cantSplit/>
        </w:trPr>
        <w:tc>
          <w:tcPr>
            <w:tcW w:w="1133" w:type="dxa"/>
            <w:vAlign w:val="center"/>
          </w:tcPr>
          <w:p w14:paraId="11FDB948" w14:textId="08890292" w:rsidR="00092694" w:rsidRDefault="00092694">
            <w:pPr>
              <w:spacing w:before="60" w:after="60"/>
              <w:jc w:val="center"/>
            </w:pPr>
            <w:r>
              <w:t>5</w:t>
            </w:r>
          </w:p>
        </w:tc>
        <w:tc>
          <w:tcPr>
            <w:tcW w:w="1287" w:type="dxa"/>
            <w:vAlign w:val="center"/>
          </w:tcPr>
          <w:p w14:paraId="4DB9B27B" w14:textId="6A4740BB" w:rsidR="00092694" w:rsidRDefault="00092694">
            <w:pPr>
              <w:spacing w:before="60" w:after="60"/>
              <w:jc w:val="center"/>
            </w:pPr>
            <w:r>
              <w:t>D</w:t>
            </w:r>
          </w:p>
        </w:tc>
        <w:tc>
          <w:tcPr>
            <w:tcW w:w="3142" w:type="dxa"/>
            <w:vAlign w:val="center"/>
          </w:tcPr>
          <w:p w14:paraId="680102C8" w14:textId="08B5E26C" w:rsidR="00092694" w:rsidRDefault="00D91D2D">
            <w:pPr>
              <w:spacing w:before="60" w:after="60"/>
            </w:pPr>
            <w:r w:rsidRPr="00AF16CF">
              <w:rPr>
                <w:b/>
                <w:bCs/>
              </w:rPr>
              <w:t>Stand-alone Project</w:t>
            </w:r>
            <w:r w:rsidR="0D15C551" w:rsidRPr="1841B62E">
              <w:rPr>
                <w:b/>
                <w:bCs/>
              </w:rPr>
              <w:t xml:space="preserve"> / AFC Round 8</w:t>
            </w:r>
            <w:r w:rsidR="0D15C551">
              <w:t xml:space="preserve">: </w:t>
            </w:r>
            <w:r>
              <w:br/>
            </w:r>
            <w:r w:rsidR="00092694">
              <w:t xml:space="preserve">US 6: </w:t>
            </w:r>
            <w:r w:rsidR="008813D4">
              <w:t>Bishop (US 395) to Nevada</w:t>
            </w:r>
            <w:r>
              <w:t xml:space="preserve"> Border</w:t>
            </w:r>
            <w:r w:rsidR="00433844" w:rsidRPr="00433844">
              <w:rPr>
                <w:vertAlign w:val="superscript"/>
              </w:rPr>
              <w:t>++</w:t>
            </w:r>
          </w:p>
        </w:tc>
        <w:tc>
          <w:tcPr>
            <w:tcW w:w="1248" w:type="dxa"/>
            <w:vAlign w:val="center"/>
          </w:tcPr>
          <w:p w14:paraId="09D4944B" w14:textId="3A135826" w:rsidR="00092694" w:rsidRDefault="00D91D2D">
            <w:pPr>
              <w:spacing w:before="60" w:after="60"/>
              <w:jc w:val="center"/>
            </w:pPr>
            <w:r>
              <w:t>1</w:t>
            </w:r>
          </w:p>
        </w:tc>
        <w:tc>
          <w:tcPr>
            <w:tcW w:w="1015" w:type="dxa"/>
            <w:vAlign w:val="center"/>
          </w:tcPr>
          <w:p w14:paraId="3B49A85C" w14:textId="1661DC7A" w:rsidR="00092694" w:rsidRDefault="00D91D2D">
            <w:pPr>
              <w:spacing w:before="60" w:after="60"/>
              <w:jc w:val="center"/>
            </w:pPr>
            <w:r>
              <w:t>4</w:t>
            </w:r>
          </w:p>
        </w:tc>
        <w:tc>
          <w:tcPr>
            <w:tcW w:w="5093" w:type="dxa"/>
            <w:vAlign w:val="center"/>
          </w:tcPr>
          <w:p w14:paraId="13CCA438" w14:textId="249C6FB0" w:rsidR="00092694" w:rsidRDefault="004433DC" w:rsidP="00164AC5">
            <w:pPr>
              <w:pStyle w:val="ListParagraph"/>
              <w:numPr>
                <w:ilvl w:val="0"/>
                <w:numId w:val="57"/>
              </w:numPr>
              <w:spacing w:before="60" w:after="60"/>
              <w:ind w:left="316" w:hanging="316"/>
              <w:contextualSpacing/>
            </w:pPr>
            <w:r>
              <w:t xml:space="preserve">Preference for a station </w:t>
            </w:r>
            <w:r w:rsidR="004A0508">
              <w:t>along US 6 within 25 miles of the Nevada border</w:t>
            </w:r>
            <w:r w:rsidR="006F2456">
              <w:t>.</w:t>
            </w:r>
          </w:p>
        </w:tc>
        <w:tc>
          <w:tcPr>
            <w:tcW w:w="1207" w:type="dxa"/>
            <w:vAlign w:val="center"/>
          </w:tcPr>
          <w:p w14:paraId="2CC4C72B" w14:textId="4259E864" w:rsidR="00092694" w:rsidRDefault="006F2456">
            <w:pPr>
              <w:spacing w:before="60" w:after="60"/>
              <w:jc w:val="center"/>
            </w:pPr>
            <w:r>
              <w:t>20%</w:t>
            </w:r>
          </w:p>
        </w:tc>
      </w:tr>
      <w:tr w:rsidR="0062656C" w14:paraId="77FE293C" w14:textId="77777777">
        <w:trPr>
          <w:cantSplit/>
        </w:trPr>
        <w:tc>
          <w:tcPr>
            <w:tcW w:w="1133" w:type="dxa"/>
            <w:shd w:val="clear" w:color="auto" w:fill="BFBFBF" w:themeFill="background1" w:themeFillShade="BF"/>
            <w:vAlign w:val="center"/>
          </w:tcPr>
          <w:p w14:paraId="14BC1758" w14:textId="77777777" w:rsidR="0062656C" w:rsidRDefault="0062656C">
            <w:pPr>
              <w:spacing w:before="60" w:after="60"/>
              <w:jc w:val="center"/>
            </w:pPr>
            <w:r>
              <w:lastRenderedPageBreak/>
              <w:t>6A</w:t>
            </w:r>
          </w:p>
        </w:tc>
        <w:tc>
          <w:tcPr>
            <w:tcW w:w="1287" w:type="dxa"/>
            <w:shd w:val="clear" w:color="auto" w:fill="BFBFBF" w:themeFill="background1" w:themeFillShade="BF"/>
            <w:vAlign w:val="center"/>
          </w:tcPr>
          <w:p w14:paraId="0ED84830" w14:textId="77777777" w:rsidR="0062656C" w:rsidRDefault="0062656C">
            <w:pPr>
              <w:spacing w:before="60" w:after="60"/>
              <w:jc w:val="center"/>
            </w:pPr>
          </w:p>
        </w:tc>
        <w:tc>
          <w:tcPr>
            <w:tcW w:w="3142" w:type="dxa"/>
            <w:shd w:val="clear" w:color="auto" w:fill="BFBFBF" w:themeFill="background1" w:themeFillShade="BF"/>
            <w:vAlign w:val="center"/>
          </w:tcPr>
          <w:p w14:paraId="1A561C47" w14:textId="28B89E86" w:rsidR="0062656C" w:rsidRDefault="0062656C">
            <w:pPr>
              <w:spacing w:before="60" w:after="60"/>
            </w:pPr>
            <w:r>
              <w:t xml:space="preserve">Offered in </w:t>
            </w:r>
            <w:r w:rsidR="007559DA">
              <w:t>GFO-23-601</w:t>
            </w:r>
            <w:r>
              <w:t xml:space="preserve"> </w:t>
            </w:r>
          </w:p>
        </w:tc>
        <w:tc>
          <w:tcPr>
            <w:tcW w:w="1248" w:type="dxa"/>
            <w:shd w:val="clear" w:color="auto" w:fill="BFBFBF" w:themeFill="background1" w:themeFillShade="BF"/>
            <w:vAlign w:val="center"/>
          </w:tcPr>
          <w:p w14:paraId="7487842A" w14:textId="77777777" w:rsidR="0062656C" w:rsidRDefault="0062656C">
            <w:pPr>
              <w:spacing w:before="60" w:after="60"/>
              <w:jc w:val="center"/>
            </w:pPr>
          </w:p>
        </w:tc>
        <w:tc>
          <w:tcPr>
            <w:tcW w:w="1015" w:type="dxa"/>
            <w:shd w:val="clear" w:color="auto" w:fill="BFBFBF" w:themeFill="background1" w:themeFillShade="BF"/>
            <w:vAlign w:val="center"/>
          </w:tcPr>
          <w:p w14:paraId="0DE63E31" w14:textId="77777777" w:rsidR="0062656C" w:rsidRDefault="0062656C">
            <w:pPr>
              <w:spacing w:before="60" w:after="60"/>
              <w:jc w:val="center"/>
            </w:pPr>
          </w:p>
        </w:tc>
        <w:tc>
          <w:tcPr>
            <w:tcW w:w="5093" w:type="dxa"/>
            <w:shd w:val="clear" w:color="auto" w:fill="BFBFBF" w:themeFill="background1" w:themeFillShade="BF"/>
            <w:vAlign w:val="center"/>
          </w:tcPr>
          <w:p w14:paraId="54EC85E3" w14:textId="77777777" w:rsidR="0062656C" w:rsidRDefault="0062656C">
            <w:pPr>
              <w:spacing w:before="60" w:after="60"/>
            </w:pPr>
          </w:p>
        </w:tc>
        <w:tc>
          <w:tcPr>
            <w:tcW w:w="1207" w:type="dxa"/>
            <w:shd w:val="clear" w:color="auto" w:fill="BFBFBF" w:themeFill="background1" w:themeFillShade="BF"/>
            <w:vAlign w:val="center"/>
          </w:tcPr>
          <w:p w14:paraId="10D93620" w14:textId="77777777" w:rsidR="0062656C" w:rsidRDefault="0062656C">
            <w:pPr>
              <w:spacing w:before="60" w:after="60"/>
              <w:jc w:val="center"/>
            </w:pPr>
          </w:p>
        </w:tc>
      </w:tr>
      <w:tr w:rsidR="0062656C" w14:paraId="4B3B5056" w14:textId="77777777">
        <w:trPr>
          <w:cantSplit/>
        </w:trPr>
        <w:tc>
          <w:tcPr>
            <w:tcW w:w="1133" w:type="dxa"/>
            <w:shd w:val="clear" w:color="auto" w:fill="BFBFBF" w:themeFill="background1" w:themeFillShade="BF"/>
            <w:vAlign w:val="center"/>
          </w:tcPr>
          <w:p w14:paraId="6C80EB2A" w14:textId="77777777" w:rsidR="0062656C" w:rsidRDefault="0062656C">
            <w:pPr>
              <w:spacing w:before="60" w:after="60"/>
              <w:jc w:val="center"/>
            </w:pPr>
            <w:r>
              <w:t>6B</w:t>
            </w:r>
          </w:p>
        </w:tc>
        <w:tc>
          <w:tcPr>
            <w:tcW w:w="1287" w:type="dxa"/>
            <w:shd w:val="clear" w:color="auto" w:fill="BFBFBF" w:themeFill="background1" w:themeFillShade="BF"/>
            <w:vAlign w:val="center"/>
          </w:tcPr>
          <w:p w14:paraId="28CA9A94" w14:textId="77777777" w:rsidR="0062656C" w:rsidRDefault="0062656C">
            <w:pPr>
              <w:spacing w:before="60" w:after="60"/>
              <w:jc w:val="center"/>
            </w:pPr>
          </w:p>
        </w:tc>
        <w:tc>
          <w:tcPr>
            <w:tcW w:w="3142" w:type="dxa"/>
            <w:shd w:val="clear" w:color="auto" w:fill="BFBFBF" w:themeFill="background1" w:themeFillShade="BF"/>
            <w:vAlign w:val="center"/>
          </w:tcPr>
          <w:p w14:paraId="7F98DE07" w14:textId="0FB2E3AF" w:rsidR="0062656C" w:rsidRDefault="0062656C">
            <w:pPr>
              <w:spacing w:before="60" w:after="60"/>
            </w:pPr>
            <w:r>
              <w:t xml:space="preserve">Offered in </w:t>
            </w:r>
            <w:r w:rsidR="007559DA">
              <w:t>GFO-23-601</w:t>
            </w:r>
          </w:p>
        </w:tc>
        <w:tc>
          <w:tcPr>
            <w:tcW w:w="1248" w:type="dxa"/>
            <w:shd w:val="clear" w:color="auto" w:fill="BFBFBF" w:themeFill="background1" w:themeFillShade="BF"/>
            <w:vAlign w:val="center"/>
          </w:tcPr>
          <w:p w14:paraId="268AB093" w14:textId="77777777" w:rsidR="0062656C" w:rsidRDefault="0062656C">
            <w:pPr>
              <w:spacing w:before="60" w:after="60"/>
              <w:jc w:val="center"/>
            </w:pPr>
          </w:p>
        </w:tc>
        <w:tc>
          <w:tcPr>
            <w:tcW w:w="1015" w:type="dxa"/>
            <w:shd w:val="clear" w:color="auto" w:fill="BFBFBF" w:themeFill="background1" w:themeFillShade="BF"/>
            <w:vAlign w:val="center"/>
          </w:tcPr>
          <w:p w14:paraId="31A4BEF6" w14:textId="77777777" w:rsidR="0062656C" w:rsidRDefault="0062656C">
            <w:pPr>
              <w:spacing w:before="60" w:after="60"/>
              <w:jc w:val="center"/>
            </w:pPr>
          </w:p>
        </w:tc>
        <w:tc>
          <w:tcPr>
            <w:tcW w:w="5093" w:type="dxa"/>
            <w:shd w:val="clear" w:color="auto" w:fill="BFBFBF" w:themeFill="background1" w:themeFillShade="BF"/>
            <w:vAlign w:val="center"/>
          </w:tcPr>
          <w:p w14:paraId="183EA8C1" w14:textId="77777777" w:rsidR="0062656C" w:rsidRDefault="0062656C">
            <w:pPr>
              <w:spacing w:before="60" w:after="60"/>
            </w:pPr>
          </w:p>
        </w:tc>
        <w:tc>
          <w:tcPr>
            <w:tcW w:w="1207" w:type="dxa"/>
            <w:shd w:val="clear" w:color="auto" w:fill="BFBFBF" w:themeFill="background1" w:themeFillShade="BF"/>
            <w:vAlign w:val="center"/>
          </w:tcPr>
          <w:p w14:paraId="36DCAF3C" w14:textId="77777777" w:rsidR="0062656C" w:rsidRDefault="0062656C">
            <w:pPr>
              <w:spacing w:before="60" w:after="60"/>
              <w:jc w:val="center"/>
            </w:pPr>
          </w:p>
        </w:tc>
      </w:tr>
      <w:tr w:rsidR="0062656C" w14:paraId="48AE49E6" w14:textId="77777777">
        <w:trPr>
          <w:cantSplit/>
        </w:trPr>
        <w:tc>
          <w:tcPr>
            <w:tcW w:w="1133" w:type="dxa"/>
            <w:shd w:val="clear" w:color="auto" w:fill="BFBFBF" w:themeFill="background1" w:themeFillShade="BF"/>
            <w:vAlign w:val="center"/>
          </w:tcPr>
          <w:p w14:paraId="3D85CE48" w14:textId="77777777" w:rsidR="0062656C" w:rsidRDefault="0062656C">
            <w:pPr>
              <w:spacing w:before="60" w:after="60"/>
              <w:jc w:val="center"/>
            </w:pPr>
            <w:r>
              <w:t>7</w:t>
            </w:r>
          </w:p>
        </w:tc>
        <w:tc>
          <w:tcPr>
            <w:tcW w:w="1287" w:type="dxa"/>
            <w:shd w:val="clear" w:color="auto" w:fill="BFBFBF" w:themeFill="background1" w:themeFillShade="BF"/>
            <w:vAlign w:val="center"/>
          </w:tcPr>
          <w:p w14:paraId="51476E3B" w14:textId="77777777" w:rsidR="0062656C" w:rsidRDefault="0062656C">
            <w:pPr>
              <w:spacing w:before="60" w:after="60"/>
              <w:jc w:val="center"/>
            </w:pPr>
          </w:p>
        </w:tc>
        <w:tc>
          <w:tcPr>
            <w:tcW w:w="3142" w:type="dxa"/>
            <w:shd w:val="clear" w:color="auto" w:fill="BFBFBF" w:themeFill="background1" w:themeFillShade="BF"/>
            <w:vAlign w:val="center"/>
          </w:tcPr>
          <w:p w14:paraId="3C5CB19D" w14:textId="2F588544" w:rsidR="0062656C" w:rsidRDefault="0062656C">
            <w:pPr>
              <w:spacing w:before="60" w:after="60"/>
            </w:pPr>
            <w:r>
              <w:t xml:space="preserve">Offered in </w:t>
            </w:r>
            <w:r w:rsidR="007559DA">
              <w:t>GFO-23-601</w:t>
            </w:r>
          </w:p>
        </w:tc>
        <w:tc>
          <w:tcPr>
            <w:tcW w:w="1248" w:type="dxa"/>
            <w:shd w:val="clear" w:color="auto" w:fill="BFBFBF" w:themeFill="background1" w:themeFillShade="BF"/>
            <w:vAlign w:val="center"/>
          </w:tcPr>
          <w:p w14:paraId="4B16A841" w14:textId="77777777" w:rsidR="0062656C" w:rsidRDefault="0062656C">
            <w:pPr>
              <w:spacing w:before="60" w:after="60"/>
              <w:jc w:val="center"/>
            </w:pPr>
          </w:p>
        </w:tc>
        <w:tc>
          <w:tcPr>
            <w:tcW w:w="1015" w:type="dxa"/>
            <w:shd w:val="clear" w:color="auto" w:fill="BFBFBF" w:themeFill="background1" w:themeFillShade="BF"/>
            <w:vAlign w:val="center"/>
          </w:tcPr>
          <w:p w14:paraId="3F41A5BF" w14:textId="77777777" w:rsidR="0062656C" w:rsidRDefault="0062656C">
            <w:pPr>
              <w:spacing w:before="60" w:after="60"/>
              <w:jc w:val="center"/>
            </w:pPr>
          </w:p>
        </w:tc>
        <w:tc>
          <w:tcPr>
            <w:tcW w:w="5093" w:type="dxa"/>
            <w:shd w:val="clear" w:color="auto" w:fill="BFBFBF" w:themeFill="background1" w:themeFillShade="BF"/>
            <w:vAlign w:val="center"/>
          </w:tcPr>
          <w:p w14:paraId="54806BF3" w14:textId="77777777" w:rsidR="0062656C" w:rsidRDefault="0062656C">
            <w:pPr>
              <w:spacing w:before="60" w:after="60"/>
            </w:pPr>
          </w:p>
        </w:tc>
        <w:tc>
          <w:tcPr>
            <w:tcW w:w="1207" w:type="dxa"/>
            <w:shd w:val="clear" w:color="auto" w:fill="BFBFBF" w:themeFill="background1" w:themeFillShade="BF"/>
            <w:vAlign w:val="center"/>
          </w:tcPr>
          <w:p w14:paraId="5DBA21C4" w14:textId="77777777" w:rsidR="0062656C" w:rsidRDefault="0062656C">
            <w:pPr>
              <w:spacing w:before="60" w:after="60"/>
              <w:jc w:val="center"/>
            </w:pPr>
          </w:p>
        </w:tc>
      </w:tr>
      <w:tr w:rsidR="0062656C" w14:paraId="224F10E4" w14:textId="77777777">
        <w:trPr>
          <w:cantSplit/>
        </w:trPr>
        <w:tc>
          <w:tcPr>
            <w:tcW w:w="1133" w:type="dxa"/>
            <w:vAlign w:val="center"/>
          </w:tcPr>
          <w:p w14:paraId="6155D365" w14:textId="77777777" w:rsidR="0062656C" w:rsidRDefault="0062656C">
            <w:pPr>
              <w:spacing w:before="60" w:after="60"/>
              <w:jc w:val="center"/>
            </w:pPr>
            <w:r>
              <w:t>8</w:t>
            </w:r>
          </w:p>
        </w:tc>
        <w:tc>
          <w:tcPr>
            <w:tcW w:w="1287" w:type="dxa"/>
            <w:vAlign w:val="center"/>
          </w:tcPr>
          <w:p w14:paraId="349BB78A" w14:textId="77777777" w:rsidR="0062656C" w:rsidRDefault="0062656C">
            <w:pPr>
              <w:spacing w:before="60" w:after="60"/>
              <w:jc w:val="center"/>
            </w:pPr>
            <w:r>
              <w:t>A</w:t>
            </w:r>
          </w:p>
        </w:tc>
        <w:tc>
          <w:tcPr>
            <w:tcW w:w="3142" w:type="dxa"/>
            <w:vAlign w:val="center"/>
          </w:tcPr>
          <w:p w14:paraId="54DCE78C" w14:textId="77777777" w:rsidR="0062656C" w:rsidRDefault="0062656C">
            <w:pPr>
              <w:spacing w:before="60" w:after="60"/>
            </w:pPr>
            <w:r>
              <w:t xml:space="preserve">SR 20: </w:t>
            </w:r>
            <w:proofErr w:type="spellStart"/>
            <w:r>
              <w:t>Calpella</w:t>
            </w:r>
            <w:proofErr w:type="spellEnd"/>
            <w:r>
              <w:t xml:space="preserve"> (US 101) to Upper Lake (SR 29) and Clearlake Oaks (SR </w:t>
            </w:r>
            <w:r w:rsidRPr="00DE0C32">
              <w:t>53</w:t>
            </w:r>
            <w:r>
              <w:t xml:space="preserve">) to </w:t>
            </w:r>
            <w:r w:rsidRPr="00DE0C32">
              <w:t>Yuba Pass (</w:t>
            </w:r>
            <w:r>
              <w:t>I-8</w:t>
            </w:r>
            <w:r w:rsidRPr="00DE0C32">
              <w:t>0)</w:t>
            </w:r>
          </w:p>
          <w:p w14:paraId="39ABCB76" w14:textId="77777777" w:rsidR="0062656C" w:rsidRDefault="0062656C">
            <w:pPr>
              <w:spacing w:before="60" w:after="60"/>
            </w:pPr>
            <w:r>
              <w:t>SR 29: Upper Lake (SR 20) to Lower Lake (SR 53)</w:t>
            </w:r>
          </w:p>
        </w:tc>
        <w:tc>
          <w:tcPr>
            <w:tcW w:w="1248" w:type="dxa"/>
            <w:vAlign w:val="center"/>
          </w:tcPr>
          <w:p w14:paraId="0EA95366" w14:textId="77777777" w:rsidR="0062656C" w:rsidRDefault="0062656C">
            <w:pPr>
              <w:spacing w:before="60" w:after="60"/>
              <w:jc w:val="center"/>
            </w:pPr>
            <w:r>
              <w:t>5</w:t>
            </w:r>
          </w:p>
        </w:tc>
        <w:tc>
          <w:tcPr>
            <w:tcW w:w="1015" w:type="dxa"/>
            <w:vAlign w:val="center"/>
          </w:tcPr>
          <w:p w14:paraId="10F12841" w14:textId="77777777" w:rsidR="0062656C" w:rsidRDefault="0062656C">
            <w:pPr>
              <w:spacing w:before="60" w:after="60"/>
              <w:jc w:val="center"/>
            </w:pPr>
            <w:r>
              <w:t>24</w:t>
            </w:r>
          </w:p>
        </w:tc>
        <w:tc>
          <w:tcPr>
            <w:tcW w:w="5093" w:type="dxa"/>
            <w:vAlign w:val="center"/>
          </w:tcPr>
          <w:p w14:paraId="0EA201EF" w14:textId="77777777" w:rsidR="0062656C" w:rsidRDefault="0062656C" w:rsidP="00164AC5">
            <w:pPr>
              <w:pStyle w:val="ListParagraph"/>
              <w:numPr>
                <w:ilvl w:val="0"/>
                <w:numId w:val="63"/>
              </w:numPr>
              <w:spacing w:before="60" w:after="60"/>
              <w:ind w:left="316" w:hanging="316"/>
              <w:contextualSpacing/>
            </w:pPr>
            <w:r>
              <w:t>One station within 25 miles of the US 101 junction (</w:t>
            </w:r>
            <w:proofErr w:type="spellStart"/>
            <w:r>
              <w:t>Calpella</w:t>
            </w:r>
            <w:proofErr w:type="spellEnd"/>
            <w:r>
              <w:t>) along either SR 20 or SR 29.</w:t>
            </w:r>
          </w:p>
          <w:p w14:paraId="7830E9C4" w14:textId="77777777" w:rsidR="0062656C" w:rsidRDefault="0062656C" w:rsidP="00164AC5">
            <w:pPr>
              <w:pStyle w:val="ListParagraph"/>
              <w:numPr>
                <w:ilvl w:val="0"/>
                <w:numId w:val="63"/>
              </w:numPr>
              <w:spacing w:before="60" w:after="60"/>
              <w:ind w:left="316" w:hanging="316"/>
              <w:contextualSpacing/>
            </w:pPr>
            <w:r>
              <w:t>One station along SR 20 within 25 miles either side of the SR 20/I-5 junction (Williams).</w:t>
            </w:r>
          </w:p>
          <w:p w14:paraId="0784EA09" w14:textId="77777777" w:rsidR="0062656C" w:rsidRDefault="0062656C" w:rsidP="00164AC5">
            <w:pPr>
              <w:pStyle w:val="ListParagraph"/>
              <w:numPr>
                <w:ilvl w:val="0"/>
                <w:numId w:val="63"/>
              </w:numPr>
              <w:spacing w:before="60" w:after="60"/>
              <w:ind w:left="316" w:hanging="316"/>
              <w:contextualSpacing/>
            </w:pPr>
            <w:r>
              <w:t>One station along SR 20 within 25 miles west of the SR 20/I-80 junction (Yuba Pass).</w:t>
            </w:r>
          </w:p>
        </w:tc>
        <w:tc>
          <w:tcPr>
            <w:tcW w:w="1207" w:type="dxa"/>
            <w:vAlign w:val="center"/>
          </w:tcPr>
          <w:p w14:paraId="1113090E" w14:textId="0D6472F4" w:rsidR="0062656C" w:rsidRDefault="0062656C">
            <w:pPr>
              <w:spacing w:before="60" w:after="60"/>
              <w:jc w:val="center"/>
            </w:pPr>
            <w:r>
              <w:t>50%</w:t>
            </w:r>
          </w:p>
        </w:tc>
      </w:tr>
      <w:tr w:rsidR="0062656C" w14:paraId="68623BCE" w14:textId="77777777">
        <w:trPr>
          <w:cantSplit/>
        </w:trPr>
        <w:tc>
          <w:tcPr>
            <w:tcW w:w="1133" w:type="dxa"/>
            <w:vAlign w:val="center"/>
          </w:tcPr>
          <w:p w14:paraId="4E47B426" w14:textId="77777777" w:rsidR="0062656C" w:rsidRDefault="0062656C">
            <w:pPr>
              <w:spacing w:before="60" w:after="60"/>
              <w:jc w:val="center"/>
            </w:pPr>
            <w:r>
              <w:t>8</w:t>
            </w:r>
          </w:p>
        </w:tc>
        <w:tc>
          <w:tcPr>
            <w:tcW w:w="1287" w:type="dxa"/>
            <w:vAlign w:val="center"/>
          </w:tcPr>
          <w:p w14:paraId="2FD6EDEC" w14:textId="77777777" w:rsidR="0062656C" w:rsidRDefault="0062656C">
            <w:pPr>
              <w:spacing w:before="60" w:after="60"/>
              <w:jc w:val="center"/>
            </w:pPr>
            <w:r>
              <w:t>B</w:t>
            </w:r>
          </w:p>
        </w:tc>
        <w:tc>
          <w:tcPr>
            <w:tcW w:w="3142" w:type="dxa"/>
            <w:vAlign w:val="center"/>
          </w:tcPr>
          <w:p w14:paraId="63724196" w14:textId="292108B6" w:rsidR="0062656C" w:rsidRDefault="0062656C">
            <w:pPr>
              <w:spacing w:before="60" w:after="60"/>
            </w:pPr>
            <w:r w:rsidRPr="00F03C42">
              <w:rPr>
                <w:b/>
                <w:bCs/>
              </w:rPr>
              <w:t>Stand-alone Project</w:t>
            </w:r>
            <w:r>
              <w:t>:</w:t>
            </w:r>
            <w:r>
              <w:br/>
              <w:t>SR 49: Auburn (I-80) to Grass Valley (SR 20)</w:t>
            </w:r>
          </w:p>
        </w:tc>
        <w:tc>
          <w:tcPr>
            <w:tcW w:w="1248" w:type="dxa"/>
            <w:vAlign w:val="center"/>
          </w:tcPr>
          <w:p w14:paraId="314B02F1" w14:textId="77777777" w:rsidR="0062656C" w:rsidRDefault="0062656C">
            <w:pPr>
              <w:spacing w:before="60" w:after="60"/>
              <w:jc w:val="center"/>
            </w:pPr>
            <w:r>
              <w:t>1</w:t>
            </w:r>
          </w:p>
        </w:tc>
        <w:tc>
          <w:tcPr>
            <w:tcW w:w="1015" w:type="dxa"/>
            <w:vAlign w:val="center"/>
          </w:tcPr>
          <w:p w14:paraId="25BC9D29" w14:textId="77777777" w:rsidR="0062656C" w:rsidRDefault="0062656C">
            <w:pPr>
              <w:spacing w:before="60" w:after="60"/>
              <w:jc w:val="center"/>
            </w:pPr>
            <w:r>
              <w:t>4</w:t>
            </w:r>
          </w:p>
        </w:tc>
        <w:tc>
          <w:tcPr>
            <w:tcW w:w="5093" w:type="dxa"/>
            <w:vAlign w:val="center"/>
          </w:tcPr>
          <w:p w14:paraId="4FE5FDEB" w14:textId="77777777" w:rsidR="0062656C" w:rsidRDefault="0062656C">
            <w:pPr>
              <w:spacing w:before="60" w:after="60"/>
            </w:pPr>
            <w:r>
              <w:t xml:space="preserve">N/A. Anywhere along SR 49 between Auburn and Grass Valley is acceptable. </w:t>
            </w:r>
          </w:p>
        </w:tc>
        <w:tc>
          <w:tcPr>
            <w:tcW w:w="1207" w:type="dxa"/>
            <w:vAlign w:val="center"/>
          </w:tcPr>
          <w:p w14:paraId="454AF9E9" w14:textId="77777777" w:rsidR="0062656C" w:rsidRDefault="0062656C">
            <w:pPr>
              <w:spacing w:before="60" w:after="60"/>
              <w:jc w:val="center"/>
            </w:pPr>
            <w:r>
              <w:t>20%</w:t>
            </w:r>
          </w:p>
        </w:tc>
      </w:tr>
      <w:tr w:rsidR="0062656C" w14:paraId="6E511661" w14:textId="77777777">
        <w:trPr>
          <w:cantSplit/>
        </w:trPr>
        <w:tc>
          <w:tcPr>
            <w:tcW w:w="1133" w:type="dxa"/>
            <w:vAlign w:val="center"/>
          </w:tcPr>
          <w:p w14:paraId="1B9D37B6" w14:textId="77777777" w:rsidR="0062656C" w:rsidRDefault="0062656C">
            <w:pPr>
              <w:spacing w:before="60" w:after="60"/>
              <w:jc w:val="center"/>
            </w:pPr>
            <w:r>
              <w:t>8</w:t>
            </w:r>
          </w:p>
        </w:tc>
        <w:tc>
          <w:tcPr>
            <w:tcW w:w="1287" w:type="dxa"/>
            <w:vAlign w:val="center"/>
          </w:tcPr>
          <w:p w14:paraId="796F0DD7" w14:textId="77777777" w:rsidR="0062656C" w:rsidRDefault="0062656C">
            <w:pPr>
              <w:spacing w:before="60" w:after="60"/>
              <w:jc w:val="center"/>
            </w:pPr>
            <w:r>
              <w:t>C</w:t>
            </w:r>
          </w:p>
        </w:tc>
        <w:tc>
          <w:tcPr>
            <w:tcW w:w="3142" w:type="dxa"/>
            <w:vAlign w:val="center"/>
          </w:tcPr>
          <w:p w14:paraId="3472F14F" w14:textId="77777777" w:rsidR="0062656C" w:rsidRDefault="0062656C">
            <w:pPr>
              <w:spacing w:before="60" w:after="60"/>
            </w:pPr>
            <w:r>
              <w:t>US 50: Placerville (SR 49) to South Lake Tahoe**</w:t>
            </w:r>
          </w:p>
        </w:tc>
        <w:tc>
          <w:tcPr>
            <w:tcW w:w="1248" w:type="dxa"/>
            <w:vAlign w:val="center"/>
          </w:tcPr>
          <w:p w14:paraId="38A03572" w14:textId="77777777" w:rsidR="0062656C" w:rsidRDefault="0062656C">
            <w:pPr>
              <w:spacing w:before="60" w:after="60"/>
              <w:jc w:val="center"/>
            </w:pPr>
            <w:r>
              <w:t>2</w:t>
            </w:r>
          </w:p>
        </w:tc>
        <w:tc>
          <w:tcPr>
            <w:tcW w:w="1015" w:type="dxa"/>
            <w:vAlign w:val="center"/>
          </w:tcPr>
          <w:p w14:paraId="752F36C5" w14:textId="77777777" w:rsidR="0062656C" w:rsidRDefault="0062656C">
            <w:pPr>
              <w:spacing w:before="60" w:after="60"/>
              <w:jc w:val="center"/>
            </w:pPr>
            <w:r>
              <w:t>12</w:t>
            </w:r>
          </w:p>
        </w:tc>
        <w:tc>
          <w:tcPr>
            <w:tcW w:w="5093" w:type="dxa"/>
            <w:vAlign w:val="center"/>
          </w:tcPr>
          <w:p w14:paraId="2F551409" w14:textId="77777777" w:rsidR="0062656C" w:rsidRDefault="0062656C" w:rsidP="00164AC5">
            <w:pPr>
              <w:pStyle w:val="ListParagraph"/>
              <w:numPr>
                <w:ilvl w:val="0"/>
                <w:numId w:val="64"/>
              </w:numPr>
              <w:spacing w:before="60" w:after="60"/>
              <w:ind w:left="316" w:hanging="316"/>
              <w:contextualSpacing/>
            </w:pPr>
            <w:r>
              <w:t>One station along US 50 in California within 25 miles of the Nevada border.</w:t>
            </w:r>
          </w:p>
        </w:tc>
        <w:tc>
          <w:tcPr>
            <w:tcW w:w="1207" w:type="dxa"/>
            <w:vAlign w:val="center"/>
          </w:tcPr>
          <w:p w14:paraId="6DEE6978" w14:textId="77777777" w:rsidR="0062656C" w:rsidRDefault="0062656C">
            <w:pPr>
              <w:spacing w:before="60" w:after="60"/>
              <w:jc w:val="center"/>
            </w:pPr>
            <w:r>
              <w:t>50%</w:t>
            </w:r>
          </w:p>
        </w:tc>
      </w:tr>
      <w:tr w:rsidR="0062656C" w14:paraId="087CA4F1" w14:textId="77777777">
        <w:trPr>
          <w:cantSplit/>
        </w:trPr>
        <w:tc>
          <w:tcPr>
            <w:tcW w:w="1133" w:type="dxa"/>
            <w:vAlign w:val="center"/>
          </w:tcPr>
          <w:p w14:paraId="37D475C2" w14:textId="77777777" w:rsidR="0062656C" w:rsidRDefault="0062656C">
            <w:pPr>
              <w:spacing w:before="60" w:after="60"/>
              <w:jc w:val="center"/>
            </w:pPr>
            <w:r>
              <w:t>8</w:t>
            </w:r>
          </w:p>
        </w:tc>
        <w:tc>
          <w:tcPr>
            <w:tcW w:w="1287" w:type="dxa"/>
            <w:vAlign w:val="center"/>
          </w:tcPr>
          <w:p w14:paraId="6CB66A51" w14:textId="77777777" w:rsidR="0062656C" w:rsidRDefault="0062656C">
            <w:pPr>
              <w:spacing w:before="60" w:after="60"/>
              <w:jc w:val="center"/>
            </w:pPr>
            <w:r>
              <w:t>D</w:t>
            </w:r>
          </w:p>
        </w:tc>
        <w:tc>
          <w:tcPr>
            <w:tcW w:w="3142" w:type="dxa"/>
            <w:vAlign w:val="center"/>
          </w:tcPr>
          <w:p w14:paraId="2D199346" w14:textId="77777777" w:rsidR="0062656C" w:rsidRDefault="0062656C">
            <w:pPr>
              <w:spacing w:before="60" w:after="60"/>
            </w:pPr>
            <w:r>
              <w:t>I-80: Sacramento to Nevada Border*</w:t>
            </w:r>
          </w:p>
        </w:tc>
        <w:tc>
          <w:tcPr>
            <w:tcW w:w="1248" w:type="dxa"/>
            <w:vAlign w:val="center"/>
          </w:tcPr>
          <w:p w14:paraId="4933A2FF" w14:textId="77777777" w:rsidR="0062656C" w:rsidRDefault="0062656C">
            <w:pPr>
              <w:spacing w:before="60" w:after="60"/>
              <w:jc w:val="center"/>
            </w:pPr>
            <w:r>
              <w:t>3</w:t>
            </w:r>
          </w:p>
        </w:tc>
        <w:tc>
          <w:tcPr>
            <w:tcW w:w="1015" w:type="dxa"/>
            <w:vAlign w:val="center"/>
          </w:tcPr>
          <w:p w14:paraId="5D00DDD0" w14:textId="77777777" w:rsidR="0062656C" w:rsidRDefault="0062656C">
            <w:pPr>
              <w:spacing w:before="60" w:after="60"/>
              <w:jc w:val="center"/>
            </w:pPr>
            <w:r>
              <w:t>18</w:t>
            </w:r>
          </w:p>
        </w:tc>
        <w:tc>
          <w:tcPr>
            <w:tcW w:w="5093" w:type="dxa"/>
            <w:vAlign w:val="center"/>
          </w:tcPr>
          <w:p w14:paraId="054A51DA" w14:textId="77777777" w:rsidR="0062656C" w:rsidRDefault="0062656C" w:rsidP="00164AC5">
            <w:pPr>
              <w:pStyle w:val="ListParagraph"/>
              <w:numPr>
                <w:ilvl w:val="0"/>
                <w:numId w:val="64"/>
              </w:numPr>
              <w:spacing w:before="60" w:after="60"/>
              <w:ind w:left="316" w:hanging="316"/>
              <w:contextualSpacing/>
            </w:pPr>
            <w:r>
              <w:t>One station along I-80 within 25 miles either side of the I-80/SR 49 junction (Auburn)</w:t>
            </w:r>
          </w:p>
          <w:p w14:paraId="0F32D125" w14:textId="77777777" w:rsidR="0062656C" w:rsidRDefault="0062656C" w:rsidP="00164AC5">
            <w:pPr>
              <w:pStyle w:val="ListParagraph"/>
              <w:numPr>
                <w:ilvl w:val="0"/>
                <w:numId w:val="64"/>
              </w:numPr>
              <w:spacing w:before="60" w:after="60"/>
              <w:ind w:left="316" w:hanging="316"/>
              <w:contextualSpacing/>
            </w:pPr>
            <w:r>
              <w:t>One station along I-80 in California within 25 miles of the Nevada border.</w:t>
            </w:r>
          </w:p>
        </w:tc>
        <w:tc>
          <w:tcPr>
            <w:tcW w:w="1207" w:type="dxa"/>
            <w:vAlign w:val="center"/>
          </w:tcPr>
          <w:p w14:paraId="2B8E2DB8" w14:textId="77777777" w:rsidR="0062656C" w:rsidRDefault="0062656C">
            <w:pPr>
              <w:spacing w:before="60" w:after="60"/>
              <w:jc w:val="center"/>
            </w:pPr>
            <w:r>
              <w:t>50%</w:t>
            </w:r>
          </w:p>
        </w:tc>
      </w:tr>
      <w:tr w:rsidR="0062656C" w14:paraId="662A1A4F" w14:textId="77777777">
        <w:trPr>
          <w:cantSplit/>
        </w:trPr>
        <w:tc>
          <w:tcPr>
            <w:tcW w:w="1133" w:type="dxa"/>
            <w:vAlign w:val="center"/>
          </w:tcPr>
          <w:p w14:paraId="30D074C3" w14:textId="77777777" w:rsidR="0062656C" w:rsidRDefault="0062656C">
            <w:pPr>
              <w:spacing w:before="60" w:after="60"/>
              <w:jc w:val="center"/>
            </w:pPr>
            <w:r>
              <w:t>9</w:t>
            </w:r>
          </w:p>
        </w:tc>
        <w:tc>
          <w:tcPr>
            <w:tcW w:w="1287" w:type="dxa"/>
            <w:vAlign w:val="center"/>
          </w:tcPr>
          <w:p w14:paraId="481C340E" w14:textId="77777777" w:rsidR="0062656C" w:rsidRDefault="0062656C">
            <w:pPr>
              <w:spacing w:before="60" w:after="60"/>
              <w:jc w:val="center"/>
            </w:pPr>
            <w:r>
              <w:t>A</w:t>
            </w:r>
          </w:p>
        </w:tc>
        <w:tc>
          <w:tcPr>
            <w:tcW w:w="3142" w:type="dxa"/>
            <w:vAlign w:val="center"/>
          </w:tcPr>
          <w:p w14:paraId="7D05E768" w14:textId="77777777" w:rsidR="0062656C" w:rsidRDefault="0062656C">
            <w:pPr>
              <w:spacing w:before="60" w:after="60"/>
            </w:pPr>
            <w:r>
              <w:t>SR 99: Sacramento to Turlock*</w:t>
            </w:r>
          </w:p>
        </w:tc>
        <w:tc>
          <w:tcPr>
            <w:tcW w:w="1248" w:type="dxa"/>
            <w:vAlign w:val="center"/>
          </w:tcPr>
          <w:p w14:paraId="668B7751" w14:textId="77777777" w:rsidR="0062656C" w:rsidRDefault="0062656C">
            <w:pPr>
              <w:spacing w:before="60" w:after="60"/>
              <w:jc w:val="center"/>
            </w:pPr>
            <w:r>
              <w:t>2</w:t>
            </w:r>
          </w:p>
        </w:tc>
        <w:tc>
          <w:tcPr>
            <w:tcW w:w="1015" w:type="dxa"/>
            <w:vAlign w:val="center"/>
          </w:tcPr>
          <w:p w14:paraId="0F6D460E" w14:textId="77777777" w:rsidR="0062656C" w:rsidRDefault="0062656C">
            <w:pPr>
              <w:spacing w:before="60" w:after="60"/>
              <w:jc w:val="center"/>
            </w:pPr>
            <w:r>
              <w:t>12</w:t>
            </w:r>
          </w:p>
        </w:tc>
        <w:tc>
          <w:tcPr>
            <w:tcW w:w="5093" w:type="dxa"/>
            <w:vAlign w:val="center"/>
          </w:tcPr>
          <w:p w14:paraId="6E254294" w14:textId="77777777" w:rsidR="0062656C" w:rsidRDefault="0062656C">
            <w:pPr>
              <w:spacing w:before="60" w:after="60"/>
            </w:pPr>
            <w:r>
              <w:t>N/A. Anywhere along SR 99 between Sacramento and Turlock is acceptable.</w:t>
            </w:r>
          </w:p>
        </w:tc>
        <w:tc>
          <w:tcPr>
            <w:tcW w:w="1207" w:type="dxa"/>
            <w:vAlign w:val="center"/>
          </w:tcPr>
          <w:p w14:paraId="26780A26" w14:textId="77777777" w:rsidR="0062656C" w:rsidRDefault="0062656C">
            <w:pPr>
              <w:spacing w:before="60" w:after="60"/>
              <w:jc w:val="center"/>
            </w:pPr>
            <w:r>
              <w:t>50%</w:t>
            </w:r>
          </w:p>
        </w:tc>
      </w:tr>
      <w:tr w:rsidR="0062656C" w14:paraId="59385C42" w14:textId="77777777">
        <w:trPr>
          <w:cantSplit/>
        </w:trPr>
        <w:tc>
          <w:tcPr>
            <w:tcW w:w="1133" w:type="dxa"/>
            <w:vAlign w:val="center"/>
          </w:tcPr>
          <w:p w14:paraId="784045FA" w14:textId="77777777" w:rsidR="0062656C" w:rsidRDefault="0062656C">
            <w:pPr>
              <w:spacing w:before="60" w:after="60"/>
              <w:jc w:val="center"/>
            </w:pPr>
            <w:r>
              <w:lastRenderedPageBreak/>
              <w:t>9</w:t>
            </w:r>
          </w:p>
        </w:tc>
        <w:tc>
          <w:tcPr>
            <w:tcW w:w="1287" w:type="dxa"/>
            <w:vAlign w:val="center"/>
          </w:tcPr>
          <w:p w14:paraId="54C97CA2" w14:textId="77777777" w:rsidR="0062656C" w:rsidRDefault="0062656C">
            <w:pPr>
              <w:spacing w:before="60" w:after="60"/>
              <w:jc w:val="center"/>
            </w:pPr>
            <w:r>
              <w:t>B</w:t>
            </w:r>
          </w:p>
        </w:tc>
        <w:tc>
          <w:tcPr>
            <w:tcW w:w="3142" w:type="dxa"/>
            <w:vAlign w:val="center"/>
          </w:tcPr>
          <w:p w14:paraId="50BF3395" w14:textId="77777777" w:rsidR="0062656C" w:rsidRDefault="0062656C">
            <w:pPr>
              <w:spacing w:before="60" w:after="60"/>
            </w:pPr>
            <w:r w:rsidRPr="001C093C">
              <w:rPr>
                <w:b/>
                <w:bCs/>
              </w:rPr>
              <w:t>Stand-alone Project</w:t>
            </w:r>
            <w:r>
              <w:t>:</w:t>
            </w:r>
            <w:r>
              <w:br/>
              <w:t>SR 4: Stockton to Angels Camp (SR 4)</w:t>
            </w:r>
          </w:p>
        </w:tc>
        <w:tc>
          <w:tcPr>
            <w:tcW w:w="1248" w:type="dxa"/>
            <w:vAlign w:val="center"/>
          </w:tcPr>
          <w:p w14:paraId="522AC813" w14:textId="77777777" w:rsidR="0062656C" w:rsidRDefault="0062656C">
            <w:pPr>
              <w:spacing w:before="60" w:after="60"/>
              <w:jc w:val="center"/>
            </w:pPr>
            <w:r>
              <w:t>1</w:t>
            </w:r>
          </w:p>
        </w:tc>
        <w:tc>
          <w:tcPr>
            <w:tcW w:w="1015" w:type="dxa"/>
            <w:vAlign w:val="center"/>
          </w:tcPr>
          <w:p w14:paraId="4E4A5EC9" w14:textId="77777777" w:rsidR="0062656C" w:rsidRDefault="0062656C">
            <w:pPr>
              <w:spacing w:before="60" w:after="60"/>
              <w:jc w:val="center"/>
            </w:pPr>
            <w:r>
              <w:t>4</w:t>
            </w:r>
          </w:p>
        </w:tc>
        <w:tc>
          <w:tcPr>
            <w:tcW w:w="5093" w:type="dxa"/>
            <w:vAlign w:val="center"/>
          </w:tcPr>
          <w:p w14:paraId="162335B7" w14:textId="77777777" w:rsidR="0062656C" w:rsidRDefault="0062656C">
            <w:pPr>
              <w:spacing w:before="60" w:after="60"/>
            </w:pPr>
            <w:r>
              <w:t>N/A. Anywhere along SR 4 between Stockton and Angels Camp is acceptable.</w:t>
            </w:r>
          </w:p>
        </w:tc>
        <w:tc>
          <w:tcPr>
            <w:tcW w:w="1207" w:type="dxa"/>
            <w:vAlign w:val="center"/>
          </w:tcPr>
          <w:p w14:paraId="5FD06826" w14:textId="77777777" w:rsidR="0062656C" w:rsidRDefault="0062656C">
            <w:pPr>
              <w:spacing w:before="60" w:after="60"/>
              <w:jc w:val="center"/>
            </w:pPr>
            <w:r>
              <w:t>20%</w:t>
            </w:r>
          </w:p>
        </w:tc>
      </w:tr>
      <w:tr w:rsidR="0062656C" w14:paraId="5CDCFEEA" w14:textId="77777777">
        <w:trPr>
          <w:cantSplit/>
        </w:trPr>
        <w:tc>
          <w:tcPr>
            <w:tcW w:w="1133" w:type="dxa"/>
            <w:vAlign w:val="center"/>
          </w:tcPr>
          <w:p w14:paraId="623843BD" w14:textId="77777777" w:rsidR="0062656C" w:rsidRDefault="0062656C">
            <w:pPr>
              <w:spacing w:before="60" w:after="60"/>
              <w:jc w:val="center"/>
            </w:pPr>
            <w:r>
              <w:t>9</w:t>
            </w:r>
          </w:p>
        </w:tc>
        <w:tc>
          <w:tcPr>
            <w:tcW w:w="1287" w:type="dxa"/>
            <w:vAlign w:val="center"/>
          </w:tcPr>
          <w:p w14:paraId="238B9BDA" w14:textId="77777777" w:rsidR="0062656C" w:rsidRDefault="0062656C">
            <w:pPr>
              <w:spacing w:before="60" w:after="60"/>
              <w:jc w:val="center"/>
            </w:pPr>
            <w:r>
              <w:t>C</w:t>
            </w:r>
          </w:p>
        </w:tc>
        <w:tc>
          <w:tcPr>
            <w:tcW w:w="3142" w:type="dxa"/>
            <w:vAlign w:val="center"/>
          </w:tcPr>
          <w:p w14:paraId="3DE6CD24" w14:textId="77777777" w:rsidR="0062656C" w:rsidRDefault="0062656C">
            <w:pPr>
              <w:spacing w:before="60" w:after="60"/>
            </w:pPr>
            <w:r>
              <w:t>SR 120: Manteca (I-5) to Lee Vining (US 395)</w:t>
            </w:r>
          </w:p>
        </w:tc>
        <w:tc>
          <w:tcPr>
            <w:tcW w:w="1248" w:type="dxa"/>
            <w:vAlign w:val="center"/>
          </w:tcPr>
          <w:p w14:paraId="5A58BAD7" w14:textId="77777777" w:rsidR="0062656C" w:rsidRDefault="0062656C">
            <w:pPr>
              <w:spacing w:before="60" w:after="60"/>
              <w:jc w:val="center"/>
            </w:pPr>
            <w:r>
              <w:t>4</w:t>
            </w:r>
          </w:p>
        </w:tc>
        <w:tc>
          <w:tcPr>
            <w:tcW w:w="1015" w:type="dxa"/>
            <w:vAlign w:val="center"/>
          </w:tcPr>
          <w:p w14:paraId="19049F00" w14:textId="77777777" w:rsidR="0062656C" w:rsidRDefault="0062656C">
            <w:pPr>
              <w:spacing w:before="60" w:after="60"/>
              <w:jc w:val="center"/>
            </w:pPr>
            <w:r>
              <w:t>16</w:t>
            </w:r>
          </w:p>
        </w:tc>
        <w:tc>
          <w:tcPr>
            <w:tcW w:w="5093" w:type="dxa"/>
            <w:vAlign w:val="center"/>
          </w:tcPr>
          <w:p w14:paraId="6154951F" w14:textId="77777777" w:rsidR="0062656C" w:rsidRDefault="0062656C" w:rsidP="00164AC5">
            <w:pPr>
              <w:pStyle w:val="ListParagraph"/>
              <w:numPr>
                <w:ilvl w:val="0"/>
                <w:numId w:val="65"/>
              </w:numPr>
              <w:spacing w:before="60" w:after="60"/>
              <w:ind w:left="316" w:hanging="316"/>
              <w:contextualSpacing/>
            </w:pPr>
            <w:r>
              <w:t>One station along SR 120 within 25 miles east of the SR 120/I-5 junction (Manteca)</w:t>
            </w:r>
          </w:p>
          <w:p w14:paraId="04E9A31A" w14:textId="77777777" w:rsidR="0062656C" w:rsidRDefault="0062656C" w:rsidP="00164AC5">
            <w:pPr>
              <w:pStyle w:val="ListParagraph"/>
              <w:numPr>
                <w:ilvl w:val="0"/>
                <w:numId w:val="65"/>
              </w:numPr>
              <w:spacing w:before="60" w:after="60"/>
              <w:ind w:left="316" w:hanging="316"/>
              <w:contextualSpacing/>
            </w:pPr>
            <w:r>
              <w:t>One station along SR 120 within 25 miles west of the SR 120/US 395 junction (Lee Vining)</w:t>
            </w:r>
          </w:p>
        </w:tc>
        <w:tc>
          <w:tcPr>
            <w:tcW w:w="1207" w:type="dxa"/>
            <w:vAlign w:val="center"/>
          </w:tcPr>
          <w:p w14:paraId="1222D1F2" w14:textId="77777777" w:rsidR="0062656C" w:rsidRDefault="0062656C">
            <w:pPr>
              <w:spacing w:before="60" w:after="60"/>
              <w:jc w:val="center"/>
            </w:pPr>
            <w:r>
              <w:t>20%</w:t>
            </w:r>
          </w:p>
        </w:tc>
      </w:tr>
      <w:tr w:rsidR="0062656C" w14:paraId="22D1F9CD" w14:textId="77777777">
        <w:trPr>
          <w:cantSplit/>
        </w:trPr>
        <w:tc>
          <w:tcPr>
            <w:tcW w:w="1133" w:type="dxa"/>
            <w:vAlign w:val="center"/>
          </w:tcPr>
          <w:p w14:paraId="252C3438" w14:textId="77777777" w:rsidR="0062656C" w:rsidRDefault="0062656C">
            <w:pPr>
              <w:spacing w:before="60" w:after="60"/>
              <w:jc w:val="center"/>
            </w:pPr>
            <w:r>
              <w:t>10</w:t>
            </w:r>
          </w:p>
        </w:tc>
        <w:tc>
          <w:tcPr>
            <w:tcW w:w="1287" w:type="dxa"/>
            <w:vAlign w:val="center"/>
          </w:tcPr>
          <w:p w14:paraId="2BDC20B0" w14:textId="77777777" w:rsidR="0062656C" w:rsidRDefault="0062656C">
            <w:pPr>
              <w:spacing w:before="60" w:after="60"/>
              <w:jc w:val="center"/>
            </w:pPr>
            <w:r>
              <w:t>A</w:t>
            </w:r>
          </w:p>
        </w:tc>
        <w:tc>
          <w:tcPr>
            <w:tcW w:w="3142" w:type="dxa"/>
            <w:vAlign w:val="center"/>
          </w:tcPr>
          <w:p w14:paraId="36DEB955" w14:textId="77777777" w:rsidR="0062656C" w:rsidRDefault="0062656C">
            <w:pPr>
              <w:spacing w:before="60" w:after="60"/>
            </w:pPr>
            <w:r>
              <w:t>SR 1: San Francisco (US 101) to Lompoc (SR 246)</w:t>
            </w:r>
          </w:p>
        </w:tc>
        <w:tc>
          <w:tcPr>
            <w:tcW w:w="1248" w:type="dxa"/>
            <w:vAlign w:val="center"/>
          </w:tcPr>
          <w:p w14:paraId="1978D0F7" w14:textId="77777777" w:rsidR="0062656C" w:rsidRDefault="0062656C">
            <w:pPr>
              <w:spacing w:before="60" w:after="60"/>
              <w:jc w:val="center"/>
            </w:pPr>
            <w:r>
              <w:t>7</w:t>
            </w:r>
          </w:p>
        </w:tc>
        <w:tc>
          <w:tcPr>
            <w:tcW w:w="1015" w:type="dxa"/>
            <w:vAlign w:val="center"/>
          </w:tcPr>
          <w:p w14:paraId="4AF55A76" w14:textId="77777777" w:rsidR="0062656C" w:rsidRDefault="0062656C">
            <w:pPr>
              <w:spacing w:before="60" w:after="60"/>
              <w:jc w:val="center"/>
            </w:pPr>
            <w:r>
              <w:t>28</w:t>
            </w:r>
          </w:p>
        </w:tc>
        <w:tc>
          <w:tcPr>
            <w:tcW w:w="5093" w:type="dxa"/>
            <w:vAlign w:val="center"/>
          </w:tcPr>
          <w:p w14:paraId="419C4CB0" w14:textId="77777777" w:rsidR="0062656C" w:rsidRDefault="0062656C" w:rsidP="00164AC5">
            <w:pPr>
              <w:pStyle w:val="ListParagraph"/>
              <w:numPr>
                <w:ilvl w:val="0"/>
                <w:numId w:val="66"/>
              </w:numPr>
              <w:spacing w:before="60" w:after="60"/>
              <w:ind w:left="316" w:hanging="316"/>
              <w:contextualSpacing/>
            </w:pPr>
            <w:r>
              <w:t>One station along SR 1 within 25 miles south of the SR 1/US 101 junction (San Francisco)</w:t>
            </w:r>
          </w:p>
          <w:p w14:paraId="2436E464" w14:textId="77777777" w:rsidR="0062656C" w:rsidRDefault="0062656C" w:rsidP="00164AC5">
            <w:pPr>
              <w:pStyle w:val="ListParagraph"/>
              <w:numPr>
                <w:ilvl w:val="0"/>
                <w:numId w:val="66"/>
              </w:numPr>
              <w:spacing w:before="60" w:after="60"/>
              <w:ind w:left="316" w:hanging="316"/>
              <w:contextualSpacing/>
            </w:pPr>
            <w:r>
              <w:t>One station along SR 1 within 25 miles north of the SR 1/SR 246 junction (Lompoc)</w:t>
            </w:r>
          </w:p>
        </w:tc>
        <w:tc>
          <w:tcPr>
            <w:tcW w:w="1207" w:type="dxa"/>
            <w:vAlign w:val="center"/>
          </w:tcPr>
          <w:p w14:paraId="68E48BBE" w14:textId="77777777" w:rsidR="0062656C" w:rsidRDefault="0062656C">
            <w:pPr>
              <w:spacing w:before="60" w:after="60"/>
              <w:jc w:val="center"/>
            </w:pPr>
            <w:r>
              <w:t>20%</w:t>
            </w:r>
          </w:p>
        </w:tc>
      </w:tr>
      <w:tr w:rsidR="0062656C" w14:paraId="601E308B" w14:textId="77777777">
        <w:trPr>
          <w:cantSplit/>
        </w:trPr>
        <w:tc>
          <w:tcPr>
            <w:tcW w:w="1133" w:type="dxa"/>
            <w:vAlign w:val="center"/>
          </w:tcPr>
          <w:p w14:paraId="6C68F806" w14:textId="77777777" w:rsidR="0062656C" w:rsidRDefault="0062656C">
            <w:pPr>
              <w:spacing w:before="60" w:after="60"/>
              <w:jc w:val="center"/>
            </w:pPr>
            <w:r>
              <w:t>10</w:t>
            </w:r>
          </w:p>
        </w:tc>
        <w:tc>
          <w:tcPr>
            <w:tcW w:w="1287" w:type="dxa"/>
            <w:vAlign w:val="center"/>
          </w:tcPr>
          <w:p w14:paraId="11FFF41F" w14:textId="77777777" w:rsidR="0062656C" w:rsidRDefault="0062656C">
            <w:pPr>
              <w:spacing w:before="60" w:after="60"/>
              <w:jc w:val="center"/>
            </w:pPr>
            <w:r>
              <w:t>B</w:t>
            </w:r>
          </w:p>
        </w:tc>
        <w:tc>
          <w:tcPr>
            <w:tcW w:w="3142" w:type="dxa"/>
            <w:vAlign w:val="center"/>
          </w:tcPr>
          <w:p w14:paraId="2344F925" w14:textId="77777777" w:rsidR="0062656C" w:rsidRDefault="0062656C">
            <w:pPr>
              <w:spacing w:before="60" w:after="60"/>
            </w:pPr>
            <w:r>
              <w:t>US 101: San Francisco to Los Angeles (I-5/I-10)**</w:t>
            </w:r>
          </w:p>
        </w:tc>
        <w:tc>
          <w:tcPr>
            <w:tcW w:w="1248" w:type="dxa"/>
            <w:vAlign w:val="center"/>
          </w:tcPr>
          <w:p w14:paraId="2816B68B" w14:textId="77777777" w:rsidR="0062656C" w:rsidRDefault="0062656C">
            <w:pPr>
              <w:spacing w:before="60" w:after="60"/>
              <w:jc w:val="center"/>
            </w:pPr>
            <w:r>
              <w:t>9</w:t>
            </w:r>
          </w:p>
        </w:tc>
        <w:tc>
          <w:tcPr>
            <w:tcW w:w="1015" w:type="dxa"/>
            <w:vAlign w:val="center"/>
          </w:tcPr>
          <w:p w14:paraId="0A65AB85" w14:textId="77777777" w:rsidR="0062656C" w:rsidRDefault="0062656C">
            <w:pPr>
              <w:spacing w:before="60" w:after="60"/>
              <w:jc w:val="center"/>
            </w:pPr>
            <w:r>
              <w:t>36</w:t>
            </w:r>
          </w:p>
        </w:tc>
        <w:tc>
          <w:tcPr>
            <w:tcW w:w="5093" w:type="dxa"/>
            <w:vAlign w:val="center"/>
          </w:tcPr>
          <w:p w14:paraId="7971C98E" w14:textId="77777777" w:rsidR="0062656C" w:rsidRDefault="0062656C">
            <w:pPr>
              <w:spacing w:before="60" w:after="60"/>
            </w:pPr>
            <w:r>
              <w:t xml:space="preserve">N/A. Anywhere along US 101 between San Francisco and Los Angeles is acceptable. </w:t>
            </w:r>
          </w:p>
        </w:tc>
        <w:tc>
          <w:tcPr>
            <w:tcW w:w="1207" w:type="dxa"/>
            <w:vAlign w:val="center"/>
          </w:tcPr>
          <w:p w14:paraId="1D4E4E4A" w14:textId="77777777" w:rsidR="0062656C" w:rsidRDefault="0062656C">
            <w:pPr>
              <w:spacing w:before="60" w:after="60"/>
              <w:jc w:val="center"/>
            </w:pPr>
            <w:r>
              <w:t>20%</w:t>
            </w:r>
          </w:p>
        </w:tc>
      </w:tr>
      <w:tr w:rsidR="0062656C" w14:paraId="752E0543" w14:textId="77777777">
        <w:trPr>
          <w:cantSplit/>
        </w:trPr>
        <w:tc>
          <w:tcPr>
            <w:tcW w:w="1133" w:type="dxa"/>
            <w:vAlign w:val="center"/>
          </w:tcPr>
          <w:p w14:paraId="01391F2A" w14:textId="77777777" w:rsidR="0062656C" w:rsidRDefault="0062656C">
            <w:pPr>
              <w:spacing w:before="60" w:after="60"/>
              <w:jc w:val="center"/>
            </w:pPr>
            <w:r>
              <w:t>11</w:t>
            </w:r>
          </w:p>
        </w:tc>
        <w:tc>
          <w:tcPr>
            <w:tcW w:w="1287" w:type="dxa"/>
            <w:vAlign w:val="center"/>
          </w:tcPr>
          <w:p w14:paraId="076D397F" w14:textId="77777777" w:rsidR="0062656C" w:rsidRDefault="0062656C">
            <w:pPr>
              <w:spacing w:before="60" w:after="60"/>
              <w:jc w:val="center"/>
            </w:pPr>
            <w:r>
              <w:t>A</w:t>
            </w:r>
          </w:p>
        </w:tc>
        <w:tc>
          <w:tcPr>
            <w:tcW w:w="3142" w:type="dxa"/>
            <w:vAlign w:val="center"/>
          </w:tcPr>
          <w:p w14:paraId="04436933" w14:textId="77777777" w:rsidR="0062656C" w:rsidRDefault="0062656C">
            <w:pPr>
              <w:spacing w:before="60" w:after="60"/>
            </w:pPr>
            <w:r>
              <w:t>SR 12: Sebastopol (SR 116) to Lodi (SR 99)</w:t>
            </w:r>
          </w:p>
        </w:tc>
        <w:tc>
          <w:tcPr>
            <w:tcW w:w="1248" w:type="dxa"/>
            <w:vAlign w:val="center"/>
          </w:tcPr>
          <w:p w14:paraId="29278103" w14:textId="77777777" w:rsidR="0062656C" w:rsidRDefault="0062656C">
            <w:pPr>
              <w:spacing w:before="60" w:after="60"/>
              <w:jc w:val="center"/>
            </w:pPr>
            <w:r>
              <w:t>3</w:t>
            </w:r>
          </w:p>
        </w:tc>
        <w:tc>
          <w:tcPr>
            <w:tcW w:w="1015" w:type="dxa"/>
            <w:vAlign w:val="center"/>
          </w:tcPr>
          <w:p w14:paraId="6B8D2A1D" w14:textId="77777777" w:rsidR="0062656C" w:rsidRDefault="0062656C">
            <w:pPr>
              <w:spacing w:before="60" w:after="60"/>
              <w:jc w:val="center"/>
            </w:pPr>
            <w:r>
              <w:t>12</w:t>
            </w:r>
          </w:p>
        </w:tc>
        <w:tc>
          <w:tcPr>
            <w:tcW w:w="5093" w:type="dxa"/>
            <w:vAlign w:val="center"/>
          </w:tcPr>
          <w:p w14:paraId="219590D0" w14:textId="77777777" w:rsidR="0062656C" w:rsidRDefault="0062656C" w:rsidP="00164AC5">
            <w:pPr>
              <w:pStyle w:val="ListParagraph"/>
              <w:numPr>
                <w:ilvl w:val="0"/>
                <w:numId w:val="67"/>
              </w:numPr>
              <w:spacing w:before="60" w:after="60"/>
              <w:ind w:left="316" w:hanging="316"/>
              <w:contextualSpacing/>
            </w:pPr>
            <w:r>
              <w:t>One station along SR 12 within 25 mile either side of the SR 12/US 101 junction (Santa Rosa)</w:t>
            </w:r>
          </w:p>
          <w:p w14:paraId="01E13796" w14:textId="77777777" w:rsidR="0062656C" w:rsidRDefault="0062656C" w:rsidP="00164AC5">
            <w:pPr>
              <w:pStyle w:val="ListParagraph"/>
              <w:numPr>
                <w:ilvl w:val="0"/>
                <w:numId w:val="67"/>
              </w:numPr>
              <w:spacing w:before="60" w:after="60"/>
              <w:ind w:left="316" w:hanging="316"/>
              <w:contextualSpacing/>
            </w:pPr>
            <w:r>
              <w:t>One station along SR 12 within 25 miles west of the SR 12/SR 99 junction (Lodi).</w:t>
            </w:r>
          </w:p>
        </w:tc>
        <w:tc>
          <w:tcPr>
            <w:tcW w:w="1207" w:type="dxa"/>
            <w:vAlign w:val="center"/>
          </w:tcPr>
          <w:p w14:paraId="381E1590" w14:textId="77777777" w:rsidR="0062656C" w:rsidRDefault="0062656C">
            <w:pPr>
              <w:spacing w:before="60" w:after="60"/>
              <w:jc w:val="center"/>
            </w:pPr>
            <w:r>
              <w:t>20%</w:t>
            </w:r>
          </w:p>
        </w:tc>
      </w:tr>
      <w:tr w:rsidR="0062656C" w14:paraId="546D9788" w14:textId="77777777">
        <w:trPr>
          <w:cantSplit/>
        </w:trPr>
        <w:tc>
          <w:tcPr>
            <w:tcW w:w="1133" w:type="dxa"/>
            <w:vAlign w:val="center"/>
          </w:tcPr>
          <w:p w14:paraId="018CC4EB" w14:textId="77777777" w:rsidR="0062656C" w:rsidRDefault="0062656C">
            <w:pPr>
              <w:spacing w:before="60" w:after="60"/>
              <w:jc w:val="center"/>
            </w:pPr>
            <w:r>
              <w:t>11</w:t>
            </w:r>
          </w:p>
        </w:tc>
        <w:tc>
          <w:tcPr>
            <w:tcW w:w="1287" w:type="dxa"/>
            <w:vAlign w:val="center"/>
          </w:tcPr>
          <w:p w14:paraId="106B1C4D" w14:textId="77777777" w:rsidR="0062656C" w:rsidRDefault="0062656C">
            <w:pPr>
              <w:spacing w:before="60" w:after="60"/>
              <w:jc w:val="center"/>
            </w:pPr>
            <w:r>
              <w:t>B</w:t>
            </w:r>
          </w:p>
        </w:tc>
        <w:tc>
          <w:tcPr>
            <w:tcW w:w="3142" w:type="dxa"/>
            <w:vAlign w:val="center"/>
          </w:tcPr>
          <w:p w14:paraId="782980E6" w14:textId="77777777" w:rsidR="0062656C" w:rsidRDefault="0062656C">
            <w:pPr>
              <w:spacing w:before="60" w:after="60"/>
            </w:pPr>
            <w:r>
              <w:t>SR 4: Hercules (I-80) to Brentwood (Balfour Rd.)</w:t>
            </w:r>
          </w:p>
          <w:p w14:paraId="6B42F578" w14:textId="77777777" w:rsidR="0062656C" w:rsidRDefault="0062656C">
            <w:pPr>
              <w:spacing w:before="60" w:after="60"/>
            </w:pPr>
            <w:r>
              <w:t>SR 24: Oakland (I-980) to Walnut Creek (I-680)</w:t>
            </w:r>
          </w:p>
        </w:tc>
        <w:tc>
          <w:tcPr>
            <w:tcW w:w="1248" w:type="dxa"/>
            <w:vAlign w:val="center"/>
          </w:tcPr>
          <w:p w14:paraId="02CFF336" w14:textId="77777777" w:rsidR="0062656C" w:rsidRDefault="0062656C">
            <w:pPr>
              <w:spacing w:before="60" w:after="60"/>
              <w:jc w:val="center"/>
            </w:pPr>
            <w:r>
              <w:t>2</w:t>
            </w:r>
          </w:p>
        </w:tc>
        <w:tc>
          <w:tcPr>
            <w:tcW w:w="1015" w:type="dxa"/>
            <w:vAlign w:val="center"/>
          </w:tcPr>
          <w:p w14:paraId="7EB20068" w14:textId="77777777" w:rsidR="0062656C" w:rsidRDefault="0062656C">
            <w:pPr>
              <w:spacing w:before="60" w:after="60"/>
              <w:jc w:val="center"/>
            </w:pPr>
            <w:r>
              <w:t>8</w:t>
            </w:r>
          </w:p>
        </w:tc>
        <w:tc>
          <w:tcPr>
            <w:tcW w:w="5093" w:type="dxa"/>
            <w:vAlign w:val="center"/>
          </w:tcPr>
          <w:p w14:paraId="0DC692EB" w14:textId="77777777" w:rsidR="0062656C" w:rsidRDefault="0062656C" w:rsidP="00164AC5">
            <w:pPr>
              <w:pStyle w:val="ListParagraph"/>
              <w:numPr>
                <w:ilvl w:val="0"/>
                <w:numId w:val="68"/>
              </w:numPr>
              <w:spacing w:before="60" w:after="60"/>
              <w:ind w:left="316" w:hanging="316"/>
              <w:contextualSpacing/>
            </w:pPr>
            <w:r>
              <w:t>One station anywhere along SR 4 between Hercules and Brentwood.</w:t>
            </w:r>
          </w:p>
          <w:p w14:paraId="15FEF29A" w14:textId="77777777" w:rsidR="0062656C" w:rsidRDefault="0062656C" w:rsidP="00164AC5">
            <w:pPr>
              <w:pStyle w:val="ListParagraph"/>
              <w:numPr>
                <w:ilvl w:val="0"/>
                <w:numId w:val="68"/>
              </w:numPr>
              <w:spacing w:before="60" w:after="60"/>
              <w:ind w:left="316" w:hanging="316"/>
              <w:contextualSpacing/>
            </w:pPr>
            <w:r>
              <w:t>One station anywhere along SR 24 between Oakland and Walnut Creek.</w:t>
            </w:r>
          </w:p>
        </w:tc>
        <w:tc>
          <w:tcPr>
            <w:tcW w:w="1207" w:type="dxa"/>
            <w:vAlign w:val="center"/>
          </w:tcPr>
          <w:p w14:paraId="70ADBE62" w14:textId="77777777" w:rsidR="0062656C" w:rsidRDefault="0062656C">
            <w:pPr>
              <w:spacing w:before="60" w:after="60"/>
              <w:jc w:val="center"/>
            </w:pPr>
            <w:r>
              <w:t>20%</w:t>
            </w:r>
          </w:p>
        </w:tc>
      </w:tr>
      <w:tr w:rsidR="0062656C" w14:paraId="1782F195" w14:textId="77777777">
        <w:trPr>
          <w:cantSplit/>
        </w:trPr>
        <w:tc>
          <w:tcPr>
            <w:tcW w:w="1133" w:type="dxa"/>
            <w:vAlign w:val="center"/>
          </w:tcPr>
          <w:p w14:paraId="0B5B25D5" w14:textId="77777777" w:rsidR="0062656C" w:rsidRDefault="0062656C">
            <w:pPr>
              <w:spacing w:before="60" w:after="60"/>
              <w:jc w:val="center"/>
            </w:pPr>
            <w:r>
              <w:lastRenderedPageBreak/>
              <w:t>11</w:t>
            </w:r>
          </w:p>
        </w:tc>
        <w:tc>
          <w:tcPr>
            <w:tcW w:w="1287" w:type="dxa"/>
            <w:vAlign w:val="center"/>
          </w:tcPr>
          <w:p w14:paraId="42C725A9" w14:textId="77777777" w:rsidR="0062656C" w:rsidRDefault="0062656C">
            <w:pPr>
              <w:spacing w:before="60" w:after="60"/>
              <w:jc w:val="center"/>
            </w:pPr>
            <w:r>
              <w:t>C</w:t>
            </w:r>
          </w:p>
        </w:tc>
        <w:tc>
          <w:tcPr>
            <w:tcW w:w="3142" w:type="dxa"/>
            <w:vAlign w:val="center"/>
          </w:tcPr>
          <w:p w14:paraId="6CFC9098" w14:textId="77777777" w:rsidR="0062656C" w:rsidRDefault="0062656C">
            <w:pPr>
              <w:spacing w:before="60" w:after="60"/>
            </w:pPr>
            <w:r w:rsidRPr="00360CE4">
              <w:rPr>
                <w:b/>
                <w:bCs/>
              </w:rPr>
              <w:t>Stand-alone Project:</w:t>
            </w:r>
            <w:r>
              <w:t xml:space="preserve"> </w:t>
            </w:r>
            <w:r>
              <w:br/>
              <w:t>SR 17: Entire length, Santa Cruz (SR 1) to San Jose (I-280/I-880)</w:t>
            </w:r>
          </w:p>
        </w:tc>
        <w:tc>
          <w:tcPr>
            <w:tcW w:w="1248" w:type="dxa"/>
            <w:vAlign w:val="center"/>
          </w:tcPr>
          <w:p w14:paraId="30440D02" w14:textId="77777777" w:rsidR="0062656C" w:rsidRDefault="0062656C">
            <w:pPr>
              <w:spacing w:before="60" w:after="60"/>
              <w:jc w:val="center"/>
            </w:pPr>
            <w:r>
              <w:t>1</w:t>
            </w:r>
          </w:p>
        </w:tc>
        <w:tc>
          <w:tcPr>
            <w:tcW w:w="1015" w:type="dxa"/>
            <w:vAlign w:val="center"/>
          </w:tcPr>
          <w:p w14:paraId="3DB3CDE2" w14:textId="77777777" w:rsidR="0062656C" w:rsidRDefault="0062656C">
            <w:pPr>
              <w:spacing w:before="60" w:after="60"/>
              <w:jc w:val="center"/>
            </w:pPr>
            <w:r>
              <w:t>4</w:t>
            </w:r>
          </w:p>
        </w:tc>
        <w:tc>
          <w:tcPr>
            <w:tcW w:w="5093" w:type="dxa"/>
            <w:vAlign w:val="center"/>
          </w:tcPr>
          <w:p w14:paraId="35EE2DDF" w14:textId="77777777" w:rsidR="0062656C" w:rsidRDefault="0062656C">
            <w:pPr>
              <w:spacing w:before="60" w:after="60"/>
            </w:pPr>
            <w:r w:rsidRPr="00A408AD">
              <w:t>N</w:t>
            </w:r>
            <w:r>
              <w:t>/</w:t>
            </w:r>
            <w:r w:rsidRPr="00A408AD">
              <w:t xml:space="preserve">A. Anywhere along </w:t>
            </w:r>
            <w:r>
              <w:t>SR 17</w:t>
            </w:r>
            <w:r w:rsidRPr="00A408AD">
              <w:t xml:space="preserve"> between San</w:t>
            </w:r>
            <w:r>
              <w:t>ta Cruz</w:t>
            </w:r>
            <w:r w:rsidRPr="00A408AD">
              <w:t xml:space="preserve"> and </w:t>
            </w:r>
            <w:r>
              <w:t>San Jose is acce</w:t>
            </w:r>
            <w:r w:rsidRPr="00A408AD">
              <w:t>ptable.</w:t>
            </w:r>
          </w:p>
        </w:tc>
        <w:tc>
          <w:tcPr>
            <w:tcW w:w="1207" w:type="dxa"/>
            <w:vAlign w:val="center"/>
          </w:tcPr>
          <w:p w14:paraId="0D628487" w14:textId="77777777" w:rsidR="0062656C" w:rsidRDefault="0062656C">
            <w:pPr>
              <w:spacing w:before="60" w:after="60"/>
              <w:jc w:val="center"/>
            </w:pPr>
            <w:r>
              <w:t>20%</w:t>
            </w:r>
          </w:p>
        </w:tc>
      </w:tr>
      <w:tr w:rsidR="0062656C" w14:paraId="567E3858" w14:textId="77777777">
        <w:trPr>
          <w:cantSplit/>
        </w:trPr>
        <w:tc>
          <w:tcPr>
            <w:tcW w:w="1133" w:type="dxa"/>
            <w:vAlign w:val="center"/>
          </w:tcPr>
          <w:p w14:paraId="157A9FFF" w14:textId="77777777" w:rsidR="0062656C" w:rsidRDefault="0062656C">
            <w:pPr>
              <w:spacing w:before="60" w:after="60"/>
              <w:jc w:val="center"/>
            </w:pPr>
            <w:r>
              <w:t>12</w:t>
            </w:r>
          </w:p>
        </w:tc>
        <w:tc>
          <w:tcPr>
            <w:tcW w:w="1287" w:type="dxa"/>
            <w:vAlign w:val="center"/>
          </w:tcPr>
          <w:p w14:paraId="1C58BC53" w14:textId="77777777" w:rsidR="0062656C" w:rsidRDefault="0062656C">
            <w:pPr>
              <w:spacing w:before="60" w:after="60"/>
              <w:jc w:val="center"/>
            </w:pPr>
            <w:r>
              <w:t>A</w:t>
            </w:r>
          </w:p>
        </w:tc>
        <w:tc>
          <w:tcPr>
            <w:tcW w:w="3142" w:type="dxa"/>
            <w:vAlign w:val="center"/>
          </w:tcPr>
          <w:p w14:paraId="133D88F5" w14:textId="77777777" w:rsidR="0062656C" w:rsidRDefault="0062656C">
            <w:pPr>
              <w:spacing w:before="60" w:after="60"/>
            </w:pPr>
            <w:r>
              <w:t>I-80: San Francisco (US 101) to Sacramento (I-5)*</w:t>
            </w:r>
          </w:p>
          <w:p w14:paraId="3ABBD973" w14:textId="77777777" w:rsidR="0062656C" w:rsidRDefault="0062656C">
            <w:pPr>
              <w:spacing w:before="60" w:after="60"/>
            </w:pPr>
            <w:r>
              <w:t>I-505: Vacaville (I-80) to Dunnigan (I-5)</w:t>
            </w:r>
          </w:p>
        </w:tc>
        <w:tc>
          <w:tcPr>
            <w:tcW w:w="1248" w:type="dxa"/>
            <w:vAlign w:val="center"/>
          </w:tcPr>
          <w:p w14:paraId="5391DE54" w14:textId="77777777" w:rsidR="0062656C" w:rsidRDefault="0062656C">
            <w:pPr>
              <w:spacing w:before="60" w:after="60"/>
              <w:jc w:val="center"/>
            </w:pPr>
            <w:r>
              <w:t>3</w:t>
            </w:r>
          </w:p>
        </w:tc>
        <w:tc>
          <w:tcPr>
            <w:tcW w:w="1015" w:type="dxa"/>
            <w:vAlign w:val="center"/>
          </w:tcPr>
          <w:p w14:paraId="1E0B1648" w14:textId="77777777" w:rsidR="0062656C" w:rsidRDefault="0062656C">
            <w:pPr>
              <w:spacing w:before="60" w:after="60"/>
              <w:jc w:val="center"/>
            </w:pPr>
            <w:r>
              <w:t>12</w:t>
            </w:r>
          </w:p>
        </w:tc>
        <w:tc>
          <w:tcPr>
            <w:tcW w:w="5093" w:type="dxa"/>
            <w:vAlign w:val="center"/>
          </w:tcPr>
          <w:p w14:paraId="2A6292DD" w14:textId="77777777" w:rsidR="0062656C" w:rsidRDefault="0062656C" w:rsidP="00164AC5">
            <w:pPr>
              <w:pStyle w:val="ListParagraph"/>
              <w:numPr>
                <w:ilvl w:val="0"/>
                <w:numId w:val="58"/>
              </w:numPr>
              <w:spacing w:before="60" w:after="60"/>
              <w:ind w:left="316" w:hanging="316"/>
              <w:contextualSpacing/>
            </w:pPr>
            <w:r w:rsidRPr="0087668A">
              <w:t xml:space="preserve">One station </w:t>
            </w:r>
            <w:r>
              <w:t xml:space="preserve">along I-80 </w:t>
            </w:r>
            <w:r w:rsidRPr="0087668A">
              <w:t xml:space="preserve">within 25 miles </w:t>
            </w:r>
            <w:r>
              <w:t xml:space="preserve">east </w:t>
            </w:r>
            <w:r w:rsidRPr="0087668A">
              <w:t xml:space="preserve">of the </w:t>
            </w:r>
            <w:r>
              <w:t>I-80/</w:t>
            </w:r>
            <w:r w:rsidRPr="0087668A">
              <w:t>US</w:t>
            </w:r>
            <w:r>
              <w:t xml:space="preserve"> </w:t>
            </w:r>
            <w:r w:rsidRPr="0087668A">
              <w:t xml:space="preserve">101 junction </w:t>
            </w:r>
            <w:r>
              <w:t>(</w:t>
            </w:r>
            <w:r w:rsidRPr="0087668A">
              <w:t>San Francisco</w:t>
            </w:r>
            <w:r>
              <w:t>).</w:t>
            </w:r>
          </w:p>
          <w:p w14:paraId="22A8DF6F" w14:textId="77777777" w:rsidR="0062656C" w:rsidRDefault="0062656C" w:rsidP="00164AC5">
            <w:pPr>
              <w:pStyle w:val="ListParagraph"/>
              <w:numPr>
                <w:ilvl w:val="0"/>
                <w:numId w:val="58"/>
              </w:numPr>
              <w:spacing w:before="60" w:after="60"/>
              <w:ind w:left="316" w:hanging="316"/>
              <w:contextualSpacing/>
            </w:pPr>
            <w:r w:rsidRPr="009B01ED">
              <w:t xml:space="preserve">One station </w:t>
            </w:r>
            <w:r>
              <w:t xml:space="preserve">along I-80 </w:t>
            </w:r>
            <w:r w:rsidRPr="009B01ED">
              <w:t>within 5</w:t>
            </w:r>
            <w:r>
              <w:t xml:space="preserve"> miles either side of the I-80/</w:t>
            </w:r>
            <w:r w:rsidRPr="009B01ED">
              <w:t>I-505 junction, or along I-505 between I-80 and I-5</w:t>
            </w:r>
            <w:r>
              <w:t>.</w:t>
            </w:r>
          </w:p>
          <w:p w14:paraId="4390732D" w14:textId="77777777" w:rsidR="0062656C" w:rsidRDefault="0062656C" w:rsidP="00164AC5">
            <w:pPr>
              <w:pStyle w:val="ListParagraph"/>
              <w:numPr>
                <w:ilvl w:val="0"/>
                <w:numId w:val="58"/>
              </w:numPr>
              <w:spacing w:before="60" w:after="60"/>
              <w:ind w:left="316" w:hanging="316"/>
              <w:contextualSpacing/>
            </w:pPr>
            <w:r w:rsidRPr="0017599F">
              <w:t xml:space="preserve">One station </w:t>
            </w:r>
            <w:r>
              <w:t xml:space="preserve">along I-80 </w:t>
            </w:r>
            <w:r w:rsidRPr="0017599F">
              <w:t xml:space="preserve">within 25 miles </w:t>
            </w:r>
            <w:r>
              <w:t xml:space="preserve">west </w:t>
            </w:r>
            <w:r w:rsidRPr="0017599F">
              <w:t xml:space="preserve">of the </w:t>
            </w:r>
            <w:r>
              <w:t>I-80/</w:t>
            </w:r>
            <w:r w:rsidRPr="0017599F">
              <w:t>I-5 junction</w:t>
            </w:r>
            <w:r>
              <w:t xml:space="preserve"> (</w:t>
            </w:r>
            <w:r w:rsidRPr="0017599F">
              <w:t>Sacramento</w:t>
            </w:r>
            <w:r>
              <w:t>).</w:t>
            </w:r>
          </w:p>
        </w:tc>
        <w:tc>
          <w:tcPr>
            <w:tcW w:w="1207" w:type="dxa"/>
            <w:vAlign w:val="center"/>
          </w:tcPr>
          <w:p w14:paraId="179F54A0" w14:textId="77777777" w:rsidR="0062656C" w:rsidRDefault="0062656C">
            <w:pPr>
              <w:spacing w:before="60" w:after="60"/>
              <w:jc w:val="center"/>
            </w:pPr>
            <w:r>
              <w:t>50%</w:t>
            </w:r>
          </w:p>
        </w:tc>
      </w:tr>
      <w:tr w:rsidR="0062656C" w14:paraId="1193DFA9" w14:textId="77777777">
        <w:trPr>
          <w:cantSplit/>
        </w:trPr>
        <w:tc>
          <w:tcPr>
            <w:tcW w:w="1133" w:type="dxa"/>
            <w:vAlign w:val="center"/>
          </w:tcPr>
          <w:p w14:paraId="434466FA" w14:textId="77777777" w:rsidR="0062656C" w:rsidRDefault="0062656C">
            <w:pPr>
              <w:spacing w:before="60" w:after="60"/>
              <w:jc w:val="center"/>
            </w:pPr>
            <w:r>
              <w:t>12</w:t>
            </w:r>
          </w:p>
        </w:tc>
        <w:tc>
          <w:tcPr>
            <w:tcW w:w="1287" w:type="dxa"/>
            <w:vAlign w:val="center"/>
          </w:tcPr>
          <w:p w14:paraId="322F6AF3" w14:textId="77777777" w:rsidR="0062656C" w:rsidRDefault="0062656C">
            <w:pPr>
              <w:spacing w:before="60" w:after="60"/>
              <w:jc w:val="center"/>
            </w:pPr>
            <w:r>
              <w:t>B</w:t>
            </w:r>
          </w:p>
        </w:tc>
        <w:tc>
          <w:tcPr>
            <w:tcW w:w="3142" w:type="dxa"/>
            <w:vAlign w:val="center"/>
          </w:tcPr>
          <w:p w14:paraId="6026B5DB" w14:textId="77777777" w:rsidR="0062656C" w:rsidRDefault="0062656C">
            <w:pPr>
              <w:spacing w:before="60" w:after="60"/>
            </w:pPr>
            <w:r>
              <w:t>I-280: San Francisco (end) to San Jose (US 101)</w:t>
            </w:r>
          </w:p>
        </w:tc>
        <w:tc>
          <w:tcPr>
            <w:tcW w:w="1248" w:type="dxa"/>
            <w:vAlign w:val="center"/>
          </w:tcPr>
          <w:p w14:paraId="481B7AA2" w14:textId="77777777" w:rsidR="0062656C" w:rsidRDefault="0062656C">
            <w:pPr>
              <w:spacing w:before="60" w:after="60"/>
              <w:jc w:val="center"/>
            </w:pPr>
            <w:r>
              <w:t>2</w:t>
            </w:r>
          </w:p>
        </w:tc>
        <w:tc>
          <w:tcPr>
            <w:tcW w:w="1015" w:type="dxa"/>
            <w:vAlign w:val="center"/>
          </w:tcPr>
          <w:p w14:paraId="613C7E27" w14:textId="77777777" w:rsidR="0062656C" w:rsidRDefault="0062656C">
            <w:pPr>
              <w:spacing w:before="60" w:after="60"/>
              <w:jc w:val="center"/>
            </w:pPr>
            <w:r>
              <w:t>8</w:t>
            </w:r>
          </w:p>
        </w:tc>
        <w:tc>
          <w:tcPr>
            <w:tcW w:w="5093" w:type="dxa"/>
            <w:vAlign w:val="center"/>
          </w:tcPr>
          <w:p w14:paraId="68C08E2F" w14:textId="77777777" w:rsidR="0062656C" w:rsidRDefault="0062656C" w:rsidP="00164AC5">
            <w:pPr>
              <w:pStyle w:val="ListParagraph"/>
              <w:numPr>
                <w:ilvl w:val="0"/>
                <w:numId w:val="59"/>
              </w:numPr>
              <w:spacing w:before="60" w:after="60"/>
              <w:ind w:left="316" w:hanging="316"/>
              <w:contextualSpacing/>
            </w:pPr>
            <w:r w:rsidRPr="000E4F44">
              <w:t xml:space="preserve">One station </w:t>
            </w:r>
            <w:r>
              <w:t xml:space="preserve">along I-280 </w:t>
            </w:r>
            <w:r w:rsidRPr="000E4F44">
              <w:t xml:space="preserve">within 25 miles </w:t>
            </w:r>
            <w:r>
              <w:t xml:space="preserve">southeast </w:t>
            </w:r>
            <w:r w:rsidRPr="000E4F44">
              <w:t xml:space="preserve">of the end of the route </w:t>
            </w:r>
            <w:r>
              <w:t>(</w:t>
            </w:r>
            <w:r w:rsidRPr="000E4F44">
              <w:t>San Francisco</w:t>
            </w:r>
            <w:r>
              <w:t>).</w:t>
            </w:r>
          </w:p>
          <w:p w14:paraId="3E1B901E" w14:textId="77777777" w:rsidR="0062656C" w:rsidRDefault="0062656C" w:rsidP="00164AC5">
            <w:pPr>
              <w:pStyle w:val="ListParagraph"/>
              <w:numPr>
                <w:ilvl w:val="0"/>
                <w:numId w:val="59"/>
              </w:numPr>
              <w:spacing w:before="60" w:after="60"/>
              <w:ind w:left="316" w:hanging="316"/>
              <w:contextualSpacing/>
            </w:pPr>
            <w:r w:rsidRPr="00D75646">
              <w:t xml:space="preserve">One station </w:t>
            </w:r>
            <w:r>
              <w:t xml:space="preserve">along I-280 </w:t>
            </w:r>
            <w:r w:rsidRPr="00D75646">
              <w:t xml:space="preserve">within 25 miles </w:t>
            </w:r>
            <w:r>
              <w:t xml:space="preserve">northwest </w:t>
            </w:r>
            <w:r w:rsidRPr="00D75646">
              <w:t xml:space="preserve">of the </w:t>
            </w:r>
            <w:r>
              <w:t>I-280/</w:t>
            </w:r>
            <w:r w:rsidRPr="00D75646">
              <w:t>US</w:t>
            </w:r>
            <w:r>
              <w:t xml:space="preserve"> 1</w:t>
            </w:r>
            <w:r w:rsidRPr="00D75646">
              <w:t>01 junction</w:t>
            </w:r>
            <w:r>
              <w:t xml:space="preserve"> (</w:t>
            </w:r>
            <w:r w:rsidRPr="00D75646">
              <w:t>San Jose</w:t>
            </w:r>
            <w:r>
              <w:t>).</w:t>
            </w:r>
          </w:p>
        </w:tc>
        <w:tc>
          <w:tcPr>
            <w:tcW w:w="1207" w:type="dxa"/>
            <w:vAlign w:val="center"/>
          </w:tcPr>
          <w:p w14:paraId="4274B015" w14:textId="77777777" w:rsidR="0062656C" w:rsidRDefault="0062656C">
            <w:pPr>
              <w:spacing w:before="60" w:after="60"/>
              <w:jc w:val="center"/>
            </w:pPr>
            <w:r>
              <w:t>50%</w:t>
            </w:r>
          </w:p>
        </w:tc>
      </w:tr>
      <w:tr w:rsidR="0062656C" w14:paraId="6CB05D94" w14:textId="77777777">
        <w:trPr>
          <w:cantSplit/>
        </w:trPr>
        <w:tc>
          <w:tcPr>
            <w:tcW w:w="1133" w:type="dxa"/>
            <w:vAlign w:val="center"/>
          </w:tcPr>
          <w:p w14:paraId="70F81B8D" w14:textId="77777777" w:rsidR="0062656C" w:rsidRDefault="0062656C">
            <w:pPr>
              <w:spacing w:before="60" w:after="60"/>
              <w:jc w:val="center"/>
            </w:pPr>
            <w:r>
              <w:t>12</w:t>
            </w:r>
          </w:p>
        </w:tc>
        <w:tc>
          <w:tcPr>
            <w:tcW w:w="1287" w:type="dxa"/>
            <w:vAlign w:val="center"/>
          </w:tcPr>
          <w:p w14:paraId="7945E329" w14:textId="77777777" w:rsidR="0062656C" w:rsidRDefault="0062656C">
            <w:pPr>
              <w:spacing w:before="60" w:after="60"/>
              <w:jc w:val="center"/>
            </w:pPr>
            <w:r>
              <w:t>C</w:t>
            </w:r>
          </w:p>
        </w:tc>
        <w:tc>
          <w:tcPr>
            <w:tcW w:w="3142" w:type="dxa"/>
            <w:vAlign w:val="center"/>
          </w:tcPr>
          <w:p w14:paraId="09288E50" w14:textId="77777777" w:rsidR="0062656C" w:rsidRDefault="0062656C">
            <w:pPr>
              <w:spacing w:before="60" w:after="60"/>
            </w:pPr>
            <w:r>
              <w:t>I-680: Cordelia (I-80) to San Jose (US 101)*</w:t>
            </w:r>
          </w:p>
        </w:tc>
        <w:tc>
          <w:tcPr>
            <w:tcW w:w="1248" w:type="dxa"/>
            <w:vAlign w:val="center"/>
          </w:tcPr>
          <w:p w14:paraId="73E8549F" w14:textId="77777777" w:rsidR="0062656C" w:rsidRDefault="0062656C">
            <w:pPr>
              <w:spacing w:before="60" w:after="60"/>
              <w:jc w:val="center"/>
            </w:pPr>
            <w:r>
              <w:t>2</w:t>
            </w:r>
          </w:p>
        </w:tc>
        <w:tc>
          <w:tcPr>
            <w:tcW w:w="1015" w:type="dxa"/>
            <w:vAlign w:val="center"/>
          </w:tcPr>
          <w:p w14:paraId="3303557E" w14:textId="77777777" w:rsidR="0062656C" w:rsidRDefault="0062656C">
            <w:pPr>
              <w:spacing w:before="60" w:after="60"/>
              <w:jc w:val="center"/>
            </w:pPr>
            <w:r>
              <w:t>8</w:t>
            </w:r>
          </w:p>
        </w:tc>
        <w:tc>
          <w:tcPr>
            <w:tcW w:w="5093" w:type="dxa"/>
            <w:vAlign w:val="center"/>
          </w:tcPr>
          <w:p w14:paraId="21F394D2" w14:textId="77777777" w:rsidR="0062656C" w:rsidRDefault="0062656C" w:rsidP="00164AC5">
            <w:pPr>
              <w:pStyle w:val="ListParagraph"/>
              <w:numPr>
                <w:ilvl w:val="0"/>
                <w:numId w:val="60"/>
              </w:numPr>
              <w:spacing w:before="60" w:after="60"/>
              <w:ind w:left="316" w:hanging="316"/>
              <w:contextualSpacing/>
            </w:pPr>
            <w:r w:rsidRPr="00B205AE">
              <w:t xml:space="preserve">One station </w:t>
            </w:r>
            <w:r>
              <w:t xml:space="preserve">along I-680 </w:t>
            </w:r>
            <w:r w:rsidRPr="00B205AE">
              <w:t xml:space="preserve">within 25 miles </w:t>
            </w:r>
            <w:r>
              <w:t xml:space="preserve">south </w:t>
            </w:r>
            <w:r w:rsidRPr="00B205AE">
              <w:t xml:space="preserve">of the </w:t>
            </w:r>
            <w:r>
              <w:t>I-680/</w:t>
            </w:r>
            <w:r w:rsidRPr="00B205AE">
              <w:t>I-80 junction</w:t>
            </w:r>
            <w:r>
              <w:t xml:space="preserve"> (</w:t>
            </w:r>
            <w:r w:rsidRPr="00B205AE">
              <w:t>Cordelia</w:t>
            </w:r>
            <w:r>
              <w:t>).</w:t>
            </w:r>
          </w:p>
          <w:p w14:paraId="18A11229" w14:textId="77777777" w:rsidR="0062656C" w:rsidRDefault="0062656C" w:rsidP="00164AC5">
            <w:pPr>
              <w:pStyle w:val="ListParagraph"/>
              <w:numPr>
                <w:ilvl w:val="0"/>
                <w:numId w:val="60"/>
              </w:numPr>
              <w:spacing w:before="60" w:after="60"/>
              <w:ind w:left="316" w:hanging="316"/>
              <w:contextualSpacing/>
            </w:pPr>
            <w:r w:rsidRPr="004A3424">
              <w:t xml:space="preserve">One station </w:t>
            </w:r>
            <w:r>
              <w:t xml:space="preserve">along I-680 </w:t>
            </w:r>
            <w:r w:rsidRPr="004A3424">
              <w:t xml:space="preserve">within 25 miles </w:t>
            </w:r>
            <w:r>
              <w:t xml:space="preserve">north </w:t>
            </w:r>
            <w:r w:rsidRPr="004A3424">
              <w:t xml:space="preserve">of the </w:t>
            </w:r>
            <w:r>
              <w:t>I-680/</w:t>
            </w:r>
            <w:r w:rsidRPr="004A3424">
              <w:t>US</w:t>
            </w:r>
            <w:r>
              <w:t xml:space="preserve"> </w:t>
            </w:r>
            <w:r w:rsidRPr="004A3424">
              <w:t xml:space="preserve">101 junction </w:t>
            </w:r>
            <w:r>
              <w:t>(</w:t>
            </w:r>
            <w:r w:rsidRPr="004A3424">
              <w:t>San Jose</w:t>
            </w:r>
            <w:r>
              <w:t>).</w:t>
            </w:r>
          </w:p>
        </w:tc>
        <w:tc>
          <w:tcPr>
            <w:tcW w:w="1207" w:type="dxa"/>
            <w:vAlign w:val="center"/>
          </w:tcPr>
          <w:p w14:paraId="76426883" w14:textId="77777777" w:rsidR="0062656C" w:rsidRDefault="0062656C">
            <w:pPr>
              <w:spacing w:before="60" w:after="60"/>
              <w:jc w:val="center"/>
            </w:pPr>
            <w:r>
              <w:t>50%</w:t>
            </w:r>
          </w:p>
        </w:tc>
      </w:tr>
      <w:tr w:rsidR="0062656C" w14:paraId="79101244" w14:textId="77777777">
        <w:trPr>
          <w:cantSplit/>
        </w:trPr>
        <w:tc>
          <w:tcPr>
            <w:tcW w:w="1133" w:type="dxa"/>
            <w:vAlign w:val="center"/>
          </w:tcPr>
          <w:p w14:paraId="4502D780" w14:textId="77777777" w:rsidR="0062656C" w:rsidRDefault="0062656C">
            <w:pPr>
              <w:spacing w:before="60" w:after="60"/>
              <w:jc w:val="center"/>
            </w:pPr>
            <w:r>
              <w:lastRenderedPageBreak/>
              <w:t>12</w:t>
            </w:r>
          </w:p>
        </w:tc>
        <w:tc>
          <w:tcPr>
            <w:tcW w:w="1287" w:type="dxa"/>
            <w:vAlign w:val="center"/>
          </w:tcPr>
          <w:p w14:paraId="19121029" w14:textId="77777777" w:rsidR="0062656C" w:rsidRDefault="0062656C">
            <w:pPr>
              <w:spacing w:before="60" w:after="60"/>
              <w:jc w:val="center"/>
            </w:pPr>
            <w:r>
              <w:t>D</w:t>
            </w:r>
          </w:p>
        </w:tc>
        <w:tc>
          <w:tcPr>
            <w:tcW w:w="3142" w:type="dxa"/>
            <w:vAlign w:val="center"/>
          </w:tcPr>
          <w:p w14:paraId="6502B362" w14:textId="77777777" w:rsidR="0062656C" w:rsidRDefault="0062656C">
            <w:pPr>
              <w:spacing w:before="60" w:after="60"/>
            </w:pPr>
            <w:r>
              <w:t>I-580: San Rafael (US 101) to Tracy (I-5)</w:t>
            </w:r>
          </w:p>
          <w:p w14:paraId="33A8A32C" w14:textId="691D17AB" w:rsidR="0062656C" w:rsidRDefault="0062656C">
            <w:pPr>
              <w:spacing w:before="60" w:after="60"/>
            </w:pPr>
            <w:r>
              <w:t>I-205: Tracy</w:t>
            </w:r>
            <w:r w:rsidR="008D7091">
              <w:t xml:space="preserve"> between I-580 and I-5</w:t>
            </w:r>
          </w:p>
        </w:tc>
        <w:tc>
          <w:tcPr>
            <w:tcW w:w="1248" w:type="dxa"/>
            <w:vAlign w:val="center"/>
          </w:tcPr>
          <w:p w14:paraId="6788B064" w14:textId="77777777" w:rsidR="0062656C" w:rsidRDefault="0062656C">
            <w:pPr>
              <w:spacing w:before="60" w:after="60"/>
              <w:jc w:val="center"/>
            </w:pPr>
            <w:r>
              <w:t>2</w:t>
            </w:r>
          </w:p>
        </w:tc>
        <w:tc>
          <w:tcPr>
            <w:tcW w:w="1015" w:type="dxa"/>
            <w:vAlign w:val="center"/>
          </w:tcPr>
          <w:p w14:paraId="01E3CB44" w14:textId="77777777" w:rsidR="0062656C" w:rsidRDefault="0062656C">
            <w:pPr>
              <w:spacing w:before="60" w:after="60"/>
              <w:jc w:val="center"/>
            </w:pPr>
            <w:r>
              <w:t>12</w:t>
            </w:r>
          </w:p>
        </w:tc>
        <w:tc>
          <w:tcPr>
            <w:tcW w:w="5093" w:type="dxa"/>
            <w:vAlign w:val="center"/>
          </w:tcPr>
          <w:p w14:paraId="1AF9A880" w14:textId="77777777" w:rsidR="0062656C" w:rsidRDefault="0062656C" w:rsidP="00164AC5">
            <w:pPr>
              <w:pStyle w:val="ListParagraph"/>
              <w:numPr>
                <w:ilvl w:val="0"/>
                <w:numId w:val="61"/>
              </w:numPr>
              <w:spacing w:before="60" w:after="60"/>
              <w:ind w:left="316" w:hanging="316"/>
              <w:contextualSpacing/>
            </w:pPr>
            <w:r w:rsidRPr="009E4B8E">
              <w:t xml:space="preserve">One station </w:t>
            </w:r>
            <w:r>
              <w:t xml:space="preserve">along I-580 </w:t>
            </w:r>
            <w:r w:rsidRPr="009E4B8E">
              <w:t xml:space="preserve">within 25 miles </w:t>
            </w:r>
            <w:r>
              <w:t xml:space="preserve">east </w:t>
            </w:r>
            <w:r w:rsidRPr="009E4B8E">
              <w:t xml:space="preserve">of the </w:t>
            </w:r>
            <w:r>
              <w:t>I-580/</w:t>
            </w:r>
            <w:r w:rsidRPr="009E4B8E">
              <w:t>US</w:t>
            </w:r>
            <w:r>
              <w:t xml:space="preserve"> </w:t>
            </w:r>
            <w:r w:rsidRPr="009E4B8E">
              <w:t xml:space="preserve">101 junction </w:t>
            </w:r>
            <w:r>
              <w:t>(</w:t>
            </w:r>
            <w:r w:rsidRPr="009E4B8E">
              <w:t>San Rafael</w:t>
            </w:r>
            <w:r>
              <w:t>).</w:t>
            </w:r>
          </w:p>
          <w:p w14:paraId="76C20433" w14:textId="77777777" w:rsidR="0062656C" w:rsidRDefault="0062656C" w:rsidP="00164AC5">
            <w:pPr>
              <w:pStyle w:val="ListParagraph"/>
              <w:numPr>
                <w:ilvl w:val="0"/>
                <w:numId w:val="61"/>
              </w:numPr>
              <w:spacing w:before="60" w:after="60"/>
              <w:ind w:left="316" w:hanging="316"/>
              <w:contextualSpacing/>
            </w:pPr>
            <w:r w:rsidRPr="00E44572">
              <w:t xml:space="preserve">One station </w:t>
            </w:r>
            <w:r>
              <w:t xml:space="preserve">along I-580 </w:t>
            </w:r>
            <w:r w:rsidRPr="00E44572">
              <w:t xml:space="preserve">within 25 miles </w:t>
            </w:r>
            <w:r>
              <w:t xml:space="preserve">west </w:t>
            </w:r>
            <w:r w:rsidRPr="00E44572">
              <w:t xml:space="preserve">of the </w:t>
            </w:r>
            <w:r>
              <w:t>I-580/</w:t>
            </w:r>
            <w:r w:rsidRPr="00E44572">
              <w:t>I-5 junction</w:t>
            </w:r>
            <w:r>
              <w:t xml:space="preserve"> (</w:t>
            </w:r>
            <w:r w:rsidRPr="00E44572">
              <w:t>Tracy</w:t>
            </w:r>
            <w:r>
              <w:t>)</w:t>
            </w:r>
            <w:r w:rsidRPr="00E44572">
              <w:t>, or along I-205 between I-580 and I-5</w:t>
            </w:r>
            <w:r>
              <w:t>.</w:t>
            </w:r>
          </w:p>
        </w:tc>
        <w:tc>
          <w:tcPr>
            <w:tcW w:w="1207" w:type="dxa"/>
            <w:vAlign w:val="center"/>
          </w:tcPr>
          <w:p w14:paraId="0C28173C" w14:textId="77777777" w:rsidR="0062656C" w:rsidRDefault="0062656C">
            <w:pPr>
              <w:spacing w:before="60" w:after="60"/>
              <w:jc w:val="center"/>
            </w:pPr>
            <w:r>
              <w:t>50%</w:t>
            </w:r>
          </w:p>
        </w:tc>
      </w:tr>
      <w:tr w:rsidR="0062656C" w14:paraId="00EF539A" w14:textId="77777777">
        <w:trPr>
          <w:cantSplit/>
        </w:trPr>
        <w:tc>
          <w:tcPr>
            <w:tcW w:w="1133" w:type="dxa"/>
            <w:vAlign w:val="center"/>
          </w:tcPr>
          <w:p w14:paraId="7899A0C1" w14:textId="77777777" w:rsidR="0062656C" w:rsidRDefault="0062656C">
            <w:pPr>
              <w:spacing w:before="60" w:after="60"/>
              <w:jc w:val="center"/>
            </w:pPr>
            <w:r>
              <w:t>13</w:t>
            </w:r>
          </w:p>
        </w:tc>
        <w:tc>
          <w:tcPr>
            <w:tcW w:w="1287" w:type="dxa"/>
            <w:vAlign w:val="center"/>
          </w:tcPr>
          <w:p w14:paraId="38B8F53D" w14:textId="77777777" w:rsidR="0062656C" w:rsidRDefault="0062656C">
            <w:pPr>
              <w:spacing w:before="60" w:after="60"/>
              <w:jc w:val="center"/>
            </w:pPr>
            <w:r>
              <w:t>A</w:t>
            </w:r>
          </w:p>
        </w:tc>
        <w:tc>
          <w:tcPr>
            <w:tcW w:w="3142" w:type="dxa"/>
            <w:vAlign w:val="center"/>
          </w:tcPr>
          <w:p w14:paraId="2AA4F902" w14:textId="77777777" w:rsidR="0062656C" w:rsidRDefault="0062656C">
            <w:pPr>
              <w:spacing w:before="60" w:after="60"/>
            </w:pPr>
            <w:r>
              <w:t xml:space="preserve">SR 41: </w:t>
            </w:r>
            <w:proofErr w:type="spellStart"/>
            <w:r>
              <w:t>Cholame</w:t>
            </w:r>
            <w:proofErr w:type="spellEnd"/>
            <w:r>
              <w:t xml:space="preserve"> (SR 46) to Fish Camp*</w:t>
            </w:r>
          </w:p>
          <w:p w14:paraId="15F17F05" w14:textId="77777777" w:rsidR="0062656C" w:rsidRDefault="0062656C">
            <w:pPr>
              <w:spacing w:before="60" w:after="60"/>
            </w:pPr>
            <w:r>
              <w:t>SR 46: Paso Robles (US 101) to Famoso (SR 99)</w:t>
            </w:r>
          </w:p>
        </w:tc>
        <w:tc>
          <w:tcPr>
            <w:tcW w:w="1248" w:type="dxa"/>
            <w:vAlign w:val="center"/>
          </w:tcPr>
          <w:p w14:paraId="6CA2AC9E" w14:textId="77777777" w:rsidR="0062656C" w:rsidRDefault="0062656C">
            <w:pPr>
              <w:spacing w:before="60" w:after="60"/>
              <w:jc w:val="center"/>
            </w:pPr>
            <w:r>
              <w:t>4</w:t>
            </w:r>
          </w:p>
        </w:tc>
        <w:tc>
          <w:tcPr>
            <w:tcW w:w="1015" w:type="dxa"/>
            <w:vAlign w:val="center"/>
          </w:tcPr>
          <w:p w14:paraId="37C52661" w14:textId="77777777" w:rsidR="0062656C" w:rsidRDefault="0062656C">
            <w:pPr>
              <w:spacing w:before="60" w:after="60"/>
              <w:jc w:val="center"/>
            </w:pPr>
            <w:r>
              <w:t>16</w:t>
            </w:r>
          </w:p>
        </w:tc>
        <w:tc>
          <w:tcPr>
            <w:tcW w:w="5093" w:type="dxa"/>
            <w:vAlign w:val="center"/>
          </w:tcPr>
          <w:p w14:paraId="215E302E" w14:textId="77777777" w:rsidR="0062656C" w:rsidRDefault="0062656C" w:rsidP="00164AC5">
            <w:pPr>
              <w:pStyle w:val="ListParagraph"/>
              <w:numPr>
                <w:ilvl w:val="0"/>
                <w:numId w:val="69"/>
              </w:numPr>
              <w:spacing w:before="60" w:after="60"/>
              <w:ind w:left="316" w:hanging="316"/>
              <w:contextualSpacing/>
            </w:pPr>
            <w:r>
              <w:t>One station along SR 46 between Paso Robles (US 101) and SR 41 (</w:t>
            </w:r>
            <w:proofErr w:type="spellStart"/>
            <w:r>
              <w:t>Cholame</w:t>
            </w:r>
            <w:proofErr w:type="spellEnd"/>
            <w:r>
              <w:t>).</w:t>
            </w:r>
          </w:p>
          <w:p w14:paraId="356B1F7E" w14:textId="77777777" w:rsidR="0062656C" w:rsidRDefault="0062656C" w:rsidP="00164AC5">
            <w:pPr>
              <w:pStyle w:val="ListParagraph"/>
              <w:numPr>
                <w:ilvl w:val="0"/>
                <w:numId w:val="69"/>
              </w:numPr>
              <w:spacing w:before="60" w:after="60"/>
              <w:ind w:left="316" w:hanging="316"/>
              <w:contextualSpacing/>
            </w:pPr>
            <w:r>
              <w:t>One station along SR 46 within 25 miles west of the SR46/SR 99 junction (Famoso).</w:t>
            </w:r>
          </w:p>
          <w:p w14:paraId="69A3E2E3" w14:textId="77777777" w:rsidR="0062656C" w:rsidRDefault="0062656C" w:rsidP="00164AC5">
            <w:pPr>
              <w:pStyle w:val="ListParagraph"/>
              <w:numPr>
                <w:ilvl w:val="0"/>
                <w:numId w:val="69"/>
              </w:numPr>
              <w:spacing w:before="60" w:after="60"/>
              <w:ind w:left="316" w:hanging="316"/>
              <w:contextualSpacing/>
            </w:pPr>
            <w:r>
              <w:t>One station along SR 41 within 25 miles either side of the SR 41/SR 99 junction (Fresno).</w:t>
            </w:r>
          </w:p>
        </w:tc>
        <w:tc>
          <w:tcPr>
            <w:tcW w:w="1207" w:type="dxa"/>
            <w:vAlign w:val="center"/>
          </w:tcPr>
          <w:p w14:paraId="4F440E8F" w14:textId="77777777" w:rsidR="0062656C" w:rsidRDefault="0062656C">
            <w:pPr>
              <w:spacing w:before="60" w:after="60"/>
              <w:jc w:val="center"/>
            </w:pPr>
            <w:r>
              <w:t>20%</w:t>
            </w:r>
          </w:p>
        </w:tc>
      </w:tr>
      <w:tr w:rsidR="0062656C" w14:paraId="0D2D8EEF" w14:textId="77777777">
        <w:trPr>
          <w:cantSplit/>
        </w:trPr>
        <w:tc>
          <w:tcPr>
            <w:tcW w:w="1133" w:type="dxa"/>
            <w:vAlign w:val="center"/>
          </w:tcPr>
          <w:p w14:paraId="7866F1A4" w14:textId="77777777" w:rsidR="0062656C" w:rsidRDefault="0062656C">
            <w:pPr>
              <w:spacing w:before="60" w:after="60"/>
              <w:jc w:val="center"/>
            </w:pPr>
            <w:r>
              <w:t>13</w:t>
            </w:r>
          </w:p>
        </w:tc>
        <w:tc>
          <w:tcPr>
            <w:tcW w:w="1287" w:type="dxa"/>
            <w:vAlign w:val="center"/>
          </w:tcPr>
          <w:p w14:paraId="20511159" w14:textId="77777777" w:rsidR="0062656C" w:rsidRDefault="0062656C">
            <w:pPr>
              <w:spacing w:before="60" w:after="60"/>
              <w:jc w:val="center"/>
            </w:pPr>
            <w:r>
              <w:t>B</w:t>
            </w:r>
          </w:p>
        </w:tc>
        <w:tc>
          <w:tcPr>
            <w:tcW w:w="3142" w:type="dxa"/>
            <w:vAlign w:val="center"/>
          </w:tcPr>
          <w:p w14:paraId="61135095" w14:textId="77777777" w:rsidR="0062656C" w:rsidRDefault="0062656C">
            <w:pPr>
              <w:spacing w:before="60" w:after="60"/>
            </w:pPr>
            <w:r>
              <w:t>SR 140: Gustine (I-5) to El Portal (Yosemite)</w:t>
            </w:r>
          </w:p>
          <w:p w14:paraId="3D074862" w14:textId="77777777" w:rsidR="0062656C" w:rsidRDefault="0062656C">
            <w:pPr>
              <w:spacing w:before="60" w:after="60"/>
            </w:pPr>
            <w:r>
              <w:t>SR 180: Fresno (SR 99) to Miramonte (SR 245)</w:t>
            </w:r>
          </w:p>
        </w:tc>
        <w:tc>
          <w:tcPr>
            <w:tcW w:w="1248" w:type="dxa"/>
            <w:vAlign w:val="center"/>
          </w:tcPr>
          <w:p w14:paraId="5B70B2CA" w14:textId="77777777" w:rsidR="0062656C" w:rsidRDefault="0062656C">
            <w:pPr>
              <w:spacing w:before="60" w:after="60"/>
              <w:jc w:val="center"/>
            </w:pPr>
            <w:r>
              <w:t>4</w:t>
            </w:r>
          </w:p>
        </w:tc>
        <w:tc>
          <w:tcPr>
            <w:tcW w:w="1015" w:type="dxa"/>
            <w:vAlign w:val="center"/>
          </w:tcPr>
          <w:p w14:paraId="0D87CB66" w14:textId="77777777" w:rsidR="0062656C" w:rsidRDefault="0062656C">
            <w:pPr>
              <w:spacing w:before="60" w:after="60"/>
              <w:jc w:val="center"/>
            </w:pPr>
            <w:r>
              <w:t>18</w:t>
            </w:r>
          </w:p>
        </w:tc>
        <w:tc>
          <w:tcPr>
            <w:tcW w:w="5093" w:type="dxa"/>
            <w:vAlign w:val="center"/>
          </w:tcPr>
          <w:p w14:paraId="2D92BDA1" w14:textId="77777777" w:rsidR="0062656C" w:rsidRDefault="0062656C" w:rsidP="00164AC5">
            <w:pPr>
              <w:pStyle w:val="ListParagraph"/>
              <w:numPr>
                <w:ilvl w:val="0"/>
                <w:numId w:val="73"/>
              </w:numPr>
              <w:spacing w:before="60" w:after="60"/>
              <w:ind w:left="316" w:hanging="316"/>
              <w:contextualSpacing/>
            </w:pPr>
            <w:r>
              <w:t>One station along SR 140 within 25 miles east of the SR 140/I-5 junction (Gustine).</w:t>
            </w:r>
          </w:p>
          <w:p w14:paraId="71819E74" w14:textId="77777777" w:rsidR="0062656C" w:rsidRDefault="0062656C" w:rsidP="00164AC5">
            <w:pPr>
              <w:pStyle w:val="ListParagraph"/>
              <w:numPr>
                <w:ilvl w:val="0"/>
                <w:numId w:val="73"/>
              </w:numPr>
              <w:spacing w:before="60" w:after="60"/>
              <w:ind w:left="316" w:hanging="316"/>
              <w:contextualSpacing/>
            </w:pPr>
            <w:r>
              <w:t>On station along SR 140 within 25 miles west of the terminus in Yosemite.</w:t>
            </w:r>
          </w:p>
          <w:p w14:paraId="14A8C799" w14:textId="77777777" w:rsidR="0062656C" w:rsidRDefault="0062656C" w:rsidP="00164AC5">
            <w:pPr>
              <w:pStyle w:val="ListParagraph"/>
              <w:numPr>
                <w:ilvl w:val="0"/>
                <w:numId w:val="73"/>
              </w:numPr>
              <w:spacing w:before="60" w:after="60"/>
              <w:ind w:left="316" w:hanging="316"/>
              <w:contextualSpacing/>
            </w:pPr>
            <w:r>
              <w:t>One station along SR 180 within 25 miles west of the SR 245 junction (Miramonte).</w:t>
            </w:r>
          </w:p>
        </w:tc>
        <w:tc>
          <w:tcPr>
            <w:tcW w:w="1207" w:type="dxa"/>
            <w:vAlign w:val="center"/>
          </w:tcPr>
          <w:p w14:paraId="29FDEB03" w14:textId="77777777" w:rsidR="0062656C" w:rsidRDefault="0062656C">
            <w:pPr>
              <w:spacing w:before="60" w:after="60"/>
              <w:jc w:val="center"/>
            </w:pPr>
            <w:r>
              <w:t>50%</w:t>
            </w:r>
          </w:p>
        </w:tc>
      </w:tr>
      <w:tr w:rsidR="0062656C" w14:paraId="06AEC21A" w14:textId="77777777">
        <w:trPr>
          <w:cantSplit/>
        </w:trPr>
        <w:tc>
          <w:tcPr>
            <w:tcW w:w="1133" w:type="dxa"/>
            <w:vAlign w:val="center"/>
          </w:tcPr>
          <w:p w14:paraId="27D12D2F" w14:textId="77777777" w:rsidR="0062656C" w:rsidRDefault="0062656C">
            <w:pPr>
              <w:spacing w:before="60" w:after="60"/>
              <w:jc w:val="center"/>
            </w:pPr>
            <w:r>
              <w:t>13</w:t>
            </w:r>
          </w:p>
        </w:tc>
        <w:tc>
          <w:tcPr>
            <w:tcW w:w="1287" w:type="dxa"/>
            <w:vAlign w:val="center"/>
          </w:tcPr>
          <w:p w14:paraId="1EBF2D0F" w14:textId="77777777" w:rsidR="0062656C" w:rsidRDefault="0062656C">
            <w:pPr>
              <w:spacing w:before="60" w:after="60"/>
              <w:jc w:val="center"/>
            </w:pPr>
            <w:r>
              <w:t>C</w:t>
            </w:r>
          </w:p>
        </w:tc>
        <w:tc>
          <w:tcPr>
            <w:tcW w:w="3142" w:type="dxa"/>
            <w:vAlign w:val="center"/>
          </w:tcPr>
          <w:p w14:paraId="273048C8" w14:textId="77777777" w:rsidR="0062656C" w:rsidRDefault="0062656C">
            <w:pPr>
              <w:spacing w:before="60" w:after="60"/>
            </w:pPr>
            <w:r>
              <w:t>SR 198: Coalinga (I-5) to Three Rivers (Sequoia National Park)</w:t>
            </w:r>
          </w:p>
        </w:tc>
        <w:tc>
          <w:tcPr>
            <w:tcW w:w="1248" w:type="dxa"/>
            <w:vAlign w:val="center"/>
          </w:tcPr>
          <w:p w14:paraId="0264DA35" w14:textId="77777777" w:rsidR="0062656C" w:rsidRDefault="0062656C">
            <w:pPr>
              <w:spacing w:before="60" w:after="60"/>
              <w:jc w:val="center"/>
            </w:pPr>
            <w:r>
              <w:t>2</w:t>
            </w:r>
          </w:p>
        </w:tc>
        <w:tc>
          <w:tcPr>
            <w:tcW w:w="1015" w:type="dxa"/>
            <w:vAlign w:val="center"/>
          </w:tcPr>
          <w:p w14:paraId="7213C38C" w14:textId="77777777" w:rsidR="0062656C" w:rsidRDefault="0062656C">
            <w:pPr>
              <w:spacing w:before="60" w:after="60"/>
              <w:jc w:val="center"/>
            </w:pPr>
            <w:r>
              <w:t>8</w:t>
            </w:r>
          </w:p>
        </w:tc>
        <w:tc>
          <w:tcPr>
            <w:tcW w:w="5093" w:type="dxa"/>
            <w:vAlign w:val="center"/>
          </w:tcPr>
          <w:p w14:paraId="7B41B6B6" w14:textId="77777777" w:rsidR="0062656C" w:rsidRDefault="0062656C" w:rsidP="00164AC5">
            <w:pPr>
              <w:pStyle w:val="ListParagraph"/>
              <w:numPr>
                <w:ilvl w:val="0"/>
                <w:numId w:val="72"/>
              </w:numPr>
              <w:spacing w:before="60" w:after="60"/>
              <w:ind w:left="316" w:hanging="316"/>
              <w:contextualSpacing/>
            </w:pPr>
            <w:r>
              <w:t>One station along SR 198 within 25 miles east of the SR 198/I-5 junction (Coalinga).</w:t>
            </w:r>
          </w:p>
          <w:p w14:paraId="230B67C5" w14:textId="77777777" w:rsidR="0062656C" w:rsidRDefault="0062656C" w:rsidP="00164AC5">
            <w:pPr>
              <w:pStyle w:val="ListParagraph"/>
              <w:numPr>
                <w:ilvl w:val="0"/>
                <w:numId w:val="72"/>
              </w:numPr>
              <w:spacing w:before="60" w:after="60"/>
              <w:ind w:left="316" w:hanging="316"/>
              <w:contextualSpacing/>
            </w:pPr>
            <w:r>
              <w:t>One station along SR 198 within 25 miles west of where SR 198 ends at Sequoia National Park.</w:t>
            </w:r>
          </w:p>
        </w:tc>
        <w:tc>
          <w:tcPr>
            <w:tcW w:w="1207" w:type="dxa"/>
            <w:vAlign w:val="center"/>
          </w:tcPr>
          <w:p w14:paraId="0798A997" w14:textId="77777777" w:rsidR="0062656C" w:rsidRDefault="0062656C">
            <w:pPr>
              <w:spacing w:before="60" w:after="60"/>
              <w:jc w:val="center"/>
            </w:pPr>
            <w:r>
              <w:t>20%</w:t>
            </w:r>
          </w:p>
        </w:tc>
      </w:tr>
      <w:tr w:rsidR="0062656C" w14:paraId="424DC515" w14:textId="77777777">
        <w:trPr>
          <w:cantSplit/>
        </w:trPr>
        <w:tc>
          <w:tcPr>
            <w:tcW w:w="1133" w:type="dxa"/>
            <w:vAlign w:val="center"/>
          </w:tcPr>
          <w:p w14:paraId="7959146B" w14:textId="77777777" w:rsidR="0062656C" w:rsidRDefault="0062656C">
            <w:pPr>
              <w:spacing w:before="60" w:after="60"/>
              <w:jc w:val="center"/>
            </w:pPr>
            <w:r>
              <w:lastRenderedPageBreak/>
              <w:t>13</w:t>
            </w:r>
          </w:p>
        </w:tc>
        <w:tc>
          <w:tcPr>
            <w:tcW w:w="1287" w:type="dxa"/>
            <w:vAlign w:val="center"/>
          </w:tcPr>
          <w:p w14:paraId="697136D1" w14:textId="77777777" w:rsidR="0062656C" w:rsidRDefault="0062656C">
            <w:pPr>
              <w:spacing w:before="60" w:after="60"/>
              <w:jc w:val="center"/>
            </w:pPr>
            <w:r>
              <w:t>D</w:t>
            </w:r>
          </w:p>
        </w:tc>
        <w:tc>
          <w:tcPr>
            <w:tcW w:w="3142" w:type="dxa"/>
            <w:vAlign w:val="center"/>
          </w:tcPr>
          <w:p w14:paraId="3750EA22" w14:textId="77777777" w:rsidR="0062656C" w:rsidRDefault="0062656C">
            <w:pPr>
              <w:spacing w:before="60" w:after="60"/>
            </w:pPr>
            <w:r>
              <w:t>SR 152: Watsonville (SR 1) to Chowchilla (SR 99)</w:t>
            </w:r>
          </w:p>
          <w:p w14:paraId="3632FE02" w14:textId="77777777" w:rsidR="0062656C" w:rsidRDefault="0062656C">
            <w:pPr>
              <w:spacing w:before="60" w:after="60"/>
            </w:pPr>
            <w:r>
              <w:t>SR 156: San Juan Bautista (US 101) to Hollister (US 101)</w:t>
            </w:r>
          </w:p>
        </w:tc>
        <w:tc>
          <w:tcPr>
            <w:tcW w:w="1248" w:type="dxa"/>
            <w:vAlign w:val="center"/>
          </w:tcPr>
          <w:p w14:paraId="5D475C88" w14:textId="77777777" w:rsidR="0062656C" w:rsidRDefault="0062656C">
            <w:pPr>
              <w:spacing w:before="60" w:after="60"/>
              <w:jc w:val="center"/>
            </w:pPr>
            <w:r>
              <w:t>2</w:t>
            </w:r>
          </w:p>
        </w:tc>
        <w:tc>
          <w:tcPr>
            <w:tcW w:w="1015" w:type="dxa"/>
            <w:vAlign w:val="center"/>
          </w:tcPr>
          <w:p w14:paraId="15B5A407" w14:textId="77777777" w:rsidR="0062656C" w:rsidRDefault="0062656C">
            <w:pPr>
              <w:spacing w:before="60" w:after="60"/>
              <w:jc w:val="center"/>
            </w:pPr>
            <w:r>
              <w:t>12</w:t>
            </w:r>
          </w:p>
        </w:tc>
        <w:tc>
          <w:tcPr>
            <w:tcW w:w="5093" w:type="dxa"/>
            <w:vAlign w:val="center"/>
          </w:tcPr>
          <w:p w14:paraId="7462531E" w14:textId="77777777" w:rsidR="0062656C" w:rsidRDefault="0062656C" w:rsidP="00164AC5">
            <w:pPr>
              <w:pStyle w:val="ListParagraph"/>
              <w:numPr>
                <w:ilvl w:val="0"/>
                <w:numId w:val="70"/>
              </w:numPr>
              <w:spacing w:before="60" w:after="60"/>
              <w:ind w:left="316" w:hanging="316"/>
              <w:contextualSpacing/>
            </w:pPr>
            <w:r>
              <w:t>One station along SR 152 within 25 miles west of the SR 152/SR 99 junction (Chowchilla).</w:t>
            </w:r>
          </w:p>
          <w:p w14:paraId="7B1B9709" w14:textId="24D6E959" w:rsidR="0062656C" w:rsidRDefault="0062656C" w:rsidP="00164AC5">
            <w:pPr>
              <w:pStyle w:val="ListParagraph"/>
              <w:numPr>
                <w:ilvl w:val="0"/>
                <w:numId w:val="70"/>
              </w:numPr>
              <w:spacing w:before="60" w:after="60"/>
              <w:ind w:left="316" w:hanging="316"/>
              <w:contextualSpacing/>
            </w:pPr>
            <w:r>
              <w:t>A station is NOT required along SR 156; siting along this route is optional.</w:t>
            </w:r>
            <w:r w:rsidR="00B01719" w:rsidRPr="00B01719">
              <w:rPr>
                <w:vertAlign w:val="superscript"/>
              </w:rPr>
              <w:t>+</w:t>
            </w:r>
          </w:p>
        </w:tc>
        <w:tc>
          <w:tcPr>
            <w:tcW w:w="1207" w:type="dxa"/>
            <w:vAlign w:val="center"/>
          </w:tcPr>
          <w:p w14:paraId="6C7E3F42" w14:textId="77777777" w:rsidR="0062656C" w:rsidRDefault="0062656C">
            <w:pPr>
              <w:spacing w:before="60" w:after="60"/>
              <w:jc w:val="center"/>
            </w:pPr>
            <w:r>
              <w:t>50%</w:t>
            </w:r>
          </w:p>
        </w:tc>
      </w:tr>
      <w:tr w:rsidR="0062656C" w14:paraId="18286EA0" w14:textId="77777777">
        <w:trPr>
          <w:cantSplit/>
        </w:trPr>
        <w:tc>
          <w:tcPr>
            <w:tcW w:w="1133" w:type="dxa"/>
            <w:vAlign w:val="center"/>
          </w:tcPr>
          <w:p w14:paraId="3C8E8514" w14:textId="77777777" w:rsidR="0062656C" w:rsidRDefault="0062656C">
            <w:pPr>
              <w:spacing w:before="60" w:after="60"/>
              <w:jc w:val="center"/>
            </w:pPr>
            <w:r>
              <w:t>13</w:t>
            </w:r>
          </w:p>
        </w:tc>
        <w:tc>
          <w:tcPr>
            <w:tcW w:w="1287" w:type="dxa"/>
            <w:vAlign w:val="center"/>
          </w:tcPr>
          <w:p w14:paraId="429430EC" w14:textId="77777777" w:rsidR="0062656C" w:rsidRDefault="0062656C">
            <w:pPr>
              <w:spacing w:before="60" w:after="60"/>
              <w:jc w:val="center"/>
            </w:pPr>
            <w:r>
              <w:t>E</w:t>
            </w:r>
          </w:p>
        </w:tc>
        <w:tc>
          <w:tcPr>
            <w:tcW w:w="3142" w:type="dxa"/>
            <w:vAlign w:val="center"/>
          </w:tcPr>
          <w:p w14:paraId="4A25B3B6" w14:textId="77777777" w:rsidR="0062656C" w:rsidRDefault="0062656C">
            <w:pPr>
              <w:spacing w:before="60" w:after="60"/>
            </w:pPr>
            <w:r>
              <w:t>SR 99: South of Turlock to Wheeler Ridge (I-5)*</w:t>
            </w:r>
          </w:p>
        </w:tc>
        <w:tc>
          <w:tcPr>
            <w:tcW w:w="1248" w:type="dxa"/>
            <w:vAlign w:val="center"/>
          </w:tcPr>
          <w:p w14:paraId="236C2F20" w14:textId="77777777" w:rsidR="0062656C" w:rsidRDefault="0062656C">
            <w:pPr>
              <w:spacing w:before="60" w:after="60"/>
              <w:jc w:val="center"/>
            </w:pPr>
            <w:r>
              <w:t>5</w:t>
            </w:r>
          </w:p>
        </w:tc>
        <w:tc>
          <w:tcPr>
            <w:tcW w:w="1015" w:type="dxa"/>
            <w:vAlign w:val="center"/>
          </w:tcPr>
          <w:p w14:paraId="0858A895" w14:textId="77777777" w:rsidR="0062656C" w:rsidRDefault="0062656C">
            <w:pPr>
              <w:spacing w:before="60" w:after="60"/>
              <w:jc w:val="center"/>
            </w:pPr>
            <w:r>
              <w:t>40</w:t>
            </w:r>
          </w:p>
        </w:tc>
        <w:tc>
          <w:tcPr>
            <w:tcW w:w="5093" w:type="dxa"/>
            <w:vAlign w:val="center"/>
          </w:tcPr>
          <w:p w14:paraId="4C481A52" w14:textId="77777777" w:rsidR="0062656C" w:rsidRDefault="0062656C" w:rsidP="00164AC5">
            <w:pPr>
              <w:pStyle w:val="ListParagraph"/>
              <w:numPr>
                <w:ilvl w:val="0"/>
                <w:numId w:val="71"/>
              </w:numPr>
              <w:spacing w:before="60" w:after="60"/>
              <w:ind w:left="316" w:hanging="316"/>
              <w:contextualSpacing/>
            </w:pPr>
            <w:r>
              <w:t>One station along SR 99 within 25 miles south of the southern city limits of Turlock.</w:t>
            </w:r>
          </w:p>
          <w:p w14:paraId="05268C7E" w14:textId="77777777" w:rsidR="0062656C" w:rsidRDefault="0062656C" w:rsidP="00164AC5">
            <w:pPr>
              <w:pStyle w:val="ListParagraph"/>
              <w:numPr>
                <w:ilvl w:val="0"/>
                <w:numId w:val="71"/>
              </w:numPr>
              <w:spacing w:before="60" w:after="60"/>
              <w:ind w:left="316" w:hanging="316"/>
              <w:contextualSpacing/>
            </w:pPr>
            <w:r>
              <w:t>One station along SR 99 within 25 miles north of the SR 99/I-5 junction (Wheeler Ridge).</w:t>
            </w:r>
          </w:p>
        </w:tc>
        <w:tc>
          <w:tcPr>
            <w:tcW w:w="1207" w:type="dxa"/>
            <w:vAlign w:val="center"/>
          </w:tcPr>
          <w:p w14:paraId="32E862F0" w14:textId="77777777" w:rsidR="0062656C" w:rsidRDefault="0062656C">
            <w:pPr>
              <w:spacing w:before="60" w:after="60"/>
              <w:jc w:val="center"/>
            </w:pPr>
            <w:r>
              <w:t>50%</w:t>
            </w:r>
          </w:p>
        </w:tc>
      </w:tr>
      <w:tr w:rsidR="0062656C" w14:paraId="239C8E36" w14:textId="77777777">
        <w:trPr>
          <w:cantSplit/>
        </w:trPr>
        <w:tc>
          <w:tcPr>
            <w:tcW w:w="1133" w:type="dxa"/>
            <w:vAlign w:val="center"/>
          </w:tcPr>
          <w:p w14:paraId="6228B701" w14:textId="77777777" w:rsidR="0062656C" w:rsidRDefault="0062656C">
            <w:pPr>
              <w:spacing w:before="60" w:after="60"/>
              <w:jc w:val="center"/>
            </w:pPr>
            <w:r>
              <w:t>14</w:t>
            </w:r>
          </w:p>
        </w:tc>
        <w:tc>
          <w:tcPr>
            <w:tcW w:w="1287" w:type="dxa"/>
            <w:vAlign w:val="center"/>
          </w:tcPr>
          <w:p w14:paraId="4F019B1F" w14:textId="77777777" w:rsidR="0062656C" w:rsidRDefault="0062656C">
            <w:pPr>
              <w:spacing w:before="60" w:after="60"/>
              <w:jc w:val="center"/>
            </w:pPr>
            <w:r>
              <w:t>A</w:t>
            </w:r>
          </w:p>
        </w:tc>
        <w:tc>
          <w:tcPr>
            <w:tcW w:w="3142" w:type="dxa"/>
            <w:vAlign w:val="center"/>
          </w:tcPr>
          <w:p w14:paraId="0BA8D479" w14:textId="77777777" w:rsidR="0062656C" w:rsidRDefault="0062656C">
            <w:pPr>
              <w:spacing w:before="60" w:after="60"/>
            </w:pPr>
            <w:r>
              <w:t>I-8: El Centro to Arizona Border</w:t>
            </w:r>
          </w:p>
        </w:tc>
        <w:tc>
          <w:tcPr>
            <w:tcW w:w="1248" w:type="dxa"/>
            <w:vAlign w:val="center"/>
          </w:tcPr>
          <w:p w14:paraId="66EBE21F" w14:textId="77777777" w:rsidR="0062656C" w:rsidRDefault="0062656C">
            <w:pPr>
              <w:spacing w:before="60" w:after="60"/>
              <w:jc w:val="center"/>
            </w:pPr>
            <w:r>
              <w:t>2</w:t>
            </w:r>
          </w:p>
        </w:tc>
        <w:tc>
          <w:tcPr>
            <w:tcW w:w="1015" w:type="dxa"/>
            <w:vAlign w:val="center"/>
          </w:tcPr>
          <w:p w14:paraId="024EBA00" w14:textId="77777777" w:rsidR="0062656C" w:rsidRDefault="0062656C">
            <w:pPr>
              <w:spacing w:before="60" w:after="60"/>
              <w:jc w:val="center"/>
            </w:pPr>
            <w:r>
              <w:t>8</w:t>
            </w:r>
          </w:p>
        </w:tc>
        <w:tc>
          <w:tcPr>
            <w:tcW w:w="5093" w:type="dxa"/>
            <w:vAlign w:val="center"/>
          </w:tcPr>
          <w:p w14:paraId="21423358" w14:textId="77777777" w:rsidR="0062656C" w:rsidRDefault="0062656C" w:rsidP="00164AC5">
            <w:pPr>
              <w:pStyle w:val="ListParagraph"/>
              <w:numPr>
                <w:ilvl w:val="0"/>
                <w:numId w:val="75"/>
              </w:numPr>
              <w:spacing w:before="60" w:after="60"/>
              <w:ind w:left="316" w:hanging="316"/>
              <w:contextualSpacing/>
            </w:pPr>
            <w:r>
              <w:t>One station along I-8 within 5 miles east of the western city limits of El Centro.</w:t>
            </w:r>
          </w:p>
          <w:p w14:paraId="03B88A4C" w14:textId="77777777" w:rsidR="0062656C" w:rsidRDefault="0062656C" w:rsidP="00164AC5">
            <w:pPr>
              <w:pStyle w:val="ListParagraph"/>
              <w:numPr>
                <w:ilvl w:val="0"/>
                <w:numId w:val="75"/>
              </w:numPr>
              <w:spacing w:before="60" w:after="60"/>
              <w:ind w:left="316" w:hanging="316"/>
              <w:contextualSpacing/>
            </w:pPr>
            <w:r>
              <w:t>One station along I-8 in California within 25 miles of the Arizona border.</w:t>
            </w:r>
          </w:p>
        </w:tc>
        <w:tc>
          <w:tcPr>
            <w:tcW w:w="1207" w:type="dxa"/>
            <w:vAlign w:val="center"/>
          </w:tcPr>
          <w:p w14:paraId="599E2920" w14:textId="77777777" w:rsidR="0062656C" w:rsidRDefault="0062656C">
            <w:pPr>
              <w:spacing w:before="60" w:after="60"/>
              <w:jc w:val="center"/>
            </w:pPr>
            <w:r>
              <w:t>20%</w:t>
            </w:r>
          </w:p>
        </w:tc>
      </w:tr>
      <w:tr w:rsidR="0062656C" w14:paraId="36D62328" w14:textId="77777777">
        <w:trPr>
          <w:cantSplit/>
        </w:trPr>
        <w:tc>
          <w:tcPr>
            <w:tcW w:w="1133" w:type="dxa"/>
            <w:vAlign w:val="center"/>
          </w:tcPr>
          <w:p w14:paraId="48088270" w14:textId="77777777" w:rsidR="0062656C" w:rsidRDefault="0062656C">
            <w:pPr>
              <w:spacing w:before="60" w:after="60"/>
              <w:jc w:val="center"/>
            </w:pPr>
            <w:r>
              <w:t>14</w:t>
            </w:r>
          </w:p>
        </w:tc>
        <w:tc>
          <w:tcPr>
            <w:tcW w:w="1287" w:type="dxa"/>
            <w:vAlign w:val="center"/>
          </w:tcPr>
          <w:p w14:paraId="0980CDD8" w14:textId="77777777" w:rsidR="0062656C" w:rsidRDefault="0062656C">
            <w:pPr>
              <w:spacing w:before="60" w:after="60"/>
              <w:jc w:val="center"/>
            </w:pPr>
            <w:r>
              <w:t>B</w:t>
            </w:r>
          </w:p>
        </w:tc>
        <w:tc>
          <w:tcPr>
            <w:tcW w:w="3142" w:type="dxa"/>
            <w:vAlign w:val="center"/>
          </w:tcPr>
          <w:p w14:paraId="2D659210" w14:textId="77777777" w:rsidR="0062656C" w:rsidRDefault="0062656C">
            <w:pPr>
              <w:spacing w:before="60" w:after="60"/>
            </w:pPr>
            <w:r w:rsidRPr="00CD55FA">
              <w:rPr>
                <w:b/>
                <w:bCs/>
              </w:rPr>
              <w:t>Stand-alone Project</w:t>
            </w:r>
            <w:r>
              <w:t xml:space="preserve">: </w:t>
            </w:r>
            <w:r>
              <w:br/>
              <w:t>SR 7: Holtville (I-8) to Mexico Border</w:t>
            </w:r>
          </w:p>
        </w:tc>
        <w:tc>
          <w:tcPr>
            <w:tcW w:w="1248" w:type="dxa"/>
            <w:vAlign w:val="center"/>
          </w:tcPr>
          <w:p w14:paraId="2CA14B4D" w14:textId="77777777" w:rsidR="0062656C" w:rsidRDefault="0062656C">
            <w:pPr>
              <w:spacing w:before="60" w:after="60"/>
              <w:jc w:val="center"/>
            </w:pPr>
            <w:r>
              <w:t>1</w:t>
            </w:r>
          </w:p>
        </w:tc>
        <w:tc>
          <w:tcPr>
            <w:tcW w:w="1015" w:type="dxa"/>
            <w:vAlign w:val="center"/>
          </w:tcPr>
          <w:p w14:paraId="42D29A7F" w14:textId="77777777" w:rsidR="0062656C" w:rsidRDefault="0062656C">
            <w:pPr>
              <w:spacing w:before="60" w:after="60"/>
              <w:jc w:val="center"/>
            </w:pPr>
            <w:r>
              <w:t>4</w:t>
            </w:r>
          </w:p>
        </w:tc>
        <w:tc>
          <w:tcPr>
            <w:tcW w:w="5093" w:type="dxa"/>
            <w:vAlign w:val="center"/>
          </w:tcPr>
          <w:p w14:paraId="247DC597" w14:textId="77777777" w:rsidR="0062656C" w:rsidRDefault="0062656C">
            <w:pPr>
              <w:spacing w:before="60" w:after="60"/>
            </w:pPr>
            <w:r>
              <w:t>N/A. Anywhere along SR 7 between Holtville and the Mexico border is acceptable.</w:t>
            </w:r>
          </w:p>
        </w:tc>
        <w:tc>
          <w:tcPr>
            <w:tcW w:w="1207" w:type="dxa"/>
            <w:vAlign w:val="center"/>
          </w:tcPr>
          <w:p w14:paraId="08120854" w14:textId="77777777" w:rsidR="0062656C" w:rsidRDefault="0062656C">
            <w:pPr>
              <w:spacing w:before="60" w:after="60"/>
              <w:jc w:val="center"/>
            </w:pPr>
            <w:r>
              <w:t>20%</w:t>
            </w:r>
          </w:p>
        </w:tc>
      </w:tr>
      <w:tr w:rsidR="0062656C" w14:paraId="11AF36A8" w14:textId="77777777">
        <w:trPr>
          <w:cantSplit/>
        </w:trPr>
        <w:tc>
          <w:tcPr>
            <w:tcW w:w="1133" w:type="dxa"/>
            <w:vAlign w:val="center"/>
          </w:tcPr>
          <w:p w14:paraId="500F888D" w14:textId="77777777" w:rsidR="0062656C" w:rsidRDefault="0062656C">
            <w:pPr>
              <w:spacing w:before="60" w:after="60"/>
              <w:jc w:val="center"/>
            </w:pPr>
            <w:r>
              <w:t>14</w:t>
            </w:r>
          </w:p>
        </w:tc>
        <w:tc>
          <w:tcPr>
            <w:tcW w:w="1287" w:type="dxa"/>
            <w:vAlign w:val="center"/>
          </w:tcPr>
          <w:p w14:paraId="7EF66CF3" w14:textId="77777777" w:rsidR="0062656C" w:rsidRDefault="0062656C">
            <w:pPr>
              <w:spacing w:before="60" w:after="60"/>
              <w:jc w:val="center"/>
            </w:pPr>
            <w:r>
              <w:t>C</w:t>
            </w:r>
          </w:p>
        </w:tc>
        <w:tc>
          <w:tcPr>
            <w:tcW w:w="3142" w:type="dxa"/>
            <w:vAlign w:val="center"/>
          </w:tcPr>
          <w:p w14:paraId="4EBE9D6A" w14:textId="77777777" w:rsidR="0062656C" w:rsidRDefault="0062656C">
            <w:pPr>
              <w:spacing w:before="60" w:after="60"/>
            </w:pPr>
            <w:r>
              <w:t>I-10: Beaumont to Arizona Border*</w:t>
            </w:r>
          </w:p>
        </w:tc>
        <w:tc>
          <w:tcPr>
            <w:tcW w:w="1248" w:type="dxa"/>
            <w:vAlign w:val="center"/>
          </w:tcPr>
          <w:p w14:paraId="01A9BE28" w14:textId="77777777" w:rsidR="0062656C" w:rsidRDefault="0062656C">
            <w:pPr>
              <w:spacing w:before="60" w:after="60"/>
              <w:jc w:val="center"/>
            </w:pPr>
            <w:r>
              <w:t>3</w:t>
            </w:r>
          </w:p>
        </w:tc>
        <w:tc>
          <w:tcPr>
            <w:tcW w:w="1015" w:type="dxa"/>
            <w:vAlign w:val="center"/>
          </w:tcPr>
          <w:p w14:paraId="67F0C56B" w14:textId="77777777" w:rsidR="0062656C" w:rsidRDefault="0062656C">
            <w:pPr>
              <w:spacing w:before="60" w:after="60"/>
              <w:jc w:val="center"/>
            </w:pPr>
            <w:r>
              <w:t>32</w:t>
            </w:r>
          </w:p>
        </w:tc>
        <w:tc>
          <w:tcPr>
            <w:tcW w:w="5093" w:type="dxa"/>
            <w:vAlign w:val="center"/>
          </w:tcPr>
          <w:p w14:paraId="1AD27F41" w14:textId="77777777" w:rsidR="0062656C" w:rsidRDefault="0062656C" w:rsidP="00164AC5">
            <w:pPr>
              <w:pStyle w:val="ListParagraph"/>
              <w:numPr>
                <w:ilvl w:val="0"/>
                <w:numId w:val="75"/>
              </w:numPr>
              <w:spacing w:before="60" w:after="60"/>
              <w:ind w:left="316" w:hanging="316"/>
              <w:contextualSpacing/>
            </w:pPr>
            <w:r>
              <w:t>One station along I-10 within 25 miles east of Beaumont.</w:t>
            </w:r>
          </w:p>
          <w:p w14:paraId="18689657" w14:textId="77777777" w:rsidR="0062656C" w:rsidRDefault="0062656C" w:rsidP="00164AC5">
            <w:pPr>
              <w:pStyle w:val="ListParagraph"/>
              <w:numPr>
                <w:ilvl w:val="0"/>
                <w:numId w:val="75"/>
              </w:numPr>
              <w:spacing w:before="60" w:after="60"/>
              <w:ind w:left="316" w:hanging="316"/>
              <w:contextualSpacing/>
            </w:pPr>
            <w:r>
              <w:t>One station along I-10 in California within 25 miles of the Arizona border.</w:t>
            </w:r>
          </w:p>
        </w:tc>
        <w:tc>
          <w:tcPr>
            <w:tcW w:w="1207" w:type="dxa"/>
            <w:vAlign w:val="center"/>
          </w:tcPr>
          <w:p w14:paraId="7F5C4425" w14:textId="77777777" w:rsidR="0062656C" w:rsidRDefault="0062656C">
            <w:pPr>
              <w:spacing w:before="60" w:after="60"/>
              <w:jc w:val="center"/>
            </w:pPr>
            <w:r>
              <w:t>50%</w:t>
            </w:r>
          </w:p>
        </w:tc>
      </w:tr>
      <w:tr w:rsidR="0062656C" w14:paraId="65F96203" w14:textId="77777777">
        <w:trPr>
          <w:cantSplit/>
        </w:trPr>
        <w:tc>
          <w:tcPr>
            <w:tcW w:w="1133" w:type="dxa"/>
            <w:vAlign w:val="center"/>
          </w:tcPr>
          <w:p w14:paraId="09D07E36" w14:textId="77777777" w:rsidR="0062656C" w:rsidRDefault="0062656C">
            <w:pPr>
              <w:spacing w:before="60" w:after="60"/>
              <w:jc w:val="center"/>
            </w:pPr>
            <w:r>
              <w:lastRenderedPageBreak/>
              <w:t>14</w:t>
            </w:r>
          </w:p>
        </w:tc>
        <w:tc>
          <w:tcPr>
            <w:tcW w:w="1287" w:type="dxa"/>
            <w:vAlign w:val="center"/>
          </w:tcPr>
          <w:p w14:paraId="1E86936B" w14:textId="77777777" w:rsidR="0062656C" w:rsidRDefault="0062656C">
            <w:pPr>
              <w:spacing w:before="60" w:after="60"/>
              <w:jc w:val="center"/>
            </w:pPr>
            <w:r>
              <w:t>D</w:t>
            </w:r>
          </w:p>
        </w:tc>
        <w:tc>
          <w:tcPr>
            <w:tcW w:w="3142" w:type="dxa"/>
            <w:vAlign w:val="center"/>
          </w:tcPr>
          <w:p w14:paraId="2BD23362" w14:textId="77777777" w:rsidR="0062656C" w:rsidRDefault="0062656C">
            <w:pPr>
              <w:spacing w:before="60" w:after="60"/>
            </w:pPr>
            <w:r>
              <w:t>SR 111: Whitewater (I-10) to Mecca (SR 86)</w:t>
            </w:r>
          </w:p>
          <w:p w14:paraId="3A0A0354" w14:textId="77777777" w:rsidR="0062656C" w:rsidRDefault="0062656C">
            <w:pPr>
              <w:spacing w:before="60" w:after="60"/>
            </w:pPr>
            <w:r>
              <w:t>SR 86/SR 78: Coachella (I-10) to Brawley (SR 111)</w:t>
            </w:r>
          </w:p>
          <w:p w14:paraId="2D2E875B" w14:textId="77777777" w:rsidR="0062656C" w:rsidRDefault="0062656C">
            <w:pPr>
              <w:spacing w:before="60" w:after="60"/>
            </w:pPr>
            <w:r>
              <w:t>SR 111: Brawley (SR 78) to Calexico</w:t>
            </w:r>
          </w:p>
        </w:tc>
        <w:tc>
          <w:tcPr>
            <w:tcW w:w="1248" w:type="dxa"/>
            <w:vAlign w:val="center"/>
          </w:tcPr>
          <w:p w14:paraId="6D0B7FBA" w14:textId="77777777" w:rsidR="0062656C" w:rsidRDefault="0062656C">
            <w:pPr>
              <w:spacing w:before="60" w:after="60"/>
              <w:jc w:val="center"/>
            </w:pPr>
            <w:r>
              <w:t>3</w:t>
            </w:r>
          </w:p>
        </w:tc>
        <w:tc>
          <w:tcPr>
            <w:tcW w:w="1015" w:type="dxa"/>
            <w:vAlign w:val="center"/>
          </w:tcPr>
          <w:p w14:paraId="6D300252" w14:textId="77777777" w:rsidR="0062656C" w:rsidRDefault="0062656C">
            <w:pPr>
              <w:spacing w:before="60" w:after="60"/>
              <w:jc w:val="center"/>
            </w:pPr>
            <w:r>
              <w:t>12</w:t>
            </w:r>
          </w:p>
        </w:tc>
        <w:tc>
          <w:tcPr>
            <w:tcW w:w="5093" w:type="dxa"/>
            <w:vAlign w:val="center"/>
          </w:tcPr>
          <w:p w14:paraId="65D5F873" w14:textId="77777777" w:rsidR="0062656C" w:rsidRDefault="0062656C" w:rsidP="00164AC5">
            <w:pPr>
              <w:pStyle w:val="ListParagraph"/>
              <w:numPr>
                <w:ilvl w:val="0"/>
                <w:numId w:val="74"/>
              </w:numPr>
              <w:spacing w:before="60" w:after="60"/>
              <w:ind w:left="316" w:hanging="316"/>
              <w:contextualSpacing/>
            </w:pPr>
            <w:r>
              <w:t>One station along SR 111 within 25 miles north of Calexico.</w:t>
            </w:r>
          </w:p>
        </w:tc>
        <w:tc>
          <w:tcPr>
            <w:tcW w:w="1207" w:type="dxa"/>
            <w:vAlign w:val="center"/>
          </w:tcPr>
          <w:p w14:paraId="5CA94CEF" w14:textId="77777777" w:rsidR="0062656C" w:rsidRDefault="0062656C">
            <w:pPr>
              <w:spacing w:before="60" w:after="60"/>
              <w:jc w:val="center"/>
            </w:pPr>
            <w:r>
              <w:t>20%</w:t>
            </w:r>
          </w:p>
        </w:tc>
      </w:tr>
      <w:tr w:rsidR="0062656C" w14:paraId="6E7238DF" w14:textId="77777777">
        <w:trPr>
          <w:cantSplit/>
        </w:trPr>
        <w:tc>
          <w:tcPr>
            <w:tcW w:w="1133" w:type="dxa"/>
            <w:vAlign w:val="center"/>
          </w:tcPr>
          <w:p w14:paraId="2B31EA3A" w14:textId="77777777" w:rsidR="0062656C" w:rsidRDefault="0062656C">
            <w:pPr>
              <w:spacing w:before="60" w:after="60"/>
              <w:jc w:val="center"/>
            </w:pPr>
            <w:r>
              <w:t>15</w:t>
            </w:r>
          </w:p>
        </w:tc>
        <w:tc>
          <w:tcPr>
            <w:tcW w:w="1287" w:type="dxa"/>
            <w:vAlign w:val="center"/>
          </w:tcPr>
          <w:p w14:paraId="34F38472" w14:textId="77777777" w:rsidR="0062656C" w:rsidRDefault="0062656C">
            <w:pPr>
              <w:spacing w:before="60" w:after="60"/>
              <w:jc w:val="center"/>
            </w:pPr>
            <w:r>
              <w:t>A</w:t>
            </w:r>
          </w:p>
        </w:tc>
        <w:tc>
          <w:tcPr>
            <w:tcW w:w="3142" w:type="dxa"/>
            <w:vAlign w:val="center"/>
          </w:tcPr>
          <w:p w14:paraId="7D2CC6ED" w14:textId="77777777" w:rsidR="0062656C" w:rsidRDefault="0062656C">
            <w:pPr>
              <w:spacing w:before="60" w:after="60"/>
            </w:pPr>
            <w:r>
              <w:t>SR 78: Oceanside (I-5) to Escondido (I-15)</w:t>
            </w:r>
          </w:p>
          <w:p w14:paraId="39D8772C" w14:textId="77777777" w:rsidR="0062656C" w:rsidRDefault="0062656C">
            <w:pPr>
              <w:spacing w:before="60" w:after="60"/>
            </w:pPr>
            <w:r>
              <w:t>I-5: San Clemente (SR 1) to Mexico Border**</w:t>
            </w:r>
          </w:p>
        </w:tc>
        <w:tc>
          <w:tcPr>
            <w:tcW w:w="1248" w:type="dxa"/>
            <w:vAlign w:val="center"/>
          </w:tcPr>
          <w:p w14:paraId="40609D3D" w14:textId="77777777" w:rsidR="0062656C" w:rsidRDefault="0062656C">
            <w:pPr>
              <w:spacing w:before="60" w:after="60"/>
              <w:jc w:val="center"/>
            </w:pPr>
            <w:r>
              <w:t>3</w:t>
            </w:r>
          </w:p>
        </w:tc>
        <w:tc>
          <w:tcPr>
            <w:tcW w:w="1015" w:type="dxa"/>
            <w:vAlign w:val="center"/>
          </w:tcPr>
          <w:p w14:paraId="557D0739" w14:textId="77777777" w:rsidR="0062656C" w:rsidRDefault="0062656C">
            <w:pPr>
              <w:spacing w:before="60" w:after="60"/>
              <w:jc w:val="center"/>
            </w:pPr>
            <w:r>
              <w:t>12</w:t>
            </w:r>
          </w:p>
        </w:tc>
        <w:tc>
          <w:tcPr>
            <w:tcW w:w="5093" w:type="dxa"/>
            <w:vAlign w:val="center"/>
          </w:tcPr>
          <w:p w14:paraId="388AFC49" w14:textId="77777777" w:rsidR="0062656C" w:rsidRDefault="0062656C" w:rsidP="00164AC5">
            <w:pPr>
              <w:pStyle w:val="ListParagraph"/>
              <w:numPr>
                <w:ilvl w:val="0"/>
                <w:numId w:val="74"/>
              </w:numPr>
              <w:spacing w:before="60" w:after="60"/>
              <w:ind w:left="316" w:hanging="316"/>
              <w:contextualSpacing/>
            </w:pPr>
            <w:r>
              <w:t>One station anywhere along SR 78 between Oceanside and Escondido.</w:t>
            </w:r>
          </w:p>
          <w:p w14:paraId="46FD498C" w14:textId="77777777" w:rsidR="0062656C" w:rsidRDefault="0062656C" w:rsidP="00164AC5">
            <w:pPr>
              <w:pStyle w:val="ListParagraph"/>
              <w:numPr>
                <w:ilvl w:val="0"/>
                <w:numId w:val="74"/>
              </w:numPr>
              <w:spacing w:before="60" w:after="60"/>
              <w:ind w:left="316" w:hanging="316"/>
              <w:contextualSpacing/>
            </w:pPr>
            <w:r>
              <w:t>One station along I-5 within 25 miles south of I-5/SR 1 junction in San Clemente.</w:t>
            </w:r>
          </w:p>
          <w:p w14:paraId="7DFB4F34" w14:textId="77777777" w:rsidR="0062656C" w:rsidRDefault="0062656C" w:rsidP="00164AC5">
            <w:pPr>
              <w:pStyle w:val="ListParagraph"/>
              <w:numPr>
                <w:ilvl w:val="0"/>
                <w:numId w:val="74"/>
              </w:numPr>
              <w:spacing w:before="60" w:after="60"/>
              <w:ind w:left="316" w:hanging="316"/>
              <w:contextualSpacing/>
            </w:pPr>
            <w:r>
              <w:t>One station along I-5 in California within 25 miles of the Mexico border.</w:t>
            </w:r>
          </w:p>
        </w:tc>
        <w:tc>
          <w:tcPr>
            <w:tcW w:w="1207" w:type="dxa"/>
            <w:vAlign w:val="center"/>
          </w:tcPr>
          <w:p w14:paraId="2D1A8BCE" w14:textId="77777777" w:rsidR="0062656C" w:rsidRDefault="0062656C">
            <w:pPr>
              <w:spacing w:before="60" w:after="60"/>
              <w:jc w:val="center"/>
            </w:pPr>
            <w:r>
              <w:t>50%</w:t>
            </w:r>
          </w:p>
        </w:tc>
      </w:tr>
      <w:tr w:rsidR="0062656C" w14:paraId="0C1EEF6D" w14:textId="77777777">
        <w:trPr>
          <w:cantSplit/>
        </w:trPr>
        <w:tc>
          <w:tcPr>
            <w:tcW w:w="1133" w:type="dxa"/>
            <w:vAlign w:val="center"/>
          </w:tcPr>
          <w:p w14:paraId="2EFCB774" w14:textId="77777777" w:rsidR="0062656C" w:rsidRDefault="0062656C">
            <w:pPr>
              <w:spacing w:before="60" w:after="60"/>
              <w:jc w:val="center"/>
            </w:pPr>
            <w:r>
              <w:t>15</w:t>
            </w:r>
          </w:p>
        </w:tc>
        <w:tc>
          <w:tcPr>
            <w:tcW w:w="1287" w:type="dxa"/>
            <w:vAlign w:val="center"/>
          </w:tcPr>
          <w:p w14:paraId="30169B1C" w14:textId="77777777" w:rsidR="0062656C" w:rsidRDefault="0062656C">
            <w:pPr>
              <w:spacing w:before="60" w:after="60"/>
              <w:jc w:val="center"/>
            </w:pPr>
            <w:r>
              <w:t>B</w:t>
            </w:r>
          </w:p>
        </w:tc>
        <w:tc>
          <w:tcPr>
            <w:tcW w:w="3142" w:type="dxa"/>
            <w:vAlign w:val="center"/>
          </w:tcPr>
          <w:p w14:paraId="6E493CF6" w14:textId="77777777" w:rsidR="0062656C" w:rsidRDefault="0062656C">
            <w:pPr>
              <w:spacing w:before="60" w:after="60"/>
            </w:pPr>
            <w:r>
              <w:t>SR 125: Otay Mesa (SR 905) to Santee (SR 52)</w:t>
            </w:r>
          </w:p>
          <w:p w14:paraId="0AB4A7A0" w14:textId="77777777" w:rsidR="0062656C" w:rsidRDefault="0062656C">
            <w:pPr>
              <w:spacing w:before="60" w:after="60"/>
            </w:pPr>
            <w:r>
              <w:t>SR 94: San Diego (I-5) to Tecate (SR 188)</w:t>
            </w:r>
          </w:p>
          <w:p w14:paraId="4F8F5B26" w14:textId="77777777" w:rsidR="0062656C" w:rsidRDefault="0062656C">
            <w:pPr>
              <w:spacing w:before="60" w:after="60"/>
            </w:pPr>
            <w:r>
              <w:t>SR 67: El Cajon (I-8) to Eucalyptus Hills</w:t>
            </w:r>
          </w:p>
        </w:tc>
        <w:tc>
          <w:tcPr>
            <w:tcW w:w="1248" w:type="dxa"/>
            <w:vAlign w:val="center"/>
          </w:tcPr>
          <w:p w14:paraId="49A89938" w14:textId="77777777" w:rsidR="0062656C" w:rsidRDefault="0062656C">
            <w:pPr>
              <w:spacing w:before="60" w:after="60"/>
              <w:jc w:val="center"/>
            </w:pPr>
            <w:r>
              <w:t>3</w:t>
            </w:r>
          </w:p>
        </w:tc>
        <w:tc>
          <w:tcPr>
            <w:tcW w:w="1015" w:type="dxa"/>
            <w:vAlign w:val="center"/>
          </w:tcPr>
          <w:p w14:paraId="640AE012" w14:textId="77777777" w:rsidR="0062656C" w:rsidRDefault="0062656C">
            <w:pPr>
              <w:spacing w:before="60" w:after="60"/>
              <w:jc w:val="center"/>
            </w:pPr>
            <w:r>
              <w:t>12</w:t>
            </w:r>
          </w:p>
        </w:tc>
        <w:tc>
          <w:tcPr>
            <w:tcW w:w="5093" w:type="dxa"/>
            <w:vAlign w:val="center"/>
          </w:tcPr>
          <w:p w14:paraId="1042ED81" w14:textId="77777777" w:rsidR="0062656C" w:rsidRDefault="0062656C" w:rsidP="00164AC5">
            <w:pPr>
              <w:pStyle w:val="ListParagraph"/>
              <w:numPr>
                <w:ilvl w:val="0"/>
                <w:numId w:val="76"/>
              </w:numPr>
              <w:spacing w:before="60" w:after="60"/>
              <w:ind w:left="316" w:hanging="316"/>
              <w:contextualSpacing/>
            </w:pPr>
            <w:r>
              <w:t>One station anywhere along SR 125 between SR 905 (Otay Mesa) and SR 52 (Santee).</w:t>
            </w:r>
          </w:p>
          <w:p w14:paraId="729E34F8" w14:textId="77777777" w:rsidR="0062656C" w:rsidRDefault="0062656C" w:rsidP="00164AC5">
            <w:pPr>
              <w:pStyle w:val="ListParagraph"/>
              <w:numPr>
                <w:ilvl w:val="0"/>
                <w:numId w:val="76"/>
              </w:numPr>
              <w:spacing w:before="60" w:after="60"/>
              <w:ind w:left="316" w:hanging="316"/>
              <w:contextualSpacing/>
            </w:pPr>
            <w:r>
              <w:t>One station along SR 94 within 25 miles east of the junction with SR 94/I-5 (San Diego).</w:t>
            </w:r>
          </w:p>
          <w:p w14:paraId="3A62F665" w14:textId="77777777" w:rsidR="0062656C" w:rsidRDefault="0062656C" w:rsidP="00164AC5">
            <w:pPr>
              <w:pStyle w:val="ListParagraph"/>
              <w:numPr>
                <w:ilvl w:val="0"/>
                <w:numId w:val="76"/>
              </w:numPr>
              <w:spacing w:before="60" w:after="60"/>
              <w:ind w:left="316" w:hanging="316"/>
              <w:contextualSpacing/>
            </w:pPr>
            <w:r>
              <w:t>One station anywhere along SR 67 between the I-8 junction (El Cajon) and Eucalyptus Hills.</w:t>
            </w:r>
          </w:p>
        </w:tc>
        <w:tc>
          <w:tcPr>
            <w:tcW w:w="1207" w:type="dxa"/>
            <w:vAlign w:val="center"/>
          </w:tcPr>
          <w:p w14:paraId="0193548A" w14:textId="77777777" w:rsidR="0062656C" w:rsidRDefault="0062656C">
            <w:pPr>
              <w:spacing w:before="60" w:after="60"/>
              <w:jc w:val="center"/>
            </w:pPr>
            <w:r>
              <w:t>20%</w:t>
            </w:r>
          </w:p>
        </w:tc>
      </w:tr>
      <w:tr w:rsidR="0062656C" w14:paraId="28292E04" w14:textId="77777777">
        <w:trPr>
          <w:cantSplit/>
        </w:trPr>
        <w:tc>
          <w:tcPr>
            <w:tcW w:w="1133" w:type="dxa"/>
            <w:vAlign w:val="center"/>
          </w:tcPr>
          <w:p w14:paraId="19D3F268" w14:textId="77777777" w:rsidR="0062656C" w:rsidRDefault="0062656C">
            <w:pPr>
              <w:spacing w:before="60" w:after="60"/>
              <w:jc w:val="center"/>
            </w:pPr>
            <w:r>
              <w:t>15</w:t>
            </w:r>
          </w:p>
        </w:tc>
        <w:tc>
          <w:tcPr>
            <w:tcW w:w="1287" w:type="dxa"/>
            <w:vAlign w:val="center"/>
          </w:tcPr>
          <w:p w14:paraId="73073B89" w14:textId="77777777" w:rsidR="0062656C" w:rsidRDefault="0062656C">
            <w:pPr>
              <w:spacing w:before="60" w:after="60"/>
              <w:jc w:val="center"/>
            </w:pPr>
            <w:r>
              <w:t>C</w:t>
            </w:r>
          </w:p>
        </w:tc>
        <w:tc>
          <w:tcPr>
            <w:tcW w:w="3142" w:type="dxa"/>
            <w:vAlign w:val="center"/>
          </w:tcPr>
          <w:p w14:paraId="7783DE5B" w14:textId="77777777" w:rsidR="0062656C" w:rsidRDefault="0062656C">
            <w:pPr>
              <w:spacing w:before="60" w:after="60"/>
            </w:pPr>
            <w:r w:rsidRPr="009E378D">
              <w:rPr>
                <w:b/>
                <w:bCs/>
              </w:rPr>
              <w:t>Stand-alone Project</w:t>
            </w:r>
            <w:r w:rsidRPr="009E378D">
              <w:t xml:space="preserve">: </w:t>
            </w:r>
            <w:r w:rsidRPr="009E378D">
              <w:br/>
            </w:r>
            <w:r>
              <w:t>SR 905: Mexico Border to San Diego (I-5)</w:t>
            </w:r>
          </w:p>
        </w:tc>
        <w:tc>
          <w:tcPr>
            <w:tcW w:w="1248" w:type="dxa"/>
            <w:vAlign w:val="center"/>
          </w:tcPr>
          <w:p w14:paraId="18F63ABA" w14:textId="77777777" w:rsidR="0062656C" w:rsidRDefault="0062656C">
            <w:pPr>
              <w:spacing w:before="60" w:after="60"/>
              <w:jc w:val="center"/>
            </w:pPr>
            <w:r>
              <w:t>1</w:t>
            </w:r>
          </w:p>
        </w:tc>
        <w:tc>
          <w:tcPr>
            <w:tcW w:w="1015" w:type="dxa"/>
            <w:vAlign w:val="center"/>
          </w:tcPr>
          <w:p w14:paraId="3937BA2D" w14:textId="77777777" w:rsidR="0062656C" w:rsidRDefault="0062656C">
            <w:pPr>
              <w:spacing w:before="60" w:after="60"/>
              <w:jc w:val="center"/>
            </w:pPr>
            <w:r>
              <w:t>4</w:t>
            </w:r>
          </w:p>
        </w:tc>
        <w:tc>
          <w:tcPr>
            <w:tcW w:w="5093" w:type="dxa"/>
            <w:vAlign w:val="center"/>
          </w:tcPr>
          <w:p w14:paraId="29EE2A90" w14:textId="1EE9030C" w:rsidR="0062656C" w:rsidRDefault="007030E4" w:rsidP="00BC6DA8">
            <w:pPr>
              <w:spacing w:before="60" w:after="60"/>
              <w:contextualSpacing/>
            </w:pPr>
            <w:r>
              <w:t>N/A</w:t>
            </w:r>
            <w:r w:rsidR="000E3A3B">
              <w:t>. A</w:t>
            </w:r>
            <w:r w:rsidR="0062656C">
              <w:t>nywhere along SR 905 between the Mexico border and San Diego</w:t>
            </w:r>
            <w:r w:rsidR="000E3A3B">
              <w:t xml:space="preserve"> is acceptable</w:t>
            </w:r>
            <w:r w:rsidR="0062656C">
              <w:t>.</w:t>
            </w:r>
          </w:p>
        </w:tc>
        <w:tc>
          <w:tcPr>
            <w:tcW w:w="1207" w:type="dxa"/>
            <w:vAlign w:val="center"/>
          </w:tcPr>
          <w:p w14:paraId="30E3A477" w14:textId="77777777" w:rsidR="0062656C" w:rsidRDefault="0062656C">
            <w:pPr>
              <w:spacing w:before="60" w:after="60"/>
              <w:jc w:val="center"/>
            </w:pPr>
            <w:r>
              <w:t>20%</w:t>
            </w:r>
          </w:p>
        </w:tc>
      </w:tr>
      <w:tr w:rsidR="0062656C" w14:paraId="41DEE58E" w14:textId="77777777">
        <w:trPr>
          <w:cantSplit/>
        </w:trPr>
        <w:tc>
          <w:tcPr>
            <w:tcW w:w="1133" w:type="dxa"/>
            <w:shd w:val="clear" w:color="auto" w:fill="BFBFBF" w:themeFill="background1" w:themeFillShade="BF"/>
            <w:vAlign w:val="center"/>
          </w:tcPr>
          <w:p w14:paraId="4ED71F8D" w14:textId="77777777" w:rsidR="0062656C" w:rsidRDefault="0062656C">
            <w:pPr>
              <w:spacing w:before="60" w:after="60"/>
              <w:jc w:val="center"/>
            </w:pPr>
            <w:r>
              <w:lastRenderedPageBreak/>
              <w:t>16</w:t>
            </w:r>
          </w:p>
        </w:tc>
        <w:tc>
          <w:tcPr>
            <w:tcW w:w="1287" w:type="dxa"/>
            <w:shd w:val="clear" w:color="auto" w:fill="BFBFBF" w:themeFill="background1" w:themeFillShade="BF"/>
            <w:vAlign w:val="center"/>
          </w:tcPr>
          <w:p w14:paraId="2DE244BB" w14:textId="77777777" w:rsidR="0062656C" w:rsidRDefault="0062656C">
            <w:pPr>
              <w:spacing w:before="60" w:after="60"/>
              <w:jc w:val="center"/>
            </w:pPr>
          </w:p>
        </w:tc>
        <w:tc>
          <w:tcPr>
            <w:tcW w:w="3142" w:type="dxa"/>
            <w:shd w:val="clear" w:color="auto" w:fill="BFBFBF" w:themeFill="background1" w:themeFillShade="BF"/>
            <w:vAlign w:val="center"/>
          </w:tcPr>
          <w:p w14:paraId="5C7391F9" w14:textId="36367785" w:rsidR="0062656C" w:rsidRDefault="0062656C">
            <w:pPr>
              <w:spacing w:before="60" w:after="60"/>
            </w:pPr>
            <w:r>
              <w:t xml:space="preserve">Offered in </w:t>
            </w:r>
            <w:r w:rsidR="007559DA">
              <w:t>GFO-23-601</w:t>
            </w:r>
          </w:p>
        </w:tc>
        <w:tc>
          <w:tcPr>
            <w:tcW w:w="1248" w:type="dxa"/>
            <w:shd w:val="clear" w:color="auto" w:fill="BFBFBF" w:themeFill="background1" w:themeFillShade="BF"/>
            <w:vAlign w:val="center"/>
          </w:tcPr>
          <w:p w14:paraId="58B3E7B4" w14:textId="77777777" w:rsidR="0062656C" w:rsidRDefault="0062656C">
            <w:pPr>
              <w:spacing w:before="60" w:after="60"/>
              <w:jc w:val="center"/>
            </w:pPr>
          </w:p>
        </w:tc>
        <w:tc>
          <w:tcPr>
            <w:tcW w:w="1015" w:type="dxa"/>
            <w:shd w:val="clear" w:color="auto" w:fill="BFBFBF" w:themeFill="background1" w:themeFillShade="BF"/>
            <w:vAlign w:val="center"/>
          </w:tcPr>
          <w:p w14:paraId="08CCD3F6" w14:textId="77777777" w:rsidR="0062656C" w:rsidRDefault="0062656C">
            <w:pPr>
              <w:spacing w:before="60" w:after="60"/>
              <w:jc w:val="center"/>
            </w:pPr>
          </w:p>
        </w:tc>
        <w:tc>
          <w:tcPr>
            <w:tcW w:w="5093" w:type="dxa"/>
            <w:shd w:val="clear" w:color="auto" w:fill="BFBFBF" w:themeFill="background1" w:themeFillShade="BF"/>
            <w:vAlign w:val="center"/>
          </w:tcPr>
          <w:p w14:paraId="34EC499A" w14:textId="77777777" w:rsidR="0062656C" w:rsidRDefault="0062656C">
            <w:pPr>
              <w:spacing w:before="60" w:after="60"/>
            </w:pPr>
          </w:p>
        </w:tc>
        <w:tc>
          <w:tcPr>
            <w:tcW w:w="1207" w:type="dxa"/>
            <w:shd w:val="clear" w:color="auto" w:fill="BFBFBF" w:themeFill="background1" w:themeFillShade="BF"/>
            <w:vAlign w:val="center"/>
          </w:tcPr>
          <w:p w14:paraId="67D06C7D" w14:textId="77777777" w:rsidR="0062656C" w:rsidRDefault="0062656C">
            <w:pPr>
              <w:spacing w:before="60" w:after="60"/>
              <w:jc w:val="center"/>
            </w:pPr>
          </w:p>
        </w:tc>
      </w:tr>
      <w:tr w:rsidR="0062656C" w14:paraId="5BED8009" w14:textId="77777777">
        <w:trPr>
          <w:cantSplit/>
        </w:trPr>
        <w:tc>
          <w:tcPr>
            <w:tcW w:w="1133" w:type="dxa"/>
            <w:vAlign w:val="center"/>
          </w:tcPr>
          <w:p w14:paraId="1F1952E0" w14:textId="77777777" w:rsidR="0062656C" w:rsidRDefault="0062656C">
            <w:pPr>
              <w:spacing w:before="60" w:after="60"/>
              <w:jc w:val="center"/>
            </w:pPr>
            <w:r>
              <w:t>17</w:t>
            </w:r>
          </w:p>
        </w:tc>
        <w:tc>
          <w:tcPr>
            <w:tcW w:w="1287" w:type="dxa"/>
            <w:vAlign w:val="center"/>
          </w:tcPr>
          <w:p w14:paraId="298D307F" w14:textId="77777777" w:rsidR="0062656C" w:rsidRDefault="0062656C">
            <w:pPr>
              <w:spacing w:before="60" w:after="60"/>
              <w:jc w:val="center"/>
            </w:pPr>
            <w:r>
              <w:t>A</w:t>
            </w:r>
          </w:p>
        </w:tc>
        <w:tc>
          <w:tcPr>
            <w:tcW w:w="3142" w:type="dxa"/>
            <w:vAlign w:val="center"/>
          </w:tcPr>
          <w:p w14:paraId="288A38CD" w14:textId="77777777" w:rsidR="0062656C" w:rsidRDefault="0062656C">
            <w:pPr>
              <w:spacing w:before="60" w:after="60"/>
            </w:pPr>
            <w:r>
              <w:t>SR 39: La Habra (SR 72) to Huntington Beach (SR 1)</w:t>
            </w:r>
          </w:p>
          <w:p w14:paraId="59B1E0F2" w14:textId="77777777" w:rsidR="0062656C" w:rsidRDefault="0062656C">
            <w:pPr>
              <w:spacing w:before="60" w:after="60"/>
            </w:pPr>
            <w:r>
              <w:t>SR 55: Anaheim (SR 91) to Newport Beach (SR 1)</w:t>
            </w:r>
          </w:p>
          <w:p w14:paraId="180F80E7" w14:textId="77777777" w:rsidR="0062656C" w:rsidRDefault="0062656C">
            <w:pPr>
              <w:spacing w:before="60" w:after="60"/>
            </w:pPr>
            <w:r>
              <w:t>SR 57: Orange (I-5) to Glendora (I-210)**</w:t>
            </w:r>
          </w:p>
          <w:p w14:paraId="25D0E15B" w14:textId="77777777" w:rsidR="0062656C" w:rsidRDefault="0062656C">
            <w:pPr>
              <w:spacing w:before="60" w:after="60"/>
            </w:pPr>
            <w:r>
              <w:t>SR 91: Gardena (I-110) to Riverside (I-215/SR 60)</w:t>
            </w:r>
          </w:p>
        </w:tc>
        <w:tc>
          <w:tcPr>
            <w:tcW w:w="1248" w:type="dxa"/>
            <w:vAlign w:val="center"/>
          </w:tcPr>
          <w:p w14:paraId="596225D1" w14:textId="77777777" w:rsidR="0062656C" w:rsidRDefault="0062656C">
            <w:pPr>
              <w:spacing w:before="60" w:after="60"/>
              <w:jc w:val="center"/>
            </w:pPr>
            <w:r>
              <w:t>5</w:t>
            </w:r>
          </w:p>
        </w:tc>
        <w:tc>
          <w:tcPr>
            <w:tcW w:w="1015" w:type="dxa"/>
            <w:vAlign w:val="center"/>
          </w:tcPr>
          <w:p w14:paraId="2551A0E3" w14:textId="77777777" w:rsidR="0062656C" w:rsidRDefault="0062656C">
            <w:pPr>
              <w:spacing w:before="60" w:after="60"/>
              <w:jc w:val="center"/>
            </w:pPr>
            <w:r>
              <w:t>20</w:t>
            </w:r>
          </w:p>
        </w:tc>
        <w:tc>
          <w:tcPr>
            <w:tcW w:w="5093" w:type="dxa"/>
            <w:vAlign w:val="center"/>
          </w:tcPr>
          <w:p w14:paraId="4795F5C3" w14:textId="77777777" w:rsidR="0062656C" w:rsidRDefault="0062656C" w:rsidP="00164AC5">
            <w:pPr>
              <w:pStyle w:val="ListParagraph"/>
              <w:numPr>
                <w:ilvl w:val="0"/>
                <w:numId w:val="76"/>
              </w:numPr>
              <w:spacing w:before="60" w:after="60"/>
              <w:ind w:left="310" w:hanging="270"/>
              <w:contextualSpacing/>
            </w:pPr>
            <w:r>
              <w:t>One station anywhere along SR 39 between La Habra and Huntington Beach.</w:t>
            </w:r>
          </w:p>
          <w:p w14:paraId="5F0216C0" w14:textId="77777777" w:rsidR="0062656C" w:rsidRDefault="0062656C" w:rsidP="00164AC5">
            <w:pPr>
              <w:pStyle w:val="ListParagraph"/>
              <w:numPr>
                <w:ilvl w:val="0"/>
                <w:numId w:val="76"/>
              </w:numPr>
              <w:spacing w:before="60" w:after="60"/>
              <w:ind w:left="310" w:hanging="270"/>
              <w:contextualSpacing/>
            </w:pPr>
            <w:r>
              <w:t>One station anywhere along SR 55 between Anaheim and Newport Beach.</w:t>
            </w:r>
          </w:p>
          <w:p w14:paraId="6E2FA694" w14:textId="77777777" w:rsidR="0062656C" w:rsidRDefault="0062656C" w:rsidP="00164AC5">
            <w:pPr>
              <w:pStyle w:val="ListParagraph"/>
              <w:numPr>
                <w:ilvl w:val="0"/>
                <w:numId w:val="76"/>
              </w:numPr>
              <w:spacing w:before="60" w:after="60"/>
              <w:ind w:left="310" w:hanging="270"/>
              <w:contextualSpacing/>
            </w:pPr>
            <w:r>
              <w:t>One station anywhere along SR 57 between Orange and Glendora.</w:t>
            </w:r>
          </w:p>
          <w:p w14:paraId="35166C02" w14:textId="77777777" w:rsidR="0062656C" w:rsidRDefault="0062656C" w:rsidP="00164AC5">
            <w:pPr>
              <w:pStyle w:val="ListParagraph"/>
              <w:numPr>
                <w:ilvl w:val="0"/>
                <w:numId w:val="76"/>
              </w:numPr>
              <w:spacing w:before="60" w:after="60"/>
              <w:ind w:left="310" w:hanging="270"/>
              <w:contextualSpacing/>
            </w:pPr>
            <w:r>
              <w:t>One station along SR 91 within 25 miles east of the SR 91/I-110 junction (Gardena).</w:t>
            </w:r>
          </w:p>
          <w:p w14:paraId="383A6676" w14:textId="77777777" w:rsidR="0062656C" w:rsidRDefault="0062656C" w:rsidP="00164AC5">
            <w:pPr>
              <w:pStyle w:val="ListParagraph"/>
              <w:numPr>
                <w:ilvl w:val="0"/>
                <w:numId w:val="76"/>
              </w:numPr>
              <w:spacing w:before="60" w:after="60"/>
              <w:ind w:left="310" w:hanging="270"/>
              <w:contextualSpacing/>
            </w:pPr>
            <w:r>
              <w:t>One station along SR 91 within 25 miles west of the SR 91/I-215/SR 60 junction (Riverside).</w:t>
            </w:r>
          </w:p>
        </w:tc>
        <w:tc>
          <w:tcPr>
            <w:tcW w:w="1207" w:type="dxa"/>
            <w:vAlign w:val="center"/>
          </w:tcPr>
          <w:p w14:paraId="33799FA0" w14:textId="77777777" w:rsidR="0062656C" w:rsidRDefault="0062656C">
            <w:pPr>
              <w:spacing w:before="60" w:after="60"/>
              <w:jc w:val="center"/>
            </w:pPr>
            <w:r>
              <w:t>50%</w:t>
            </w:r>
          </w:p>
        </w:tc>
      </w:tr>
      <w:tr w:rsidR="0062656C" w14:paraId="7AE649CD" w14:textId="77777777">
        <w:trPr>
          <w:cantSplit/>
        </w:trPr>
        <w:tc>
          <w:tcPr>
            <w:tcW w:w="1133" w:type="dxa"/>
            <w:vAlign w:val="center"/>
          </w:tcPr>
          <w:p w14:paraId="4155BAFA" w14:textId="77777777" w:rsidR="0062656C" w:rsidRDefault="0062656C">
            <w:pPr>
              <w:spacing w:before="60" w:after="60"/>
              <w:jc w:val="center"/>
            </w:pPr>
            <w:r>
              <w:t>17</w:t>
            </w:r>
          </w:p>
        </w:tc>
        <w:tc>
          <w:tcPr>
            <w:tcW w:w="1287" w:type="dxa"/>
            <w:vAlign w:val="center"/>
          </w:tcPr>
          <w:p w14:paraId="10F2DD45" w14:textId="77777777" w:rsidR="0062656C" w:rsidRDefault="0062656C">
            <w:pPr>
              <w:spacing w:before="60" w:after="60"/>
              <w:jc w:val="center"/>
            </w:pPr>
            <w:r>
              <w:t>B</w:t>
            </w:r>
          </w:p>
        </w:tc>
        <w:tc>
          <w:tcPr>
            <w:tcW w:w="3142" w:type="dxa"/>
            <w:vAlign w:val="center"/>
          </w:tcPr>
          <w:p w14:paraId="501F4861" w14:textId="77777777" w:rsidR="0062656C" w:rsidRDefault="0062656C">
            <w:pPr>
              <w:spacing w:before="60" w:after="60"/>
            </w:pPr>
            <w:r>
              <w:t>SR 1: Oxnard (US 101) to Dana Point (I-5)*</w:t>
            </w:r>
          </w:p>
        </w:tc>
        <w:tc>
          <w:tcPr>
            <w:tcW w:w="1248" w:type="dxa"/>
            <w:vAlign w:val="center"/>
          </w:tcPr>
          <w:p w14:paraId="5B288070" w14:textId="77777777" w:rsidR="0062656C" w:rsidRDefault="0062656C">
            <w:pPr>
              <w:spacing w:before="60" w:after="60"/>
              <w:jc w:val="center"/>
            </w:pPr>
            <w:r>
              <w:t>3</w:t>
            </w:r>
          </w:p>
        </w:tc>
        <w:tc>
          <w:tcPr>
            <w:tcW w:w="1015" w:type="dxa"/>
            <w:vAlign w:val="center"/>
          </w:tcPr>
          <w:p w14:paraId="3BD4224D" w14:textId="77777777" w:rsidR="0062656C" w:rsidRDefault="0062656C">
            <w:pPr>
              <w:spacing w:before="60" w:after="60"/>
              <w:jc w:val="center"/>
            </w:pPr>
            <w:r>
              <w:t>12</w:t>
            </w:r>
          </w:p>
        </w:tc>
        <w:tc>
          <w:tcPr>
            <w:tcW w:w="5093" w:type="dxa"/>
            <w:vAlign w:val="center"/>
          </w:tcPr>
          <w:p w14:paraId="5434C71A" w14:textId="77777777" w:rsidR="0062656C" w:rsidRDefault="0062656C" w:rsidP="00164AC5">
            <w:pPr>
              <w:pStyle w:val="ListParagraph"/>
              <w:numPr>
                <w:ilvl w:val="0"/>
                <w:numId w:val="77"/>
              </w:numPr>
              <w:spacing w:before="60" w:after="60"/>
              <w:ind w:left="310" w:hanging="310"/>
              <w:contextualSpacing/>
            </w:pPr>
            <w:r>
              <w:t>One station along SR 1 within 25 miles south of the SR 1/US 101 junction (Oxnard).</w:t>
            </w:r>
          </w:p>
          <w:p w14:paraId="07C71634" w14:textId="77777777" w:rsidR="0062656C" w:rsidRDefault="0062656C" w:rsidP="00164AC5">
            <w:pPr>
              <w:pStyle w:val="ListParagraph"/>
              <w:numPr>
                <w:ilvl w:val="0"/>
                <w:numId w:val="77"/>
              </w:numPr>
              <w:spacing w:before="60" w:after="60"/>
              <w:ind w:left="310" w:hanging="310"/>
              <w:contextualSpacing/>
            </w:pPr>
            <w:r>
              <w:t>One station along SR 1 within 25 miles north of the SR 1/I-5 junction (Dana Point).</w:t>
            </w:r>
          </w:p>
        </w:tc>
        <w:tc>
          <w:tcPr>
            <w:tcW w:w="1207" w:type="dxa"/>
            <w:vAlign w:val="center"/>
          </w:tcPr>
          <w:p w14:paraId="7BAB6FA0" w14:textId="77777777" w:rsidR="0062656C" w:rsidRDefault="0062656C">
            <w:pPr>
              <w:spacing w:before="60" w:after="60"/>
              <w:jc w:val="center"/>
            </w:pPr>
            <w:r>
              <w:t>20%</w:t>
            </w:r>
          </w:p>
        </w:tc>
      </w:tr>
      <w:tr w:rsidR="0062656C" w14:paraId="2CAEADDA" w14:textId="77777777">
        <w:trPr>
          <w:cantSplit/>
        </w:trPr>
        <w:tc>
          <w:tcPr>
            <w:tcW w:w="1133" w:type="dxa"/>
            <w:vAlign w:val="center"/>
          </w:tcPr>
          <w:p w14:paraId="6FAA4743" w14:textId="77777777" w:rsidR="0062656C" w:rsidRDefault="0062656C">
            <w:pPr>
              <w:spacing w:before="60" w:after="60"/>
              <w:jc w:val="center"/>
            </w:pPr>
            <w:r>
              <w:lastRenderedPageBreak/>
              <w:t>18</w:t>
            </w:r>
          </w:p>
        </w:tc>
        <w:tc>
          <w:tcPr>
            <w:tcW w:w="1287" w:type="dxa"/>
            <w:vAlign w:val="center"/>
          </w:tcPr>
          <w:p w14:paraId="727CD70A" w14:textId="77777777" w:rsidR="0062656C" w:rsidRDefault="0062656C">
            <w:pPr>
              <w:spacing w:before="60" w:after="60"/>
              <w:jc w:val="center"/>
            </w:pPr>
            <w:r>
              <w:t>A</w:t>
            </w:r>
          </w:p>
        </w:tc>
        <w:tc>
          <w:tcPr>
            <w:tcW w:w="3142" w:type="dxa"/>
            <w:vAlign w:val="center"/>
          </w:tcPr>
          <w:p w14:paraId="3A5284A8" w14:textId="77777777" w:rsidR="0062656C" w:rsidRDefault="0062656C">
            <w:pPr>
              <w:spacing w:before="60" w:after="60"/>
            </w:pPr>
            <w:r>
              <w:t>SR 23: Moorpark (SR 118) to Thousand Oaks (US 101)</w:t>
            </w:r>
          </w:p>
          <w:p w14:paraId="0AB7FBC6" w14:textId="77777777" w:rsidR="0062656C" w:rsidRDefault="0062656C">
            <w:pPr>
              <w:spacing w:before="60" w:after="60"/>
            </w:pPr>
            <w:r>
              <w:t>SR 118: Saticoy (SR 126) to San Fernando (I-210)</w:t>
            </w:r>
          </w:p>
        </w:tc>
        <w:tc>
          <w:tcPr>
            <w:tcW w:w="1248" w:type="dxa"/>
            <w:vAlign w:val="center"/>
          </w:tcPr>
          <w:p w14:paraId="4F428D22" w14:textId="77777777" w:rsidR="0062656C" w:rsidRDefault="0062656C">
            <w:pPr>
              <w:spacing w:before="60" w:after="60"/>
              <w:jc w:val="center"/>
            </w:pPr>
            <w:r>
              <w:t>3</w:t>
            </w:r>
          </w:p>
        </w:tc>
        <w:tc>
          <w:tcPr>
            <w:tcW w:w="1015" w:type="dxa"/>
            <w:vAlign w:val="center"/>
          </w:tcPr>
          <w:p w14:paraId="472D1FA7" w14:textId="77777777" w:rsidR="0062656C" w:rsidRDefault="0062656C">
            <w:pPr>
              <w:spacing w:before="60" w:after="60"/>
              <w:jc w:val="center"/>
            </w:pPr>
            <w:r>
              <w:t>12</w:t>
            </w:r>
          </w:p>
        </w:tc>
        <w:tc>
          <w:tcPr>
            <w:tcW w:w="5093" w:type="dxa"/>
            <w:vAlign w:val="center"/>
          </w:tcPr>
          <w:p w14:paraId="29241C64" w14:textId="77777777" w:rsidR="0062656C" w:rsidRDefault="0062656C" w:rsidP="00164AC5">
            <w:pPr>
              <w:pStyle w:val="ListParagraph"/>
              <w:numPr>
                <w:ilvl w:val="0"/>
                <w:numId w:val="79"/>
              </w:numPr>
              <w:spacing w:before="60" w:after="60"/>
              <w:ind w:left="310" w:hanging="310"/>
              <w:contextualSpacing/>
            </w:pPr>
            <w:r>
              <w:t>One station anywhere along SR 23 between Moorpark and Thousand Oaks.</w:t>
            </w:r>
          </w:p>
          <w:p w14:paraId="6961F02F" w14:textId="77777777" w:rsidR="0062656C" w:rsidRDefault="0062656C" w:rsidP="00164AC5">
            <w:pPr>
              <w:pStyle w:val="ListParagraph"/>
              <w:numPr>
                <w:ilvl w:val="0"/>
                <w:numId w:val="79"/>
              </w:numPr>
              <w:spacing w:before="60" w:after="60"/>
              <w:ind w:left="310" w:hanging="310"/>
              <w:contextualSpacing/>
            </w:pPr>
            <w:r>
              <w:t>One station along SR 118 with 25 miles east of the SR 118/SR 126 junction (Saticoy).</w:t>
            </w:r>
          </w:p>
          <w:p w14:paraId="6D481C54" w14:textId="77777777" w:rsidR="0062656C" w:rsidRDefault="0062656C" w:rsidP="00164AC5">
            <w:pPr>
              <w:pStyle w:val="ListParagraph"/>
              <w:numPr>
                <w:ilvl w:val="0"/>
                <w:numId w:val="79"/>
              </w:numPr>
              <w:spacing w:before="60" w:after="60"/>
              <w:ind w:left="310" w:hanging="310"/>
              <w:contextualSpacing/>
            </w:pPr>
            <w:r>
              <w:t>One station along SR 118 within 25 miles west of the SR 118/I-210 junction (San Fernando).</w:t>
            </w:r>
          </w:p>
        </w:tc>
        <w:tc>
          <w:tcPr>
            <w:tcW w:w="1207" w:type="dxa"/>
            <w:vAlign w:val="center"/>
          </w:tcPr>
          <w:p w14:paraId="0273B9E1" w14:textId="77777777" w:rsidR="0062656C" w:rsidRDefault="0062656C">
            <w:pPr>
              <w:spacing w:before="60" w:after="60"/>
              <w:jc w:val="center"/>
            </w:pPr>
            <w:r>
              <w:t>50%</w:t>
            </w:r>
          </w:p>
        </w:tc>
      </w:tr>
      <w:tr w:rsidR="0062656C" w14:paraId="7B32D552" w14:textId="77777777">
        <w:trPr>
          <w:cantSplit/>
        </w:trPr>
        <w:tc>
          <w:tcPr>
            <w:tcW w:w="1133" w:type="dxa"/>
            <w:vAlign w:val="center"/>
          </w:tcPr>
          <w:p w14:paraId="4450581E" w14:textId="77777777" w:rsidR="0062656C" w:rsidRDefault="0062656C">
            <w:pPr>
              <w:spacing w:before="60" w:after="60"/>
              <w:jc w:val="center"/>
            </w:pPr>
            <w:r>
              <w:t>18</w:t>
            </w:r>
          </w:p>
        </w:tc>
        <w:tc>
          <w:tcPr>
            <w:tcW w:w="1287" w:type="dxa"/>
            <w:vAlign w:val="center"/>
          </w:tcPr>
          <w:p w14:paraId="59515229" w14:textId="77777777" w:rsidR="0062656C" w:rsidRDefault="0062656C">
            <w:pPr>
              <w:spacing w:before="60" w:after="60"/>
              <w:jc w:val="center"/>
            </w:pPr>
            <w:r>
              <w:t>B</w:t>
            </w:r>
          </w:p>
        </w:tc>
        <w:tc>
          <w:tcPr>
            <w:tcW w:w="3142" w:type="dxa"/>
            <w:vAlign w:val="center"/>
          </w:tcPr>
          <w:p w14:paraId="1FC9D1E1" w14:textId="77777777" w:rsidR="0062656C" w:rsidRDefault="0062656C">
            <w:pPr>
              <w:spacing w:before="60" w:after="60"/>
            </w:pPr>
            <w:r>
              <w:t>SR 60: Los Angeles (I-10/I-5) to Beaumont (I-10)*</w:t>
            </w:r>
          </w:p>
        </w:tc>
        <w:tc>
          <w:tcPr>
            <w:tcW w:w="1248" w:type="dxa"/>
            <w:vAlign w:val="center"/>
          </w:tcPr>
          <w:p w14:paraId="1C855632" w14:textId="77777777" w:rsidR="0062656C" w:rsidRDefault="0062656C">
            <w:pPr>
              <w:spacing w:before="60" w:after="60"/>
              <w:jc w:val="center"/>
            </w:pPr>
            <w:r>
              <w:t>2</w:t>
            </w:r>
          </w:p>
        </w:tc>
        <w:tc>
          <w:tcPr>
            <w:tcW w:w="1015" w:type="dxa"/>
            <w:vAlign w:val="center"/>
          </w:tcPr>
          <w:p w14:paraId="42486B25" w14:textId="77777777" w:rsidR="0062656C" w:rsidRDefault="0062656C">
            <w:pPr>
              <w:spacing w:before="60" w:after="60"/>
              <w:jc w:val="center"/>
            </w:pPr>
            <w:r>
              <w:t>8</w:t>
            </w:r>
          </w:p>
        </w:tc>
        <w:tc>
          <w:tcPr>
            <w:tcW w:w="5093" w:type="dxa"/>
            <w:vAlign w:val="center"/>
          </w:tcPr>
          <w:p w14:paraId="6F434002" w14:textId="77777777" w:rsidR="0062656C" w:rsidRDefault="0062656C" w:rsidP="00164AC5">
            <w:pPr>
              <w:pStyle w:val="ListParagraph"/>
              <w:numPr>
                <w:ilvl w:val="0"/>
                <w:numId w:val="78"/>
              </w:numPr>
              <w:spacing w:before="60" w:after="60"/>
              <w:ind w:left="310" w:hanging="310"/>
              <w:contextualSpacing/>
            </w:pPr>
            <w:r>
              <w:t>One station along SR 60 within 25 miles east of the SR 60/I-10/I-5 junction (Los Angeles).</w:t>
            </w:r>
          </w:p>
          <w:p w14:paraId="01FB7734" w14:textId="77777777" w:rsidR="0062656C" w:rsidRDefault="0062656C" w:rsidP="00164AC5">
            <w:pPr>
              <w:pStyle w:val="ListParagraph"/>
              <w:numPr>
                <w:ilvl w:val="0"/>
                <w:numId w:val="78"/>
              </w:numPr>
              <w:spacing w:before="60" w:after="60"/>
              <w:ind w:left="310" w:hanging="310"/>
              <w:contextualSpacing/>
            </w:pPr>
            <w:r>
              <w:t>One station along SR 60 within 25 miles west of the SR 60/I-10 junction (Beaumont).</w:t>
            </w:r>
          </w:p>
        </w:tc>
        <w:tc>
          <w:tcPr>
            <w:tcW w:w="1207" w:type="dxa"/>
            <w:vAlign w:val="center"/>
          </w:tcPr>
          <w:p w14:paraId="2718BDB7" w14:textId="77777777" w:rsidR="0062656C" w:rsidRDefault="0062656C">
            <w:pPr>
              <w:spacing w:before="60" w:after="60"/>
              <w:jc w:val="center"/>
            </w:pPr>
            <w:r>
              <w:t>50%</w:t>
            </w:r>
          </w:p>
        </w:tc>
      </w:tr>
      <w:tr w:rsidR="0062656C" w14:paraId="4EB4A487" w14:textId="77777777">
        <w:trPr>
          <w:cantSplit/>
        </w:trPr>
        <w:tc>
          <w:tcPr>
            <w:tcW w:w="1133" w:type="dxa"/>
            <w:vAlign w:val="center"/>
          </w:tcPr>
          <w:p w14:paraId="682E9256" w14:textId="77777777" w:rsidR="0062656C" w:rsidRDefault="0062656C">
            <w:pPr>
              <w:spacing w:before="60" w:after="60"/>
              <w:jc w:val="center"/>
            </w:pPr>
            <w:r>
              <w:t>18</w:t>
            </w:r>
          </w:p>
        </w:tc>
        <w:tc>
          <w:tcPr>
            <w:tcW w:w="1287" w:type="dxa"/>
            <w:vAlign w:val="center"/>
          </w:tcPr>
          <w:p w14:paraId="5DB0EEA4" w14:textId="77777777" w:rsidR="0062656C" w:rsidRDefault="0062656C">
            <w:pPr>
              <w:spacing w:before="60" w:after="60"/>
              <w:jc w:val="center"/>
            </w:pPr>
            <w:r>
              <w:t>C</w:t>
            </w:r>
          </w:p>
        </w:tc>
        <w:tc>
          <w:tcPr>
            <w:tcW w:w="3142" w:type="dxa"/>
            <w:vAlign w:val="center"/>
          </w:tcPr>
          <w:p w14:paraId="67BFFE04" w14:textId="77777777" w:rsidR="0062656C" w:rsidRDefault="0062656C">
            <w:pPr>
              <w:spacing w:before="60" w:after="60"/>
            </w:pPr>
            <w:r>
              <w:t>I-5: Santa Clarita (SR 14) to San Clemente (SR 1)**</w:t>
            </w:r>
          </w:p>
        </w:tc>
        <w:tc>
          <w:tcPr>
            <w:tcW w:w="1248" w:type="dxa"/>
            <w:vAlign w:val="center"/>
          </w:tcPr>
          <w:p w14:paraId="4B80C3A2" w14:textId="77777777" w:rsidR="0062656C" w:rsidRDefault="0062656C">
            <w:pPr>
              <w:spacing w:before="60" w:after="60"/>
              <w:jc w:val="center"/>
            </w:pPr>
            <w:r>
              <w:t>2</w:t>
            </w:r>
          </w:p>
        </w:tc>
        <w:tc>
          <w:tcPr>
            <w:tcW w:w="1015" w:type="dxa"/>
            <w:vAlign w:val="center"/>
          </w:tcPr>
          <w:p w14:paraId="25DDF213" w14:textId="77777777" w:rsidR="0062656C" w:rsidRDefault="0062656C">
            <w:pPr>
              <w:spacing w:before="60" w:after="60"/>
              <w:jc w:val="center"/>
            </w:pPr>
            <w:r>
              <w:t>8</w:t>
            </w:r>
          </w:p>
        </w:tc>
        <w:tc>
          <w:tcPr>
            <w:tcW w:w="5093" w:type="dxa"/>
            <w:vAlign w:val="center"/>
          </w:tcPr>
          <w:p w14:paraId="4E9C7CAC" w14:textId="77777777" w:rsidR="0062656C" w:rsidRDefault="0062656C" w:rsidP="00164AC5">
            <w:pPr>
              <w:pStyle w:val="ListParagraph"/>
              <w:numPr>
                <w:ilvl w:val="0"/>
                <w:numId w:val="76"/>
              </w:numPr>
              <w:spacing w:before="60" w:after="60"/>
              <w:ind w:left="316" w:hanging="316"/>
              <w:contextualSpacing/>
            </w:pPr>
            <w:r>
              <w:t>One station along I-5 within 40 miles south of the I-5/SR 14 junction (Santa Clarita).</w:t>
            </w:r>
          </w:p>
          <w:p w14:paraId="6467AE0B" w14:textId="77777777" w:rsidR="0062656C" w:rsidRDefault="0062656C" w:rsidP="00164AC5">
            <w:pPr>
              <w:pStyle w:val="ListParagraph"/>
              <w:numPr>
                <w:ilvl w:val="0"/>
                <w:numId w:val="76"/>
              </w:numPr>
              <w:spacing w:before="60" w:after="60"/>
              <w:ind w:left="316" w:hanging="316"/>
              <w:contextualSpacing/>
            </w:pPr>
            <w:r>
              <w:t>One station along I-5 within 25 miles north of the I-5/SR 1 junction (San Clemente)</w:t>
            </w:r>
          </w:p>
        </w:tc>
        <w:tc>
          <w:tcPr>
            <w:tcW w:w="1207" w:type="dxa"/>
            <w:vAlign w:val="center"/>
          </w:tcPr>
          <w:p w14:paraId="788CDAD9" w14:textId="77777777" w:rsidR="0062656C" w:rsidRDefault="0062656C">
            <w:pPr>
              <w:spacing w:before="60" w:after="60"/>
              <w:jc w:val="center"/>
            </w:pPr>
            <w:r>
              <w:t>50%</w:t>
            </w:r>
          </w:p>
        </w:tc>
      </w:tr>
      <w:tr w:rsidR="0062656C" w14:paraId="4E5A5F11" w14:textId="77777777">
        <w:trPr>
          <w:cantSplit/>
        </w:trPr>
        <w:tc>
          <w:tcPr>
            <w:tcW w:w="1133" w:type="dxa"/>
            <w:vAlign w:val="center"/>
          </w:tcPr>
          <w:p w14:paraId="0318A5E4" w14:textId="77777777" w:rsidR="0062656C" w:rsidRDefault="0062656C">
            <w:pPr>
              <w:spacing w:before="60" w:after="60"/>
              <w:jc w:val="center"/>
            </w:pPr>
            <w:r>
              <w:t>18</w:t>
            </w:r>
          </w:p>
        </w:tc>
        <w:tc>
          <w:tcPr>
            <w:tcW w:w="1287" w:type="dxa"/>
            <w:vAlign w:val="center"/>
          </w:tcPr>
          <w:p w14:paraId="63A0BCF2" w14:textId="77777777" w:rsidR="0062656C" w:rsidRDefault="0062656C">
            <w:pPr>
              <w:spacing w:before="60" w:after="60"/>
              <w:jc w:val="center"/>
            </w:pPr>
            <w:r>
              <w:t>D</w:t>
            </w:r>
          </w:p>
        </w:tc>
        <w:tc>
          <w:tcPr>
            <w:tcW w:w="3142" w:type="dxa"/>
            <w:vAlign w:val="center"/>
          </w:tcPr>
          <w:p w14:paraId="287D74B2" w14:textId="77777777" w:rsidR="0062656C" w:rsidRDefault="0062656C">
            <w:pPr>
              <w:spacing w:before="60" w:after="60"/>
            </w:pPr>
            <w:r>
              <w:t>I-10: Santa Monica (end) to west of Beaumont**</w:t>
            </w:r>
          </w:p>
        </w:tc>
        <w:tc>
          <w:tcPr>
            <w:tcW w:w="1248" w:type="dxa"/>
            <w:vAlign w:val="center"/>
          </w:tcPr>
          <w:p w14:paraId="6FF2A6E7" w14:textId="77777777" w:rsidR="0062656C" w:rsidRDefault="0062656C">
            <w:pPr>
              <w:spacing w:before="60" w:after="60"/>
              <w:jc w:val="center"/>
            </w:pPr>
            <w:r>
              <w:t>2</w:t>
            </w:r>
          </w:p>
        </w:tc>
        <w:tc>
          <w:tcPr>
            <w:tcW w:w="1015" w:type="dxa"/>
            <w:vAlign w:val="center"/>
          </w:tcPr>
          <w:p w14:paraId="4AF9EEBE" w14:textId="77777777" w:rsidR="0062656C" w:rsidRDefault="0062656C">
            <w:pPr>
              <w:spacing w:before="60" w:after="60"/>
              <w:jc w:val="center"/>
            </w:pPr>
            <w:r>
              <w:t>8</w:t>
            </w:r>
          </w:p>
        </w:tc>
        <w:tc>
          <w:tcPr>
            <w:tcW w:w="5093" w:type="dxa"/>
            <w:vAlign w:val="center"/>
          </w:tcPr>
          <w:p w14:paraId="7148CE8E" w14:textId="77777777" w:rsidR="0062656C" w:rsidRDefault="0062656C" w:rsidP="00164AC5">
            <w:pPr>
              <w:pStyle w:val="ListParagraph"/>
              <w:numPr>
                <w:ilvl w:val="0"/>
                <w:numId w:val="74"/>
              </w:numPr>
              <w:spacing w:before="60" w:after="60"/>
              <w:ind w:left="316" w:hanging="316"/>
              <w:contextualSpacing/>
            </w:pPr>
            <w:r>
              <w:t>One station along I-10 within 25 miles east of the western end of I-10 in Santa Monica.</w:t>
            </w:r>
          </w:p>
          <w:p w14:paraId="11290E22" w14:textId="77777777" w:rsidR="0062656C" w:rsidRDefault="0062656C" w:rsidP="00164AC5">
            <w:pPr>
              <w:pStyle w:val="ListParagraph"/>
              <w:numPr>
                <w:ilvl w:val="0"/>
                <w:numId w:val="74"/>
              </w:numPr>
              <w:spacing w:before="60" w:after="60"/>
              <w:ind w:left="316" w:hanging="316"/>
              <w:contextualSpacing/>
            </w:pPr>
            <w:r>
              <w:t>One station along I-10 within 25 miles west of the western city limits of Beaumont.</w:t>
            </w:r>
          </w:p>
        </w:tc>
        <w:tc>
          <w:tcPr>
            <w:tcW w:w="1207" w:type="dxa"/>
            <w:vAlign w:val="center"/>
          </w:tcPr>
          <w:p w14:paraId="6F0FDB3B" w14:textId="77777777" w:rsidR="0062656C" w:rsidRDefault="0062656C">
            <w:pPr>
              <w:spacing w:before="60" w:after="60"/>
              <w:jc w:val="center"/>
            </w:pPr>
            <w:r>
              <w:t>50%</w:t>
            </w:r>
          </w:p>
        </w:tc>
      </w:tr>
      <w:tr w:rsidR="0062656C" w14:paraId="716F0F03" w14:textId="77777777">
        <w:trPr>
          <w:cantSplit/>
        </w:trPr>
        <w:tc>
          <w:tcPr>
            <w:tcW w:w="1133" w:type="dxa"/>
            <w:shd w:val="clear" w:color="auto" w:fill="BFBFBF" w:themeFill="background1" w:themeFillShade="BF"/>
            <w:vAlign w:val="center"/>
          </w:tcPr>
          <w:p w14:paraId="7BFDFA18" w14:textId="77777777" w:rsidR="0062656C" w:rsidRDefault="0062656C">
            <w:pPr>
              <w:spacing w:before="60" w:after="60"/>
              <w:jc w:val="center"/>
            </w:pPr>
            <w:r>
              <w:lastRenderedPageBreak/>
              <w:t>19</w:t>
            </w:r>
          </w:p>
        </w:tc>
        <w:tc>
          <w:tcPr>
            <w:tcW w:w="1287" w:type="dxa"/>
            <w:shd w:val="clear" w:color="auto" w:fill="BFBFBF" w:themeFill="background1" w:themeFillShade="BF"/>
            <w:vAlign w:val="center"/>
          </w:tcPr>
          <w:p w14:paraId="597072A3" w14:textId="77777777" w:rsidR="0062656C" w:rsidRDefault="0062656C">
            <w:pPr>
              <w:spacing w:before="60" w:after="60"/>
              <w:jc w:val="center"/>
            </w:pPr>
          </w:p>
        </w:tc>
        <w:tc>
          <w:tcPr>
            <w:tcW w:w="3142" w:type="dxa"/>
            <w:shd w:val="clear" w:color="auto" w:fill="BFBFBF" w:themeFill="background1" w:themeFillShade="BF"/>
            <w:vAlign w:val="center"/>
          </w:tcPr>
          <w:p w14:paraId="49EAC43C" w14:textId="3C92A4E0" w:rsidR="0062656C" w:rsidRDefault="0062656C">
            <w:pPr>
              <w:spacing w:before="60" w:after="60"/>
            </w:pPr>
            <w:r>
              <w:t xml:space="preserve">Offered in </w:t>
            </w:r>
            <w:r w:rsidR="007559DA">
              <w:t>GFO-23-601</w:t>
            </w:r>
          </w:p>
        </w:tc>
        <w:tc>
          <w:tcPr>
            <w:tcW w:w="1248" w:type="dxa"/>
            <w:shd w:val="clear" w:color="auto" w:fill="BFBFBF" w:themeFill="background1" w:themeFillShade="BF"/>
            <w:vAlign w:val="center"/>
          </w:tcPr>
          <w:p w14:paraId="4E7716A6" w14:textId="77777777" w:rsidR="0062656C" w:rsidRDefault="0062656C">
            <w:pPr>
              <w:spacing w:before="60" w:after="60"/>
              <w:jc w:val="center"/>
            </w:pPr>
          </w:p>
        </w:tc>
        <w:tc>
          <w:tcPr>
            <w:tcW w:w="1015" w:type="dxa"/>
            <w:shd w:val="clear" w:color="auto" w:fill="BFBFBF" w:themeFill="background1" w:themeFillShade="BF"/>
            <w:vAlign w:val="center"/>
          </w:tcPr>
          <w:p w14:paraId="49ACCAE0" w14:textId="77777777" w:rsidR="0062656C" w:rsidRDefault="0062656C">
            <w:pPr>
              <w:spacing w:before="60" w:after="60"/>
              <w:jc w:val="center"/>
            </w:pPr>
          </w:p>
        </w:tc>
        <w:tc>
          <w:tcPr>
            <w:tcW w:w="5093" w:type="dxa"/>
            <w:shd w:val="clear" w:color="auto" w:fill="BFBFBF" w:themeFill="background1" w:themeFillShade="BF"/>
            <w:vAlign w:val="center"/>
          </w:tcPr>
          <w:p w14:paraId="04EFD4C9" w14:textId="77777777" w:rsidR="0062656C" w:rsidRDefault="0062656C">
            <w:pPr>
              <w:spacing w:before="60" w:after="60"/>
            </w:pPr>
          </w:p>
        </w:tc>
        <w:tc>
          <w:tcPr>
            <w:tcW w:w="1207" w:type="dxa"/>
            <w:shd w:val="clear" w:color="auto" w:fill="BFBFBF" w:themeFill="background1" w:themeFillShade="BF"/>
            <w:vAlign w:val="center"/>
          </w:tcPr>
          <w:p w14:paraId="7FC2DB96" w14:textId="77777777" w:rsidR="0062656C" w:rsidRDefault="0062656C">
            <w:pPr>
              <w:spacing w:before="60" w:after="60"/>
              <w:jc w:val="center"/>
            </w:pPr>
          </w:p>
        </w:tc>
      </w:tr>
      <w:tr w:rsidR="0062656C" w14:paraId="34E7E304" w14:textId="77777777">
        <w:trPr>
          <w:cantSplit/>
        </w:trPr>
        <w:tc>
          <w:tcPr>
            <w:tcW w:w="1133" w:type="dxa"/>
            <w:shd w:val="clear" w:color="auto" w:fill="BFBFBF" w:themeFill="background1" w:themeFillShade="BF"/>
            <w:vAlign w:val="center"/>
          </w:tcPr>
          <w:p w14:paraId="4C9FDA4E" w14:textId="77777777" w:rsidR="0062656C" w:rsidRDefault="0062656C">
            <w:pPr>
              <w:spacing w:before="60" w:after="60"/>
              <w:jc w:val="center"/>
            </w:pPr>
            <w:r>
              <w:t>20</w:t>
            </w:r>
          </w:p>
        </w:tc>
        <w:tc>
          <w:tcPr>
            <w:tcW w:w="1287" w:type="dxa"/>
            <w:shd w:val="clear" w:color="auto" w:fill="BFBFBF" w:themeFill="background1" w:themeFillShade="BF"/>
            <w:vAlign w:val="center"/>
          </w:tcPr>
          <w:p w14:paraId="2B86B1B0" w14:textId="77777777" w:rsidR="0062656C" w:rsidRDefault="0062656C">
            <w:pPr>
              <w:spacing w:before="60" w:after="60"/>
              <w:jc w:val="center"/>
            </w:pPr>
          </w:p>
        </w:tc>
        <w:tc>
          <w:tcPr>
            <w:tcW w:w="3142" w:type="dxa"/>
            <w:shd w:val="clear" w:color="auto" w:fill="BFBFBF" w:themeFill="background1" w:themeFillShade="BF"/>
            <w:vAlign w:val="center"/>
          </w:tcPr>
          <w:p w14:paraId="695B6E1F" w14:textId="29AF3851" w:rsidR="0062656C" w:rsidRDefault="0062656C">
            <w:pPr>
              <w:spacing w:before="60" w:after="60"/>
            </w:pPr>
            <w:r>
              <w:t xml:space="preserve">Offered in </w:t>
            </w:r>
            <w:r w:rsidR="007559DA">
              <w:t>GFO-23-601</w:t>
            </w:r>
          </w:p>
        </w:tc>
        <w:tc>
          <w:tcPr>
            <w:tcW w:w="1248" w:type="dxa"/>
            <w:shd w:val="clear" w:color="auto" w:fill="BFBFBF" w:themeFill="background1" w:themeFillShade="BF"/>
            <w:vAlign w:val="center"/>
          </w:tcPr>
          <w:p w14:paraId="739C9C83" w14:textId="77777777" w:rsidR="0062656C" w:rsidRDefault="0062656C">
            <w:pPr>
              <w:spacing w:before="60" w:after="60"/>
              <w:jc w:val="center"/>
            </w:pPr>
          </w:p>
        </w:tc>
        <w:tc>
          <w:tcPr>
            <w:tcW w:w="1015" w:type="dxa"/>
            <w:shd w:val="clear" w:color="auto" w:fill="BFBFBF" w:themeFill="background1" w:themeFillShade="BF"/>
            <w:vAlign w:val="center"/>
          </w:tcPr>
          <w:p w14:paraId="5A2D3417" w14:textId="77777777" w:rsidR="0062656C" w:rsidRDefault="0062656C">
            <w:pPr>
              <w:spacing w:before="60" w:after="60"/>
              <w:jc w:val="center"/>
            </w:pPr>
          </w:p>
        </w:tc>
        <w:tc>
          <w:tcPr>
            <w:tcW w:w="5093" w:type="dxa"/>
            <w:shd w:val="clear" w:color="auto" w:fill="BFBFBF" w:themeFill="background1" w:themeFillShade="BF"/>
            <w:vAlign w:val="center"/>
          </w:tcPr>
          <w:p w14:paraId="133442C8" w14:textId="77777777" w:rsidR="0062656C" w:rsidRDefault="0062656C">
            <w:pPr>
              <w:spacing w:before="60" w:after="60"/>
            </w:pPr>
          </w:p>
        </w:tc>
        <w:tc>
          <w:tcPr>
            <w:tcW w:w="1207" w:type="dxa"/>
            <w:shd w:val="clear" w:color="auto" w:fill="BFBFBF" w:themeFill="background1" w:themeFillShade="BF"/>
            <w:vAlign w:val="center"/>
          </w:tcPr>
          <w:p w14:paraId="56F29FC3" w14:textId="77777777" w:rsidR="0062656C" w:rsidRDefault="0062656C">
            <w:pPr>
              <w:spacing w:before="60" w:after="60"/>
              <w:jc w:val="center"/>
            </w:pPr>
          </w:p>
        </w:tc>
      </w:tr>
      <w:tr w:rsidR="0062656C" w14:paraId="08FAE049" w14:textId="77777777">
        <w:trPr>
          <w:cantSplit/>
        </w:trPr>
        <w:tc>
          <w:tcPr>
            <w:tcW w:w="1133" w:type="dxa"/>
            <w:vAlign w:val="center"/>
          </w:tcPr>
          <w:p w14:paraId="3EFCEEDD" w14:textId="77777777" w:rsidR="0062656C" w:rsidRDefault="0062656C">
            <w:pPr>
              <w:spacing w:before="60" w:after="60"/>
              <w:jc w:val="center"/>
            </w:pPr>
            <w:r>
              <w:t>21</w:t>
            </w:r>
          </w:p>
        </w:tc>
        <w:tc>
          <w:tcPr>
            <w:tcW w:w="1287" w:type="dxa"/>
            <w:vAlign w:val="center"/>
          </w:tcPr>
          <w:p w14:paraId="08646908" w14:textId="77777777" w:rsidR="0062656C" w:rsidRDefault="0062656C">
            <w:pPr>
              <w:spacing w:before="60" w:after="60"/>
              <w:jc w:val="center"/>
            </w:pPr>
            <w:r>
              <w:t>A</w:t>
            </w:r>
          </w:p>
        </w:tc>
        <w:tc>
          <w:tcPr>
            <w:tcW w:w="3142" w:type="dxa"/>
            <w:vAlign w:val="center"/>
          </w:tcPr>
          <w:p w14:paraId="0F1E1C18" w14:textId="77777777" w:rsidR="0062656C" w:rsidRDefault="0062656C">
            <w:pPr>
              <w:spacing w:before="60" w:after="60"/>
            </w:pPr>
            <w:r>
              <w:t>SR 16: Sacramento (South Watt Ave) to Plymouth (SR 49)</w:t>
            </w:r>
          </w:p>
          <w:p w14:paraId="11288370" w14:textId="77777777" w:rsidR="0062656C" w:rsidRDefault="0062656C">
            <w:pPr>
              <w:spacing w:before="60" w:after="60"/>
            </w:pPr>
            <w:r>
              <w:t>SR 49: Plymouth (SR 16) to Jackson (SR 88)</w:t>
            </w:r>
          </w:p>
          <w:p w14:paraId="5A471470" w14:textId="77777777" w:rsidR="0062656C" w:rsidRDefault="0062656C">
            <w:pPr>
              <w:spacing w:before="60" w:after="60"/>
            </w:pPr>
            <w:r>
              <w:t>SR 88: Jackson (SR 49) to Stockton (SR 99)</w:t>
            </w:r>
          </w:p>
        </w:tc>
        <w:tc>
          <w:tcPr>
            <w:tcW w:w="1248" w:type="dxa"/>
            <w:vAlign w:val="center"/>
          </w:tcPr>
          <w:p w14:paraId="73E7E1BA" w14:textId="77777777" w:rsidR="0062656C" w:rsidRDefault="0062656C">
            <w:pPr>
              <w:spacing w:before="60" w:after="60"/>
              <w:jc w:val="center"/>
            </w:pPr>
            <w:r>
              <w:t>3</w:t>
            </w:r>
          </w:p>
        </w:tc>
        <w:tc>
          <w:tcPr>
            <w:tcW w:w="1015" w:type="dxa"/>
            <w:vAlign w:val="center"/>
          </w:tcPr>
          <w:p w14:paraId="21CBA2FE" w14:textId="77777777" w:rsidR="0062656C" w:rsidRDefault="0062656C">
            <w:pPr>
              <w:spacing w:before="60" w:after="60"/>
              <w:jc w:val="center"/>
            </w:pPr>
            <w:r>
              <w:t>12</w:t>
            </w:r>
          </w:p>
        </w:tc>
        <w:tc>
          <w:tcPr>
            <w:tcW w:w="5093" w:type="dxa"/>
            <w:vAlign w:val="center"/>
          </w:tcPr>
          <w:p w14:paraId="1C38BF05" w14:textId="77777777" w:rsidR="0062656C" w:rsidRDefault="0062656C" w:rsidP="00164AC5">
            <w:pPr>
              <w:pStyle w:val="ListParagraph"/>
              <w:numPr>
                <w:ilvl w:val="0"/>
                <w:numId w:val="68"/>
              </w:numPr>
              <w:spacing w:before="60" w:after="60"/>
              <w:ind w:left="316" w:hanging="316"/>
              <w:contextualSpacing/>
            </w:pPr>
            <w:r>
              <w:t>One station anywhere along SR 16 between Sacramento and Plymouth.</w:t>
            </w:r>
          </w:p>
          <w:p w14:paraId="4804E700" w14:textId="77777777" w:rsidR="0062656C" w:rsidRDefault="0062656C" w:rsidP="00164AC5">
            <w:pPr>
              <w:pStyle w:val="ListParagraph"/>
              <w:numPr>
                <w:ilvl w:val="0"/>
                <w:numId w:val="68"/>
              </w:numPr>
              <w:spacing w:before="60" w:after="60"/>
              <w:ind w:left="316" w:hanging="316"/>
              <w:contextualSpacing/>
            </w:pPr>
            <w:r>
              <w:t>One station anywhere along SR 49 between Plymouth and Jackson.</w:t>
            </w:r>
          </w:p>
          <w:p w14:paraId="7F1ED013" w14:textId="77777777" w:rsidR="0062656C" w:rsidRDefault="0062656C" w:rsidP="00164AC5">
            <w:pPr>
              <w:pStyle w:val="ListParagraph"/>
              <w:numPr>
                <w:ilvl w:val="0"/>
                <w:numId w:val="68"/>
              </w:numPr>
              <w:spacing w:before="60" w:after="60"/>
              <w:ind w:left="316" w:hanging="316"/>
              <w:contextualSpacing/>
            </w:pPr>
            <w:r>
              <w:t>One station anywhere along SR 88 between Jackson and Stockton.</w:t>
            </w:r>
          </w:p>
        </w:tc>
        <w:tc>
          <w:tcPr>
            <w:tcW w:w="1207" w:type="dxa"/>
            <w:vAlign w:val="center"/>
          </w:tcPr>
          <w:p w14:paraId="5C216A61" w14:textId="77777777" w:rsidR="0062656C" w:rsidRDefault="0062656C">
            <w:pPr>
              <w:spacing w:before="60" w:after="60"/>
              <w:jc w:val="center"/>
            </w:pPr>
            <w:r>
              <w:t>20%</w:t>
            </w:r>
          </w:p>
        </w:tc>
      </w:tr>
      <w:tr w:rsidR="0062656C" w14:paraId="332DC863" w14:textId="77777777">
        <w:trPr>
          <w:cantSplit/>
        </w:trPr>
        <w:tc>
          <w:tcPr>
            <w:tcW w:w="1133" w:type="dxa"/>
            <w:vAlign w:val="center"/>
          </w:tcPr>
          <w:p w14:paraId="1B7B0A38" w14:textId="77777777" w:rsidR="0062656C" w:rsidRDefault="0062656C">
            <w:pPr>
              <w:spacing w:before="60" w:after="60"/>
              <w:jc w:val="center"/>
            </w:pPr>
            <w:r>
              <w:t>22</w:t>
            </w:r>
          </w:p>
        </w:tc>
        <w:tc>
          <w:tcPr>
            <w:tcW w:w="1287" w:type="dxa"/>
            <w:vAlign w:val="center"/>
          </w:tcPr>
          <w:p w14:paraId="5A43B493" w14:textId="77777777" w:rsidR="0062656C" w:rsidRDefault="0062656C">
            <w:pPr>
              <w:spacing w:before="60" w:after="60"/>
              <w:jc w:val="center"/>
            </w:pPr>
            <w:r>
              <w:t>A</w:t>
            </w:r>
          </w:p>
        </w:tc>
        <w:tc>
          <w:tcPr>
            <w:tcW w:w="3142" w:type="dxa"/>
            <w:vAlign w:val="center"/>
          </w:tcPr>
          <w:p w14:paraId="72734803" w14:textId="77777777" w:rsidR="0062656C" w:rsidRDefault="0062656C">
            <w:pPr>
              <w:spacing w:before="60" w:after="60"/>
            </w:pPr>
            <w:r w:rsidRPr="001D4533">
              <w:rPr>
                <w:b/>
                <w:bCs/>
              </w:rPr>
              <w:t>Stand-alone Project</w:t>
            </w:r>
            <w:r>
              <w:t xml:space="preserve">: </w:t>
            </w:r>
            <w:r>
              <w:br/>
              <w:t>SR 74: Menifee (I-215) to Hemet (SR 79)</w:t>
            </w:r>
          </w:p>
          <w:p w14:paraId="4B9E8869" w14:textId="77777777" w:rsidR="0062656C" w:rsidRDefault="0062656C">
            <w:pPr>
              <w:spacing w:before="60" w:after="60"/>
            </w:pPr>
            <w:r>
              <w:t>SR 79: Temecula (I-15) to Green Acres (SR 74)</w:t>
            </w:r>
          </w:p>
        </w:tc>
        <w:tc>
          <w:tcPr>
            <w:tcW w:w="1248" w:type="dxa"/>
            <w:vAlign w:val="center"/>
          </w:tcPr>
          <w:p w14:paraId="1BE3FE96" w14:textId="77777777" w:rsidR="0062656C" w:rsidRDefault="0062656C">
            <w:pPr>
              <w:spacing w:before="60" w:after="60"/>
              <w:jc w:val="center"/>
            </w:pPr>
            <w:r>
              <w:t>1</w:t>
            </w:r>
          </w:p>
        </w:tc>
        <w:tc>
          <w:tcPr>
            <w:tcW w:w="1015" w:type="dxa"/>
            <w:vAlign w:val="center"/>
          </w:tcPr>
          <w:p w14:paraId="14AA7D30" w14:textId="77777777" w:rsidR="0062656C" w:rsidRDefault="0062656C">
            <w:pPr>
              <w:spacing w:before="60" w:after="60"/>
              <w:jc w:val="center"/>
            </w:pPr>
            <w:r>
              <w:t>4</w:t>
            </w:r>
          </w:p>
        </w:tc>
        <w:tc>
          <w:tcPr>
            <w:tcW w:w="5093" w:type="dxa"/>
            <w:vAlign w:val="center"/>
          </w:tcPr>
          <w:p w14:paraId="6B9152DB" w14:textId="77777777" w:rsidR="0062656C" w:rsidRDefault="0062656C" w:rsidP="00164AC5">
            <w:pPr>
              <w:pStyle w:val="ListParagraph"/>
              <w:numPr>
                <w:ilvl w:val="0"/>
                <w:numId w:val="62"/>
              </w:numPr>
              <w:spacing w:before="60" w:after="60"/>
              <w:ind w:left="316" w:hanging="316"/>
              <w:contextualSpacing/>
            </w:pPr>
            <w:r>
              <w:t>Preference for a station along SR 74 or SR 79 within a 5-mile radius of the SR 74/SR 79 junction.</w:t>
            </w:r>
          </w:p>
        </w:tc>
        <w:tc>
          <w:tcPr>
            <w:tcW w:w="1207" w:type="dxa"/>
            <w:vAlign w:val="center"/>
          </w:tcPr>
          <w:p w14:paraId="41249325" w14:textId="77777777" w:rsidR="0062656C" w:rsidRDefault="0062656C">
            <w:pPr>
              <w:spacing w:before="60" w:after="60"/>
              <w:jc w:val="center"/>
            </w:pPr>
            <w:r>
              <w:t>20%</w:t>
            </w:r>
          </w:p>
        </w:tc>
      </w:tr>
      <w:tr w:rsidR="0062656C" w14:paraId="54C49320" w14:textId="77777777">
        <w:trPr>
          <w:cantSplit/>
        </w:trPr>
        <w:tc>
          <w:tcPr>
            <w:tcW w:w="1133" w:type="dxa"/>
            <w:vAlign w:val="center"/>
          </w:tcPr>
          <w:p w14:paraId="7E6D3E8D" w14:textId="0B0375A1" w:rsidR="0062656C" w:rsidRDefault="0062656C">
            <w:pPr>
              <w:spacing w:before="60" w:after="60"/>
              <w:jc w:val="center"/>
            </w:pPr>
            <w:r>
              <w:t>23</w:t>
            </w:r>
          </w:p>
        </w:tc>
        <w:tc>
          <w:tcPr>
            <w:tcW w:w="1287" w:type="dxa"/>
            <w:vAlign w:val="center"/>
          </w:tcPr>
          <w:p w14:paraId="40059717" w14:textId="77777777" w:rsidR="0062656C" w:rsidRDefault="0062656C">
            <w:pPr>
              <w:spacing w:before="60" w:after="60"/>
              <w:jc w:val="center"/>
            </w:pPr>
            <w:r>
              <w:t>A</w:t>
            </w:r>
          </w:p>
        </w:tc>
        <w:tc>
          <w:tcPr>
            <w:tcW w:w="3142" w:type="dxa"/>
            <w:vAlign w:val="center"/>
          </w:tcPr>
          <w:p w14:paraId="31822E8A" w14:textId="77777777" w:rsidR="0062656C" w:rsidRDefault="0062656C">
            <w:pPr>
              <w:spacing w:before="60" w:after="60"/>
            </w:pPr>
            <w:r w:rsidRPr="001D4533">
              <w:rPr>
                <w:b/>
                <w:bCs/>
              </w:rPr>
              <w:t>Stand-alone Project</w:t>
            </w:r>
            <w:r>
              <w:t>:</w:t>
            </w:r>
            <w:r>
              <w:br/>
              <w:t>I-15: Murrieta to Hesperia</w:t>
            </w:r>
          </w:p>
        </w:tc>
        <w:tc>
          <w:tcPr>
            <w:tcW w:w="1248" w:type="dxa"/>
            <w:vAlign w:val="center"/>
          </w:tcPr>
          <w:p w14:paraId="6A402E29" w14:textId="77777777" w:rsidR="0062656C" w:rsidRDefault="0062656C">
            <w:pPr>
              <w:spacing w:before="60" w:after="60"/>
              <w:jc w:val="center"/>
            </w:pPr>
            <w:r>
              <w:t>1</w:t>
            </w:r>
          </w:p>
        </w:tc>
        <w:tc>
          <w:tcPr>
            <w:tcW w:w="1015" w:type="dxa"/>
            <w:vAlign w:val="center"/>
          </w:tcPr>
          <w:p w14:paraId="3B37C66B" w14:textId="77777777" w:rsidR="0062656C" w:rsidRDefault="0062656C">
            <w:pPr>
              <w:spacing w:before="60" w:after="60"/>
              <w:jc w:val="center"/>
            </w:pPr>
            <w:r>
              <w:t>4</w:t>
            </w:r>
          </w:p>
        </w:tc>
        <w:tc>
          <w:tcPr>
            <w:tcW w:w="5093" w:type="dxa"/>
            <w:vAlign w:val="center"/>
          </w:tcPr>
          <w:p w14:paraId="65C3C372" w14:textId="77777777" w:rsidR="0062656C" w:rsidRDefault="0062656C" w:rsidP="00164AC5">
            <w:pPr>
              <w:pStyle w:val="ListParagraph"/>
              <w:numPr>
                <w:ilvl w:val="0"/>
                <w:numId w:val="62"/>
              </w:numPr>
              <w:spacing w:before="60" w:after="60"/>
              <w:ind w:left="310" w:hanging="310"/>
              <w:contextualSpacing/>
            </w:pPr>
            <w:r>
              <w:t>One station along I-15 between the I-15/SR 91 junction (Corona) and I-15/I-10 junction (Ontario).</w:t>
            </w:r>
          </w:p>
        </w:tc>
        <w:tc>
          <w:tcPr>
            <w:tcW w:w="1207" w:type="dxa"/>
            <w:vAlign w:val="center"/>
          </w:tcPr>
          <w:p w14:paraId="222DDEAF" w14:textId="77777777" w:rsidR="0062656C" w:rsidRDefault="0062656C">
            <w:pPr>
              <w:spacing w:before="60" w:after="60"/>
              <w:jc w:val="center"/>
            </w:pPr>
            <w:r>
              <w:t>50%</w:t>
            </w:r>
          </w:p>
        </w:tc>
      </w:tr>
    </w:tbl>
    <w:p w14:paraId="3D0CC2F5" w14:textId="77777777" w:rsidR="0062656C" w:rsidRDefault="0062656C" w:rsidP="00E54846">
      <w:pPr>
        <w:rPr>
          <w:szCs w:val="24"/>
        </w:rPr>
      </w:pPr>
    </w:p>
    <w:p w14:paraId="40FA0D67" w14:textId="0A0AC9F3" w:rsidR="00400213" w:rsidRPr="00400213" w:rsidRDefault="00400213" w:rsidP="00C901C3">
      <w:r>
        <w:t xml:space="preserve">*Corridor segment includes a greater number of EV charging stations needed </w:t>
      </w:r>
      <w:r w:rsidR="007E5174">
        <w:t xml:space="preserve">than CEC </w:t>
      </w:r>
      <w:r w:rsidR="00C76BD8">
        <w:t xml:space="preserve">presented </w:t>
      </w:r>
      <w:r w:rsidR="007E5174">
        <w:t>previously</w:t>
      </w:r>
      <w:r w:rsidR="00057209">
        <w:t xml:space="preserve"> </w:t>
      </w:r>
      <w:r w:rsidR="00500B18">
        <w:t xml:space="preserve">at the </w:t>
      </w:r>
      <w:r w:rsidR="00E15FFD">
        <w:t>Pre-S</w:t>
      </w:r>
      <w:r w:rsidR="00500B18">
        <w:t xml:space="preserve">olicitation </w:t>
      </w:r>
      <w:r w:rsidR="00DC207D">
        <w:t>W</w:t>
      </w:r>
      <w:r w:rsidR="00500B18">
        <w:t>orkshop</w:t>
      </w:r>
      <w:r w:rsidR="00E15FFD">
        <w:t xml:space="preserve"> held on March 1</w:t>
      </w:r>
      <w:r w:rsidR="00A70A31">
        <w:t>2</w:t>
      </w:r>
      <w:r w:rsidR="00E15FFD">
        <w:t>, 2024</w:t>
      </w:r>
      <w:r w:rsidR="00133560">
        <w:t>,</w:t>
      </w:r>
      <w:r w:rsidR="00500B18">
        <w:t xml:space="preserve"> </w:t>
      </w:r>
      <w:r>
        <w:t>due to the removal of assumptions that existing stations are NEVI</w:t>
      </w:r>
      <w:r w:rsidR="00C00D87">
        <w:t xml:space="preserve"> </w:t>
      </w:r>
      <w:r>
        <w:t xml:space="preserve">compliant. For these corridor segments in particular, upgrading existing </w:t>
      </w:r>
      <w:r w:rsidR="6B72B2A6">
        <w:t xml:space="preserve">stations </w:t>
      </w:r>
      <w:r w:rsidR="00931DFE">
        <w:t xml:space="preserve">will be </w:t>
      </w:r>
      <w:r>
        <w:t xml:space="preserve">preferred </w:t>
      </w:r>
      <w:r w:rsidR="00931DFE">
        <w:t xml:space="preserve">during evaluation </w:t>
      </w:r>
      <w:r>
        <w:t xml:space="preserve">because there are existing stations in eligible locations along the corridor. </w:t>
      </w:r>
      <w:r w:rsidR="00296C7A">
        <w:t>In upgrading a station, it will</w:t>
      </w:r>
      <w:r w:rsidR="00C93699">
        <w:t xml:space="preserve"> need to </w:t>
      </w:r>
      <w:r w:rsidR="00296C7A">
        <w:t xml:space="preserve">become NEVI-compliant, meaning it </w:t>
      </w:r>
      <w:r w:rsidR="00C93699">
        <w:t>meet</w:t>
      </w:r>
      <w:r w:rsidR="00296C7A">
        <w:t>s</w:t>
      </w:r>
      <w:r w:rsidR="00C93699">
        <w:t xml:space="preserve"> all Title 23 Code of Federal Regulations (CFR) section 680 requirements </w:t>
      </w:r>
      <w:r w:rsidR="007C7706">
        <w:t xml:space="preserve">as </w:t>
      </w:r>
      <w:r w:rsidR="00C84D63">
        <w:t>explained</w:t>
      </w:r>
      <w:r w:rsidR="00C901C3">
        <w:t xml:space="preserve"> in the document “</w:t>
      </w:r>
      <w:hyperlink r:id="rId61">
        <w:r w:rsidR="00C901C3" w:rsidRPr="3D2B07F6">
          <w:rPr>
            <w:rStyle w:val="Hyperlink"/>
          </w:rPr>
          <w:t>NEVI 23 CFR 680 Requirements</w:t>
        </w:r>
        <w:r w:rsidR="00366F83" w:rsidRPr="3D2B07F6">
          <w:rPr>
            <w:rStyle w:val="Hyperlink"/>
          </w:rPr>
          <w:t xml:space="preserve"> </w:t>
        </w:r>
        <w:r w:rsidR="00C901C3" w:rsidRPr="3D2B07F6">
          <w:rPr>
            <w:rStyle w:val="Hyperlink"/>
          </w:rPr>
          <w:t>Applicable to Fully Built Out Creditable Stations</w:t>
        </w:r>
      </w:hyperlink>
      <w:r w:rsidR="00AB2DCB">
        <w:t>,</w:t>
      </w:r>
      <w:r w:rsidR="00C901C3">
        <w:t>”</w:t>
      </w:r>
      <w:r w:rsidR="00AB2DCB">
        <w:t xml:space="preserve"> located on the Drive Electric website at </w:t>
      </w:r>
      <w:r w:rsidR="00BE42DB" w:rsidRPr="00310C7B">
        <w:t>https://driveelectric.gov/files/fbo-creditability.pdf</w:t>
      </w:r>
      <w:r w:rsidR="009545C3">
        <w:t>.</w:t>
      </w:r>
      <w:r w:rsidR="00BE42DB">
        <w:t xml:space="preserve"> </w:t>
      </w:r>
      <w:r w:rsidR="007813ED">
        <w:t xml:space="preserve">Existing chargers that meet the NEVI requirements can be used towards the </w:t>
      </w:r>
      <w:r w:rsidR="007813ED">
        <w:lastRenderedPageBreak/>
        <w:t xml:space="preserve">minimum number of new CCS charging ports required. If existing chargers do not meet the NEVI requirements, </w:t>
      </w:r>
      <w:r w:rsidR="004B3061">
        <w:t xml:space="preserve">eligible expenses may include hardware and/or software upgrades </w:t>
      </w:r>
      <w:r w:rsidR="00157A6C">
        <w:t xml:space="preserve">to those chargers, </w:t>
      </w:r>
      <w:r w:rsidR="00245530">
        <w:t>or charger replacement</w:t>
      </w:r>
      <w:r w:rsidR="00157A6C">
        <w:t>,</w:t>
      </w:r>
      <w:r w:rsidR="00245530">
        <w:t xml:space="preserve"> </w:t>
      </w:r>
      <w:r w:rsidR="004B3061">
        <w:t xml:space="preserve">to </w:t>
      </w:r>
      <w:r w:rsidR="00245530">
        <w:t>reach compliance.</w:t>
      </w:r>
    </w:p>
    <w:p w14:paraId="53E10CBF" w14:textId="77777777" w:rsidR="00400213" w:rsidRPr="00400213" w:rsidRDefault="00400213" w:rsidP="00400213">
      <w:pPr>
        <w:rPr>
          <w:szCs w:val="24"/>
        </w:rPr>
      </w:pPr>
    </w:p>
    <w:p w14:paraId="7BB2DD8A" w14:textId="66DEB6C5" w:rsidR="00400213" w:rsidRPr="00400213" w:rsidRDefault="00400213" w:rsidP="00400213">
      <w:pPr>
        <w:rPr>
          <w:szCs w:val="24"/>
        </w:rPr>
      </w:pPr>
      <w:r w:rsidRPr="00400213">
        <w:rPr>
          <w:szCs w:val="24"/>
        </w:rPr>
        <w:t xml:space="preserve">**Corridor segment modified </w:t>
      </w:r>
      <w:r w:rsidR="00133560">
        <w:rPr>
          <w:szCs w:val="24"/>
        </w:rPr>
        <w:t>from th</w:t>
      </w:r>
      <w:r w:rsidR="00245D82">
        <w:rPr>
          <w:szCs w:val="24"/>
        </w:rPr>
        <w:t xml:space="preserve">ose presented at the Pre-Solicitation Workshop on March 12, 2024, </w:t>
      </w:r>
      <w:r w:rsidRPr="00400213">
        <w:rPr>
          <w:szCs w:val="24"/>
        </w:rPr>
        <w:t xml:space="preserve">to include a previously ineligible section. For these corridor segments in particular, upgrading existing stations </w:t>
      </w:r>
      <w:r w:rsidR="0042617B">
        <w:rPr>
          <w:szCs w:val="24"/>
        </w:rPr>
        <w:t>will be</w:t>
      </w:r>
      <w:r w:rsidR="0042617B" w:rsidRPr="00400213">
        <w:rPr>
          <w:szCs w:val="24"/>
        </w:rPr>
        <w:t xml:space="preserve"> </w:t>
      </w:r>
      <w:r w:rsidRPr="00400213">
        <w:rPr>
          <w:szCs w:val="24"/>
        </w:rPr>
        <w:t xml:space="preserve">preferred </w:t>
      </w:r>
      <w:r w:rsidR="0042617B">
        <w:rPr>
          <w:szCs w:val="24"/>
        </w:rPr>
        <w:t xml:space="preserve">during evaluation </w:t>
      </w:r>
      <w:r w:rsidRPr="00400213">
        <w:rPr>
          <w:szCs w:val="24"/>
        </w:rPr>
        <w:t xml:space="preserve">because there are existing stations in eligible locations along the corridor. </w:t>
      </w:r>
    </w:p>
    <w:p w14:paraId="17E9F564" w14:textId="77777777" w:rsidR="00400213" w:rsidRPr="00400213" w:rsidRDefault="00400213" w:rsidP="00400213">
      <w:pPr>
        <w:rPr>
          <w:szCs w:val="24"/>
        </w:rPr>
      </w:pPr>
    </w:p>
    <w:p w14:paraId="53EEB588" w14:textId="7FABBEF1" w:rsidR="00400213" w:rsidRDefault="00400213" w:rsidP="00400213">
      <w:pPr>
        <w:rPr>
          <w:szCs w:val="24"/>
        </w:rPr>
      </w:pPr>
      <w:r w:rsidRPr="00400213">
        <w:rPr>
          <w:szCs w:val="24"/>
        </w:rPr>
        <w:t xml:space="preserve">***New corridor group to </w:t>
      </w:r>
      <w:r w:rsidR="00367FEE">
        <w:rPr>
          <w:szCs w:val="24"/>
        </w:rPr>
        <w:t>the list presented at the Pre-Solicitation Workshop on March 12, 2024</w:t>
      </w:r>
      <w:r w:rsidR="00BF44D1">
        <w:rPr>
          <w:szCs w:val="24"/>
        </w:rPr>
        <w:t xml:space="preserve">. It </w:t>
      </w:r>
      <w:r w:rsidR="00E55F1D">
        <w:rPr>
          <w:szCs w:val="24"/>
        </w:rPr>
        <w:t xml:space="preserve">was added to </w:t>
      </w:r>
      <w:r w:rsidRPr="00400213">
        <w:rPr>
          <w:szCs w:val="24"/>
        </w:rPr>
        <w:t>include a previously ineligible section.</w:t>
      </w:r>
    </w:p>
    <w:p w14:paraId="0082E0FE" w14:textId="77777777" w:rsidR="00746F0D" w:rsidRDefault="00746F0D" w:rsidP="00400213">
      <w:pPr>
        <w:rPr>
          <w:szCs w:val="24"/>
        </w:rPr>
      </w:pPr>
    </w:p>
    <w:p w14:paraId="032C955A" w14:textId="4653241A" w:rsidR="00022635" w:rsidRDefault="00022635" w:rsidP="00400213">
      <w:pPr>
        <w:rPr>
          <w:szCs w:val="24"/>
        </w:rPr>
      </w:pPr>
      <w:r w:rsidRPr="00746F0D">
        <w:rPr>
          <w:szCs w:val="24"/>
          <w:vertAlign w:val="superscript"/>
        </w:rPr>
        <w:t>+</w:t>
      </w:r>
      <w:r w:rsidR="00CF7EF1">
        <w:rPr>
          <w:szCs w:val="24"/>
        </w:rPr>
        <w:t xml:space="preserve">A route </w:t>
      </w:r>
      <w:r w:rsidR="00C376A8">
        <w:rPr>
          <w:szCs w:val="24"/>
        </w:rPr>
        <w:t xml:space="preserve">segment </w:t>
      </w:r>
      <w:r w:rsidR="00CF7EF1">
        <w:rPr>
          <w:szCs w:val="24"/>
        </w:rPr>
        <w:t>within the corridor segment is listed as optional for</w:t>
      </w:r>
      <w:r w:rsidR="00CB520A">
        <w:rPr>
          <w:szCs w:val="24"/>
        </w:rPr>
        <w:t xml:space="preserve"> EV charging</w:t>
      </w:r>
      <w:r w:rsidR="00CF7EF1">
        <w:rPr>
          <w:szCs w:val="24"/>
        </w:rPr>
        <w:t xml:space="preserve"> </w:t>
      </w:r>
      <w:r w:rsidR="00B800EE">
        <w:rPr>
          <w:szCs w:val="24"/>
        </w:rPr>
        <w:t xml:space="preserve">station </w:t>
      </w:r>
      <w:r w:rsidR="00CF7EF1">
        <w:rPr>
          <w:szCs w:val="24"/>
        </w:rPr>
        <w:t xml:space="preserve">siting because </w:t>
      </w:r>
      <w:r w:rsidR="00C376A8">
        <w:rPr>
          <w:szCs w:val="24"/>
        </w:rPr>
        <w:t xml:space="preserve">it is possible to </w:t>
      </w:r>
      <w:r w:rsidR="009F6054">
        <w:rPr>
          <w:szCs w:val="24"/>
        </w:rPr>
        <w:t>build out the corridor segment (</w:t>
      </w:r>
      <w:r w:rsidR="00CC0235">
        <w:rPr>
          <w:szCs w:val="24"/>
        </w:rPr>
        <w:t xml:space="preserve">i.e., </w:t>
      </w:r>
      <w:r w:rsidR="003F157A">
        <w:rPr>
          <w:szCs w:val="24"/>
        </w:rPr>
        <w:t xml:space="preserve">to have a </w:t>
      </w:r>
      <w:r w:rsidR="00C376A8">
        <w:rPr>
          <w:szCs w:val="24"/>
        </w:rPr>
        <w:t xml:space="preserve">station </w:t>
      </w:r>
      <w:r w:rsidR="00791D47">
        <w:rPr>
          <w:szCs w:val="24"/>
        </w:rPr>
        <w:t xml:space="preserve">at least every </w:t>
      </w:r>
      <w:r w:rsidR="00C376A8">
        <w:rPr>
          <w:szCs w:val="24"/>
        </w:rPr>
        <w:t>50 miles</w:t>
      </w:r>
      <w:r w:rsidR="003F157A">
        <w:rPr>
          <w:szCs w:val="24"/>
        </w:rPr>
        <w:t>)</w:t>
      </w:r>
      <w:r w:rsidR="00C376A8">
        <w:rPr>
          <w:szCs w:val="24"/>
        </w:rPr>
        <w:t xml:space="preserve"> without locati</w:t>
      </w:r>
      <w:r w:rsidR="00B2667D">
        <w:rPr>
          <w:szCs w:val="24"/>
        </w:rPr>
        <w:t>ng</w:t>
      </w:r>
      <w:r w:rsidR="00C376A8">
        <w:rPr>
          <w:szCs w:val="24"/>
        </w:rPr>
        <w:t xml:space="preserve"> a station </w:t>
      </w:r>
      <w:r w:rsidR="00CB520A">
        <w:rPr>
          <w:szCs w:val="24"/>
        </w:rPr>
        <w:t>along</w:t>
      </w:r>
      <w:r w:rsidR="00C376A8">
        <w:rPr>
          <w:szCs w:val="24"/>
        </w:rPr>
        <w:t xml:space="preserve"> that route segment.</w:t>
      </w:r>
    </w:p>
    <w:p w14:paraId="316CC756" w14:textId="77777777" w:rsidR="00C727A8" w:rsidRDefault="00C727A8" w:rsidP="00400213">
      <w:pPr>
        <w:rPr>
          <w:szCs w:val="24"/>
        </w:rPr>
      </w:pPr>
    </w:p>
    <w:p w14:paraId="65FE65B1" w14:textId="43564D21" w:rsidR="00C727A8" w:rsidRDefault="0092582B" w:rsidP="00400213">
      <w:pPr>
        <w:rPr>
          <w:szCs w:val="24"/>
        </w:rPr>
      </w:pPr>
      <w:r w:rsidRPr="00A16246">
        <w:rPr>
          <w:szCs w:val="24"/>
          <w:vertAlign w:val="superscript"/>
        </w:rPr>
        <w:t>++</w:t>
      </w:r>
      <w:r w:rsidR="00EC2E08">
        <w:rPr>
          <w:szCs w:val="24"/>
        </w:rPr>
        <w:t xml:space="preserve">There were 51 corridor segments listed in the </w:t>
      </w:r>
      <w:hyperlink r:id="rId62" w:history="1">
        <w:r w:rsidR="00EC2E08" w:rsidRPr="00945E09">
          <w:rPr>
            <w:rStyle w:val="Hyperlink"/>
            <w:szCs w:val="24"/>
          </w:rPr>
          <w:t>Revised Concepts and Schedule for the California National Electric Vehicle Infrastructure Formula Program – Solicitation #2</w:t>
        </w:r>
      </w:hyperlink>
      <w:r w:rsidR="00EC2E08">
        <w:rPr>
          <w:szCs w:val="24"/>
        </w:rPr>
        <w:t xml:space="preserve">, </w:t>
      </w:r>
      <w:r w:rsidR="00945E09">
        <w:rPr>
          <w:szCs w:val="24"/>
        </w:rPr>
        <w:t xml:space="preserve">released in September and </w:t>
      </w:r>
      <w:r w:rsidR="00EC2E08">
        <w:rPr>
          <w:szCs w:val="24"/>
        </w:rPr>
        <w:t>found at</w:t>
      </w:r>
      <w:r w:rsidR="00945E09" w:rsidRPr="00945E09">
        <w:t xml:space="preserve"> </w:t>
      </w:r>
      <w:r w:rsidR="009B6ED4" w:rsidRPr="009B6ED4">
        <w:rPr>
          <w:szCs w:val="24"/>
        </w:rPr>
        <w:t>https://efiling.energy.ca.gov/GetDocument.aspx?tn=259254&amp;DocumentContentId=95340</w:t>
      </w:r>
      <w:r w:rsidR="00945E09">
        <w:rPr>
          <w:szCs w:val="24"/>
        </w:rPr>
        <w:t xml:space="preserve">. </w:t>
      </w:r>
      <w:r w:rsidR="00AF43DA">
        <w:rPr>
          <w:szCs w:val="24"/>
        </w:rPr>
        <w:t>One additional corridor segment</w:t>
      </w:r>
      <w:r w:rsidR="00D562E3">
        <w:rPr>
          <w:szCs w:val="24"/>
        </w:rPr>
        <w:t xml:space="preserve"> has been added</w:t>
      </w:r>
      <w:r w:rsidR="00AF43DA">
        <w:rPr>
          <w:szCs w:val="24"/>
        </w:rPr>
        <w:t xml:space="preserve"> to now make </w:t>
      </w:r>
      <w:r w:rsidR="00D562E3">
        <w:rPr>
          <w:szCs w:val="24"/>
        </w:rPr>
        <w:t xml:space="preserve">a total of </w:t>
      </w:r>
      <w:r w:rsidR="00AF43DA">
        <w:rPr>
          <w:szCs w:val="24"/>
        </w:rPr>
        <w:t>52</w:t>
      </w:r>
      <w:r w:rsidR="00D562E3">
        <w:rPr>
          <w:szCs w:val="24"/>
        </w:rPr>
        <w:t xml:space="preserve"> corridor segments</w:t>
      </w:r>
      <w:r w:rsidR="00AF43DA">
        <w:rPr>
          <w:szCs w:val="24"/>
        </w:rPr>
        <w:t xml:space="preserve">. The added corridor segment is </w:t>
      </w:r>
      <w:r w:rsidR="00C00CCF">
        <w:rPr>
          <w:szCs w:val="24"/>
        </w:rPr>
        <w:t>5D on US 6</w:t>
      </w:r>
      <w:r w:rsidR="00AF43DA">
        <w:rPr>
          <w:szCs w:val="24"/>
        </w:rPr>
        <w:t xml:space="preserve">, a new AFC </w:t>
      </w:r>
      <w:r w:rsidR="00A16246">
        <w:rPr>
          <w:szCs w:val="24"/>
        </w:rPr>
        <w:t>approved in Round 8.</w:t>
      </w:r>
    </w:p>
    <w:p w14:paraId="2EC77C9B" w14:textId="77777777" w:rsidR="00A16246" w:rsidRDefault="00A16246" w:rsidP="00400213">
      <w:pPr>
        <w:rPr>
          <w:szCs w:val="24"/>
        </w:rPr>
      </w:pPr>
    </w:p>
    <w:p w14:paraId="1BD8C058" w14:textId="77777777" w:rsidR="0062656C" w:rsidRDefault="0062656C" w:rsidP="00E54846">
      <w:pPr>
        <w:rPr>
          <w:szCs w:val="24"/>
        </w:rPr>
        <w:sectPr w:rsidR="0062656C" w:rsidSect="0062656C">
          <w:footerReference w:type="default" r:id="rId63"/>
          <w:pgSz w:w="15840" w:h="12240" w:orient="landscape" w:code="1"/>
          <w:pgMar w:top="1440" w:right="979" w:bottom="1440" w:left="1260" w:header="720" w:footer="720" w:gutter="0"/>
          <w:cols w:space="720"/>
          <w:docGrid w:linePitch="326"/>
        </w:sectPr>
      </w:pPr>
    </w:p>
    <w:p w14:paraId="4A25F873" w14:textId="4252E36D" w:rsidR="6855C2BB" w:rsidRDefault="6855C2BB" w:rsidP="6855C2BB">
      <w:pPr>
        <w:ind w:left="720"/>
        <w:rPr>
          <w:szCs w:val="24"/>
        </w:rPr>
      </w:pPr>
    </w:p>
    <w:p w14:paraId="2D7AFEB1" w14:textId="4C85960C" w:rsidR="00651E4F" w:rsidRPr="00752BAE" w:rsidRDefault="00651E4F" w:rsidP="00164AC5">
      <w:pPr>
        <w:pStyle w:val="ListParagraph"/>
        <w:numPr>
          <w:ilvl w:val="0"/>
          <w:numId w:val="37"/>
        </w:numPr>
        <w:ind w:left="1440" w:hanging="720"/>
        <w:rPr>
          <w:rFonts w:eastAsia="Tahoma"/>
          <w:szCs w:val="24"/>
        </w:rPr>
      </w:pPr>
      <w:r w:rsidRPr="00752BAE">
        <w:rPr>
          <w:rFonts w:eastAsia="Tahoma"/>
          <w:b/>
          <w:bCs/>
          <w:szCs w:val="24"/>
        </w:rPr>
        <w:t>Compliance with Requirements Appl</w:t>
      </w:r>
      <w:r w:rsidR="00463BD3" w:rsidRPr="00752BAE">
        <w:rPr>
          <w:rFonts w:eastAsia="Tahoma"/>
          <w:b/>
          <w:bCs/>
          <w:szCs w:val="24"/>
        </w:rPr>
        <w:t>icable</w:t>
      </w:r>
      <w:r w:rsidRPr="00752BAE">
        <w:rPr>
          <w:rFonts w:eastAsia="Tahoma"/>
          <w:b/>
          <w:bCs/>
          <w:szCs w:val="24"/>
        </w:rPr>
        <w:t xml:space="preserve"> to NEVI Projects</w:t>
      </w:r>
    </w:p>
    <w:p w14:paraId="6289AAC9" w14:textId="58F5909B" w:rsidR="00651E4F" w:rsidRPr="00752BAE" w:rsidRDefault="00651E4F" w:rsidP="00651E4F">
      <w:pPr>
        <w:pStyle w:val="ListParagraph"/>
        <w:ind w:left="1440"/>
        <w:rPr>
          <w:rFonts w:eastAsia="Tahoma"/>
          <w:szCs w:val="24"/>
        </w:rPr>
      </w:pPr>
      <w:r w:rsidRPr="00752BAE">
        <w:rPr>
          <w:rFonts w:eastAsia="Tahoma"/>
          <w:szCs w:val="24"/>
        </w:rPr>
        <w:t xml:space="preserve">Project selection and grant administration shall be consistent with the Bipartisan Infrastructure Law, enacted as the Infrastructure Investment and Jobs Act (IIJA), (Pub. L. 117-58). The NEVI </w:t>
      </w:r>
      <w:r w:rsidR="009003CC">
        <w:rPr>
          <w:rFonts w:eastAsia="Tahoma"/>
          <w:szCs w:val="24"/>
        </w:rPr>
        <w:t>f</w:t>
      </w:r>
      <w:r w:rsidRPr="00752BAE">
        <w:rPr>
          <w:rFonts w:eastAsia="Tahoma"/>
          <w:szCs w:val="24"/>
        </w:rPr>
        <w:t xml:space="preserve">ormula </w:t>
      </w:r>
      <w:r w:rsidR="009003CC">
        <w:rPr>
          <w:rFonts w:eastAsia="Tahoma"/>
          <w:szCs w:val="24"/>
        </w:rPr>
        <w:t>p</w:t>
      </w:r>
      <w:r w:rsidRPr="00752BAE">
        <w:rPr>
          <w:rFonts w:eastAsia="Tahoma"/>
          <w:szCs w:val="24"/>
        </w:rPr>
        <w:t>rogram is authorized under Paragraph (2) under the Highway Infrastructure Program heading in title VIII of division J of the Bipartisan Infrastructure Law.</w:t>
      </w:r>
    </w:p>
    <w:p w14:paraId="5669BCBB" w14:textId="77777777" w:rsidR="00651E4F" w:rsidRPr="00752BAE" w:rsidRDefault="00651E4F" w:rsidP="00651E4F">
      <w:pPr>
        <w:pStyle w:val="ListParagraph"/>
        <w:ind w:left="1440"/>
        <w:rPr>
          <w:rFonts w:eastAsia="Tahoma"/>
          <w:szCs w:val="24"/>
        </w:rPr>
      </w:pPr>
    </w:p>
    <w:p w14:paraId="602BF4BC" w14:textId="48C86917" w:rsidR="00BB6560" w:rsidRPr="00752BAE" w:rsidRDefault="00651E4F" w:rsidP="00651E4F">
      <w:pPr>
        <w:pStyle w:val="ListParagraph"/>
        <w:ind w:left="1440"/>
        <w:rPr>
          <w:rFonts w:eastAsia="Tahoma"/>
        </w:rPr>
      </w:pPr>
      <w:r w:rsidRPr="50340379">
        <w:rPr>
          <w:rFonts w:eastAsia="Tahoma"/>
        </w:rPr>
        <w:t xml:space="preserve">Applicants should take note that there are special requirements associated with </w:t>
      </w:r>
      <w:r w:rsidR="00332F60" w:rsidRPr="50340379">
        <w:rPr>
          <w:rFonts w:eastAsia="Tahoma"/>
        </w:rPr>
        <w:t xml:space="preserve">the </w:t>
      </w:r>
      <w:r w:rsidRPr="50340379">
        <w:rPr>
          <w:rFonts w:eastAsia="Tahoma"/>
        </w:rPr>
        <w:t xml:space="preserve">federal NEVI </w:t>
      </w:r>
      <w:r w:rsidR="004B658F" w:rsidRPr="50340379">
        <w:rPr>
          <w:rFonts w:eastAsia="Tahoma"/>
        </w:rPr>
        <w:t>formula program</w:t>
      </w:r>
      <w:r w:rsidRPr="50340379">
        <w:rPr>
          <w:rFonts w:eastAsia="Tahoma"/>
        </w:rPr>
        <w:t xml:space="preserve">, which will apply to projects awarded under this grant. </w:t>
      </w:r>
      <w:r w:rsidR="0066221F">
        <w:rPr>
          <w:rFonts w:eastAsia="Tahoma"/>
        </w:rPr>
        <w:t xml:space="preserve">The CEC will use state funds, likely </w:t>
      </w:r>
      <w:proofErr w:type="gramStart"/>
      <w:r w:rsidR="0066221F">
        <w:rPr>
          <w:rFonts w:eastAsia="Tahoma"/>
        </w:rPr>
        <w:t>from the Clean Transportation Program,</w:t>
      </w:r>
      <w:proofErr w:type="gramEnd"/>
      <w:r w:rsidR="0066221F">
        <w:rPr>
          <w:rFonts w:eastAsia="Tahoma"/>
        </w:rPr>
        <w:t xml:space="preserve"> to fund NEVI projects </w:t>
      </w:r>
      <w:r w:rsidR="003A2977">
        <w:rPr>
          <w:rFonts w:eastAsia="Tahoma"/>
        </w:rPr>
        <w:t xml:space="preserve">and will </w:t>
      </w:r>
      <w:r w:rsidR="00283F87">
        <w:rPr>
          <w:rFonts w:eastAsia="Tahoma"/>
        </w:rPr>
        <w:t>receive federal funds as reimbursement</w:t>
      </w:r>
      <w:r w:rsidR="003A2977">
        <w:rPr>
          <w:rFonts w:eastAsia="Tahoma"/>
        </w:rPr>
        <w:t>.</w:t>
      </w:r>
      <w:r w:rsidR="00283F87">
        <w:rPr>
          <w:rFonts w:eastAsia="Tahoma"/>
        </w:rPr>
        <w:t xml:space="preserve"> Therefore,</w:t>
      </w:r>
      <w:r w:rsidR="00CE7EB0">
        <w:rPr>
          <w:rFonts w:eastAsia="Tahoma"/>
        </w:rPr>
        <w:t xml:space="preserve"> both Clean Transportation Program and</w:t>
      </w:r>
      <w:r w:rsidR="00283F87">
        <w:rPr>
          <w:rFonts w:eastAsia="Tahoma"/>
        </w:rPr>
        <w:t xml:space="preserve"> federal </w:t>
      </w:r>
      <w:r w:rsidR="00C14A93">
        <w:rPr>
          <w:rFonts w:eastAsia="Tahoma"/>
        </w:rPr>
        <w:t xml:space="preserve">NEVI formula program </w:t>
      </w:r>
      <w:r w:rsidR="00283F87">
        <w:rPr>
          <w:rFonts w:eastAsia="Tahoma"/>
        </w:rPr>
        <w:t xml:space="preserve">requirements </w:t>
      </w:r>
      <w:r w:rsidR="00C14A93">
        <w:rPr>
          <w:rFonts w:eastAsia="Tahoma"/>
        </w:rPr>
        <w:t>will apply to grants resulting from this solicitation.</w:t>
      </w:r>
      <w:r w:rsidR="003A2977">
        <w:rPr>
          <w:rFonts w:eastAsia="Tahoma"/>
        </w:rPr>
        <w:t xml:space="preserve"> </w:t>
      </w:r>
      <w:r w:rsidRPr="50340379">
        <w:rPr>
          <w:rFonts w:eastAsia="Tahoma"/>
        </w:rPr>
        <w:t>The</w:t>
      </w:r>
      <w:r w:rsidR="00C14A93">
        <w:rPr>
          <w:rFonts w:eastAsia="Tahoma"/>
        </w:rPr>
        <w:t xml:space="preserve"> federal</w:t>
      </w:r>
      <w:r w:rsidRPr="50340379">
        <w:rPr>
          <w:rFonts w:eastAsia="Tahoma"/>
        </w:rPr>
        <w:t xml:space="preserve"> requirements are </w:t>
      </w:r>
      <w:r w:rsidR="00896D96" w:rsidRPr="50340379">
        <w:rPr>
          <w:rFonts w:eastAsia="Tahoma"/>
        </w:rPr>
        <w:t>described</w:t>
      </w:r>
      <w:r w:rsidRPr="50340379">
        <w:rPr>
          <w:rFonts w:eastAsia="Tahoma"/>
        </w:rPr>
        <w:t xml:space="preserve"> in detail in the terms and conditions </w:t>
      </w:r>
      <w:r w:rsidR="00896D96" w:rsidRPr="50340379">
        <w:rPr>
          <w:rFonts w:eastAsia="Tahoma"/>
        </w:rPr>
        <w:t xml:space="preserve">that </w:t>
      </w:r>
      <w:r w:rsidRPr="50340379">
        <w:rPr>
          <w:rFonts w:eastAsia="Tahoma"/>
        </w:rPr>
        <w:t xml:space="preserve">will be required for grants awarded under this </w:t>
      </w:r>
      <w:r w:rsidR="00E35FCC" w:rsidRPr="50340379">
        <w:rPr>
          <w:rFonts w:eastAsia="Tahoma"/>
        </w:rPr>
        <w:t>solicitation</w:t>
      </w:r>
      <w:r w:rsidRPr="50340379">
        <w:rPr>
          <w:rFonts w:eastAsia="Tahoma"/>
        </w:rPr>
        <w:t xml:space="preserve">, which are referenced in Section II.A.2. Without limitation to those terms or any other provision of this solicitation or resultant grant agreements, </w:t>
      </w:r>
      <w:r w:rsidR="000D6987" w:rsidRPr="50340379">
        <w:rPr>
          <w:rFonts w:eastAsia="Tahoma"/>
        </w:rPr>
        <w:t>A</w:t>
      </w:r>
      <w:r w:rsidRPr="50340379">
        <w:rPr>
          <w:rFonts w:eastAsia="Tahoma"/>
        </w:rPr>
        <w:t>pplicants should in particular note that all work must comply with the Build America Buy America Act</w:t>
      </w:r>
      <w:r w:rsidR="00625E3A" w:rsidRPr="50340379">
        <w:rPr>
          <w:rFonts w:eastAsia="Tahoma"/>
        </w:rPr>
        <w:t xml:space="preserve"> enacted as part of the IIJA</w:t>
      </w:r>
      <w:r w:rsidRPr="50340379">
        <w:rPr>
          <w:rFonts w:eastAsia="Tahoma"/>
        </w:rPr>
        <w:t xml:space="preserve">, Davis Bacon Act, National Environmental Policy Act, Americans with Disabilities Act of 1990, Title VI of the Civil Rights Act of 1964, all applicable requirements of Title VIII of the Civil Rights Act of 1968, the Uniform Relocation Assistance and Real Property Acquisition Act </w:t>
      </w:r>
      <w:r w:rsidR="0073512E" w:rsidRPr="50340379">
        <w:rPr>
          <w:rFonts w:eastAsia="Tahoma"/>
        </w:rPr>
        <w:t>[</w:t>
      </w:r>
      <w:r w:rsidRPr="50340379">
        <w:rPr>
          <w:rFonts w:eastAsia="Tahoma"/>
        </w:rPr>
        <w:t>49 C</w:t>
      </w:r>
      <w:r w:rsidR="0073512E" w:rsidRPr="50340379">
        <w:rPr>
          <w:rFonts w:eastAsia="Tahoma"/>
        </w:rPr>
        <w:t>ode of Federal Regulations (C</w:t>
      </w:r>
      <w:r w:rsidRPr="50340379">
        <w:rPr>
          <w:rFonts w:eastAsia="Tahoma"/>
        </w:rPr>
        <w:t>FR</w:t>
      </w:r>
      <w:r w:rsidR="0073512E" w:rsidRPr="50340379">
        <w:rPr>
          <w:rFonts w:eastAsia="Tahoma"/>
        </w:rPr>
        <w:t>)</w:t>
      </w:r>
      <w:r w:rsidRPr="50340379">
        <w:rPr>
          <w:rFonts w:eastAsia="Tahoma"/>
        </w:rPr>
        <w:t xml:space="preserve"> 24 et seq.</w:t>
      </w:r>
      <w:r w:rsidR="0073512E" w:rsidRPr="50340379">
        <w:rPr>
          <w:rFonts w:eastAsia="Tahoma"/>
        </w:rPr>
        <w:t>]</w:t>
      </w:r>
      <w:r w:rsidRPr="50340379">
        <w:rPr>
          <w:rFonts w:eastAsia="Tahoma"/>
        </w:rPr>
        <w:t xml:space="preserve">, and the requirements of the federal NEVI Program, including the requirements of </w:t>
      </w:r>
      <w:r w:rsidR="00C129BB" w:rsidRPr="50340379">
        <w:rPr>
          <w:rFonts w:eastAsia="Tahoma"/>
        </w:rPr>
        <w:t>US Code (</w:t>
      </w:r>
      <w:r w:rsidRPr="50340379">
        <w:rPr>
          <w:rFonts w:eastAsia="Tahoma"/>
        </w:rPr>
        <w:t>USC</w:t>
      </w:r>
      <w:r w:rsidR="00C129BB" w:rsidRPr="50340379">
        <w:rPr>
          <w:rFonts w:eastAsia="Tahoma"/>
        </w:rPr>
        <w:t>)</w:t>
      </w:r>
      <w:r w:rsidRPr="50340379">
        <w:rPr>
          <w:rFonts w:eastAsia="Tahoma"/>
        </w:rPr>
        <w:t xml:space="preserve"> Title 23, Chapter 1; and 2 CFR part 200; and 23 CFR parts 35 and 36; </w:t>
      </w:r>
      <w:r w:rsidRPr="50340379">
        <w:rPr>
          <w:rFonts w:eastAsia="Tahoma"/>
          <w:color w:val="000000" w:themeColor="text1"/>
        </w:rPr>
        <w:t>and any promulgated regulations for the federal NEVI Program, and California’s NEVI Deployment Plan, as amended from time to time</w:t>
      </w:r>
      <w:r w:rsidRPr="50340379">
        <w:rPr>
          <w:rFonts w:eastAsia="Tahoma"/>
        </w:rPr>
        <w:t>.</w:t>
      </w:r>
    </w:p>
    <w:p w14:paraId="14105508" w14:textId="77777777" w:rsidR="00BB6560" w:rsidRPr="00752BAE" w:rsidRDefault="00BB6560" w:rsidP="00651E4F">
      <w:pPr>
        <w:pStyle w:val="ListParagraph"/>
        <w:ind w:left="1440"/>
        <w:rPr>
          <w:rFonts w:eastAsia="Tahoma"/>
          <w:szCs w:val="24"/>
        </w:rPr>
      </w:pPr>
    </w:p>
    <w:p w14:paraId="317A385D" w14:textId="3A08CAB7" w:rsidR="00651E4F" w:rsidRPr="00752BAE" w:rsidRDefault="00CD53E0" w:rsidP="00651E4F">
      <w:pPr>
        <w:pStyle w:val="ListParagraph"/>
        <w:ind w:left="1440"/>
        <w:rPr>
          <w:rFonts w:eastAsia="Tahoma"/>
          <w:szCs w:val="24"/>
        </w:rPr>
      </w:pPr>
      <w:r w:rsidRPr="00752BAE">
        <w:rPr>
          <w:rFonts w:eastAsia="Tahoma"/>
          <w:szCs w:val="24"/>
        </w:rPr>
        <w:t>The Federal Uniform Act must be followed on all federal-aid, local assistance projects</w:t>
      </w:r>
      <w:r w:rsidR="00E74D3F" w:rsidRPr="00752BAE">
        <w:rPr>
          <w:rFonts w:eastAsia="Tahoma"/>
          <w:szCs w:val="24"/>
        </w:rPr>
        <w:t>, which is how all projects resulting from this solicitation will be categorized</w:t>
      </w:r>
      <w:r w:rsidRPr="00752BAE">
        <w:rPr>
          <w:rFonts w:eastAsia="Tahoma"/>
          <w:szCs w:val="24"/>
        </w:rPr>
        <w:t xml:space="preserve">. This </w:t>
      </w:r>
      <w:r w:rsidR="00BB6560" w:rsidRPr="00752BAE">
        <w:rPr>
          <w:rFonts w:eastAsia="Tahoma"/>
          <w:szCs w:val="24"/>
        </w:rPr>
        <w:t xml:space="preserve">Act </w:t>
      </w:r>
      <w:r w:rsidRPr="00752BAE">
        <w:rPr>
          <w:rFonts w:eastAsia="Tahoma"/>
          <w:szCs w:val="24"/>
        </w:rPr>
        <w:t>applies if federal funds are used in any phase of a project</w:t>
      </w:r>
      <w:r w:rsidR="00FB2AD7" w:rsidRPr="00752BAE">
        <w:rPr>
          <w:rFonts w:eastAsia="Tahoma"/>
          <w:szCs w:val="24"/>
        </w:rPr>
        <w:t>.</w:t>
      </w:r>
    </w:p>
    <w:p w14:paraId="38D106E0" w14:textId="77777777" w:rsidR="00651E4F" w:rsidRPr="00752BAE" w:rsidRDefault="00651E4F" w:rsidP="00651E4F">
      <w:pPr>
        <w:pStyle w:val="ListParagraph"/>
        <w:ind w:left="1440"/>
        <w:rPr>
          <w:rFonts w:eastAsia="Tahoma"/>
          <w:szCs w:val="24"/>
        </w:rPr>
      </w:pPr>
    </w:p>
    <w:p w14:paraId="460196F7" w14:textId="77777777" w:rsidR="00651E4F" w:rsidRPr="00752BAE" w:rsidRDefault="00651E4F" w:rsidP="00164AC5">
      <w:pPr>
        <w:pStyle w:val="ListParagraph"/>
        <w:numPr>
          <w:ilvl w:val="0"/>
          <w:numId w:val="37"/>
        </w:numPr>
        <w:ind w:left="1440" w:hanging="720"/>
        <w:rPr>
          <w:szCs w:val="24"/>
        </w:rPr>
      </w:pPr>
      <w:r w:rsidRPr="00752BAE">
        <w:rPr>
          <w:b/>
          <w:szCs w:val="24"/>
        </w:rPr>
        <w:t>Project Location</w:t>
      </w:r>
    </w:p>
    <w:p w14:paraId="46096888" w14:textId="31D466F4" w:rsidR="00651E4F" w:rsidRPr="00752BAE" w:rsidRDefault="00651E4F" w:rsidP="00246D50">
      <w:pPr>
        <w:pStyle w:val="ListParagraph"/>
        <w:numPr>
          <w:ilvl w:val="0"/>
          <w:numId w:val="38"/>
        </w:numPr>
        <w:spacing w:after="120"/>
        <w:ind w:left="2160" w:hanging="720"/>
        <w:rPr>
          <w:szCs w:val="24"/>
        </w:rPr>
      </w:pPr>
      <w:r w:rsidRPr="00752BAE">
        <w:rPr>
          <w:szCs w:val="24"/>
        </w:rPr>
        <w:t xml:space="preserve">All proposed </w:t>
      </w:r>
      <w:r w:rsidR="00F16D5C" w:rsidRPr="00752BAE">
        <w:rPr>
          <w:szCs w:val="24"/>
        </w:rPr>
        <w:t xml:space="preserve">EV </w:t>
      </w:r>
      <w:r w:rsidRPr="00752BAE">
        <w:rPr>
          <w:szCs w:val="24"/>
        </w:rPr>
        <w:t xml:space="preserve">charging stations must be within California, along </w:t>
      </w:r>
      <w:r w:rsidR="004E0C12" w:rsidRPr="00752BAE">
        <w:rPr>
          <w:szCs w:val="24"/>
        </w:rPr>
        <w:t xml:space="preserve">the corridor segment </w:t>
      </w:r>
      <w:r w:rsidR="00DF7D02" w:rsidRPr="00752BAE">
        <w:rPr>
          <w:szCs w:val="24"/>
        </w:rPr>
        <w:t>for which the Applicant is applying</w:t>
      </w:r>
      <w:r w:rsidRPr="00752BAE">
        <w:rPr>
          <w:szCs w:val="24"/>
        </w:rPr>
        <w:t>.</w:t>
      </w:r>
    </w:p>
    <w:p w14:paraId="71FC0B56" w14:textId="0BE86B70" w:rsidR="00651E4F" w:rsidRPr="00752BAE" w:rsidRDefault="00AA629B" w:rsidP="00246D50">
      <w:pPr>
        <w:pStyle w:val="ListParagraph"/>
        <w:numPr>
          <w:ilvl w:val="0"/>
          <w:numId w:val="38"/>
        </w:numPr>
        <w:spacing w:after="120"/>
        <w:ind w:left="2160" w:hanging="720"/>
        <w:rPr>
          <w:szCs w:val="24"/>
        </w:rPr>
      </w:pPr>
      <w:r>
        <w:rPr>
          <w:szCs w:val="24"/>
        </w:rPr>
        <w:t>If “needed locations” are listed for a corridor segment</w:t>
      </w:r>
      <w:r w:rsidR="00162032">
        <w:rPr>
          <w:szCs w:val="24"/>
        </w:rPr>
        <w:t xml:space="preserve"> in Table 2</w:t>
      </w:r>
      <w:r>
        <w:rPr>
          <w:szCs w:val="24"/>
        </w:rPr>
        <w:t xml:space="preserve">, </w:t>
      </w:r>
      <w:r w:rsidR="003A40CC">
        <w:rPr>
          <w:szCs w:val="24"/>
        </w:rPr>
        <w:t>a</w:t>
      </w:r>
      <w:r w:rsidR="00691784">
        <w:rPr>
          <w:szCs w:val="24"/>
        </w:rPr>
        <w:t xml:space="preserve"> p</w:t>
      </w:r>
      <w:r w:rsidR="00651E4F" w:rsidRPr="00752BAE">
        <w:rPr>
          <w:szCs w:val="24"/>
        </w:rPr>
        <w:t xml:space="preserve">roposed </w:t>
      </w:r>
      <w:r w:rsidR="00F16D5C" w:rsidRPr="00752BAE">
        <w:rPr>
          <w:szCs w:val="24"/>
        </w:rPr>
        <w:t xml:space="preserve">EV </w:t>
      </w:r>
      <w:r w:rsidR="00651E4F" w:rsidRPr="00752BAE">
        <w:rPr>
          <w:szCs w:val="24"/>
        </w:rPr>
        <w:t xml:space="preserve">charging station </w:t>
      </w:r>
      <w:r w:rsidR="00EC3D95">
        <w:rPr>
          <w:szCs w:val="24"/>
        </w:rPr>
        <w:t>must</w:t>
      </w:r>
      <w:r w:rsidR="007F43F3" w:rsidRPr="00752BAE">
        <w:rPr>
          <w:szCs w:val="24"/>
        </w:rPr>
        <w:t xml:space="preserve"> be </w:t>
      </w:r>
      <w:r w:rsidR="00DF7D02" w:rsidRPr="00752BAE">
        <w:rPr>
          <w:szCs w:val="24"/>
        </w:rPr>
        <w:t>sited</w:t>
      </w:r>
      <w:r w:rsidR="007F43F3" w:rsidRPr="00752BAE">
        <w:rPr>
          <w:szCs w:val="24"/>
        </w:rPr>
        <w:t xml:space="preserve"> </w:t>
      </w:r>
      <w:r w:rsidR="00651E4F" w:rsidRPr="00752BAE">
        <w:rPr>
          <w:szCs w:val="24"/>
        </w:rPr>
        <w:t xml:space="preserve">in </w:t>
      </w:r>
      <w:r w:rsidR="00691784">
        <w:rPr>
          <w:szCs w:val="24"/>
        </w:rPr>
        <w:t>each</w:t>
      </w:r>
      <w:r w:rsidR="00651E4F" w:rsidRPr="00752BAE">
        <w:rPr>
          <w:szCs w:val="24"/>
        </w:rPr>
        <w:t xml:space="preserve"> </w:t>
      </w:r>
      <w:r w:rsidR="00D6022D" w:rsidRPr="00752BAE">
        <w:rPr>
          <w:szCs w:val="24"/>
        </w:rPr>
        <w:t>needed</w:t>
      </w:r>
      <w:r w:rsidR="00651E4F" w:rsidRPr="00752BAE">
        <w:rPr>
          <w:szCs w:val="24"/>
        </w:rPr>
        <w:t xml:space="preserve"> location </w:t>
      </w:r>
      <w:r w:rsidR="009B18CF">
        <w:rPr>
          <w:szCs w:val="24"/>
        </w:rPr>
        <w:t xml:space="preserve">except in </w:t>
      </w:r>
      <w:r w:rsidR="002F29F4">
        <w:rPr>
          <w:szCs w:val="24"/>
        </w:rPr>
        <w:t>c</w:t>
      </w:r>
      <w:r w:rsidR="00224F36">
        <w:rPr>
          <w:szCs w:val="24"/>
        </w:rPr>
        <w:t>ases where the needed location is specified as a preference</w:t>
      </w:r>
      <w:r w:rsidR="002F29F4">
        <w:rPr>
          <w:szCs w:val="24"/>
        </w:rPr>
        <w:t xml:space="preserve">. </w:t>
      </w:r>
      <w:r w:rsidR="00C91E9C">
        <w:rPr>
          <w:szCs w:val="24"/>
        </w:rPr>
        <w:t xml:space="preserve">Some needed locations are </w:t>
      </w:r>
      <w:r w:rsidR="006D5A91">
        <w:rPr>
          <w:szCs w:val="24"/>
        </w:rPr>
        <w:t>described</w:t>
      </w:r>
      <w:r w:rsidR="00C91E9C">
        <w:rPr>
          <w:szCs w:val="24"/>
        </w:rPr>
        <w:t xml:space="preserve"> as </w:t>
      </w:r>
      <w:r w:rsidR="002F29F4">
        <w:rPr>
          <w:szCs w:val="24"/>
        </w:rPr>
        <w:t xml:space="preserve">a </w:t>
      </w:r>
      <w:r w:rsidR="006D5A91">
        <w:rPr>
          <w:szCs w:val="24"/>
        </w:rPr>
        <w:t>“</w:t>
      </w:r>
      <w:r w:rsidR="002F29F4">
        <w:rPr>
          <w:szCs w:val="24"/>
        </w:rPr>
        <w:t>preference</w:t>
      </w:r>
      <w:r w:rsidR="006D5A91">
        <w:rPr>
          <w:szCs w:val="24"/>
        </w:rPr>
        <w:t>”</w:t>
      </w:r>
      <w:r w:rsidR="00C91E9C">
        <w:rPr>
          <w:szCs w:val="24"/>
        </w:rPr>
        <w:t xml:space="preserve"> because of limited siting opportunities in the area, and applications will be evaluated on the degree to which the preferred needed locations ar</w:t>
      </w:r>
      <w:r w:rsidR="004C1AAA">
        <w:rPr>
          <w:szCs w:val="24"/>
        </w:rPr>
        <w:t xml:space="preserve">e </w:t>
      </w:r>
      <w:r w:rsidR="00A938D5">
        <w:rPr>
          <w:szCs w:val="24"/>
        </w:rPr>
        <w:t>provided</w:t>
      </w:r>
      <w:r w:rsidR="00651E4F" w:rsidRPr="00752BAE">
        <w:rPr>
          <w:szCs w:val="24"/>
        </w:rPr>
        <w:t>.</w:t>
      </w:r>
    </w:p>
    <w:p w14:paraId="6D4BCB97" w14:textId="5560C8B3" w:rsidR="00651E4F" w:rsidRPr="00752BAE" w:rsidRDefault="00651E4F" w:rsidP="00246D50">
      <w:pPr>
        <w:pStyle w:val="ListParagraph"/>
        <w:numPr>
          <w:ilvl w:val="0"/>
          <w:numId w:val="38"/>
        </w:numPr>
        <w:spacing w:after="120"/>
        <w:ind w:left="2160" w:hanging="720"/>
      </w:pPr>
      <w:r>
        <w:lastRenderedPageBreak/>
        <w:t xml:space="preserve">The </w:t>
      </w:r>
      <w:r w:rsidR="00F16D5C">
        <w:t xml:space="preserve">EV </w:t>
      </w:r>
      <w:r>
        <w:t xml:space="preserve">charging stations must be </w:t>
      </w:r>
      <w:r w:rsidR="00F46EA0">
        <w:t>sited</w:t>
      </w:r>
      <w:r>
        <w:t xml:space="preserve"> within one mile, as a car drives by the shortest route, of the corridor segment’s nearest off-ramp</w:t>
      </w:r>
      <w:r w:rsidR="17A651A8">
        <w:t xml:space="preserve"> or intersection</w:t>
      </w:r>
      <w:r>
        <w:t xml:space="preserve">. The </w:t>
      </w:r>
      <w:r w:rsidR="00F16D5C">
        <w:t xml:space="preserve">EV </w:t>
      </w:r>
      <w:r>
        <w:t>charging stations must be easily accessible via a route that can safely and conveniently accommodate all light-duty EVs traveling to the facility, entering and leaving the facility, returning to the highway, and continuing in the original direction of travel.</w:t>
      </w:r>
    </w:p>
    <w:p w14:paraId="0FCE48AF" w14:textId="681A51AD" w:rsidR="00651E4F" w:rsidRPr="00752BAE" w:rsidRDefault="00C8120A" w:rsidP="00246D50">
      <w:pPr>
        <w:pStyle w:val="ListParagraph"/>
        <w:numPr>
          <w:ilvl w:val="0"/>
          <w:numId w:val="38"/>
        </w:numPr>
        <w:spacing w:after="120"/>
        <w:ind w:left="2160" w:hanging="720"/>
        <w:rPr>
          <w:szCs w:val="24"/>
        </w:rPr>
      </w:pPr>
      <w:r w:rsidRPr="00752BAE">
        <w:rPr>
          <w:szCs w:val="24"/>
        </w:rPr>
        <w:t>Proposed EV c</w:t>
      </w:r>
      <w:r w:rsidR="00651E4F" w:rsidRPr="00752BAE">
        <w:rPr>
          <w:szCs w:val="24"/>
        </w:rPr>
        <w:t>harging station</w:t>
      </w:r>
      <w:r w:rsidR="00F46EA0" w:rsidRPr="00752BAE">
        <w:rPr>
          <w:szCs w:val="24"/>
        </w:rPr>
        <w:t>s</w:t>
      </w:r>
      <w:r w:rsidR="00651E4F" w:rsidRPr="00752BAE">
        <w:rPr>
          <w:szCs w:val="24"/>
        </w:rPr>
        <w:t xml:space="preserve"> are encouraged to be </w:t>
      </w:r>
      <w:r w:rsidR="00F46EA0" w:rsidRPr="00752BAE">
        <w:rPr>
          <w:szCs w:val="24"/>
        </w:rPr>
        <w:t>sited</w:t>
      </w:r>
      <w:r w:rsidR="00651E4F" w:rsidRPr="00752BAE">
        <w:rPr>
          <w:szCs w:val="24"/>
        </w:rPr>
        <w:t xml:space="preserve"> on existing paved lots.</w:t>
      </w:r>
    </w:p>
    <w:p w14:paraId="77C7198B" w14:textId="7DD7E46E" w:rsidR="00651E4F" w:rsidRPr="00752BAE" w:rsidRDefault="00651E4F" w:rsidP="00246D50">
      <w:pPr>
        <w:pStyle w:val="ListParagraph"/>
        <w:numPr>
          <w:ilvl w:val="0"/>
          <w:numId w:val="38"/>
        </w:numPr>
        <w:spacing w:after="120"/>
        <w:ind w:left="2160" w:hanging="720"/>
        <w:rPr>
          <w:szCs w:val="24"/>
        </w:rPr>
      </w:pPr>
      <w:r w:rsidRPr="00752BAE">
        <w:rPr>
          <w:szCs w:val="24"/>
        </w:rPr>
        <w:t xml:space="preserve">Proposed </w:t>
      </w:r>
      <w:r w:rsidR="00C8120A" w:rsidRPr="00752BAE">
        <w:rPr>
          <w:szCs w:val="24"/>
        </w:rPr>
        <w:t xml:space="preserve">EV </w:t>
      </w:r>
      <w:r w:rsidRPr="00752BAE">
        <w:rPr>
          <w:szCs w:val="24"/>
        </w:rPr>
        <w:t xml:space="preserve">charging stations must not be </w:t>
      </w:r>
      <w:r w:rsidR="00F46EA0" w:rsidRPr="00752BAE">
        <w:rPr>
          <w:szCs w:val="24"/>
        </w:rPr>
        <w:t>sited</w:t>
      </w:r>
      <w:r w:rsidRPr="00752BAE">
        <w:rPr>
          <w:szCs w:val="24"/>
        </w:rPr>
        <w:t xml:space="preserve"> o</w:t>
      </w:r>
      <w:r w:rsidR="00F46EA0" w:rsidRPr="00752BAE">
        <w:rPr>
          <w:szCs w:val="24"/>
        </w:rPr>
        <w:t>n</w:t>
      </w:r>
      <w:r w:rsidRPr="00752BAE">
        <w:rPr>
          <w:szCs w:val="24"/>
        </w:rPr>
        <w:t xml:space="preserve"> property owned by Caltrans.</w:t>
      </w:r>
    </w:p>
    <w:p w14:paraId="2C2BDDA3" w14:textId="77777777" w:rsidR="00651E4F" w:rsidRPr="00752BAE" w:rsidRDefault="00651E4F" w:rsidP="00C8572B">
      <w:pPr>
        <w:pStyle w:val="ListParagraph"/>
        <w:ind w:left="1440"/>
        <w:rPr>
          <w:szCs w:val="24"/>
        </w:rPr>
      </w:pPr>
    </w:p>
    <w:p w14:paraId="623A2AAF" w14:textId="0C94CC67" w:rsidR="00BF0F3D" w:rsidRPr="00752BAE" w:rsidRDefault="00651E4F" w:rsidP="00164AC5">
      <w:pPr>
        <w:numPr>
          <w:ilvl w:val="0"/>
          <w:numId w:val="37"/>
        </w:numPr>
        <w:tabs>
          <w:tab w:val="left" w:pos="900"/>
        </w:tabs>
        <w:ind w:left="1440" w:hanging="720"/>
        <w:rPr>
          <w:b/>
        </w:rPr>
      </w:pPr>
      <w:r w:rsidRPr="12E60EE2">
        <w:rPr>
          <w:b/>
        </w:rPr>
        <w:t>California</w:t>
      </w:r>
      <w:r w:rsidR="00504C5F" w:rsidRPr="12E60EE2">
        <w:rPr>
          <w:b/>
        </w:rPr>
        <w:t>-Designated</w:t>
      </w:r>
      <w:r w:rsidRPr="12E60EE2">
        <w:rPr>
          <w:b/>
        </w:rPr>
        <w:t xml:space="preserve"> Disadvantaged</w:t>
      </w:r>
      <w:r w:rsidR="00150875" w:rsidRPr="12E60EE2">
        <w:rPr>
          <w:b/>
        </w:rPr>
        <w:t xml:space="preserve"> </w:t>
      </w:r>
      <w:r w:rsidR="003C0CDC" w:rsidRPr="12E60EE2">
        <w:rPr>
          <w:b/>
        </w:rPr>
        <w:t xml:space="preserve">Communities </w:t>
      </w:r>
      <w:r w:rsidR="00150875" w:rsidRPr="12E60EE2">
        <w:rPr>
          <w:b/>
        </w:rPr>
        <w:t>and</w:t>
      </w:r>
      <w:r w:rsidRPr="12E60EE2">
        <w:rPr>
          <w:b/>
        </w:rPr>
        <w:t xml:space="preserve"> Low-Income</w:t>
      </w:r>
      <w:r w:rsidR="00150875" w:rsidRPr="12E60EE2">
        <w:rPr>
          <w:b/>
        </w:rPr>
        <w:t xml:space="preserve"> Communities</w:t>
      </w:r>
    </w:p>
    <w:p w14:paraId="324EFAB1" w14:textId="0D4973C9" w:rsidR="00D5352D" w:rsidRPr="00752BAE" w:rsidRDefault="000C2BC6" w:rsidP="00D5352D">
      <w:pPr>
        <w:pStyle w:val="ListParagraph"/>
        <w:ind w:left="1440"/>
      </w:pPr>
      <w:r>
        <w:rPr>
          <w:rStyle w:val="normaltextrun"/>
        </w:rPr>
        <w:t xml:space="preserve">Applicants must consider </w:t>
      </w:r>
      <w:r w:rsidR="00376884">
        <w:rPr>
          <w:rStyle w:val="normaltextrun"/>
        </w:rPr>
        <w:t xml:space="preserve">the location of </w:t>
      </w:r>
      <w:r w:rsidR="00366AB0">
        <w:rPr>
          <w:rStyle w:val="normaltextrun"/>
        </w:rPr>
        <w:t xml:space="preserve">California-designated disadvantaged communities (DACs) and low-income communities (LICs) when </w:t>
      </w:r>
      <w:r w:rsidR="00501DFB">
        <w:rPr>
          <w:rStyle w:val="normaltextrun"/>
        </w:rPr>
        <w:t xml:space="preserve">siting </w:t>
      </w:r>
      <w:r w:rsidR="008B04B9">
        <w:rPr>
          <w:rStyle w:val="normaltextrun"/>
        </w:rPr>
        <w:t xml:space="preserve">EV charging stations. </w:t>
      </w:r>
      <w:r w:rsidR="00081807">
        <w:rPr>
          <w:rStyle w:val="normaltextrun"/>
        </w:rPr>
        <w:t xml:space="preserve">Proposed projects </w:t>
      </w:r>
      <w:r w:rsidR="001B4C5A">
        <w:rPr>
          <w:rStyle w:val="normaltextrun"/>
        </w:rPr>
        <w:t xml:space="preserve">must </w:t>
      </w:r>
      <w:r w:rsidR="000D1EA5">
        <w:rPr>
          <w:rStyle w:val="normaltextrun"/>
        </w:rPr>
        <w:t>target</w:t>
      </w:r>
      <w:r w:rsidR="00105009" w:rsidRPr="353DF0B9">
        <w:rPr>
          <w:rStyle w:val="normaltextrun"/>
        </w:rPr>
        <w:t xml:space="preserve"> siting at least 50 percent of </w:t>
      </w:r>
      <w:r w:rsidR="00595D8B" w:rsidRPr="353DF0B9">
        <w:rPr>
          <w:rStyle w:val="normaltextrun"/>
        </w:rPr>
        <w:t xml:space="preserve">the new </w:t>
      </w:r>
      <w:r w:rsidR="00A41462" w:rsidRPr="353DF0B9">
        <w:rPr>
          <w:rStyle w:val="normaltextrun"/>
        </w:rPr>
        <w:t>EV charging ports</w:t>
      </w:r>
      <w:r w:rsidR="00D5352D">
        <w:t xml:space="preserve"> within a California-designated disadvantaged or low-income community.</w:t>
      </w:r>
      <w:r w:rsidR="006548C5">
        <w:t xml:space="preserve"> If the 50 percent target is not met in an application, the Applicant must clearly state in the project narrative why it could </w:t>
      </w:r>
      <w:r w:rsidR="2E72355F">
        <w:t>not</w:t>
      </w:r>
      <w:r w:rsidR="7F964BB1">
        <w:t xml:space="preserve"> </w:t>
      </w:r>
      <w:r w:rsidR="006548C5">
        <w:t>be achieved on that corridor segment.</w:t>
      </w:r>
    </w:p>
    <w:p w14:paraId="43D5375E" w14:textId="77777777" w:rsidR="00C8572B" w:rsidRPr="00752BAE" w:rsidRDefault="00C8572B" w:rsidP="00D5352D">
      <w:pPr>
        <w:pStyle w:val="ListParagraph"/>
        <w:ind w:left="1440"/>
        <w:rPr>
          <w:szCs w:val="24"/>
        </w:rPr>
      </w:pPr>
    </w:p>
    <w:p w14:paraId="3C81908C" w14:textId="04785856" w:rsidR="002E1019" w:rsidRPr="00752BAE" w:rsidRDefault="00CD4E88" w:rsidP="00255D1D">
      <w:pPr>
        <w:pStyle w:val="ListParagraph"/>
        <w:spacing w:after="120"/>
        <w:ind w:left="1440"/>
        <w:rPr>
          <w:szCs w:val="24"/>
        </w:rPr>
      </w:pPr>
      <w:r>
        <w:rPr>
          <w:szCs w:val="24"/>
        </w:rPr>
        <w:t xml:space="preserve">California-designated </w:t>
      </w:r>
      <w:r w:rsidR="00BE553E">
        <w:rPr>
          <w:szCs w:val="24"/>
        </w:rPr>
        <w:t>DACs</w:t>
      </w:r>
      <w:r w:rsidR="002E1019" w:rsidRPr="00752BAE">
        <w:rPr>
          <w:szCs w:val="24"/>
        </w:rPr>
        <w:t xml:space="preserve"> are formally designated into the following four categories:</w:t>
      </w:r>
    </w:p>
    <w:p w14:paraId="519326A5" w14:textId="77777777" w:rsidR="002E1019" w:rsidRPr="00752BAE" w:rsidRDefault="002E1019" w:rsidP="00164AC5">
      <w:pPr>
        <w:pStyle w:val="ListParagraph"/>
        <w:numPr>
          <w:ilvl w:val="0"/>
          <w:numId w:val="40"/>
        </w:numPr>
        <w:spacing w:after="120"/>
        <w:ind w:left="2160" w:hanging="720"/>
        <w:rPr>
          <w:szCs w:val="24"/>
        </w:rPr>
      </w:pPr>
      <w:r w:rsidRPr="00752BAE">
        <w:rPr>
          <w:szCs w:val="24"/>
        </w:rPr>
        <w:t>Census tracts receiving the highest 25% overall scores in CalEnviroScreen 4.0.</w:t>
      </w:r>
    </w:p>
    <w:p w14:paraId="153E7557" w14:textId="77777777" w:rsidR="002E1019" w:rsidRPr="00752BAE" w:rsidRDefault="002E1019" w:rsidP="00164AC5">
      <w:pPr>
        <w:pStyle w:val="ListParagraph"/>
        <w:numPr>
          <w:ilvl w:val="0"/>
          <w:numId w:val="40"/>
        </w:numPr>
        <w:spacing w:after="120"/>
        <w:ind w:left="2160" w:hanging="720"/>
        <w:rPr>
          <w:szCs w:val="24"/>
        </w:rPr>
      </w:pPr>
      <w:r w:rsidRPr="00752BAE">
        <w:rPr>
          <w:szCs w:val="24"/>
        </w:rPr>
        <w:t>Census tracts lacking overall scores in CalEnviroScreen 4.0 due to data gaps but receiving the highest 5% of CalEnviroScreen 4.0 cumulative pollution burden scores.</w:t>
      </w:r>
    </w:p>
    <w:p w14:paraId="18284594" w14:textId="77777777" w:rsidR="002E1019" w:rsidRPr="00752BAE" w:rsidRDefault="002E1019" w:rsidP="00164AC5">
      <w:pPr>
        <w:pStyle w:val="ListParagraph"/>
        <w:numPr>
          <w:ilvl w:val="0"/>
          <w:numId w:val="40"/>
        </w:numPr>
        <w:spacing w:after="120"/>
        <w:ind w:left="2160" w:hanging="720"/>
        <w:rPr>
          <w:szCs w:val="24"/>
        </w:rPr>
      </w:pPr>
      <w:r w:rsidRPr="00752BAE">
        <w:rPr>
          <w:szCs w:val="24"/>
        </w:rPr>
        <w:t>Census tracts identified in the 2017 DAC designation as disadvantaged, regardless of their scores in CalEnviroScreen 4.0.</w:t>
      </w:r>
    </w:p>
    <w:p w14:paraId="5C01F05E" w14:textId="06A18C25" w:rsidR="002E1019" w:rsidRPr="00752BAE" w:rsidRDefault="002E1019" w:rsidP="00164AC5">
      <w:pPr>
        <w:pStyle w:val="ListParagraph"/>
        <w:numPr>
          <w:ilvl w:val="0"/>
          <w:numId w:val="40"/>
        </w:numPr>
        <w:spacing w:after="120"/>
        <w:ind w:left="2160" w:hanging="720"/>
        <w:rPr>
          <w:szCs w:val="24"/>
        </w:rPr>
      </w:pPr>
      <w:r w:rsidRPr="00752BAE">
        <w:rPr>
          <w:szCs w:val="24"/>
        </w:rPr>
        <w:t xml:space="preserve">Lands under the control of </w:t>
      </w:r>
      <w:proofErr w:type="gramStart"/>
      <w:r w:rsidRPr="00752BAE">
        <w:rPr>
          <w:szCs w:val="24"/>
        </w:rPr>
        <w:t>federally</w:t>
      </w:r>
      <w:r w:rsidR="00275D2C">
        <w:rPr>
          <w:szCs w:val="24"/>
        </w:rPr>
        <w:t>-</w:t>
      </w:r>
      <w:r w:rsidRPr="00752BAE">
        <w:rPr>
          <w:szCs w:val="24"/>
        </w:rPr>
        <w:t>recognized</w:t>
      </w:r>
      <w:proofErr w:type="gramEnd"/>
      <w:r w:rsidRPr="00752BAE">
        <w:rPr>
          <w:szCs w:val="24"/>
        </w:rPr>
        <w:t xml:space="preserve"> </w:t>
      </w:r>
      <w:r w:rsidR="002B0C68">
        <w:rPr>
          <w:szCs w:val="24"/>
        </w:rPr>
        <w:t>t</w:t>
      </w:r>
      <w:r w:rsidRPr="00752BAE">
        <w:rPr>
          <w:szCs w:val="24"/>
        </w:rPr>
        <w:t>ribes.</w:t>
      </w:r>
    </w:p>
    <w:p w14:paraId="516F296D" w14:textId="55980B98" w:rsidR="002E1019" w:rsidRPr="00752BAE" w:rsidRDefault="00CD4E88" w:rsidP="002E1019">
      <w:pPr>
        <w:pStyle w:val="ListParagraph"/>
        <w:ind w:left="1440"/>
        <w:rPr>
          <w:szCs w:val="24"/>
        </w:rPr>
      </w:pPr>
      <w:r>
        <w:rPr>
          <w:szCs w:val="24"/>
        </w:rPr>
        <w:t xml:space="preserve">California-designated </w:t>
      </w:r>
      <w:r w:rsidR="002E1019" w:rsidRPr="00752BAE">
        <w:rPr>
          <w:szCs w:val="24"/>
        </w:rPr>
        <w:t>LIC</w:t>
      </w:r>
      <w:r w:rsidR="00B7777B">
        <w:rPr>
          <w:szCs w:val="24"/>
        </w:rPr>
        <w:t>s</w:t>
      </w:r>
      <w:r w:rsidR="002E1019" w:rsidRPr="00752BAE">
        <w:rPr>
          <w:szCs w:val="24"/>
        </w:rPr>
        <w:t xml:space="preserve"> are census tracts with median household incomes at or below 80% of the statewide median income or with household incomes at or below the threshold designated as low income by the California Department of Housing and Community Development’s list of state income limits adopted pursuant to Section 50093 of the California Health and Safety Code.</w:t>
      </w:r>
    </w:p>
    <w:p w14:paraId="22D4D853" w14:textId="77777777" w:rsidR="004E12B5" w:rsidRPr="00752BAE" w:rsidRDefault="004E12B5" w:rsidP="002E1019">
      <w:pPr>
        <w:pStyle w:val="ListParagraph"/>
        <w:ind w:left="1440"/>
        <w:rPr>
          <w:szCs w:val="24"/>
        </w:rPr>
      </w:pPr>
    </w:p>
    <w:p w14:paraId="30952E4A" w14:textId="2D5E5F88" w:rsidR="002E1019" w:rsidRPr="00752BAE" w:rsidRDefault="002E1019" w:rsidP="002E1019">
      <w:pPr>
        <w:pStyle w:val="ListParagraph"/>
        <w:ind w:left="1440"/>
        <w:rPr>
          <w:szCs w:val="24"/>
        </w:rPr>
      </w:pPr>
      <w:r w:rsidRPr="00752BAE">
        <w:rPr>
          <w:szCs w:val="24"/>
        </w:rPr>
        <w:t xml:space="preserve">Please refer to the </w:t>
      </w:r>
      <w:hyperlink r:id="rId64" w:history="1">
        <w:r w:rsidRPr="00752BAE">
          <w:rPr>
            <w:rStyle w:val="Hyperlink"/>
            <w:szCs w:val="24"/>
          </w:rPr>
          <w:t>California Climate Investments Priority Populations 202</w:t>
        </w:r>
        <w:r w:rsidR="00C73848" w:rsidRPr="00752BAE">
          <w:rPr>
            <w:rStyle w:val="Hyperlink"/>
            <w:szCs w:val="24"/>
          </w:rPr>
          <w:t>4</w:t>
        </w:r>
        <w:r w:rsidRPr="00752BAE">
          <w:rPr>
            <w:rStyle w:val="Hyperlink"/>
            <w:szCs w:val="24"/>
          </w:rPr>
          <w:t xml:space="preserve"> CES 4.0 Map</w:t>
        </w:r>
      </w:hyperlink>
      <w:r w:rsidRPr="00752BAE">
        <w:rPr>
          <w:szCs w:val="24"/>
        </w:rPr>
        <w:t xml:space="preserve">, available at </w:t>
      </w:r>
      <w:r w:rsidR="00CD77B4" w:rsidRPr="0090178A">
        <w:rPr>
          <w:szCs w:val="24"/>
        </w:rPr>
        <w:t>https://webmaps.arb.ca.gov/PriorityPopulations/</w:t>
      </w:r>
      <w:r w:rsidR="0090178A">
        <w:rPr>
          <w:szCs w:val="24"/>
        </w:rPr>
        <w:t>,</w:t>
      </w:r>
      <w:r w:rsidR="00CD77B4">
        <w:rPr>
          <w:szCs w:val="24"/>
        </w:rPr>
        <w:t xml:space="preserve"> </w:t>
      </w:r>
      <w:r w:rsidR="00CD77B4" w:rsidRPr="0090178A">
        <w:rPr>
          <w:b/>
          <w:bCs/>
          <w:szCs w:val="24"/>
          <w:u w:val="single"/>
        </w:rPr>
        <w:t xml:space="preserve">or </w:t>
      </w:r>
      <w:hyperlink r:id="rId65">
        <w:r w:rsidR="00CD77B4" w:rsidRPr="00CD77B4">
          <w:rPr>
            <w:rStyle w:val="Hyperlink"/>
            <w:b/>
            <w:bCs/>
            <w:szCs w:val="24"/>
          </w:rPr>
          <w:t>California’s National Electric Vehicle Infrastructure Funding Program Map</w:t>
        </w:r>
      </w:hyperlink>
      <w:r w:rsidR="00CD77B4" w:rsidRPr="00CD77B4">
        <w:rPr>
          <w:b/>
          <w:bCs/>
          <w:szCs w:val="24"/>
          <w:u w:val="single"/>
        </w:rPr>
        <w:t xml:space="preserve"> at https://experience.arcgis.com/experience/135c0da4b70f4717b4664ad</w:t>
      </w:r>
      <w:r w:rsidR="00CD77B4" w:rsidRPr="00CD77B4">
        <w:rPr>
          <w:b/>
          <w:bCs/>
          <w:szCs w:val="24"/>
          <w:u w:val="single"/>
        </w:rPr>
        <w:lastRenderedPageBreak/>
        <w:t>2e427d2bc</w:t>
      </w:r>
      <w:r w:rsidRPr="00752BAE">
        <w:rPr>
          <w:szCs w:val="24"/>
        </w:rPr>
        <w:t>, for d</w:t>
      </w:r>
      <w:r w:rsidR="004E12B5" w:rsidRPr="00752BAE">
        <w:rPr>
          <w:szCs w:val="24"/>
        </w:rPr>
        <w:t>etermining if a site is in a</w:t>
      </w:r>
      <w:r w:rsidRPr="00752BAE">
        <w:rPr>
          <w:szCs w:val="24"/>
        </w:rPr>
        <w:t xml:space="preserve"> </w:t>
      </w:r>
      <w:r w:rsidR="00CD4E88">
        <w:rPr>
          <w:szCs w:val="24"/>
        </w:rPr>
        <w:t xml:space="preserve">California-designated </w:t>
      </w:r>
      <w:r w:rsidRPr="00752BAE">
        <w:rPr>
          <w:szCs w:val="24"/>
        </w:rPr>
        <w:t xml:space="preserve">disadvantaged </w:t>
      </w:r>
      <w:r w:rsidR="004E12B5" w:rsidRPr="00752BAE">
        <w:rPr>
          <w:szCs w:val="24"/>
        </w:rPr>
        <w:t>and/or</w:t>
      </w:r>
      <w:r w:rsidRPr="00752BAE">
        <w:rPr>
          <w:szCs w:val="24"/>
        </w:rPr>
        <w:t xml:space="preserve"> low-income communit</w:t>
      </w:r>
      <w:r w:rsidR="004E12B5" w:rsidRPr="00752BAE">
        <w:rPr>
          <w:szCs w:val="24"/>
        </w:rPr>
        <w:t>y</w:t>
      </w:r>
      <w:r w:rsidRPr="00752BAE">
        <w:rPr>
          <w:szCs w:val="24"/>
        </w:rPr>
        <w:t>.</w:t>
      </w:r>
    </w:p>
    <w:p w14:paraId="79DD1A83" w14:textId="77777777" w:rsidR="00D5352D" w:rsidRPr="00752BAE" w:rsidRDefault="00D5352D" w:rsidP="00D5352D">
      <w:pPr>
        <w:rPr>
          <w:szCs w:val="24"/>
        </w:rPr>
      </w:pPr>
    </w:p>
    <w:p w14:paraId="29E27EAC" w14:textId="1606C978" w:rsidR="00651E4F" w:rsidRPr="00752BAE" w:rsidRDefault="003C0CDC" w:rsidP="00164AC5">
      <w:pPr>
        <w:numPr>
          <w:ilvl w:val="0"/>
          <w:numId w:val="37"/>
        </w:numPr>
        <w:tabs>
          <w:tab w:val="left" w:pos="900"/>
        </w:tabs>
        <w:ind w:left="1440" w:hanging="720"/>
        <w:rPr>
          <w:b/>
          <w:szCs w:val="24"/>
        </w:rPr>
      </w:pPr>
      <w:proofErr w:type="gramStart"/>
      <w:r w:rsidRPr="00752BAE">
        <w:rPr>
          <w:b/>
          <w:szCs w:val="24"/>
        </w:rPr>
        <w:t>Federally</w:t>
      </w:r>
      <w:r w:rsidR="003D54E4">
        <w:rPr>
          <w:b/>
          <w:szCs w:val="24"/>
        </w:rPr>
        <w:t>-</w:t>
      </w:r>
      <w:r w:rsidRPr="00752BAE">
        <w:rPr>
          <w:b/>
          <w:szCs w:val="24"/>
        </w:rPr>
        <w:t>Designated</w:t>
      </w:r>
      <w:proofErr w:type="gramEnd"/>
      <w:r w:rsidR="00BF0F3D" w:rsidRPr="00752BAE">
        <w:rPr>
          <w:b/>
          <w:szCs w:val="24"/>
        </w:rPr>
        <w:t xml:space="preserve"> Disadvantaged Communities (</w:t>
      </w:r>
      <w:r w:rsidR="00651E4F" w:rsidRPr="00752BAE">
        <w:rPr>
          <w:b/>
          <w:szCs w:val="24"/>
        </w:rPr>
        <w:t>Justice40 Communities</w:t>
      </w:r>
      <w:r w:rsidR="00BF0F3D" w:rsidRPr="00752BAE">
        <w:rPr>
          <w:b/>
          <w:szCs w:val="24"/>
        </w:rPr>
        <w:t>)</w:t>
      </w:r>
    </w:p>
    <w:p w14:paraId="32FFA39A" w14:textId="6294966E" w:rsidR="003C0CDC" w:rsidRPr="00EA275E" w:rsidRDefault="00F77E44" w:rsidP="005C61DC">
      <w:pPr>
        <w:pStyle w:val="paragraph"/>
        <w:spacing w:before="0" w:beforeAutospacing="0" w:after="0" w:afterAutospacing="0"/>
        <w:ind w:left="1440"/>
        <w:textAlignment w:val="baseline"/>
        <w:rPr>
          <w:rFonts w:ascii="Arial" w:hAnsi="Arial" w:cs="Arial"/>
        </w:rPr>
      </w:pPr>
      <w:r w:rsidRPr="00EA275E">
        <w:rPr>
          <w:rStyle w:val="normaltextrun"/>
          <w:rFonts w:ascii="Arial" w:hAnsi="Arial" w:cs="Arial"/>
        </w:rPr>
        <w:t>[</w:t>
      </w:r>
      <w:r w:rsidR="003C0CDC" w:rsidRPr="00EA275E">
        <w:rPr>
          <w:rStyle w:val="normaltextrun"/>
          <w:rFonts w:ascii="Arial" w:hAnsi="Arial" w:cs="Arial"/>
          <w:strike/>
        </w:rPr>
        <w:t>Th</w:t>
      </w:r>
      <w:r w:rsidR="005C61DC" w:rsidRPr="00EA275E">
        <w:rPr>
          <w:rStyle w:val="normaltextrun"/>
          <w:rFonts w:ascii="Arial" w:hAnsi="Arial" w:cs="Arial"/>
          <w:strike/>
        </w:rPr>
        <w:t>e NEVI formula program</w:t>
      </w:r>
      <w:r w:rsidR="003C0CDC" w:rsidRPr="00EA275E">
        <w:rPr>
          <w:rStyle w:val="normaltextrun"/>
          <w:rFonts w:ascii="Arial" w:hAnsi="Arial" w:cs="Arial"/>
          <w:strike/>
        </w:rPr>
        <w:t xml:space="preserve"> is a Justice40</w:t>
      </w:r>
      <w:r w:rsidR="005C61DC" w:rsidRPr="00EA275E">
        <w:rPr>
          <w:rStyle w:val="normaltextrun"/>
          <w:rFonts w:ascii="Arial" w:hAnsi="Arial" w:cs="Arial"/>
          <w:strike/>
        </w:rPr>
        <w:t>-</w:t>
      </w:r>
      <w:r w:rsidR="003C0CDC" w:rsidRPr="00EA275E">
        <w:rPr>
          <w:rStyle w:val="normaltextrun"/>
          <w:rFonts w:ascii="Arial" w:hAnsi="Arial" w:cs="Arial"/>
          <w:strike/>
        </w:rPr>
        <w:t xml:space="preserve">covered initiative. As such, the FHWA is tracking how </w:t>
      </w:r>
      <w:r w:rsidR="00A27352" w:rsidRPr="00EA275E">
        <w:rPr>
          <w:rStyle w:val="normaltextrun"/>
          <w:rFonts w:ascii="Arial" w:hAnsi="Arial" w:cs="Arial"/>
          <w:strike/>
        </w:rPr>
        <w:t>the program</w:t>
      </w:r>
      <w:r w:rsidR="003C0CDC" w:rsidRPr="00EA275E">
        <w:rPr>
          <w:rStyle w:val="normaltextrun"/>
          <w:rFonts w:ascii="Arial" w:hAnsi="Arial" w:cs="Arial"/>
          <w:strike/>
        </w:rPr>
        <w:t xml:space="preserve"> benefits disadvantaged communities.</w:t>
      </w:r>
      <w:r w:rsidR="003C0CDC" w:rsidRPr="00EA275E">
        <w:rPr>
          <w:rStyle w:val="normaltextrun"/>
          <w:rFonts w:ascii="Arial" w:hAnsi="Arial" w:cs="Arial"/>
        </w:rPr>
        <w:t xml:space="preserve"> </w:t>
      </w:r>
      <w:r w:rsidR="003C0CDC" w:rsidRPr="00EA275E">
        <w:rPr>
          <w:rStyle w:val="normaltextrun"/>
          <w:rFonts w:ascii="Arial" w:hAnsi="Arial" w:cs="Arial"/>
          <w:strike/>
        </w:rPr>
        <w:t xml:space="preserve">FHWA recognizes disadvantaged communities as the census tracts identified as disadvantaged by the </w:t>
      </w:r>
      <w:hyperlink r:id="rId66" w:history="1">
        <w:r w:rsidR="003C0CDC" w:rsidRPr="00EA275E">
          <w:rPr>
            <w:rStyle w:val="Hyperlink"/>
            <w:rFonts w:ascii="Arial" w:hAnsi="Arial" w:cs="Arial"/>
            <w:strike/>
          </w:rPr>
          <w:t>Climate and Economic Justice Screening Tool (CEJST)</w:t>
        </w:r>
      </w:hyperlink>
      <w:r w:rsidR="003C0CDC" w:rsidRPr="00EA275E">
        <w:rPr>
          <w:rStyle w:val="normaltextrun"/>
          <w:rFonts w:ascii="Arial" w:hAnsi="Arial" w:cs="Arial"/>
          <w:strike/>
        </w:rPr>
        <w:t xml:space="preserve">, located at https://screeningtool.geoplatform.gov/, as well as all </w:t>
      </w:r>
      <w:r w:rsidR="00275D2C" w:rsidRPr="00EA275E">
        <w:rPr>
          <w:rStyle w:val="normaltextrun"/>
          <w:rFonts w:ascii="Arial" w:hAnsi="Arial" w:cs="Arial"/>
          <w:strike/>
        </w:rPr>
        <w:t>f</w:t>
      </w:r>
      <w:r w:rsidR="003C0CDC" w:rsidRPr="00EA275E">
        <w:rPr>
          <w:rStyle w:val="normaltextrun"/>
          <w:rFonts w:ascii="Arial" w:hAnsi="Arial" w:cs="Arial"/>
          <w:strike/>
        </w:rPr>
        <w:t>ederally</w:t>
      </w:r>
      <w:r w:rsidR="00275D2C" w:rsidRPr="00EA275E">
        <w:rPr>
          <w:rStyle w:val="normaltextrun"/>
          <w:rFonts w:ascii="Arial" w:hAnsi="Arial" w:cs="Arial"/>
          <w:strike/>
        </w:rPr>
        <w:t>-r</w:t>
      </w:r>
      <w:r w:rsidR="003C0CDC" w:rsidRPr="00EA275E">
        <w:rPr>
          <w:rStyle w:val="normaltextrun"/>
          <w:rFonts w:ascii="Arial" w:hAnsi="Arial" w:cs="Arial"/>
          <w:strike/>
        </w:rPr>
        <w:t xml:space="preserve">ecognized </w:t>
      </w:r>
      <w:r w:rsidR="002B0C68" w:rsidRPr="00EA275E">
        <w:rPr>
          <w:rStyle w:val="normaltextrun"/>
          <w:rFonts w:ascii="Arial" w:hAnsi="Arial" w:cs="Arial"/>
          <w:strike/>
        </w:rPr>
        <w:t>t</w:t>
      </w:r>
      <w:r w:rsidR="003C0CDC" w:rsidRPr="00EA275E">
        <w:rPr>
          <w:rStyle w:val="normaltextrun"/>
          <w:rFonts w:ascii="Arial" w:hAnsi="Arial" w:cs="Arial"/>
          <w:strike/>
        </w:rPr>
        <w:t>ribes.</w:t>
      </w:r>
      <w:r w:rsidR="00434ADE" w:rsidRPr="00EA275E">
        <w:rPr>
          <w:rStyle w:val="normaltextrun"/>
          <w:rFonts w:ascii="Arial" w:hAnsi="Arial" w:cs="Arial"/>
        </w:rPr>
        <w:t>]</w:t>
      </w:r>
    </w:p>
    <w:p w14:paraId="14341859" w14:textId="0E4BF6F9" w:rsidR="003C0CDC" w:rsidRPr="00EA275E" w:rsidRDefault="003C0CDC" w:rsidP="005C61DC">
      <w:pPr>
        <w:pStyle w:val="paragraph"/>
        <w:spacing w:before="0" w:beforeAutospacing="0" w:after="0" w:afterAutospacing="0"/>
        <w:ind w:left="1440"/>
        <w:textAlignment w:val="baseline"/>
        <w:rPr>
          <w:rFonts w:ascii="Arial" w:hAnsi="Arial" w:cs="Arial"/>
        </w:rPr>
      </w:pPr>
    </w:p>
    <w:p w14:paraId="2D96DA29" w14:textId="6247FAFD" w:rsidR="003C0CDC" w:rsidRDefault="00EA275E" w:rsidP="005C61DC">
      <w:pPr>
        <w:pStyle w:val="paragraph"/>
        <w:spacing w:before="0" w:beforeAutospacing="0" w:after="0" w:afterAutospacing="0"/>
        <w:ind w:left="1440"/>
        <w:textAlignment w:val="baseline"/>
        <w:rPr>
          <w:rStyle w:val="normaltextrun"/>
          <w:rFonts w:ascii="Arial" w:hAnsi="Arial" w:cs="Arial"/>
        </w:rPr>
      </w:pPr>
      <w:r w:rsidRPr="00EA275E">
        <w:rPr>
          <w:rStyle w:val="normaltextrun"/>
          <w:rFonts w:ascii="Arial" w:hAnsi="Arial" w:cs="Arial"/>
        </w:rPr>
        <w:t>[</w:t>
      </w:r>
      <w:r w:rsidR="003C0CDC" w:rsidRPr="00EA275E">
        <w:rPr>
          <w:rStyle w:val="normaltextrun"/>
          <w:rFonts w:ascii="Arial" w:hAnsi="Arial" w:cs="Arial"/>
          <w:strike/>
        </w:rPr>
        <w:t xml:space="preserve">At least 40% of the </w:t>
      </w:r>
      <w:r w:rsidR="00F8754B" w:rsidRPr="00EA275E">
        <w:rPr>
          <w:rStyle w:val="normaltextrun"/>
          <w:rFonts w:ascii="Arial" w:hAnsi="Arial" w:cs="Arial"/>
          <w:strike/>
        </w:rPr>
        <w:t xml:space="preserve">new </w:t>
      </w:r>
      <w:r w:rsidR="00B85ED4" w:rsidRPr="00EA275E">
        <w:rPr>
          <w:rStyle w:val="normaltextrun"/>
          <w:rFonts w:ascii="Arial" w:hAnsi="Arial" w:cs="Arial"/>
          <w:strike/>
        </w:rPr>
        <w:t xml:space="preserve">charging </w:t>
      </w:r>
      <w:r w:rsidR="003C0CDC" w:rsidRPr="00EA275E">
        <w:rPr>
          <w:rStyle w:val="normaltextrun"/>
          <w:rFonts w:ascii="Arial" w:hAnsi="Arial" w:cs="Arial"/>
          <w:strike/>
        </w:rPr>
        <w:t>ports funded through this solicitation should be physically located within federally designated disadvantaged communities (</w:t>
      </w:r>
      <w:r w:rsidR="00D5352D" w:rsidRPr="00EA275E">
        <w:rPr>
          <w:rStyle w:val="normaltextrun"/>
          <w:rFonts w:ascii="Arial" w:hAnsi="Arial" w:cs="Arial"/>
          <w:strike/>
        </w:rPr>
        <w:t xml:space="preserve">also referred to as </w:t>
      </w:r>
      <w:r w:rsidR="003C0CDC" w:rsidRPr="00EA275E">
        <w:rPr>
          <w:rStyle w:val="normaltextrun"/>
          <w:rFonts w:ascii="Arial" w:hAnsi="Arial" w:cs="Arial"/>
          <w:strike/>
        </w:rPr>
        <w:t xml:space="preserve">Justice40 communities) as identified by the CEJST tool. </w:t>
      </w:r>
      <w:r w:rsidR="00180D5A" w:rsidRPr="00EA275E">
        <w:rPr>
          <w:rStyle w:val="normaltextrun"/>
          <w:rFonts w:ascii="Arial" w:hAnsi="Arial" w:cs="Arial"/>
          <w:strike/>
        </w:rPr>
        <w:t>To accomplish this, p</w:t>
      </w:r>
      <w:r w:rsidR="009C5F9C" w:rsidRPr="00EA275E">
        <w:rPr>
          <w:rStyle w:val="normaltextrun"/>
          <w:rFonts w:ascii="Arial" w:hAnsi="Arial" w:cs="Arial"/>
          <w:strike/>
        </w:rPr>
        <w:t xml:space="preserve">roposed projects must </w:t>
      </w:r>
      <w:r w:rsidR="00A17BD4" w:rsidRPr="00EA275E">
        <w:rPr>
          <w:rStyle w:val="normaltextrun"/>
          <w:rFonts w:ascii="Arial" w:hAnsi="Arial" w:cs="Arial"/>
          <w:strike/>
        </w:rPr>
        <w:t>target</w:t>
      </w:r>
      <w:r w:rsidR="00E80D55" w:rsidRPr="00EA275E">
        <w:rPr>
          <w:rStyle w:val="normaltextrun"/>
          <w:rFonts w:ascii="Arial" w:hAnsi="Arial" w:cs="Arial"/>
          <w:strike/>
        </w:rPr>
        <w:t xml:space="preserve"> </w:t>
      </w:r>
      <w:r w:rsidR="00645E73" w:rsidRPr="00EA275E">
        <w:rPr>
          <w:rStyle w:val="normaltextrun"/>
          <w:rFonts w:ascii="Arial" w:hAnsi="Arial" w:cs="Arial"/>
          <w:strike/>
        </w:rPr>
        <w:t>siting</w:t>
      </w:r>
      <w:r w:rsidR="002537D6" w:rsidRPr="00EA275E">
        <w:rPr>
          <w:rStyle w:val="normaltextrun"/>
          <w:rFonts w:ascii="Arial" w:hAnsi="Arial" w:cs="Arial"/>
          <w:strike/>
        </w:rPr>
        <w:t xml:space="preserve"> at least 40 percent of </w:t>
      </w:r>
      <w:r w:rsidR="00B85ED4" w:rsidRPr="00EA275E">
        <w:rPr>
          <w:rStyle w:val="normaltextrun"/>
          <w:rFonts w:ascii="Arial" w:hAnsi="Arial" w:cs="Arial"/>
          <w:strike/>
        </w:rPr>
        <w:t>the new</w:t>
      </w:r>
      <w:r w:rsidR="00F8754B" w:rsidRPr="00EA275E">
        <w:rPr>
          <w:rStyle w:val="normaltextrun"/>
          <w:rFonts w:ascii="Arial" w:hAnsi="Arial" w:cs="Arial"/>
          <w:strike/>
        </w:rPr>
        <w:t xml:space="preserve"> </w:t>
      </w:r>
      <w:r w:rsidR="00A72914" w:rsidRPr="00EA275E">
        <w:rPr>
          <w:rStyle w:val="normaltextrun"/>
          <w:rFonts w:ascii="Arial" w:hAnsi="Arial" w:cs="Arial"/>
          <w:strike/>
        </w:rPr>
        <w:t>charging ports</w:t>
      </w:r>
      <w:r w:rsidR="003C0CDC" w:rsidRPr="00EA275E">
        <w:rPr>
          <w:rStyle w:val="normaltextrun"/>
          <w:rFonts w:ascii="Arial" w:hAnsi="Arial" w:cs="Arial"/>
          <w:strike/>
        </w:rPr>
        <w:t xml:space="preserve"> </w:t>
      </w:r>
      <w:r w:rsidR="00645E73" w:rsidRPr="00EA275E">
        <w:rPr>
          <w:rStyle w:val="normaltextrun"/>
          <w:rFonts w:ascii="Arial" w:hAnsi="Arial" w:cs="Arial"/>
          <w:strike/>
        </w:rPr>
        <w:t>i</w:t>
      </w:r>
      <w:r w:rsidR="003C0CDC" w:rsidRPr="00EA275E">
        <w:rPr>
          <w:rStyle w:val="normaltextrun"/>
          <w:rFonts w:ascii="Arial" w:hAnsi="Arial" w:cs="Arial"/>
          <w:strike/>
        </w:rPr>
        <w:t xml:space="preserve">n </w:t>
      </w:r>
      <w:r w:rsidR="00E80D55" w:rsidRPr="00EA275E">
        <w:rPr>
          <w:rStyle w:val="normaltextrun"/>
          <w:rFonts w:ascii="Arial" w:hAnsi="Arial" w:cs="Arial"/>
          <w:strike/>
        </w:rPr>
        <w:t xml:space="preserve">federally designated </w:t>
      </w:r>
      <w:r w:rsidR="003C0CDC" w:rsidRPr="00EA275E">
        <w:rPr>
          <w:rStyle w:val="normaltextrun"/>
          <w:rFonts w:ascii="Arial" w:hAnsi="Arial" w:cs="Arial"/>
          <w:strike/>
        </w:rPr>
        <w:t>disadvantaged communities</w:t>
      </w:r>
      <w:r w:rsidR="00A72914" w:rsidRPr="00EA275E">
        <w:rPr>
          <w:rStyle w:val="normaltextrun"/>
          <w:rFonts w:ascii="Arial" w:hAnsi="Arial" w:cs="Arial"/>
          <w:strike/>
        </w:rPr>
        <w:t xml:space="preserve">. If </w:t>
      </w:r>
      <w:r w:rsidR="00D04B6C" w:rsidRPr="00EA275E">
        <w:rPr>
          <w:rStyle w:val="normaltextrun"/>
          <w:rFonts w:ascii="Arial" w:hAnsi="Arial" w:cs="Arial"/>
          <w:strike/>
        </w:rPr>
        <w:t xml:space="preserve">the 40 percent target </w:t>
      </w:r>
      <w:r w:rsidR="00C4206C" w:rsidRPr="00EA275E">
        <w:rPr>
          <w:rStyle w:val="normaltextrun"/>
          <w:rFonts w:ascii="Arial" w:hAnsi="Arial" w:cs="Arial"/>
          <w:strike/>
        </w:rPr>
        <w:t>is not met</w:t>
      </w:r>
      <w:r w:rsidR="00F62C17" w:rsidRPr="00EA275E">
        <w:rPr>
          <w:rStyle w:val="normaltextrun"/>
          <w:rFonts w:ascii="Arial" w:hAnsi="Arial" w:cs="Arial"/>
          <w:strike/>
        </w:rPr>
        <w:t xml:space="preserve"> in an application</w:t>
      </w:r>
      <w:r w:rsidR="00C4206C" w:rsidRPr="00EA275E">
        <w:rPr>
          <w:rStyle w:val="normaltextrun"/>
          <w:rFonts w:ascii="Arial" w:hAnsi="Arial" w:cs="Arial"/>
          <w:strike/>
        </w:rPr>
        <w:t>,</w:t>
      </w:r>
      <w:r w:rsidR="00D04B6C" w:rsidRPr="00EA275E">
        <w:rPr>
          <w:rStyle w:val="normaltextrun"/>
          <w:rFonts w:ascii="Arial" w:hAnsi="Arial" w:cs="Arial"/>
          <w:strike/>
        </w:rPr>
        <w:t xml:space="preserve"> </w:t>
      </w:r>
      <w:r w:rsidR="006548C5" w:rsidRPr="00EA275E">
        <w:rPr>
          <w:rStyle w:val="normaltextrun"/>
          <w:rFonts w:ascii="Arial" w:hAnsi="Arial" w:cs="Arial"/>
          <w:strike/>
        </w:rPr>
        <w:t xml:space="preserve">the </w:t>
      </w:r>
      <w:r w:rsidR="00D04B6C" w:rsidRPr="00EA275E">
        <w:rPr>
          <w:rStyle w:val="normaltextrun"/>
          <w:rFonts w:ascii="Arial" w:hAnsi="Arial" w:cs="Arial"/>
          <w:strike/>
        </w:rPr>
        <w:t xml:space="preserve">Applicant must clearly state in </w:t>
      </w:r>
      <w:r w:rsidR="006927ED" w:rsidRPr="00EA275E">
        <w:rPr>
          <w:rStyle w:val="normaltextrun"/>
          <w:rFonts w:ascii="Arial" w:hAnsi="Arial" w:cs="Arial"/>
          <w:strike/>
        </w:rPr>
        <w:t>the project narrative</w:t>
      </w:r>
      <w:r w:rsidR="003C0CDC" w:rsidRPr="00EA275E">
        <w:rPr>
          <w:rStyle w:val="normaltextrun"/>
          <w:rFonts w:ascii="Arial" w:hAnsi="Arial" w:cs="Arial"/>
          <w:strike/>
        </w:rPr>
        <w:t xml:space="preserve"> </w:t>
      </w:r>
      <w:r w:rsidR="006927ED" w:rsidRPr="00EA275E">
        <w:rPr>
          <w:rStyle w:val="normaltextrun"/>
          <w:rFonts w:ascii="Arial" w:hAnsi="Arial" w:cs="Arial"/>
          <w:strike/>
        </w:rPr>
        <w:t xml:space="preserve">why it could </w:t>
      </w:r>
      <w:r w:rsidR="006B3210" w:rsidRPr="00EA275E">
        <w:rPr>
          <w:rStyle w:val="normaltextrun"/>
          <w:rFonts w:ascii="Arial" w:hAnsi="Arial" w:cs="Arial"/>
          <w:strike/>
        </w:rPr>
        <w:t xml:space="preserve">not </w:t>
      </w:r>
      <w:r w:rsidR="00C4206C" w:rsidRPr="00EA275E">
        <w:rPr>
          <w:rStyle w:val="normaltextrun"/>
          <w:rFonts w:ascii="Arial" w:hAnsi="Arial" w:cs="Arial"/>
          <w:strike/>
        </w:rPr>
        <w:t>be achieved on that corridor segment</w:t>
      </w:r>
      <w:r w:rsidR="003C0CDC" w:rsidRPr="00EA275E">
        <w:rPr>
          <w:rStyle w:val="normaltextrun"/>
          <w:rFonts w:ascii="Arial" w:hAnsi="Arial" w:cs="Arial"/>
          <w:strike/>
        </w:rPr>
        <w:t>.</w:t>
      </w:r>
      <w:r w:rsidR="00F77E44" w:rsidRPr="00EA275E">
        <w:rPr>
          <w:rStyle w:val="normaltextrun"/>
          <w:rFonts w:ascii="Arial" w:hAnsi="Arial" w:cs="Arial"/>
        </w:rPr>
        <w:t>]</w:t>
      </w:r>
    </w:p>
    <w:p w14:paraId="3715B54E" w14:textId="77777777" w:rsidR="00F77E44" w:rsidRDefault="00F77E44" w:rsidP="005C61DC">
      <w:pPr>
        <w:pStyle w:val="paragraph"/>
        <w:spacing w:before="0" w:beforeAutospacing="0" w:after="0" w:afterAutospacing="0"/>
        <w:ind w:left="1440"/>
        <w:textAlignment w:val="baseline"/>
        <w:rPr>
          <w:rStyle w:val="normaltextrun"/>
          <w:rFonts w:ascii="Arial" w:hAnsi="Arial" w:cs="Arial"/>
        </w:rPr>
      </w:pPr>
    </w:p>
    <w:p w14:paraId="66EA3152" w14:textId="743EF6C9" w:rsidR="00C54F49" w:rsidRPr="00E02F94" w:rsidRDefault="004E595F" w:rsidP="127799FB">
      <w:pPr>
        <w:pStyle w:val="paragraph"/>
        <w:spacing w:before="0" w:beforeAutospacing="0" w:after="0" w:afterAutospacing="0"/>
        <w:ind w:left="1440"/>
        <w:textAlignment w:val="baseline"/>
        <w:rPr>
          <w:rFonts w:ascii="Arial" w:hAnsi="Arial" w:cs="Arial"/>
          <w:b/>
          <w:bCs/>
          <w:u w:val="single"/>
        </w:rPr>
      </w:pPr>
      <w:r w:rsidRPr="127799FB">
        <w:rPr>
          <w:rFonts w:ascii="Arial" w:hAnsi="Arial" w:cs="Arial"/>
          <w:b/>
          <w:bCs/>
          <w:u w:val="single"/>
        </w:rPr>
        <w:t xml:space="preserve">On </w:t>
      </w:r>
      <w:r w:rsidR="00800AE2" w:rsidRPr="127799FB">
        <w:rPr>
          <w:rFonts w:ascii="Arial" w:hAnsi="Arial" w:cs="Arial"/>
          <w:b/>
          <w:bCs/>
          <w:u w:val="single"/>
        </w:rPr>
        <w:t xml:space="preserve">January 20, 2025, </w:t>
      </w:r>
      <w:r w:rsidR="00982298" w:rsidRPr="127799FB">
        <w:rPr>
          <w:rFonts w:ascii="Arial" w:hAnsi="Arial" w:cs="Arial"/>
          <w:b/>
          <w:bCs/>
          <w:u w:val="single"/>
        </w:rPr>
        <w:t>President Donald J. Trump re</w:t>
      </w:r>
      <w:r w:rsidR="6B8C97C8" w:rsidRPr="127799FB">
        <w:rPr>
          <w:rFonts w:ascii="Arial" w:hAnsi="Arial" w:cs="Arial"/>
          <w:b/>
          <w:bCs/>
          <w:u w:val="single"/>
        </w:rPr>
        <w:t>voked</w:t>
      </w:r>
      <w:r w:rsidR="00982298" w:rsidRPr="127799FB">
        <w:rPr>
          <w:rFonts w:ascii="Arial" w:hAnsi="Arial" w:cs="Arial"/>
          <w:b/>
          <w:bCs/>
          <w:u w:val="single"/>
        </w:rPr>
        <w:t xml:space="preserve"> Executive Order 14008</w:t>
      </w:r>
      <w:r w:rsidR="005C031F" w:rsidRPr="127799FB">
        <w:rPr>
          <w:rFonts w:ascii="Arial" w:hAnsi="Arial" w:cs="Arial"/>
          <w:b/>
          <w:bCs/>
          <w:u w:val="single"/>
        </w:rPr>
        <w:t xml:space="preserve"> (Tackling the Climate Crisis at Home and Abroad).</w:t>
      </w:r>
      <w:r w:rsidR="000D6125" w:rsidRPr="00E02F94">
        <w:rPr>
          <w:rStyle w:val="FootnoteReference"/>
          <w:rFonts w:ascii="Arial" w:hAnsi="Arial" w:cs="Arial"/>
          <w:b/>
          <w:bCs/>
          <w:u w:val="single"/>
        </w:rPr>
        <w:footnoteReference w:id="4"/>
      </w:r>
      <w:r w:rsidR="005C031F" w:rsidRPr="127799FB">
        <w:rPr>
          <w:rFonts w:ascii="Arial" w:hAnsi="Arial" w:cs="Arial"/>
          <w:b/>
          <w:bCs/>
          <w:u w:val="single"/>
        </w:rPr>
        <w:t xml:space="preserve"> </w:t>
      </w:r>
      <w:r w:rsidR="005216E6" w:rsidRPr="127799FB">
        <w:rPr>
          <w:rFonts w:ascii="Arial" w:hAnsi="Arial" w:cs="Arial"/>
          <w:b/>
          <w:bCs/>
          <w:u w:val="single"/>
        </w:rPr>
        <w:t xml:space="preserve">Executive Order 14008 established the </w:t>
      </w:r>
      <w:r w:rsidR="005344AE" w:rsidRPr="127799FB">
        <w:rPr>
          <w:rFonts w:ascii="Arial" w:hAnsi="Arial" w:cs="Arial"/>
          <w:b/>
          <w:bCs/>
          <w:u w:val="single"/>
        </w:rPr>
        <w:t>Justice40</w:t>
      </w:r>
      <w:r w:rsidR="009268B6" w:rsidRPr="127799FB">
        <w:rPr>
          <w:rFonts w:ascii="Arial" w:hAnsi="Arial" w:cs="Arial"/>
          <w:b/>
          <w:bCs/>
          <w:u w:val="single"/>
        </w:rPr>
        <w:t xml:space="preserve"> initiative</w:t>
      </w:r>
      <w:r w:rsidR="00860E2A" w:rsidRPr="127799FB">
        <w:rPr>
          <w:rFonts w:ascii="Arial" w:hAnsi="Arial" w:cs="Arial"/>
          <w:b/>
          <w:bCs/>
          <w:u w:val="single"/>
        </w:rPr>
        <w:t>.</w:t>
      </w:r>
      <w:r w:rsidR="00454FB3" w:rsidRPr="127799FB">
        <w:rPr>
          <w:rFonts w:ascii="Arial" w:hAnsi="Arial" w:cs="Arial"/>
          <w:b/>
          <w:bCs/>
          <w:u w:val="single"/>
        </w:rPr>
        <w:t xml:space="preserve"> The NEVI formula program was a Justice40</w:t>
      </w:r>
      <w:r w:rsidR="005E316A" w:rsidRPr="127799FB">
        <w:rPr>
          <w:rFonts w:ascii="Arial" w:hAnsi="Arial" w:cs="Arial"/>
          <w:b/>
          <w:bCs/>
          <w:u w:val="single"/>
        </w:rPr>
        <w:t xml:space="preserve"> initiative</w:t>
      </w:r>
      <w:r w:rsidR="009C701E" w:rsidRPr="127799FB">
        <w:rPr>
          <w:rFonts w:ascii="Arial" w:hAnsi="Arial" w:cs="Arial"/>
          <w:b/>
          <w:bCs/>
          <w:u w:val="single"/>
        </w:rPr>
        <w:t xml:space="preserve"> </w:t>
      </w:r>
      <w:r w:rsidR="00E9529A" w:rsidRPr="127799FB">
        <w:rPr>
          <w:rFonts w:ascii="Arial" w:hAnsi="Arial" w:cs="Arial"/>
          <w:b/>
          <w:bCs/>
          <w:u w:val="single"/>
        </w:rPr>
        <w:t>as documented in the public comment responses</w:t>
      </w:r>
      <w:r w:rsidR="00B67261" w:rsidRPr="127799FB">
        <w:rPr>
          <w:rFonts w:ascii="Arial" w:hAnsi="Arial" w:cs="Arial"/>
          <w:b/>
          <w:bCs/>
          <w:u w:val="single"/>
        </w:rPr>
        <w:t xml:space="preserve"> during NEVI regulation development and in original </w:t>
      </w:r>
      <w:r w:rsidR="004C2457" w:rsidRPr="127799FB">
        <w:rPr>
          <w:rFonts w:ascii="Arial" w:hAnsi="Arial" w:cs="Arial"/>
          <w:b/>
          <w:bCs/>
          <w:u w:val="single"/>
        </w:rPr>
        <w:t xml:space="preserve">NEVI </w:t>
      </w:r>
      <w:r w:rsidR="009A5D76" w:rsidRPr="127799FB">
        <w:rPr>
          <w:rFonts w:ascii="Arial" w:hAnsi="Arial" w:cs="Arial"/>
          <w:b/>
          <w:bCs/>
          <w:u w:val="single"/>
        </w:rPr>
        <w:t xml:space="preserve">formula </w:t>
      </w:r>
      <w:r w:rsidR="00B67261" w:rsidRPr="127799FB">
        <w:rPr>
          <w:rFonts w:ascii="Arial" w:hAnsi="Arial" w:cs="Arial"/>
          <w:b/>
          <w:bCs/>
          <w:u w:val="single"/>
        </w:rPr>
        <w:t>program guidance</w:t>
      </w:r>
      <w:r w:rsidR="005E316A" w:rsidRPr="127799FB">
        <w:rPr>
          <w:rFonts w:ascii="Arial" w:hAnsi="Arial" w:cs="Arial"/>
          <w:b/>
          <w:bCs/>
          <w:u w:val="single"/>
        </w:rPr>
        <w:t xml:space="preserve">. </w:t>
      </w:r>
      <w:r w:rsidR="00D333D6" w:rsidRPr="127799FB">
        <w:rPr>
          <w:rFonts w:ascii="Arial" w:hAnsi="Arial" w:cs="Arial"/>
          <w:b/>
          <w:bCs/>
          <w:u w:val="single"/>
        </w:rPr>
        <w:t xml:space="preserve">Given uncertainty </w:t>
      </w:r>
      <w:r w:rsidR="008365EF" w:rsidRPr="127799FB">
        <w:rPr>
          <w:rFonts w:ascii="Arial" w:hAnsi="Arial" w:cs="Arial"/>
          <w:b/>
          <w:bCs/>
          <w:u w:val="single"/>
        </w:rPr>
        <w:t xml:space="preserve">about </w:t>
      </w:r>
      <w:r w:rsidR="00674940" w:rsidRPr="127799FB">
        <w:rPr>
          <w:rFonts w:ascii="Arial" w:hAnsi="Arial" w:cs="Arial"/>
          <w:b/>
          <w:bCs/>
          <w:u w:val="single"/>
        </w:rPr>
        <w:t>which</w:t>
      </w:r>
      <w:r w:rsidR="008365EF" w:rsidRPr="127799FB">
        <w:rPr>
          <w:rFonts w:ascii="Arial" w:hAnsi="Arial" w:cs="Arial"/>
          <w:b/>
          <w:bCs/>
          <w:u w:val="single"/>
        </w:rPr>
        <w:t xml:space="preserve"> </w:t>
      </w:r>
      <w:r w:rsidR="004C2457" w:rsidRPr="127799FB">
        <w:rPr>
          <w:rFonts w:ascii="Arial" w:hAnsi="Arial" w:cs="Arial"/>
          <w:b/>
          <w:bCs/>
          <w:u w:val="single"/>
        </w:rPr>
        <w:t xml:space="preserve">NEVI </w:t>
      </w:r>
      <w:r w:rsidR="009A5D76" w:rsidRPr="127799FB">
        <w:rPr>
          <w:rFonts w:ascii="Arial" w:hAnsi="Arial" w:cs="Arial"/>
          <w:b/>
          <w:bCs/>
          <w:u w:val="single"/>
        </w:rPr>
        <w:t xml:space="preserve">formula </w:t>
      </w:r>
      <w:r w:rsidR="004C2457" w:rsidRPr="127799FB">
        <w:rPr>
          <w:rFonts w:ascii="Arial" w:hAnsi="Arial" w:cs="Arial"/>
          <w:b/>
          <w:bCs/>
          <w:u w:val="single"/>
        </w:rPr>
        <w:t xml:space="preserve">program </w:t>
      </w:r>
      <w:r w:rsidR="00E567A4" w:rsidRPr="127799FB">
        <w:rPr>
          <w:rFonts w:ascii="Arial" w:hAnsi="Arial" w:cs="Arial"/>
          <w:b/>
          <w:bCs/>
          <w:u w:val="single"/>
        </w:rPr>
        <w:t xml:space="preserve">guidance will </w:t>
      </w:r>
      <w:r w:rsidR="00573D54" w:rsidRPr="127799FB">
        <w:rPr>
          <w:rFonts w:ascii="Arial" w:hAnsi="Arial" w:cs="Arial"/>
          <w:b/>
          <w:bCs/>
          <w:u w:val="single"/>
        </w:rPr>
        <w:t>apply to this solicitation</w:t>
      </w:r>
      <w:r w:rsidR="00394D27" w:rsidRPr="127799FB">
        <w:rPr>
          <w:rFonts w:ascii="Arial" w:hAnsi="Arial" w:cs="Arial"/>
          <w:b/>
          <w:bCs/>
          <w:u w:val="single"/>
        </w:rPr>
        <w:t xml:space="preserve">, </w:t>
      </w:r>
      <w:r w:rsidR="00453B29" w:rsidRPr="127799FB">
        <w:rPr>
          <w:rFonts w:ascii="Arial" w:hAnsi="Arial" w:cs="Arial"/>
          <w:b/>
          <w:bCs/>
          <w:u w:val="single"/>
        </w:rPr>
        <w:t xml:space="preserve">this solicitation </w:t>
      </w:r>
      <w:r w:rsidR="004B5563" w:rsidRPr="127799FB">
        <w:rPr>
          <w:rFonts w:ascii="Arial" w:hAnsi="Arial" w:cs="Arial"/>
          <w:b/>
          <w:bCs/>
          <w:u w:val="single"/>
        </w:rPr>
        <w:t xml:space="preserve">aims to </w:t>
      </w:r>
      <w:r w:rsidR="005F52F4" w:rsidRPr="127799FB">
        <w:rPr>
          <w:rFonts w:ascii="Arial" w:hAnsi="Arial" w:cs="Arial"/>
          <w:b/>
          <w:bCs/>
          <w:u w:val="single"/>
        </w:rPr>
        <w:t>e</w:t>
      </w:r>
      <w:r w:rsidR="005C2C6E" w:rsidRPr="127799FB">
        <w:rPr>
          <w:rFonts w:ascii="Arial" w:hAnsi="Arial" w:cs="Arial"/>
          <w:b/>
          <w:bCs/>
          <w:u w:val="single"/>
        </w:rPr>
        <w:t>nable</w:t>
      </w:r>
      <w:r w:rsidR="00D246BE" w:rsidRPr="127799FB">
        <w:rPr>
          <w:rFonts w:ascii="Arial" w:hAnsi="Arial" w:cs="Arial"/>
          <w:b/>
          <w:bCs/>
          <w:u w:val="single"/>
        </w:rPr>
        <w:t xml:space="preserve"> the tracking of</w:t>
      </w:r>
      <w:r w:rsidR="005C2C6E" w:rsidRPr="127799FB">
        <w:rPr>
          <w:rFonts w:ascii="Arial" w:hAnsi="Arial" w:cs="Arial"/>
          <w:b/>
          <w:bCs/>
          <w:u w:val="single"/>
        </w:rPr>
        <w:t xml:space="preserve"> Justice40 community benefits if </w:t>
      </w:r>
      <w:proofErr w:type="gramStart"/>
      <w:r w:rsidR="005C2C6E" w:rsidRPr="127799FB">
        <w:rPr>
          <w:rFonts w:ascii="Arial" w:hAnsi="Arial" w:cs="Arial"/>
          <w:b/>
          <w:bCs/>
          <w:u w:val="single"/>
        </w:rPr>
        <w:t>requi</w:t>
      </w:r>
      <w:r w:rsidR="005C089B" w:rsidRPr="127799FB">
        <w:rPr>
          <w:rFonts w:ascii="Arial" w:hAnsi="Arial" w:cs="Arial"/>
          <w:b/>
          <w:bCs/>
          <w:u w:val="single"/>
        </w:rPr>
        <w:t>red, but</w:t>
      </w:r>
      <w:proofErr w:type="gramEnd"/>
      <w:r w:rsidR="005C089B" w:rsidRPr="127799FB">
        <w:rPr>
          <w:rFonts w:ascii="Arial" w:hAnsi="Arial" w:cs="Arial"/>
          <w:b/>
          <w:bCs/>
          <w:u w:val="single"/>
        </w:rPr>
        <w:t xml:space="preserve"> otherwise does not give preference to </w:t>
      </w:r>
      <w:r w:rsidR="00DF23F3" w:rsidRPr="127799FB">
        <w:rPr>
          <w:rFonts w:ascii="Arial" w:hAnsi="Arial" w:cs="Arial"/>
          <w:b/>
          <w:bCs/>
          <w:u w:val="single"/>
        </w:rPr>
        <w:t xml:space="preserve">projects </w:t>
      </w:r>
      <w:r w:rsidR="00F77E44" w:rsidRPr="127799FB">
        <w:rPr>
          <w:rFonts w:ascii="Arial" w:hAnsi="Arial" w:cs="Arial"/>
          <w:b/>
          <w:bCs/>
          <w:u w:val="single"/>
        </w:rPr>
        <w:t xml:space="preserve">in </w:t>
      </w:r>
      <w:r w:rsidR="00C855DE" w:rsidRPr="127799FB">
        <w:rPr>
          <w:rFonts w:ascii="Arial" w:hAnsi="Arial" w:cs="Arial"/>
          <w:b/>
          <w:bCs/>
          <w:u w:val="single"/>
        </w:rPr>
        <w:t>relation</w:t>
      </w:r>
      <w:r w:rsidR="00F77E44" w:rsidRPr="127799FB">
        <w:rPr>
          <w:rFonts w:ascii="Arial" w:hAnsi="Arial" w:cs="Arial"/>
          <w:b/>
          <w:bCs/>
          <w:u w:val="single"/>
        </w:rPr>
        <w:t xml:space="preserve"> to</w:t>
      </w:r>
      <w:r w:rsidR="00F62D8E" w:rsidRPr="127799FB">
        <w:rPr>
          <w:rFonts w:ascii="Arial" w:hAnsi="Arial" w:cs="Arial"/>
          <w:b/>
          <w:bCs/>
          <w:u w:val="single"/>
        </w:rPr>
        <w:t xml:space="preserve"> </w:t>
      </w:r>
      <w:r w:rsidR="00F77E44" w:rsidRPr="127799FB">
        <w:rPr>
          <w:rFonts w:ascii="Arial" w:hAnsi="Arial" w:cs="Arial"/>
          <w:b/>
          <w:bCs/>
          <w:u w:val="single"/>
        </w:rPr>
        <w:t>federally-designated disadvantaged communities.</w:t>
      </w:r>
      <w:r w:rsidR="006C5B7A" w:rsidRPr="127799FB">
        <w:rPr>
          <w:rFonts w:ascii="Arial" w:hAnsi="Arial" w:cs="Arial"/>
          <w:b/>
          <w:bCs/>
          <w:u w:val="single"/>
        </w:rPr>
        <w:t xml:space="preserve"> The state can track Justice40 community benefits</w:t>
      </w:r>
      <w:r w:rsidR="00631AB1" w:rsidRPr="127799FB">
        <w:rPr>
          <w:rFonts w:ascii="Arial" w:hAnsi="Arial" w:cs="Arial"/>
          <w:b/>
          <w:bCs/>
          <w:u w:val="single"/>
        </w:rPr>
        <w:t>,</w:t>
      </w:r>
      <w:r w:rsidR="006C5B7A" w:rsidRPr="127799FB">
        <w:rPr>
          <w:rFonts w:ascii="Arial" w:hAnsi="Arial" w:cs="Arial"/>
          <w:b/>
          <w:bCs/>
          <w:u w:val="single"/>
        </w:rPr>
        <w:t xml:space="preserve"> </w:t>
      </w:r>
      <w:r w:rsidR="00D7670F" w:rsidRPr="127799FB">
        <w:rPr>
          <w:rFonts w:ascii="Arial" w:hAnsi="Arial" w:cs="Arial"/>
          <w:b/>
          <w:bCs/>
          <w:u w:val="single"/>
        </w:rPr>
        <w:t>if</w:t>
      </w:r>
      <w:r w:rsidR="006C5B7A" w:rsidRPr="127799FB">
        <w:rPr>
          <w:rFonts w:ascii="Arial" w:hAnsi="Arial" w:cs="Arial"/>
          <w:b/>
          <w:bCs/>
          <w:u w:val="single"/>
        </w:rPr>
        <w:t xml:space="preserve"> necessary</w:t>
      </w:r>
      <w:r w:rsidR="00631AB1" w:rsidRPr="127799FB">
        <w:rPr>
          <w:rFonts w:ascii="Arial" w:hAnsi="Arial" w:cs="Arial"/>
          <w:b/>
          <w:bCs/>
          <w:u w:val="single"/>
        </w:rPr>
        <w:t>,</w:t>
      </w:r>
      <w:r w:rsidR="006C5B7A" w:rsidRPr="127799FB">
        <w:rPr>
          <w:rFonts w:ascii="Arial" w:hAnsi="Arial" w:cs="Arial"/>
          <w:b/>
          <w:bCs/>
          <w:u w:val="single"/>
        </w:rPr>
        <w:t xml:space="preserve"> using </w:t>
      </w:r>
      <w:r w:rsidR="00431534" w:rsidRPr="127799FB">
        <w:rPr>
          <w:rFonts w:ascii="Arial" w:hAnsi="Arial" w:cs="Arial"/>
          <w:b/>
          <w:bCs/>
          <w:u w:val="single"/>
        </w:rPr>
        <w:t xml:space="preserve">the Justice40 layer in </w:t>
      </w:r>
      <w:r w:rsidR="0021157C" w:rsidRPr="127799FB">
        <w:rPr>
          <w:rFonts w:ascii="Arial" w:hAnsi="Arial" w:cs="Arial"/>
          <w:b/>
          <w:bCs/>
          <w:u w:val="single"/>
        </w:rPr>
        <w:t>California’s National Electric Vehicle Infrastructure Funding Program Map</w:t>
      </w:r>
      <w:r w:rsidR="000445E0" w:rsidRPr="127799FB">
        <w:rPr>
          <w:rFonts w:ascii="Arial" w:hAnsi="Arial" w:cs="Arial"/>
          <w:b/>
          <w:bCs/>
          <w:u w:val="single"/>
        </w:rPr>
        <w:t xml:space="preserve">. </w:t>
      </w:r>
    </w:p>
    <w:p w14:paraId="0F3C29D8" w14:textId="0BE8AF91" w:rsidR="003C0CDC" w:rsidRPr="00752BAE" w:rsidRDefault="003C0CDC" w:rsidP="00C4206C">
      <w:pPr>
        <w:pStyle w:val="paragraph"/>
        <w:spacing w:before="0" w:beforeAutospacing="0" w:after="0" w:afterAutospacing="0"/>
        <w:ind w:left="720"/>
        <w:textAlignment w:val="baseline"/>
        <w:rPr>
          <w:rFonts w:ascii="Arial" w:hAnsi="Arial" w:cs="Arial"/>
        </w:rPr>
      </w:pPr>
    </w:p>
    <w:p w14:paraId="6B8C78B1" w14:textId="77777777" w:rsidR="00651E4F" w:rsidRPr="00752BAE" w:rsidRDefault="00651E4F" w:rsidP="00164AC5">
      <w:pPr>
        <w:widowControl w:val="0"/>
        <w:numPr>
          <w:ilvl w:val="0"/>
          <w:numId w:val="37"/>
        </w:numPr>
        <w:ind w:left="1440" w:hanging="720"/>
        <w:rPr>
          <w:szCs w:val="24"/>
        </w:rPr>
      </w:pPr>
      <w:r w:rsidRPr="00752BAE">
        <w:rPr>
          <w:b/>
          <w:szCs w:val="24"/>
        </w:rPr>
        <w:t>Corridor Coverage</w:t>
      </w:r>
    </w:p>
    <w:p w14:paraId="06FF0063" w14:textId="5A1E5AEC" w:rsidR="00651E4F" w:rsidRPr="00752BAE" w:rsidRDefault="00651E4F" w:rsidP="00651E4F">
      <w:pPr>
        <w:widowControl w:val="0"/>
        <w:ind w:left="1440"/>
        <w:rPr>
          <w:szCs w:val="24"/>
          <w:highlight w:val="yellow"/>
        </w:rPr>
      </w:pPr>
      <w:r w:rsidRPr="00752BAE">
        <w:rPr>
          <w:szCs w:val="24"/>
        </w:rPr>
        <w:t xml:space="preserve">The distribution of stations must meet the requirement that each corridor segment have a NEVI-compliant </w:t>
      </w:r>
      <w:r w:rsidR="00255331" w:rsidRPr="00752BAE">
        <w:rPr>
          <w:szCs w:val="24"/>
        </w:rPr>
        <w:t xml:space="preserve">EV </w:t>
      </w:r>
      <w:r w:rsidRPr="00752BAE">
        <w:rPr>
          <w:szCs w:val="24"/>
        </w:rPr>
        <w:t>charging station</w:t>
      </w:r>
      <w:r w:rsidR="006C61E9">
        <w:rPr>
          <w:szCs w:val="24"/>
        </w:rPr>
        <w:t xml:space="preserve">, meaning the station meets all requirements listed in </w:t>
      </w:r>
      <w:r w:rsidR="001550A4" w:rsidRPr="001550A4">
        <w:rPr>
          <w:szCs w:val="24"/>
        </w:rPr>
        <w:t>23 CFR 680</w:t>
      </w:r>
      <w:r w:rsidR="001550A4">
        <w:rPr>
          <w:szCs w:val="24"/>
        </w:rPr>
        <w:t>,</w:t>
      </w:r>
      <w:r w:rsidRPr="00752BAE">
        <w:rPr>
          <w:szCs w:val="24"/>
        </w:rPr>
        <w:t xml:space="preserve"> at least every 50 miles.</w:t>
      </w:r>
    </w:p>
    <w:p w14:paraId="7FBE8098" w14:textId="77777777" w:rsidR="00651E4F" w:rsidRPr="00752BAE" w:rsidRDefault="00651E4F" w:rsidP="00651E4F">
      <w:pPr>
        <w:ind w:left="1440"/>
        <w:rPr>
          <w:szCs w:val="24"/>
        </w:rPr>
      </w:pPr>
    </w:p>
    <w:p w14:paraId="4A5854FC" w14:textId="32A2D017" w:rsidR="00651E4F" w:rsidRPr="00752BAE" w:rsidRDefault="00651E4F" w:rsidP="00164AC5">
      <w:pPr>
        <w:numPr>
          <w:ilvl w:val="0"/>
          <w:numId w:val="37"/>
        </w:numPr>
        <w:ind w:left="1440" w:hanging="720"/>
        <w:rPr>
          <w:szCs w:val="24"/>
        </w:rPr>
      </w:pPr>
      <w:r w:rsidRPr="00752BAE">
        <w:rPr>
          <w:b/>
          <w:szCs w:val="24"/>
        </w:rPr>
        <w:t xml:space="preserve">Number of </w:t>
      </w:r>
      <w:r w:rsidR="002B06F4" w:rsidRPr="00752BAE">
        <w:rPr>
          <w:b/>
          <w:szCs w:val="24"/>
        </w:rPr>
        <w:t xml:space="preserve">EV </w:t>
      </w:r>
      <w:r w:rsidRPr="00752BAE">
        <w:rPr>
          <w:b/>
          <w:szCs w:val="24"/>
        </w:rPr>
        <w:t>Charging Stations</w:t>
      </w:r>
    </w:p>
    <w:p w14:paraId="64083E6C" w14:textId="1120DEB0" w:rsidR="009A3DD2" w:rsidRPr="00752BAE" w:rsidRDefault="009A3DD2" w:rsidP="00651E4F">
      <w:pPr>
        <w:ind w:left="1440"/>
        <w:rPr>
          <w:szCs w:val="24"/>
        </w:rPr>
      </w:pPr>
      <w:r w:rsidRPr="00752BAE">
        <w:rPr>
          <w:szCs w:val="24"/>
        </w:rPr>
        <w:t>For purposes of this solicitation, a</w:t>
      </w:r>
      <w:r w:rsidR="002B06F4" w:rsidRPr="00752BAE">
        <w:rPr>
          <w:szCs w:val="24"/>
        </w:rPr>
        <w:t>n EV</w:t>
      </w:r>
      <w:r w:rsidRPr="00752BAE">
        <w:rPr>
          <w:szCs w:val="24"/>
        </w:rPr>
        <w:t xml:space="preserve"> charging station refers to the area in the immediate vicinity of a group of chargers and includes the chargers, supporting equipment, parking areas adjacent to the chargers, and lanes for vehicle ingress and egress. A</w:t>
      </w:r>
      <w:r w:rsidR="002B06F4" w:rsidRPr="00752BAE">
        <w:rPr>
          <w:szCs w:val="24"/>
        </w:rPr>
        <w:t>n EV</w:t>
      </w:r>
      <w:r w:rsidRPr="00752BAE">
        <w:rPr>
          <w:szCs w:val="24"/>
        </w:rPr>
        <w:t xml:space="preserve"> charging station could comprise </w:t>
      </w:r>
      <w:r w:rsidRPr="00752BAE">
        <w:rPr>
          <w:szCs w:val="24"/>
        </w:rPr>
        <w:lastRenderedPageBreak/>
        <w:t xml:space="preserve">only part of the property on which it is located. Multiple chargers may be associated with one </w:t>
      </w:r>
      <w:r w:rsidR="002B06F4" w:rsidRPr="00752BAE">
        <w:rPr>
          <w:szCs w:val="24"/>
        </w:rPr>
        <w:t xml:space="preserve">EV </w:t>
      </w:r>
      <w:r w:rsidRPr="00752BAE">
        <w:rPr>
          <w:szCs w:val="24"/>
        </w:rPr>
        <w:t>charging station.</w:t>
      </w:r>
    </w:p>
    <w:p w14:paraId="3FCF8BDA" w14:textId="77777777" w:rsidR="002B06F4" w:rsidRPr="00752BAE" w:rsidRDefault="002B06F4" w:rsidP="00651E4F">
      <w:pPr>
        <w:ind w:left="1440"/>
        <w:rPr>
          <w:szCs w:val="24"/>
        </w:rPr>
      </w:pPr>
    </w:p>
    <w:p w14:paraId="39C11480" w14:textId="5617A455" w:rsidR="00651E4F" w:rsidRPr="00752BAE" w:rsidRDefault="00651E4F" w:rsidP="00651E4F">
      <w:pPr>
        <w:ind w:left="1440"/>
        <w:rPr>
          <w:szCs w:val="24"/>
        </w:rPr>
      </w:pPr>
      <w:r w:rsidRPr="00752BAE">
        <w:rPr>
          <w:szCs w:val="24"/>
        </w:rPr>
        <w:t xml:space="preserve">Applicants must propose to install at least the </w:t>
      </w:r>
      <w:r w:rsidR="00255331" w:rsidRPr="00752BAE">
        <w:rPr>
          <w:szCs w:val="24"/>
        </w:rPr>
        <w:t>m</w:t>
      </w:r>
      <w:r w:rsidRPr="00752BAE">
        <w:rPr>
          <w:szCs w:val="24"/>
        </w:rPr>
        <w:t xml:space="preserve">inimum </w:t>
      </w:r>
      <w:r w:rsidR="00255331" w:rsidRPr="00752BAE">
        <w:rPr>
          <w:szCs w:val="24"/>
        </w:rPr>
        <w:t>n</w:t>
      </w:r>
      <w:r w:rsidRPr="00752BAE">
        <w:rPr>
          <w:szCs w:val="24"/>
        </w:rPr>
        <w:t xml:space="preserve">umber of </w:t>
      </w:r>
      <w:r w:rsidR="008F3057" w:rsidRPr="00752BAE">
        <w:rPr>
          <w:szCs w:val="24"/>
        </w:rPr>
        <w:t xml:space="preserve">EV </w:t>
      </w:r>
      <w:r w:rsidR="00255331" w:rsidRPr="00752BAE">
        <w:rPr>
          <w:szCs w:val="24"/>
        </w:rPr>
        <w:t>c</w:t>
      </w:r>
      <w:r w:rsidRPr="00752BAE">
        <w:rPr>
          <w:szCs w:val="24"/>
        </w:rPr>
        <w:t xml:space="preserve">harging </w:t>
      </w:r>
      <w:r w:rsidR="00255331" w:rsidRPr="00752BAE">
        <w:rPr>
          <w:szCs w:val="24"/>
        </w:rPr>
        <w:t>s</w:t>
      </w:r>
      <w:r w:rsidRPr="00752BAE">
        <w:rPr>
          <w:szCs w:val="24"/>
        </w:rPr>
        <w:t>tations for each corridor segment listed in Table 2.</w:t>
      </w:r>
    </w:p>
    <w:p w14:paraId="3F3C3AE2" w14:textId="77777777" w:rsidR="00651E4F" w:rsidRPr="00752BAE" w:rsidRDefault="00651E4F" w:rsidP="00651E4F">
      <w:pPr>
        <w:ind w:left="720"/>
        <w:rPr>
          <w:szCs w:val="24"/>
        </w:rPr>
      </w:pPr>
    </w:p>
    <w:p w14:paraId="04ABB56A" w14:textId="1DCBE5CF" w:rsidR="00651E4F" w:rsidRPr="00752BAE" w:rsidRDefault="00651E4F" w:rsidP="00651E4F">
      <w:pPr>
        <w:ind w:left="1440"/>
      </w:pPr>
      <w:r>
        <w:t xml:space="preserve">Applicants may propose additional </w:t>
      </w:r>
      <w:r w:rsidR="00F413E7">
        <w:t xml:space="preserve">EV </w:t>
      </w:r>
      <w:r>
        <w:t xml:space="preserve">charging stations beyond the minimum number listed in Table 2. Applicants may propose to utilize existing </w:t>
      </w:r>
      <w:r w:rsidR="00F413E7">
        <w:t xml:space="preserve">EV </w:t>
      </w:r>
      <w:r>
        <w:t>charging stations</w:t>
      </w:r>
      <w:r w:rsidR="00DD215B">
        <w:t xml:space="preserve">, including upgrading existing </w:t>
      </w:r>
      <w:r w:rsidR="00BB69EA">
        <w:t>chargers</w:t>
      </w:r>
      <w:r w:rsidR="00DD215B">
        <w:t xml:space="preserve"> that </w:t>
      </w:r>
      <w:r w:rsidR="002E3AB4">
        <w:t xml:space="preserve">cannot </w:t>
      </w:r>
      <w:r w:rsidR="0072712A">
        <w:t xml:space="preserve">satisfy all NEVI requirements and adding additional NEVI-compliant </w:t>
      </w:r>
      <w:r w:rsidR="0055479A">
        <w:t>chargers</w:t>
      </w:r>
      <w:r>
        <w:t>.</w:t>
      </w:r>
      <w:r w:rsidR="00704D50">
        <w:t xml:space="preserve"> </w:t>
      </w:r>
      <w:r w:rsidR="003B7088">
        <w:t>For corridor segments that appear to have existing stations that may already meet the NEVI charging port and power requirements, u</w:t>
      </w:r>
      <w:r w:rsidR="00704D50">
        <w:t xml:space="preserve">se of existing stations </w:t>
      </w:r>
      <w:r w:rsidR="003B7088">
        <w:t>will be preferred during evaluation</w:t>
      </w:r>
      <w:r w:rsidR="00792DFB">
        <w:t xml:space="preserve">. These corridor segments are marked with </w:t>
      </w:r>
      <w:r w:rsidR="00942659">
        <w:t>one or two asterisks in Table 2</w:t>
      </w:r>
      <w:r w:rsidR="007D5F93">
        <w:t xml:space="preserve"> and</w:t>
      </w:r>
      <w:r>
        <w:t xml:space="preserve"> </w:t>
      </w:r>
      <w:r w:rsidR="007D5F93">
        <w:t>a</w:t>
      </w:r>
      <w:r w:rsidR="001E53CF">
        <w:t>pplications will be evaluated on the degree to which existing EV charging stations are used</w:t>
      </w:r>
      <w:r w:rsidR="007D5F93">
        <w:t xml:space="preserve"> in these corridor groups</w:t>
      </w:r>
      <w:r w:rsidR="003B3CE1">
        <w:t xml:space="preserve">. </w:t>
      </w:r>
      <w:r>
        <w:t>Existing and new sites must comply with all solicitation requirements.</w:t>
      </w:r>
    </w:p>
    <w:p w14:paraId="4A5B57A8" w14:textId="3C88D7F2" w:rsidR="006405DD" w:rsidRDefault="006405DD">
      <w:pPr>
        <w:rPr>
          <w:szCs w:val="24"/>
        </w:rPr>
      </w:pPr>
    </w:p>
    <w:p w14:paraId="2D3EB20E" w14:textId="77777777" w:rsidR="00651E4F" w:rsidRPr="00752BAE" w:rsidRDefault="00651E4F" w:rsidP="00164AC5">
      <w:pPr>
        <w:numPr>
          <w:ilvl w:val="0"/>
          <w:numId w:val="37"/>
        </w:numPr>
        <w:ind w:left="1440" w:hanging="720"/>
        <w:rPr>
          <w:szCs w:val="24"/>
        </w:rPr>
      </w:pPr>
      <w:r w:rsidRPr="00752BAE">
        <w:rPr>
          <w:b/>
          <w:bCs/>
          <w:szCs w:val="24"/>
        </w:rPr>
        <w:t>Number of Charging Ports</w:t>
      </w:r>
    </w:p>
    <w:p w14:paraId="0F8AACC5" w14:textId="4CE93A68" w:rsidR="00DA2F05" w:rsidRPr="00752BAE" w:rsidRDefault="007A43D9" w:rsidP="00651E4F">
      <w:pPr>
        <w:ind w:left="1440"/>
        <w:rPr>
          <w:szCs w:val="24"/>
        </w:rPr>
      </w:pPr>
      <w:r>
        <w:rPr>
          <w:szCs w:val="24"/>
        </w:rPr>
        <w:t>[</w:t>
      </w:r>
      <w:r w:rsidR="00C74CCB" w:rsidRPr="00E44525">
        <w:rPr>
          <w:strike/>
          <w:szCs w:val="24"/>
        </w:rPr>
        <w:t>Per 23 CFR 680</w:t>
      </w:r>
      <w:r w:rsidR="006A68FC" w:rsidRPr="00E44525">
        <w:rPr>
          <w:strike/>
          <w:szCs w:val="24"/>
        </w:rPr>
        <w:t xml:space="preserve"> and </w:t>
      </w:r>
      <w:r w:rsidR="00EF20E5" w:rsidRPr="00E44525">
        <w:rPr>
          <w:strike/>
          <w:szCs w:val="24"/>
        </w:rPr>
        <w:t xml:space="preserve">FHWA NEVI </w:t>
      </w:r>
      <w:r w:rsidR="00AA4AF8" w:rsidRPr="00E44525">
        <w:rPr>
          <w:strike/>
          <w:szCs w:val="24"/>
        </w:rPr>
        <w:t>formula program guidance</w:t>
      </w:r>
      <w:r w:rsidR="00C74CCB" w:rsidRPr="00E44525">
        <w:rPr>
          <w:strike/>
          <w:szCs w:val="24"/>
        </w:rPr>
        <w:t>,</w:t>
      </w:r>
      <w:r w:rsidR="0020390B" w:rsidRPr="00E44525">
        <w:rPr>
          <w:rStyle w:val="FootnoteReference"/>
          <w:strike/>
          <w:szCs w:val="24"/>
        </w:rPr>
        <w:footnoteReference w:id="5"/>
      </w:r>
      <w:r w:rsidR="00C74CCB" w:rsidRPr="00E44525">
        <w:rPr>
          <w:strike/>
          <w:szCs w:val="24"/>
        </w:rPr>
        <w:t xml:space="preserve"> </w:t>
      </w:r>
      <w:r w:rsidR="00D61608" w:rsidRPr="00E44525">
        <w:rPr>
          <w:strike/>
          <w:szCs w:val="24"/>
        </w:rPr>
        <w:t xml:space="preserve">to be NEVI compliant, </w:t>
      </w:r>
      <w:r w:rsidR="0025465C" w:rsidRPr="00E44525">
        <w:rPr>
          <w:strike/>
          <w:szCs w:val="24"/>
        </w:rPr>
        <w:t>each</w:t>
      </w:r>
      <w:r w:rsidR="00E44525">
        <w:rPr>
          <w:szCs w:val="24"/>
        </w:rPr>
        <w:t>]</w:t>
      </w:r>
      <w:r w:rsidR="0025465C" w:rsidRPr="00752BAE">
        <w:rPr>
          <w:szCs w:val="24"/>
        </w:rPr>
        <w:t xml:space="preserve"> </w:t>
      </w:r>
      <w:r w:rsidR="00E44525" w:rsidRPr="00E44525">
        <w:rPr>
          <w:b/>
          <w:bCs/>
          <w:szCs w:val="24"/>
          <w:u w:val="single"/>
        </w:rPr>
        <w:t>Each</w:t>
      </w:r>
      <w:r w:rsidR="00E44525" w:rsidRPr="00E44525">
        <w:rPr>
          <w:szCs w:val="24"/>
        </w:rPr>
        <w:t xml:space="preserve"> </w:t>
      </w:r>
      <w:r w:rsidR="003D5549" w:rsidRPr="00752BAE">
        <w:rPr>
          <w:szCs w:val="24"/>
        </w:rPr>
        <w:t>EV</w:t>
      </w:r>
      <w:r w:rsidR="00C74CCB" w:rsidRPr="00752BAE">
        <w:rPr>
          <w:szCs w:val="24"/>
        </w:rPr>
        <w:t xml:space="preserve"> charging station must have a minimum of four </w:t>
      </w:r>
      <w:r w:rsidR="004373A6">
        <w:rPr>
          <w:szCs w:val="24"/>
        </w:rPr>
        <w:t xml:space="preserve">network-connected </w:t>
      </w:r>
      <w:r w:rsidR="00C74CCB" w:rsidRPr="00752BAE">
        <w:rPr>
          <w:szCs w:val="24"/>
        </w:rPr>
        <w:t>DC</w:t>
      </w:r>
      <w:r w:rsidR="003D5549" w:rsidRPr="00752BAE">
        <w:rPr>
          <w:szCs w:val="24"/>
        </w:rPr>
        <w:t xml:space="preserve"> fast charging</w:t>
      </w:r>
      <w:r w:rsidR="00C74CCB" w:rsidRPr="00752BAE">
        <w:rPr>
          <w:szCs w:val="24"/>
        </w:rPr>
        <w:t xml:space="preserve"> ports </w:t>
      </w:r>
      <w:r w:rsidR="00B14899">
        <w:rPr>
          <w:szCs w:val="24"/>
        </w:rPr>
        <w:t xml:space="preserve">and be capable of </w:t>
      </w:r>
      <w:r w:rsidR="00B6516A">
        <w:rPr>
          <w:szCs w:val="24"/>
        </w:rPr>
        <w:t>simultaneously charging at least four EVs</w:t>
      </w:r>
      <w:r w:rsidR="001475FA">
        <w:rPr>
          <w:szCs w:val="24"/>
        </w:rPr>
        <w:t xml:space="preserve"> at 150 kW or above at each port, with a minimum station power capability at or above 600 kW</w:t>
      </w:r>
      <w:r w:rsidR="00C74CCB" w:rsidRPr="00752BAE">
        <w:rPr>
          <w:szCs w:val="24"/>
        </w:rPr>
        <w:t>.</w:t>
      </w:r>
    </w:p>
    <w:p w14:paraId="29A3970B" w14:textId="77777777" w:rsidR="00DA2F05" w:rsidRPr="00752BAE" w:rsidRDefault="00DA2F05" w:rsidP="00651E4F">
      <w:pPr>
        <w:ind w:left="1440"/>
        <w:rPr>
          <w:szCs w:val="24"/>
        </w:rPr>
      </w:pPr>
    </w:p>
    <w:p w14:paraId="35185123" w14:textId="77777777" w:rsidR="00855EED" w:rsidRDefault="000A67D8" w:rsidP="00651E4F">
      <w:pPr>
        <w:ind w:left="1440"/>
        <w:rPr>
          <w:szCs w:val="24"/>
        </w:rPr>
      </w:pPr>
      <w:r>
        <w:rPr>
          <w:szCs w:val="24"/>
        </w:rPr>
        <w:t xml:space="preserve">Each DC fast charging port must be capable of charging any CCS-compliant vehicle and each DC fast charging </w:t>
      </w:r>
      <w:r w:rsidR="000A455C">
        <w:rPr>
          <w:szCs w:val="24"/>
        </w:rPr>
        <w:t xml:space="preserve">port must have at least one permanently attached CCS Type 1 connector. </w:t>
      </w:r>
    </w:p>
    <w:p w14:paraId="56EAF18D" w14:textId="77777777" w:rsidR="00855EED" w:rsidRDefault="00855EED" w:rsidP="00651E4F">
      <w:pPr>
        <w:ind w:left="1440"/>
        <w:rPr>
          <w:szCs w:val="24"/>
        </w:rPr>
      </w:pPr>
    </w:p>
    <w:p w14:paraId="59419DBF" w14:textId="233A96EC" w:rsidR="00651E4F" w:rsidRPr="00752BAE" w:rsidRDefault="00651E4F" w:rsidP="00651E4F">
      <w:pPr>
        <w:ind w:left="1440"/>
        <w:rPr>
          <w:szCs w:val="24"/>
        </w:rPr>
      </w:pPr>
      <w:r w:rsidRPr="00752BAE">
        <w:rPr>
          <w:szCs w:val="24"/>
        </w:rPr>
        <w:t xml:space="preserve">Applicants must propose installing the </w:t>
      </w:r>
      <w:r w:rsidR="00827584" w:rsidRPr="00752BAE">
        <w:rPr>
          <w:szCs w:val="24"/>
        </w:rPr>
        <w:t>minimum</w:t>
      </w:r>
      <w:r w:rsidRPr="00752BAE">
        <w:rPr>
          <w:szCs w:val="24"/>
        </w:rPr>
        <w:t xml:space="preserve"> </w:t>
      </w:r>
      <w:r w:rsidR="00827584" w:rsidRPr="00752BAE">
        <w:rPr>
          <w:szCs w:val="24"/>
        </w:rPr>
        <w:t>n</w:t>
      </w:r>
      <w:r w:rsidRPr="00752BAE">
        <w:rPr>
          <w:szCs w:val="24"/>
        </w:rPr>
        <w:t xml:space="preserve">umber of </w:t>
      </w:r>
      <w:r w:rsidR="00827584" w:rsidRPr="00752BAE">
        <w:rPr>
          <w:szCs w:val="24"/>
        </w:rPr>
        <w:t>n</w:t>
      </w:r>
      <w:r w:rsidRPr="00752BAE">
        <w:rPr>
          <w:szCs w:val="24"/>
        </w:rPr>
        <w:t xml:space="preserve">ew CCS </w:t>
      </w:r>
      <w:r w:rsidR="00DA2F05" w:rsidRPr="00752BAE">
        <w:rPr>
          <w:szCs w:val="24"/>
        </w:rPr>
        <w:t xml:space="preserve">DC fast </w:t>
      </w:r>
      <w:r w:rsidR="00827584" w:rsidRPr="00752BAE">
        <w:rPr>
          <w:szCs w:val="24"/>
        </w:rPr>
        <w:t>c</w:t>
      </w:r>
      <w:r w:rsidRPr="00752BAE">
        <w:rPr>
          <w:szCs w:val="24"/>
        </w:rPr>
        <w:t xml:space="preserve">harging </w:t>
      </w:r>
      <w:r w:rsidR="00827584" w:rsidRPr="00752BAE">
        <w:rPr>
          <w:szCs w:val="24"/>
        </w:rPr>
        <w:t>p</w:t>
      </w:r>
      <w:r w:rsidRPr="00752BAE">
        <w:rPr>
          <w:szCs w:val="24"/>
        </w:rPr>
        <w:t xml:space="preserve">orts for each corridor segment listed in Table 2. </w:t>
      </w:r>
      <w:r w:rsidR="00BF262E">
        <w:rPr>
          <w:szCs w:val="24"/>
        </w:rPr>
        <w:t xml:space="preserve">SAE J3400 connectors may be </w:t>
      </w:r>
      <w:r w:rsidR="0026398C">
        <w:rPr>
          <w:szCs w:val="24"/>
        </w:rPr>
        <w:t xml:space="preserve">included in projects optionally. </w:t>
      </w:r>
      <w:r w:rsidRPr="00752BAE">
        <w:rPr>
          <w:szCs w:val="24"/>
        </w:rPr>
        <w:t xml:space="preserve">Applicants may install additional </w:t>
      </w:r>
      <w:r w:rsidR="0037532B" w:rsidRPr="00752BAE">
        <w:rPr>
          <w:szCs w:val="24"/>
        </w:rPr>
        <w:t xml:space="preserve">CCS </w:t>
      </w:r>
      <w:r w:rsidR="00DA2F05" w:rsidRPr="00752BAE">
        <w:rPr>
          <w:szCs w:val="24"/>
        </w:rPr>
        <w:t xml:space="preserve">DC fast </w:t>
      </w:r>
      <w:r w:rsidRPr="00752BAE">
        <w:rPr>
          <w:szCs w:val="24"/>
        </w:rPr>
        <w:t>charg</w:t>
      </w:r>
      <w:r w:rsidR="00827584" w:rsidRPr="00752BAE">
        <w:rPr>
          <w:szCs w:val="24"/>
        </w:rPr>
        <w:t>ing ports</w:t>
      </w:r>
      <w:r w:rsidR="0037532B" w:rsidRPr="00752BAE">
        <w:rPr>
          <w:szCs w:val="24"/>
        </w:rPr>
        <w:t xml:space="preserve"> or SAE J3400 charging ports</w:t>
      </w:r>
      <w:r w:rsidRPr="00752BAE">
        <w:rPr>
          <w:szCs w:val="24"/>
        </w:rPr>
        <w:t>.</w:t>
      </w:r>
      <w:r w:rsidR="00C23EEA">
        <w:rPr>
          <w:szCs w:val="24"/>
        </w:rPr>
        <w:t xml:space="preserve"> The number of charging ports proposed </w:t>
      </w:r>
      <w:r w:rsidR="00DC61A0">
        <w:rPr>
          <w:szCs w:val="24"/>
        </w:rPr>
        <w:t>by an Applicant</w:t>
      </w:r>
      <w:r w:rsidR="00C23EEA">
        <w:rPr>
          <w:szCs w:val="24"/>
        </w:rPr>
        <w:t xml:space="preserve"> will be evaluated </w:t>
      </w:r>
      <w:r w:rsidR="00596EFA">
        <w:rPr>
          <w:szCs w:val="24"/>
        </w:rPr>
        <w:t xml:space="preserve">as </w:t>
      </w:r>
      <w:r w:rsidR="00161DFB">
        <w:rPr>
          <w:szCs w:val="24"/>
        </w:rPr>
        <w:t>part of the overall proposed project using the evaluation criteria</w:t>
      </w:r>
      <w:r w:rsidR="00DC61A0">
        <w:rPr>
          <w:szCs w:val="24"/>
        </w:rPr>
        <w:t xml:space="preserve"> listed in Section IV.E. </w:t>
      </w:r>
      <w:r w:rsidR="00161DFB">
        <w:rPr>
          <w:szCs w:val="24"/>
        </w:rPr>
        <w:t xml:space="preserve"> </w:t>
      </w:r>
    </w:p>
    <w:p w14:paraId="454DA059" w14:textId="77777777" w:rsidR="00651E4F" w:rsidRPr="00752BAE" w:rsidRDefault="00651E4F" w:rsidP="00651E4F">
      <w:pPr>
        <w:rPr>
          <w:szCs w:val="24"/>
        </w:rPr>
      </w:pPr>
    </w:p>
    <w:p w14:paraId="4E0D48C1" w14:textId="14C31F80" w:rsidR="00651E4F" w:rsidRPr="00752BAE" w:rsidRDefault="00B72B3C" w:rsidP="00164AC5">
      <w:pPr>
        <w:numPr>
          <w:ilvl w:val="0"/>
          <w:numId w:val="37"/>
        </w:numPr>
        <w:ind w:left="1440" w:hanging="720"/>
        <w:rPr>
          <w:szCs w:val="24"/>
        </w:rPr>
      </w:pPr>
      <w:r w:rsidRPr="00752BAE">
        <w:rPr>
          <w:b/>
          <w:bCs/>
          <w:szCs w:val="24"/>
        </w:rPr>
        <w:t xml:space="preserve">Compliance with Applicable Laws, </w:t>
      </w:r>
      <w:r w:rsidR="003D013B">
        <w:rPr>
          <w:b/>
          <w:bCs/>
          <w:szCs w:val="24"/>
        </w:rPr>
        <w:t xml:space="preserve">Ordinances, </w:t>
      </w:r>
      <w:r w:rsidRPr="00752BAE">
        <w:rPr>
          <w:b/>
          <w:bCs/>
          <w:szCs w:val="24"/>
        </w:rPr>
        <w:t>Regulations, and Standards</w:t>
      </w:r>
    </w:p>
    <w:p w14:paraId="6EACE675" w14:textId="26A27F6A" w:rsidR="00651E4F" w:rsidRPr="00752BAE" w:rsidRDefault="00651E4F" w:rsidP="00651E4F">
      <w:pPr>
        <w:ind w:left="1440"/>
        <w:rPr>
          <w:szCs w:val="24"/>
        </w:rPr>
      </w:pPr>
      <w:r w:rsidRPr="00752BAE">
        <w:rPr>
          <w:szCs w:val="24"/>
        </w:rPr>
        <w:t xml:space="preserve">All Applicants </w:t>
      </w:r>
      <w:r w:rsidR="00335F2F" w:rsidRPr="00752BAE">
        <w:rPr>
          <w:szCs w:val="24"/>
        </w:rPr>
        <w:t xml:space="preserve">proposed for award </w:t>
      </w:r>
      <w:r w:rsidRPr="00752BAE">
        <w:rPr>
          <w:szCs w:val="24"/>
        </w:rPr>
        <w:t xml:space="preserve">must comply with all applicable laws, ordinances, regulations, and standards; federal, state, and local electrical and building codes for construction; and at all </w:t>
      </w:r>
      <w:r w:rsidR="00042630" w:rsidRPr="00752BAE">
        <w:rPr>
          <w:szCs w:val="24"/>
        </w:rPr>
        <w:t>EV charging stations</w:t>
      </w:r>
      <w:r w:rsidRPr="00752BAE">
        <w:rPr>
          <w:szCs w:val="24"/>
        </w:rPr>
        <w:t>, equipment must be publicly accessible.</w:t>
      </w:r>
    </w:p>
    <w:p w14:paraId="7A12083E" w14:textId="77777777" w:rsidR="00651E4F" w:rsidRPr="00752BAE" w:rsidRDefault="00651E4F" w:rsidP="00651E4F">
      <w:pPr>
        <w:ind w:left="1440"/>
        <w:rPr>
          <w:szCs w:val="24"/>
        </w:rPr>
      </w:pPr>
    </w:p>
    <w:p w14:paraId="6D7B51A7" w14:textId="77777777" w:rsidR="00651E4F" w:rsidRPr="00752BAE" w:rsidRDefault="00651E4F" w:rsidP="00164AC5">
      <w:pPr>
        <w:pStyle w:val="ListParagraph"/>
        <w:numPr>
          <w:ilvl w:val="0"/>
          <w:numId w:val="37"/>
        </w:numPr>
        <w:ind w:left="1440" w:hanging="720"/>
        <w:rPr>
          <w:b/>
          <w:szCs w:val="24"/>
        </w:rPr>
      </w:pPr>
      <w:r w:rsidRPr="00752BAE">
        <w:rPr>
          <w:b/>
          <w:szCs w:val="24"/>
        </w:rPr>
        <w:lastRenderedPageBreak/>
        <w:t>EV Charging Station Accessibility and Availability</w:t>
      </w:r>
    </w:p>
    <w:p w14:paraId="377D1BDD" w14:textId="3EAAC027" w:rsidR="00752BAE" w:rsidRPr="00752BAE" w:rsidRDefault="00752BAE" w:rsidP="00651E4F">
      <w:pPr>
        <w:ind w:left="1440"/>
        <w:rPr>
          <w:szCs w:val="24"/>
        </w:rPr>
      </w:pPr>
      <w:r>
        <w:rPr>
          <w:szCs w:val="24"/>
        </w:rPr>
        <w:t>EV charging stations funded under this solicitation</w:t>
      </w:r>
      <w:r w:rsidRPr="00752BAE">
        <w:rPr>
          <w:szCs w:val="24"/>
        </w:rPr>
        <w:t xml:space="preserve"> must be publicly accessible 24 hours per day, 7 days per week, year-round. </w:t>
      </w:r>
      <w:r w:rsidR="003943DB">
        <w:rPr>
          <w:szCs w:val="24"/>
        </w:rPr>
        <w:t>[</w:t>
      </w:r>
      <w:r w:rsidRPr="003943DB">
        <w:rPr>
          <w:strike/>
          <w:szCs w:val="24"/>
        </w:rPr>
        <w:t>Publicly accessible as defined under NEVI guidance means the equipment is</w:t>
      </w:r>
      <w:r w:rsidR="003943DB">
        <w:rPr>
          <w:szCs w:val="24"/>
        </w:rPr>
        <w:t>]</w:t>
      </w:r>
      <w:r w:rsidRPr="00752BAE">
        <w:rPr>
          <w:szCs w:val="24"/>
        </w:rPr>
        <w:t xml:space="preserve"> </w:t>
      </w:r>
      <w:r w:rsidR="003943DB" w:rsidRPr="003943DB">
        <w:rPr>
          <w:b/>
          <w:bCs/>
          <w:szCs w:val="24"/>
          <w:u w:val="single"/>
        </w:rPr>
        <w:t>Equipment must be</w:t>
      </w:r>
      <w:r w:rsidR="003943DB">
        <w:rPr>
          <w:szCs w:val="24"/>
        </w:rPr>
        <w:t xml:space="preserve"> </w:t>
      </w:r>
      <w:r w:rsidRPr="00752BAE">
        <w:rPr>
          <w:szCs w:val="24"/>
        </w:rPr>
        <w:t>available to the public without restriction. A station that is not maintained or restricts access only to customers, tenants, employees, or other customers is not publicly accessible.</w:t>
      </w:r>
      <w:r w:rsidR="003943DB">
        <w:rPr>
          <w:szCs w:val="24"/>
        </w:rPr>
        <w:t>[</w:t>
      </w:r>
      <w:r w:rsidR="003943DB" w:rsidRPr="003943DB">
        <w:rPr>
          <w:strike/>
          <w:szCs w:val="24"/>
          <w:vertAlign w:val="superscript"/>
        </w:rPr>
        <w:t xml:space="preserve"> </w:t>
      </w:r>
      <w:r w:rsidR="00AD06F6" w:rsidRPr="003943DB">
        <w:rPr>
          <w:rStyle w:val="FootnoteReference"/>
          <w:strike/>
          <w:szCs w:val="24"/>
        </w:rPr>
        <w:footnoteReference w:id="6"/>
      </w:r>
      <w:r w:rsidR="003943DB" w:rsidRPr="003943DB">
        <w:rPr>
          <w:strike/>
          <w:szCs w:val="24"/>
          <w:vertAlign w:val="superscript"/>
        </w:rPr>
        <w:t xml:space="preserve"> </w:t>
      </w:r>
      <w:r w:rsidR="003943DB">
        <w:rPr>
          <w:szCs w:val="24"/>
        </w:rPr>
        <w:t>]</w:t>
      </w:r>
      <w:r w:rsidRPr="00752BAE">
        <w:rPr>
          <w:szCs w:val="24"/>
        </w:rPr>
        <w:t xml:space="preserve"> This does not prohibit isolated or temporary interruptions in service or access because of maintenance or repairs.</w:t>
      </w:r>
    </w:p>
    <w:p w14:paraId="084374A6" w14:textId="77777777" w:rsidR="00651E4F" w:rsidRPr="00752BAE" w:rsidRDefault="00651E4F" w:rsidP="00651E4F">
      <w:pPr>
        <w:ind w:left="1440"/>
        <w:rPr>
          <w:szCs w:val="24"/>
        </w:rPr>
      </w:pPr>
    </w:p>
    <w:p w14:paraId="1EDEAF2B" w14:textId="56492D8E" w:rsidR="00651E4F" w:rsidRPr="00752BAE" w:rsidRDefault="00651E4F" w:rsidP="00651E4F">
      <w:pPr>
        <w:ind w:left="1440"/>
        <w:rPr>
          <w:szCs w:val="24"/>
        </w:rPr>
      </w:pPr>
      <w:r w:rsidRPr="00752BAE">
        <w:rPr>
          <w:szCs w:val="24"/>
        </w:rPr>
        <w:t xml:space="preserve">The </w:t>
      </w:r>
      <w:r w:rsidR="007D1920">
        <w:rPr>
          <w:szCs w:val="24"/>
        </w:rPr>
        <w:t xml:space="preserve">EV </w:t>
      </w:r>
      <w:r w:rsidRPr="00752BAE">
        <w:rPr>
          <w:szCs w:val="24"/>
        </w:rPr>
        <w:t xml:space="preserve">charging stations must have paved parking spaces available to render </w:t>
      </w:r>
      <w:r w:rsidR="007D1920">
        <w:rPr>
          <w:szCs w:val="24"/>
        </w:rPr>
        <w:t>EV</w:t>
      </w:r>
      <w:r w:rsidRPr="00752BAE">
        <w:rPr>
          <w:szCs w:val="24"/>
        </w:rPr>
        <w:t xml:space="preserve"> charging services. </w:t>
      </w:r>
      <w:r w:rsidR="007D1920">
        <w:rPr>
          <w:szCs w:val="24"/>
        </w:rPr>
        <w:t>EV c</w:t>
      </w:r>
      <w:r w:rsidRPr="00752BAE">
        <w:rPr>
          <w:szCs w:val="24"/>
        </w:rPr>
        <w:t>harging stations and parking areas must be well lit. The charger user must be able to easily read any instructions on the charger and the area around the vehicle must have adequate lighting to allow the driver to safely walk from the charger to the charging port on the vehicle.</w:t>
      </w:r>
    </w:p>
    <w:p w14:paraId="5FF2B433" w14:textId="77777777" w:rsidR="00651E4F" w:rsidRDefault="00651E4F" w:rsidP="00651E4F">
      <w:pPr>
        <w:ind w:left="1440"/>
        <w:rPr>
          <w:szCs w:val="24"/>
        </w:rPr>
      </w:pPr>
    </w:p>
    <w:p w14:paraId="24A0E9CD" w14:textId="61BAEA34" w:rsidR="00736D68" w:rsidRPr="00752BAE" w:rsidRDefault="00736D68" w:rsidP="00736D68">
      <w:pPr>
        <w:ind w:left="1440"/>
        <w:rPr>
          <w:szCs w:val="24"/>
          <w:u w:val="single"/>
        </w:rPr>
      </w:pPr>
      <w:r w:rsidRPr="00752BAE">
        <w:rPr>
          <w:szCs w:val="24"/>
        </w:rPr>
        <w:t xml:space="preserve">Since the EV charging stations funded under this solicitation </w:t>
      </w:r>
      <w:r w:rsidR="00363BC0">
        <w:rPr>
          <w:szCs w:val="24"/>
        </w:rPr>
        <w:t>are intended to</w:t>
      </w:r>
      <w:r w:rsidRPr="00752BAE">
        <w:rPr>
          <w:szCs w:val="24"/>
        </w:rPr>
        <w:t xml:space="preserve"> offer a service to the public, accessibility to all EV drivers is required. Applicants should familiarize themselves with the Division of the State Architect’s requirements on complying with the Americans with Disabilities Act</w:t>
      </w:r>
      <w:r w:rsidR="003847DE">
        <w:rPr>
          <w:szCs w:val="24"/>
        </w:rPr>
        <w:t>,</w:t>
      </w:r>
      <w:r w:rsidRPr="00752BAE">
        <w:rPr>
          <w:szCs w:val="24"/>
        </w:rPr>
        <w:t xml:space="preserve"> coordinate with their local permitting agency</w:t>
      </w:r>
      <w:r w:rsidR="003847DE">
        <w:rPr>
          <w:szCs w:val="24"/>
        </w:rPr>
        <w:t xml:space="preserve">, </w:t>
      </w:r>
      <w:r w:rsidR="003847DE" w:rsidRPr="003847DE">
        <w:rPr>
          <w:szCs w:val="24"/>
        </w:rPr>
        <w:t>and comply with the customer service requirements in Section II.B.</w:t>
      </w:r>
      <w:r w:rsidR="003847DE" w:rsidRPr="006E2672">
        <w:rPr>
          <w:szCs w:val="24"/>
        </w:rPr>
        <w:t>16</w:t>
      </w:r>
      <w:r w:rsidR="003847DE" w:rsidRPr="003847DE">
        <w:rPr>
          <w:szCs w:val="24"/>
        </w:rPr>
        <w:t xml:space="preserve"> to ensure accessibility for all drivers.</w:t>
      </w:r>
    </w:p>
    <w:p w14:paraId="5DEB3D70" w14:textId="77777777" w:rsidR="00736D68" w:rsidRPr="00752BAE" w:rsidRDefault="00736D68" w:rsidP="00651E4F">
      <w:pPr>
        <w:ind w:left="1440"/>
        <w:rPr>
          <w:szCs w:val="24"/>
        </w:rPr>
      </w:pPr>
    </w:p>
    <w:p w14:paraId="7CF7EF7A" w14:textId="77777777" w:rsidR="00651E4F" w:rsidRPr="00752BAE" w:rsidRDefault="00651E4F" w:rsidP="00164AC5">
      <w:pPr>
        <w:numPr>
          <w:ilvl w:val="0"/>
          <w:numId w:val="37"/>
        </w:numPr>
        <w:ind w:left="1440" w:hanging="720"/>
        <w:rPr>
          <w:szCs w:val="24"/>
          <w:u w:val="single"/>
        </w:rPr>
      </w:pPr>
      <w:r w:rsidRPr="00752BAE">
        <w:rPr>
          <w:b/>
          <w:szCs w:val="24"/>
        </w:rPr>
        <w:t>Project Team</w:t>
      </w:r>
    </w:p>
    <w:p w14:paraId="4EAB0B30" w14:textId="2C647226" w:rsidR="00651E4F" w:rsidRPr="00752BAE" w:rsidRDefault="00651E4F" w:rsidP="00651E4F">
      <w:pPr>
        <w:ind w:left="1440"/>
      </w:pPr>
      <w:r>
        <w:t>The Applicant, or the Subrecipient installing chargers, must be an Experienced Contractor</w:t>
      </w:r>
      <w:r w:rsidR="00034151">
        <w:t>,</w:t>
      </w:r>
      <w:r>
        <w:t xml:space="preserve"> which is defined as a company or organization with a proven record of accomplishment </w:t>
      </w:r>
      <w:r w:rsidR="007E52D1">
        <w:t>in</w:t>
      </w:r>
      <w:r>
        <w:t xml:space="preserve"> overseeing the procurement, permitting, and installation of at least 20 DC fast chargers</w:t>
      </w:r>
      <w:r w:rsidR="007325F6">
        <w:t xml:space="preserve">. </w:t>
      </w:r>
      <w:r w:rsidR="005A3841">
        <w:t>The company or organization must have</w:t>
      </w:r>
      <w:r>
        <w:t xml:space="preserve"> completed </w:t>
      </w:r>
      <w:r w:rsidR="00EE02E4">
        <w:t xml:space="preserve">installations </w:t>
      </w:r>
      <w:r>
        <w:t>at three or more different property locations for three or more different customers since January 1, 2018.</w:t>
      </w:r>
    </w:p>
    <w:p w14:paraId="12D9119F" w14:textId="77777777" w:rsidR="00651E4F" w:rsidRPr="00752BAE" w:rsidRDefault="00651E4F" w:rsidP="00651E4F">
      <w:pPr>
        <w:ind w:left="1440"/>
        <w:rPr>
          <w:bCs/>
          <w:szCs w:val="24"/>
        </w:rPr>
      </w:pPr>
    </w:p>
    <w:p w14:paraId="2C85CACB" w14:textId="77777777" w:rsidR="00651E4F" w:rsidRPr="00752BAE" w:rsidRDefault="00651E4F" w:rsidP="00651E4F">
      <w:pPr>
        <w:ind w:left="1440"/>
        <w:rPr>
          <w:bCs/>
          <w:szCs w:val="24"/>
        </w:rPr>
      </w:pPr>
      <w:r w:rsidRPr="00752BAE">
        <w:rPr>
          <w:bCs/>
          <w:szCs w:val="24"/>
        </w:rPr>
        <w:t>Not every subcontractor or vendor must meet this definition to participate in the project. At minimum, the project team must include one Experienced Contractor to serve as a subject matter expert to all other contractors, if necessary.</w:t>
      </w:r>
    </w:p>
    <w:p w14:paraId="23C192E8" w14:textId="77777777" w:rsidR="00651E4F" w:rsidRPr="00752BAE" w:rsidRDefault="00651E4F" w:rsidP="00651E4F">
      <w:pPr>
        <w:ind w:left="1440"/>
        <w:rPr>
          <w:bCs/>
          <w:szCs w:val="24"/>
        </w:rPr>
      </w:pPr>
    </w:p>
    <w:p w14:paraId="542D9ADB" w14:textId="3563C94A" w:rsidR="00651E4F" w:rsidRPr="00752BAE" w:rsidRDefault="00651E4F" w:rsidP="00651E4F">
      <w:pPr>
        <w:ind w:left="1440"/>
      </w:pPr>
      <w:r>
        <w:t xml:space="preserve">The </w:t>
      </w:r>
      <w:r w:rsidR="007E52D1">
        <w:t>project team</w:t>
      </w:r>
      <w:r>
        <w:t xml:space="preserve"> must </w:t>
      </w:r>
      <w:r w:rsidR="007E52D1">
        <w:t>include</w:t>
      </w:r>
      <w:r>
        <w:t xml:space="preserve"> a charging network provider that has demonstrated experience or has the capability to provide networking services for the charging stations for at least the entire 5-year in-service requirement (see section II.B</w:t>
      </w:r>
      <w:r w:rsidRPr="00BA3666">
        <w:t>.1</w:t>
      </w:r>
      <w:r w:rsidR="3E671731" w:rsidRPr="00BA3666">
        <w:t>4</w:t>
      </w:r>
      <w:r w:rsidRPr="00BA3666">
        <w:t>,</w:t>
      </w:r>
      <w:r>
        <w:t xml:space="preserve"> below).</w:t>
      </w:r>
    </w:p>
    <w:p w14:paraId="749AB5D2" w14:textId="77777777" w:rsidR="00651E4F" w:rsidRPr="00752BAE" w:rsidRDefault="00651E4F" w:rsidP="00651E4F">
      <w:pPr>
        <w:keepNext/>
        <w:rPr>
          <w:b/>
          <w:szCs w:val="24"/>
        </w:rPr>
      </w:pPr>
    </w:p>
    <w:p w14:paraId="6E3E3990" w14:textId="651C051B" w:rsidR="00651E4F" w:rsidRPr="00752BAE" w:rsidRDefault="00651E4F" w:rsidP="00164AC5">
      <w:pPr>
        <w:keepNext/>
        <w:numPr>
          <w:ilvl w:val="0"/>
          <w:numId w:val="37"/>
        </w:numPr>
        <w:ind w:left="1440" w:hanging="720"/>
        <w:rPr>
          <w:b/>
          <w:bCs/>
          <w:szCs w:val="24"/>
        </w:rPr>
      </w:pPr>
      <w:r w:rsidRPr="00752BAE">
        <w:rPr>
          <w:b/>
          <w:bCs/>
          <w:szCs w:val="24"/>
        </w:rPr>
        <w:t xml:space="preserve">Charging Equipment </w:t>
      </w:r>
      <w:r w:rsidR="009915DC">
        <w:rPr>
          <w:b/>
          <w:bCs/>
          <w:szCs w:val="24"/>
        </w:rPr>
        <w:t xml:space="preserve">and Networking </w:t>
      </w:r>
      <w:r w:rsidRPr="00752BAE">
        <w:rPr>
          <w:b/>
          <w:bCs/>
          <w:szCs w:val="24"/>
        </w:rPr>
        <w:t>Requirements</w:t>
      </w:r>
    </w:p>
    <w:p w14:paraId="64334850" w14:textId="77777777" w:rsidR="00651E4F" w:rsidRDefault="00651E4F" w:rsidP="00AD07C5">
      <w:pPr>
        <w:keepNext/>
        <w:spacing w:after="120"/>
        <w:ind w:left="1440"/>
        <w:rPr>
          <w:szCs w:val="24"/>
        </w:rPr>
      </w:pPr>
      <w:r w:rsidRPr="00752BAE">
        <w:rPr>
          <w:szCs w:val="24"/>
        </w:rPr>
        <w:t>All the following requirements must be met:</w:t>
      </w:r>
    </w:p>
    <w:p w14:paraId="3FE25D86" w14:textId="77777777" w:rsidR="003D3B75" w:rsidRPr="00BD2BE4" w:rsidRDefault="003D3B75" w:rsidP="00164AC5">
      <w:pPr>
        <w:pStyle w:val="ListParagraph"/>
        <w:numPr>
          <w:ilvl w:val="0"/>
          <w:numId w:val="39"/>
        </w:numPr>
        <w:spacing w:after="120"/>
        <w:ind w:left="2160" w:hanging="720"/>
        <w:rPr>
          <w:szCs w:val="24"/>
        </w:rPr>
      </w:pPr>
      <w:r w:rsidRPr="00BD2BE4">
        <w:rPr>
          <w:szCs w:val="24"/>
        </w:rPr>
        <w:t>Power Requirements</w:t>
      </w:r>
    </w:p>
    <w:p w14:paraId="6A2AA7C8" w14:textId="2B893F23" w:rsidR="003D3B75" w:rsidRPr="00BD2BE4" w:rsidRDefault="003D3B75" w:rsidP="00164AC5">
      <w:pPr>
        <w:pStyle w:val="ListParagraph"/>
        <w:numPr>
          <w:ilvl w:val="1"/>
          <w:numId w:val="39"/>
        </w:numPr>
        <w:spacing w:after="120"/>
        <w:ind w:left="2880" w:hanging="720"/>
        <w:rPr>
          <w:szCs w:val="24"/>
        </w:rPr>
      </w:pPr>
      <w:r w:rsidRPr="5F5FDFC4">
        <w:rPr>
          <w:szCs w:val="24"/>
        </w:rPr>
        <w:t xml:space="preserve">Each charging port must support output voltages between 250 volts DC and 920 volts DC. </w:t>
      </w:r>
      <w:r w:rsidR="00D27247">
        <w:rPr>
          <w:szCs w:val="24"/>
        </w:rPr>
        <w:t>Each port must have</w:t>
      </w:r>
      <w:r w:rsidRPr="5F5FDFC4">
        <w:rPr>
          <w:szCs w:val="24"/>
        </w:rPr>
        <w:t xml:space="preserve"> a continuous power delivery rating of at least 150 kW and supply power according to an EV’s power delivery request up to 150 kW, simultaneously from each charging port at a charging station. </w:t>
      </w:r>
    </w:p>
    <w:p w14:paraId="4A53F843" w14:textId="32369C2B" w:rsidR="003D3B75" w:rsidRDefault="00086FAA" w:rsidP="00164AC5">
      <w:pPr>
        <w:pStyle w:val="ListParagraph"/>
        <w:widowControl w:val="0"/>
        <w:numPr>
          <w:ilvl w:val="1"/>
          <w:numId w:val="39"/>
        </w:numPr>
        <w:spacing w:after="120"/>
        <w:ind w:left="2880" w:hanging="720"/>
      </w:pPr>
      <w:r>
        <w:t>EV</w:t>
      </w:r>
      <w:r w:rsidR="003D3B75">
        <w:t xml:space="preserve"> charging stations should be supported by a grid connection of at least 600 kW. For </w:t>
      </w:r>
      <w:r w:rsidR="0082138E">
        <w:t>EV</w:t>
      </w:r>
      <w:r w:rsidR="003D3B75">
        <w:t xml:space="preserve"> charging stations not connecting to the grid with at least 600 kW, Applicants will need to justify how the</w:t>
      </w:r>
      <w:r w:rsidR="00964E4D">
        <w:t xml:space="preserve"> </w:t>
      </w:r>
      <w:r w:rsidR="003D3B75">
        <w:t xml:space="preserve">station will still comply with the simultaneous supply of 150 kW per charging port requirement </w:t>
      </w:r>
      <w:r w:rsidR="7FA218AD">
        <w:t>in the Project Narrative</w:t>
      </w:r>
      <w:r w:rsidR="003D3B75">
        <w:t>.</w:t>
      </w:r>
    </w:p>
    <w:p w14:paraId="1267EE9F" w14:textId="77777777" w:rsidR="003D3B75" w:rsidRPr="00BD2BE4" w:rsidRDefault="003D3B75" w:rsidP="00164AC5">
      <w:pPr>
        <w:pStyle w:val="ListParagraph"/>
        <w:widowControl w:val="0"/>
        <w:numPr>
          <w:ilvl w:val="0"/>
          <w:numId w:val="39"/>
        </w:numPr>
        <w:spacing w:after="120"/>
        <w:ind w:left="2160" w:hanging="720"/>
      </w:pPr>
      <w:r w:rsidRPr="00BD2BE4">
        <w:rPr>
          <w:szCs w:val="24"/>
        </w:rPr>
        <w:t>Connectors</w:t>
      </w:r>
    </w:p>
    <w:p w14:paraId="383A0541" w14:textId="66B7BF9B" w:rsidR="003D3B75" w:rsidRPr="00BD2BE4" w:rsidRDefault="003D3B75" w:rsidP="00164AC5">
      <w:pPr>
        <w:pStyle w:val="ListParagraph"/>
        <w:widowControl w:val="0"/>
        <w:numPr>
          <w:ilvl w:val="1"/>
          <w:numId w:val="41"/>
        </w:numPr>
        <w:spacing w:after="120"/>
        <w:ind w:hanging="720"/>
      </w:pPr>
      <w:r>
        <w:t xml:space="preserve">Each charging port must have at least one permanently attached CCS </w:t>
      </w:r>
      <w:r w:rsidR="00E07747">
        <w:t xml:space="preserve">Type 1 </w:t>
      </w:r>
      <w:r>
        <w:t xml:space="preserve">connector. Additional connector types such as SAE J3400 are allowed to be installed if the </w:t>
      </w:r>
      <w:r w:rsidR="00C90DC8">
        <w:t>CCS connector</w:t>
      </w:r>
      <w:r>
        <w:t xml:space="preserve"> requirement is still met.</w:t>
      </w:r>
      <w:r w:rsidR="00073A9A">
        <w:t xml:space="preserve"> CHAdeMO is not an eligible connector.</w:t>
      </w:r>
      <w:r w:rsidR="00CA2F78">
        <w:t xml:space="preserve"> Connectors should be rated with a current carrying capacity of greater than or equal to 375 Amps.</w:t>
      </w:r>
    </w:p>
    <w:p w14:paraId="0443AD13" w14:textId="77777777" w:rsidR="003D3B75" w:rsidRPr="00BD2BE4" w:rsidRDefault="003D3B75" w:rsidP="00164AC5">
      <w:pPr>
        <w:pStyle w:val="ListParagraph"/>
        <w:widowControl w:val="0"/>
        <w:numPr>
          <w:ilvl w:val="0"/>
          <w:numId w:val="39"/>
        </w:numPr>
        <w:spacing w:after="120"/>
        <w:ind w:left="2160" w:hanging="720"/>
      </w:pPr>
      <w:r w:rsidRPr="00BD2BE4">
        <w:rPr>
          <w:szCs w:val="24"/>
        </w:rPr>
        <w:t>Energy Star Certification</w:t>
      </w:r>
    </w:p>
    <w:p w14:paraId="33535B7D" w14:textId="7E0DDD16" w:rsidR="003D3B75" w:rsidRPr="00BD2BE4" w:rsidRDefault="003D3B75" w:rsidP="00164AC5">
      <w:pPr>
        <w:pStyle w:val="ListParagraph"/>
        <w:widowControl w:val="0"/>
        <w:numPr>
          <w:ilvl w:val="1"/>
          <w:numId w:val="39"/>
        </w:numPr>
        <w:spacing w:after="120"/>
        <w:ind w:left="2880" w:hanging="720"/>
        <w:rPr>
          <w:szCs w:val="24"/>
        </w:rPr>
      </w:pPr>
      <w:r w:rsidRPr="00BD2BE4">
        <w:rPr>
          <w:szCs w:val="24"/>
        </w:rPr>
        <w:t xml:space="preserve">The chargers must be Energy Star certified and listed on the </w:t>
      </w:r>
      <w:hyperlink r:id="rId67">
        <w:r w:rsidRPr="00BD2BE4">
          <w:rPr>
            <w:rStyle w:val="Hyperlink"/>
            <w:szCs w:val="24"/>
          </w:rPr>
          <w:t>Energy Star Product Finder Page</w:t>
        </w:r>
      </w:hyperlink>
      <w:r w:rsidRPr="00BD2BE4">
        <w:rPr>
          <w:szCs w:val="24"/>
        </w:rPr>
        <w:t xml:space="preserve"> at </w:t>
      </w:r>
      <w:r w:rsidR="00842F0C" w:rsidRPr="00E35297">
        <w:rPr>
          <w:b/>
          <w:bCs/>
          <w:szCs w:val="24"/>
          <w:u w:val="single"/>
        </w:rPr>
        <w:t>https://www.energystar.gov/productfinder/product/certified-evse-dc-output/results</w:t>
      </w:r>
      <w:r w:rsidR="00842F0C">
        <w:rPr>
          <w:szCs w:val="24"/>
        </w:rPr>
        <w:t xml:space="preserve"> [</w:t>
      </w:r>
      <w:r w:rsidRPr="00842F0C">
        <w:rPr>
          <w:strike/>
          <w:szCs w:val="24"/>
        </w:rPr>
        <w:t>https://www.energystar.gov/productfinder/product/certified-evse/results</w:t>
      </w:r>
      <w:r w:rsidR="00842F0C">
        <w:rPr>
          <w:szCs w:val="24"/>
        </w:rPr>
        <w:t>]</w:t>
      </w:r>
      <w:r w:rsidRPr="00BD2BE4">
        <w:rPr>
          <w:szCs w:val="24"/>
        </w:rPr>
        <w:t xml:space="preserve">. Chargers do not have to be certified at the time of submitting the </w:t>
      </w:r>
      <w:r w:rsidR="00906305" w:rsidRPr="00BD2BE4">
        <w:rPr>
          <w:szCs w:val="24"/>
        </w:rPr>
        <w:t>proposal but</w:t>
      </w:r>
      <w:r w:rsidRPr="00BD2BE4">
        <w:rPr>
          <w:szCs w:val="24"/>
        </w:rPr>
        <w:t xml:space="preserve"> must be certified prior to submitting an invoice that seeks repayment for the chargers. Chargers over 350 kW are not required to be Energy Star certified.</w:t>
      </w:r>
    </w:p>
    <w:p w14:paraId="1FE99CFC" w14:textId="77777777" w:rsidR="003D3B75" w:rsidRPr="00BD2BE4" w:rsidRDefault="003D3B75" w:rsidP="00164AC5">
      <w:pPr>
        <w:pStyle w:val="ListParagraph"/>
        <w:widowControl w:val="0"/>
        <w:numPr>
          <w:ilvl w:val="0"/>
          <w:numId w:val="39"/>
        </w:numPr>
        <w:spacing w:after="120"/>
        <w:ind w:left="2160" w:hanging="720"/>
        <w:rPr>
          <w:szCs w:val="24"/>
        </w:rPr>
      </w:pPr>
      <w:r w:rsidRPr="00BD2BE4">
        <w:rPr>
          <w:szCs w:val="24"/>
        </w:rPr>
        <w:t>Interoperability: Charger-to-EV Communication</w:t>
      </w:r>
    </w:p>
    <w:p w14:paraId="60382977" w14:textId="77777777" w:rsidR="003D3B75" w:rsidRPr="00BD2BE4" w:rsidRDefault="003D3B75" w:rsidP="00164AC5">
      <w:pPr>
        <w:pStyle w:val="ListParagraph"/>
        <w:widowControl w:val="0"/>
        <w:numPr>
          <w:ilvl w:val="1"/>
          <w:numId w:val="39"/>
        </w:numPr>
        <w:spacing w:after="120"/>
        <w:ind w:left="2880" w:hanging="720"/>
        <w:rPr>
          <w:szCs w:val="24"/>
        </w:rPr>
      </w:pPr>
      <w:r w:rsidRPr="00BD2BE4">
        <w:rPr>
          <w:szCs w:val="24"/>
        </w:rPr>
        <w:t>The chargers must conform to ISO 15118-3, and hardware must be capable of implementing both ISO 15118-2 and ISO 15118-20.</w:t>
      </w:r>
    </w:p>
    <w:p w14:paraId="659BA3BA" w14:textId="77777777" w:rsidR="003D3B75" w:rsidRPr="00BD2BE4" w:rsidRDefault="003D3B75" w:rsidP="00164AC5">
      <w:pPr>
        <w:pStyle w:val="ListParagraph"/>
        <w:widowControl w:val="0"/>
        <w:numPr>
          <w:ilvl w:val="1"/>
          <w:numId w:val="39"/>
        </w:numPr>
        <w:spacing w:after="120"/>
        <w:ind w:left="2880" w:hanging="720"/>
        <w:rPr>
          <w:szCs w:val="24"/>
        </w:rPr>
      </w:pPr>
      <w:r w:rsidRPr="00BD2BE4">
        <w:rPr>
          <w:szCs w:val="24"/>
        </w:rPr>
        <w:t>The chargers must include all necessary software and hardware to perform Plug-and-Charge using ISO 15118-2.</w:t>
      </w:r>
    </w:p>
    <w:p w14:paraId="1EE50D2F" w14:textId="77777777" w:rsidR="003D3B75" w:rsidRPr="00BD2BE4" w:rsidRDefault="003D3B75" w:rsidP="00164AC5">
      <w:pPr>
        <w:pStyle w:val="ListParagraph"/>
        <w:widowControl w:val="0"/>
        <w:numPr>
          <w:ilvl w:val="1"/>
          <w:numId w:val="39"/>
        </w:numPr>
        <w:spacing w:after="120"/>
        <w:ind w:left="2880" w:hanging="720"/>
        <w:rPr>
          <w:szCs w:val="24"/>
        </w:rPr>
      </w:pPr>
      <w:r w:rsidRPr="00BD2BE4">
        <w:rPr>
          <w:szCs w:val="24"/>
        </w:rPr>
        <w:t>Conformance testing for charger software and hardware should follow ISO 15118-4 and 15118-5, respectively.</w:t>
      </w:r>
    </w:p>
    <w:p w14:paraId="54378C28" w14:textId="77777777" w:rsidR="003D3B75" w:rsidRPr="00BD2BE4" w:rsidRDefault="003D3B75" w:rsidP="00164AC5">
      <w:pPr>
        <w:pStyle w:val="ListParagraph"/>
        <w:widowControl w:val="0"/>
        <w:numPr>
          <w:ilvl w:val="0"/>
          <w:numId w:val="39"/>
        </w:numPr>
        <w:spacing w:after="120"/>
        <w:ind w:left="2160" w:hanging="720"/>
        <w:rPr>
          <w:szCs w:val="24"/>
        </w:rPr>
      </w:pPr>
      <w:r w:rsidRPr="00BD2BE4">
        <w:rPr>
          <w:szCs w:val="24"/>
        </w:rPr>
        <w:t>Interoperability: Charger-to-Charger Network Communication</w:t>
      </w:r>
    </w:p>
    <w:p w14:paraId="7208AA54" w14:textId="1D63A447" w:rsidR="003D3B75" w:rsidRPr="00BD2BE4" w:rsidRDefault="003D3B75" w:rsidP="00164AC5">
      <w:pPr>
        <w:pStyle w:val="ListParagraph"/>
        <w:widowControl w:val="0"/>
        <w:numPr>
          <w:ilvl w:val="1"/>
          <w:numId w:val="39"/>
        </w:numPr>
        <w:spacing w:after="120"/>
        <w:ind w:left="2880" w:hanging="720"/>
        <w:rPr>
          <w:szCs w:val="24"/>
        </w:rPr>
      </w:pPr>
      <w:r w:rsidRPr="00BD2BE4">
        <w:rPr>
          <w:szCs w:val="24"/>
        </w:rPr>
        <w:lastRenderedPageBreak/>
        <w:t xml:space="preserve">The chargers must conform to </w:t>
      </w:r>
      <w:r w:rsidR="00CE254D">
        <w:rPr>
          <w:szCs w:val="24"/>
        </w:rPr>
        <w:t>Open</w:t>
      </w:r>
      <w:r w:rsidR="00486345">
        <w:rPr>
          <w:szCs w:val="24"/>
        </w:rPr>
        <w:t xml:space="preserve"> Charge Point Protocol (</w:t>
      </w:r>
      <w:r w:rsidRPr="00BD2BE4">
        <w:rPr>
          <w:szCs w:val="24"/>
        </w:rPr>
        <w:t>OCPP</w:t>
      </w:r>
      <w:r w:rsidR="00486345">
        <w:rPr>
          <w:szCs w:val="24"/>
        </w:rPr>
        <w:t>)</w:t>
      </w:r>
      <w:r w:rsidRPr="00BD2BE4">
        <w:rPr>
          <w:szCs w:val="24"/>
        </w:rPr>
        <w:t xml:space="preserve"> 2.0.1 or later. Manufacturers must attest that the charger conforms to OCPP 2.0.1 or later by detailing it on a publicly available charger specification sheet.</w:t>
      </w:r>
    </w:p>
    <w:p w14:paraId="517B4383" w14:textId="77777777" w:rsidR="003D3B75" w:rsidRPr="00BD2BE4" w:rsidRDefault="003D3B75" w:rsidP="00164AC5">
      <w:pPr>
        <w:pStyle w:val="ListParagraph"/>
        <w:widowControl w:val="0"/>
        <w:numPr>
          <w:ilvl w:val="0"/>
          <w:numId w:val="39"/>
        </w:numPr>
        <w:spacing w:after="120"/>
        <w:ind w:left="2160" w:hanging="720"/>
        <w:rPr>
          <w:szCs w:val="24"/>
        </w:rPr>
      </w:pPr>
      <w:r w:rsidRPr="00BD2BE4">
        <w:rPr>
          <w:szCs w:val="24"/>
        </w:rPr>
        <w:t>Interoperability: Charging-Network-to-Charging Network Communication</w:t>
      </w:r>
    </w:p>
    <w:p w14:paraId="00D9E11E" w14:textId="77777777" w:rsidR="003D3B75" w:rsidRPr="00111CB5" w:rsidRDefault="003D3B75" w:rsidP="00164AC5">
      <w:pPr>
        <w:pStyle w:val="ListParagraph"/>
        <w:widowControl w:val="0"/>
        <w:numPr>
          <w:ilvl w:val="1"/>
          <w:numId w:val="39"/>
        </w:numPr>
        <w:spacing w:after="120"/>
        <w:ind w:left="2880" w:hanging="720"/>
        <w:rPr>
          <w:szCs w:val="24"/>
        </w:rPr>
      </w:pPr>
      <w:r w:rsidRPr="00111CB5">
        <w:rPr>
          <w:szCs w:val="24"/>
        </w:rPr>
        <w:t>The charger’s networking software must connect to a central management system using OCPP 2.0.1 for the purposes of charger management and data reporting.</w:t>
      </w:r>
    </w:p>
    <w:p w14:paraId="23EB872A" w14:textId="1E28CC47" w:rsidR="002D5CE3" w:rsidRPr="00BD2BE4" w:rsidRDefault="002D5CE3" w:rsidP="00164AC5">
      <w:pPr>
        <w:pStyle w:val="ListParagraph"/>
        <w:widowControl w:val="0"/>
        <w:numPr>
          <w:ilvl w:val="1"/>
          <w:numId w:val="39"/>
        </w:numPr>
        <w:spacing w:after="120"/>
        <w:ind w:left="2880" w:hanging="720"/>
        <w:rPr>
          <w:szCs w:val="24"/>
        </w:rPr>
      </w:pPr>
      <w:r>
        <w:rPr>
          <w:szCs w:val="24"/>
        </w:rPr>
        <w:t>The charging network must be capable of communicating with other charging networks in accordance with the Open Charge Point Interface (OCPI) 2.2.1.</w:t>
      </w:r>
    </w:p>
    <w:p w14:paraId="419DFE49" w14:textId="77777777" w:rsidR="003D3B75" w:rsidRPr="00BD2BE4" w:rsidRDefault="003D3B75" w:rsidP="00164AC5">
      <w:pPr>
        <w:pStyle w:val="ListParagraph"/>
        <w:widowControl w:val="0"/>
        <w:numPr>
          <w:ilvl w:val="0"/>
          <w:numId w:val="39"/>
        </w:numPr>
        <w:spacing w:after="120"/>
        <w:ind w:left="2160" w:hanging="720"/>
        <w:rPr>
          <w:szCs w:val="24"/>
        </w:rPr>
      </w:pPr>
      <w:r w:rsidRPr="00BD2BE4">
        <w:rPr>
          <w:szCs w:val="24"/>
        </w:rPr>
        <w:t>Interoperability: Network Switching Capability</w:t>
      </w:r>
    </w:p>
    <w:p w14:paraId="65310DCF" w14:textId="77777777" w:rsidR="003D3B75" w:rsidRPr="00BD2BE4" w:rsidRDefault="003D3B75" w:rsidP="00164AC5">
      <w:pPr>
        <w:pStyle w:val="ListParagraph"/>
        <w:widowControl w:val="0"/>
        <w:numPr>
          <w:ilvl w:val="0"/>
          <w:numId w:val="42"/>
        </w:numPr>
        <w:spacing w:after="120"/>
        <w:ind w:left="2880" w:hanging="720"/>
        <w:rPr>
          <w:szCs w:val="24"/>
        </w:rPr>
      </w:pPr>
      <w:r w:rsidRPr="00BD2BE4">
        <w:rPr>
          <w:szCs w:val="24"/>
        </w:rPr>
        <w:t>The chargers must be designed to securely switch network providers without any changes in hardware.</w:t>
      </w:r>
    </w:p>
    <w:p w14:paraId="25EBBAF5" w14:textId="1F87238E" w:rsidR="003D3B75" w:rsidRPr="00BD2BE4" w:rsidRDefault="003D3B75" w:rsidP="00164AC5">
      <w:pPr>
        <w:pStyle w:val="ListParagraph"/>
        <w:widowControl w:val="0"/>
        <w:numPr>
          <w:ilvl w:val="0"/>
          <w:numId w:val="39"/>
        </w:numPr>
        <w:spacing w:after="120"/>
        <w:ind w:left="2160" w:hanging="720"/>
        <w:rPr>
          <w:szCs w:val="24"/>
        </w:rPr>
      </w:pPr>
      <w:r w:rsidRPr="00BD2BE4">
        <w:rPr>
          <w:szCs w:val="24"/>
        </w:rPr>
        <w:t>Cybersecurity</w:t>
      </w:r>
    </w:p>
    <w:p w14:paraId="5F700D0A" w14:textId="67314126" w:rsidR="003D3B75" w:rsidRPr="00BD2BE4" w:rsidRDefault="003D3B75" w:rsidP="00164AC5">
      <w:pPr>
        <w:pStyle w:val="ListParagraph"/>
        <w:widowControl w:val="0"/>
        <w:numPr>
          <w:ilvl w:val="1"/>
          <w:numId w:val="39"/>
        </w:numPr>
        <w:spacing w:after="120"/>
        <w:ind w:left="2880" w:hanging="720"/>
        <w:rPr>
          <w:szCs w:val="24"/>
        </w:rPr>
      </w:pPr>
      <w:r w:rsidRPr="00BD2BE4">
        <w:rPr>
          <w:szCs w:val="24"/>
        </w:rPr>
        <w:t>The chargers and charging software must meet all the NEVI cybersecurity requirements listed in the f</w:t>
      </w:r>
      <w:r>
        <w:rPr>
          <w:szCs w:val="24"/>
        </w:rPr>
        <w:t>ederal</w:t>
      </w:r>
      <w:r w:rsidRPr="00BD2BE4">
        <w:rPr>
          <w:szCs w:val="24"/>
        </w:rPr>
        <w:t xml:space="preserve"> NEVI </w:t>
      </w:r>
      <w:r>
        <w:rPr>
          <w:szCs w:val="24"/>
        </w:rPr>
        <w:t>s</w:t>
      </w:r>
      <w:r w:rsidRPr="00BD2BE4">
        <w:rPr>
          <w:szCs w:val="24"/>
        </w:rPr>
        <w:t>tandards</w:t>
      </w:r>
      <w:r w:rsidR="00806138">
        <w:rPr>
          <w:szCs w:val="24"/>
        </w:rPr>
        <w:t>.</w:t>
      </w:r>
      <w:r w:rsidRPr="67C9B54C">
        <w:rPr>
          <w:rStyle w:val="FootnoteReference"/>
          <w:szCs w:val="24"/>
        </w:rPr>
        <w:footnoteReference w:id="7"/>
      </w:r>
      <w:r w:rsidR="0049100A">
        <w:rPr>
          <w:szCs w:val="24"/>
        </w:rPr>
        <w:t xml:space="preserve"> </w:t>
      </w:r>
      <w:r w:rsidR="00CD61BF">
        <w:rPr>
          <w:szCs w:val="24"/>
        </w:rPr>
        <w:t>Funding r</w:t>
      </w:r>
      <w:r w:rsidR="0049100A">
        <w:rPr>
          <w:szCs w:val="24"/>
        </w:rPr>
        <w:t xml:space="preserve">ecipients </w:t>
      </w:r>
      <w:r w:rsidR="00CD61BF">
        <w:rPr>
          <w:szCs w:val="24"/>
        </w:rPr>
        <w:t xml:space="preserve">will be required to </w:t>
      </w:r>
      <w:r w:rsidR="0049100A">
        <w:rPr>
          <w:szCs w:val="24"/>
        </w:rPr>
        <w:t>develop a cybersecurity plan</w:t>
      </w:r>
      <w:r w:rsidR="00363F9A">
        <w:rPr>
          <w:szCs w:val="24"/>
        </w:rPr>
        <w:t xml:space="preserve"> as required in </w:t>
      </w:r>
      <w:r w:rsidR="00363F9A" w:rsidRPr="005E60C1">
        <w:rPr>
          <w:szCs w:val="24"/>
        </w:rPr>
        <w:t>Section II.</w:t>
      </w:r>
      <w:r w:rsidR="003D122A" w:rsidRPr="005E60C1">
        <w:rPr>
          <w:szCs w:val="24"/>
        </w:rPr>
        <w:t>B</w:t>
      </w:r>
      <w:r w:rsidR="005E60C1" w:rsidRPr="005E60C1">
        <w:rPr>
          <w:szCs w:val="24"/>
        </w:rPr>
        <w:t>.21</w:t>
      </w:r>
      <w:r w:rsidR="0056799F">
        <w:rPr>
          <w:szCs w:val="24"/>
        </w:rPr>
        <w:t xml:space="preserve"> </w:t>
      </w:r>
      <w:r w:rsidR="0056799F">
        <w:rPr>
          <w:rStyle w:val="normaltextrun"/>
        </w:rPr>
        <w:t>after agreement execution and prior to the time of station commissioning</w:t>
      </w:r>
      <w:r w:rsidR="00363F9A">
        <w:rPr>
          <w:szCs w:val="24"/>
        </w:rPr>
        <w:t>.</w:t>
      </w:r>
    </w:p>
    <w:p w14:paraId="68B10FC6" w14:textId="77777777" w:rsidR="003D3B75" w:rsidRPr="00BD2BE4" w:rsidRDefault="003D3B75" w:rsidP="00164AC5">
      <w:pPr>
        <w:pStyle w:val="ListParagraph"/>
        <w:widowControl w:val="0"/>
        <w:numPr>
          <w:ilvl w:val="0"/>
          <w:numId w:val="39"/>
        </w:numPr>
        <w:spacing w:after="120"/>
        <w:ind w:left="2160" w:hanging="720"/>
        <w:rPr>
          <w:rFonts w:eastAsia="Tahoma"/>
          <w:szCs w:val="24"/>
        </w:rPr>
      </w:pPr>
      <w:r w:rsidRPr="00BD2BE4">
        <w:rPr>
          <w:rFonts w:eastAsia="Tahoma"/>
          <w:szCs w:val="24"/>
        </w:rPr>
        <w:t>Charger Network Connectivity Requirements</w:t>
      </w:r>
    </w:p>
    <w:p w14:paraId="6BB70248" w14:textId="77777777" w:rsidR="003D3B75" w:rsidRPr="00BD2BE4" w:rsidRDefault="003D3B75" w:rsidP="00164AC5">
      <w:pPr>
        <w:pStyle w:val="ListParagraph"/>
        <w:widowControl w:val="0"/>
        <w:numPr>
          <w:ilvl w:val="0"/>
          <w:numId w:val="43"/>
        </w:numPr>
        <w:spacing w:after="120"/>
        <w:ind w:left="2880" w:hanging="720"/>
        <w:rPr>
          <w:rFonts w:eastAsia="Tahoma"/>
          <w:szCs w:val="24"/>
        </w:rPr>
      </w:pPr>
      <w:r w:rsidRPr="00BD2BE4">
        <w:rPr>
          <w:szCs w:val="24"/>
        </w:rPr>
        <w:t>The chargers must be networked and must include the following three abilities:</w:t>
      </w:r>
    </w:p>
    <w:p w14:paraId="66DF7ED0" w14:textId="77777777" w:rsidR="003D3B75" w:rsidRPr="00BD2BE4" w:rsidRDefault="003D3B75" w:rsidP="00164AC5">
      <w:pPr>
        <w:pStyle w:val="ListParagraph"/>
        <w:widowControl w:val="0"/>
        <w:numPr>
          <w:ilvl w:val="3"/>
          <w:numId w:val="39"/>
        </w:numPr>
        <w:spacing w:after="120"/>
        <w:ind w:hanging="720"/>
        <w:rPr>
          <w:bCs/>
          <w:szCs w:val="24"/>
        </w:rPr>
      </w:pPr>
      <w:r w:rsidRPr="00BD2BE4">
        <w:rPr>
          <w:szCs w:val="24"/>
        </w:rPr>
        <w:t>Have network</w:t>
      </w:r>
      <w:r w:rsidRPr="00BD2BE4">
        <w:rPr>
          <w:bCs/>
          <w:szCs w:val="24"/>
        </w:rPr>
        <w:t xml:space="preserve"> connectivity with one of the following:</w:t>
      </w:r>
    </w:p>
    <w:p w14:paraId="2710D8BE" w14:textId="77777777" w:rsidR="003D3B75" w:rsidRPr="00BD2BE4" w:rsidRDefault="003D3B75" w:rsidP="00164AC5">
      <w:pPr>
        <w:pStyle w:val="ListParagraph"/>
        <w:widowControl w:val="0"/>
        <w:numPr>
          <w:ilvl w:val="4"/>
          <w:numId w:val="39"/>
        </w:numPr>
        <w:spacing w:after="120"/>
        <w:ind w:hanging="720"/>
        <w:rPr>
          <w:bCs/>
          <w:szCs w:val="24"/>
        </w:rPr>
      </w:pPr>
      <w:r w:rsidRPr="00BD2BE4">
        <w:rPr>
          <w:bCs/>
          <w:szCs w:val="24"/>
        </w:rPr>
        <w:t>IEEE 802.11n for high-bandwidth wireless networking, or</w:t>
      </w:r>
    </w:p>
    <w:p w14:paraId="4C57A912" w14:textId="1B6F3C58" w:rsidR="003D3B75" w:rsidRPr="00BD2BE4" w:rsidRDefault="003D3B75" w:rsidP="00164AC5">
      <w:pPr>
        <w:pStyle w:val="ListParagraph"/>
        <w:widowControl w:val="0"/>
        <w:numPr>
          <w:ilvl w:val="4"/>
          <w:numId w:val="39"/>
        </w:numPr>
        <w:spacing w:after="120"/>
        <w:ind w:hanging="720"/>
        <w:rPr>
          <w:bCs/>
          <w:szCs w:val="24"/>
        </w:rPr>
      </w:pPr>
      <w:r w:rsidRPr="00BD2BE4">
        <w:rPr>
          <w:bCs/>
          <w:szCs w:val="24"/>
        </w:rPr>
        <w:t>IEEE 802.3 for Ethernet for local- or wide-area network applications</w:t>
      </w:r>
      <w:r w:rsidR="00F256D3">
        <w:rPr>
          <w:bCs/>
          <w:szCs w:val="24"/>
        </w:rPr>
        <w:t>.</w:t>
      </w:r>
    </w:p>
    <w:p w14:paraId="59FDEC48" w14:textId="77777777" w:rsidR="003D3B75" w:rsidRPr="00BD2BE4" w:rsidRDefault="003D3B75" w:rsidP="00164AC5">
      <w:pPr>
        <w:pStyle w:val="ListParagraph"/>
        <w:widowControl w:val="0"/>
        <w:numPr>
          <w:ilvl w:val="3"/>
          <w:numId w:val="39"/>
        </w:numPr>
        <w:spacing w:after="120"/>
        <w:ind w:hanging="720"/>
        <w:rPr>
          <w:bCs/>
          <w:szCs w:val="24"/>
        </w:rPr>
      </w:pPr>
      <w:r w:rsidRPr="00BD2BE4">
        <w:rPr>
          <w:szCs w:val="24"/>
        </w:rPr>
        <w:t xml:space="preserve">Be able </w:t>
      </w:r>
      <w:r w:rsidRPr="00BD2BE4">
        <w:rPr>
          <w:bCs/>
          <w:szCs w:val="24"/>
        </w:rPr>
        <w:t>to receive remote software updates, real-time protocol translation, encryption, and decryption, including:</w:t>
      </w:r>
    </w:p>
    <w:p w14:paraId="7D5E70B3" w14:textId="77777777" w:rsidR="003D3B75" w:rsidRPr="00BD2BE4" w:rsidRDefault="003D3B75" w:rsidP="00164AC5">
      <w:pPr>
        <w:pStyle w:val="ListParagraph"/>
        <w:numPr>
          <w:ilvl w:val="4"/>
          <w:numId w:val="39"/>
        </w:numPr>
        <w:spacing w:after="120"/>
        <w:ind w:hanging="720"/>
        <w:rPr>
          <w:bCs/>
          <w:szCs w:val="24"/>
        </w:rPr>
      </w:pPr>
      <w:r w:rsidRPr="00BD2BE4">
        <w:rPr>
          <w:bCs/>
          <w:szCs w:val="24"/>
        </w:rPr>
        <w:t>Internet Protocol (IP)-based processor which must support multiple protocols, and</w:t>
      </w:r>
    </w:p>
    <w:p w14:paraId="2B168E78" w14:textId="77777777" w:rsidR="003D3B75" w:rsidRPr="00BD2BE4" w:rsidRDefault="003D3B75" w:rsidP="00164AC5">
      <w:pPr>
        <w:pStyle w:val="ListParagraph"/>
        <w:widowControl w:val="0"/>
        <w:numPr>
          <w:ilvl w:val="4"/>
          <w:numId w:val="39"/>
        </w:numPr>
        <w:spacing w:after="120"/>
        <w:ind w:hanging="720"/>
        <w:rPr>
          <w:bCs/>
          <w:szCs w:val="24"/>
        </w:rPr>
      </w:pPr>
      <w:r w:rsidRPr="00BD2BE4">
        <w:rPr>
          <w:bCs/>
          <w:szCs w:val="24"/>
        </w:rPr>
        <w:t>Compliance with Transmission Control Protocol (TCP)/IP and IPv6.</w:t>
      </w:r>
    </w:p>
    <w:p w14:paraId="1B646CC9" w14:textId="57D6C016" w:rsidR="003D3B75" w:rsidRPr="00BD2BE4" w:rsidRDefault="003D3B75" w:rsidP="00164AC5">
      <w:pPr>
        <w:pStyle w:val="ListParagraph"/>
        <w:widowControl w:val="0"/>
        <w:numPr>
          <w:ilvl w:val="3"/>
          <w:numId w:val="39"/>
        </w:numPr>
        <w:spacing w:after="120"/>
        <w:ind w:hanging="720"/>
        <w:rPr>
          <w:bCs/>
          <w:szCs w:val="24"/>
        </w:rPr>
      </w:pPr>
      <w:r w:rsidRPr="00BD2BE4">
        <w:rPr>
          <w:szCs w:val="24"/>
        </w:rPr>
        <w:lastRenderedPageBreak/>
        <w:t>Be able</w:t>
      </w:r>
      <w:r w:rsidRPr="00BD2BE4">
        <w:rPr>
          <w:bCs/>
          <w:szCs w:val="24"/>
        </w:rPr>
        <w:t xml:space="preserve"> to connect to a network’s back-end software</w:t>
      </w:r>
      <w:r w:rsidR="00F256D3">
        <w:rPr>
          <w:bCs/>
          <w:szCs w:val="24"/>
        </w:rPr>
        <w:t>.</w:t>
      </w:r>
    </w:p>
    <w:p w14:paraId="76AE10AA" w14:textId="77777777" w:rsidR="003D3B75" w:rsidRPr="00BD2BE4" w:rsidRDefault="003D3B75" w:rsidP="00164AC5">
      <w:pPr>
        <w:pStyle w:val="ListParagraph"/>
        <w:widowControl w:val="0"/>
        <w:numPr>
          <w:ilvl w:val="1"/>
          <w:numId w:val="39"/>
        </w:numPr>
        <w:spacing w:after="120"/>
        <w:ind w:left="2880" w:hanging="720"/>
        <w:rPr>
          <w:bCs/>
          <w:szCs w:val="24"/>
        </w:rPr>
      </w:pPr>
      <w:r w:rsidRPr="00BD2BE4">
        <w:rPr>
          <w:szCs w:val="24"/>
        </w:rPr>
        <w:t>Each charging port must be covered by and included in a networking agreement for at least five (5) years.</w:t>
      </w:r>
    </w:p>
    <w:p w14:paraId="0EC24C10" w14:textId="1F3F8DAE" w:rsidR="003D3B75" w:rsidRPr="00BD2BE4" w:rsidRDefault="003D3B75" w:rsidP="00164AC5">
      <w:pPr>
        <w:pStyle w:val="ListParagraph"/>
        <w:widowControl w:val="0"/>
        <w:numPr>
          <w:ilvl w:val="0"/>
          <w:numId w:val="39"/>
        </w:numPr>
        <w:spacing w:after="120"/>
        <w:ind w:left="2160" w:hanging="720"/>
        <w:rPr>
          <w:szCs w:val="24"/>
        </w:rPr>
      </w:pPr>
      <w:r w:rsidRPr="00BD2BE4">
        <w:rPr>
          <w:szCs w:val="24"/>
        </w:rPr>
        <w:t>Safety and Weather Resistance</w:t>
      </w:r>
    </w:p>
    <w:p w14:paraId="4EECB07E" w14:textId="77777777" w:rsidR="003D3B75" w:rsidRPr="00BD2BE4" w:rsidRDefault="003D3B75" w:rsidP="00164AC5">
      <w:pPr>
        <w:pStyle w:val="ListParagraph"/>
        <w:widowControl w:val="0"/>
        <w:numPr>
          <w:ilvl w:val="0"/>
          <w:numId w:val="43"/>
        </w:numPr>
        <w:spacing w:after="120"/>
        <w:ind w:left="2880" w:hanging="720"/>
        <w:rPr>
          <w:szCs w:val="24"/>
        </w:rPr>
      </w:pPr>
      <w:r w:rsidRPr="00BD2BE4">
        <w:rPr>
          <w:szCs w:val="24"/>
        </w:rPr>
        <w:t>The charging equipment must be certified by an Occupational Safety and Health Administration Nationally Recognized Testing Laboratory</w:t>
      </w:r>
      <w:r>
        <w:rPr>
          <w:szCs w:val="24"/>
        </w:rPr>
        <w:t>.</w:t>
      </w:r>
    </w:p>
    <w:p w14:paraId="693BB1D4" w14:textId="77777777" w:rsidR="003D3B75" w:rsidRPr="00BD2BE4" w:rsidRDefault="003D3B75" w:rsidP="00164AC5">
      <w:pPr>
        <w:pStyle w:val="ListParagraph"/>
        <w:widowControl w:val="0"/>
        <w:numPr>
          <w:ilvl w:val="0"/>
          <w:numId w:val="43"/>
        </w:numPr>
        <w:spacing w:after="120"/>
        <w:ind w:left="2880" w:hanging="720"/>
        <w:rPr>
          <w:szCs w:val="24"/>
        </w:rPr>
      </w:pPr>
      <w:r w:rsidRPr="00BD2BE4">
        <w:rPr>
          <w:szCs w:val="24"/>
        </w:rPr>
        <w:t xml:space="preserve">The </w:t>
      </w:r>
      <w:r>
        <w:rPr>
          <w:szCs w:val="24"/>
        </w:rPr>
        <w:t xml:space="preserve">charging </w:t>
      </w:r>
      <w:r w:rsidRPr="00BD2BE4">
        <w:rPr>
          <w:szCs w:val="24"/>
        </w:rPr>
        <w:t>equipment must be able to withstand extreme weather conditions, including temperature extremes, flooding, heavy rains, and high winds.</w:t>
      </w:r>
    </w:p>
    <w:p w14:paraId="32220CF9" w14:textId="77777777" w:rsidR="003D3B75" w:rsidRPr="00BD2BE4" w:rsidRDefault="003D3B75" w:rsidP="00164AC5">
      <w:pPr>
        <w:pStyle w:val="ListParagraph"/>
        <w:widowControl w:val="0"/>
        <w:numPr>
          <w:ilvl w:val="0"/>
          <w:numId w:val="43"/>
        </w:numPr>
        <w:spacing w:after="120"/>
        <w:ind w:left="2880" w:hanging="720"/>
        <w:rPr>
          <w:szCs w:val="24"/>
        </w:rPr>
      </w:pPr>
      <w:r w:rsidRPr="00BD2BE4">
        <w:rPr>
          <w:szCs w:val="24"/>
        </w:rPr>
        <w:t>Display screens must be protected from malfunctions due to condensation and any local area weather conditions.</w:t>
      </w:r>
    </w:p>
    <w:p w14:paraId="5F588911" w14:textId="20911E94" w:rsidR="003D3B75" w:rsidRPr="00BD2BE4" w:rsidRDefault="003D3B75" w:rsidP="00164AC5">
      <w:pPr>
        <w:pStyle w:val="ListParagraph"/>
        <w:widowControl w:val="0"/>
        <w:numPr>
          <w:ilvl w:val="0"/>
          <w:numId w:val="39"/>
        </w:numPr>
        <w:spacing w:after="120"/>
        <w:ind w:left="2160" w:hanging="720"/>
        <w:rPr>
          <w:szCs w:val="24"/>
        </w:rPr>
      </w:pPr>
      <w:r w:rsidRPr="00BD2BE4">
        <w:rPr>
          <w:szCs w:val="24"/>
        </w:rPr>
        <w:t>Compliance with State Requirements</w:t>
      </w:r>
    </w:p>
    <w:p w14:paraId="628F3E7F" w14:textId="77777777" w:rsidR="003D3B75" w:rsidRPr="00BD2BE4" w:rsidRDefault="003D3B75" w:rsidP="00164AC5">
      <w:pPr>
        <w:pStyle w:val="ListParagraph"/>
        <w:widowControl w:val="0"/>
        <w:numPr>
          <w:ilvl w:val="0"/>
          <w:numId w:val="44"/>
        </w:numPr>
        <w:spacing w:after="120"/>
        <w:ind w:left="2880" w:hanging="720"/>
        <w:rPr>
          <w:szCs w:val="24"/>
        </w:rPr>
      </w:pPr>
      <w:r w:rsidRPr="00BD2BE4">
        <w:rPr>
          <w:szCs w:val="24"/>
        </w:rPr>
        <w:t>All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w:t>
      </w:r>
    </w:p>
    <w:p w14:paraId="2E9226DF" w14:textId="77777777" w:rsidR="00651E4F" w:rsidRPr="00752BAE" w:rsidRDefault="00651E4F" w:rsidP="00F579F8">
      <w:pPr>
        <w:ind w:left="1440"/>
        <w:rPr>
          <w:b/>
          <w:szCs w:val="24"/>
        </w:rPr>
      </w:pPr>
    </w:p>
    <w:p w14:paraId="37E9FA0D" w14:textId="77777777" w:rsidR="00651E4F" w:rsidRPr="00752BAE" w:rsidRDefault="00651E4F" w:rsidP="00164AC5">
      <w:pPr>
        <w:keepNext/>
        <w:numPr>
          <w:ilvl w:val="0"/>
          <w:numId w:val="37"/>
        </w:numPr>
        <w:ind w:left="1440" w:hanging="720"/>
        <w:rPr>
          <w:b/>
          <w:szCs w:val="24"/>
        </w:rPr>
      </w:pPr>
      <w:r w:rsidRPr="00752BAE">
        <w:rPr>
          <w:b/>
          <w:szCs w:val="24"/>
        </w:rPr>
        <w:t>Build America, Buy America</w:t>
      </w:r>
    </w:p>
    <w:p w14:paraId="262A91AD" w14:textId="21ED8241" w:rsidR="00651E4F" w:rsidRDefault="00651E4F" w:rsidP="00651E4F">
      <w:pPr>
        <w:ind w:left="1440"/>
      </w:pPr>
      <w:r w:rsidRPr="2EBD591C">
        <w:rPr>
          <w:rFonts w:eastAsia="Tahoma"/>
        </w:rPr>
        <w:t xml:space="preserve">Without limitation to all other requirements in the terms and conditions </w:t>
      </w:r>
      <w:r w:rsidR="001E6AC0" w:rsidRPr="2EBD591C">
        <w:rPr>
          <w:rFonts w:eastAsia="Tahoma"/>
        </w:rPr>
        <w:t>that</w:t>
      </w:r>
      <w:r w:rsidRPr="2EBD591C">
        <w:rPr>
          <w:rFonts w:eastAsia="Tahoma"/>
        </w:rPr>
        <w:t xml:space="preserve"> will be required for grants awarded under this </w:t>
      </w:r>
      <w:r w:rsidR="001E6AC0" w:rsidRPr="2EBD591C">
        <w:rPr>
          <w:rFonts w:eastAsia="Tahoma"/>
        </w:rPr>
        <w:t>solicitation</w:t>
      </w:r>
      <w:r w:rsidRPr="2EBD591C">
        <w:rPr>
          <w:rFonts w:eastAsia="Tahoma"/>
        </w:rPr>
        <w:t xml:space="preserve">, which are referenced in Section II.A.2 above, or any other provision of this solicitation or resultant grant agreements, </w:t>
      </w:r>
      <w:r w:rsidR="6AE4DB35" w:rsidRPr="2EBD591C">
        <w:rPr>
          <w:rFonts w:eastAsia="Tahoma"/>
        </w:rPr>
        <w:t>A</w:t>
      </w:r>
      <w:r w:rsidRPr="2EBD591C">
        <w:rPr>
          <w:rFonts w:eastAsia="Tahoma"/>
        </w:rPr>
        <w:t xml:space="preserve">pplicants should in particular note that </w:t>
      </w:r>
      <w:r>
        <w:t>Recipients must comply with federal Buy America requirements consistent with the final Federal NEVI standards (</w:t>
      </w:r>
      <w:hyperlink r:id="rId68">
        <w:r w:rsidR="2564A644" w:rsidRPr="2EBD591C">
          <w:rPr>
            <w:rStyle w:val="Hyperlink"/>
          </w:rPr>
          <w:t>23 U.S.C. 313</w:t>
        </w:r>
      </w:hyperlink>
      <w:r w:rsidRPr="2EBD591C">
        <w:rPr>
          <w:rStyle w:val="Hyperlink"/>
          <w:color w:val="auto"/>
          <w:u w:val="none"/>
        </w:rPr>
        <w:t xml:space="preserve"> at </w:t>
      </w:r>
      <w:r>
        <w:t>https://www.govinfo.gov/content/pkg/USCODE-2021-title23/pdf/USCODE-2021-title23-chap3-sec313.pdf) and Build America, Buy America Act (Pub. L. No 117-58, div. G sections 70901-70927). This includes, but is not limited to, requirements that all iron and steel; all manufactured products; and all construction materials that are used in the project are produced in the United States. Applicants are encouraged to review the Federal requirements and to verify with their equipment supplier(s) that their equipment meets and can document compliance with this requirement.</w:t>
      </w:r>
    </w:p>
    <w:p w14:paraId="3CDA6435" w14:textId="6511D26C" w:rsidR="00BD029B" w:rsidRDefault="00E6612E" w:rsidP="00651E4F">
      <w:pPr>
        <w:ind w:left="1440"/>
        <w:rPr>
          <w:bCs/>
          <w:szCs w:val="24"/>
        </w:rPr>
      </w:pPr>
      <w:r>
        <w:rPr>
          <w:bCs/>
          <w:szCs w:val="24"/>
        </w:rPr>
        <w:t xml:space="preserve"> </w:t>
      </w:r>
    </w:p>
    <w:p w14:paraId="6F7AB069" w14:textId="77777777" w:rsidR="00BD029B" w:rsidRPr="00BD2BE4" w:rsidRDefault="00BD029B" w:rsidP="00164AC5">
      <w:pPr>
        <w:numPr>
          <w:ilvl w:val="0"/>
          <w:numId w:val="37"/>
        </w:numPr>
        <w:tabs>
          <w:tab w:val="left" w:pos="900"/>
        </w:tabs>
        <w:ind w:left="1440" w:hanging="720"/>
        <w:rPr>
          <w:b/>
          <w:bCs/>
          <w:szCs w:val="24"/>
        </w:rPr>
      </w:pPr>
      <w:r w:rsidRPr="00BD2BE4">
        <w:rPr>
          <w:b/>
          <w:bCs/>
          <w:szCs w:val="24"/>
        </w:rPr>
        <w:t>Data Submittals</w:t>
      </w:r>
    </w:p>
    <w:p w14:paraId="50CEA1B5" w14:textId="77777777" w:rsidR="00BD029B" w:rsidRPr="00BD2BE4" w:rsidRDefault="00BD029B" w:rsidP="00BD029B">
      <w:pPr>
        <w:tabs>
          <w:tab w:val="left" w:pos="900"/>
        </w:tabs>
        <w:ind w:left="1440"/>
        <w:rPr>
          <w:rStyle w:val="normaltextrun"/>
          <w:szCs w:val="24"/>
        </w:rPr>
      </w:pPr>
      <w:r w:rsidRPr="00BD2BE4">
        <w:rPr>
          <w:szCs w:val="24"/>
        </w:rPr>
        <w:t>Applications that result in proposed awards and executed agreements will be required to perform recordkeeping and report</w:t>
      </w:r>
      <w:r>
        <w:rPr>
          <w:szCs w:val="24"/>
        </w:rPr>
        <w:t>ing</w:t>
      </w:r>
      <w:r w:rsidRPr="00BD2BE4">
        <w:rPr>
          <w:szCs w:val="24"/>
        </w:rPr>
        <w:t xml:space="preserve"> on charger operations and reliability as specified in the solicitation Scope of Work (Attachment </w:t>
      </w:r>
      <w:r>
        <w:rPr>
          <w:szCs w:val="24"/>
        </w:rPr>
        <w:t>2</w:t>
      </w:r>
      <w:r w:rsidRPr="00BD2BE4">
        <w:rPr>
          <w:szCs w:val="24"/>
        </w:rPr>
        <w:t xml:space="preserve">). These requirements include quarterly, annual, and one-time data submittals, as well as real-time reporting of charger status and charging session information through application programming interface (API) for third-party developers. Applicants should familiarize themselves with the </w:t>
      </w:r>
      <w:hyperlink r:id="rId69">
        <w:r w:rsidRPr="00BD2BE4">
          <w:rPr>
            <w:rStyle w:val="Hyperlink"/>
            <w:szCs w:val="24"/>
          </w:rPr>
          <w:t>National Electric Vehicle Infrastructure Standards and Requirements</w:t>
        </w:r>
      </w:hyperlink>
      <w:r w:rsidRPr="00BD2BE4">
        <w:rPr>
          <w:szCs w:val="24"/>
        </w:rPr>
        <w:t xml:space="preserve"> </w:t>
      </w:r>
      <w:r w:rsidRPr="00BD2BE4">
        <w:rPr>
          <w:szCs w:val="24"/>
        </w:rPr>
        <w:lastRenderedPageBreak/>
        <w:t>found at https://www.federalregister.gov/documents/2023/02/28/2023-03500/national-electric-vehicle-infrastructure-standards-and-requirements and the solicitation Scope of Work requirements and ensure they have systems in place to comply.</w:t>
      </w:r>
    </w:p>
    <w:p w14:paraId="221E7672" w14:textId="77777777" w:rsidR="00BD029B" w:rsidRPr="00BD2BE4" w:rsidRDefault="00BD029B" w:rsidP="00BD029B">
      <w:pPr>
        <w:ind w:left="720"/>
        <w:jc w:val="both"/>
        <w:rPr>
          <w:rStyle w:val="normaltextrun"/>
          <w:szCs w:val="24"/>
        </w:rPr>
      </w:pPr>
    </w:p>
    <w:p w14:paraId="05B2B727" w14:textId="77777777" w:rsidR="00BD029B" w:rsidRPr="00BD2BE4" w:rsidRDefault="00BD029B" w:rsidP="00164AC5">
      <w:pPr>
        <w:pStyle w:val="ListParagraph"/>
        <w:keepNext/>
        <w:numPr>
          <w:ilvl w:val="0"/>
          <w:numId w:val="37"/>
        </w:numPr>
        <w:tabs>
          <w:tab w:val="left" w:pos="810"/>
          <w:tab w:val="left" w:pos="900"/>
        </w:tabs>
        <w:ind w:left="1440" w:hanging="720"/>
        <w:rPr>
          <w:rStyle w:val="normaltextrun"/>
          <w:b/>
          <w:bCs/>
          <w:szCs w:val="24"/>
        </w:rPr>
      </w:pPr>
      <w:r w:rsidRPr="00BD2BE4">
        <w:rPr>
          <w:rStyle w:val="normaltextrun"/>
          <w:b/>
          <w:bCs/>
          <w:szCs w:val="24"/>
        </w:rPr>
        <w:t>Operation, Maintenance, and Uptime</w:t>
      </w:r>
    </w:p>
    <w:p w14:paraId="34290E70" w14:textId="0B59FCA1" w:rsidR="00BD029B" w:rsidRPr="00BD2BE4" w:rsidRDefault="00BD029B" w:rsidP="00BD029B">
      <w:pPr>
        <w:ind w:left="1440"/>
        <w:rPr>
          <w:rStyle w:val="normaltextrun"/>
        </w:rPr>
      </w:pPr>
      <w:r w:rsidRPr="2EBD591C">
        <w:rPr>
          <w:rStyle w:val="normaltextrun"/>
        </w:rPr>
        <w:t xml:space="preserve">Each charging port, charger, and </w:t>
      </w:r>
      <w:r w:rsidR="008F5166" w:rsidRPr="2EBD591C">
        <w:rPr>
          <w:rStyle w:val="normaltextrun"/>
        </w:rPr>
        <w:t xml:space="preserve">EV </w:t>
      </w:r>
      <w:r w:rsidRPr="2EBD591C">
        <w:rPr>
          <w:rStyle w:val="normaltextrun"/>
        </w:rPr>
        <w:t>charging station funded through the solicitation must operate for public use for at least five (5) years after its commissioning date.</w:t>
      </w:r>
    </w:p>
    <w:p w14:paraId="261BAC2A" w14:textId="77777777" w:rsidR="00BD029B" w:rsidRPr="00BD2BE4" w:rsidRDefault="00BD029B" w:rsidP="00BD029B">
      <w:pPr>
        <w:ind w:left="1440"/>
        <w:rPr>
          <w:rStyle w:val="normaltextrun"/>
          <w:szCs w:val="24"/>
        </w:rPr>
      </w:pPr>
    </w:p>
    <w:p w14:paraId="0EA89A0F" w14:textId="02407550" w:rsidR="00BD029B" w:rsidRPr="00BD2BE4" w:rsidRDefault="00BD029B" w:rsidP="00BD029B">
      <w:pPr>
        <w:ind w:left="1440"/>
        <w:rPr>
          <w:rStyle w:val="normaltextrun"/>
          <w:szCs w:val="24"/>
        </w:rPr>
      </w:pPr>
      <w:r w:rsidRPr="00BD2BE4">
        <w:rPr>
          <w:rStyle w:val="normaltextrun"/>
          <w:szCs w:val="24"/>
        </w:rPr>
        <w:t>Each charging port must have an average annual uptime of greater than 97</w:t>
      </w:r>
      <w:r w:rsidR="00E62CF6">
        <w:rPr>
          <w:rStyle w:val="normaltextrun"/>
          <w:szCs w:val="24"/>
        </w:rPr>
        <w:t xml:space="preserve"> percent</w:t>
      </w:r>
      <w:r w:rsidRPr="4DE305A5">
        <w:rPr>
          <w:rStyle w:val="normaltextrun"/>
          <w:szCs w:val="24"/>
        </w:rPr>
        <w:t xml:space="preserve"> per the requirements of the NEVI program specified in 23 CFR 680.116(b).</w:t>
      </w:r>
      <w:r w:rsidRPr="00BD2BE4">
        <w:rPr>
          <w:rStyle w:val="normaltextrun"/>
          <w:szCs w:val="24"/>
        </w:rPr>
        <w:t xml:space="preserve"> A charging port is considered to be “up” when its hardware and software are both online and available for use, or in use, and the charging port successfully dispenses electricity in accordance with requirements for the minimum power level. </w:t>
      </w:r>
      <w:r w:rsidRPr="4DE305A5">
        <w:rPr>
          <w:rStyle w:val="normaltextrun"/>
          <w:szCs w:val="24"/>
        </w:rPr>
        <w:t>It will be the Recipient’s responsibility to demonstrate that this uptime requirement is met</w:t>
      </w:r>
      <w:r>
        <w:rPr>
          <w:rStyle w:val="normaltextrun"/>
          <w:szCs w:val="24"/>
        </w:rPr>
        <w:t>.</w:t>
      </w:r>
    </w:p>
    <w:p w14:paraId="752AD9E8" w14:textId="77777777" w:rsidR="00BD029B" w:rsidRPr="00BD2BE4" w:rsidRDefault="00BD029B" w:rsidP="00BD029B">
      <w:pPr>
        <w:ind w:left="1440"/>
        <w:rPr>
          <w:rStyle w:val="normaltextrun"/>
          <w:szCs w:val="24"/>
        </w:rPr>
      </w:pPr>
    </w:p>
    <w:p w14:paraId="07F69CC9" w14:textId="77777777" w:rsidR="00BD029B" w:rsidRPr="00BD2BE4" w:rsidRDefault="00BD029B" w:rsidP="00BD029B">
      <w:pPr>
        <w:ind w:left="1440"/>
        <w:rPr>
          <w:rStyle w:val="normaltextrun"/>
          <w:szCs w:val="24"/>
        </w:rPr>
      </w:pPr>
      <w:r w:rsidRPr="00BD2BE4">
        <w:rPr>
          <w:rStyle w:val="normaltextrun"/>
          <w:szCs w:val="24"/>
        </w:rPr>
        <w:t xml:space="preserve">Each charger shall meet the specific recordkeeping, maintenance, and reporting requirements </w:t>
      </w:r>
      <w:r w:rsidRPr="4DE305A5">
        <w:rPr>
          <w:rStyle w:val="normaltextrun"/>
          <w:szCs w:val="24"/>
        </w:rPr>
        <w:t xml:space="preserve">related to uptime and other metrics that are </w:t>
      </w:r>
      <w:r w:rsidRPr="00BD2BE4">
        <w:rPr>
          <w:rStyle w:val="normaltextrun"/>
          <w:szCs w:val="24"/>
        </w:rPr>
        <w:t xml:space="preserve">detailed in the Scope of Work (Attachment </w:t>
      </w:r>
      <w:r>
        <w:rPr>
          <w:rStyle w:val="normaltextrun"/>
          <w:szCs w:val="24"/>
        </w:rPr>
        <w:t>2</w:t>
      </w:r>
      <w:r w:rsidRPr="4DE305A5">
        <w:rPr>
          <w:rStyle w:val="normaltextrun"/>
          <w:szCs w:val="24"/>
        </w:rPr>
        <w:t>)</w:t>
      </w:r>
      <w:r>
        <w:rPr>
          <w:rStyle w:val="normaltextrun"/>
          <w:szCs w:val="24"/>
        </w:rPr>
        <w:t>.</w:t>
      </w:r>
    </w:p>
    <w:p w14:paraId="1AE9761B" w14:textId="77777777" w:rsidR="00BD029B" w:rsidRPr="00BD2BE4" w:rsidRDefault="00BD029B" w:rsidP="00BD029B">
      <w:pPr>
        <w:rPr>
          <w:rStyle w:val="normaltextrun"/>
        </w:rPr>
      </w:pPr>
    </w:p>
    <w:p w14:paraId="0964AE4C" w14:textId="77777777" w:rsidR="00BD029B" w:rsidRPr="00BD2BE4" w:rsidRDefault="00BD029B" w:rsidP="00164AC5">
      <w:pPr>
        <w:keepNext/>
        <w:numPr>
          <w:ilvl w:val="0"/>
          <w:numId w:val="37"/>
        </w:numPr>
        <w:ind w:left="1440" w:hanging="720"/>
        <w:rPr>
          <w:b/>
          <w:szCs w:val="24"/>
        </w:rPr>
      </w:pPr>
      <w:r w:rsidRPr="00BD2BE4">
        <w:rPr>
          <w:b/>
          <w:szCs w:val="24"/>
        </w:rPr>
        <w:t>Payment Options</w:t>
      </w:r>
    </w:p>
    <w:p w14:paraId="767F4DD5" w14:textId="77777777" w:rsidR="00BD029B" w:rsidRPr="00BD2BE4" w:rsidRDefault="00BD029B" w:rsidP="00BD029B">
      <w:pPr>
        <w:pStyle w:val="ListParagraph"/>
        <w:keepNext/>
        <w:ind w:left="1440"/>
        <w:rPr>
          <w:szCs w:val="24"/>
        </w:rPr>
      </w:pPr>
      <w:r w:rsidRPr="00BD2BE4">
        <w:rPr>
          <w:szCs w:val="24"/>
        </w:rPr>
        <w:t xml:space="preserve">All </w:t>
      </w:r>
      <w:r>
        <w:rPr>
          <w:szCs w:val="24"/>
        </w:rPr>
        <w:t xml:space="preserve">of </w:t>
      </w:r>
      <w:r w:rsidRPr="00BD2BE4">
        <w:rPr>
          <w:szCs w:val="24"/>
        </w:rPr>
        <w:t>the following requirements must be met:</w:t>
      </w:r>
    </w:p>
    <w:p w14:paraId="0CD9D560" w14:textId="77777777" w:rsidR="00BD029B" w:rsidRPr="00BD2BE4" w:rsidRDefault="00BD029B" w:rsidP="00164AC5">
      <w:pPr>
        <w:pStyle w:val="ListParagraph"/>
        <w:keepNext/>
        <w:numPr>
          <w:ilvl w:val="0"/>
          <w:numId w:val="45"/>
        </w:numPr>
        <w:spacing w:after="120"/>
        <w:ind w:hanging="720"/>
        <w:rPr>
          <w:szCs w:val="24"/>
        </w:rPr>
      </w:pPr>
      <w:r w:rsidRPr="00BD2BE4">
        <w:rPr>
          <w:szCs w:val="24"/>
        </w:rPr>
        <w:t>The public charging stations must provide secure payment methods,</w:t>
      </w:r>
      <w:r>
        <w:rPr>
          <w:szCs w:val="24"/>
        </w:rPr>
        <w:t xml:space="preserve"> be</w:t>
      </w:r>
      <w:r w:rsidRPr="00BD2BE4">
        <w:rPr>
          <w:szCs w:val="24"/>
        </w:rPr>
        <w:t xml:space="preserve"> accessible to persons with disabilities, and must at minimum include:</w:t>
      </w:r>
    </w:p>
    <w:p w14:paraId="1BDB740E" w14:textId="77777777" w:rsidR="00BD029B" w:rsidRPr="00BD2BE4" w:rsidRDefault="00BD029B" w:rsidP="00164AC5">
      <w:pPr>
        <w:pStyle w:val="ListParagraph"/>
        <w:keepNext/>
        <w:numPr>
          <w:ilvl w:val="1"/>
          <w:numId w:val="45"/>
        </w:numPr>
        <w:spacing w:after="120"/>
        <w:ind w:hanging="720"/>
        <w:rPr>
          <w:szCs w:val="24"/>
        </w:rPr>
      </w:pPr>
      <w:r w:rsidRPr="00BD2BE4">
        <w:rPr>
          <w:szCs w:val="24"/>
        </w:rPr>
        <w:t>Near Field Communication (NFC) and Radio Frequency Identification (RFID) contactless payment methods that accept major debit and credit cards.</w:t>
      </w:r>
    </w:p>
    <w:p w14:paraId="4D000F0F" w14:textId="77777777" w:rsidR="00BD029B" w:rsidRPr="00BD2BE4" w:rsidRDefault="00BD029B" w:rsidP="00164AC5">
      <w:pPr>
        <w:pStyle w:val="ListParagraph"/>
        <w:keepNext/>
        <w:numPr>
          <w:ilvl w:val="1"/>
          <w:numId w:val="45"/>
        </w:numPr>
        <w:spacing w:after="120"/>
        <w:ind w:hanging="720"/>
        <w:rPr>
          <w:szCs w:val="24"/>
        </w:rPr>
      </w:pPr>
      <w:r w:rsidRPr="00BD2BE4">
        <w:rPr>
          <w:szCs w:val="24"/>
        </w:rPr>
        <w:t>Either an automated toll-free phone number or short message/messaging system (SMS) that provides the EV charging customer with the option to initiate a charging session and submit payment.</w:t>
      </w:r>
    </w:p>
    <w:p w14:paraId="164E815A" w14:textId="77777777" w:rsidR="00BD029B" w:rsidRPr="00BD2BE4" w:rsidRDefault="00BD029B" w:rsidP="00164AC5">
      <w:pPr>
        <w:pStyle w:val="ListParagraph"/>
        <w:keepNext/>
        <w:numPr>
          <w:ilvl w:val="0"/>
          <w:numId w:val="45"/>
        </w:numPr>
        <w:spacing w:after="120"/>
        <w:ind w:hanging="720"/>
        <w:rPr>
          <w:szCs w:val="24"/>
        </w:rPr>
      </w:pPr>
      <w:r w:rsidRPr="00BD2BE4">
        <w:rPr>
          <w:szCs w:val="24"/>
        </w:rPr>
        <w:t>Additional payment mechanisms may be offered, such as Plug-and-Charge or payment through mobile apps.</w:t>
      </w:r>
    </w:p>
    <w:p w14:paraId="5CC5176F" w14:textId="77777777" w:rsidR="00BD029B" w:rsidRPr="00BD2BE4" w:rsidRDefault="00BD029B" w:rsidP="00164AC5">
      <w:pPr>
        <w:pStyle w:val="ListParagraph"/>
        <w:keepNext/>
        <w:numPr>
          <w:ilvl w:val="0"/>
          <w:numId w:val="45"/>
        </w:numPr>
        <w:spacing w:after="120"/>
        <w:ind w:hanging="720"/>
        <w:rPr>
          <w:szCs w:val="24"/>
        </w:rPr>
      </w:pPr>
      <w:r w:rsidRPr="00BD2BE4">
        <w:rPr>
          <w:szCs w:val="24"/>
        </w:rPr>
        <w:t>Any customer or vehicle with the appropriate charging port connection must be allowed to utilize the charging station. Charging cannot be restricted to a specific customer base or vehicle manufacturer.</w:t>
      </w:r>
    </w:p>
    <w:p w14:paraId="1020F0F1" w14:textId="77777777" w:rsidR="00BD029B" w:rsidRPr="00BD2BE4" w:rsidRDefault="00BD029B" w:rsidP="00164AC5">
      <w:pPr>
        <w:pStyle w:val="ListParagraph"/>
        <w:keepNext/>
        <w:numPr>
          <w:ilvl w:val="0"/>
          <w:numId w:val="45"/>
        </w:numPr>
        <w:spacing w:after="120"/>
        <w:ind w:hanging="720"/>
        <w:rPr>
          <w:szCs w:val="24"/>
        </w:rPr>
      </w:pPr>
      <w:r w:rsidRPr="00BD2BE4">
        <w:rPr>
          <w:szCs w:val="24"/>
        </w:rPr>
        <w:t>The charging stations must not require a membership for use.</w:t>
      </w:r>
    </w:p>
    <w:p w14:paraId="5AC80B71" w14:textId="77777777" w:rsidR="00BD029B" w:rsidRPr="00BD2BE4" w:rsidRDefault="00BD029B" w:rsidP="00164AC5">
      <w:pPr>
        <w:pStyle w:val="ListParagraph"/>
        <w:widowControl w:val="0"/>
        <w:numPr>
          <w:ilvl w:val="0"/>
          <w:numId w:val="45"/>
        </w:numPr>
        <w:spacing w:after="120"/>
        <w:ind w:hanging="720"/>
        <w:rPr>
          <w:szCs w:val="24"/>
        </w:rPr>
      </w:pPr>
      <w:r w:rsidRPr="00BD2BE4">
        <w:rPr>
          <w:szCs w:val="24"/>
        </w:rPr>
        <w:t>The charging stations must not delay, limit, or curtail power flow to vehicles on the basis of payment method or memberships.</w:t>
      </w:r>
    </w:p>
    <w:p w14:paraId="476BC93D" w14:textId="77777777" w:rsidR="00BD029B" w:rsidRPr="00BD2BE4" w:rsidRDefault="00BD029B" w:rsidP="00164AC5">
      <w:pPr>
        <w:pStyle w:val="ListParagraph"/>
        <w:widowControl w:val="0"/>
        <w:numPr>
          <w:ilvl w:val="0"/>
          <w:numId w:val="45"/>
        </w:numPr>
        <w:spacing w:after="120"/>
        <w:ind w:hanging="720"/>
        <w:rPr>
          <w:szCs w:val="24"/>
        </w:rPr>
      </w:pPr>
      <w:r w:rsidRPr="00BD2BE4">
        <w:rPr>
          <w:szCs w:val="24"/>
        </w:rPr>
        <w:t>The charging stations must provide access for users that are limited English proficient and accessibility for people with disabilities.</w:t>
      </w:r>
    </w:p>
    <w:p w14:paraId="0D14052D" w14:textId="77777777" w:rsidR="00BD029B" w:rsidRPr="00BD2BE4" w:rsidRDefault="00BD029B" w:rsidP="00164AC5">
      <w:pPr>
        <w:pStyle w:val="ListParagraph"/>
        <w:widowControl w:val="0"/>
        <w:numPr>
          <w:ilvl w:val="0"/>
          <w:numId w:val="45"/>
        </w:numPr>
        <w:spacing w:after="120"/>
        <w:ind w:hanging="720"/>
        <w:rPr>
          <w:szCs w:val="24"/>
        </w:rPr>
      </w:pPr>
      <w:r w:rsidRPr="00BD2BE4">
        <w:rPr>
          <w:szCs w:val="24"/>
        </w:rPr>
        <w:lastRenderedPageBreak/>
        <w:t>Automated toll-free phone numbers and SMS payment options must clearly identify payment access for these populations.</w:t>
      </w:r>
    </w:p>
    <w:p w14:paraId="541744EC" w14:textId="77777777" w:rsidR="00BD029B" w:rsidRPr="00BD2BE4" w:rsidRDefault="00BD029B" w:rsidP="00164AC5">
      <w:pPr>
        <w:pStyle w:val="ListParagraph"/>
        <w:widowControl w:val="0"/>
        <w:numPr>
          <w:ilvl w:val="0"/>
          <w:numId w:val="45"/>
        </w:numPr>
        <w:spacing w:after="120"/>
        <w:ind w:hanging="720"/>
        <w:rPr>
          <w:szCs w:val="24"/>
        </w:rPr>
      </w:pPr>
      <w:r w:rsidRPr="00BD2BE4">
        <w:rPr>
          <w:szCs w:val="24"/>
        </w:rPr>
        <w:t>The point-of-sale and supporting network must use an open protocol to allow subscribers of other EV charging system networks to access the charging station.</w:t>
      </w:r>
    </w:p>
    <w:p w14:paraId="1BBBE6B5" w14:textId="77777777" w:rsidR="00BD029B" w:rsidRPr="00BD2BE4" w:rsidRDefault="00BD029B" w:rsidP="00164AC5">
      <w:pPr>
        <w:pStyle w:val="ListParagraph"/>
        <w:widowControl w:val="0"/>
        <w:numPr>
          <w:ilvl w:val="0"/>
          <w:numId w:val="45"/>
        </w:numPr>
        <w:spacing w:after="120"/>
        <w:ind w:hanging="720"/>
        <w:rPr>
          <w:szCs w:val="24"/>
        </w:rPr>
      </w:pPr>
      <w:r w:rsidRPr="00BD2BE4">
        <w:rPr>
          <w:szCs w:val="24"/>
        </w:rPr>
        <w:t>The point-of-sale and supporting network must be secure and meet the final NEVI cybersecurity requirements.</w:t>
      </w:r>
    </w:p>
    <w:p w14:paraId="128E607C" w14:textId="77777777" w:rsidR="00BD029B" w:rsidRPr="00BD2BE4" w:rsidRDefault="00BD029B" w:rsidP="00BD029B">
      <w:pPr>
        <w:ind w:left="1440"/>
        <w:rPr>
          <w:bCs/>
          <w:szCs w:val="24"/>
        </w:rPr>
      </w:pPr>
    </w:p>
    <w:p w14:paraId="7B182765" w14:textId="77777777" w:rsidR="00BD029B" w:rsidRPr="00BD2BE4" w:rsidRDefault="00BD029B" w:rsidP="00164AC5">
      <w:pPr>
        <w:numPr>
          <w:ilvl w:val="0"/>
          <w:numId w:val="37"/>
        </w:numPr>
        <w:ind w:left="1440" w:hanging="720"/>
        <w:rPr>
          <w:bCs/>
          <w:szCs w:val="24"/>
        </w:rPr>
      </w:pPr>
      <w:r w:rsidRPr="00BD2BE4">
        <w:rPr>
          <w:b/>
          <w:szCs w:val="24"/>
        </w:rPr>
        <w:t>Customer Service</w:t>
      </w:r>
    </w:p>
    <w:p w14:paraId="68AC504A" w14:textId="60856DA0" w:rsidR="00BD029B" w:rsidRPr="00BD2BE4" w:rsidRDefault="00BD029B" w:rsidP="00BD029B">
      <w:pPr>
        <w:pStyle w:val="ListParagraph"/>
        <w:ind w:left="1440"/>
        <w:rPr>
          <w:szCs w:val="24"/>
        </w:rPr>
      </w:pPr>
      <w:r w:rsidRPr="00BD2BE4">
        <w:rPr>
          <w:szCs w:val="24"/>
        </w:rPr>
        <w:t>The project must provide customer support service and ensure that EV charging customers have mechanisms to report outages, malfunctions, and other issues with the charging infrastructure. Mechanisms may include, but are not limited to, a toll-free telephone number, an email, instant messaging chat, or an online portal. The customer support service must be capable of providing or dispatching services to address customer concerns at the charging station. Customer support must be available in at least English and Spanish. Projects must comply with the American</w:t>
      </w:r>
      <w:r w:rsidR="00E67C4D">
        <w:rPr>
          <w:szCs w:val="24"/>
        </w:rPr>
        <w:t>s</w:t>
      </w:r>
      <w:r w:rsidRPr="00BD2BE4">
        <w:rPr>
          <w:szCs w:val="24"/>
        </w:rPr>
        <w:t xml:space="preserve"> with Disabilities Act of 1990 requirements and multilingual access when creating reporting mechanisms.</w:t>
      </w:r>
    </w:p>
    <w:p w14:paraId="359117CD" w14:textId="77777777" w:rsidR="00BD029B" w:rsidRPr="00BD2BE4" w:rsidRDefault="00BD029B" w:rsidP="00BD029B">
      <w:pPr>
        <w:pStyle w:val="ListParagraph"/>
        <w:ind w:left="1440"/>
        <w:rPr>
          <w:szCs w:val="24"/>
        </w:rPr>
      </w:pPr>
    </w:p>
    <w:p w14:paraId="1A4AE30D" w14:textId="77777777" w:rsidR="00BD029B" w:rsidRPr="00BD2BE4" w:rsidRDefault="00BD029B" w:rsidP="00164AC5">
      <w:pPr>
        <w:numPr>
          <w:ilvl w:val="0"/>
          <w:numId w:val="37"/>
        </w:numPr>
        <w:ind w:left="1440" w:hanging="720"/>
        <w:rPr>
          <w:szCs w:val="24"/>
        </w:rPr>
      </w:pPr>
      <w:r w:rsidRPr="00BD2BE4">
        <w:rPr>
          <w:b/>
          <w:szCs w:val="24"/>
        </w:rPr>
        <w:t>Highway and On-Site Signage</w:t>
      </w:r>
    </w:p>
    <w:p w14:paraId="45F51974" w14:textId="77777777" w:rsidR="00BD029B" w:rsidRPr="00BD2BE4" w:rsidRDefault="00BD029B" w:rsidP="00BD029B">
      <w:pPr>
        <w:pStyle w:val="ListParagraph"/>
        <w:ind w:left="1440"/>
        <w:rPr>
          <w:szCs w:val="24"/>
        </w:rPr>
      </w:pPr>
      <w:r w:rsidRPr="00BD2BE4">
        <w:rPr>
          <w:szCs w:val="24"/>
        </w:rPr>
        <w:t>The project must coordinate with appropriate local agencies and Caltrans for directional signage on and along the highway and local roads</w:t>
      </w:r>
      <w:r>
        <w:rPr>
          <w:szCs w:val="24"/>
        </w:rPr>
        <w:t>, if it is not already installed</w:t>
      </w:r>
      <w:r w:rsidRPr="00BD2BE4">
        <w:rPr>
          <w:szCs w:val="24"/>
        </w:rPr>
        <w:t>. The signs must meet the California Manual on Uniform Traffic Control Devices</w:t>
      </w:r>
      <w:r w:rsidRPr="00BD2BE4">
        <w:rPr>
          <w:rStyle w:val="FootnoteReference"/>
          <w:szCs w:val="24"/>
        </w:rPr>
        <w:footnoteReference w:id="8"/>
      </w:r>
      <w:r w:rsidRPr="00BD2BE4">
        <w:rPr>
          <w:szCs w:val="24"/>
        </w:rPr>
        <w:t xml:space="preserve"> (CA MUTCD) standards, and all other applicable laws, ordinances, regulations, and standards. The Recipient shall coordinate with cities and counties on trailblazer</w:t>
      </w:r>
      <w:r w:rsidRPr="00BD2BE4">
        <w:rPr>
          <w:rStyle w:val="FootnoteReference"/>
          <w:szCs w:val="24"/>
        </w:rPr>
        <w:footnoteReference w:id="9"/>
      </w:r>
      <w:r w:rsidRPr="00BD2BE4">
        <w:rPr>
          <w:szCs w:val="24"/>
        </w:rPr>
        <w:t xml:space="preserve"> signage on local roads leading to the charging location. This award may cover funding for trailblazer and on-site signage</w:t>
      </w:r>
      <w:r w:rsidRPr="4541FA84">
        <w:rPr>
          <w:szCs w:val="24"/>
        </w:rPr>
        <w:t xml:space="preserve"> as required to comply with the federal NEVI standards</w:t>
      </w:r>
      <w:r w:rsidRPr="00BD2BE4">
        <w:rPr>
          <w:szCs w:val="24"/>
        </w:rPr>
        <w:t>.</w:t>
      </w:r>
    </w:p>
    <w:p w14:paraId="66DE45AA" w14:textId="77777777" w:rsidR="00BD029B" w:rsidRPr="00BD2BE4" w:rsidRDefault="00BD029B" w:rsidP="003D2B8F">
      <w:pPr>
        <w:pStyle w:val="ListParagraph"/>
        <w:ind w:left="1440"/>
        <w:rPr>
          <w:szCs w:val="24"/>
        </w:rPr>
      </w:pPr>
    </w:p>
    <w:p w14:paraId="78237261" w14:textId="351AF019" w:rsidR="00BD029B" w:rsidRDefault="00BD029B" w:rsidP="00BD029B">
      <w:pPr>
        <w:pStyle w:val="ListParagraph"/>
        <w:ind w:left="1440"/>
        <w:rPr>
          <w:szCs w:val="24"/>
        </w:rPr>
      </w:pPr>
      <w:r w:rsidRPr="19DA58F2">
        <w:rPr>
          <w:szCs w:val="24"/>
        </w:rPr>
        <w:t xml:space="preserve">Recipients may contact </w:t>
      </w:r>
      <w:hyperlink r:id="rId70">
        <w:r w:rsidRPr="19DA58F2">
          <w:rPr>
            <w:rStyle w:val="Hyperlink"/>
            <w:szCs w:val="24"/>
          </w:rPr>
          <w:t>Caltrans sign coordinators</w:t>
        </w:r>
      </w:hyperlink>
      <w:r w:rsidRPr="19DA58F2">
        <w:rPr>
          <w:szCs w:val="24"/>
        </w:rPr>
        <w:t xml:space="preserve"> and ask for sign installation on the State Highway System at </w:t>
      </w:r>
      <w:r w:rsidR="00331E7E" w:rsidRPr="00331E7E">
        <w:rPr>
          <w:szCs w:val="24"/>
        </w:rPr>
        <w:t>https://dot.ca.gov/programs/safety-programs/sign-specs/district-sign-coordinators</w:t>
      </w:r>
      <w:r w:rsidRPr="19DA58F2">
        <w:rPr>
          <w:szCs w:val="24"/>
        </w:rPr>
        <w:t>.</w:t>
      </w:r>
    </w:p>
    <w:p w14:paraId="02E7FB76" w14:textId="77777777" w:rsidR="00BD029B" w:rsidRPr="00BD2BE4" w:rsidRDefault="00BD029B" w:rsidP="00BD029B">
      <w:pPr>
        <w:pStyle w:val="ListParagraph"/>
        <w:ind w:left="1440"/>
        <w:rPr>
          <w:szCs w:val="24"/>
        </w:rPr>
      </w:pPr>
    </w:p>
    <w:p w14:paraId="18A69A0A" w14:textId="77777777" w:rsidR="00BD029B" w:rsidRPr="00BD2BE4" w:rsidRDefault="00BD029B" w:rsidP="00164AC5">
      <w:pPr>
        <w:pStyle w:val="ListParagraph"/>
        <w:numPr>
          <w:ilvl w:val="0"/>
          <w:numId w:val="37"/>
        </w:numPr>
        <w:ind w:left="1440" w:hanging="720"/>
        <w:rPr>
          <w:b/>
          <w:bCs/>
          <w:szCs w:val="24"/>
        </w:rPr>
      </w:pPr>
      <w:r w:rsidRPr="00BD2BE4">
        <w:rPr>
          <w:b/>
          <w:bCs/>
          <w:szCs w:val="24"/>
        </w:rPr>
        <w:t>Eligible Project Costs</w:t>
      </w:r>
    </w:p>
    <w:p w14:paraId="4A701FA4" w14:textId="6289FB22" w:rsidR="00BD029B" w:rsidRPr="00BD2BE4" w:rsidRDefault="00BD029B" w:rsidP="00043070">
      <w:pPr>
        <w:pStyle w:val="ListParagraph"/>
        <w:spacing w:after="120"/>
        <w:ind w:left="1440"/>
        <w:rPr>
          <w:b/>
        </w:rPr>
      </w:pPr>
      <w:r>
        <w:t xml:space="preserve">Costs incurred for the following are eligible for CEC reimbursement or as the Applicant’s match share, after the </w:t>
      </w:r>
      <w:r w:rsidR="00043070">
        <w:t>corresponding project phase</w:t>
      </w:r>
      <w:r>
        <w:t xml:space="preserve"> has been authorized by the FHWA and the grant agreement has been formally executed:</w:t>
      </w:r>
    </w:p>
    <w:p w14:paraId="43F82EF1" w14:textId="301C5F10"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lastRenderedPageBreak/>
        <w:t>Electric vehicle supply equipment (EVSE)</w:t>
      </w:r>
    </w:p>
    <w:p w14:paraId="2063274D" w14:textId="21294A22"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Transformers</w:t>
      </w:r>
    </w:p>
    <w:p w14:paraId="320733E7" w14:textId="0392D7FD"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Electric panels</w:t>
      </w:r>
    </w:p>
    <w:p w14:paraId="47F3CD70" w14:textId="08F5857E"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Conduit</w:t>
      </w:r>
    </w:p>
    <w:p w14:paraId="5A682FBF" w14:textId="70004D4A"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Wiring</w:t>
      </w:r>
    </w:p>
    <w:p w14:paraId="5FE9105E" w14:textId="6DB37CFC"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Meters</w:t>
      </w:r>
    </w:p>
    <w:p w14:paraId="7AED6A30" w14:textId="5DC232E7" w:rsidR="592342E8" w:rsidRPr="00EC0555" w:rsidRDefault="00D12679" w:rsidP="00164AC5">
      <w:pPr>
        <w:pStyle w:val="ListParagraph"/>
        <w:numPr>
          <w:ilvl w:val="1"/>
          <w:numId w:val="80"/>
        </w:numPr>
        <w:spacing w:after="120"/>
        <w:ind w:left="2160" w:hanging="720"/>
        <w:rPr>
          <w:rFonts w:eastAsia="Tahoma"/>
          <w:color w:val="000000" w:themeColor="text1"/>
          <w:szCs w:val="24"/>
        </w:rPr>
      </w:pPr>
      <w:r w:rsidRPr="00D12679">
        <w:rPr>
          <w:rFonts w:eastAsia="Tahoma"/>
          <w:color w:val="000000" w:themeColor="text1"/>
          <w:szCs w:val="24"/>
        </w:rPr>
        <w:t>Costs for planning</w:t>
      </w:r>
      <w:r w:rsidR="0050664D">
        <w:rPr>
          <w:rFonts w:eastAsia="Tahoma"/>
          <w:color w:val="000000" w:themeColor="text1"/>
          <w:szCs w:val="24"/>
        </w:rPr>
        <w:t xml:space="preserve"> and</w:t>
      </w:r>
      <w:r w:rsidRPr="00D12679">
        <w:rPr>
          <w:rFonts w:eastAsia="Tahoma"/>
          <w:color w:val="000000" w:themeColor="text1"/>
          <w:szCs w:val="24"/>
        </w:rPr>
        <w:t xml:space="preserve"> permitting of on-site</w:t>
      </w:r>
      <w:r w:rsidR="00EC6285">
        <w:rPr>
          <w:rFonts w:eastAsia="Tahoma"/>
          <w:color w:val="000000" w:themeColor="text1"/>
          <w:szCs w:val="24"/>
        </w:rPr>
        <w:t>,</w:t>
      </w:r>
      <w:r w:rsidRPr="00D12679">
        <w:rPr>
          <w:rFonts w:eastAsia="Tahoma"/>
          <w:color w:val="000000" w:themeColor="text1"/>
          <w:szCs w:val="24"/>
        </w:rPr>
        <w:t xml:space="preserve"> </w:t>
      </w:r>
      <w:r w:rsidR="00D0386A">
        <w:rPr>
          <w:rFonts w:eastAsia="Tahoma"/>
          <w:color w:val="000000" w:themeColor="text1"/>
          <w:szCs w:val="24"/>
        </w:rPr>
        <w:t xml:space="preserve">renewable </w:t>
      </w:r>
      <w:r w:rsidRPr="00D12679">
        <w:rPr>
          <w:rFonts w:eastAsia="Tahoma"/>
          <w:color w:val="000000" w:themeColor="text1"/>
          <w:szCs w:val="24"/>
        </w:rPr>
        <w:t xml:space="preserve">distributed energy resource (DER) equipment </w:t>
      </w:r>
      <w:r w:rsidR="00BA2B91">
        <w:rPr>
          <w:rFonts w:eastAsia="Tahoma"/>
          <w:color w:val="000000" w:themeColor="text1"/>
          <w:szCs w:val="24"/>
        </w:rPr>
        <w:t>such as</w:t>
      </w:r>
      <w:r w:rsidRPr="00D12679">
        <w:rPr>
          <w:rFonts w:eastAsia="Tahoma"/>
          <w:color w:val="000000" w:themeColor="text1"/>
          <w:szCs w:val="24"/>
        </w:rPr>
        <w:t xml:space="preserve"> solar arrays</w:t>
      </w:r>
      <w:r w:rsidR="00BA2B91">
        <w:rPr>
          <w:rFonts w:eastAsia="Tahoma"/>
          <w:color w:val="000000" w:themeColor="text1"/>
          <w:szCs w:val="24"/>
        </w:rPr>
        <w:t xml:space="preserve"> or</w:t>
      </w:r>
      <w:r w:rsidRPr="00D12679">
        <w:rPr>
          <w:rFonts w:eastAsia="Tahoma"/>
          <w:color w:val="000000" w:themeColor="text1"/>
          <w:szCs w:val="24"/>
        </w:rPr>
        <w:t xml:space="preserve"> stationary batter</w:t>
      </w:r>
      <w:r w:rsidR="00BA2B91">
        <w:rPr>
          <w:rFonts w:eastAsia="Tahoma"/>
          <w:color w:val="000000" w:themeColor="text1"/>
          <w:szCs w:val="24"/>
        </w:rPr>
        <w:t>y energy storage systems (BESS</w:t>
      </w:r>
      <w:r w:rsidRPr="00D12679">
        <w:rPr>
          <w:rFonts w:eastAsia="Tahoma"/>
          <w:color w:val="000000" w:themeColor="text1"/>
          <w:szCs w:val="24"/>
        </w:rPr>
        <w:t xml:space="preserve">) that are directly related to the charging of </w:t>
      </w:r>
      <w:r w:rsidR="00A66D6D">
        <w:rPr>
          <w:rFonts w:eastAsia="Tahoma"/>
          <w:color w:val="000000" w:themeColor="text1"/>
          <w:szCs w:val="24"/>
        </w:rPr>
        <w:t>EVs</w:t>
      </w:r>
      <w:r w:rsidRPr="00D12679">
        <w:rPr>
          <w:rFonts w:eastAsia="Tahoma"/>
          <w:color w:val="000000" w:themeColor="text1"/>
          <w:szCs w:val="24"/>
        </w:rPr>
        <w:t>. These costs should only be considered if they will lead to lower costs to consumers, greater EV charging station reliability, and if they do not substantially increase the timeline for completing an EV charging station project.</w:t>
      </w:r>
      <w:r w:rsidR="00D0386A">
        <w:rPr>
          <w:rFonts w:eastAsia="Tahoma"/>
          <w:color w:val="000000" w:themeColor="text1"/>
          <w:szCs w:val="24"/>
        </w:rPr>
        <w:t xml:space="preserve"> </w:t>
      </w:r>
      <w:r w:rsidR="00D0386A" w:rsidRPr="00EC0555">
        <w:rPr>
          <w:rFonts w:eastAsia="Tahoma"/>
          <w:color w:val="000000" w:themeColor="text1"/>
          <w:szCs w:val="24"/>
        </w:rPr>
        <w:t>Any of these systems must be interconnected to the charging system and must be separately metered from the site host's regular business meter.</w:t>
      </w:r>
    </w:p>
    <w:p w14:paraId="34BA4AF9" w14:textId="186E1452"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Installation costs</w:t>
      </w:r>
    </w:p>
    <w:p w14:paraId="3A31C5A8" w14:textId="22654F86"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 xml:space="preserve">Planning and engineering design costs </w:t>
      </w:r>
    </w:p>
    <w:p w14:paraId="2B3D9F58" w14:textId="68344426"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 xml:space="preserve">Stub-outs </w:t>
      </w:r>
    </w:p>
    <w:p w14:paraId="685B5D63" w14:textId="26BCBB97"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Demand management equipment</w:t>
      </w:r>
    </w:p>
    <w:p w14:paraId="653DC26A" w14:textId="6DFE5786"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Networking licenses for up to five (5) years of operations and which are purchased during the agreement term</w:t>
      </w:r>
    </w:p>
    <w:p w14:paraId="1F1E350C" w14:textId="1622D2F0"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Equipment warranties for up to five (5) years of operations and which are purchased during the agreement term</w:t>
      </w:r>
    </w:p>
    <w:p w14:paraId="773D2A9A" w14:textId="49D4576B" w:rsidR="592342E8" w:rsidRPr="00EC0555" w:rsidRDefault="592342E8" w:rsidP="00164AC5">
      <w:pPr>
        <w:pStyle w:val="ListParagraph"/>
        <w:numPr>
          <w:ilvl w:val="1"/>
          <w:numId w:val="80"/>
        </w:numPr>
        <w:spacing w:after="120"/>
        <w:ind w:left="2160" w:hanging="720"/>
        <w:rPr>
          <w:rFonts w:eastAsia="Tahoma"/>
          <w:szCs w:val="24"/>
        </w:rPr>
      </w:pPr>
      <w:r w:rsidRPr="00EC0555">
        <w:rPr>
          <w:rFonts w:eastAsia="Tahoma"/>
          <w:szCs w:val="24"/>
        </w:rPr>
        <w:t>Maintenance provided during the agreement term for up to five (5) years of operations, or a maintenance agreement or a service level agreement for up to five (5) years of operations and which is purchased during the agreement term</w:t>
      </w:r>
    </w:p>
    <w:p w14:paraId="18FCF430" w14:textId="15535C65" w:rsidR="592342E8" w:rsidRPr="00D013E2" w:rsidRDefault="592342E8" w:rsidP="00164AC5">
      <w:pPr>
        <w:pStyle w:val="ListParagraph"/>
        <w:numPr>
          <w:ilvl w:val="1"/>
          <w:numId w:val="80"/>
        </w:numPr>
        <w:spacing w:after="120"/>
        <w:ind w:left="2160" w:hanging="720"/>
        <w:rPr>
          <w:rFonts w:eastAsia="Tahoma"/>
        </w:rPr>
      </w:pPr>
      <w:r w:rsidRPr="7646202A">
        <w:rPr>
          <w:rFonts w:eastAsia="Tahoma"/>
        </w:rPr>
        <w:t>Local engagement and outreach related to EV charging</w:t>
      </w:r>
      <w:r w:rsidR="009421AE" w:rsidRPr="7646202A">
        <w:rPr>
          <w:rFonts w:eastAsia="Tahoma"/>
        </w:rPr>
        <w:t xml:space="preserve">. </w:t>
      </w:r>
      <w:r w:rsidR="00A17427" w:rsidRPr="7646202A">
        <w:rPr>
          <w:rFonts w:eastAsia="Tahoma"/>
        </w:rPr>
        <w:t xml:space="preserve">However, costs for local engagement and outreach related to EV charging may not make up more than </w:t>
      </w:r>
      <w:r w:rsidR="000453D3" w:rsidRPr="7646202A">
        <w:rPr>
          <w:rFonts w:eastAsia="Tahoma"/>
        </w:rPr>
        <w:t>five</w:t>
      </w:r>
      <w:r w:rsidR="003F7FA7" w:rsidRPr="7646202A">
        <w:rPr>
          <w:rFonts w:eastAsia="Tahoma"/>
        </w:rPr>
        <w:t xml:space="preserve"> percent</w:t>
      </w:r>
      <w:r w:rsidR="00A17427" w:rsidRPr="7646202A">
        <w:rPr>
          <w:rFonts w:eastAsia="Tahoma"/>
        </w:rPr>
        <w:t xml:space="preserve"> of the total </w:t>
      </w:r>
      <w:r w:rsidR="009B083A">
        <w:rPr>
          <w:rFonts w:eastAsia="Tahoma"/>
        </w:rPr>
        <w:t>reimbursable</w:t>
      </w:r>
      <w:r w:rsidR="00B40155" w:rsidRPr="7646202A">
        <w:rPr>
          <w:rFonts w:eastAsia="Tahoma"/>
        </w:rPr>
        <w:t xml:space="preserve"> project cost.</w:t>
      </w:r>
    </w:p>
    <w:p w14:paraId="7CF57989" w14:textId="0BB9E80A"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Signage</w:t>
      </w:r>
    </w:p>
    <w:p w14:paraId="6971320B" w14:textId="3E305603"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EV charging infrastructure workforce development</w:t>
      </w:r>
      <w:r w:rsidR="0010323B">
        <w:rPr>
          <w:rFonts w:eastAsia="Tahoma"/>
          <w:szCs w:val="24"/>
        </w:rPr>
        <w:t xml:space="preserve"> directly related to the charging of EVs in the propos</w:t>
      </w:r>
      <w:r w:rsidR="00C571E0">
        <w:rPr>
          <w:rFonts w:eastAsia="Tahoma"/>
          <w:szCs w:val="24"/>
        </w:rPr>
        <w:t>ed project.</w:t>
      </w:r>
    </w:p>
    <w:p w14:paraId="3704F148" w14:textId="000029D7" w:rsidR="592342E8" w:rsidRPr="00D013E2" w:rsidRDefault="592342E8" w:rsidP="00D013E2">
      <w:pPr>
        <w:ind w:left="1440"/>
        <w:rPr>
          <w:rFonts w:eastAsia="Tahoma"/>
          <w:szCs w:val="24"/>
        </w:rPr>
      </w:pPr>
    </w:p>
    <w:p w14:paraId="5C446D4B" w14:textId="38EC90C6" w:rsidR="592342E8" w:rsidRPr="00D013E2" w:rsidRDefault="592342E8" w:rsidP="00D013E2">
      <w:pPr>
        <w:spacing w:after="120"/>
        <w:ind w:left="1440"/>
        <w:rPr>
          <w:rFonts w:eastAsia="Tahoma"/>
          <w:szCs w:val="24"/>
        </w:rPr>
      </w:pPr>
      <w:r w:rsidRPr="00D013E2">
        <w:rPr>
          <w:rFonts w:eastAsia="Tahoma"/>
          <w:szCs w:val="24"/>
        </w:rPr>
        <w:t xml:space="preserve">The following project costs and/or types ARE NOT eligible </w:t>
      </w:r>
      <w:r w:rsidR="00A943BB">
        <w:rPr>
          <w:rFonts w:eastAsia="Tahoma"/>
          <w:szCs w:val="24"/>
        </w:rPr>
        <w:t xml:space="preserve">as CEC reimbursement or match share. This includes but is not limited to: </w:t>
      </w:r>
    </w:p>
    <w:p w14:paraId="2393943C" w14:textId="1766CC4C"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Vehicle purchases</w:t>
      </w:r>
    </w:p>
    <w:p w14:paraId="3FCD4795" w14:textId="4F6E38F9"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lastRenderedPageBreak/>
        <w:t>A standard outlet (110/120 volt or 220/240 volt)</w:t>
      </w:r>
    </w:p>
    <w:p w14:paraId="0F984EEB" w14:textId="760B3B27" w:rsidR="592342E8" w:rsidRDefault="592342E8" w:rsidP="00164AC5">
      <w:pPr>
        <w:pStyle w:val="ListParagraph"/>
        <w:numPr>
          <w:ilvl w:val="1"/>
          <w:numId w:val="80"/>
        </w:numPr>
        <w:spacing w:after="120"/>
        <w:ind w:left="2160" w:hanging="720"/>
        <w:rPr>
          <w:rFonts w:eastAsia="Tahoma"/>
          <w:szCs w:val="24"/>
        </w:rPr>
      </w:pPr>
      <w:r w:rsidRPr="00D013E2">
        <w:rPr>
          <w:rFonts w:eastAsia="Tahoma"/>
          <w:szCs w:val="24"/>
        </w:rPr>
        <w:t>Level 1 and/or Level 2 chargers</w:t>
      </w:r>
    </w:p>
    <w:p w14:paraId="0EF56874" w14:textId="72ECD99D" w:rsidR="0014237C" w:rsidRPr="00D013E2" w:rsidRDefault="0014237C" w:rsidP="00164AC5">
      <w:pPr>
        <w:pStyle w:val="ListParagraph"/>
        <w:numPr>
          <w:ilvl w:val="1"/>
          <w:numId w:val="80"/>
        </w:numPr>
        <w:spacing w:after="120"/>
        <w:ind w:left="2160" w:hanging="720"/>
        <w:rPr>
          <w:rFonts w:eastAsia="Tahoma"/>
          <w:szCs w:val="24"/>
        </w:rPr>
      </w:pPr>
      <w:r>
        <w:rPr>
          <w:rFonts w:eastAsia="Tahoma"/>
          <w:szCs w:val="24"/>
        </w:rPr>
        <w:t>Mobile charging equipment</w:t>
      </w:r>
    </w:p>
    <w:p w14:paraId="63D13AAD" w14:textId="653580E0"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Nonrenewable distributed energy resources</w:t>
      </w:r>
    </w:p>
    <w:p w14:paraId="3281E17A" w14:textId="58185B42"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Distribution grid or other equipment costs that are otherwise covered by programs or tariff rules of the electric utilities are excluded</w:t>
      </w:r>
    </w:p>
    <w:p w14:paraId="3802FE02" w14:textId="31AF352E"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Projects that are mandated by any local, regional, state, or federal law, rule, or regulation</w:t>
      </w:r>
    </w:p>
    <w:p w14:paraId="4C15E85F" w14:textId="2FE0A2D8"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Projects that help the Applicant meet a performance requirement mandated by local, regional, state, or federal law, rule, or regulation</w:t>
      </w:r>
    </w:p>
    <w:p w14:paraId="3F48F7DD" w14:textId="493EE475"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Paper studies or research projects (e.g., a study which assess the cost and feasibility of EV charging station installations along certain regions/corridors)</w:t>
      </w:r>
    </w:p>
    <w:p w14:paraId="73DEE7DF" w14:textId="5BFC1347"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Projects that are primarily surveys to determine interest in the installation of EV charging stations in a particular region/corridor</w:t>
      </w:r>
    </w:p>
    <w:p w14:paraId="63E5E96D" w14:textId="0CF97A57" w:rsidR="592342E8" w:rsidRPr="00D013E2" w:rsidRDefault="592342E8" w:rsidP="00164AC5">
      <w:pPr>
        <w:pStyle w:val="ListParagraph"/>
        <w:numPr>
          <w:ilvl w:val="1"/>
          <w:numId w:val="80"/>
        </w:numPr>
        <w:spacing w:after="120"/>
        <w:ind w:left="2160" w:hanging="720"/>
        <w:rPr>
          <w:rFonts w:eastAsia="Tahoma"/>
          <w:szCs w:val="24"/>
        </w:rPr>
      </w:pPr>
      <w:r w:rsidRPr="00D013E2">
        <w:rPr>
          <w:rFonts w:eastAsia="Tahoma"/>
          <w:szCs w:val="24"/>
        </w:rPr>
        <w:t>Proposals for vehicle demonstrations or demonstrations of existing technologies</w:t>
      </w:r>
    </w:p>
    <w:p w14:paraId="0D25B5AD" w14:textId="052546F1" w:rsidR="00254313" w:rsidRPr="00752BAE" w:rsidRDefault="00254313" w:rsidP="6855C2BB">
      <w:pPr>
        <w:ind w:left="720"/>
        <w:rPr>
          <w:szCs w:val="24"/>
        </w:rPr>
      </w:pPr>
    </w:p>
    <w:p w14:paraId="542CE574" w14:textId="11D89FF3" w:rsidR="6060599A" w:rsidRPr="00365A54" w:rsidRDefault="6060599A" w:rsidP="006D29CA">
      <w:pPr>
        <w:ind w:left="1440"/>
        <w:rPr>
          <w:szCs w:val="24"/>
          <w:highlight w:val="yellow"/>
        </w:rPr>
      </w:pPr>
      <w:r w:rsidRPr="00365A54">
        <w:rPr>
          <w:szCs w:val="24"/>
        </w:rPr>
        <w:t>A project that receives incentive funding from another CEC grant funding opportunity (GFO) or block grant incentive project is not eligible for this GFO.</w:t>
      </w:r>
    </w:p>
    <w:p w14:paraId="3155D319" w14:textId="77777777" w:rsidR="00B52D83" w:rsidRPr="00365A54" w:rsidRDefault="00B52D83" w:rsidP="00B42DE9">
      <w:pPr>
        <w:ind w:left="720"/>
        <w:jc w:val="both"/>
        <w:rPr>
          <w:szCs w:val="24"/>
          <w:shd w:val="clear" w:color="auto" w:fill="FFFFFF"/>
        </w:rPr>
      </w:pPr>
    </w:p>
    <w:p w14:paraId="713E87AC" w14:textId="4C9C2220" w:rsidR="00C861DF" w:rsidRDefault="00BC00F0" w:rsidP="00164AC5">
      <w:pPr>
        <w:pStyle w:val="paragraph"/>
        <w:numPr>
          <w:ilvl w:val="0"/>
          <w:numId w:val="37"/>
        </w:numPr>
        <w:spacing w:before="0" w:beforeAutospacing="0" w:after="0" w:afterAutospacing="0"/>
        <w:ind w:firstLine="0"/>
        <w:textAlignment w:val="baseline"/>
        <w:rPr>
          <w:rStyle w:val="normaltextrun"/>
          <w:rFonts w:ascii="Arial" w:hAnsi="Arial" w:cs="Arial"/>
        </w:rPr>
      </w:pPr>
      <w:r>
        <w:rPr>
          <w:rStyle w:val="normaltextrun"/>
          <w:rFonts w:ascii="Arial" w:hAnsi="Arial" w:cs="Arial"/>
          <w:b/>
          <w:bCs/>
        </w:rPr>
        <w:t>Electric Vehicle Infrastructure Training Program (EVITP)</w:t>
      </w:r>
    </w:p>
    <w:p w14:paraId="44391D81" w14:textId="17F26AB2" w:rsidR="00B52D83" w:rsidRDefault="50F15465" w:rsidP="00963F45">
      <w:pPr>
        <w:pStyle w:val="paragraph"/>
        <w:spacing w:before="0" w:beforeAutospacing="0" w:after="0" w:afterAutospacing="0"/>
        <w:ind w:left="1440"/>
        <w:textAlignment w:val="baseline"/>
        <w:rPr>
          <w:rStyle w:val="normaltextrun"/>
          <w:rFonts w:ascii="Arial" w:hAnsi="Arial" w:cs="Arial"/>
        </w:rPr>
      </w:pPr>
      <w:r w:rsidRPr="2915ECD9">
        <w:rPr>
          <w:rStyle w:val="normaltextrun"/>
          <w:rFonts w:ascii="Arial" w:hAnsi="Arial" w:cs="Arial"/>
        </w:rPr>
        <w:t xml:space="preserve">AB 841 (Ting, </w:t>
      </w:r>
      <w:r w:rsidR="282F40FC" w:rsidRPr="2915ECD9">
        <w:rPr>
          <w:rStyle w:val="normaltextrun"/>
          <w:rFonts w:ascii="Arial" w:hAnsi="Arial" w:cs="Arial"/>
        </w:rPr>
        <w:t xml:space="preserve">Chapter 372, Statutes of </w:t>
      </w:r>
      <w:r w:rsidRPr="2915ECD9">
        <w:rPr>
          <w:rStyle w:val="normaltextrun"/>
          <w:rFonts w:ascii="Arial" w:hAnsi="Arial" w:cs="Arial"/>
        </w:rPr>
        <w:t xml:space="preserve">2020) added </w:t>
      </w:r>
      <w:r w:rsidR="00D207EE">
        <w:rPr>
          <w:rStyle w:val="normaltextrun"/>
          <w:rFonts w:ascii="Arial" w:hAnsi="Arial" w:cs="Arial"/>
        </w:rPr>
        <w:t xml:space="preserve">California </w:t>
      </w:r>
      <w:r w:rsidRPr="2915ECD9">
        <w:rPr>
          <w:rStyle w:val="normaltextrun"/>
          <w:rFonts w:ascii="Arial" w:hAnsi="Arial" w:cs="Arial"/>
        </w:rPr>
        <w:t xml:space="preserve">Public Utilities Code (PUC) section 740.20, which requires EVITP certification to install </w:t>
      </w:r>
      <w:r w:rsidR="00B13E7F">
        <w:rPr>
          <w:rStyle w:val="normaltextrun"/>
          <w:rFonts w:ascii="Arial" w:hAnsi="Arial" w:cs="Arial"/>
        </w:rPr>
        <w:t>EV</w:t>
      </w:r>
      <w:r w:rsidRPr="2915ECD9">
        <w:rPr>
          <w:rStyle w:val="normaltextrun"/>
          <w:rFonts w:ascii="Arial" w:hAnsi="Arial" w:cs="Arial"/>
        </w:rPr>
        <w:t xml:space="preserve"> charging infrastructure and equipment for work performed on or after January 1, 2022, subject to certain exceptions.</w:t>
      </w:r>
    </w:p>
    <w:p w14:paraId="17F5EC6A" w14:textId="77777777" w:rsidR="003728B2" w:rsidRPr="00B52D83" w:rsidRDefault="003728B2" w:rsidP="2915ECD9">
      <w:pPr>
        <w:pStyle w:val="paragraph"/>
        <w:spacing w:before="0" w:beforeAutospacing="0" w:after="0" w:afterAutospacing="0"/>
        <w:ind w:left="720"/>
        <w:textAlignment w:val="baseline"/>
        <w:rPr>
          <w:rFonts w:ascii="Arial" w:hAnsi="Arial" w:cs="Arial"/>
        </w:rPr>
      </w:pPr>
    </w:p>
    <w:p w14:paraId="1C3D96EF" w14:textId="55B922D7" w:rsidR="00B52D83" w:rsidRPr="00544166" w:rsidRDefault="00B52D83" w:rsidP="00963F45">
      <w:pPr>
        <w:pStyle w:val="paragraph"/>
        <w:spacing w:before="0" w:beforeAutospacing="0" w:after="0" w:afterAutospacing="0"/>
        <w:ind w:left="1440"/>
        <w:textAlignment w:val="baseline"/>
        <w:rPr>
          <w:rFonts w:ascii="Arial" w:hAnsi="Arial" w:cs="Arial"/>
        </w:rPr>
      </w:pPr>
      <w:r w:rsidRPr="00544166">
        <w:rPr>
          <w:rStyle w:val="normaltextrun"/>
          <w:rFonts w:ascii="Arial" w:hAnsi="Arial" w:cs="Arial"/>
        </w:rPr>
        <w:t xml:space="preserve">Therefore, applying PUC 740.20 EVITP requirements to the grant agreement means that all </w:t>
      </w:r>
      <w:r w:rsidR="00B13E7F">
        <w:rPr>
          <w:rStyle w:val="normaltextrun"/>
          <w:rFonts w:ascii="Arial" w:hAnsi="Arial" w:cs="Arial"/>
        </w:rPr>
        <w:t>EV</w:t>
      </w:r>
      <w:r w:rsidRPr="00544166">
        <w:rPr>
          <w:rStyle w:val="normaltextrun"/>
          <w:rFonts w:ascii="Arial" w:hAnsi="Arial" w:cs="Arial"/>
        </w:rPr>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01D4126A" w14:textId="6B95AB22" w:rsidR="00B52D83" w:rsidRPr="00544166" w:rsidRDefault="00B52D83" w:rsidP="00B52D83">
      <w:pPr>
        <w:pStyle w:val="paragraph"/>
        <w:spacing w:before="0" w:beforeAutospacing="0" w:after="0" w:afterAutospacing="0"/>
        <w:ind w:left="1440"/>
        <w:textAlignment w:val="baseline"/>
        <w:rPr>
          <w:rFonts w:ascii="Arial" w:hAnsi="Arial" w:cs="Arial"/>
        </w:rPr>
      </w:pPr>
    </w:p>
    <w:p w14:paraId="3FD319D7" w14:textId="08ED429B" w:rsidR="00B52D83" w:rsidRPr="00544166" w:rsidRDefault="00B52D83" w:rsidP="00B52D83">
      <w:pPr>
        <w:pStyle w:val="paragraph"/>
        <w:spacing w:before="0" w:beforeAutospacing="0" w:after="0" w:afterAutospacing="0"/>
        <w:ind w:left="1440"/>
        <w:textAlignment w:val="baseline"/>
        <w:rPr>
          <w:rFonts w:ascii="Arial" w:hAnsi="Arial" w:cs="Arial"/>
        </w:rPr>
      </w:pPr>
      <w:r w:rsidRPr="00544166">
        <w:rPr>
          <w:rStyle w:val="normaltextrun"/>
          <w:rFonts w:ascii="Arial" w:hAnsi="Arial" w:cs="Arial"/>
        </w:rPr>
        <w:lastRenderedPageBreak/>
        <w:t>(1) E</w:t>
      </w:r>
      <w:r w:rsidR="00B13E7F">
        <w:rPr>
          <w:rStyle w:val="normaltextrun"/>
          <w:rFonts w:ascii="Arial" w:hAnsi="Arial" w:cs="Arial"/>
        </w:rPr>
        <w:t>V</w:t>
      </w:r>
      <w:r w:rsidRPr="00544166">
        <w:rPr>
          <w:rStyle w:val="normaltextrun"/>
          <w:rFonts w:ascii="Arial" w:hAnsi="Arial" w:cs="Arial"/>
        </w:rPr>
        <w:t xml:space="preserve"> charging infrastructure installed by employees of an electrical corporation or local publicly owned electric utility.</w:t>
      </w:r>
    </w:p>
    <w:p w14:paraId="209322D4" w14:textId="210C7C7E" w:rsidR="00B52D83" w:rsidRPr="00544166" w:rsidRDefault="00B52D83" w:rsidP="00B52D83">
      <w:pPr>
        <w:pStyle w:val="paragraph"/>
        <w:spacing w:before="0" w:beforeAutospacing="0" w:after="0" w:afterAutospacing="0"/>
        <w:ind w:left="1440"/>
        <w:textAlignment w:val="baseline"/>
        <w:rPr>
          <w:rFonts w:ascii="Arial" w:hAnsi="Arial" w:cs="Arial"/>
        </w:rPr>
      </w:pPr>
    </w:p>
    <w:p w14:paraId="47ABE1B4" w14:textId="62C3083A" w:rsidR="00B52D83" w:rsidRPr="00544166" w:rsidRDefault="00B52D83" w:rsidP="00B52D83">
      <w:pPr>
        <w:pStyle w:val="paragraph"/>
        <w:spacing w:before="0" w:beforeAutospacing="0" w:after="0" w:afterAutospacing="0"/>
        <w:ind w:left="1440"/>
        <w:textAlignment w:val="baseline"/>
        <w:rPr>
          <w:rFonts w:ascii="Arial" w:hAnsi="Arial" w:cs="Arial"/>
        </w:rPr>
      </w:pPr>
      <w:r w:rsidRPr="00544166">
        <w:rPr>
          <w:rStyle w:val="normaltextrun"/>
          <w:rFonts w:ascii="Arial" w:hAnsi="Arial" w:cs="Arial"/>
        </w:rPr>
        <w:t>(2) E</w:t>
      </w:r>
      <w:r w:rsidR="00B13E7F">
        <w:rPr>
          <w:rStyle w:val="normaltextrun"/>
          <w:rFonts w:ascii="Arial" w:hAnsi="Arial" w:cs="Arial"/>
        </w:rPr>
        <w:t>V</w:t>
      </w:r>
      <w:r w:rsidRPr="00544166">
        <w:rPr>
          <w:rStyle w:val="normaltextrun"/>
          <w:rFonts w:ascii="Arial" w:hAnsi="Arial" w:cs="Arial"/>
        </w:rPr>
        <w:t xml:space="preserve"> charging infrastructure funded by moneys derived from credits generated from the Low Carbon Fuel Standard Program (</w:t>
      </w:r>
      <w:proofErr w:type="spellStart"/>
      <w:r w:rsidRPr="00544166">
        <w:rPr>
          <w:rStyle w:val="spellingerror"/>
          <w:rFonts w:ascii="Arial" w:hAnsi="Arial" w:cs="Arial"/>
        </w:rPr>
        <w:t>Subarticle</w:t>
      </w:r>
      <w:proofErr w:type="spellEnd"/>
      <w:r w:rsidRPr="00544166">
        <w:rPr>
          <w:rStyle w:val="normaltextrun"/>
          <w:rFonts w:ascii="Arial" w:hAnsi="Arial" w:cs="Arial"/>
        </w:rPr>
        <w:t xml:space="preserve"> 7 (commencing with Section 95480) of Article 4 of Subchapter 10 of Chapter 1 of Division 3 of Title 17 of the California Code of Regulations).</w:t>
      </w:r>
    </w:p>
    <w:p w14:paraId="27FE8332" w14:textId="7FD2E250" w:rsidR="00B52D83" w:rsidRPr="00544166" w:rsidRDefault="00B52D83" w:rsidP="00B52D83">
      <w:pPr>
        <w:pStyle w:val="paragraph"/>
        <w:spacing w:before="0" w:beforeAutospacing="0" w:after="0" w:afterAutospacing="0"/>
        <w:ind w:left="1440"/>
        <w:textAlignment w:val="baseline"/>
        <w:rPr>
          <w:rFonts w:ascii="Arial" w:hAnsi="Arial" w:cs="Arial"/>
        </w:rPr>
      </w:pPr>
    </w:p>
    <w:p w14:paraId="69FBCF9B" w14:textId="3DF5C26F" w:rsidR="00B52D83" w:rsidRPr="00544166" w:rsidRDefault="00B52D83" w:rsidP="00B52D83">
      <w:pPr>
        <w:pStyle w:val="paragraph"/>
        <w:spacing w:before="0" w:beforeAutospacing="0" w:after="0" w:afterAutospacing="0"/>
        <w:ind w:left="1440"/>
        <w:textAlignment w:val="baseline"/>
        <w:rPr>
          <w:rStyle w:val="eop"/>
          <w:rFonts w:ascii="Arial" w:hAnsi="Arial" w:cs="Arial"/>
        </w:rPr>
      </w:pPr>
      <w:r w:rsidRPr="00544166">
        <w:rPr>
          <w:rStyle w:val="normaltextrun"/>
          <w:rFonts w:ascii="Arial" w:hAnsi="Arial" w:cs="Arial"/>
        </w:rPr>
        <w:t xml:space="preserve">(3) Single-family home residential </w:t>
      </w:r>
      <w:r w:rsidR="00B13E7F">
        <w:rPr>
          <w:rStyle w:val="normaltextrun"/>
          <w:rFonts w:ascii="Arial" w:hAnsi="Arial" w:cs="Arial"/>
        </w:rPr>
        <w:t>EV</w:t>
      </w:r>
      <w:r w:rsidRPr="00544166">
        <w:rPr>
          <w:rStyle w:val="normaltextrun"/>
          <w:rFonts w:ascii="Arial" w:hAnsi="Arial" w:cs="Arial"/>
        </w:rPr>
        <w:t xml:space="preserve"> chargers that can use an existing 208/240-volt outlet.</w:t>
      </w:r>
    </w:p>
    <w:p w14:paraId="01AFBAC3" w14:textId="77777777" w:rsidR="00381ED7" w:rsidRPr="00544166" w:rsidRDefault="00381ED7" w:rsidP="00544166">
      <w:pPr>
        <w:rPr>
          <w:rStyle w:val="normaltextrun"/>
          <w:szCs w:val="24"/>
        </w:rPr>
      </w:pPr>
    </w:p>
    <w:p w14:paraId="54ADC693" w14:textId="31460AD2" w:rsidR="00DB76C3" w:rsidRDefault="54F49761" w:rsidP="00164AC5">
      <w:pPr>
        <w:pStyle w:val="ListParagraph"/>
        <w:numPr>
          <w:ilvl w:val="0"/>
          <w:numId w:val="37"/>
        </w:numPr>
        <w:ind w:left="1440" w:hanging="720"/>
        <w:rPr>
          <w:rStyle w:val="normaltextrun"/>
          <w:szCs w:val="24"/>
        </w:rPr>
      </w:pPr>
      <w:r w:rsidRPr="428B1171">
        <w:rPr>
          <w:rStyle w:val="normaltextrun"/>
          <w:b/>
          <w:bCs/>
          <w:szCs w:val="24"/>
        </w:rPr>
        <w:t xml:space="preserve">Compliance with </w:t>
      </w:r>
      <w:r w:rsidR="00837BF3" w:rsidRPr="428B1171">
        <w:rPr>
          <w:rStyle w:val="normaltextrun"/>
          <w:b/>
          <w:bCs/>
          <w:szCs w:val="24"/>
        </w:rPr>
        <w:t xml:space="preserve">California </w:t>
      </w:r>
      <w:r w:rsidR="732B4CF2" w:rsidRPr="428B1171">
        <w:rPr>
          <w:rStyle w:val="normaltextrun"/>
          <w:b/>
          <w:bCs/>
          <w:szCs w:val="24"/>
        </w:rPr>
        <w:t>EVSE Commercial Device</w:t>
      </w:r>
      <w:r w:rsidR="00837BF3" w:rsidRPr="428B1171">
        <w:rPr>
          <w:rStyle w:val="normaltextrun"/>
          <w:b/>
          <w:bCs/>
          <w:szCs w:val="24"/>
        </w:rPr>
        <w:t xml:space="preserve"> Requirements</w:t>
      </w:r>
      <w:r w:rsidR="00381ED7" w:rsidRPr="428B1171">
        <w:rPr>
          <w:rStyle w:val="normaltextrun"/>
          <w:szCs w:val="24"/>
        </w:rPr>
        <w:t xml:space="preserve"> </w:t>
      </w:r>
      <w:r w:rsidR="00DB76C3" w:rsidRPr="428B1171">
        <w:rPr>
          <w:rStyle w:val="normaltextrun"/>
          <w:szCs w:val="24"/>
        </w:rPr>
        <w:t>All electric vehicle supply equipment (EVSE) installed for commercial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335303A5" w:rsidRPr="428B1171">
        <w:rPr>
          <w:rStyle w:val="normaltextrun"/>
          <w:szCs w:val="24"/>
        </w:rPr>
        <w:t>1</w:t>
      </w:r>
      <w:r w:rsidR="00DB76C3" w:rsidRPr="428B1171">
        <w:rPr>
          <w:rStyle w:val="normaltextrun"/>
          <w:szCs w:val="24"/>
        </w:rPr>
        <w:t>.</w:t>
      </w:r>
    </w:p>
    <w:p w14:paraId="0EAF9952" w14:textId="77777777" w:rsidR="00544166" w:rsidRPr="00DB76C3" w:rsidRDefault="00544166" w:rsidP="00381ED7">
      <w:pPr>
        <w:ind w:left="720"/>
        <w:rPr>
          <w:rStyle w:val="normaltextrun"/>
          <w:szCs w:val="24"/>
        </w:rPr>
      </w:pPr>
    </w:p>
    <w:p w14:paraId="6F4FF221" w14:textId="0199A3CD" w:rsidR="00D501B5" w:rsidRDefault="00DB76C3" w:rsidP="00963F45">
      <w:pPr>
        <w:pStyle w:val="paragraph"/>
        <w:spacing w:before="0" w:beforeAutospacing="0" w:after="0" w:afterAutospacing="0"/>
        <w:ind w:left="1440"/>
        <w:textAlignment w:val="baseline"/>
        <w:rPr>
          <w:rStyle w:val="normaltextrun"/>
          <w:rFonts w:ascii="Arial" w:hAnsi="Arial" w:cs="Arial"/>
          <w:szCs w:val="20"/>
        </w:rPr>
      </w:pPr>
      <w:r w:rsidRPr="428B1171">
        <w:rPr>
          <w:rStyle w:val="normaltextrun"/>
          <w:rFonts w:ascii="Arial" w:hAnsi="Arial" w:cs="Arial"/>
        </w:rPr>
        <w:t>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w:t>
      </w:r>
    </w:p>
    <w:p w14:paraId="07228200" w14:textId="77777777" w:rsidR="009E1E19" w:rsidRDefault="009E1E19" w:rsidP="428B1171">
      <w:pPr>
        <w:pStyle w:val="paragraph"/>
        <w:spacing w:before="0" w:beforeAutospacing="0" w:after="0" w:afterAutospacing="0"/>
        <w:ind w:left="720"/>
        <w:textAlignment w:val="baseline"/>
        <w:rPr>
          <w:rStyle w:val="normaltextrun"/>
          <w:rFonts w:ascii="Arial" w:hAnsi="Arial" w:cs="Arial"/>
        </w:rPr>
      </w:pPr>
    </w:p>
    <w:p w14:paraId="33F66052" w14:textId="3AC915BE" w:rsidR="00765C8B" w:rsidRDefault="005A240F" w:rsidP="00164AC5">
      <w:pPr>
        <w:pStyle w:val="paragraph"/>
        <w:numPr>
          <w:ilvl w:val="0"/>
          <w:numId w:val="37"/>
        </w:numPr>
        <w:spacing w:before="0" w:beforeAutospacing="0" w:after="0" w:afterAutospacing="0"/>
        <w:ind w:firstLine="0"/>
        <w:textAlignment w:val="baseline"/>
        <w:rPr>
          <w:rStyle w:val="normaltextrun"/>
          <w:rFonts w:ascii="Arial" w:hAnsi="Arial" w:cs="Arial"/>
          <w:b/>
          <w:bCs/>
        </w:rPr>
      </w:pPr>
      <w:r w:rsidRPr="72DEF1B2">
        <w:rPr>
          <w:rStyle w:val="normaltextrun"/>
          <w:rFonts w:ascii="Arial" w:hAnsi="Arial" w:cs="Arial"/>
          <w:b/>
          <w:bCs/>
        </w:rPr>
        <w:t>Data Pr</w:t>
      </w:r>
      <w:r w:rsidR="00264A99" w:rsidRPr="72DEF1B2">
        <w:rPr>
          <w:rStyle w:val="normaltextrun"/>
          <w:rFonts w:ascii="Arial" w:hAnsi="Arial" w:cs="Arial"/>
          <w:b/>
          <w:bCs/>
        </w:rPr>
        <w:t>ivacy</w:t>
      </w:r>
      <w:r w:rsidRPr="72DEF1B2">
        <w:rPr>
          <w:rStyle w:val="normaltextrun"/>
          <w:rFonts w:ascii="Arial" w:hAnsi="Arial" w:cs="Arial"/>
          <w:b/>
          <w:bCs/>
        </w:rPr>
        <w:t xml:space="preserve"> and </w:t>
      </w:r>
      <w:r w:rsidR="00765C8B" w:rsidRPr="72DEF1B2">
        <w:rPr>
          <w:rStyle w:val="normaltextrun"/>
          <w:rFonts w:ascii="Arial" w:hAnsi="Arial" w:cs="Arial"/>
          <w:b/>
          <w:bCs/>
        </w:rPr>
        <w:t xml:space="preserve">Cybersecurity </w:t>
      </w:r>
    </w:p>
    <w:p w14:paraId="7A1C36EF" w14:textId="04C1AEBF" w:rsidR="00AD553F" w:rsidRDefault="00DE729E" w:rsidP="00AD553F">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t xml:space="preserve">Recipients </w:t>
      </w:r>
      <w:r w:rsidR="003F26B9">
        <w:rPr>
          <w:rStyle w:val="normaltextrun"/>
          <w:rFonts w:ascii="Arial" w:hAnsi="Arial" w:cs="Arial"/>
        </w:rPr>
        <w:t>shall be</w:t>
      </w:r>
      <w:r>
        <w:rPr>
          <w:rStyle w:val="normaltextrun"/>
          <w:rFonts w:ascii="Arial" w:hAnsi="Arial" w:cs="Arial"/>
        </w:rPr>
        <w:t xml:space="preserve"> responsible for cyber</w:t>
      </w:r>
      <w:r w:rsidR="003F26B9">
        <w:rPr>
          <w:rStyle w:val="normaltextrun"/>
          <w:rFonts w:ascii="Arial" w:hAnsi="Arial" w:cs="Arial"/>
        </w:rPr>
        <w:t xml:space="preserve">security as it relates to owning, operating, maintaining, and data sharing for the EVSE. </w:t>
      </w:r>
      <w:r w:rsidR="009B3EA0">
        <w:rPr>
          <w:rStyle w:val="normaltextrun"/>
          <w:rFonts w:ascii="Arial" w:hAnsi="Arial" w:cs="Arial"/>
        </w:rPr>
        <w:t xml:space="preserve">The Recipient </w:t>
      </w:r>
      <w:r w:rsidR="009D39A7">
        <w:rPr>
          <w:rStyle w:val="normaltextrun"/>
          <w:rFonts w:ascii="Arial" w:hAnsi="Arial" w:cs="Arial"/>
        </w:rPr>
        <w:t>must develop</w:t>
      </w:r>
      <w:r w:rsidR="00B326D0">
        <w:rPr>
          <w:rStyle w:val="normaltextrun"/>
          <w:rFonts w:ascii="Arial" w:hAnsi="Arial" w:cs="Arial"/>
        </w:rPr>
        <w:t xml:space="preserve"> and submit to the CEC</w:t>
      </w:r>
      <w:r w:rsidR="009D39A7">
        <w:rPr>
          <w:rStyle w:val="normaltextrun"/>
          <w:rFonts w:ascii="Arial" w:hAnsi="Arial" w:cs="Arial"/>
        </w:rPr>
        <w:t xml:space="preserve"> a Data </w:t>
      </w:r>
      <w:r w:rsidR="00264A99">
        <w:rPr>
          <w:rStyle w:val="normaltextrun"/>
          <w:rFonts w:ascii="Arial" w:hAnsi="Arial" w:cs="Arial"/>
        </w:rPr>
        <w:t>Management</w:t>
      </w:r>
      <w:r w:rsidR="009D39A7">
        <w:rPr>
          <w:rStyle w:val="normaltextrun"/>
          <w:rFonts w:ascii="Arial" w:hAnsi="Arial" w:cs="Arial"/>
        </w:rPr>
        <w:t xml:space="preserve"> and Cybersecurity </w:t>
      </w:r>
      <w:r w:rsidR="00331D33">
        <w:rPr>
          <w:rStyle w:val="normaltextrun"/>
          <w:rFonts w:ascii="Arial" w:hAnsi="Arial" w:cs="Arial"/>
        </w:rPr>
        <w:t>Plan after agreement execution</w:t>
      </w:r>
      <w:r w:rsidR="001669A3">
        <w:rPr>
          <w:rStyle w:val="normaltextrun"/>
          <w:rFonts w:ascii="Arial" w:hAnsi="Arial" w:cs="Arial"/>
        </w:rPr>
        <w:t xml:space="preserve"> and prior to </w:t>
      </w:r>
      <w:r w:rsidR="005D0C39">
        <w:rPr>
          <w:rStyle w:val="normaltextrun"/>
          <w:rFonts w:ascii="Arial" w:hAnsi="Arial" w:cs="Arial"/>
        </w:rPr>
        <w:t>the time of station commissioning</w:t>
      </w:r>
      <w:r w:rsidR="00331D33">
        <w:rPr>
          <w:rStyle w:val="normaltextrun"/>
          <w:rFonts w:ascii="Arial" w:hAnsi="Arial" w:cs="Arial"/>
        </w:rPr>
        <w:t xml:space="preserve">. </w:t>
      </w:r>
      <w:r w:rsidR="006F547E">
        <w:rPr>
          <w:rStyle w:val="normaltextrun"/>
          <w:rFonts w:ascii="Arial" w:hAnsi="Arial" w:cs="Arial"/>
        </w:rPr>
        <w:t xml:space="preserve">The </w:t>
      </w:r>
      <w:r w:rsidR="00C94D11">
        <w:rPr>
          <w:rStyle w:val="normaltextrun"/>
          <w:rFonts w:ascii="Arial" w:hAnsi="Arial" w:cs="Arial"/>
        </w:rPr>
        <w:t xml:space="preserve">Data </w:t>
      </w:r>
      <w:r w:rsidR="00C61413">
        <w:rPr>
          <w:rStyle w:val="normaltextrun"/>
          <w:rFonts w:ascii="Arial" w:hAnsi="Arial" w:cs="Arial"/>
        </w:rPr>
        <w:t xml:space="preserve">Management </w:t>
      </w:r>
      <w:r w:rsidR="00C94D11">
        <w:rPr>
          <w:rStyle w:val="normaltextrun"/>
          <w:rFonts w:ascii="Arial" w:hAnsi="Arial" w:cs="Arial"/>
        </w:rPr>
        <w:t>and Cybersecurity Plan</w:t>
      </w:r>
      <w:r w:rsidR="00C14E6D">
        <w:rPr>
          <w:rStyle w:val="normaltextrun"/>
          <w:rFonts w:ascii="Arial" w:hAnsi="Arial" w:cs="Arial"/>
        </w:rPr>
        <w:t xml:space="preserve">, as </w:t>
      </w:r>
      <w:r w:rsidR="001A071B">
        <w:rPr>
          <w:rStyle w:val="normaltextrun"/>
          <w:rFonts w:ascii="Arial" w:hAnsi="Arial" w:cs="Arial"/>
        </w:rPr>
        <w:t xml:space="preserve">required </w:t>
      </w:r>
      <w:r w:rsidR="00C14E6D">
        <w:rPr>
          <w:rStyle w:val="normaltextrun"/>
          <w:rFonts w:ascii="Arial" w:hAnsi="Arial" w:cs="Arial"/>
        </w:rPr>
        <w:t>in the Scope of Work (Attachment 2),</w:t>
      </w:r>
      <w:r w:rsidR="00C94D11">
        <w:rPr>
          <w:rStyle w:val="normaltextrun"/>
          <w:rFonts w:ascii="Arial" w:hAnsi="Arial" w:cs="Arial"/>
        </w:rPr>
        <w:t xml:space="preserve"> must include the </w:t>
      </w:r>
      <w:r w:rsidR="00AB3463">
        <w:rPr>
          <w:rStyle w:val="normaltextrun"/>
          <w:rFonts w:ascii="Arial" w:hAnsi="Arial" w:cs="Arial"/>
        </w:rPr>
        <w:t>R</w:t>
      </w:r>
      <w:r w:rsidR="00C94D11">
        <w:rPr>
          <w:rStyle w:val="normaltextrun"/>
          <w:rFonts w:ascii="Arial" w:hAnsi="Arial" w:cs="Arial"/>
        </w:rPr>
        <w:t xml:space="preserve">ecipient’s </w:t>
      </w:r>
      <w:r w:rsidR="001B5DB6">
        <w:rPr>
          <w:rStyle w:val="normaltextrun"/>
          <w:rFonts w:ascii="Arial" w:hAnsi="Arial" w:cs="Arial"/>
        </w:rPr>
        <w:t xml:space="preserve">data security policies, procedures, and </w:t>
      </w:r>
      <w:r w:rsidR="00D62D7A">
        <w:rPr>
          <w:rStyle w:val="normaltextrun"/>
          <w:rFonts w:ascii="Arial" w:hAnsi="Arial" w:cs="Arial"/>
        </w:rPr>
        <w:t>remediation</w:t>
      </w:r>
      <w:r w:rsidR="001B5DB6">
        <w:rPr>
          <w:rStyle w:val="normaltextrun"/>
          <w:rFonts w:ascii="Arial" w:hAnsi="Arial" w:cs="Arial"/>
        </w:rPr>
        <w:t xml:space="preserve"> plan. </w:t>
      </w:r>
      <w:r w:rsidR="00D62D7A">
        <w:rPr>
          <w:rStyle w:val="normaltextrun"/>
          <w:rFonts w:ascii="Arial" w:hAnsi="Arial" w:cs="Arial"/>
        </w:rPr>
        <w:t>The</w:t>
      </w:r>
      <w:r w:rsidR="00C61413">
        <w:rPr>
          <w:rStyle w:val="normaltextrun"/>
          <w:rFonts w:ascii="Arial" w:hAnsi="Arial" w:cs="Arial"/>
        </w:rPr>
        <w:t xml:space="preserve"> plan </w:t>
      </w:r>
      <w:r w:rsidR="00AD553F">
        <w:rPr>
          <w:rStyle w:val="normaltextrun"/>
          <w:rFonts w:ascii="Arial" w:hAnsi="Arial" w:cs="Arial"/>
        </w:rPr>
        <w:t>should include, at minimum, the following:</w:t>
      </w:r>
    </w:p>
    <w:p w14:paraId="7A2A4B3C" w14:textId="4C936873" w:rsidR="72DEF1B2" w:rsidRDefault="72DEF1B2" w:rsidP="72DEF1B2">
      <w:pPr>
        <w:pStyle w:val="paragraph"/>
        <w:spacing w:before="0" w:beforeAutospacing="0" w:after="0" w:afterAutospacing="0"/>
        <w:ind w:left="1440"/>
        <w:rPr>
          <w:rStyle w:val="normaltextrun"/>
          <w:rFonts w:ascii="Arial" w:hAnsi="Arial" w:cs="Arial"/>
        </w:rPr>
      </w:pPr>
    </w:p>
    <w:p w14:paraId="5A2F8502" w14:textId="6A3C7CB4" w:rsidR="1554F074" w:rsidRDefault="1554F074" w:rsidP="00164AC5">
      <w:pPr>
        <w:pStyle w:val="paragraph"/>
        <w:numPr>
          <w:ilvl w:val="0"/>
          <w:numId w:val="84"/>
        </w:numPr>
        <w:spacing w:before="0" w:beforeAutospacing="0" w:after="120" w:afterAutospacing="0"/>
        <w:ind w:hanging="720"/>
        <w:rPr>
          <w:rFonts w:ascii="Arial" w:hAnsi="Arial" w:cs="Arial"/>
        </w:rPr>
      </w:pPr>
      <w:r w:rsidRPr="72DEF1B2">
        <w:rPr>
          <w:rFonts w:ascii="Arial" w:hAnsi="Arial" w:cs="Arial"/>
        </w:rPr>
        <w:t>Strong authentication and access control</w:t>
      </w:r>
    </w:p>
    <w:p w14:paraId="755B8281" w14:textId="3AD36142" w:rsidR="1554F074" w:rsidRDefault="1554F074" w:rsidP="00164AC5">
      <w:pPr>
        <w:pStyle w:val="paragraph"/>
        <w:numPr>
          <w:ilvl w:val="0"/>
          <w:numId w:val="84"/>
        </w:numPr>
        <w:spacing w:before="0" w:beforeAutospacing="0" w:after="120" w:afterAutospacing="0"/>
        <w:ind w:hanging="720"/>
        <w:rPr>
          <w:rFonts w:ascii="Arial" w:hAnsi="Arial" w:cs="Arial"/>
        </w:rPr>
      </w:pPr>
      <w:r w:rsidRPr="72DEF1B2">
        <w:rPr>
          <w:rFonts w:ascii="Arial" w:hAnsi="Arial" w:cs="Arial"/>
        </w:rPr>
        <w:t>Network segmentation to isolate critical components to limit attack</w:t>
      </w:r>
    </w:p>
    <w:p w14:paraId="10B446E9" w14:textId="4F529EFA" w:rsidR="1554F074" w:rsidRDefault="1554F074" w:rsidP="00164AC5">
      <w:pPr>
        <w:pStyle w:val="paragraph"/>
        <w:numPr>
          <w:ilvl w:val="0"/>
          <w:numId w:val="84"/>
        </w:numPr>
        <w:spacing w:before="0" w:beforeAutospacing="0" w:after="120" w:afterAutospacing="0"/>
        <w:ind w:hanging="720"/>
        <w:rPr>
          <w:rFonts w:ascii="Arial" w:hAnsi="Arial" w:cs="Arial"/>
        </w:rPr>
      </w:pPr>
      <w:r w:rsidRPr="72DEF1B2">
        <w:rPr>
          <w:rFonts w:ascii="Arial" w:hAnsi="Arial" w:cs="Arial"/>
        </w:rPr>
        <w:t>Intrusion detection and monitoring</w:t>
      </w:r>
    </w:p>
    <w:p w14:paraId="7549FAC9" w14:textId="2214DD79" w:rsidR="1554F074" w:rsidRDefault="1554F074" w:rsidP="00164AC5">
      <w:pPr>
        <w:pStyle w:val="paragraph"/>
        <w:numPr>
          <w:ilvl w:val="0"/>
          <w:numId w:val="84"/>
        </w:numPr>
        <w:spacing w:before="0" w:beforeAutospacing="0" w:after="120" w:afterAutospacing="0"/>
        <w:ind w:hanging="720"/>
        <w:rPr>
          <w:rFonts w:ascii="Arial" w:hAnsi="Arial" w:cs="Arial"/>
        </w:rPr>
      </w:pPr>
      <w:r w:rsidRPr="72DEF1B2">
        <w:rPr>
          <w:rFonts w:ascii="Arial" w:hAnsi="Arial" w:cs="Arial"/>
        </w:rPr>
        <w:t>Integrating cybersecurity</w:t>
      </w:r>
      <w:r w:rsidR="7968EB5E" w:rsidRPr="72DEF1B2">
        <w:rPr>
          <w:rFonts w:ascii="Arial" w:hAnsi="Arial" w:cs="Arial"/>
        </w:rPr>
        <w:t xml:space="preserve"> measures</w:t>
      </w:r>
      <w:r w:rsidRPr="72DEF1B2">
        <w:rPr>
          <w:rFonts w:ascii="Arial" w:hAnsi="Arial" w:cs="Arial"/>
        </w:rPr>
        <w:t xml:space="preserve"> at the hardware level</w:t>
      </w:r>
    </w:p>
    <w:p w14:paraId="1F0EAD1D" w14:textId="045A737C" w:rsidR="1554F074" w:rsidRDefault="1554F074" w:rsidP="00164AC5">
      <w:pPr>
        <w:pStyle w:val="paragraph"/>
        <w:numPr>
          <w:ilvl w:val="0"/>
          <w:numId w:val="84"/>
        </w:numPr>
        <w:spacing w:before="0" w:beforeAutospacing="0" w:after="120" w:afterAutospacing="0"/>
        <w:ind w:hanging="720"/>
        <w:rPr>
          <w:rFonts w:ascii="Arial" w:hAnsi="Arial" w:cs="Arial"/>
        </w:rPr>
      </w:pPr>
      <w:r w:rsidRPr="72DEF1B2">
        <w:rPr>
          <w:rFonts w:ascii="Arial" w:hAnsi="Arial" w:cs="Arial"/>
        </w:rPr>
        <w:t>Firmware integrity of chargers</w:t>
      </w:r>
    </w:p>
    <w:p w14:paraId="468FC8E4" w14:textId="6049CB3C" w:rsidR="00AD553F" w:rsidRDefault="00BE0520" w:rsidP="00164AC5">
      <w:pPr>
        <w:pStyle w:val="paragraph"/>
        <w:numPr>
          <w:ilvl w:val="0"/>
          <w:numId w:val="84"/>
        </w:numPr>
        <w:spacing w:before="0" w:beforeAutospacing="0" w:after="120" w:afterAutospacing="0"/>
        <w:ind w:hanging="720"/>
        <w:textAlignment w:val="baseline"/>
        <w:rPr>
          <w:rFonts w:ascii="Arial" w:hAnsi="Arial" w:cs="Arial"/>
        </w:rPr>
      </w:pPr>
      <w:r w:rsidRPr="72DEF1B2">
        <w:rPr>
          <w:rFonts w:ascii="Arial" w:hAnsi="Arial" w:cs="Arial"/>
        </w:rPr>
        <w:t>U</w:t>
      </w:r>
      <w:r w:rsidR="00AD553F" w:rsidRPr="72DEF1B2">
        <w:rPr>
          <w:rFonts w:ascii="Arial" w:hAnsi="Arial" w:cs="Arial"/>
        </w:rPr>
        <w:t>ser data privacy and protection</w:t>
      </w:r>
    </w:p>
    <w:p w14:paraId="494A7A4E" w14:textId="10ACAA62" w:rsidR="00AD553F"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S</w:t>
      </w:r>
      <w:r w:rsidR="00AD553F" w:rsidRPr="00AD553F">
        <w:rPr>
          <w:rFonts w:ascii="Arial" w:hAnsi="Arial" w:cs="Arial"/>
        </w:rPr>
        <w:t>ecure data transfer and protection at rest</w:t>
      </w:r>
    </w:p>
    <w:p w14:paraId="5704AF1E" w14:textId="332790CD"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lastRenderedPageBreak/>
        <w:t>S</w:t>
      </w:r>
      <w:r w:rsidR="00AD553F" w:rsidRPr="00AD553F">
        <w:rPr>
          <w:rFonts w:ascii="Arial" w:hAnsi="Arial" w:cs="Arial"/>
        </w:rPr>
        <w:t>ecure communications protocols</w:t>
      </w:r>
    </w:p>
    <w:p w14:paraId="16AAC1B1" w14:textId="3869DE5B"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P</w:t>
      </w:r>
      <w:r w:rsidR="00AD553F" w:rsidRPr="00AD553F">
        <w:rPr>
          <w:rFonts w:ascii="Arial" w:hAnsi="Arial" w:cs="Arial"/>
        </w:rPr>
        <w:t>ayment systems</w:t>
      </w:r>
    </w:p>
    <w:p w14:paraId="5242715A" w14:textId="67C6B9D1"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C</w:t>
      </w:r>
      <w:r w:rsidR="00AD553F" w:rsidRPr="00AD553F">
        <w:rPr>
          <w:rFonts w:ascii="Arial" w:hAnsi="Arial" w:cs="Arial"/>
        </w:rPr>
        <w:t>loud protections</w:t>
      </w:r>
    </w:p>
    <w:p w14:paraId="321D575C" w14:textId="330B9C03"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S</w:t>
      </w:r>
      <w:r w:rsidR="00AD553F" w:rsidRPr="00AD553F">
        <w:rPr>
          <w:rFonts w:ascii="Arial" w:hAnsi="Arial" w:cs="Arial"/>
        </w:rPr>
        <w:t xml:space="preserve">ystem and data access management to ensure </w:t>
      </w:r>
      <w:r w:rsidR="002547AE">
        <w:rPr>
          <w:rFonts w:ascii="Arial" w:hAnsi="Arial" w:cs="Arial"/>
        </w:rPr>
        <w:t xml:space="preserve">only authorized individuals have </w:t>
      </w:r>
      <w:r w:rsidR="00AD553F" w:rsidRPr="00AD553F">
        <w:rPr>
          <w:rFonts w:ascii="Arial" w:hAnsi="Arial" w:cs="Arial"/>
        </w:rPr>
        <w:t>access</w:t>
      </w:r>
    </w:p>
    <w:p w14:paraId="0835A2AE" w14:textId="3B8595D7"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E</w:t>
      </w:r>
      <w:r w:rsidR="00AD553F" w:rsidRPr="00AD553F">
        <w:rPr>
          <w:rFonts w:ascii="Arial" w:hAnsi="Arial" w:cs="Arial"/>
        </w:rPr>
        <w:t>mployee cybersecurity training</w:t>
      </w:r>
    </w:p>
    <w:p w14:paraId="40F89768" w14:textId="0E668587"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P</w:t>
      </w:r>
      <w:r w:rsidR="00AD553F" w:rsidRPr="00AD553F">
        <w:rPr>
          <w:rFonts w:ascii="Arial" w:hAnsi="Arial" w:cs="Arial"/>
        </w:rPr>
        <w:t>atching and updates</w:t>
      </w:r>
    </w:p>
    <w:p w14:paraId="63B9754B" w14:textId="192E9032"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I</w:t>
      </w:r>
      <w:r w:rsidR="00AD553F" w:rsidRPr="00AD553F">
        <w:rPr>
          <w:rFonts w:ascii="Arial" w:hAnsi="Arial" w:cs="Arial"/>
        </w:rPr>
        <w:t>ncident response reporting and recovery, including a communications plan</w:t>
      </w:r>
    </w:p>
    <w:p w14:paraId="7B5F40B7" w14:textId="0623425F"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A</w:t>
      </w:r>
      <w:r w:rsidR="00AD553F" w:rsidRPr="00AD553F">
        <w:rPr>
          <w:rFonts w:ascii="Arial" w:hAnsi="Arial" w:cs="Arial"/>
        </w:rPr>
        <w:t>udits and assessments</w:t>
      </w:r>
    </w:p>
    <w:p w14:paraId="56E15264" w14:textId="6805EF3B"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C</w:t>
      </w:r>
      <w:r w:rsidR="00AD553F" w:rsidRPr="00AD553F">
        <w:rPr>
          <w:rFonts w:ascii="Arial" w:hAnsi="Arial" w:cs="Arial"/>
        </w:rPr>
        <w:t>ontinuity of operations</w:t>
      </w:r>
    </w:p>
    <w:p w14:paraId="3D12376A" w14:textId="618CBD98" w:rsidR="00F33E58" w:rsidRDefault="00BE0520" w:rsidP="00164AC5">
      <w:pPr>
        <w:pStyle w:val="paragraph"/>
        <w:numPr>
          <w:ilvl w:val="0"/>
          <w:numId w:val="84"/>
        </w:numPr>
        <w:spacing w:before="0" w:beforeAutospacing="0" w:after="120" w:afterAutospacing="0"/>
        <w:ind w:hanging="720"/>
        <w:textAlignment w:val="baseline"/>
        <w:rPr>
          <w:rFonts w:ascii="Arial" w:hAnsi="Arial" w:cs="Arial"/>
        </w:rPr>
      </w:pPr>
      <w:r>
        <w:rPr>
          <w:rFonts w:ascii="Arial" w:hAnsi="Arial" w:cs="Arial"/>
        </w:rPr>
        <w:t>R</w:t>
      </w:r>
      <w:r w:rsidR="00AD553F" w:rsidRPr="00AD553F">
        <w:rPr>
          <w:rFonts w:ascii="Arial" w:hAnsi="Arial" w:cs="Arial"/>
        </w:rPr>
        <w:t>isk acceptance and mitigation</w:t>
      </w:r>
    </w:p>
    <w:p w14:paraId="7EEBAD00" w14:textId="2DF7A1AD" w:rsidR="00AD553F" w:rsidRDefault="00BE0520" w:rsidP="00164AC5">
      <w:pPr>
        <w:pStyle w:val="paragraph"/>
        <w:numPr>
          <w:ilvl w:val="0"/>
          <w:numId w:val="84"/>
        </w:numPr>
        <w:spacing w:before="0" w:beforeAutospacing="0" w:after="120" w:afterAutospacing="0"/>
        <w:ind w:hanging="720"/>
        <w:textAlignment w:val="baseline"/>
        <w:rPr>
          <w:rStyle w:val="normaltextrun"/>
          <w:rFonts w:ascii="Arial" w:hAnsi="Arial" w:cs="Arial"/>
        </w:rPr>
      </w:pPr>
      <w:r>
        <w:rPr>
          <w:rFonts w:ascii="Arial" w:hAnsi="Arial" w:cs="Arial"/>
        </w:rPr>
        <w:t>D</w:t>
      </w:r>
      <w:r w:rsidR="00AD553F" w:rsidRPr="00AD553F">
        <w:rPr>
          <w:rFonts w:ascii="Arial" w:hAnsi="Arial" w:cs="Arial"/>
        </w:rPr>
        <w:t>isaster recovery</w:t>
      </w:r>
    </w:p>
    <w:p w14:paraId="43A3CA7E" w14:textId="1E8C3D11" w:rsidR="003A62F7" w:rsidRDefault="00AB00AD" w:rsidP="00AD553F">
      <w:pPr>
        <w:pStyle w:val="paragraph"/>
        <w:spacing w:before="0" w:beforeAutospacing="0" w:after="0" w:afterAutospacing="0"/>
        <w:ind w:left="1440"/>
        <w:textAlignment w:val="baseline"/>
        <w:rPr>
          <w:rFonts w:ascii="Arial" w:hAnsi="Arial" w:cs="Arial"/>
        </w:rPr>
      </w:pPr>
      <w:r>
        <w:rPr>
          <w:rStyle w:val="normaltextrun"/>
          <w:rFonts w:ascii="Arial" w:hAnsi="Arial" w:cs="Arial"/>
        </w:rPr>
        <w:t>CEC strongly encourages</w:t>
      </w:r>
      <w:r w:rsidR="00FC5229">
        <w:rPr>
          <w:rStyle w:val="normaltextrun"/>
          <w:rFonts w:ascii="Arial" w:hAnsi="Arial" w:cs="Arial"/>
        </w:rPr>
        <w:t xml:space="preserve"> </w:t>
      </w:r>
      <w:r w:rsidR="00AB3463">
        <w:rPr>
          <w:rStyle w:val="normaltextrun"/>
          <w:rFonts w:ascii="Arial" w:hAnsi="Arial" w:cs="Arial"/>
        </w:rPr>
        <w:t>R</w:t>
      </w:r>
      <w:r w:rsidR="00FC5229">
        <w:rPr>
          <w:rStyle w:val="normaltextrun"/>
          <w:rFonts w:ascii="Arial" w:hAnsi="Arial" w:cs="Arial"/>
        </w:rPr>
        <w:t>ecipient</w:t>
      </w:r>
      <w:r>
        <w:rPr>
          <w:rStyle w:val="normaltextrun"/>
          <w:rFonts w:ascii="Arial" w:hAnsi="Arial" w:cs="Arial"/>
        </w:rPr>
        <w:t>s</w:t>
      </w:r>
      <w:r w:rsidR="00FC5229">
        <w:rPr>
          <w:rStyle w:val="normaltextrun"/>
          <w:rFonts w:ascii="Arial" w:hAnsi="Arial" w:cs="Arial"/>
        </w:rPr>
        <w:t xml:space="preserve"> use</w:t>
      </w:r>
      <w:r w:rsidR="00D71AAD">
        <w:rPr>
          <w:rStyle w:val="normaltextrun"/>
          <w:rFonts w:ascii="Arial" w:hAnsi="Arial" w:cs="Arial"/>
        </w:rPr>
        <w:t xml:space="preserve"> the </w:t>
      </w:r>
      <w:hyperlink r:id="rId71" w:history="1">
        <w:r w:rsidR="00D71AAD" w:rsidRPr="00440E0B">
          <w:rPr>
            <w:rStyle w:val="Hyperlink"/>
            <w:rFonts w:ascii="Arial" w:hAnsi="Arial" w:cs="Arial"/>
          </w:rPr>
          <w:t>U</w:t>
        </w:r>
        <w:r w:rsidR="007C6C86" w:rsidRPr="00440E0B">
          <w:rPr>
            <w:rStyle w:val="Hyperlink"/>
            <w:rFonts w:ascii="Arial" w:hAnsi="Arial" w:cs="Arial"/>
          </w:rPr>
          <w:t>.</w:t>
        </w:r>
        <w:r w:rsidR="00D71AAD" w:rsidRPr="00440E0B">
          <w:rPr>
            <w:rStyle w:val="Hyperlink"/>
            <w:rFonts w:ascii="Arial" w:hAnsi="Arial" w:cs="Arial"/>
          </w:rPr>
          <w:t>S</w:t>
        </w:r>
        <w:r w:rsidR="007C6C86" w:rsidRPr="00440E0B">
          <w:rPr>
            <w:rStyle w:val="Hyperlink"/>
            <w:rFonts w:ascii="Arial" w:hAnsi="Arial" w:cs="Arial"/>
          </w:rPr>
          <w:t>.</w:t>
        </w:r>
        <w:r w:rsidR="00D71AAD" w:rsidRPr="00440E0B">
          <w:rPr>
            <w:rStyle w:val="Hyperlink"/>
            <w:rFonts w:ascii="Arial" w:hAnsi="Arial" w:cs="Arial"/>
          </w:rPr>
          <w:t xml:space="preserve"> DOT’s </w:t>
        </w:r>
        <w:r w:rsidR="004A7800" w:rsidRPr="00440E0B">
          <w:rPr>
            <w:rStyle w:val="Hyperlink"/>
            <w:rFonts w:ascii="Arial" w:hAnsi="Arial" w:cs="Arial"/>
          </w:rPr>
          <w:t>guidance on developing a data management plan</w:t>
        </w:r>
      </w:hyperlink>
      <w:r w:rsidR="004A7800">
        <w:rPr>
          <w:rStyle w:val="normaltextrun"/>
          <w:rFonts w:ascii="Arial" w:hAnsi="Arial" w:cs="Arial"/>
        </w:rPr>
        <w:t xml:space="preserve"> for assistance with</w:t>
      </w:r>
      <w:r>
        <w:rPr>
          <w:rStyle w:val="normaltextrun"/>
          <w:rFonts w:ascii="Arial" w:hAnsi="Arial" w:cs="Arial"/>
        </w:rPr>
        <w:t xml:space="preserve"> their </w:t>
      </w:r>
      <w:r w:rsidR="001C7F0A">
        <w:rPr>
          <w:rStyle w:val="normaltextrun"/>
          <w:rFonts w:ascii="Arial" w:hAnsi="Arial" w:cs="Arial"/>
        </w:rPr>
        <w:t>drafting their plans</w:t>
      </w:r>
      <w:r w:rsidR="00440E0B">
        <w:rPr>
          <w:rStyle w:val="normaltextrun"/>
          <w:rFonts w:ascii="Arial" w:hAnsi="Arial" w:cs="Arial"/>
        </w:rPr>
        <w:t>, found at</w:t>
      </w:r>
      <w:r w:rsidR="001C7F0A">
        <w:rPr>
          <w:rStyle w:val="normaltextrun"/>
          <w:rFonts w:ascii="Arial" w:hAnsi="Arial" w:cs="Arial"/>
        </w:rPr>
        <w:t xml:space="preserve"> </w:t>
      </w:r>
      <w:r w:rsidR="004B7E67" w:rsidRPr="00440E0B">
        <w:rPr>
          <w:rFonts w:ascii="Arial" w:hAnsi="Arial" w:cs="Arial"/>
        </w:rPr>
        <w:t>https://ntl.bts.gov/ntl/public-access/creating-data-management-plans</w:t>
      </w:r>
      <w:r w:rsidR="00E96B7F">
        <w:rPr>
          <w:rFonts w:ascii="Arial" w:hAnsi="Arial" w:cs="Arial"/>
        </w:rPr>
        <w:t>.</w:t>
      </w:r>
      <w:r w:rsidR="00A23A75">
        <w:rPr>
          <w:rFonts w:ascii="Arial" w:hAnsi="Arial" w:cs="Arial"/>
        </w:rPr>
        <w:t xml:space="preserve"> </w:t>
      </w:r>
      <w:r w:rsidR="00406544">
        <w:rPr>
          <w:rFonts w:ascii="Arial" w:hAnsi="Arial" w:cs="Arial"/>
        </w:rPr>
        <w:t>The</w:t>
      </w:r>
      <w:r w:rsidR="00862211">
        <w:rPr>
          <w:rFonts w:ascii="Arial" w:hAnsi="Arial" w:cs="Arial"/>
        </w:rPr>
        <w:t xml:space="preserve"> US Joint Office of Energy and Transportation also has</w:t>
      </w:r>
      <w:r w:rsidR="00F55739">
        <w:rPr>
          <w:rFonts w:ascii="Arial" w:hAnsi="Arial" w:cs="Arial"/>
        </w:rPr>
        <w:t xml:space="preserve"> available</w:t>
      </w:r>
      <w:r w:rsidR="00EF313E">
        <w:rPr>
          <w:rFonts w:ascii="Arial" w:hAnsi="Arial" w:cs="Arial"/>
        </w:rPr>
        <w:t xml:space="preserve"> </w:t>
      </w:r>
      <w:hyperlink r:id="rId72" w:history="1">
        <w:r w:rsidR="00F55739" w:rsidRPr="00D61F0B">
          <w:rPr>
            <w:rStyle w:val="Hyperlink"/>
            <w:rFonts w:ascii="Arial" w:hAnsi="Arial" w:cs="Arial"/>
          </w:rPr>
          <w:t>S</w:t>
        </w:r>
        <w:r w:rsidR="00EF313E" w:rsidRPr="00D61F0B">
          <w:rPr>
            <w:rStyle w:val="Hyperlink"/>
            <w:rFonts w:ascii="Arial" w:hAnsi="Arial" w:cs="Arial"/>
          </w:rPr>
          <w:t xml:space="preserve">ample </w:t>
        </w:r>
        <w:r w:rsidR="00F55739" w:rsidRPr="00D61F0B">
          <w:rPr>
            <w:rStyle w:val="Hyperlink"/>
            <w:rFonts w:ascii="Arial" w:hAnsi="Arial" w:cs="Arial"/>
          </w:rPr>
          <w:t>C</w:t>
        </w:r>
        <w:r w:rsidR="00EF313E" w:rsidRPr="00D61F0B">
          <w:rPr>
            <w:rStyle w:val="Hyperlink"/>
            <w:rFonts w:ascii="Arial" w:hAnsi="Arial" w:cs="Arial"/>
          </w:rPr>
          <w:t xml:space="preserve">ybersecurity </w:t>
        </w:r>
        <w:r w:rsidR="00F55739" w:rsidRPr="00D61F0B">
          <w:rPr>
            <w:rStyle w:val="Hyperlink"/>
            <w:rFonts w:ascii="Arial" w:hAnsi="Arial" w:cs="Arial"/>
          </w:rPr>
          <w:t>C</w:t>
        </w:r>
        <w:r w:rsidR="00EF313E" w:rsidRPr="00D61F0B">
          <w:rPr>
            <w:rStyle w:val="Hyperlink"/>
            <w:rFonts w:ascii="Arial" w:hAnsi="Arial" w:cs="Arial"/>
          </w:rPr>
          <w:t xml:space="preserve">lauses for EV </w:t>
        </w:r>
        <w:r w:rsidR="00F55739" w:rsidRPr="00D61F0B">
          <w:rPr>
            <w:rStyle w:val="Hyperlink"/>
            <w:rFonts w:ascii="Arial" w:hAnsi="Arial" w:cs="Arial"/>
          </w:rPr>
          <w:t>C</w:t>
        </w:r>
        <w:r w:rsidR="00EF313E" w:rsidRPr="00D61F0B">
          <w:rPr>
            <w:rStyle w:val="Hyperlink"/>
            <w:rFonts w:ascii="Arial" w:hAnsi="Arial" w:cs="Arial"/>
          </w:rPr>
          <w:t xml:space="preserve">harging </w:t>
        </w:r>
        <w:r w:rsidR="00F55739" w:rsidRPr="00D61F0B">
          <w:rPr>
            <w:rStyle w:val="Hyperlink"/>
            <w:rFonts w:ascii="Arial" w:hAnsi="Arial" w:cs="Arial"/>
          </w:rPr>
          <w:t>I</w:t>
        </w:r>
        <w:r w:rsidR="00EF313E" w:rsidRPr="00D61F0B">
          <w:rPr>
            <w:rStyle w:val="Hyperlink"/>
            <w:rFonts w:ascii="Arial" w:hAnsi="Arial" w:cs="Arial"/>
          </w:rPr>
          <w:t xml:space="preserve">nfrastructure </w:t>
        </w:r>
        <w:r w:rsidR="00F55739" w:rsidRPr="00D61F0B">
          <w:rPr>
            <w:rStyle w:val="Hyperlink"/>
            <w:rFonts w:ascii="Arial" w:hAnsi="Arial" w:cs="Arial"/>
          </w:rPr>
          <w:t>P</w:t>
        </w:r>
        <w:r w:rsidR="00EF313E" w:rsidRPr="00D61F0B">
          <w:rPr>
            <w:rStyle w:val="Hyperlink"/>
            <w:rFonts w:ascii="Arial" w:hAnsi="Arial" w:cs="Arial"/>
          </w:rPr>
          <w:t>rocurements</w:t>
        </w:r>
      </w:hyperlink>
      <w:r w:rsidR="00397852">
        <w:rPr>
          <w:rFonts w:ascii="Arial" w:hAnsi="Arial" w:cs="Arial"/>
        </w:rPr>
        <w:t xml:space="preserve">, which can be found </w:t>
      </w:r>
      <w:r w:rsidR="00440E0B">
        <w:rPr>
          <w:rFonts w:ascii="Arial" w:hAnsi="Arial" w:cs="Arial"/>
        </w:rPr>
        <w:t>at</w:t>
      </w:r>
      <w:r w:rsidR="00397852">
        <w:rPr>
          <w:rFonts w:ascii="Arial" w:hAnsi="Arial" w:cs="Arial"/>
        </w:rPr>
        <w:t xml:space="preserve"> </w:t>
      </w:r>
      <w:r w:rsidR="00397852" w:rsidRPr="00D61F0B">
        <w:rPr>
          <w:rFonts w:ascii="Arial" w:hAnsi="Arial" w:cs="Arial"/>
        </w:rPr>
        <w:t>https://driveelectric.gov/cybersecurity-clauses</w:t>
      </w:r>
      <w:r w:rsidR="00F55739">
        <w:rPr>
          <w:rFonts w:ascii="Arial" w:hAnsi="Arial" w:cs="Arial"/>
        </w:rPr>
        <w:t>. Recipients are strongly encouraged to reference the Joint Office’s Sample Cybersecurity Clauses for EV Charging Infrastructure Procurements</w:t>
      </w:r>
      <w:r w:rsidR="00FF335E">
        <w:rPr>
          <w:rFonts w:ascii="Arial" w:hAnsi="Arial" w:cs="Arial"/>
        </w:rPr>
        <w:t xml:space="preserve"> when de</w:t>
      </w:r>
      <w:r w:rsidR="00A41541">
        <w:rPr>
          <w:rFonts w:ascii="Arial" w:hAnsi="Arial" w:cs="Arial"/>
        </w:rPr>
        <w:t xml:space="preserve">veloping </w:t>
      </w:r>
      <w:r w:rsidR="003F2696">
        <w:rPr>
          <w:rFonts w:ascii="Arial" w:hAnsi="Arial" w:cs="Arial"/>
        </w:rPr>
        <w:t>their Application and a</w:t>
      </w:r>
      <w:r w:rsidR="00A41541">
        <w:rPr>
          <w:rFonts w:ascii="Arial" w:hAnsi="Arial" w:cs="Arial"/>
        </w:rPr>
        <w:t xml:space="preserve">greements with subcontractors. </w:t>
      </w:r>
    </w:p>
    <w:p w14:paraId="6B10497D" w14:textId="6C7195FB" w:rsidR="00431EF1" w:rsidRDefault="00431EF1" w:rsidP="00917672">
      <w:pPr>
        <w:pStyle w:val="paragraph"/>
        <w:spacing w:before="0" w:beforeAutospacing="0" w:after="0" w:afterAutospacing="0"/>
        <w:textAlignment w:val="baseline"/>
        <w:rPr>
          <w:rFonts w:ascii="Arial" w:hAnsi="Arial" w:cs="Arial"/>
        </w:rPr>
      </w:pPr>
    </w:p>
    <w:p w14:paraId="56CA52CD" w14:textId="075EC69B" w:rsidR="00431EF1" w:rsidRDefault="00AF7FE0" w:rsidP="00164AC5">
      <w:pPr>
        <w:pStyle w:val="paragraph"/>
        <w:numPr>
          <w:ilvl w:val="0"/>
          <w:numId w:val="37"/>
        </w:numPr>
        <w:spacing w:before="0" w:beforeAutospacing="0" w:after="0" w:afterAutospacing="0"/>
        <w:ind w:firstLine="0"/>
        <w:textAlignment w:val="baseline"/>
        <w:rPr>
          <w:rStyle w:val="normaltextrun"/>
          <w:rFonts w:ascii="Arial" w:hAnsi="Arial" w:cs="Arial"/>
          <w:b/>
          <w:bCs/>
        </w:rPr>
      </w:pPr>
      <w:r w:rsidRPr="00963F45">
        <w:rPr>
          <w:rStyle w:val="normaltextrun"/>
          <w:rFonts w:ascii="Arial" w:hAnsi="Arial" w:cs="Arial"/>
          <w:b/>
          <w:bCs/>
        </w:rPr>
        <w:t>Project Revenue and Pricing for EV Charging</w:t>
      </w:r>
    </w:p>
    <w:p w14:paraId="1FE0AF7E" w14:textId="466E7D52" w:rsidR="009E1E19" w:rsidRDefault="008F539C" w:rsidP="006E0A94">
      <w:pPr>
        <w:pStyle w:val="paragraph"/>
        <w:spacing w:before="0" w:beforeAutospacing="0" w:after="0" w:afterAutospacing="0"/>
        <w:ind w:left="1440"/>
        <w:textAlignment w:val="baseline"/>
        <w:rPr>
          <w:rStyle w:val="normaltextrun"/>
          <w:rFonts w:ascii="Arial" w:hAnsi="Arial" w:cs="Arial"/>
        </w:rPr>
      </w:pPr>
      <w:r w:rsidRPr="00963F45">
        <w:rPr>
          <w:rStyle w:val="normaltextrun"/>
          <w:rFonts w:ascii="Arial" w:hAnsi="Arial" w:cs="Arial"/>
        </w:rPr>
        <w:t xml:space="preserve">Recipients </w:t>
      </w:r>
      <w:r w:rsidR="00620D57">
        <w:rPr>
          <w:rStyle w:val="normaltextrun"/>
          <w:rFonts w:ascii="Arial" w:hAnsi="Arial" w:cs="Arial"/>
        </w:rPr>
        <w:t xml:space="preserve">must comply with the restrictions on use of program income specified in 23 CFR </w:t>
      </w:r>
      <w:r w:rsidR="00A4149C">
        <w:rPr>
          <w:rStyle w:val="normaltextrun"/>
          <w:rFonts w:ascii="Arial" w:hAnsi="Arial" w:cs="Arial"/>
        </w:rPr>
        <w:t>Part</w:t>
      </w:r>
      <w:r w:rsidR="00620D57">
        <w:rPr>
          <w:rStyle w:val="normaltextrun"/>
          <w:rFonts w:ascii="Arial" w:hAnsi="Arial" w:cs="Arial"/>
        </w:rPr>
        <w:t xml:space="preserve"> 680.106(m). </w:t>
      </w:r>
      <w:r w:rsidR="00A4149C">
        <w:rPr>
          <w:rStyle w:val="normaltextrun"/>
          <w:rFonts w:ascii="Arial" w:hAnsi="Arial" w:cs="Arial"/>
        </w:rPr>
        <w:t xml:space="preserve">Recipients </w:t>
      </w:r>
      <w:r w:rsidRPr="00963F45">
        <w:rPr>
          <w:rStyle w:val="normaltextrun"/>
          <w:rFonts w:ascii="Arial" w:hAnsi="Arial" w:cs="Arial"/>
        </w:rPr>
        <w:t xml:space="preserve">may use revenue generated from the operation of charging stations for debt service, a reasonable return on investment, and/or costs for operation, </w:t>
      </w:r>
      <w:r w:rsidRPr="008F539C">
        <w:rPr>
          <w:rStyle w:val="normaltextrun"/>
          <w:rFonts w:ascii="Arial" w:hAnsi="Arial" w:cs="Arial"/>
        </w:rPr>
        <w:t>maintenance</w:t>
      </w:r>
      <w:r w:rsidRPr="00963F45">
        <w:rPr>
          <w:rStyle w:val="normaltextrun"/>
          <w:rFonts w:ascii="Arial" w:hAnsi="Arial" w:cs="Arial"/>
        </w:rPr>
        <w:t xml:space="preserve">, and site improvement. </w:t>
      </w:r>
      <w:r w:rsidR="00AF78EE">
        <w:rPr>
          <w:rStyle w:val="normaltextrun"/>
          <w:rFonts w:ascii="Arial" w:hAnsi="Arial" w:cs="Arial"/>
        </w:rPr>
        <w:t xml:space="preserve">Recipients must include sufficient information in their </w:t>
      </w:r>
      <w:r w:rsidR="002920F3">
        <w:rPr>
          <w:rStyle w:val="normaltextrun"/>
          <w:rFonts w:ascii="Arial" w:hAnsi="Arial" w:cs="Arial"/>
        </w:rPr>
        <w:t xml:space="preserve">Project </w:t>
      </w:r>
      <w:r w:rsidR="00A77C40">
        <w:rPr>
          <w:rStyle w:val="normaltextrun"/>
          <w:rFonts w:ascii="Arial" w:hAnsi="Arial" w:cs="Arial"/>
        </w:rPr>
        <w:t>Narrative</w:t>
      </w:r>
      <w:r w:rsidR="00AF78EE">
        <w:rPr>
          <w:rStyle w:val="normaltextrun"/>
          <w:rFonts w:ascii="Arial" w:hAnsi="Arial" w:cs="Arial"/>
        </w:rPr>
        <w:t xml:space="preserve"> for CEC to evaluate </w:t>
      </w:r>
      <w:r w:rsidR="00954339">
        <w:rPr>
          <w:rStyle w:val="normaltextrun"/>
          <w:rFonts w:ascii="Arial" w:hAnsi="Arial" w:cs="Arial"/>
        </w:rPr>
        <w:t xml:space="preserve">how </w:t>
      </w:r>
      <w:r w:rsidR="00AF78EE">
        <w:rPr>
          <w:rStyle w:val="normaltextrun"/>
          <w:rFonts w:ascii="Arial" w:hAnsi="Arial" w:cs="Arial"/>
        </w:rPr>
        <w:t>revenue from the proposed corridor segment projects</w:t>
      </w:r>
      <w:r w:rsidR="00993F72">
        <w:rPr>
          <w:rStyle w:val="normaltextrun"/>
          <w:rFonts w:ascii="Arial" w:hAnsi="Arial" w:cs="Arial"/>
        </w:rPr>
        <w:t xml:space="preserve"> will be used in accordance with 23 C</w:t>
      </w:r>
      <w:r w:rsidR="00235078">
        <w:rPr>
          <w:rStyle w:val="normaltextrun"/>
          <w:rFonts w:ascii="Arial" w:hAnsi="Arial" w:cs="Arial"/>
        </w:rPr>
        <w:t xml:space="preserve">FR 680.106(m). </w:t>
      </w:r>
    </w:p>
    <w:p w14:paraId="1B065676" w14:textId="77777777" w:rsidR="00331E7E" w:rsidRPr="00DB76C3" w:rsidRDefault="00331E7E" w:rsidP="006E0A94">
      <w:pPr>
        <w:pStyle w:val="paragraph"/>
        <w:spacing w:before="0" w:beforeAutospacing="0" w:after="0" w:afterAutospacing="0"/>
        <w:ind w:left="1440"/>
        <w:textAlignment w:val="baseline"/>
        <w:rPr>
          <w:rStyle w:val="normaltextrun"/>
          <w:rFonts w:ascii="Arial" w:hAnsi="Arial" w:cs="Arial"/>
        </w:rPr>
      </w:pPr>
    </w:p>
    <w:p w14:paraId="53167B0D" w14:textId="5636CC2D" w:rsidR="710936BA" w:rsidRPr="00A92384" w:rsidRDefault="00B75ECE" w:rsidP="00B25008">
      <w:pPr>
        <w:pStyle w:val="paragraph"/>
        <w:numPr>
          <w:ilvl w:val="0"/>
          <w:numId w:val="37"/>
        </w:numPr>
        <w:spacing w:before="0" w:beforeAutospacing="0" w:after="0" w:afterAutospacing="0"/>
        <w:ind w:left="1440" w:hanging="720"/>
        <w:rPr>
          <w:rStyle w:val="normaltextrun"/>
          <w:rFonts w:ascii="Arial" w:hAnsi="Arial" w:cs="Arial"/>
          <w:b/>
          <w:bCs/>
        </w:rPr>
      </w:pPr>
      <w:r w:rsidRPr="00A92384">
        <w:rPr>
          <w:rStyle w:val="normaltextrun"/>
          <w:rFonts w:ascii="Arial" w:hAnsi="Arial" w:cs="Arial"/>
          <w:b/>
          <w:bCs/>
        </w:rPr>
        <w:t>Preliminary Engineering and Right of Way</w:t>
      </w:r>
    </w:p>
    <w:p w14:paraId="2DC48180" w14:textId="0BB2931F" w:rsidR="710936BA" w:rsidRDefault="00C417F9" w:rsidP="710936BA">
      <w:pPr>
        <w:pStyle w:val="paragraph"/>
        <w:spacing w:before="0" w:beforeAutospacing="0" w:after="0" w:afterAutospacing="0"/>
        <w:ind w:left="1440"/>
        <w:rPr>
          <w:rStyle w:val="normaltextrun"/>
          <w:rFonts w:ascii="Arial" w:hAnsi="Arial" w:cs="Arial"/>
        </w:rPr>
      </w:pPr>
      <w:r>
        <w:rPr>
          <w:rStyle w:val="normaltextrun"/>
          <w:rFonts w:ascii="Arial" w:hAnsi="Arial" w:cs="Arial"/>
        </w:rPr>
        <w:t xml:space="preserve">Recipients </w:t>
      </w:r>
      <w:r w:rsidR="006838E0">
        <w:rPr>
          <w:rStyle w:val="normaltextrun"/>
          <w:rFonts w:ascii="Arial" w:hAnsi="Arial" w:cs="Arial"/>
        </w:rPr>
        <w:t xml:space="preserve">must prepare to have </w:t>
      </w:r>
      <w:r w:rsidR="008F4CD9">
        <w:rPr>
          <w:rStyle w:val="normaltextrun"/>
          <w:rFonts w:ascii="Arial" w:hAnsi="Arial" w:cs="Arial"/>
        </w:rPr>
        <w:t xml:space="preserve">their projects </w:t>
      </w:r>
      <w:r w:rsidR="00E7245F">
        <w:rPr>
          <w:rStyle w:val="normaltextrun"/>
          <w:rFonts w:ascii="Arial" w:hAnsi="Arial" w:cs="Arial"/>
        </w:rPr>
        <w:t xml:space="preserve">follow the procedures of federally funded local transportation projects as explained in the Caltrans </w:t>
      </w:r>
      <w:hyperlink r:id="rId73" w:history="1">
        <w:r w:rsidR="00E7245F" w:rsidRPr="00D35A14">
          <w:rPr>
            <w:rStyle w:val="Hyperlink"/>
            <w:rFonts w:ascii="Arial" w:hAnsi="Arial" w:cs="Arial"/>
          </w:rPr>
          <w:t>Local Assistance Procedures Manual</w:t>
        </w:r>
      </w:hyperlink>
      <w:r w:rsidR="00E7245F">
        <w:rPr>
          <w:rStyle w:val="normaltextrun"/>
          <w:rFonts w:ascii="Arial" w:hAnsi="Arial" w:cs="Arial"/>
        </w:rPr>
        <w:t xml:space="preserve">, found at </w:t>
      </w:r>
      <w:r w:rsidR="00A92384" w:rsidRPr="00A92384">
        <w:rPr>
          <w:rStyle w:val="normaltextrun"/>
          <w:rFonts w:ascii="Arial" w:hAnsi="Arial" w:cs="Arial"/>
        </w:rPr>
        <w:t>https://dot.ca.gov/programs/local-assistance/guidelines-and-procedures/local-assistance-procedures-manual-lapm</w:t>
      </w:r>
      <w:r w:rsidR="00D35A14">
        <w:rPr>
          <w:rStyle w:val="normaltextrun"/>
          <w:rFonts w:ascii="Arial" w:hAnsi="Arial" w:cs="Arial"/>
        </w:rPr>
        <w:t xml:space="preserve">. In particular, Recipients should prepare for </w:t>
      </w:r>
      <w:r w:rsidR="00A8019B">
        <w:rPr>
          <w:rStyle w:val="normaltextrun"/>
          <w:rFonts w:ascii="Arial" w:hAnsi="Arial" w:cs="Arial"/>
        </w:rPr>
        <w:t xml:space="preserve">the Right of Way project phase by reviewing the </w:t>
      </w:r>
      <w:hyperlink r:id="rId74" w:history="1">
        <w:r w:rsidR="00077954" w:rsidRPr="00612A58">
          <w:rPr>
            <w:rStyle w:val="Hyperlink"/>
            <w:rFonts w:ascii="Arial" w:hAnsi="Arial" w:cs="Arial"/>
          </w:rPr>
          <w:t>Preliminary Engineering Right of Way Checklist</w:t>
        </w:r>
      </w:hyperlink>
      <w:r w:rsidR="00077954">
        <w:rPr>
          <w:rStyle w:val="normaltextrun"/>
          <w:rFonts w:ascii="Arial" w:hAnsi="Arial" w:cs="Arial"/>
        </w:rPr>
        <w:t xml:space="preserve">, found at </w:t>
      </w:r>
      <w:r w:rsidR="00A92384" w:rsidRPr="00A92384">
        <w:rPr>
          <w:rStyle w:val="normaltextrun"/>
          <w:rFonts w:ascii="Arial" w:hAnsi="Arial" w:cs="Arial"/>
        </w:rPr>
        <w:t>https://dot.ca.gov/-/media/dot-media/programs/local-</w:t>
      </w:r>
      <w:r w:rsidR="00A92384" w:rsidRPr="00A92384">
        <w:rPr>
          <w:rStyle w:val="normaltextrun"/>
          <w:rFonts w:ascii="Arial" w:hAnsi="Arial" w:cs="Arial"/>
        </w:rPr>
        <w:lastRenderedPageBreak/>
        <w:t>assistance/documents/lapm/c13/13e.pdf</w:t>
      </w:r>
      <w:r w:rsidR="00612A58">
        <w:rPr>
          <w:rStyle w:val="normaltextrun"/>
          <w:rFonts w:ascii="Arial" w:hAnsi="Arial" w:cs="Arial"/>
        </w:rPr>
        <w:t xml:space="preserve">. </w:t>
      </w:r>
      <w:r w:rsidR="00E021B7">
        <w:rPr>
          <w:rStyle w:val="normaltextrun"/>
          <w:rFonts w:ascii="Arial" w:hAnsi="Arial" w:cs="Arial"/>
        </w:rPr>
        <w:t>All Applicants</w:t>
      </w:r>
      <w:r w:rsidR="00E90F09">
        <w:rPr>
          <w:rStyle w:val="normaltextrun"/>
          <w:rFonts w:ascii="Arial" w:hAnsi="Arial" w:cs="Arial"/>
        </w:rPr>
        <w:t xml:space="preserve"> are encouraged to familiarize themselves with </w:t>
      </w:r>
      <w:r w:rsidR="00E021B7">
        <w:rPr>
          <w:rStyle w:val="normaltextrun"/>
          <w:rFonts w:ascii="Arial" w:hAnsi="Arial" w:cs="Arial"/>
        </w:rPr>
        <w:t xml:space="preserve">this form during the application phase. </w:t>
      </w:r>
    </w:p>
    <w:p w14:paraId="45F6BB71" w14:textId="77777777" w:rsidR="00B42DE9" w:rsidRPr="00B42DE9" w:rsidRDefault="00B42DE9" w:rsidP="00E64F54">
      <w:pPr>
        <w:jc w:val="both"/>
        <w:rPr>
          <w:szCs w:val="24"/>
        </w:rPr>
      </w:pPr>
    </w:p>
    <w:p w14:paraId="2581A768" w14:textId="77777777" w:rsidR="005642F8" w:rsidRPr="00B42DE9" w:rsidRDefault="005642F8" w:rsidP="00164AC5">
      <w:pPr>
        <w:pStyle w:val="Heading2"/>
        <w:keepNext w:val="0"/>
        <w:numPr>
          <w:ilvl w:val="0"/>
          <w:numId w:val="12"/>
        </w:numPr>
        <w:spacing w:before="0"/>
        <w:ind w:hanging="720"/>
        <w:rPr>
          <w:lang w:val="en-US"/>
        </w:rPr>
      </w:pPr>
      <w:bookmarkStart w:id="48" w:name="_Toc184829627"/>
      <w:r w:rsidRPr="3B4E3998">
        <w:rPr>
          <w:lang w:val="en-US"/>
        </w:rPr>
        <w:t>Match Funding Requirements</w:t>
      </w:r>
      <w:bookmarkEnd w:id="48"/>
    </w:p>
    <w:bookmarkEnd w:id="13"/>
    <w:bookmarkEnd w:id="14"/>
    <w:bookmarkEnd w:id="15"/>
    <w:bookmarkEnd w:id="16"/>
    <w:p w14:paraId="7A0013F3" w14:textId="77777777" w:rsidR="00223C3C" w:rsidRDefault="00223C3C" w:rsidP="00E04486"/>
    <w:p w14:paraId="700A42F1" w14:textId="77777777" w:rsidR="00F378CB" w:rsidRPr="00037199" w:rsidRDefault="00F378CB" w:rsidP="00164AC5">
      <w:pPr>
        <w:numPr>
          <w:ilvl w:val="0"/>
          <w:numId w:val="20"/>
        </w:numPr>
        <w:ind w:left="1440" w:hanging="720"/>
        <w:jc w:val="both"/>
        <w:rPr>
          <w:b/>
          <w:szCs w:val="24"/>
        </w:rPr>
      </w:pPr>
      <w:r w:rsidRPr="00037199">
        <w:rPr>
          <w:b/>
          <w:szCs w:val="24"/>
        </w:rPr>
        <w:t>Total Match Share Requirement</w:t>
      </w:r>
    </w:p>
    <w:p w14:paraId="7DEE1B80" w14:textId="77777777" w:rsidR="009F4675" w:rsidRDefault="5F8CE780" w:rsidP="009F4675">
      <w:pPr>
        <w:ind w:left="1440"/>
      </w:pPr>
      <w:r>
        <w:t>The</w:t>
      </w:r>
      <w:r w:rsidR="009F6B1D">
        <w:t xml:space="preserve"> </w:t>
      </w:r>
      <w:r w:rsidR="00826E6F">
        <w:t xml:space="preserve">total </w:t>
      </w:r>
      <w:r w:rsidR="009F6B1D">
        <w:t>match share</w:t>
      </w:r>
      <w:r w:rsidR="000437FA">
        <w:t xml:space="preserve"> </w:t>
      </w:r>
      <w:r w:rsidR="035CDF74">
        <w:t>required</w:t>
      </w:r>
      <w:r w:rsidR="00B1272B">
        <w:t xml:space="preserve"> </w:t>
      </w:r>
      <w:r w:rsidR="002C0BF2">
        <w:t>for this solicitation</w:t>
      </w:r>
      <w:r w:rsidR="6657B268">
        <w:t xml:space="preserve"> </w:t>
      </w:r>
      <w:r w:rsidR="2F98FA2C">
        <w:t xml:space="preserve">is </w:t>
      </w:r>
      <w:r w:rsidR="194A4D91">
        <w:t>either 20% or 50%,</w:t>
      </w:r>
      <w:r w:rsidR="4DB7D2E4">
        <w:t xml:space="preserve"> </w:t>
      </w:r>
      <w:r w:rsidR="2F98FA2C">
        <w:t>based</w:t>
      </w:r>
      <w:r w:rsidR="37D0F2D4">
        <w:t xml:space="preserve"> on the corridor segment for which the Applicant is applying.</w:t>
      </w:r>
      <w:r w:rsidR="439DCF35">
        <w:t xml:space="preserve"> </w:t>
      </w:r>
      <w:r w:rsidR="7B6B7811">
        <w:t>Refer to Table 2 for the</w:t>
      </w:r>
      <w:r w:rsidR="49BD5DB3">
        <w:t xml:space="preserve"> match share</w:t>
      </w:r>
      <w:r w:rsidR="1711E582">
        <w:t xml:space="preserve"> required</w:t>
      </w:r>
      <w:r w:rsidR="0CDA786A">
        <w:t xml:space="preserve"> for</w:t>
      </w:r>
      <w:r w:rsidR="0D90FBEE">
        <w:t xml:space="preserve"> each corridor segment.</w:t>
      </w:r>
    </w:p>
    <w:p w14:paraId="750CDD2D" w14:textId="77777777" w:rsidR="00F378CB" w:rsidRDefault="00F378CB" w:rsidP="009F4675">
      <w:pPr>
        <w:ind w:left="1440"/>
      </w:pPr>
    </w:p>
    <w:p w14:paraId="70DE6D6D" w14:textId="19D0A9C0" w:rsidR="009F6B1D" w:rsidRPr="009F4675" w:rsidRDefault="009F6B1D" w:rsidP="009F4675">
      <w:pPr>
        <w:ind w:left="1440"/>
      </w:pPr>
      <w:r w:rsidRPr="2476638F">
        <w:rPr>
          <w:szCs w:val="24"/>
        </w:rPr>
        <w:t xml:space="preserve">“Match funding” or “match share” means cash or in-kind (non-cash) contributions provided by the Applicant/Recipient, </w:t>
      </w:r>
      <w:r w:rsidR="00377BB7" w:rsidRPr="2476638F">
        <w:rPr>
          <w:szCs w:val="24"/>
        </w:rPr>
        <w:t>subrecipients</w:t>
      </w:r>
      <w:r w:rsidRPr="2476638F">
        <w:rPr>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2476638F">
        <w:rPr>
          <w:szCs w:val="24"/>
        </w:rPr>
        <w:t>CEC</w:t>
      </w:r>
      <w:r w:rsidRPr="2476638F">
        <w:rPr>
          <w:szCs w:val="24"/>
        </w:rPr>
        <w:t xml:space="preserve">’s reimbursable share and Recipient’s match share of the project costs. Match share expenditures </w:t>
      </w:r>
      <w:r w:rsidR="00FD6BCD" w:rsidRPr="2476638F">
        <w:rPr>
          <w:szCs w:val="24"/>
        </w:rPr>
        <w:t>have</w:t>
      </w:r>
      <w:r w:rsidRPr="2476638F">
        <w:rPr>
          <w:szCs w:val="24"/>
        </w:rPr>
        <w:t xml:space="preserve"> the following requirements:</w:t>
      </w:r>
    </w:p>
    <w:p w14:paraId="2018D5A0" w14:textId="64C9FE07" w:rsidR="009F6B1D" w:rsidRPr="00050087" w:rsidRDefault="009F6B1D" w:rsidP="2476638F">
      <w:pPr>
        <w:spacing w:line="259" w:lineRule="auto"/>
        <w:ind w:left="2160"/>
      </w:pPr>
    </w:p>
    <w:p w14:paraId="73C82BAC" w14:textId="06A260B6" w:rsidR="009F6B1D" w:rsidRPr="00037199" w:rsidRDefault="00762DB5" w:rsidP="00164AC5">
      <w:pPr>
        <w:numPr>
          <w:ilvl w:val="0"/>
          <w:numId w:val="8"/>
        </w:numPr>
        <w:ind w:left="2160" w:hanging="720"/>
        <w:rPr>
          <w:szCs w:val="22"/>
        </w:rPr>
      </w:pPr>
      <w:r>
        <w:rPr>
          <w:szCs w:val="22"/>
        </w:rPr>
        <w:t>T</w:t>
      </w:r>
      <w:r w:rsidR="009F6B1D" w:rsidRPr="00037199">
        <w:rPr>
          <w:szCs w:val="22"/>
        </w:rPr>
        <w:t>otal match share must conform to the “Cash Match Share Requirement” contained in this solicitation.</w:t>
      </w:r>
    </w:p>
    <w:p w14:paraId="61404970" w14:textId="77777777" w:rsidR="009F6B1D" w:rsidRPr="00037199" w:rsidRDefault="009F6B1D" w:rsidP="009F6B1D">
      <w:pPr>
        <w:ind w:left="2160"/>
        <w:rPr>
          <w:szCs w:val="22"/>
        </w:rPr>
      </w:pPr>
    </w:p>
    <w:p w14:paraId="7A4E3383" w14:textId="71CF61B6" w:rsidR="009F6B1D" w:rsidRPr="00037199" w:rsidRDefault="009F6B1D" w:rsidP="00164AC5">
      <w:pPr>
        <w:numPr>
          <w:ilvl w:val="0"/>
          <w:numId w:val="8"/>
        </w:numPr>
        <w:ind w:left="2160" w:hanging="720"/>
        <w:rPr>
          <w:szCs w:val="22"/>
        </w:rPr>
      </w:pPr>
      <w:r w:rsidRPr="00037199">
        <w:rPr>
          <w:szCs w:val="22"/>
        </w:rPr>
        <w:t xml:space="preserve">All match share expenditures must conform to the terms and conditions of this solicitation and the resulting </w:t>
      </w:r>
      <w:r w:rsidR="00377BB7">
        <w:rPr>
          <w:szCs w:val="22"/>
        </w:rPr>
        <w:t xml:space="preserve">grant </w:t>
      </w:r>
      <w:r w:rsidRPr="00037199">
        <w:rPr>
          <w:szCs w:val="22"/>
        </w:rPr>
        <w:t>agreement</w:t>
      </w:r>
      <w:r w:rsidR="00AC52AF">
        <w:rPr>
          <w:szCs w:val="22"/>
        </w:rPr>
        <w:t>.</w:t>
      </w:r>
      <w:r w:rsidR="00C56631">
        <w:rPr>
          <w:szCs w:val="22"/>
        </w:rPr>
        <w:t xml:space="preserve"> </w:t>
      </w:r>
    </w:p>
    <w:p w14:paraId="251B2306" w14:textId="77777777" w:rsidR="009F6B1D" w:rsidRPr="00037199" w:rsidRDefault="009F6B1D" w:rsidP="009F6B1D">
      <w:pPr>
        <w:ind w:left="2160"/>
        <w:rPr>
          <w:szCs w:val="22"/>
        </w:rPr>
      </w:pPr>
    </w:p>
    <w:p w14:paraId="1D1B6F87" w14:textId="2B6D8899" w:rsidR="009F6B1D" w:rsidRPr="00037199" w:rsidRDefault="009F6B1D" w:rsidP="00164AC5">
      <w:pPr>
        <w:numPr>
          <w:ilvl w:val="0"/>
          <w:numId w:val="8"/>
        </w:numPr>
        <w:ind w:left="2160" w:hanging="720"/>
        <w:rPr>
          <w:szCs w:val="24"/>
        </w:rPr>
      </w:pPr>
      <w:r w:rsidRPr="045B89DF">
        <w:rPr>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45B89DF">
        <w:rPr>
          <w:szCs w:val="24"/>
        </w:rPr>
        <w:t>must</w:t>
      </w:r>
      <w:r w:rsidRPr="045B89DF">
        <w:rPr>
          <w:szCs w:val="24"/>
        </w:rPr>
        <w:t xml:space="preserve"> submit a letter </w:t>
      </w:r>
      <w:r w:rsidR="610973D7" w:rsidRPr="045B89DF">
        <w:rPr>
          <w:szCs w:val="24"/>
        </w:rPr>
        <w:t xml:space="preserve">of commitment </w:t>
      </w:r>
      <w:r w:rsidRPr="045B89DF">
        <w:rPr>
          <w:szCs w:val="24"/>
        </w:rPr>
        <w:t>from each match share partner identifying the source(s) and availability of match funding.</w:t>
      </w:r>
    </w:p>
    <w:p w14:paraId="4092596C" w14:textId="77777777" w:rsidR="009F6B1D" w:rsidRPr="00037199" w:rsidRDefault="009F6B1D" w:rsidP="009F6B1D">
      <w:pPr>
        <w:ind w:left="2160"/>
        <w:rPr>
          <w:szCs w:val="22"/>
        </w:rPr>
      </w:pPr>
    </w:p>
    <w:p w14:paraId="497D53BC" w14:textId="44A0AEFB" w:rsidR="009F6B1D" w:rsidRPr="00037199" w:rsidRDefault="009F6B1D" w:rsidP="00164AC5">
      <w:pPr>
        <w:numPr>
          <w:ilvl w:val="0"/>
          <w:numId w:val="8"/>
        </w:numPr>
        <w:ind w:left="2160" w:hanging="720"/>
        <w:rPr>
          <w:szCs w:val="22"/>
        </w:rPr>
      </w:pPr>
      <w:r w:rsidRPr="00037199">
        <w:rPr>
          <w:szCs w:val="22"/>
        </w:rPr>
        <w:t xml:space="preserve">During the term of the </w:t>
      </w:r>
      <w:r w:rsidR="00C21E1D">
        <w:rPr>
          <w:szCs w:val="22"/>
        </w:rPr>
        <w:t xml:space="preserve">grant </w:t>
      </w:r>
      <w:r w:rsidRPr="00037199">
        <w:rPr>
          <w:szCs w:val="22"/>
        </w:rPr>
        <w:t xml:space="preserve">agreement, Recipients will be required to document and verify all match share expenditures through invoices submitted to </w:t>
      </w:r>
      <w:r w:rsidR="00EE2C04" w:rsidRPr="00037199">
        <w:rPr>
          <w:szCs w:val="22"/>
        </w:rPr>
        <w:t>CEC</w:t>
      </w:r>
      <w:r w:rsidRPr="00037199">
        <w:rPr>
          <w:szCs w:val="22"/>
        </w:rPr>
        <w:t>.</w:t>
      </w:r>
    </w:p>
    <w:p w14:paraId="6802226B" w14:textId="77777777" w:rsidR="009F6B1D" w:rsidRPr="00037199" w:rsidRDefault="009F6B1D" w:rsidP="009F6B1D">
      <w:pPr>
        <w:ind w:left="2160"/>
        <w:rPr>
          <w:szCs w:val="22"/>
        </w:rPr>
      </w:pPr>
    </w:p>
    <w:p w14:paraId="34EF5BE2" w14:textId="694F71D7" w:rsidR="009F6B1D" w:rsidRPr="00037199" w:rsidRDefault="009F6B1D" w:rsidP="00164AC5">
      <w:pPr>
        <w:numPr>
          <w:ilvl w:val="0"/>
          <w:numId w:val="8"/>
        </w:numPr>
        <w:ind w:left="2160" w:hanging="720"/>
        <w:rPr>
          <w:szCs w:val="22"/>
        </w:rPr>
      </w:pPr>
      <w:r w:rsidRPr="00037199">
        <w:rPr>
          <w:szCs w:val="22"/>
        </w:rPr>
        <w:t>Match share funding may be in the form of cash or in-kind contributions such as donated labor hours</w:t>
      </w:r>
      <w:r w:rsidR="00737A6E">
        <w:rPr>
          <w:szCs w:val="22"/>
        </w:rPr>
        <w:t xml:space="preserve"> and</w:t>
      </w:r>
      <w:r w:rsidRPr="00037199">
        <w:rPr>
          <w:szCs w:val="22"/>
        </w:rPr>
        <w:t xml:space="preserve"> equipment. </w:t>
      </w:r>
    </w:p>
    <w:p w14:paraId="5DA4ADFD" w14:textId="77777777" w:rsidR="009F6B1D" w:rsidRPr="00037199" w:rsidRDefault="009F6B1D" w:rsidP="009F6B1D">
      <w:pPr>
        <w:ind w:left="2160"/>
        <w:rPr>
          <w:szCs w:val="22"/>
        </w:rPr>
      </w:pPr>
    </w:p>
    <w:p w14:paraId="11B3A84B" w14:textId="27CF2312" w:rsidR="009F6B1D" w:rsidRPr="00037199" w:rsidRDefault="009F6B1D" w:rsidP="00164AC5">
      <w:pPr>
        <w:numPr>
          <w:ilvl w:val="0"/>
          <w:numId w:val="8"/>
        </w:numPr>
        <w:ind w:left="2160" w:hanging="720"/>
        <w:rPr>
          <w:szCs w:val="22"/>
        </w:rPr>
      </w:pPr>
      <w:r w:rsidRPr="00037199">
        <w:rPr>
          <w:szCs w:val="22"/>
        </w:rPr>
        <w:t>Equipment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037199" w:rsidRDefault="009F6B1D" w:rsidP="009F6B1D">
      <w:pPr>
        <w:ind w:left="2160"/>
        <w:rPr>
          <w:szCs w:val="22"/>
        </w:rPr>
      </w:pPr>
    </w:p>
    <w:p w14:paraId="603012C9" w14:textId="6DDB8715" w:rsidR="009F6B1D" w:rsidRPr="00037199" w:rsidRDefault="009F6B1D" w:rsidP="00164AC5">
      <w:pPr>
        <w:numPr>
          <w:ilvl w:val="0"/>
          <w:numId w:val="8"/>
        </w:numPr>
        <w:ind w:left="2160" w:hanging="720"/>
        <w:rPr>
          <w:szCs w:val="22"/>
        </w:rPr>
      </w:pPr>
      <w:r w:rsidRPr="00037199">
        <w:rPr>
          <w:szCs w:val="22"/>
        </w:rPr>
        <w:t xml:space="preserve">Match share expenditures (cash and/or in-kind) must be documented, reasonable, allowable, and allocable to the project as determined by </w:t>
      </w:r>
      <w:r w:rsidR="00EE2C04" w:rsidRPr="00037199">
        <w:rPr>
          <w:szCs w:val="22"/>
        </w:rPr>
        <w:t>CEC</w:t>
      </w:r>
      <w:r w:rsidRPr="00037199">
        <w:rPr>
          <w:szCs w:val="22"/>
        </w:rPr>
        <w:t>.</w:t>
      </w:r>
      <w:r w:rsidR="003A34B2">
        <w:rPr>
          <w:szCs w:val="22"/>
        </w:rPr>
        <w:t xml:space="preserve"> </w:t>
      </w:r>
      <w:r w:rsidR="00C66C36">
        <w:rPr>
          <w:szCs w:val="22"/>
        </w:rPr>
        <w:t xml:space="preserve">Applicants proposed for award and that </w:t>
      </w:r>
      <w:r w:rsidR="00C66C36">
        <w:rPr>
          <w:szCs w:val="22"/>
        </w:rPr>
        <w:lastRenderedPageBreak/>
        <w:t>include</w:t>
      </w:r>
      <w:r w:rsidR="00F832BC">
        <w:rPr>
          <w:szCs w:val="22"/>
        </w:rPr>
        <w:t>d</w:t>
      </w:r>
      <w:r w:rsidR="00C66C36">
        <w:rPr>
          <w:szCs w:val="22"/>
        </w:rPr>
        <w:t xml:space="preserve"> in-kind match share </w:t>
      </w:r>
      <w:r w:rsidR="00F832BC">
        <w:rPr>
          <w:szCs w:val="22"/>
        </w:rPr>
        <w:t xml:space="preserve">in their budget </w:t>
      </w:r>
      <w:r w:rsidR="00C66C36">
        <w:rPr>
          <w:szCs w:val="22"/>
        </w:rPr>
        <w:t xml:space="preserve">will need to </w:t>
      </w:r>
      <w:r w:rsidR="0015167B">
        <w:rPr>
          <w:szCs w:val="22"/>
        </w:rPr>
        <w:t xml:space="preserve">prepare a written description of in-kind match as explained in </w:t>
      </w:r>
      <w:r w:rsidR="009747B7">
        <w:rPr>
          <w:szCs w:val="22"/>
        </w:rPr>
        <w:t xml:space="preserve">Section 3.9 Flexible Match in the </w:t>
      </w:r>
      <w:hyperlink r:id="rId75" w:history="1">
        <w:r w:rsidR="0015167B" w:rsidRPr="00507D3E">
          <w:rPr>
            <w:rStyle w:val="Hyperlink"/>
            <w:szCs w:val="22"/>
          </w:rPr>
          <w:t>Local Assistance Procedures Manual</w:t>
        </w:r>
      </w:hyperlink>
      <w:r w:rsidR="0015167B" w:rsidRPr="0015167B">
        <w:rPr>
          <w:szCs w:val="22"/>
        </w:rPr>
        <w:t xml:space="preserve"> </w:t>
      </w:r>
      <w:r w:rsidR="00F832BC">
        <w:rPr>
          <w:szCs w:val="22"/>
        </w:rPr>
        <w:t xml:space="preserve">(found </w:t>
      </w:r>
      <w:r w:rsidR="0015167B" w:rsidRPr="0015167B">
        <w:rPr>
          <w:szCs w:val="22"/>
        </w:rPr>
        <w:t>at https://dot.ca.gov/programs/local-assistance/guidelines-and-procedures/local-assistance-procedures-manual-lapm</w:t>
      </w:r>
      <w:r w:rsidR="00F832BC">
        <w:rPr>
          <w:szCs w:val="22"/>
        </w:rPr>
        <w:t>)</w:t>
      </w:r>
      <w:r w:rsidR="0015167B" w:rsidRPr="0015167B">
        <w:rPr>
          <w:szCs w:val="22"/>
        </w:rPr>
        <w:t xml:space="preserve"> </w:t>
      </w:r>
      <w:r w:rsidR="009747B7">
        <w:rPr>
          <w:szCs w:val="22"/>
        </w:rPr>
        <w:t>for</w:t>
      </w:r>
      <w:r w:rsidR="00507D3E">
        <w:rPr>
          <w:szCs w:val="22"/>
        </w:rPr>
        <w:t xml:space="preserve"> </w:t>
      </w:r>
      <w:r w:rsidR="003A34B2" w:rsidRPr="003A34B2">
        <w:rPr>
          <w:szCs w:val="22"/>
        </w:rPr>
        <w:t xml:space="preserve">FHWA </w:t>
      </w:r>
      <w:r w:rsidR="00507D3E">
        <w:rPr>
          <w:szCs w:val="22"/>
        </w:rPr>
        <w:t>approval of the</w:t>
      </w:r>
      <w:r w:rsidR="003A34B2" w:rsidRPr="003A34B2">
        <w:rPr>
          <w:szCs w:val="22"/>
        </w:rPr>
        <w:t xml:space="preserve"> in-kind match share sources.</w:t>
      </w:r>
    </w:p>
    <w:p w14:paraId="2F4D8A94" w14:textId="77777777" w:rsidR="00826E6F" w:rsidRPr="00037199" w:rsidRDefault="00826E6F" w:rsidP="00826E6F">
      <w:pPr>
        <w:ind w:left="2160"/>
        <w:rPr>
          <w:szCs w:val="22"/>
        </w:rPr>
      </w:pPr>
    </w:p>
    <w:p w14:paraId="4CCA1646" w14:textId="1FC300C1" w:rsidR="00826E6F" w:rsidRPr="00037199" w:rsidRDefault="00826E6F" w:rsidP="00164AC5">
      <w:pPr>
        <w:numPr>
          <w:ilvl w:val="0"/>
          <w:numId w:val="8"/>
        </w:numPr>
        <w:ind w:left="2160" w:hanging="720"/>
      </w:pPr>
      <w:r>
        <w:t xml:space="preserve">Match share expenditures are allowable under an agreement only if they are incurred after </w:t>
      </w:r>
      <w:r w:rsidR="00EC579F" w:rsidRPr="007D2737">
        <w:rPr>
          <w:szCs w:val="24"/>
        </w:rPr>
        <w:t xml:space="preserve">an agreement is fully executed with the CEC and after </w:t>
      </w:r>
      <w:r w:rsidR="00E82218">
        <w:rPr>
          <w:szCs w:val="24"/>
        </w:rPr>
        <w:t xml:space="preserve">E-76 </w:t>
      </w:r>
      <w:r w:rsidR="00EC579F" w:rsidRPr="007D2737">
        <w:rPr>
          <w:szCs w:val="24"/>
        </w:rPr>
        <w:t xml:space="preserve">approval </w:t>
      </w:r>
      <w:r w:rsidR="00866D97" w:rsidRPr="007D2737">
        <w:rPr>
          <w:szCs w:val="24"/>
        </w:rPr>
        <w:t>(FHWA</w:t>
      </w:r>
      <w:r w:rsidR="00CE2B7A" w:rsidRPr="007D2737">
        <w:rPr>
          <w:szCs w:val="24"/>
        </w:rPr>
        <w:t xml:space="preserve"> authorization</w:t>
      </w:r>
      <w:r w:rsidR="00866D97" w:rsidRPr="007D2737">
        <w:rPr>
          <w:szCs w:val="24"/>
        </w:rPr>
        <w:t>)</w:t>
      </w:r>
      <w:r w:rsidR="00CE2B7A" w:rsidRPr="007D2737">
        <w:rPr>
          <w:szCs w:val="24"/>
        </w:rPr>
        <w:t xml:space="preserve"> </w:t>
      </w:r>
      <w:r w:rsidR="00EC579F" w:rsidRPr="007D2737">
        <w:rPr>
          <w:szCs w:val="24"/>
        </w:rPr>
        <w:t xml:space="preserve">for the relevant project phase. Match expenditures incurred prior to the execution of an agreement and before </w:t>
      </w:r>
      <w:r w:rsidR="00D312E3">
        <w:rPr>
          <w:szCs w:val="24"/>
        </w:rPr>
        <w:t>E-76 approval (</w:t>
      </w:r>
      <w:r w:rsidR="00D10C34" w:rsidRPr="007D2737">
        <w:rPr>
          <w:szCs w:val="24"/>
        </w:rPr>
        <w:t>FHWA authorization</w:t>
      </w:r>
      <w:r w:rsidR="00D312E3">
        <w:rPr>
          <w:szCs w:val="24"/>
        </w:rPr>
        <w:t>)</w:t>
      </w:r>
      <w:r w:rsidR="00EC579F" w:rsidRPr="007D2737">
        <w:rPr>
          <w:szCs w:val="24"/>
        </w:rPr>
        <w:t xml:space="preserve"> will not be eligible costs. CEC is not liable for Applicant’s match share costs if the grant is not executed, if execution is delayed, or if the match share expenditure is not allowable </w:t>
      </w:r>
      <w:r w:rsidR="006E0420">
        <w:rPr>
          <w:szCs w:val="24"/>
        </w:rPr>
        <w:t xml:space="preserve">by FHWA or </w:t>
      </w:r>
      <w:r w:rsidR="00EC579F" w:rsidRPr="007D2737">
        <w:rPr>
          <w:szCs w:val="24"/>
        </w:rPr>
        <w:t xml:space="preserve">under the terms and conditions of the grant. </w:t>
      </w:r>
      <w:r>
        <w:t xml:space="preserve">Please note that non-match expenditures incurred prior to agreement execution </w:t>
      </w:r>
      <w:r w:rsidR="42169A78">
        <w:t xml:space="preserve">and </w:t>
      </w:r>
      <w:r w:rsidR="00F74759">
        <w:t>E-76 approval (</w:t>
      </w:r>
      <w:r w:rsidR="42169A78">
        <w:t>FHWA authorization</w:t>
      </w:r>
      <w:r w:rsidR="00F74759">
        <w:t>)</w:t>
      </w:r>
      <w:r w:rsidR="42169A78">
        <w:t xml:space="preserve"> </w:t>
      </w:r>
      <w:r>
        <w:t>are not reimbursable.</w:t>
      </w:r>
    </w:p>
    <w:p w14:paraId="7FC55258" w14:textId="77777777" w:rsidR="00F378CB" w:rsidRPr="009F6B1D" w:rsidRDefault="00F378CB" w:rsidP="009F6B1D">
      <w:pPr>
        <w:ind w:left="2160"/>
        <w:rPr>
          <w:szCs w:val="22"/>
        </w:rPr>
      </w:pPr>
    </w:p>
    <w:p w14:paraId="4FF4EEC8" w14:textId="77777777" w:rsidR="00223C3C" w:rsidRPr="00037199" w:rsidRDefault="00223C3C" w:rsidP="00164AC5">
      <w:pPr>
        <w:numPr>
          <w:ilvl w:val="0"/>
          <w:numId w:val="20"/>
        </w:numPr>
        <w:ind w:left="1440" w:hanging="720"/>
        <w:jc w:val="both"/>
        <w:rPr>
          <w:b/>
          <w:szCs w:val="24"/>
        </w:rPr>
      </w:pPr>
      <w:r w:rsidRPr="00037199">
        <w:rPr>
          <w:b/>
          <w:szCs w:val="24"/>
        </w:rPr>
        <w:t>Cash Match</w:t>
      </w:r>
      <w:r w:rsidR="00F378CB" w:rsidRPr="00037199">
        <w:rPr>
          <w:b/>
          <w:szCs w:val="24"/>
        </w:rPr>
        <w:t xml:space="preserve"> Share Requirement</w:t>
      </w:r>
    </w:p>
    <w:p w14:paraId="02E775EA" w14:textId="16AA0923" w:rsidR="00223C3C" w:rsidRPr="00D81EDD" w:rsidRDefault="00223C3C" w:rsidP="00223C3C">
      <w:pPr>
        <w:ind w:left="1440"/>
      </w:pPr>
      <w:r>
        <w:t xml:space="preserve">Applications must include a minimum </w:t>
      </w:r>
      <w:r w:rsidR="71925F2D" w:rsidRPr="00D81EDD">
        <w:t>50</w:t>
      </w:r>
      <w:r w:rsidRPr="00D81EDD">
        <w:t xml:space="preserve"> percent </w:t>
      </w:r>
      <w:r w:rsidRPr="00D81EDD">
        <w:rPr>
          <w:b/>
          <w:i/>
        </w:rPr>
        <w:t>cash</w:t>
      </w:r>
      <w:r w:rsidRPr="00D81EDD">
        <w:t xml:space="preserve"> match share</w:t>
      </w:r>
      <w:r w:rsidR="47C3A236" w:rsidRPr="00D81EDD">
        <w:t>.</w:t>
      </w:r>
    </w:p>
    <w:p w14:paraId="04A34989" w14:textId="303CCB58" w:rsidR="00223C3C" w:rsidRPr="00037199" w:rsidRDefault="00F378CB" w:rsidP="00223C3C">
      <w:pPr>
        <w:ind w:left="1440"/>
        <w:rPr>
          <w:szCs w:val="24"/>
        </w:rPr>
      </w:pPr>
      <w:r w:rsidRPr="04ACA070">
        <w:rPr>
          <w:szCs w:val="24"/>
        </w:rPr>
        <w:t xml:space="preserve">Cash match means the net of any funds actually expended by the </w:t>
      </w:r>
      <w:r w:rsidR="6CE709A3" w:rsidRPr="04ACA070">
        <w:rPr>
          <w:szCs w:val="24"/>
        </w:rPr>
        <w:t>A</w:t>
      </w:r>
      <w:r w:rsidRPr="04ACA070">
        <w:rPr>
          <w:szCs w:val="24"/>
        </w:rPr>
        <w:t xml:space="preserve">pplicant for the project. Net means after any sort of discount or rebate is applied. Expenditures for </w:t>
      </w:r>
      <w:r w:rsidR="00B75BD7" w:rsidRPr="04ACA070">
        <w:rPr>
          <w:szCs w:val="24"/>
        </w:rPr>
        <w:t>A</w:t>
      </w:r>
      <w:r w:rsidRPr="04ACA070">
        <w:rPr>
          <w:szCs w:val="24"/>
        </w:rPr>
        <w:t xml:space="preserve">pplicant’s compensated labor hours, including allowable fringe benefit and overhead rates, travel, materials, supplies, equipment, </w:t>
      </w:r>
      <w:r w:rsidR="003F6900" w:rsidRPr="04ACA070">
        <w:rPr>
          <w:szCs w:val="24"/>
        </w:rPr>
        <w:t>subrecipient</w:t>
      </w:r>
      <w:r w:rsidRPr="04ACA070">
        <w:rPr>
          <w:szCs w:val="24"/>
        </w:rPr>
        <w:t xml:space="preserve"> costs, and other miscellaneous expenditures may be claimed as cash match if the expenditures are included in the approved agreement budget, paid in full </w:t>
      </w:r>
      <w:proofErr w:type="gramStart"/>
      <w:r w:rsidRPr="04ACA070">
        <w:rPr>
          <w:szCs w:val="24"/>
        </w:rPr>
        <w:t>with</w:t>
      </w:r>
      <w:proofErr w:type="gramEnd"/>
      <w:r w:rsidRPr="04ACA070">
        <w:rPr>
          <w:szCs w:val="24"/>
        </w:rPr>
        <w:t xml:space="preserve"> funding sources other than grant funds, and supported with appropriate documentation, including proof of payment. For indirect overhead, bac</w:t>
      </w:r>
      <w:r w:rsidR="007A369A" w:rsidRPr="04ACA070">
        <w:rPr>
          <w:szCs w:val="24"/>
        </w:rPr>
        <w:t>kup documentation, such as a co</w:t>
      </w:r>
      <w:r w:rsidRPr="04ACA070">
        <w:rPr>
          <w:szCs w:val="24"/>
        </w:rPr>
        <w:t>st allocation plan based on actual expenditures incurred and paid, is required. Cost allocations must be reasonable and allocable to the proposed project.</w:t>
      </w:r>
    </w:p>
    <w:p w14:paraId="0748C7BD" w14:textId="77777777" w:rsidR="00223C3C" w:rsidRPr="00037199" w:rsidRDefault="00223C3C" w:rsidP="00223C3C">
      <w:pPr>
        <w:ind w:firstLine="720"/>
        <w:jc w:val="both"/>
        <w:rPr>
          <w:szCs w:val="24"/>
        </w:rPr>
      </w:pPr>
    </w:p>
    <w:p w14:paraId="0E2347A3" w14:textId="77777777" w:rsidR="00223C3C" w:rsidRPr="00037199" w:rsidRDefault="00F378CB" w:rsidP="00164AC5">
      <w:pPr>
        <w:numPr>
          <w:ilvl w:val="0"/>
          <w:numId w:val="20"/>
        </w:numPr>
        <w:ind w:left="1440" w:hanging="720"/>
        <w:jc w:val="both"/>
        <w:rPr>
          <w:b/>
          <w:szCs w:val="24"/>
        </w:rPr>
      </w:pPr>
      <w:r w:rsidRPr="00037199">
        <w:rPr>
          <w:b/>
          <w:szCs w:val="24"/>
        </w:rPr>
        <w:t>In-Kind Match Share</w:t>
      </w:r>
    </w:p>
    <w:p w14:paraId="7A7FF7CA" w14:textId="77777777" w:rsidR="0073644E" w:rsidRPr="00037199" w:rsidRDefault="0073644E" w:rsidP="00223C3C">
      <w:pPr>
        <w:ind w:left="1440"/>
        <w:rPr>
          <w:szCs w:val="24"/>
        </w:rPr>
      </w:pPr>
      <w:r w:rsidRPr="00037199">
        <w:rPr>
          <w:szCs w:val="24"/>
        </w:rPr>
        <w:t>The balance of the total match share requirement beyond the cash match share requirement (if any) may be met through in-kind match share contributions.</w:t>
      </w:r>
    </w:p>
    <w:p w14:paraId="1A51F217" w14:textId="77777777" w:rsidR="0073644E" w:rsidRDefault="0073644E" w:rsidP="00223C3C">
      <w:pPr>
        <w:ind w:left="1440"/>
        <w:rPr>
          <w:sz w:val="28"/>
          <w:szCs w:val="28"/>
        </w:rPr>
      </w:pPr>
    </w:p>
    <w:p w14:paraId="2E477A20" w14:textId="58959711" w:rsidR="005D599E" w:rsidRPr="007D2737" w:rsidRDefault="005D599E" w:rsidP="005D599E">
      <w:pPr>
        <w:ind w:left="1440"/>
        <w:rPr>
          <w:szCs w:val="24"/>
        </w:rPr>
      </w:pPr>
      <w:r w:rsidRPr="007D2737">
        <w:rPr>
          <w:szCs w:val="24"/>
        </w:rPr>
        <w:t xml:space="preserve">Applications that move to an executed agreement will require FHWA approval </w:t>
      </w:r>
      <w:r w:rsidR="00FC0841">
        <w:rPr>
          <w:szCs w:val="24"/>
        </w:rPr>
        <w:t xml:space="preserve">(separate from E-76 approval) </w:t>
      </w:r>
      <w:r w:rsidRPr="007D2737">
        <w:rPr>
          <w:szCs w:val="24"/>
        </w:rPr>
        <w:t xml:space="preserve">for any in-kind match funding sources. Applicants may propose in-kind match funding in their proposal’s budget. If FHWA does not approve the in-kind match source(s), then the Applicant must replace the ineligible match sources and will still be liable for the total match funding in the grant agreement. Please reference Section 3.9 Flexible Match in the </w:t>
      </w:r>
      <w:hyperlink r:id="rId76" w:history="1">
        <w:r w:rsidRPr="007D2737">
          <w:rPr>
            <w:rStyle w:val="Hyperlink"/>
            <w:szCs w:val="24"/>
          </w:rPr>
          <w:t>Local Assistance Procedures Manual</w:t>
        </w:r>
      </w:hyperlink>
      <w:r w:rsidRPr="007D2737">
        <w:rPr>
          <w:szCs w:val="24"/>
        </w:rPr>
        <w:t xml:space="preserve"> at https://dot.ca.gov/programs/local-assistance/guidelines-and-</w:t>
      </w:r>
      <w:r w:rsidRPr="007D2737">
        <w:rPr>
          <w:szCs w:val="24"/>
        </w:rPr>
        <w:lastRenderedPageBreak/>
        <w:t>procedures/local-assistance-procedures-manual-lapm for more information.</w:t>
      </w:r>
    </w:p>
    <w:p w14:paraId="6E3AF3B8" w14:textId="77777777" w:rsidR="005D599E" w:rsidRPr="00037199" w:rsidRDefault="005D599E" w:rsidP="00223C3C">
      <w:pPr>
        <w:ind w:left="1440"/>
        <w:rPr>
          <w:sz w:val="28"/>
          <w:szCs w:val="28"/>
        </w:rPr>
      </w:pPr>
    </w:p>
    <w:p w14:paraId="54C1153A" w14:textId="2AAA3439" w:rsidR="0073644E" w:rsidRPr="00037199" w:rsidRDefault="0073644E" w:rsidP="00223C3C">
      <w:pPr>
        <w:ind w:left="1440"/>
      </w:pPr>
      <w:r>
        <w:t>In-kind match share contributions are</w:t>
      </w:r>
      <w:r w:rsidR="002151A5">
        <w:t>: 1)</w:t>
      </w:r>
      <w:r>
        <w:t xml:space="preserve"> non-cash contributions provided by the </w:t>
      </w:r>
      <w:r w:rsidR="003F6900">
        <w:t>A</w:t>
      </w:r>
      <w:r>
        <w:t xml:space="preserve">pplicant; </w:t>
      </w:r>
      <w:r w:rsidR="002151A5">
        <w:t xml:space="preserve">2) </w:t>
      </w:r>
      <w:r>
        <w:t xml:space="preserve">cash or non-cash contributions provided by </w:t>
      </w:r>
      <w:r w:rsidR="003F6900">
        <w:t>subrecipients</w:t>
      </w:r>
      <w:r>
        <w:t xml:space="preserve">; and </w:t>
      </w:r>
      <w:r w:rsidR="002151A5">
        <w:t xml:space="preserve">3) </w:t>
      </w:r>
      <w:r>
        <w:t xml:space="preserve">cash or non-cash contributions provided by other third parties. Applicant in-kind match share can be in the form of </w:t>
      </w:r>
      <w:r w:rsidR="002151A5">
        <w:t>volunteer</w:t>
      </w:r>
      <w:r>
        <w:t xml:space="preserve"> labor</w:t>
      </w:r>
      <w:r w:rsidDel="00392999">
        <w:t xml:space="preserve">, </w:t>
      </w:r>
      <w:r w:rsidR="00073440">
        <w:t xml:space="preserve">existing </w:t>
      </w:r>
      <w:r>
        <w:t xml:space="preserve">equipment, </w:t>
      </w:r>
      <w:r w:rsidR="00073440">
        <w:t xml:space="preserve">existing </w:t>
      </w:r>
      <w:r>
        <w:t xml:space="preserve">supplies, </w:t>
      </w:r>
      <w:r w:rsidR="00116C65">
        <w:t xml:space="preserve">and </w:t>
      </w:r>
      <w:r>
        <w:t xml:space="preserve">services </w:t>
      </w:r>
      <w:r w:rsidR="00073440">
        <w:t>provided by a third-party or subcontract</w:t>
      </w:r>
      <w:r>
        <w:t xml:space="preserve">. The value of in-kind match is based on the fair market value of the goods and services provided at the time it is claimed as match. </w:t>
      </w:r>
      <w:r w:rsidR="007A369A">
        <w:t>In-kind match share must be included in the agreement budget and supported with appropriate documentation. Cost allocations must be reasonable and allocable to the proposed project.</w:t>
      </w:r>
    </w:p>
    <w:p w14:paraId="20C05366" w14:textId="77777777" w:rsidR="00223C3C" w:rsidRPr="00037199" w:rsidRDefault="00223C3C" w:rsidP="00223C3C">
      <w:pPr>
        <w:ind w:left="1440"/>
        <w:rPr>
          <w:szCs w:val="24"/>
        </w:rPr>
      </w:pPr>
    </w:p>
    <w:p w14:paraId="66D3043D" w14:textId="77777777" w:rsidR="00D87BD2" w:rsidRPr="00037199" w:rsidRDefault="00D87BD2" w:rsidP="00164AC5">
      <w:pPr>
        <w:numPr>
          <w:ilvl w:val="0"/>
          <w:numId w:val="20"/>
        </w:numPr>
        <w:ind w:left="1440" w:hanging="720"/>
        <w:jc w:val="both"/>
        <w:rPr>
          <w:b/>
          <w:szCs w:val="24"/>
        </w:rPr>
      </w:pPr>
      <w:r w:rsidRPr="00037199">
        <w:rPr>
          <w:b/>
          <w:szCs w:val="24"/>
        </w:rPr>
        <w:t>Match Share Restrictions</w:t>
      </w:r>
    </w:p>
    <w:p w14:paraId="4856815C" w14:textId="77777777" w:rsidR="008E75A7" w:rsidRPr="00037199" w:rsidRDefault="008E75A7" w:rsidP="008E75A7">
      <w:pPr>
        <w:ind w:left="2160"/>
        <w:rPr>
          <w:szCs w:val="22"/>
        </w:rPr>
      </w:pPr>
    </w:p>
    <w:p w14:paraId="13430292" w14:textId="4DEF0016" w:rsidR="00D87BD2" w:rsidRPr="00037199" w:rsidRDefault="00AB1712" w:rsidP="00164AC5">
      <w:pPr>
        <w:numPr>
          <w:ilvl w:val="0"/>
          <w:numId w:val="22"/>
        </w:numPr>
        <w:ind w:left="2160" w:hanging="720"/>
      </w:pPr>
      <w:r w:rsidRPr="6978092C">
        <w:rPr>
          <w:b/>
          <w:i/>
        </w:rPr>
        <w:t xml:space="preserve">Other Sources of </w:t>
      </w:r>
      <w:r w:rsidR="00EE2C04" w:rsidRPr="6978092C">
        <w:rPr>
          <w:b/>
          <w:i/>
        </w:rPr>
        <w:t>CEC</w:t>
      </w:r>
      <w:r w:rsidRPr="6978092C">
        <w:rPr>
          <w:b/>
          <w:i/>
        </w:rPr>
        <w:t xml:space="preserve"> Funding</w:t>
      </w:r>
      <w:r>
        <w:t xml:space="preserve"> – </w:t>
      </w:r>
      <w:r w:rsidR="00D87BD2">
        <w:t xml:space="preserve">Other sources of </w:t>
      </w:r>
      <w:r w:rsidR="00EE2C04">
        <w:t>CEC</w:t>
      </w:r>
      <w:r w:rsidR="00D87BD2">
        <w:t xml:space="preserve"> funding may not be </w:t>
      </w:r>
      <w:r w:rsidR="002A604A">
        <w:t>claimed</w:t>
      </w:r>
      <w:r w:rsidR="00D87BD2">
        <w:t xml:space="preserve"> as match share.</w:t>
      </w:r>
      <w:r w:rsidR="54C4F15A">
        <w:t xml:space="preserve"> This includes block grants funded by the CEC.</w:t>
      </w:r>
      <w:r w:rsidR="00D87BD2">
        <w:t xml:space="preserve"> </w:t>
      </w:r>
    </w:p>
    <w:p w14:paraId="2B9BB908" w14:textId="3F85329D" w:rsidR="00D87BD2" w:rsidRPr="00037199" w:rsidRDefault="00D87BD2" w:rsidP="000E56FE">
      <w:pPr>
        <w:ind w:left="2160"/>
        <w:rPr>
          <w:szCs w:val="24"/>
        </w:rPr>
      </w:pPr>
    </w:p>
    <w:p w14:paraId="57C1FCD5" w14:textId="77777777" w:rsidR="00B4767C" w:rsidRDefault="21CE2AED" w:rsidP="00164AC5">
      <w:pPr>
        <w:numPr>
          <w:ilvl w:val="0"/>
          <w:numId w:val="22"/>
        </w:numPr>
        <w:ind w:left="2160" w:hanging="720"/>
        <w:rPr>
          <w:rFonts w:eastAsia="Arial"/>
        </w:rPr>
      </w:pPr>
      <w:r w:rsidRPr="00A75B91">
        <w:rPr>
          <w:rFonts w:eastAsia="Arial"/>
          <w:b/>
          <w:i/>
        </w:rPr>
        <w:t xml:space="preserve">Other </w:t>
      </w:r>
      <w:r w:rsidR="00756BC2">
        <w:rPr>
          <w:rFonts w:eastAsia="Arial"/>
          <w:b/>
          <w:bCs/>
          <w:i/>
          <w:iCs/>
        </w:rPr>
        <w:t>S</w:t>
      </w:r>
      <w:r w:rsidRPr="006756E7">
        <w:rPr>
          <w:rFonts w:eastAsia="Arial"/>
          <w:b/>
          <w:i/>
        </w:rPr>
        <w:t xml:space="preserve">ources of Federal Funding </w:t>
      </w:r>
      <w:r w:rsidRPr="006756E7">
        <w:rPr>
          <w:rFonts w:eastAsia="Arial"/>
        </w:rPr>
        <w:t>- Other sources of Federal funding may not be claimed as match share, unless specifically allowed by law to be used as non-Federal match.</w:t>
      </w:r>
    </w:p>
    <w:p w14:paraId="480D5EB4" w14:textId="77777777" w:rsidR="00B4767C" w:rsidRDefault="00B4767C" w:rsidP="003323C4">
      <w:pPr>
        <w:ind w:left="2160"/>
        <w:rPr>
          <w:rFonts w:eastAsia="Arial"/>
        </w:rPr>
      </w:pPr>
    </w:p>
    <w:p w14:paraId="43B7EB52" w14:textId="5EA23643" w:rsidR="00D87BD2" w:rsidRPr="00037199" w:rsidRDefault="00B4767C" w:rsidP="00164AC5">
      <w:pPr>
        <w:numPr>
          <w:ilvl w:val="0"/>
          <w:numId w:val="22"/>
        </w:numPr>
        <w:ind w:left="2160" w:hanging="720"/>
        <w:rPr>
          <w:rFonts w:eastAsia="Arial"/>
        </w:rPr>
      </w:pPr>
      <w:r w:rsidRPr="00B4767C">
        <w:rPr>
          <w:rFonts w:eastAsia="Arial"/>
          <w:b/>
          <w:bCs/>
          <w:i/>
          <w:iCs/>
        </w:rPr>
        <w:t xml:space="preserve">Funds </w:t>
      </w:r>
      <w:r>
        <w:rPr>
          <w:rFonts w:eastAsia="Arial"/>
          <w:b/>
          <w:bCs/>
          <w:i/>
          <w:iCs/>
        </w:rPr>
        <w:t>A</w:t>
      </w:r>
      <w:r w:rsidRPr="00B4767C">
        <w:rPr>
          <w:rFonts w:eastAsia="Arial"/>
          <w:b/>
          <w:bCs/>
          <w:i/>
          <w:iCs/>
        </w:rPr>
        <w:t xml:space="preserve">lready </w:t>
      </w:r>
      <w:r>
        <w:rPr>
          <w:rFonts w:eastAsia="Arial"/>
          <w:b/>
          <w:bCs/>
          <w:i/>
          <w:iCs/>
        </w:rPr>
        <w:t>E</w:t>
      </w:r>
      <w:r w:rsidRPr="00B4767C">
        <w:rPr>
          <w:rFonts w:eastAsia="Arial"/>
          <w:b/>
          <w:bCs/>
          <w:i/>
          <w:iCs/>
        </w:rPr>
        <w:t xml:space="preserve">xpended or </w:t>
      </w:r>
      <w:r>
        <w:rPr>
          <w:rFonts w:eastAsia="Arial"/>
          <w:b/>
          <w:bCs/>
          <w:i/>
          <w:iCs/>
        </w:rPr>
        <w:t>O</w:t>
      </w:r>
      <w:r w:rsidRPr="00B4767C">
        <w:rPr>
          <w:rFonts w:eastAsia="Arial"/>
          <w:b/>
          <w:bCs/>
          <w:i/>
          <w:iCs/>
        </w:rPr>
        <w:t xml:space="preserve">therwise </w:t>
      </w:r>
      <w:r>
        <w:rPr>
          <w:rFonts w:eastAsia="Arial"/>
          <w:b/>
          <w:bCs/>
          <w:i/>
          <w:iCs/>
        </w:rPr>
        <w:t>E</w:t>
      </w:r>
      <w:r w:rsidRPr="00B4767C">
        <w:rPr>
          <w:rFonts w:eastAsia="Arial"/>
          <w:b/>
          <w:bCs/>
          <w:i/>
          <w:iCs/>
        </w:rPr>
        <w:t>ncumbered</w:t>
      </w:r>
      <w:r w:rsidRPr="00B4767C">
        <w:rPr>
          <w:rFonts w:eastAsia="Arial"/>
        </w:rPr>
        <w:t xml:space="preserve"> – Applicants cannot claim funds that have already been expended or otherwise encumbered as match share. Match share expenditures are only allowable if they are incurred after an agreement is fully executed with the CEC and after</w:t>
      </w:r>
      <w:r w:rsidR="00F74759">
        <w:rPr>
          <w:rFonts w:eastAsia="Arial"/>
        </w:rPr>
        <w:t xml:space="preserve"> E-76 approval</w:t>
      </w:r>
      <w:r w:rsidRPr="00B4767C">
        <w:rPr>
          <w:rFonts w:eastAsia="Arial"/>
        </w:rPr>
        <w:t xml:space="preserve"> </w:t>
      </w:r>
      <w:r w:rsidR="00F74759">
        <w:rPr>
          <w:rFonts w:eastAsia="Arial"/>
        </w:rPr>
        <w:t>(</w:t>
      </w:r>
      <w:r w:rsidRPr="00B4767C">
        <w:rPr>
          <w:rFonts w:eastAsia="Arial"/>
        </w:rPr>
        <w:t>FHWA’s authorization of the project</w:t>
      </w:r>
      <w:r w:rsidR="00E8563A">
        <w:rPr>
          <w:rFonts w:eastAsia="Arial"/>
        </w:rPr>
        <w:t>)</w:t>
      </w:r>
      <w:r w:rsidRPr="00B4767C">
        <w:rPr>
          <w:rFonts w:eastAsia="Arial"/>
        </w:rPr>
        <w:t>.</w:t>
      </w:r>
      <w:r w:rsidR="21CE2AED" w:rsidRPr="4D6DB4BC">
        <w:rPr>
          <w:rFonts w:eastAsia="Arial"/>
        </w:rPr>
        <w:t xml:space="preserve"> </w:t>
      </w:r>
    </w:p>
    <w:p w14:paraId="7B8BC2E0" w14:textId="77777777" w:rsidR="00153BD5" w:rsidRPr="00037199" w:rsidRDefault="00153BD5" w:rsidP="003323C4">
      <w:pPr>
        <w:ind w:left="2160"/>
        <w:rPr>
          <w:szCs w:val="22"/>
        </w:rPr>
      </w:pPr>
    </w:p>
    <w:p w14:paraId="01BA521D" w14:textId="77777777" w:rsidR="005F203D" w:rsidRPr="007D2737" w:rsidRDefault="005F203D" w:rsidP="005F203D">
      <w:pPr>
        <w:numPr>
          <w:ilvl w:val="0"/>
          <w:numId w:val="22"/>
        </w:numPr>
        <w:ind w:left="2160" w:hanging="720"/>
        <w:rPr>
          <w:b/>
          <w:i/>
          <w:szCs w:val="24"/>
        </w:rPr>
      </w:pPr>
      <w:r w:rsidRPr="007D2737">
        <w:rPr>
          <w:b/>
          <w:i/>
          <w:szCs w:val="24"/>
        </w:rPr>
        <w:t>Investor-Owned Utility Program Funding</w:t>
      </w:r>
      <w:r w:rsidRPr="007D2737">
        <w:rPr>
          <w:szCs w:val="24"/>
        </w:rPr>
        <w:t xml:space="preserve"> – Funding provided through utility tariff programs may not be used as match share.</w:t>
      </w:r>
    </w:p>
    <w:p w14:paraId="326D249B" w14:textId="77777777" w:rsidR="003E74EC" w:rsidRPr="003323C4" w:rsidRDefault="003E74EC" w:rsidP="003323C4">
      <w:pPr>
        <w:ind w:left="2160"/>
        <w:rPr>
          <w:rFonts w:ascii="Tahoma" w:hAnsi="Tahoma" w:cs="Tahoma"/>
          <w:szCs w:val="24"/>
        </w:rPr>
      </w:pPr>
    </w:p>
    <w:p w14:paraId="1C6F1436" w14:textId="4FC9F1C0" w:rsidR="00153BD5" w:rsidRPr="003323C4" w:rsidRDefault="00153BD5" w:rsidP="00283861">
      <w:pPr>
        <w:numPr>
          <w:ilvl w:val="0"/>
          <w:numId w:val="22"/>
        </w:numPr>
        <w:ind w:left="2160" w:hanging="720"/>
        <w:rPr>
          <w:rFonts w:ascii="Tahoma" w:hAnsi="Tahoma" w:cs="Tahoma"/>
        </w:rPr>
      </w:pPr>
      <w:r w:rsidRPr="00283861">
        <w:rPr>
          <w:b/>
          <w:i/>
        </w:rPr>
        <w:t xml:space="preserve">Documentation </w:t>
      </w:r>
      <w:r>
        <w:t xml:space="preserve">– </w:t>
      </w:r>
      <w:r w:rsidR="0019560F">
        <w:t xml:space="preserve">If selected for an award, all </w:t>
      </w:r>
      <w:r>
        <w:t xml:space="preserve">claimed match share expenditures must be adequately documented </w:t>
      </w:r>
      <w:r w:rsidR="0019560F">
        <w:t xml:space="preserve">to </w:t>
      </w:r>
      <w:r w:rsidR="00EE2C04">
        <w:t>CEC</w:t>
      </w:r>
      <w:r w:rsidR="0019560F">
        <w:t xml:space="preserve"> during the agreement invoicing process.</w:t>
      </w:r>
    </w:p>
    <w:p w14:paraId="4F8395CA" w14:textId="77777777" w:rsidR="00D87BD2" w:rsidRPr="00037199" w:rsidRDefault="00D87BD2" w:rsidP="00223C3C">
      <w:pPr>
        <w:ind w:left="1440"/>
        <w:rPr>
          <w:szCs w:val="24"/>
        </w:rPr>
      </w:pPr>
    </w:p>
    <w:p w14:paraId="061653A2" w14:textId="45E0EDB7" w:rsidR="007A369A" w:rsidRPr="005054CB" w:rsidRDefault="00137B6F" w:rsidP="008305F6">
      <w:pPr>
        <w:pStyle w:val="Heading2"/>
        <w:keepNext w:val="0"/>
        <w:spacing w:before="0"/>
        <w:ind w:left="720" w:hanging="720"/>
      </w:pPr>
      <w:bookmarkStart w:id="49" w:name="_Toc184829628"/>
      <w:r w:rsidRPr="3C07D671">
        <w:rPr>
          <w:lang w:val="en-US"/>
        </w:rPr>
        <w:t>D</w:t>
      </w:r>
      <w:r w:rsidR="00AF3748" w:rsidRPr="3C07D671">
        <w:rPr>
          <w:lang w:val="en-US"/>
        </w:rPr>
        <w:t>.</w:t>
      </w:r>
      <w:r w:rsidR="008305F6">
        <w:rPr>
          <w:lang w:val="en-US"/>
        </w:rPr>
        <w:tab/>
      </w:r>
      <w:r w:rsidR="007A369A" w:rsidRPr="3C07D671">
        <w:rPr>
          <w:lang w:val="en-US"/>
        </w:rPr>
        <w:t xml:space="preserve">Unallowable </w:t>
      </w:r>
      <w:r w:rsidR="005054CB" w:rsidRPr="3C07D671">
        <w:rPr>
          <w:lang w:val="en-US"/>
        </w:rPr>
        <w:t>Costs (R</w:t>
      </w:r>
      <w:r w:rsidR="0030349C" w:rsidRPr="3C07D671">
        <w:rPr>
          <w:lang w:val="en-US"/>
        </w:rPr>
        <w:t xml:space="preserve">eimbursable or </w:t>
      </w:r>
      <w:r w:rsidR="005054CB" w:rsidRPr="3C07D671">
        <w:rPr>
          <w:lang w:val="en-US"/>
        </w:rPr>
        <w:t>M</w:t>
      </w:r>
      <w:r w:rsidR="0030349C" w:rsidRPr="3C07D671">
        <w:rPr>
          <w:lang w:val="en-US"/>
        </w:rPr>
        <w:t xml:space="preserve">atch </w:t>
      </w:r>
      <w:r w:rsidR="005054CB" w:rsidRPr="3C07D671">
        <w:rPr>
          <w:lang w:val="en-US"/>
        </w:rPr>
        <w:t>S</w:t>
      </w:r>
      <w:r w:rsidR="0030349C" w:rsidRPr="3C07D671">
        <w:rPr>
          <w:lang w:val="en-US"/>
        </w:rPr>
        <w:t>hare)</w:t>
      </w:r>
      <w:bookmarkEnd w:id="49"/>
    </w:p>
    <w:p w14:paraId="21931AE3" w14:textId="4580B450" w:rsidR="007A369A" w:rsidRPr="00037199" w:rsidRDefault="00787E91" w:rsidP="005054CB">
      <w:pPr>
        <w:ind w:left="720"/>
        <w:rPr>
          <w:szCs w:val="24"/>
        </w:rPr>
      </w:pPr>
      <w:r w:rsidRPr="00037199">
        <w:rPr>
          <w:szCs w:val="24"/>
        </w:rPr>
        <w:t>For an item of cost to be allowable</w:t>
      </w:r>
      <w:r w:rsidR="002F5C3C">
        <w:rPr>
          <w:szCs w:val="24"/>
        </w:rPr>
        <w:t xml:space="preserve"> for reimbursement with CEC funds or as match share expenditure</w:t>
      </w:r>
      <w:r w:rsidRPr="00037199">
        <w:rPr>
          <w:szCs w:val="24"/>
        </w:rPr>
        <w:t xml:space="preserve">, it must be included in the </w:t>
      </w:r>
      <w:r w:rsidR="002F5C3C">
        <w:rPr>
          <w:szCs w:val="24"/>
        </w:rPr>
        <w:t>executed</w:t>
      </w:r>
      <w:r w:rsidRPr="00037199">
        <w:rPr>
          <w:szCs w:val="24"/>
        </w:rPr>
        <w:t xml:space="preserve"> agreement budget and allowable per the terms and conditions of the resulting agreement. The following are examples of unallowable costs under an agreement resulting from this solicitation. </w:t>
      </w:r>
      <w:r w:rsidR="0004546A" w:rsidRPr="00037199">
        <w:rPr>
          <w:szCs w:val="24"/>
        </w:rPr>
        <w:t xml:space="preserve">This list is not comprehensive and additional </w:t>
      </w:r>
      <w:r w:rsidRPr="00037199">
        <w:rPr>
          <w:szCs w:val="24"/>
        </w:rPr>
        <w:t xml:space="preserve">items of </w:t>
      </w:r>
      <w:r w:rsidR="0004546A" w:rsidRPr="00037199">
        <w:rPr>
          <w:szCs w:val="24"/>
        </w:rPr>
        <w:t>cost</w:t>
      </w:r>
      <w:r w:rsidRPr="00037199">
        <w:rPr>
          <w:szCs w:val="24"/>
        </w:rPr>
        <w:t xml:space="preserve"> may be unallowable in accordance with the</w:t>
      </w:r>
      <w:r w:rsidR="002F5C3C">
        <w:rPr>
          <w:szCs w:val="24"/>
        </w:rPr>
        <w:t xml:space="preserve"> agreement</w:t>
      </w:r>
      <w:r w:rsidRPr="00037199">
        <w:rPr>
          <w:szCs w:val="24"/>
        </w:rPr>
        <w:t xml:space="preserve"> terms and conditions.</w:t>
      </w:r>
    </w:p>
    <w:p w14:paraId="237B3050" w14:textId="77777777" w:rsidR="0030349C" w:rsidRPr="00037199" w:rsidRDefault="0030349C" w:rsidP="007A369A">
      <w:pPr>
        <w:ind w:left="1440"/>
        <w:rPr>
          <w:szCs w:val="24"/>
        </w:rPr>
      </w:pPr>
    </w:p>
    <w:p w14:paraId="47F9293B" w14:textId="02740522" w:rsidR="0030349C" w:rsidRPr="00037199" w:rsidRDefault="0030349C" w:rsidP="00164AC5">
      <w:pPr>
        <w:numPr>
          <w:ilvl w:val="0"/>
          <w:numId w:val="21"/>
        </w:numPr>
        <w:ind w:left="1440" w:hanging="720"/>
        <w:rPr>
          <w:szCs w:val="22"/>
        </w:rPr>
      </w:pPr>
      <w:r w:rsidRPr="00037199">
        <w:rPr>
          <w:b/>
          <w:i/>
          <w:szCs w:val="22"/>
        </w:rPr>
        <w:lastRenderedPageBreak/>
        <w:t>Forgone Profit</w:t>
      </w:r>
      <w:r w:rsidRPr="00037199">
        <w:rPr>
          <w:szCs w:val="22"/>
        </w:rPr>
        <w:t xml:space="preserve"> – For example, if a company usually charges 10% profit but only charges 4% to </w:t>
      </w:r>
      <w:r w:rsidR="00EE2C04" w:rsidRPr="00037199">
        <w:rPr>
          <w:szCs w:val="22"/>
        </w:rPr>
        <w:t>CEC</w:t>
      </w:r>
      <w:r w:rsidRPr="00037199">
        <w:rPr>
          <w:szCs w:val="22"/>
        </w:rPr>
        <w:t xml:space="preserve"> </w:t>
      </w:r>
      <w:r w:rsidR="002F5C3C">
        <w:rPr>
          <w:szCs w:val="22"/>
        </w:rPr>
        <w:t>t</w:t>
      </w:r>
      <w:r w:rsidRPr="00037199">
        <w:rPr>
          <w:szCs w:val="22"/>
        </w:rPr>
        <w:t>he unclaimed difference is not an allowable item of cost.</w:t>
      </w:r>
    </w:p>
    <w:p w14:paraId="3CAF90CE" w14:textId="77777777" w:rsidR="0030349C" w:rsidRPr="00037199" w:rsidRDefault="0030349C" w:rsidP="005054CB">
      <w:pPr>
        <w:ind w:left="1440"/>
        <w:rPr>
          <w:szCs w:val="22"/>
        </w:rPr>
      </w:pPr>
    </w:p>
    <w:p w14:paraId="3652F68B" w14:textId="40F5F5ED" w:rsidR="0030349C" w:rsidRPr="00037199" w:rsidRDefault="0030349C" w:rsidP="00164AC5">
      <w:pPr>
        <w:numPr>
          <w:ilvl w:val="0"/>
          <w:numId w:val="21"/>
        </w:numPr>
        <w:ind w:left="1440" w:hanging="720"/>
        <w:rPr>
          <w:szCs w:val="22"/>
        </w:rPr>
      </w:pPr>
      <w:r w:rsidRPr="00037199">
        <w:rPr>
          <w:b/>
          <w:i/>
          <w:szCs w:val="22"/>
        </w:rPr>
        <w:t>Forgone Rent</w:t>
      </w:r>
      <w:r w:rsidRPr="00037199">
        <w:rPr>
          <w:szCs w:val="22"/>
        </w:rPr>
        <w:t xml:space="preserve"> – For </w:t>
      </w:r>
      <w:r w:rsidR="002F4C0B" w:rsidRPr="00037199">
        <w:rPr>
          <w:szCs w:val="22"/>
        </w:rPr>
        <w:t xml:space="preserve">example, rent that </w:t>
      </w:r>
      <w:r w:rsidR="00110DC2">
        <w:rPr>
          <w:szCs w:val="22"/>
        </w:rPr>
        <w:t>is</w:t>
      </w:r>
      <w:r w:rsidR="002F4C0B" w:rsidRPr="00037199">
        <w:rPr>
          <w:szCs w:val="22"/>
        </w:rPr>
        <w:t xml:space="preserve"> not paid is not an allowable item of cost.</w:t>
      </w:r>
    </w:p>
    <w:p w14:paraId="27C905D1" w14:textId="77777777" w:rsidR="0030349C" w:rsidRPr="00037199" w:rsidRDefault="0030349C" w:rsidP="005054CB">
      <w:pPr>
        <w:ind w:left="1440"/>
        <w:rPr>
          <w:szCs w:val="22"/>
        </w:rPr>
      </w:pPr>
    </w:p>
    <w:p w14:paraId="65F0FC2A" w14:textId="209F9363" w:rsidR="0085595F" w:rsidRPr="00037199" w:rsidRDefault="002F4C0B" w:rsidP="00164AC5">
      <w:pPr>
        <w:numPr>
          <w:ilvl w:val="0"/>
          <w:numId w:val="21"/>
        </w:numPr>
        <w:ind w:left="1440" w:hanging="720"/>
        <w:rPr>
          <w:szCs w:val="22"/>
        </w:rPr>
      </w:pPr>
      <w:r w:rsidRPr="00037199">
        <w:rPr>
          <w:b/>
          <w:i/>
          <w:szCs w:val="22"/>
        </w:rPr>
        <w:t>Discounted or Refunded Equipment Costs</w:t>
      </w:r>
      <w:r w:rsidRPr="00037199">
        <w:rPr>
          <w:szCs w:val="22"/>
        </w:rPr>
        <w:t xml:space="preserve"> </w:t>
      </w:r>
      <w:r w:rsidR="00D244C4" w:rsidRPr="00037199">
        <w:rPr>
          <w:szCs w:val="22"/>
        </w:rPr>
        <w:t>–</w:t>
      </w:r>
      <w:r w:rsidRPr="00037199">
        <w:rPr>
          <w:szCs w:val="22"/>
        </w:rPr>
        <w:t xml:space="preserve"> </w:t>
      </w:r>
      <w:r w:rsidR="00D244C4" w:rsidRPr="00037199">
        <w:rPr>
          <w:szCs w:val="22"/>
        </w:rPr>
        <w:t>For example, a claim that equipment costs $10,000 but</w:t>
      </w:r>
      <w:r w:rsidR="00110DC2">
        <w:rPr>
          <w:szCs w:val="22"/>
        </w:rPr>
        <w:t xml:space="preserve"> the grant</w:t>
      </w:r>
      <w:r w:rsidR="00D244C4" w:rsidRPr="00037199">
        <w:rPr>
          <w:szCs w:val="22"/>
        </w:rPr>
        <w:t xml:space="preserve"> recipient only pays $6,000 due to some “special” discount</w:t>
      </w:r>
      <w:r w:rsidR="00E03FE2" w:rsidRPr="00037199">
        <w:rPr>
          <w:szCs w:val="22"/>
        </w:rPr>
        <w:t>. The difference of</w:t>
      </w:r>
      <w:r w:rsidR="00D244C4" w:rsidRPr="00037199">
        <w:rPr>
          <w:szCs w:val="22"/>
        </w:rPr>
        <w:t xml:space="preserve"> $4,000 </w:t>
      </w:r>
      <w:r w:rsidR="00E03FE2" w:rsidRPr="00037199">
        <w:rPr>
          <w:szCs w:val="22"/>
        </w:rPr>
        <w:t>is not an allowable</w:t>
      </w:r>
      <w:r w:rsidR="00D244C4" w:rsidRPr="00037199">
        <w:rPr>
          <w:szCs w:val="22"/>
        </w:rPr>
        <w:t xml:space="preserve"> match</w:t>
      </w:r>
      <w:r w:rsidR="00E03FE2" w:rsidRPr="00037199">
        <w:rPr>
          <w:szCs w:val="22"/>
        </w:rPr>
        <w:t xml:space="preserve"> share expense</w:t>
      </w:r>
      <w:r w:rsidR="00D244C4" w:rsidRPr="00037199">
        <w:rPr>
          <w:szCs w:val="22"/>
        </w:rPr>
        <w:t>. Another example is if the</w:t>
      </w:r>
      <w:r w:rsidR="004C5595">
        <w:rPr>
          <w:szCs w:val="22"/>
        </w:rPr>
        <w:t xml:space="preserve"> grant</w:t>
      </w:r>
      <w:r w:rsidR="00D244C4" w:rsidRPr="00037199">
        <w:rPr>
          <w:szCs w:val="22"/>
        </w:rPr>
        <w:t xml:space="preserve"> recipient actually pays $10,000 but the vendor refunds $4,000 – only the net $6,000 is an </w:t>
      </w:r>
      <w:r w:rsidR="00AC56AC" w:rsidRPr="00037199">
        <w:rPr>
          <w:szCs w:val="22"/>
        </w:rPr>
        <w:t>allowable</w:t>
      </w:r>
      <w:r w:rsidR="00D244C4" w:rsidRPr="00037199">
        <w:rPr>
          <w:szCs w:val="22"/>
        </w:rPr>
        <w:t xml:space="preserve"> item of cost. </w:t>
      </w:r>
    </w:p>
    <w:p w14:paraId="6906BDE8" w14:textId="77777777" w:rsidR="0085595F" w:rsidRPr="00037199" w:rsidRDefault="0085595F" w:rsidP="005054CB">
      <w:pPr>
        <w:ind w:left="1440"/>
        <w:rPr>
          <w:szCs w:val="22"/>
        </w:rPr>
      </w:pPr>
    </w:p>
    <w:p w14:paraId="42B067A4" w14:textId="77777777" w:rsidR="00D244C4" w:rsidRDefault="00D244C4" w:rsidP="00164AC5">
      <w:pPr>
        <w:numPr>
          <w:ilvl w:val="0"/>
          <w:numId w:val="21"/>
        </w:numPr>
        <w:ind w:left="1440" w:hanging="720"/>
        <w:rPr>
          <w:szCs w:val="22"/>
        </w:rPr>
      </w:pPr>
      <w:r w:rsidRPr="00037199">
        <w:rPr>
          <w:b/>
          <w:i/>
          <w:szCs w:val="22"/>
        </w:rPr>
        <w:t>Forgone</w:t>
      </w:r>
      <w:r w:rsidR="0085595F" w:rsidRPr="00037199">
        <w:rPr>
          <w:b/>
          <w:i/>
          <w:szCs w:val="22"/>
        </w:rPr>
        <w:t xml:space="preserve"> S</w:t>
      </w:r>
      <w:r w:rsidRPr="00037199">
        <w:rPr>
          <w:b/>
          <w:i/>
          <w:szCs w:val="22"/>
        </w:rPr>
        <w:t>alary</w:t>
      </w:r>
      <w:r w:rsidR="0085595F" w:rsidRPr="00037199">
        <w:rPr>
          <w:b/>
          <w:i/>
          <w:szCs w:val="22"/>
        </w:rPr>
        <w:t>, Fringe, Indirect or Other Types of Cost</w:t>
      </w:r>
      <w:r w:rsidRPr="00037199">
        <w:rPr>
          <w:szCs w:val="22"/>
        </w:rPr>
        <w:t xml:space="preserve"> </w:t>
      </w:r>
      <w:r w:rsidR="0085595F" w:rsidRPr="00037199">
        <w:rPr>
          <w:szCs w:val="22"/>
        </w:rPr>
        <w:t>– For example, a person</w:t>
      </w:r>
      <w:r w:rsidRPr="00037199">
        <w:rPr>
          <w:szCs w:val="22"/>
        </w:rPr>
        <w:t xml:space="preserve"> normally charge</w:t>
      </w:r>
      <w:r w:rsidR="00AC56AC" w:rsidRPr="00037199">
        <w:rPr>
          <w:szCs w:val="22"/>
        </w:rPr>
        <w:t>s</w:t>
      </w:r>
      <w:r w:rsidR="0085595F" w:rsidRPr="00037199">
        <w:rPr>
          <w:szCs w:val="22"/>
        </w:rPr>
        <w:t xml:space="preserve"> or is paid</w:t>
      </w:r>
      <w:r w:rsidRPr="00037199">
        <w:rPr>
          <w:szCs w:val="22"/>
        </w:rPr>
        <w:t xml:space="preserve"> $100</w:t>
      </w:r>
      <w:r w:rsidR="0085595F" w:rsidRPr="00037199">
        <w:rPr>
          <w:szCs w:val="22"/>
        </w:rPr>
        <w:t xml:space="preserve"> per </w:t>
      </w:r>
      <w:proofErr w:type="gramStart"/>
      <w:r w:rsidR="0085595F" w:rsidRPr="00037199">
        <w:rPr>
          <w:szCs w:val="22"/>
        </w:rPr>
        <w:t>hour</w:t>
      </w:r>
      <w:r w:rsidRPr="00037199">
        <w:rPr>
          <w:szCs w:val="22"/>
        </w:rPr>
        <w:t>, but</w:t>
      </w:r>
      <w:proofErr w:type="gramEnd"/>
      <w:r w:rsidRPr="00037199">
        <w:rPr>
          <w:szCs w:val="22"/>
        </w:rPr>
        <w:t xml:space="preserve"> will only charge</w:t>
      </w:r>
      <w:r w:rsidR="0085595F" w:rsidRPr="00037199">
        <w:rPr>
          <w:szCs w:val="22"/>
        </w:rPr>
        <w:t xml:space="preserve"> $50 per hour towards </w:t>
      </w:r>
      <w:r w:rsidR="00EE2C04" w:rsidRPr="00037199">
        <w:rPr>
          <w:szCs w:val="22"/>
        </w:rPr>
        <w:t>the CEC</w:t>
      </w:r>
      <w:r w:rsidRPr="00037199">
        <w:rPr>
          <w:szCs w:val="22"/>
        </w:rPr>
        <w:t xml:space="preserve"> </w:t>
      </w:r>
      <w:r w:rsidR="0085595F" w:rsidRPr="00037199">
        <w:rPr>
          <w:szCs w:val="22"/>
        </w:rPr>
        <w:t xml:space="preserve">award. </w:t>
      </w:r>
      <w:r w:rsidR="00D769AB" w:rsidRPr="00037199">
        <w:rPr>
          <w:szCs w:val="22"/>
        </w:rPr>
        <w:t>Only</w:t>
      </w:r>
      <w:r w:rsidRPr="00037199">
        <w:rPr>
          <w:szCs w:val="22"/>
        </w:rPr>
        <w:t xml:space="preserve"> actual </w:t>
      </w:r>
      <w:r w:rsidR="00D769AB" w:rsidRPr="00037199">
        <w:rPr>
          <w:szCs w:val="22"/>
        </w:rPr>
        <w:t xml:space="preserve">costs incurred and paid </w:t>
      </w:r>
      <w:r w:rsidRPr="00037199">
        <w:rPr>
          <w:szCs w:val="22"/>
        </w:rPr>
        <w:t>to the employee</w:t>
      </w:r>
      <w:r w:rsidR="00D769AB" w:rsidRPr="00037199">
        <w:rPr>
          <w:szCs w:val="22"/>
        </w:rPr>
        <w:t xml:space="preserve"> are allowable</w:t>
      </w:r>
      <w:r w:rsidRPr="00037199">
        <w:rPr>
          <w:szCs w:val="22"/>
        </w:rPr>
        <w:t>.</w:t>
      </w:r>
      <w:r w:rsidR="00D769AB" w:rsidRPr="00037199">
        <w:rPr>
          <w:szCs w:val="22"/>
        </w:rPr>
        <w:t xml:space="preserve"> </w:t>
      </w:r>
      <w:r w:rsidR="00787E91" w:rsidRPr="00037199">
        <w:rPr>
          <w:szCs w:val="22"/>
        </w:rPr>
        <w:t>Therefore</w:t>
      </w:r>
      <w:r w:rsidR="00D769AB" w:rsidRPr="00037199">
        <w:rPr>
          <w:szCs w:val="22"/>
        </w:rPr>
        <w:t xml:space="preserve">, if an employee </w:t>
      </w:r>
      <w:r w:rsidRPr="00037199">
        <w:rPr>
          <w:szCs w:val="22"/>
        </w:rPr>
        <w:t xml:space="preserve">is </w:t>
      </w:r>
      <w:r w:rsidR="00D769AB" w:rsidRPr="00037199">
        <w:rPr>
          <w:b/>
          <w:i/>
          <w:szCs w:val="22"/>
        </w:rPr>
        <w:t xml:space="preserve">actually </w:t>
      </w:r>
      <w:r w:rsidRPr="00037199">
        <w:rPr>
          <w:szCs w:val="22"/>
        </w:rPr>
        <w:t>paid $100</w:t>
      </w:r>
      <w:r w:rsidR="00D769AB" w:rsidRPr="00037199">
        <w:rPr>
          <w:szCs w:val="22"/>
        </w:rPr>
        <w:t xml:space="preserve"> per </w:t>
      </w:r>
      <w:r w:rsidRPr="00037199">
        <w:rPr>
          <w:szCs w:val="22"/>
        </w:rPr>
        <w:t xml:space="preserve">hour and </w:t>
      </w:r>
      <w:r w:rsidR="00EE2C04" w:rsidRPr="00037199">
        <w:rPr>
          <w:szCs w:val="22"/>
        </w:rPr>
        <w:t>CEC</w:t>
      </w:r>
      <w:r w:rsidRPr="00037199">
        <w:rPr>
          <w:szCs w:val="22"/>
        </w:rPr>
        <w:t xml:space="preserve"> </w:t>
      </w:r>
      <w:r w:rsidR="00787E91" w:rsidRPr="00037199">
        <w:rPr>
          <w:szCs w:val="22"/>
        </w:rPr>
        <w:t xml:space="preserve">only </w:t>
      </w:r>
      <w:r w:rsidR="00D769AB" w:rsidRPr="00037199">
        <w:rPr>
          <w:szCs w:val="22"/>
        </w:rPr>
        <w:t xml:space="preserve">reimburses at </w:t>
      </w:r>
      <w:r w:rsidRPr="00037199">
        <w:rPr>
          <w:szCs w:val="22"/>
        </w:rPr>
        <w:t>$40</w:t>
      </w:r>
      <w:r w:rsidR="00D769AB" w:rsidRPr="00037199">
        <w:rPr>
          <w:szCs w:val="22"/>
        </w:rPr>
        <w:t xml:space="preserve"> per </w:t>
      </w:r>
      <w:r w:rsidRPr="00037199">
        <w:rPr>
          <w:szCs w:val="22"/>
        </w:rPr>
        <w:t xml:space="preserve">hour, then the </w:t>
      </w:r>
      <w:r w:rsidR="00D769AB" w:rsidRPr="00037199">
        <w:rPr>
          <w:szCs w:val="22"/>
        </w:rPr>
        <w:t xml:space="preserve">unreimbursed </w:t>
      </w:r>
      <w:r w:rsidRPr="00037199">
        <w:rPr>
          <w:szCs w:val="22"/>
        </w:rPr>
        <w:t>$60</w:t>
      </w:r>
      <w:r w:rsidR="00D769AB" w:rsidRPr="00037199">
        <w:rPr>
          <w:szCs w:val="22"/>
        </w:rPr>
        <w:t xml:space="preserve"> per </w:t>
      </w:r>
      <w:r w:rsidRPr="00037199">
        <w:rPr>
          <w:szCs w:val="22"/>
        </w:rPr>
        <w:t xml:space="preserve">hour </w:t>
      </w:r>
      <w:r w:rsidR="00D769AB" w:rsidRPr="00037199">
        <w:rPr>
          <w:szCs w:val="22"/>
        </w:rPr>
        <w:t>is an allowable match share cost</w:t>
      </w:r>
      <w:r w:rsidR="00787E91" w:rsidRPr="00037199">
        <w:rPr>
          <w:szCs w:val="22"/>
        </w:rPr>
        <w:t xml:space="preserve"> because this </w:t>
      </w:r>
      <w:r w:rsidRPr="00037199">
        <w:rPr>
          <w:szCs w:val="22"/>
        </w:rPr>
        <w:t>is an actual payment as opposed to a forgone salary amount.</w:t>
      </w:r>
      <w:r w:rsidR="00826E6F" w:rsidRPr="00037199">
        <w:rPr>
          <w:szCs w:val="22"/>
        </w:rPr>
        <w:t xml:space="preserve"> Volunteer </w:t>
      </w:r>
      <w:r w:rsidR="0085595F" w:rsidRPr="00037199">
        <w:rPr>
          <w:szCs w:val="22"/>
        </w:rPr>
        <w:t>labor</w:t>
      </w:r>
      <w:r w:rsidR="00826E6F" w:rsidRPr="00037199">
        <w:rPr>
          <w:szCs w:val="22"/>
        </w:rPr>
        <w:t xml:space="preserve"> </w:t>
      </w:r>
      <w:r w:rsidR="00AB1712" w:rsidRPr="00037199">
        <w:rPr>
          <w:szCs w:val="22"/>
        </w:rPr>
        <w:t xml:space="preserve">(i.e., labor from a person who does not receive any compensation for their labor) </w:t>
      </w:r>
      <w:r w:rsidR="00826E6F" w:rsidRPr="00037199">
        <w:rPr>
          <w:szCs w:val="22"/>
        </w:rPr>
        <w:t xml:space="preserve">may be an </w:t>
      </w:r>
      <w:r w:rsidR="005054CB" w:rsidRPr="00037199">
        <w:rPr>
          <w:szCs w:val="22"/>
        </w:rPr>
        <w:t>allowable</w:t>
      </w:r>
      <w:r w:rsidR="00826E6F" w:rsidRPr="00037199">
        <w:rPr>
          <w:szCs w:val="22"/>
        </w:rPr>
        <w:t xml:space="preserve"> in-kind match share expense if the value of the labor is reasonable and justified</w:t>
      </w:r>
      <w:r w:rsidR="0085595F" w:rsidRPr="00037199">
        <w:rPr>
          <w:szCs w:val="22"/>
        </w:rPr>
        <w:t>.</w:t>
      </w:r>
    </w:p>
    <w:p w14:paraId="0484C9CF" w14:textId="77777777" w:rsidR="002F695D" w:rsidRPr="006A3023" w:rsidRDefault="002F695D" w:rsidP="003C2E4E">
      <w:pPr>
        <w:ind w:left="1440"/>
        <w:rPr>
          <w:szCs w:val="22"/>
        </w:rPr>
      </w:pPr>
    </w:p>
    <w:p w14:paraId="307FE10C" w14:textId="287CD5CA" w:rsidR="00C23238" w:rsidRPr="00C23238" w:rsidRDefault="00C23238" w:rsidP="00164AC5">
      <w:pPr>
        <w:numPr>
          <w:ilvl w:val="0"/>
          <w:numId w:val="21"/>
        </w:numPr>
        <w:ind w:left="1440" w:hanging="720"/>
        <w:rPr>
          <w:rFonts w:eastAsia="Tahoma"/>
          <w:szCs w:val="24"/>
        </w:rPr>
      </w:pPr>
      <w:r w:rsidRPr="4E405700">
        <w:rPr>
          <w:b/>
          <w:bCs/>
          <w:i/>
          <w:iCs/>
          <w:szCs w:val="24"/>
        </w:rPr>
        <w:t xml:space="preserve">Utility </w:t>
      </w:r>
      <w:r w:rsidR="5E4ED547" w:rsidRPr="4E405700">
        <w:rPr>
          <w:b/>
          <w:bCs/>
          <w:i/>
          <w:iCs/>
          <w:szCs w:val="24"/>
        </w:rPr>
        <w:t>P</w:t>
      </w:r>
      <w:r w:rsidRPr="4E405700">
        <w:rPr>
          <w:b/>
          <w:bCs/>
          <w:i/>
          <w:iCs/>
          <w:szCs w:val="24"/>
        </w:rPr>
        <w:t xml:space="preserve">rovided </w:t>
      </w:r>
      <w:r w:rsidR="044167AD" w:rsidRPr="4E405700">
        <w:rPr>
          <w:b/>
          <w:bCs/>
          <w:i/>
          <w:iCs/>
          <w:szCs w:val="24"/>
        </w:rPr>
        <w:t>E</w:t>
      </w:r>
      <w:r w:rsidRPr="4E405700">
        <w:rPr>
          <w:b/>
          <w:bCs/>
          <w:i/>
          <w:iCs/>
          <w:szCs w:val="24"/>
        </w:rPr>
        <w:t xml:space="preserve">lectrical </w:t>
      </w:r>
      <w:r w:rsidR="09D375BF" w:rsidRPr="4E405700">
        <w:rPr>
          <w:b/>
          <w:bCs/>
          <w:i/>
          <w:iCs/>
          <w:szCs w:val="24"/>
        </w:rPr>
        <w:t>U</w:t>
      </w:r>
      <w:r w:rsidRPr="4E405700">
        <w:rPr>
          <w:b/>
          <w:bCs/>
          <w:i/>
          <w:iCs/>
          <w:szCs w:val="24"/>
        </w:rPr>
        <w:t xml:space="preserve">pgrades and </w:t>
      </w:r>
      <w:r w:rsidR="217A2F63" w:rsidRPr="4E405700">
        <w:rPr>
          <w:b/>
          <w:bCs/>
          <w:i/>
          <w:iCs/>
          <w:szCs w:val="24"/>
        </w:rPr>
        <w:t>F</w:t>
      </w:r>
      <w:r w:rsidRPr="4E405700">
        <w:rPr>
          <w:b/>
          <w:bCs/>
          <w:i/>
          <w:iCs/>
          <w:szCs w:val="24"/>
        </w:rPr>
        <w:t>unding</w:t>
      </w:r>
      <w:r w:rsidRPr="4E405700">
        <w:rPr>
          <w:rFonts w:eastAsia="Tahoma"/>
          <w:szCs w:val="24"/>
        </w:rPr>
        <w:t>-– For example, expenses that are already</w:t>
      </w:r>
      <w:r w:rsidR="489A38CD" w:rsidRPr="4E405700">
        <w:rPr>
          <w:rFonts w:eastAsia="Tahoma"/>
          <w:szCs w:val="24"/>
        </w:rPr>
        <w:t xml:space="preserve"> paid</w:t>
      </w:r>
      <w:r w:rsidRPr="4E405700">
        <w:rPr>
          <w:rFonts w:eastAsia="Tahoma"/>
          <w:szCs w:val="24"/>
        </w:rPr>
        <w:t xml:space="preserve"> or to be paid for through a utility program, tariff, or other ratepayer funding</w:t>
      </w:r>
      <w:r w:rsidR="00331DD7" w:rsidRPr="4E405700">
        <w:rPr>
          <w:rFonts w:eastAsia="Tahoma"/>
          <w:szCs w:val="24"/>
        </w:rPr>
        <w:t xml:space="preserve"> is not an allowable item of cost</w:t>
      </w:r>
      <w:r w:rsidRPr="4E405700">
        <w:rPr>
          <w:rFonts w:eastAsia="Tahoma"/>
          <w:szCs w:val="24"/>
        </w:rPr>
        <w:t>. This includes ratepayer funded enrollment incentives.</w:t>
      </w:r>
    </w:p>
    <w:p w14:paraId="62B489E4" w14:textId="77777777" w:rsidR="00663119" w:rsidRPr="00230B69" w:rsidRDefault="00663119" w:rsidP="003C2E4E">
      <w:pPr>
        <w:ind w:left="1440"/>
        <w:rPr>
          <w:szCs w:val="22"/>
        </w:rPr>
      </w:pPr>
    </w:p>
    <w:p w14:paraId="185B890F" w14:textId="7C9A25F2" w:rsidR="00230B69" w:rsidRDefault="5BE1BE9D" w:rsidP="00164AC5">
      <w:pPr>
        <w:numPr>
          <w:ilvl w:val="0"/>
          <w:numId w:val="21"/>
        </w:numPr>
        <w:ind w:left="1440" w:hanging="720"/>
      </w:pPr>
      <w:r w:rsidRPr="608ABDC3">
        <w:rPr>
          <w:b/>
          <w:bCs/>
          <w:i/>
          <w:iCs/>
        </w:rPr>
        <w:t xml:space="preserve">Compliance with </w:t>
      </w:r>
      <w:r w:rsidR="2753546F" w:rsidRPr="608ABDC3">
        <w:rPr>
          <w:b/>
          <w:bCs/>
          <w:i/>
          <w:iCs/>
        </w:rPr>
        <w:t>L</w:t>
      </w:r>
      <w:r w:rsidRPr="608ABDC3">
        <w:rPr>
          <w:b/>
          <w:bCs/>
          <w:i/>
          <w:iCs/>
        </w:rPr>
        <w:t xml:space="preserve">ocal, </w:t>
      </w:r>
      <w:r w:rsidR="6F97D2D2" w:rsidRPr="608ABDC3">
        <w:rPr>
          <w:b/>
          <w:bCs/>
          <w:i/>
          <w:iCs/>
        </w:rPr>
        <w:t>R</w:t>
      </w:r>
      <w:r w:rsidRPr="608ABDC3">
        <w:rPr>
          <w:b/>
          <w:bCs/>
          <w:i/>
          <w:iCs/>
        </w:rPr>
        <w:t xml:space="preserve">egional, </w:t>
      </w:r>
      <w:r w:rsidR="16812C4E" w:rsidRPr="608ABDC3">
        <w:rPr>
          <w:b/>
          <w:bCs/>
          <w:i/>
          <w:iCs/>
        </w:rPr>
        <w:t>S</w:t>
      </w:r>
      <w:r w:rsidRPr="608ABDC3">
        <w:rPr>
          <w:b/>
          <w:bCs/>
          <w:i/>
          <w:iCs/>
        </w:rPr>
        <w:t>tate</w:t>
      </w:r>
      <w:r w:rsidR="7EEAB786" w:rsidRPr="608ABDC3">
        <w:rPr>
          <w:b/>
          <w:bCs/>
          <w:i/>
          <w:iCs/>
        </w:rPr>
        <w:t>,</w:t>
      </w:r>
      <w:r w:rsidRPr="608ABDC3">
        <w:rPr>
          <w:b/>
          <w:bCs/>
          <w:i/>
          <w:iCs/>
        </w:rPr>
        <w:t xml:space="preserve"> or </w:t>
      </w:r>
      <w:r w:rsidR="1E3E9527" w:rsidRPr="608ABDC3">
        <w:rPr>
          <w:b/>
          <w:bCs/>
          <w:i/>
          <w:iCs/>
        </w:rPr>
        <w:t>F</w:t>
      </w:r>
      <w:r w:rsidRPr="608ABDC3">
        <w:rPr>
          <w:b/>
          <w:bCs/>
          <w:i/>
          <w:iCs/>
        </w:rPr>
        <w:t xml:space="preserve">ederal </w:t>
      </w:r>
      <w:r w:rsidR="72D428D7" w:rsidRPr="608ABDC3">
        <w:rPr>
          <w:b/>
          <w:bCs/>
          <w:i/>
          <w:iCs/>
        </w:rPr>
        <w:t>L</w:t>
      </w:r>
      <w:r w:rsidRPr="608ABDC3">
        <w:rPr>
          <w:b/>
          <w:bCs/>
          <w:i/>
          <w:iCs/>
        </w:rPr>
        <w:t xml:space="preserve">aw, </w:t>
      </w:r>
      <w:r w:rsidR="70BF2937" w:rsidRPr="608ABDC3">
        <w:rPr>
          <w:b/>
          <w:bCs/>
          <w:i/>
          <w:iCs/>
        </w:rPr>
        <w:t>R</w:t>
      </w:r>
      <w:r w:rsidRPr="608ABDC3">
        <w:rPr>
          <w:b/>
          <w:bCs/>
          <w:i/>
          <w:iCs/>
        </w:rPr>
        <w:t xml:space="preserve">ule or </w:t>
      </w:r>
      <w:r w:rsidR="525D61A3" w:rsidRPr="608ABDC3">
        <w:rPr>
          <w:b/>
          <w:bCs/>
          <w:i/>
          <w:iCs/>
        </w:rPr>
        <w:t>R</w:t>
      </w:r>
      <w:r w:rsidRPr="608ABDC3">
        <w:rPr>
          <w:b/>
          <w:bCs/>
          <w:i/>
          <w:iCs/>
        </w:rPr>
        <w:t>egulation</w:t>
      </w:r>
      <w: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2AC216EE">
        <w:t xml:space="preserve">lectric </w:t>
      </w:r>
      <w:r>
        <w:t>V</w:t>
      </w:r>
      <w:r w:rsidR="4ABA0EBA">
        <w:t>ehicle</w:t>
      </w:r>
      <w:r>
        <w:t xml:space="preserve"> Capable, or E</w:t>
      </w:r>
      <w:r w:rsidR="68AB6576">
        <w:t xml:space="preserve">lectric </w:t>
      </w:r>
      <w:r>
        <w:t>V</w:t>
      </w:r>
      <w:r w:rsidR="00DB1981">
        <w:t>ehicle</w:t>
      </w:r>
      <w:r>
        <w:t xml:space="preserve"> Ready parking spaces, </w:t>
      </w:r>
      <w:r w:rsidR="318C8B0D">
        <w:t xml:space="preserve">is </w:t>
      </w:r>
      <w:r>
        <w:t>not an allowable item of cost.</w:t>
      </w:r>
    </w:p>
    <w:p w14:paraId="0FA21CA9" w14:textId="70A05CD9" w:rsidR="000B4BE7" w:rsidRPr="003C2E4E" w:rsidRDefault="000B4BE7" w:rsidP="000B4BE7">
      <w:pPr>
        <w:ind w:left="1440"/>
        <w:rPr>
          <w:szCs w:val="24"/>
        </w:rPr>
      </w:pPr>
    </w:p>
    <w:p w14:paraId="4527088A" w14:textId="402E2837" w:rsidR="008E409B" w:rsidRDefault="008E409B">
      <w:pPr>
        <w:rPr>
          <w:szCs w:val="24"/>
        </w:rPr>
      </w:pPr>
      <w:r>
        <w:rPr>
          <w:szCs w:val="24"/>
        </w:rPr>
        <w:br w:type="page"/>
      </w:r>
    </w:p>
    <w:p w14:paraId="051BCF36" w14:textId="31891E44" w:rsidR="006C6191" w:rsidRPr="00050087" w:rsidRDefault="006C6191" w:rsidP="00E04486">
      <w:pPr>
        <w:pStyle w:val="Heading1"/>
        <w:keepNext w:val="0"/>
        <w:keepLines w:val="0"/>
        <w:spacing w:before="0" w:after="0"/>
      </w:pPr>
      <w:bookmarkStart w:id="50" w:name="_Toc12770892"/>
      <w:bookmarkStart w:id="51" w:name="_Toc219275109"/>
      <w:bookmarkStart w:id="52" w:name="_Toc184829629"/>
      <w:bookmarkStart w:id="53" w:name="_Toc219275098"/>
      <w:r w:rsidRPr="00050087">
        <w:lastRenderedPageBreak/>
        <w:t>I</w:t>
      </w:r>
      <w:r w:rsidR="00D11F0F" w:rsidRPr="00050087">
        <w:t>I</w:t>
      </w:r>
      <w:r w:rsidR="00D1451B" w:rsidRPr="00050087">
        <w:t>I</w:t>
      </w:r>
      <w:r w:rsidRPr="00050087">
        <w:t>.</w:t>
      </w:r>
      <w:r w:rsidRPr="00050087">
        <w:tab/>
      </w:r>
      <w:bookmarkEnd w:id="50"/>
      <w:r w:rsidR="001661BE" w:rsidRPr="00050087">
        <w:t>Application</w:t>
      </w:r>
      <w:r w:rsidRPr="00050087">
        <w:t xml:space="preserve"> Format, Required Documents, and Delivery</w:t>
      </w:r>
      <w:bookmarkEnd w:id="51"/>
      <w:bookmarkEnd w:id="52"/>
    </w:p>
    <w:p w14:paraId="16E8F64E" w14:textId="77777777" w:rsidR="000C5650" w:rsidRPr="00050087" w:rsidRDefault="000C5650" w:rsidP="00E04486">
      <w:bookmarkStart w:id="54" w:name="_Toc201713573"/>
      <w:bookmarkStart w:id="55" w:name="_Toc219275111"/>
    </w:p>
    <w:p w14:paraId="023DBDD8" w14:textId="77777777" w:rsidR="006C6191" w:rsidRPr="00050087" w:rsidRDefault="006C6191" w:rsidP="00164AC5">
      <w:pPr>
        <w:pStyle w:val="Heading2"/>
        <w:keepNext w:val="0"/>
        <w:numPr>
          <w:ilvl w:val="0"/>
          <w:numId w:val="13"/>
        </w:numPr>
        <w:spacing w:before="0"/>
        <w:ind w:hanging="720"/>
      </w:pPr>
      <w:bookmarkStart w:id="56" w:name="_Toc184829630"/>
      <w:r w:rsidRPr="00050087">
        <w:t>Required Format</w:t>
      </w:r>
      <w:bookmarkEnd w:id="54"/>
      <w:r w:rsidRPr="00050087">
        <w:t xml:space="preserve"> for a</w:t>
      </w:r>
      <w:r w:rsidR="001D1F70" w:rsidRPr="00050087">
        <w:t>n</w:t>
      </w:r>
      <w:r w:rsidRPr="00050087">
        <w:t xml:space="preserve"> </w:t>
      </w:r>
      <w:r w:rsidR="001661BE" w:rsidRPr="00050087">
        <w:t>Application</w:t>
      </w:r>
      <w:bookmarkEnd w:id="55"/>
      <w:bookmarkEnd w:id="56"/>
    </w:p>
    <w:p w14:paraId="15A8C117" w14:textId="56FC4326" w:rsidR="00210E36" w:rsidRPr="00CE37F1" w:rsidRDefault="00210E36" w:rsidP="00E26DE1">
      <w:pPr>
        <w:ind w:left="720"/>
        <w:rPr>
          <w:szCs w:val="24"/>
        </w:rPr>
      </w:pPr>
      <w:r w:rsidRPr="00CE37F1">
        <w:rPr>
          <w:szCs w:val="24"/>
        </w:rPr>
        <w:t xml:space="preserve">This section contains the format requirements and instructions on how to </w:t>
      </w:r>
      <w:proofErr w:type="gramStart"/>
      <w:r w:rsidRPr="00CE37F1">
        <w:rPr>
          <w:szCs w:val="24"/>
        </w:rPr>
        <w:t xml:space="preserve">submit an </w:t>
      </w:r>
      <w:r w:rsidR="00403F6F" w:rsidRPr="00CE37F1">
        <w:rPr>
          <w:szCs w:val="24"/>
        </w:rPr>
        <w:t>application</w:t>
      </w:r>
      <w:proofErr w:type="gramEnd"/>
      <w:r w:rsidRPr="00CE37F1">
        <w:rPr>
          <w:szCs w:val="24"/>
        </w:rPr>
        <w:t xml:space="preserve">. The format is prescribed to assist the </w:t>
      </w:r>
      <w:r w:rsidR="004C5595">
        <w:rPr>
          <w:szCs w:val="24"/>
        </w:rPr>
        <w:t>A</w:t>
      </w:r>
      <w:r w:rsidR="00403F6F" w:rsidRPr="00CE37F1">
        <w:rPr>
          <w:szCs w:val="24"/>
        </w:rPr>
        <w:t>pplicant</w:t>
      </w:r>
      <w:r w:rsidRPr="00CE37F1">
        <w:rPr>
          <w:szCs w:val="24"/>
        </w:rPr>
        <w:t xml:space="preserve"> in meeting State requirements and to enable </w:t>
      </w:r>
      <w:r w:rsidR="00EE2C04" w:rsidRPr="00CE37F1">
        <w:rPr>
          <w:szCs w:val="24"/>
        </w:rPr>
        <w:t>CEC</w:t>
      </w:r>
      <w:r w:rsidRPr="00CE37F1">
        <w:rPr>
          <w:szCs w:val="24"/>
        </w:rPr>
        <w:t xml:space="preserve"> to evaluate each application uniformly and fairly. Applicants must follow all </w:t>
      </w:r>
      <w:r w:rsidR="00403F6F" w:rsidRPr="00CE37F1">
        <w:rPr>
          <w:szCs w:val="24"/>
        </w:rPr>
        <w:t>application</w:t>
      </w:r>
      <w:r w:rsidRPr="00CE37F1">
        <w:rPr>
          <w:szCs w:val="24"/>
        </w:rPr>
        <w:t xml:space="preserve"> format instructions, answer all questions, and supply all requested </w:t>
      </w:r>
      <w:r w:rsidR="004C5595">
        <w:rPr>
          <w:szCs w:val="24"/>
        </w:rPr>
        <w:t>information</w:t>
      </w:r>
      <w:r w:rsidRPr="00CE37F1">
        <w:rPr>
          <w:szCs w:val="24"/>
        </w:rPr>
        <w:t xml:space="preserve">. </w:t>
      </w:r>
    </w:p>
    <w:p w14:paraId="06045CFD" w14:textId="77777777" w:rsidR="000C5650" w:rsidRPr="00CE37F1" w:rsidRDefault="000C5650" w:rsidP="00E26DE1">
      <w:pPr>
        <w:ind w:left="720"/>
        <w:rPr>
          <w:szCs w:val="24"/>
        </w:rPr>
      </w:pPr>
    </w:p>
    <w:p w14:paraId="707000EB" w14:textId="61E9ADD8" w:rsidR="00D47CD0" w:rsidRPr="00CE37F1" w:rsidRDefault="006C6191" w:rsidP="00E26DE1">
      <w:pPr>
        <w:ind w:left="720"/>
        <w:rPr>
          <w:szCs w:val="24"/>
        </w:rPr>
      </w:pPr>
      <w:r w:rsidRPr="60D49439">
        <w:rPr>
          <w:szCs w:val="24"/>
        </w:rPr>
        <w:t xml:space="preserve">All </w:t>
      </w:r>
      <w:r w:rsidR="00D11F0F" w:rsidRPr="60D49439">
        <w:rPr>
          <w:szCs w:val="24"/>
        </w:rPr>
        <w:t>application</w:t>
      </w:r>
      <w:r w:rsidRPr="60D49439">
        <w:rPr>
          <w:szCs w:val="24"/>
        </w:rPr>
        <w:t xml:space="preserve">s submitted under this </w:t>
      </w:r>
      <w:r w:rsidR="00F66DFA" w:rsidRPr="60D49439">
        <w:rPr>
          <w:szCs w:val="24"/>
        </w:rPr>
        <w:t>solicitation</w:t>
      </w:r>
      <w:r w:rsidRPr="60D49439">
        <w:rPr>
          <w:szCs w:val="24"/>
        </w:rPr>
        <w:t xml:space="preserve"> must be typed or printed using a standard 11</w:t>
      </w:r>
      <w:r w:rsidR="2286CED1" w:rsidRPr="60D49439">
        <w:rPr>
          <w:szCs w:val="24"/>
        </w:rPr>
        <w:t>-</w:t>
      </w:r>
      <w:r w:rsidRPr="60D49439">
        <w:rPr>
          <w:szCs w:val="24"/>
        </w:rPr>
        <w:t xml:space="preserve">point font, single-spaced and a blank line between paragraphs.  Pages must be </w:t>
      </w:r>
      <w:r w:rsidR="1021BC25" w:rsidRPr="60D49439">
        <w:rPr>
          <w:szCs w:val="24"/>
        </w:rPr>
        <w:t>numbered,</w:t>
      </w:r>
      <w:r w:rsidRPr="60D49439">
        <w:rPr>
          <w:szCs w:val="24"/>
        </w:rPr>
        <w:t xml:space="preserve"> and sections titled.</w:t>
      </w:r>
    </w:p>
    <w:p w14:paraId="13E01B41" w14:textId="77777777" w:rsidR="005E50CE" w:rsidRDefault="005E50CE" w:rsidP="00E04486">
      <w:pPr>
        <w:rPr>
          <w:b/>
        </w:rPr>
      </w:pPr>
    </w:p>
    <w:p w14:paraId="17824509" w14:textId="77777777" w:rsidR="004A30ED" w:rsidRPr="004A30ED" w:rsidRDefault="004A30ED" w:rsidP="00164AC5">
      <w:pPr>
        <w:pStyle w:val="Heading2"/>
        <w:keepNext w:val="0"/>
        <w:numPr>
          <w:ilvl w:val="0"/>
          <w:numId w:val="13"/>
        </w:numPr>
        <w:spacing w:before="0"/>
        <w:ind w:hanging="720"/>
      </w:pPr>
      <w:bookmarkStart w:id="57" w:name="_Toc428191083"/>
      <w:bookmarkStart w:id="58" w:name="_Toc184829631"/>
      <w:r w:rsidRPr="004A30ED">
        <w:t xml:space="preserve">Method </w:t>
      </w:r>
      <w:r w:rsidR="00D47EB4">
        <w:rPr>
          <w:lang w:val="en-US"/>
        </w:rPr>
        <w:t>f</w:t>
      </w:r>
      <w:r w:rsidRPr="004A30ED">
        <w:t>or Delivery</w:t>
      </w:r>
      <w:bookmarkEnd w:id="57"/>
      <w:bookmarkEnd w:id="58"/>
    </w:p>
    <w:p w14:paraId="45DC909B" w14:textId="71F2D297" w:rsidR="007E46FE" w:rsidRPr="00557987" w:rsidRDefault="004A30ED" w:rsidP="00D00C45">
      <w:pPr>
        <w:ind w:left="720"/>
        <w:rPr>
          <w:szCs w:val="24"/>
        </w:rPr>
      </w:pPr>
      <w:bookmarkStart w:id="59" w:name="_Hlk125711550"/>
      <w:r w:rsidRPr="00557987">
        <w:rPr>
          <w:szCs w:val="24"/>
        </w:rPr>
        <w:t>The method of delivery for this solicitation is the</w:t>
      </w:r>
      <w:r w:rsidR="00E8037E" w:rsidRPr="00557987">
        <w:rPr>
          <w:szCs w:val="24"/>
        </w:rPr>
        <w:t xml:space="preserve"> </w:t>
      </w:r>
      <w:hyperlink r:id="rId77" w:history="1">
        <w:r w:rsidR="00E8037E" w:rsidRPr="00557987">
          <w:rPr>
            <w:rStyle w:val="Hyperlink"/>
            <w:szCs w:val="24"/>
          </w:rPr>
          <w:t>Energy Commission Agreement Mana</w:t>
        </w:r>
        <w:r w:rsidR="005E428B" w:rsidRPr="00557987">
          <w:rPr>
            <w:rStyle w:val="Hyperlink"/>
            <w:szCs w:val="24"/>
          </w:rPr>
          <w:t>gement System (ECAMS)</w:t>
        </w:r>
      </w:hyperlink>
      <w:r w:rsidR="005E428B" w:rsidRPr="00557987">
        <w:rPr>
          <w:szCs w:val="24"/>
        </w:rPr>
        <w:t>,</w:t>
      </w:r>
      <w:r w:rsidRPr="00557987">
        <w:rPr>
          <w:szCs w:val="24"/>
        </w:rPr>
        <w:t xml:space="preserve"> </w:t>
      </w:r>
      <w:r w:rsidR="00E47E20" w:rsidRPr="00557987">
        <w:rPr>
          <w:szCs w:val="24"/>
        </w:rPr>
        <w:t>available</w:t>
      </w:r>
      <w:r w:rsidRPr="00557987">
        <w:rPr>
          <w:szCs w:val="24"/>
        </w:rPr>
        <w:t xml:space="preserve"> at </w:t>
      </w:r>
      <w:r w:rsidR="00CE37F1" w:rsidRPr="00557987">
        <w:rPr>
          <w:szCs w:val="24"/>
        </w:rPr>
        <w:t>https://</w:t>
      </w:r>
      <w:r w:rsidR="00AD23B5" w:rsidRPr="00557987">
        <w:rPr>
          <w:szCs w:val="24"/>
        </w:rPr>
        <w:t>ecams</w:t>
      </w:r>
      <w:r w:rsidR="00CE37F1" w:rsidRPr="00557987">
        <w:rPr>
          <w:szCs w:val="24"/>
        </w:rPr>
        <w:t>.energy.ca.gov/</w:t>
      </w:r>
      <w:r w:rsidRPr="00557987">
        <w:rPr>
          <w:szCs w:val="24"/>
        </w:rPr>
        <w:t>.</w:t>
      </w:r>
      <w:r w:rsidR="004C579A" w:rsidRPr="00557987">
        <w:rPr>
          <w:szCs w:val="24"/>
        </w:rPr>
        <w:t xml:space="preserve"> </w:t>
      </w:r>
    </w:p>
    <w:p w14:paraId="43BACD3D" w14:textId="649D6929" w:rsidR="00D00C45" w:rsidRPr="003D5A59" w:rsidRDefault="00D00C45" w:rsidP="00D00C45">
      <w:pPr>
        <w:ind w:left="720"/>
        <w:rPr>
          <w:szCs w:val="24"/>
        </w:rPr>
      </w:pPr>
      <w:r w:rsidRPr="4DD50A44">
        <w:rPr>
          <w:szCs w:val="24"/>
        </w:rPr>
        <w:t xml:space="preserve">Information about ECAMS will be provided at the Pre-Application Workshop. Information about how to register for an ECAMS account and guidance on how to apply through the system is available at </w:t>
      </w:r>
      <w:hyperlink r:id="rId78">
        <w:r w:rsidRPr="4DD50A44">
          <w:rPr>
            <w:rStyle w:val="Hyperlink"/>
            <w:szCs w:val="24"/>
          </w:rPr>
          <w:t>https://www.energy.ca.gov/funding-opportunities/funding-resources</w:t>
        </w:r>
      </w:hyperlink>
      <w:r w:rsidRPr="4DD50A44">
        <w:rPr>
          <w:szCs w:val="24"/>
        </w:rPr>
        <w:t xml:space="preserve"> under General Funding Information. </w:t>
      </w:r>
    </w:p>
    <w:p w14:paraId="48A14F83" w14:textId="77777777" w:rsidR="00D46E15" w:rsidRDefault="00D00C45" w:rsidP="00D00C45">
      <w:pPr>
        <w:ind w:left="720"/>
        <w:rPr>
          <w:szCs w:val="24"/>
        </w:rPr>
      </w:pPr>
      <w:r w:rsidRPr="60D49439">
        <w:rPr>
          <w:szCs w:val="24"/>
        </w:rPr>
        <w:t xml:space="preserve">The CEC is providing a team of technical assistants to support </w:t>
      </w:r>
      <w:r w:rsidR="7E768F09" w:rsidRPr="60D49439">
        <w:rPr>
          <w:szCs w:val="24"/>
        </w:rPr>
        <w:t>A</w:t>
      </w:r>
      <w:r w:rsidRPr="60D49439">
        <w:rPr>
          <w:szCs w:val="24"/>
        </w:rPr>
        <w:t>pplicants with this process. Please email</w:t>
      </w:r>
      <w:r w:rsidRPr="60D49439">
        <w:rPr>
          <w:b/>
          <w:bCs/>
          <w:szCs w:val="24"/>
        </w:rPr>
        <w:t xml:space="preserve"> </w:t>
      </w:r>
      <w:hyperlink r:id="rId79">
        <w:r w:rsidRPr="60D49439">
          <w:rPr>
            <w:rStyle w:val="Hyperlink"/>
            <w:szCs w:val="24"/>
          </w:rPr>
          <w:t>ECAMS.SalesforceSupport@energy.ca.gov</w:t>
        </w:r>
      </w:hyperlink>
      <w:r w:rsidRPr="60D49439">
        <w:rPr>
          <w:szCs w:val="24"/>
        </w:rPr>
        <w:t xml:space="preserve"> for support.</w:t>
      </w:r>
    </w:p>
    <w:p w14:paraId="70607BCB" w14:textId="59D224DA" w:rsidR="00D00C45" w:rsidRPr="003D5A59" w:rsidRDefault="00D00C45" w:rsidP="00D00C45">
      <w:pPr>
        <w:ind w:left="720"/>
        <w:rPr>
          <w:szCs w:val="24"/>
        </w:rPr>
      </w:pPr>
    </w:p>
    <w:p w14:paraId="7B9F3B7D" w14:textId="4554A402" w:rsidR="004A30ED" w:rsidRPr="00CE37F1" w:rsidRDefault="00652342" w:rsidP="0038482C">
      <w:pPr>
        <w:ind w:left="720"/>
        <w:rPr>
          <w:szCs w:val="24"/>
        </w:rPr>
      </w:pPr>
      <w:r w:rsidRPr="101EB4DA">
        <w:rPr>
          <w:szCs w:val="24"/>
        </w:rPr>
        <w:t>ECAMS</w:t>
      </w:r>
      <w:r w:rsidR="004A30ED" w:rsidRPr="101EB4DA">
        <w:rPr>
          <w:szCs w:val="24"/>
        </w:rPr>
        <w:t xml:space="preserve"> allows </w:t>
      </w:r>
      <w:r w:rsidR="0072183F" w:rsidRPr="101EB4DA">
        <w:rPr>
          <w:szCs w:val="24"/>
        </w:rPr>
        <w:t>A</w:t>
      </w:r>
      <w:r w:rsidR="004A30ED" w:rsidRPr="101EB4DA">
        <w:rPr>
          <w:szCs w:val="24"/>
        </w:rPr>
        <w:t xml:space="preserve">pplicants to </w:t>
      </w:r>
      <w:r w:rsidR="001E48B9" w:rsidRPr="101EB4DA">
        <w:rPr>
          <w:szCs w:val="24"/>
        </w:rPr>
        <w:t xml:space="preserve">complete and </w:t>
      </w:r>
      <w:r w:rsidR="004A30ED" w:rsidRPr="101EB4DA">
        <w:rPr>
          <w:szCs w:val="24"/>
        </w:rPr>
        <w:t xml:space="preserve">submit their </w:t>
      </w:r>
      <w:r w:rsidR="00326C9B" w:rsidRPr="101EB4DA">
        <w:rPr>
          <w:szCs w:val="24"/>
        </w:rPr>
        <w:t>application to</w:t>
      </w:r>
      <w:r w:rsidR="00EE2C04" w:rsidRPr="101EB4DA">
        <w:rPr>
          <w:szCs w:val="24"/>
        </w:rPr>
        <w:t xml:space="preserve"> </w:t>
      </w:r>
      <w:r w:rsidR="006246CC" w:rsidRPr="101EB4DA">
        <w:rPr>
          <w:szCs w:val="24"/>
        </w:rPr>
        <w:t xml:space="preserve">the </w:t>
      </w:r>
      <w:r w:rsidR="00EE2C04" w:rsidRPr="101EB4DA">
        <w:rPr>
          <w:szCs w:val="24"/>
        </w:rPr>
        <w:t xml:space="preserve">CEC </w:t>
      </w:r>
      <w:r w:rsidR="004A30ED" w:rsidRPr="101EB4DA">
        <w:rPr>
          <w:szCs w:val="24"/>
        </w:rPr>
        <w:t>prior to the date and time specified in this solicitation.</w:t>
      </w:r>
      <w:r w:rsidR="00D46E15">
        <w:rPr>
          <w:szCs w:val="24"/>
        </w:rPr>
        <w:t xml:space="preserve"> </w:t>
      </w:r>
      <w:r w:rsidR="005142DB" w:rsidRPr="101EB4DA">
        <w:rPr>
          <w:szCs w:val="24"/>
        </w:rPr>
        <w:t>Files uploaded</w:t>
      </w:r>
      <w:r w:rsidR="00E82069" w:rsidRPr="101EB4DA">
        <w:rPr>
          <w:szCs w:val="24"/>
        </w:rPr>
        <w:t xml:space="preserve"> to the system</w:t>
      </w:r>
      <w:r w:rsidR="004A30ED" w:rsidRPr="101EB4DA">
        <w:rPr>
          <w:szCs w:val="24"/>
        </w:rPr>
        <w:t xml:space="preserve"> must be in Microsoft Word (.doc format) and Excel Office Suite formats unless originally provided in the solicitation in another format. </w:t>
      </w:r>
      <w:r w:rsidR="0EDD4EFF" w:rsidRPr="101EB4DA">
        <w:rPr>
          <w:szCs w:val="24"/>
        </w:rPr>
        <w:t>PDF format is acceptable.</w:t>
      </w:r>
      <w:r w:rsidR="7BEB6A9C" w:rsidRPr="101EB4DA">
        <w:rPr>
          <w:szCs w:val="24"/>
        </w:rPr>
        <w:t xml:space="preserve"> </w:t>
      </w:r>
      <w:r w:rsidR="0089377D" w:rsidRPr="101EB4DA">
        <w:rPr>
          <w:szCs w:val="24"/>
        </w:rPr>
        <w:t>The c</w:t>
      </w:r>
      <w:r w:rsidR="004A30ED" w:rsidRPr="101EB4DA">
        <w:rPr>
          <w:szCs w:val="24"/>
        </w:rPr>
        <w:t xml:space="preserve">ompleted </w:t>
      </w:r>
      <w:r w:rsidR="00F73B33" w:rsidRPr="101EB4DA">
        <w:rPr>
          <w:szCs w:val="24"/>
        </w:rPr>
        <w:t xml:space="preserve">Proposal </w:t>
      </w:r>
      <w:r w:rsidR="004A30ED" w:rsidRPr="101EB4DA">
        <w:rPr>
          <w:szCs w:val="24"/>
        </w:rPr>
        <w:t xml:space="preserve">Budget </w:t>
      </w:r>
      <w:r w:rsidR="00F73B33" w:rsidRPr="101EB4DA">
        <w:rPr>
          <w:szCs w:val="24"/>
        </w:rPr>
        <w:t>Template</w:t>
      </w:r>
      <w:r w:rsidR="004A30ED" w:rsidRPr="101EB4DA">
        <w:rPr>
          <w:szCs w:val="24"/>
        </w:rPr>
        <w:t xml:space="preserve">, Attachment </w:t>
      </w:r>
      <w:r w:rsidR="0353DF7F" w:rsidRPr="0047338F">
        <w:rPr>
          <w:szCs w:val="24"/>
        </w:rPr>
        <w:t>5</w:t>
      </w:r>
      <w:r w:rsidR="004A30ED" w:rsidRPr="101EB4DA">
        <w:rPr>
          <w:szCs w:val="24"/>
        </w:rPr>
        <w:t>, must be in Excel format.</w:t>
      </w:r>
    </w:p>
    <w:p w14:paraId="26BA26B8" w14:textId="77777777" w:rsidR="004A30ED" w:rsidRDefault="004A30ED" w:rsidP="00BD5179">
      <w:pPr>
        <w:ind w:left="720"/>
        <w:rPr>
          <w:szCs w:val="24"/>
        </w:rPr>
      </w:pPr>
    </w:p>
    <w:p w14:paraId="4E6C2182" w14:textId="5834E017" w:rsidR="00B1177E" w:rsidRPr="004C5595" w:rsidRDefault="00B1177E" w:rsidP="00B1177E">
      <w:pPr>
        <w:ind w:left="720"/>
        <w:rPr>
          <w:szCs w:val="24"/>
        </w:rPr>
      </w:pPr>
      <w:r w:rsidRPr="004C5595">
        <w:rPr>
          <w:szCs w:val="24"/>
        </w:rPr>
        <w:t xml:space="preserve">The deadline to submit grant applications through </w:t>
      </w:r>
      <w:r w:rsidR="009069C0">
        <w:rPr>
          <w:szCs w:val="24"/>
        </w:rPr>
        <w:t>ECAMS</w:t>
      </w:r>
      <w:r w:rsidRPr="004C5595">
        <w:rPr>
          <w:szCs w:val="24"/>
        </w:rPr>
        <w:t xml:space="preserve"> is</w:t>
      </w:r>
      <w:r w:rsidR="00D46E15">
        <w:rPr>
          <w:szCs w:val="24"/>
        </w:rPr>
        <w:t xml:space="preserve"> </w:t>
      </w:r>
      <w:r w:rsidRPr="004C5595">
        <w:rPr>
          <w:b/>
          <w:bCs/>
          <w:szCs w:val="24"/>
        </w:rPr>
        <w:t>11:59 p.m</w:t>
      </w:r>
      <w:r w:rsidRPr="004C5595">
        <w:rPr>
          <w:szCs w:val="24"/>
        </w:rPr>
        <w:t xml:space="preserve">. </w:t>
      </w:r>
      <w:r w:rsidR="00D00C45">
        <w:rPr>
          <w:szCs w:val="24"/>
        </w:rPr>
        <w:t>ECAMS</w:t>
      </w:r>
      <w:r w:rsidRPr="004C5595">
        <w:rPr>
          <w:szCs w:val="24"/>
        </w:rPr>
        <w:t xml:space="preserve"> automatically closes at 11:59 </w:t>
      </w:r>
      <w:r w:rsidRPr="20E10759">
        <w:rPr>
          <w:szCs w:val="24"/>
        </w:rPr>
        <w:t>p</w:t>
      </w:r>
      <w:r w:rsidR="330999D2" w:rsidRPr="20E10759">
        <w:rPr>
          <w:szCs w:val="24"/>
        </w:rPr>
        <w:t>.</w:t>
      </w:r>
      <w:r w:rsidRPr="20E10759">
        <w:rPr>
          <w:szCs w:val="24"/>
        </w:rPr>
        <w:t>m</w:t>
      </w:r>
      <w:r w:rsidRPr="004C5595">
        <w:rPr>
          <w:szCs w:val="24"/>
        </w:rPr>
        <w:t>. If the full submittal process has not been completed before 11:59 p.m., your application will not be considered. NO EXCEPTIONS will be entertained.</w:t>
      </w:r>
    </w:p>
    <w:p w14:paraId="254E48B4" w14:textId="77777777" w:rsidR="00B1177E" w:rsidRPr="004C5595" w:rsidRDefault="00B1177E" w:rsidP="00B1177E">
      <w:pPr>
        <w:ind w:left="720"/>
        <w:rPr>
          <w:szCs w:val="24"/>
        </w:rPr>
      </w:pPr>
    </w:p>
    <w:p w14:paraId="4747D803" w14:textId="55DD74E1" w:rsidR="00B1177E" w:rsidRPr="004C5595" w:rsidRDefault="754D2D45" w:rsidP="00B1177E">
      <w:pPr>
        <w:ind w:left="720"/>
        <w:rPr>
          <w:szCs w:val="24"/>
        </w:rPr>
      </w:pPr>
      <w:r w:rsidRPr="2915ECD9">
        <w:rPr>
          <w:szCs w:val="24"/>
        </w:rPr>
        <w:t>The CEC strongly encourages Applicants to upload and submit all applications by 5:00 p.m. because</w:t>
      </w:r>
      <w:r w:rsidR="00087F65">
        <w:rPr>
          <w:szCs w:val="24"/>
        </w:rPr>
        <w:t xml:space="preserve"> </w:t>
      </w:r>
      <w:r w:rsidRPr="2915ECD9">
        <w:rPr>
          <w:szCs w:val="24"/>
        </w:rPr>
        <w:t>CEC staff will not be available after 5:00 p.m. or on weekends to assist with the upload process.</w:t>
      </w:r>
      <w:r w:rsidR="00D46E15">
        <w:rPr>
          <w:szCs w:val="24"/>
        </w:rPr>
        <w:t xml:space="preserve"> </w:t>
      </w:r>
      <w:r w:rsidRPr="2915ECD9">
        <w:rPr>
          <w:szCs w:val="24"/>
        </w:rPr>
        <w:t xml:space="preserve">And please note that while we endeavor to assist all would-be </w:t>
      </w:r>
      <w:r w:rsidR="7CBAE7F2" w:rsidRPr="2915ECD9">
        <w:rPr>
          <w:szCs w:val="24"/>
        </w:rPr>
        <w:t>A</w:t>
      </w:r>
      <w:r w:rsidRPr="2915ECD9">
        <w:rPr>
          <w:szCs w:val="24"/>
        </w:rPr>
        <w:t>pplicants, we can</w:t>
      </w:r>
      <w:r w:rsidR="3330869A" w:rsidRPr="2915ECD9">
        <w:rPr>
          <w:szCs w:val="24"/>
        </w:rPr>
        <w:t>no</w:t>
      </w:r>
      <w:r w:rsidRPr="2915ECD9">
        <w:rPr>
          <w:szCs w:val="24"/>
        </w:rPr>
        <w:t>t guarantee staff will be available for consultation on the due date, so please plan accordingly.</w:t>
      </w:r>
    </w:p>
    <w:p w14:paraId="2A36D4E4" w14:textId="77777777" w:rsidR="00B1177E" w:rsidRPr="004C5595" w:rsidRDefault="00B1177E" w:rsidP="00B1177E">
      <w:pPr>
        <w:ind w:left="720"/>
        <w:rPr>
          <w:szCs w:val="24"/>
        </w:rPr>
      </w:pPr>
    </w:p>
    <w:p w14:paraId="1491F497" w14:textId="2BD9C0F8" w:rsidR="00B1177E" w:rsidRPr="004C5595" w:rsidRDefault="00B1177E" w:rsidP="008E0E40">
      <w:pPr>
        <w:ind w:left="720"/>
        <w:rPr>
          <w:szCs w:val="24"/>
        </w:rPr>
      </w:pPr>
      <w:r w:rsidRPr="004C5595">
        <w:rPr>
          <w:szCs w:val="24"/>
        </w:rPr>
        <w:t xml:space="preserve">Please give yourself ample time to complete all steps of the submission process: do not wait until right before the deadline to begin the process. Due to factors outside the CEC’s control and unrelated to </w:t>
      </w:r>
      <w:r w:rsidR="00326C9B">
        <w:rPr>
          <w:szCs w:val="24"/>
        </w:rPr>
        <w:t>ECAMS,</w:t>
      </w:r>
      <w:r w:rsidRPr="004C5595">
        <w:rPr>
          <w:szCs w:val="24"/>
        </w:rPr>
        <w:t xml:space="preserve"> upload times may be much longer than expected. For example, some past </w:t>
      </w:r>
      <w:r w:rsidR="00D4118A">
        <w:rPr>
          <w:szCs w:val="24"/>
        </w:rPr>
        <w:t>A</w:t>
      </w:r>
      <w:r w:rsidRPr="004C5595">
        <w:rPr>
          <w:szCs w:val="24"/>
        </w:rPr>
        <w:t xml:space="preserve">pplicants experienced unexpected issues on their end, causing long delays that prevented timely </w:t>
      </w:r>
      <w:r w:rsidRPr="004C5595">
        <w:rPr>
          <w:szCs w:val="24"/>
        </w:rPr>
        <w:lastRenderedPageBreak/>
        <w:t>submission. They spent significant time and resources on applications the CEC will not consider.</w:t>
      </w:r>
    </w:p>
    <w:p w14:paraId="3E60FC74" w14:textId="77777777" w:rsidR="00467A1A" w:rsidRPr="004C5595" w:rsidRDefault="00467A1A" w:rsidP="00BD5179">
      <w:pPr>
        <w:ind w:left="720"/>
        <w:rPr>
          <w:szCs w:val="24"/>
        </w:rPr>
      </w:pPr>
    </w:p>
    <w:p w14:paraId="072C4FFF" w14:textId="788953A9" w:rsidR="00373360" w:rsidRDefault="008E0E40" w:rsidP="00373360">
      <w:pPr>
        <w:ind w:left="720"/>
        <w:rPr>
          <w:szCs w:val="24"/>
        </w:rPr>
      </w:pPr>
      <w:r>
        <w:rPr>
          <w:szCs w:val="24"/>
        </w:rPr>
        <w:t>Please plan accordingly</w:t>
      </w:r>
      <w:r w:rsidR="006008E8">
        <w:rPr>
          <w:szCs w:val="24"/>
        </w:rPr>
        <w:t xml:space="preserve">. </w:t>
      </w:r>
      <w:r w:rsidR="004A30ED" w:rsidRPr="004C5595">
        <w:rPr>
          <w:szCs w:val="24"/>
        </w:rPr>
        <w:t>First time users must register as a new user to access the system.</w:t>
      </w:r>
      <w:r w:rsidR="0032468C">
        <w:rPr>
          <w:szCs w:val="24"/>
        </w:rPr>
        <w:t xml:space="preserve"> </w:t>
      </w:r>
      <w:r w:rsidR="006008E8" w:rsidRPr="00D4118A">
        <w:rPr>
          <w:szCs w:val="24"/>
        </w:rPr>
        <w:t>There will be two type</w:t>
      </w:r>
      <w:r w:rsidR="00941B7F" w:rsidRPr="00D4118A">
        <w:rPr>
          <w:szCs w:val="24"/>
        </w:rPr>
        <w:t xml:space="preserve">s of user accounts to establish: </w:t>
      </w:r>
      <w:r w:rsidR="00373360" w:rsidRPr="00B506A0">
        <w:rPr>
          <w:szCs w:val="24"/>
        </w:rPr>
        <w:t>1) An organizational account, for the entity applying to the solicitation; and 2) user accounts for individuals who will be submitting the application on behalf of the organization.</w:t>
      </w:r>
    </w:p>
    <w:p w14:paraId="5595064F" w14:textId="77777777" w:rsidR="00087F65" w:rsidRPr="00B506A0" w:rsidRDefault="00087F65" w:rsidP="00373360">
      <w:pPr>
        <w:ind w:left="720"/>
        <w:rPr>
          <w:szCs w:val="24"/>
        </w:rPr>
      </w:pPr>
    </w:p>
    <w:p w14:paraId="0BAB5561" w14:textId="77777777" w:rsidR="001C23B2" w:rsidRPr="00B506A0" w:rsidRDefault="001C23B2" w:rsidP="001C23B2">
      <w:pPr>
        <w:ind w:left="720"/>
        <w:rPr>
          <w:szCs w:val="24"/>
        </w:rPr>
      </w:pPr>
      <w:r w:rsidRPr="00B506A0">
        <w:rPr>
          <w:szCs w:val="24"/>
        </w:rPr>
        <w:t>Applicants will be required to upload all attachments marked “required” in the system in order for the application to be submitted.</w:t>
      </w:r>
    </w:p>
    <w:p w14:paraId="08DA089A" w14:textId="77777777" w:rsidR="00D47CD0" w:rsidRDefault="00D47CD0" w:rsidP="00E04486">
      <w:pPr>
        <w:rPr>
          <w:szCs w:val="22"/>
        </w:rPr>
      </w:pPr>
      <w:bookmarkStart w:id="60" w:name="_Toc428191084"/>
      <w:bookmarkEnd w:id="59"/>
      <w:bookmarkEnd w:id="60"/>
    </w:p>
    <w:p w14:paraId="2F88B86A" w14:textId="7337070C" w:rsidR="008E55C5" w:rsidRPr="00050087" w:rsidRDefault="008E55C5" w:rsidP="00164AC5">
      <w:pPr>
        <w:pStyle w:val="Heading2"/>
        <w:keepNext w:val="0"/>
        <w:numPr>
          <w:ilvl w:val="0"/>
          <w:numId w:val="13"/>
        </w:numPr>
        <w:spacing w:before="0"/>
        <w:ind w:hanging="720"/>
      </w:pPr>
      <w:bookmarkStart w:id="61" w:name="_Toc184829632"/>
      <w:r>
        <w:rPr>
          <w:lang w:val="en-US"/>
        </w:rPr>
        <w:t>Page Limitations</w:t>
      </w:r>
      <w:bookmarkEnd w:id="61"/>
    </w:p>
    <w:p w14:paraId="02FFAA1B" w14:textId="3E4419AB" w:rsidR="00CF28F5" w:rsidRPr="00CE37F1" w:rsidRDefault="00CF28F5" w:rsidP="00CF28F5">
      <w:pPr>
        <w:ind w:left="720"/>
        <w:rPr>
          <w:szCs w:val="24"/>
        </w:rPr>
      </w:pPr>
      <w:r w:rsidRPr="4541FA84">
        <w:rPr>
          <w:szCs w:val="24"/>
        </w:rPr>
        <w:t xml:space="preserve">The total number of pages for </w:t>
      </w:r>
      <w:r>
        <w:rPr>
          <w:szCs w:val="24"/>
        </w:rPr>
        <w:t>the Project Narrative</w:t>
      </w:r>
      <w:r w:rsidR="006E7D6B">
        <w:rPr>
          <w:szCs w:val="24"/>
        </w:rPr>
        <w:t xml:space="preserve"> </w:t>
      </w:r>
      <w:r w:rsidR="006E7D6B" w:rsidRPr="006E7D6B">
        <w:rPr>
          <w:szCs w:val="24"/>
        </w:rPr>
        <w:t>Unique to Corridor Segment</w:t>
      </w:r>
      <w:r w:rsidRPr="4541FA84">
        <w:rPr>
          <w:szCs w:val="24"/>
        </w:rPr>
        <w:t xml:space="preserve"> </w:t>
      </w:r>
      <w:r>
        <w:rPr>
          <w:szCs w:val="24"/>
        </w:rPr>
        <w:t>(Attachment 1</w:t>
      </w:r>
      <w:r w:rsidR="00657C42">
        <w:rPr>
          <w:szCs w:val="24"/>
        </w:rPr>
        <w:t>,</w:t>
      </w:r>
      <w:r w:rsidR="006E7D6B">
        <w:rPr>
          <w:szCs w:val="24"/>
        </w:rPr>
        <w:t xml:space="preserve"> Part A</w:t>
      </w:r>
      <w:r>
        <w:rPr>
          <w:szCs w:val="24"/>
        </w:rPr>
        <w:t xml:space="preserve">) </w:t>
      </w:r>
      <w:r w:rsidRPr="4541FA84">
        <w:rPr>
          <w:szCs w:val="24"/>
        </w:rPr>
        <w:t xml:space="preserve">is limited to </w:t>
      </w:r>
      <w:r w:rsidR="006E7D6B">
        <w:rPr>
          <w:szCs w:val="24"/>
        </w:rPr>
        <w:t>15</w:t>
      </w:r>
      <w:r w:rsidRPr="4541FA84">
        <w:rPr>
          <w:szCs w:val="24"/>
        </w:rPr>
        <w:t xml:space="preserve"> pages. </w:t>
      </w:r>
      <w:r w:rsidR="006E7D6B">
        <w:rPr>
          <w:szCs w:val="24"/>
        </w:rPr>
        <w:t xml:space="preserve">The </w:t>
      </w:r>
      <w:r w:rsidR="009C7538" w:rsidRPr="009C7538">
        <w:rPr>
          <w:szCs w:val="24"/>
        </w:rPr>
        <w:t>Project Narrative to Complete Once for all Corridor Segments</w:t>
      </w:r>
      <w:r w:rsidR="009C7538">
        <w:rPr>
          <w:szCs w:val="24"/>
        </w:rPr>
        <w:t xml:space="preserve"> </w:t>
      </w:r>
      <w:r w:rsidR="00B216A6">
        <w:rPr>
          <w:szCs w:val="24"/>
        </w:rPr>
        <w:t>(Attachment 1</w:t>
      </w:r>
      <w:r w:rsidR="009E0B33">
        <w:rPr>
          <w:szCs w:val="24"/>
        </w:rPr>
        <w:t>,</w:t>
      </w:r>
      <w:r w:rsidR="00B216A6">
        <w:rPr>
          <w:szCs w:val="24"/>
        </w:rPr>
        <w:t xml:space="preserve"> Part B) </w:t>
      </w:r>
      <w:r w:rsidR="009C7538">
        <w:rPr>
          <w:szCs w:val="24"/>
        </w:rPr>
        <w:t xml:space="preserve">is limited to </w:t>
      </w:r>
      <w:r w:rsidR="00B216A6">
        <w:rPr>
          <w:szCs w:val="24"/>
        </w:rPr>
        <w:t>1</w:t>
      </w:r>
      <w:r w:rsidR="004F7719">
        <w:rPr>
          <w:szCs w:val="24"/>
        </w:rPr>
        <w:t>5</w:t>
      </w:r>
      <w:r w:rsidR="00B216A6">
        <w:rPr>
          <w:szCs w:val="24"/>
        </w:rPr>
        <w:t xml:space="preserve"> pages.</w:t>
      </w:r>
      <w:r w:rsidR="006E7D6B">
        <w:rPr>
          <w:szCs w:val="24"/>
        </w:rPr>
        <w:t xml:space="preserve"> </w:t>
      </w:r>
      <w:r w:rsidRPr="4541FA84">
        <w:rPr>
          <w:szCs w:val="24"/>
        </w:rPr>
        <w:t>The Operation</w:t>
      </w:r>
      <w:r>
        <w:rPr>
          <w:szCs w:val="24"/>
        </w:rPr>
        <w:t>s</w:t>
      </w:r>
      <w:r w:rsidRPr="4541FA84">
        <w:rPr>
          <w:szCs w:val="24"/>
        </w:rPr>
        <w:t xml:space="preserve"> and Maintenance Plan </w:t>
      </w:r>
      <w:r>
        <w:rPr>
          <w:szCs w:val="24"/>
        </w:rPr>
        <w:t>portion of Attachment 1</w:t>
      </w:r>
      <w:r w:rsidR="00BE790A">
        <w:rPr>
          <w:szCs w:val="24"/>
        </w:rPr>
        <w:t>,</w:t>
      </w:r>
      <w:r w:rsidR="00B216A6">
        <w:rPr>
          <w:szCs w:val="24"/>
        </w:rPr>
        <w:t xml:space="preserve"> Part B</w:t>
      </w:r>
      <w:r>
        <w:rPr>
          <w:szCs w:val="24"/>
        </w:rPr>
        <w:t xml:space="preserve"> </w:t>
      </w:r>
      <w:r w:rsidRPr="4541FA84">
        <w:rPr>
          <w:szCs w:val="24"/>
        </w:rPr>
        <w:t xml:space="preserve">is limited to </w:t>
      </w:r>
      <w:r w:rsidR="00C94FCC">
        <w:rPr>
          <w:szCs w:val="24"/>
        </w:rPr>
        <w:t>five</w:t>
      </w:r>
      <w:r w:rsidR="00752AA2" w:rsidRPr="4541FA84">
        <w:rPr>
          <w:szCs w:val="24"/>
        </w:rPr>
        <w:t xml:space="preserve"> </w:t>
      </w:r>
      <w:r w:rsidRPr="4541FA84">
        <w:rPr>
          <w:szCs w:val="24"/>
        </w:rPr>
        <w:t>(</w:t>
      </w:r>
      <w:r w:rsidR="00C94FCC">
        <w:rPr>
          <w:szCs w:val="24"/>
        </w:rPr>
        <w:t>5</w:t>
      </w:r>
      <w:r w:rsidRPr="4541FA84">
        <w:rPr>
          <w:szCs w:val="24"/>
        </w:rPr>
        <w:t>) pages</w:t>
      </w:r>
      <w:r>
        <w:rPr>
          <w:szCs w:val="24"/>
        </w:rPr>
        <w:t xml:space="preserve"> out of the </w:t>
      </w:r>
      <w:r w:rsidR="00FA7D29">
        <w:rPr>
          <w:szCs w:val="24"/>
        </w:rPr>
        <w:t>1</w:t>
      </w:r>
      <w:r w:rsidR="004F7719">
        <w:rPr>
          <w:szCs w:val="24"/>
        </w:rPr>
        <w:t>5</w:t>
      </w:r>
      <w:r w:rsidR="00F57EEE">
        <w:rPr>
          <w:szCs w:val="24"/>
        </w:rPr>
        <w:t>-</w:t>
      </w:r>
      <w:r>
        <w:rPr>
          <w:szCs w:val="24"/>
        </w:rPr>
        <w:t>page total</w:t>
      </w:r>
      <w:r w:rsidRPr="4541FA84">
        <w:rPr>
          <w:szCs w:val="24"/>
        </w:rPr>
        <w:t>.</w:t>
      </w:r>
    </w:p>
    <w:p w14:paraId="403EA78D" w14:textId="77777777" w:rsidR="000C5650" w:rsidRPr="00CE37F1" w:rsidRDefault="000C5650" w:rsidP="00E04486">
      <w:pPr>
        <w:rPr>
          <w:szCs w:val="24"/>
        </w:rPr>
      </w:pPr>
    </w:p>
    <w:p w14:paraId="3EAEA10B" w14:textId="274D3DC6" w:rsidR="006C6191" w:rsidRDefault="001661BE" w:rsidP="00164AC5">
      <w:pPr>
        <w:pStyle w:val="Heading2"/>
        <w:keepNext w:val="0"/>
        <w:numPr>
          <w:ilvl w:val="0"/>
          <w:numId w:val="13"/>
        </w:numPr>
        <w:spacing w:before="0"/>
        <w:ind w:hanging="720"/>
        <w:rPr>
          <w:lang w:val="en-US"/>
        </w:rPr>
      </w:pPr>
      <w:bookmarkStart w:id="62" w:name="_Toc184829633"/>
      <w:r>
        <w:t>Application</w:t>
      </w:r>
      <w:r w:rsidR="004A6704">
        <w:t xml:space="preserve"> </w:t>
      </w:r>
      <w:r w:rsidR="00C02330" w:rsidRPr="471530B5">
        <w:rPr>
          <w:lang w:val="en-US"/>
        </w:rPr>
        <w:t>Content</w:t>
      </w:r>
      <w:bookmarkEnd w:id="62"/>
    </w:p>
    <w:p w14:paraId="4C64EE26" w14:textId="453A522A" w:rsidR="00E277FA" w:rsidRPr="00CE37F1" w:rsidRDefault="60735CCF" w:rsidP="00E277FA">
      <w:pPr>
        <w:pStyle w:val="ListParagraph"/>
      </w:pPr>
      <w:r>
        <w:t>I</w:t>
      </w:r>
      <w:r w:rsidR="00E277FA">
        <w:t xml:space="preserve">tems listed below are required as part of the application package. Failure to provide any </w:t>
      </w:r>
      <w:r w:rsidR="0086642E">
        <w:t>items</w:t>
      </w:r>
      <w:r w:rsidR="00E277FA">
        <w:t xml:space="preserve"> may result in disqualification of the application. Attachment requirements are expanded and explained below in this section</w:t>
      </w:r>
      <w:r w:rsidR="0086642E">
        <w:t xml:space="preserve"> and in the attachments themselves</w:t>
      </w:r>
      <w:r w:rsidR="00E277FA">
        <w:t>.</w:t>
      </w:r>
      <w:r w:rsidR="2A6E41DB">
        <w:t xml:space="preserve"> Note that Letters of Support (Attachment 9) </w:t>
      </w:r>
      <w:r w:rsidR="00EB3649">
        <w:t xml:space="preserve">and Preliminary Site Design (Attachment 13) </w:t>
      </w:r>
      <w:r w:rsidR="2A6E41DB">
        <w:t xml:space="preserve">are optional. </w:t>
      </w:r>
    </w:p>
    <w:p w14:paraId="571108C3" w14:textId="77777777" w:rsidR="000C5650" w:rsidRPr="00050087" w:rsidRDefault="000C5650" w:rsidP="00E04486">
      <w:pPr>
        <w:rPr>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6745"/>
        <w:gridCol w:w="2615"/>
      </w:tblGrid>
      <w:tr w:rsidR="00321BEF" w:rsidRPr="00CE37F1" w14:paraId="231BEF16" w14:textId="77777777" w:rsidTr="00392B6E">
        <w:trPr>
          <w:cantSplit/>
          <w:trHeight w:val="360"/>
          <w:tblHeader/>
        </w:trPr>
        <w:tc>
          <w:tcPr>
            <w:tcW w:w="6745" w:type="dxa"/>
            <w:shd w:val="clear" w:color="auto" w:fill="D9D9D9" w:themeFill="background1" w:themeFillShade="D9"/>
            <w:vAlign w:val="center"/>
          </w:tcPr>
          <w:p w14:paraId="4389FC54" w14:textId="77777777" w:rsidR="00321BEF" w:rsidRPr="00CE37F1" w:rsidRDefault="00321BEF" w:rsidP="00CB6A04">
            <w:pPr>
              <w:jc w:val="center"/>
              <w:rPr>
                <w:b/>
                <w:szCs w:val="24"/>
              </w:rPr>
            </w:pPr>
            <w:r w:rsidRPr="00CE37F1">
              <w:rPr>
                <w:b/>
                <w:szCs w:val="24"/>
              </w:rPr>
              <w:t>Item</w:t>
            </w:r>
          </w:p>
        </w:tc>
        <w:tc>
          <w:tcPr>
            <w:tcW w:w="2615" w:type="dxa"/>
            <w:shd w:val="clear" w:color="auto" w:fill="D9D9D9" w:themeFill="background1" w:themeFillShade="D9"/>
            <w:vAlign w:val="center"/>
          </w:tcPr>
          <w:p w14:paraId="1FA1F40A" w14:textId="67C686AE" w:rsidR="00321BEF" w:rsidRPr="00CE37F1" w:rsidRDefault="03CDE253" w:rsidP="00CB6A04">
            <w:pPr>
              <w:jc w:val="center"/>
              <w:rPr>
                <w:b/>
                <w:bCs/>
                <w:szCs w:val="24"/>
              </w:rPr>
            </w:pPr>
            <w:r w:rsidRPr="471530B5">
              <w:rPr>
                <w:b/>
                <w:bCs/>
                <w:szCs w:val="24"/>
              </w:rPr>
              <w:t>Attachment Number</w:t>
            </w:r>
          </w:p>
        </w:tc>
      </w:tr>
      <w:tr w:rsidR="00321BEF" w:rsidRPr="00CE37F1" w14:paraId="623F034D" w14:textId="77777777" w:rsidTr="00392B6E">
        <w:trPr>
          <w:cantSplit/>
          <w:trHeight w:val="360"/>
        </w:trPr>
        <w:tc>
          <w:tcPr>
            <w:tcW w:w="6745" w:type="dxa"/>
            <w:vAlign w:val="center"/>
          </w:tcPr>
          <w:p w14:paraId="58287DA3" w14:textId="088C7577" w:rsidR="00321BEF" w:rsidRPr="00CE37F1" w:rsidRDefault="00321BEF" w:rsidP="00CB6A04">
            <w:pPr>
              <w:rPr>
                <w:szCs w:val="24"/>
              </w:rPr>
            </w:pPr>
            <w:r w:rsidRPr="00CE37F1">
              <w:rPr>
                <w:szCs w:val="24"/>
              </w:rPr>
              <w:t>Project Narrative</w:t>
            </w:r>
            <w:r w:rsidR="00AC0A08">
              <w:rPr>
                <w:szCs w:val="24"/>
              </w:rPr>
              <w:t xml:space="preserve"> Unique to Corridor Segment</w:t>
            </w:r>
          </w:p>
        </w:tc>
        <w:tc>
          <w:tcPr>
            <w:tcW w:w="2615" w:type="dxa"/>
            <w:vAlign w:val="center"/>
          </w:tcPr>
          <w:p w14:paraId="2468C44A" w14:textId="043AD4B7" w:rsidR="00321BEF" w:rsidRPr="00CE37F1" w:rsidRDefault="4182CBA8" w:rsidP="00CB6A04">
            <w:pPr>
              <w:rPr>
                <w:szCs w:val="24"/>
              </w:rPr>
            </w:pPr>
            <w:r w:rsidRPr="101EB4DA">
              <w:rPr>
                <w:szCs w:val="24"/>
              </w:rPr>
              <w:t xml:space="preserve">Attachment </w:t>
            </w:r>
            <w:r w:rsidR="332A953A" w:rsidRPr="00F57EEE">
              <w:rPr>
                <w:szCs w:val="24"/>
              </w:rPr>
              <w:t>1</w:t>
            </w:r>
            <w:r w:rsidR="00AC0A08">
              <w:rPr>
                <w:szCs w:val="24"/>
              </w:rPr>
              <w:t>, Part A</w:t>
            </w:r>
          </w:p>
        </w:tc>
      </w:tr>
      <w:tr w:rsidR="00AC0A08" w:rsidRPr="00CE37F1" w14:paraId="78F90E68" w14:textId="77777777" w:rsidTr="00392B6E">
        <w:trPr>
          <w:cantSplit/>
          <w:trHeight w:val="360"/>
        </w:trPr>
        <w:tc>
          <w:tcPr>
            <w:tcW w:w="6745" w:type="dxa"/>
            <w:vAlign w:val="center"/>
          </w:tcPr>
          <w:p w14:paraId="15F8CEC9" w14:textId="5F4AE0F0" w:rsidR="00AC0A08" w:rsidRPr="00CE37F1" w:rsidRDefault="00AC0A08" w:rsidP="00CB6A04">
            <w:pPr>
              <w:rPr>
                <w:szCs w:val="24"/>
              </w:rPr>
            </w:pPr>
            <w:r>
              <w:rPr>
                <w:szCs w:val="24"/>
              </w:rPr>
              <w:t>Project Narrative to Complete Once for all Corridor Segments</w:t>
            </w:r>
          </w:p>
        </w:tc>
        <w:tc>
          <w:tcPr>
            <w:tcW w:w="2615" w:type="dxa"/>
            <w:vAlign w:val="center"/>
          </w:tcPr>
          <w:p w14:paraId="0521B3BD" w14:textId="1ED0D467" w:rsidR="00AC0A08" w:rsidRPr="101EB4DA" w:rsidRDefault="00AC0A08" w:rsidP="00CB6A04">
            <w:pPr>
              <w:rPr>
                <w:szCs w:val="24"/>
              </w:rPr>
            </w:pPr>
            <w:r>
              <w:rPr>
                <w:szCs w:val="24"/>
              </w:rPr>
              <w:t>Attachment 1, Part B</w:t>
            </w:r>
          </w:p>
        </w:tc>
      </w:tr>
      <w:tr w:rsidR="00321BEF" w:rsidRPr="00CE37F1" w14:paraId="47A0C0C8" w14:textId="77777777" w:rsidTr="00392B6E">
        <w:trPr>
          <w:cantSplit/>
          <w:trHeight w:val="360"/>
        </w:trPr>
        <w:tc>
          <w:tcPr>
            <w:tcW w:w="6745" w:type="dxa"/>
            <w:vAlign w:val="center"/>
          </w:tcPr>
          <w:p w14:paraId="266E988F" w14:textId="77777777" w:rsidR="00321BEF" w:rsidRPr="00CE37F1" w:rsidRDefault="00321BEF" w:rsidP="00CB6A04">
            <w:pPr>
              <w:rPr>
                <w:szCs w:val="24"/>
              </w:rPr>
            </w:pPr>
            <w:r w:rsidRPr="00CE37F1">
              <w:rPr>
                <w:szCs w:val="24"/>
              </w:rPr>
              <w:t>Scope of Work</w:t>
            </w:r>
          </w:p>
        </w:tc>
        <w:tc>
          <w:tcPr>
            <w:tcW w:w="2615" w:type="dxa"/>
            <w:vAlign w:val="center"/>
          </w:tcPr>
          <w:p w14:paraId="7BDF7BE3" w14:textId="015A7FBE" w:rsidR="00321BEF" w:rsidRPr="00CE37F1" w:rsidRDefault="6F377A10" w:rsidP="00CB6A04">
            <w:pPr>
              <w:rPr>
                <w:szCs w:val="24"/>
              </w:rPr>
            </w:pPr>
            <w:r w:rsidRPr="101EB4DA">
              <w:rPr>
                <w:szCs w:val="24"/>
              </w:rPr>
              <w:t xml:space="preserve">Attachment </w:t>
            </w:r>
            <w:r w:rsidR="79947804" w:rsidRPr="00F57EEE">
              <w:rPr>
                <w:szCs w:val="24"/>
              </w:rPr>
              <w:t>2</w:t>
            </w:r>
          </w:p>
        </w:tc>
      </w:tr>
      <w:tr w:rsidR="00321BEF" w:rsidRPr="00CE37F1" w14:paraId="0056FD5C" w14:textId="77777777" w:rsidTr="00392B6E">
        <w:trPr>
          <w:cantSplit/>
          <w:trHeight w:val="360"/>
        </w:trPr>
        <w:tc>
          <w:tcPr>
            <w:tcW w:w="6745" w:type="dxa"/>
            <w:vAlign w:val="center"/>
          </w:tcPr>
          <w:p w14:paraId="7D10824F" w14:textId="77777777" w:rsidR="00321BEF" w:rsidRPr="00CE37F1" w:rsidRDefault="00321BEF" w:rsidP="00CB6A04">
            <w:pPr>
              <w:rPr>
                <w:szCs w:val="24"/>
              </w:rPr>
            </w:pPr>
            <w:r w:rsidRPr="00CE37F1">
              <w:rPr>
                <w:szCs w:val="24"/>
              </w:rPr>
              <w:t>Schedule of Products and Due Dates</w:t>
            </w:r>
          </w:p>
        </w:tc>
        <w:tc>
          <w:tcPr>
            <w:tcW w:w="2615" w:type="dxa"/>
            <w:vAlign w:val="center"/>
          </w:tcPr>
          <w:p w14:paraId="7D63FFBD" w14:textId="35232FFF" w:rsidR="00321BEF" w:rsidRPr="00CE37F1" w:rsidRDefault="0B04941D" w:rsidP="00CB6A04">
            <w:pPr>
              <w:rPr>
                <w:szCs w:val="24"/>
              </w:rPr>
            </w:pPr>
            <w:r w:rsidRPr="101EB4DA">
              <w:rPr>
                <w:szCs w:val="24"/>
              </w:rPr>
              <w:t xml:space="preserve">Attachment </w:t>
            </w:r>
            <w:r w:rsidR="7C80806C" w:rsidRPr="00F57EEE">
              <w:rPr>
                <w:szCs w:val="24"/>
              </w:rPr>
              <w:t>4</w:t>
            </w:r>
          </w:p>
        </w:tc>
      </w:tr>
      <w:tr w:rsidR="00321BEF" w:rsidRPr="00CE37F1" w14:paraId="01317D79" w14:textId="77777777" w:rsidTr="00392B6E">
        <w:trPr>
          <w:cantSplit/>
          <w:trHeight w:val="360"/>
        </w:trPr>
        <w:tc>
          <w:tcPr>
            <w:tcW w:w="6745" w:type="dxa"/>
            <w:vAlign w:val="center"/>
          </w:tcPr>
          <w:p w14:paraId="2442641A" w14:textId="77777777" w:rsidR="00321BEF" w:rsidRPr="00CE37F1" w:rsidRDefault="00321BEF" w:rsidP="00CB6A04">
            <w:pPr>
              <w:rPr>
                <w:szCs w:val="24"/>
              </w:rPr>
            </w:pPr>
            <w:r w:rsidRPr="00CE37F1">
              <w:rPr>
                <w:szCs w:val="24"/>
              </w:rPr>
              <w:t>Budget Forms</w:t>
            </w:r>
          </w:p>
        </w:tc>
        <w:tc>
          <w:tcPr>
            <w:tcW w:w="2615" w:type="dxa"/>
            <w:vAlign w:val="center"/>
          </w:tcPr>
          <w:p w14:paraId="2206FD55" w14:textId="0EB7D344" w:rsidR="00321BEF" w:rsidRPr="00CE37F1" w:rsidRDefault="5E2D068C" w:rsidP="00CB6A04">
            <w:pPr>
              <w:rPr>
                <w:szCs w:val="24"/>
              </w:rPr>
            </w:pPr>
            <w:r w:rsidRPr="101EB4DA">
              <w:rPr>
                <w:szCs w:val="24"/>
              </w:rPr>
              <w:t xml:space="preserve">Attachment </w:t>
            </w:r>
            <w:r w:rsidR="14A1BF03" w:rsidRPr="00F57EEE">
              <w:rPr>
                <w:szCs w:val="24"/>
              </w:rPr>
              <w:t>5</w:t>
            </w:r>
          </w:p>
        </w:tc>
      </w:tr>
      <w:tr w:rsidR="00FD6BCD" w:rsidRPr="00CE37F1" w14:paraId="09A31F94" w14:textId="77777777" w:rsidTr="00392B6E">
        <w:trPr>
          <w:cantSplit/>
          <w:trHeight w:val="360"/>
        </w:trPr>
        <w:tc>
          <w:tcPr>
            <w:tcW w:w="6745" w:type="dxa"/>
            <w:vAlign w:val="center"/>
          </w:tcPr>
          <w:p w14:paraId="62A74B65" w14:textId="77777777" w:rsidR="00FD6BCD" w:rsidRPr="00CE37F1" w:rsidRDefault="00FD6BCD" w:rsidP="00CB6A04">
            <w:pPr>
              <w:rPr>
                <w:szCs w:val="24"/>
              </w:rPr>
            </w:pPr>
            <w:r w:rsidRPr="00CE37F1">
              <w:rPr>
                <w:szCs w:val="24"/>
              </w:rPr>
              <w:t>Resumes</w:t>
            </w:r>
          </w:p>
        </w:tc>
        <w:tc>
          <w:tcPr>
            <w:tcW w:w="2615" w:type="dxa"/>
            <w:vAlign w:val="center"/>
          </w:tcPr>
          <w:p w14:paraId="470443A0" w14:textId="46317273" w:rsidR="00FD6BCD" w:rsidRPr="00CE37F1" w:rsidRDefault="7F9D8760" w:rsidP="00CB6A04">
            <w:pPr>
              <w:rPr>
                <w:szCs w:val="24"/>
              </w:rPr>
            </w:pPr>
            <w:r w:rsidRPr="101EB4DA">
              <w:rPr>
                <w:szCs w:val="24"/>
              </w:rPr>
              <w:t xml:space="preserve">Attachment </w:t>
            </w:r>
            <w:r w:rsidR="63DAB265" w:rsidRPr="00F57EEE">
              <w:rPr>
                <w:szCs w:val="24"/>
              </w:rPr>
              <w:t>6</w:t>
            </w:r>
          </w:p>
        </w:tc>
      </w:tr>
      <w:tr w:rsidR="00321BEF" w:rsidRPr="00CE37F1" w14:paraId="08336B9C" w14:textId="77777777" w:rsidTr="00392B6E">
        <w:trPr>
          <w:cantSplit/>
          <w:trHeight w:val="360"/>
        </w:trPr>
        <w:tc>
          <w:tcPr>
            <w:tcW w:w="6745" w:type="dxa"/>
            <w:vAlign w:val="center"/>
          </w:tcPr>
          <w:p w14:paraId="51FF2B0F" w14:textId="77777777" w:rsidR="00321BEF" w:rsidRPr="00CE37F1" w:rsidRDefault="00321BEF" w:rsidP="00CB6A04">
            <w:pPr>
              <w:rPr>
                <w:szCs w:val="24"/>
              </w:rPr>
            </w:pPr>
            <w:r w:rsidRPr="00CE37F1">
              <w:rPr>
                <w:szCs w:val="24"/>
              </w:rPr>
              <w:t>Contact List</w:t>
            </w:r>
          </w:p>
        </w:tc>
        <w:tc>
          <w:tcPr>
            <w:tcW w:w="2615" w:type="dxa"/>
            <w:vAlign w:val="center"/>
          </w:tcPr>
          <w:p w14:paraId="4523C46D" w14:textId="7BF94E92" w:rsidR="00321BEF" w:rsidRPr="00CE37F1" w:rsidRDefault="16A0062A" w:rsidP="00CB6A04">
            <w:pPr>
              <w:rPr>
                <w:szCs w:val="24"/>
              </w:rPr>
            </w:pPr>
            <w:r w:rsidRPr="101EB4DA">
              <w:rPr>
                <w:szCs w:val="24"/>
              </w:rPr>
              <w:t xml:space="preserve">Attachment </w:t>
            </w:r>
            <w:r w:rsidR="22530671" w:rsidRPr="00F57EEE">
              <w:rPr>
                <w:szCs w:val="24"/>
              </w:rPr>
              <w:t>7</w:t>
            </w:r>
          </w:p>
        </w:tc>
      </w:tr>
      <w:tr w:rsidR="006B7671" w:rsidRPr="00CE37F1" w14:paraId="0D5E317A" w14:textId="77777777" w:rsidTr="00392B6E">
        <w:trPr>
          <w:cantSplit/>
          <w:trHeight w:val="360"/>
        </w:trPr>
        <w:tc>
          <w:tcPr>
            <w:tcW w:w="6745" w:type="dxa"/>
            <w:vAlign w:val="center"/>
          </w:tcPr>
          <w:p w14:paraId="7E9CE43C" w14:textId="1B955CD0" w:rsidR="006B7671" w:rsidRPr="00CE37F1" w:rsidRDefault="006B7671" w:rsidP="00CB6A04">
            <w:pPr>
              <w:rPr>
                <w:szCs w:val="24"/>
              </w:rPr>
            </w:pPr>
            <w:r>
              <w:rPr>
                <w:szCs w:val="24"/>
              </w:rPr>
              <w:t>Letters o</w:t>
            </w:r>
            <w:r w:rsidR="00E665DC">
              <w:rPr>
                <w:szCs w:val="24"/>
              </w:rPr>
              <w:t>f</w:t>
            </w:r>
            <w:r>
              <w:rPr>
                <w:szCs w:val="24"/>
              </w:rPr>
              <w:t xml:space="preserve"> Commitment </w:t>
            </w:r>
          </w:p>
        </w:tc>
        <w:tc>
          <w:tcPr>
            <w:tcW w:w="2615" w:type="dxa"/>
            <w:vAlign w:val="center"/>
          </w:tcPr>
          <w:p w14:paraId="63ECC569" w14:textId="20E252AA" w:rsidR="006B7671" w:rsidRPr="00CE37F1" w:rsidRDefault="4D0DCD59" w:rsidP="00CB6A04">
            <w:pPr>
              <w:spacing w:line="259" w:lineRule="auto"/>
            </w:pPr>
            <w:r w:rsidRPr="101EB4DA">
              <w:rPr>
                <w:szCs w:val="24"/>
              </w:rPr>
              <w:t xml:space="preserve">Attachment </w:t>
            </w:r>
            <w:r w:rsidR="2FF7387B" w:rsidRPr="00F57EEE">
              <w:rPr>
                <w:szCs w:val="24"/>
              </w:rPr>
              <w:t>8</w:t>
            </w:r>
          </w:p>
        </w:tc>
      </w:tr>
      <w:tr w:rsidR="00321BEF" w:rsidRPr="00CE37F1" w14:paraId="41ABD2E4" w14:textId="77777777" w:rsidTr="00392B6E">
        <w:trPr>
          <w:cantSplit/>
          <w:trHeight w:val="360"/>
        </w:trPr>
        <w:tc>
          <w:tcPr>
            <w:tcW w:w="6745" w:type="dxa"/>
            <w:vAlign w:val="center"/>
          </w:tcPr>
          <w:p w14:paraId="37B3E343" w14:textId="324D9A3C" w:rsidR="00321BEF" w:rsidRPr="00CE37F1" w:rsidRDefault="00321BEF" w:rsidP="00CB6A04">
            <w:pPr>
              <w:rPr>
                <w:szCs w:val="24"/>
              </w:rPr>
            </w:pPr>
            <w:r w:rsidRPr="00CE37F1">
              <w:rPr>
                <w:szCs w:val="24"/>
              </w:rPr>
              <w:t>Letters of Support</w:t>
            </w:r>
            <w:r w:rsidR="006B7671">
              <w:rPr>
                <w:szCs w:val="24"/>
              </w:rPr>
              <w:t xml:space="preserve"> (optional)</w:t>
            </w:r>
            <w:r w:rsidRPr="00CE37F1">
              <w:rPr>
                <w:szCs w:val="24"/>
              </w:rPr>
              <w:t xml:space="preserve"> </w:t>
            </w:r>
          </w:p>
        </w:tc>
        <w:tc>
          <w:tcPr>
            <w:tcW w:w="2615" w:type="dxa"/>
            <w:vAlign w:val="center"/>
          </w:tcPr>
          <w:p w14:paraId="0B2265E6" w14:textId="48A5A287" w:rsidR="00321BEF" w:rsidRPr="00CE37F1" w:rsidRDefault="74D3B033" w:rsidP="00CB6A04">
            <w:pPr>
              <w:rPr>
                <w:szCs w:val="24"/>
              </w:rPr>
            </w:pPr>
            <w:r w:rsidRPr="101EB4DA">
              <w:rPr>
                <w:szCs w:val="24"/>
              </w:rPr>
              <w:t xml:space="preserve">Attachment </w:t>
            </w:r>
            <w:r w:rsidR="46C4F610" w:rsidRPr="00F57EEE">
              <w:rPr>
                <w:szCs w:val="24"/>
              </w:rPr>
              <w:t>9</w:t>
            </w:r>
          </w:p>
        </w:tc>
      </w:tr>
      <w:tr w:rsidR="00321BEF" w:rsidRPr="00CE37F1" w14:paraId="0AA88F19" w14:textId="77777777" w:rsidTr="00392B6E">
        <w:trPr>
          <w:cantSplit/>
          <w:trHeight w:val="360"/>
        </w:trPr>
        <w:tc>
          <w:tcPr>
            <w:tcW w:w="6745" w:type="dxa"/>
            <w:vAlign w:val="center"/>
          </w:tcPr>
          <w:p w14:paraId="77C6405A" w14:textId="77777777" w:rsidR="00321BEF" w:rsidRPr="00CE37F1" w:rsidRDefault="00321BEF" w:rsidP="00CB6A04">
            <w:pPr>
              <w:rPr>
                <w:szCs w:val="24"/>
              </w:rPr>
            </w:pPr>
            <w:r w:rsidRPr="00CE37F1">
              <w:rPr>
                <w:szCs w:val="24"/>
              </w:rPr>
              <w:t xml:space="preserve">CEQA </w:t>
            </w:r>
            <w:r w:rsidR="00CA3004" w:rsidRPr="00CE37F1">
              <w:rPr>
                <w:szCs w:val="24"/>
              </w:rPr>
              <w:t>Worksheet</w:t>
            </w:r>
          </w:p>
        </w:tc>
        <w:tc>
          <w:tcPr>
            <w:tcW w:w="2615" w:type="dxa"/>
            <w:vAlign w:val="center"/>
          </w:tcPr>
          <w:p w14:paraId="0B9FC07F" w14:textId="53BA4961" w:rsidR="00321BEF" w:rsidRPr="00CE37F1" w:rsidRDefault="1324D7FA" w:rsidP="00CB6A04">
            <w:pPr>
              <w:rPr>
                <w:szCs w:val="24"/>
              </w:rPr>
            </w:pPr>
            <w:r w:rsidRPr="101EB4DA">
              <w:rPr>
                <w:szCs w:val="24"/>
              </w:rPr>
              <w:t xml:space="preserve">Attachment </w:t>
            </w:r>
            <w:r w:rsidR="306DD4D7" w:rsidRPr="00F57EEE">
              <w:rPr>
                <w:szCs w:val="24"/>
              </w:rPr>
              <w:t>10</w:t>
            </w:r>
          </w:p>
        </w:tc>
      </w:tr>
      <w:tr w:rsidR="00321BEF" w:rsidRPr="00CE37F1" w14:paraId="43F2C276" w14:textId="77777777" w:rsidTr="00392B6E">
        <w:trPr>
          <w:cantSplit/>
          <w:trHeight w:val="360"/>
        </w:trPr>
        <w:tc>
          <w:tcPr>
            <w:tcW w:w="6745" w:type="dxa"/>
            <w:vAlign w:val="center"/>
          </w:tcPr>
          <w:p w14:paraId="7F866614" w14:textId="25872CFC" w:rsidR="00321BEF" w:rsidRPr="00CE37F1" w:rsidRDefault="00436358" w:rsidP="00CB6A04">
            <w:pPr>
              <w:rPr>
                <w:szCs w:val="24"/>
              </w:rPr>
            </w:pPr>
            <w:r>
              <w:rPr>
                <w:szCs w:val="24"/>
              </w:rPr>
              <w:t>Utility Verification Form</w:t>
            </w:r>
          </w:p>
        </w:tc>
        <w:tc>
          <w:tcPr>
            <w:tcW w:w="2615" w:type="dxa"/>
            <w:vAlign w:val="center"/>
          </w:tcPr>
          <w:p w14:paraId="62070FB7" w14:textId="302A7FA5" w:rsidR="00321BEF" w:rsidRPr="00CE37F1" w:rsidRDefault="52ACF6AA" w:rsidP="00CB6A04">
            <w:pPr>
              <w:rPr>
                <w:szCs w:val="24"/>
              </w:rPr>
            </w:pPr>
            <w:r w:rsidRPr="101EB4DA">
              <w:rPr>
                <w:szCs w:val="24"/>
              </w:rPr>
              <w:t xml:space="preserve">Attachment </w:t>
            </w:r>
            <w:r w:rsidR="24BB7E28" w:rsidRPr="00F57EEE">
              <w:rPr>
                <w:szCs w:val="24"/>
              </w:rPr>
              <w:t>11</w:t>
            </w:r>
          </w:p>
        </w:tc>
      </w:tr>
      <w:tr w:rsidR="00E277FA" w:rsidRPr="00CE37F1" w14:paraId="73A722F0" w14:textId="77777777" w:rsidTr="00392B6E">
        <w:trPr>
          <w:cantSplit/>
          <w:trHeight w:val="360"/>
        </w:trPr>
        <w:tc>
          <w:tcPr>
            <w:tcW w:w="6745" w:type="dxa"/>
            <w:vAlign w:val="center"/>
          </w:tcPr>
          <w:p w14:paraId="531B00AF" w14:textId="77777777" w:rsidR="00E277FA" w:rsidRPr="00CE37F1" w:rsidRDefault="00E277FA" w:rsidP="00CB6A04">
            <w:pPr>
              <w:rPr>
                <w:szCs w:val="24"/>
              </w:rPr>
            </w:pPr>
            <w:r w:rsidRPr="00CE37F1">
              <w:rPr>
                <w:szCs w:val="24"/>
              </w:rPr>
              <w:t>Past Performance Reference Form(s)</w:t>
            </w:r>
          </w:p>
        </w:tc>
        <w:tc>
          <w:tcPr>
            <w:tcW w:w="2615" w:type="dxa"/>
            <w:vAlign w:val="center"/>
          </w:tcPr>
          <w:p w14:paraId="4DF60EEB" w14:textId="0198EFF8" w:rsidR="00E277FA" w:rsidRPr="00CE37F1" w:rsidRDefault="35489691" w:rsidP="00CB6A04">
            <w:pPr>
              <w:rPr>
                <w:szCs w:val="24"/>
              </w:rPr>
            </w:pPr>
            <w:r w:rsidRPr="101EB4DA">
              <w:rPr>
                <w:szCs w:val="24"/>
              </w:rPr>
              <w:t xml:space="preserve">Attachment </w:t>
            </w:r>
            <w:r w:rsidR="69DA67BE" w:rsidRPr="00F57EEE">
              <w:rPr>
                <w:szCs w:val="24"/>
              </w:rPr>
              <w:t>12</w:t>
            </w:r>
          </w:p>
        </w:tc>
      </w:tr>
      <w:tr w:rsidR="00F57475" w:rsidRPr="00CE37F1" w14:paraId="4CC952AC" w14:textId="77777777" w:rsidTr="00392B6E">
        <w:trPr>
          <w:cantSplit/>
          <w:trHeight w:val="360"/>
        </w:trPr>
        <w:tc>
          <w:tcPr>
            <w:tcW w:w="6745" w:type="dxa"/>
            <w:vAlign w:val="center"/>
          </w:tcPr>
          <w:p w14:paraId="54C13B4D" w14:textId="5057FF2F" w:rsidR="00F57475" w:rsidRPr="00CE37F1" w:rsidRDefault="008C7F51" w:rsidP="00CB6A04">
            <w:pPr>
              <w:rPr>
                <w:szCs w:val="24"/>
              </w:rPr>
            </w:pPr>
            <w:r>
              <w:rPr>
                <w:szCs w:val="24"/>
              </w:rPr>
              <w:t xml:space="preserve">Preliminary </w:t>
            </w:r>
            <w:r w:rsidR="00F57475">
              <w:rPr>
                <w:szCs w:val="24"/>
              </w:rPr>
              <w:t>Site Design (optional)</w:t>
            </w:r>
          </w:p>
        </w:tc>
        <w:tc>
          <w:tcPr>
            <w:tcW w:w="2615" w:type="dxa"/>
            <w:vAlign w:val="center"/>
          </w:tcPr>
          <w:p w14:paraId="140CDEBA" w14:textId="146461D4" w:rsidR="00F57475" w:rsidRPr="101EB4DA" w:rsidRDefault="00F57475" w:rsidP="00CB6A04">
            <w:pPr>
              <w:rPr>
                <w:szCs w:val="24"/>
              </w:rPr>
            </w:pPr>
            <w:r>
              <w:rPr>
                <w:szCs w:val="24"/>
              </w:rPr>
              <w:t>Attachment 13</w:t>
            </w:r>
          </w:p>
        </w:tc>
      </w:tr>
      <w:tr w:rsidR="00384F1B" w:rsidRPr="00CE37F1" w14:paraId="1E3057C4" w14:textId="77777777" w:rsidTr="00392B6E">
        <w:trPr>
          <w:cantSplit/>
          <w:trHeight w:val="360"/>
        </w:trPr>
        <w:tc>
          <w:tcPr>
            <w:tcW w:w="6745" w:type="dxa"/>
            <w:vAlign w:val="center"/>
          </w:tcPr>
          <w:p w14:paraId="3C15013C" w14:textId="0AB8035C" w:rsidR="00384F1B" w:rsidRPr="00CE37F1" w:rsidRDefault="000F30F9" w:rsidP="00CB6A04">
            <w:pPr>
              <w:rPr>
                <w:szCs w:val="24"/>
              </w:rPr>
            </w:pPr>
            <w:r w:rsidRPr="000F30F9">
              <w:rPr>
                <w:szCs w:val="24"/>
              </w:rPr>
              <w:t>National Environmental Policy Act Preliminary Environmental Study Form</w:t>
            </w:r>
            <w:r w:rsidR="00171DF3">
              <w:rPr>
                <w:szCs w:val="24"/>
              </w:rPr>
              <w:t xml:space="preserve"> </w:t>
            </w:r>
            <w:r w:rsidR="00AD743C">
              <w:rPr>
                <w:szCs w:val="24"/>
              </w:rPr>
              <w:t>(NEPA PES Form)</w:t>
            </w:r>
          </w:p>
        </w:tc>
        <w:tc>
          <w:tcPr>
            <w:tcW w:w="2615" w:type="dxa"/>
            <w:vAlign w:val="center"/>
          </w:tcPr>
          <w:p w14:paraId="0CDD3B15" w14:textId="3261B40F" w:rsidR="00384F1B" w:rsidRPr="101EB4DA" w:rsidRDefault="00754240" w:rsidP="00CB6A04">
            <w:pPr>
              <w:rPr>
                <w:szCs w:val="24"/>
              </w:rPr>
            </w:pPr>
            <w:r>
              <w:rPr>
                <w:szCs w:val="24"/>
              </w:rPr>
              <w:t>Attachment 1</w:t>
            </w:r>
            <w:r w:rsidR="00F57475">
              <w:rPr>
                <w:szCs w:val="24"/>
              </w:rPr>
              <w:t>4</w:t>
            </w:r>
          </w:p>
        </w:tc>
      </w:tr>
      <w:tr w:rsidR="00A20A35" w:rsidRPr="00CE37F1" w14:paraId="4F01C3D6" w14:textId="77777777" w:rsidTr="00392B6E">
        <w:trPr>
          <w:cantSplit/>
          <w:trHeight w:val="360"/>
        </w:trPr>
        <w:tc>
          <w:tcPr>
            <w:tcW w:w="6745" w:type="dxa"/>
            <w:vAlign w:val="center"/>
          </w:tcPr>
          <w:p w14:paraId="53A0EC55" w14:textId="023A1701" w:rsidR="00A20A35" w:rsidRPr="00CE37F1" w:rsidRDefault="00A20A35" w:rsidP="00CB6A04">
            <w:pPr>
              <w:rPr>
                <w:szCs w:val="24"/>
              </w:rPr>
            </w:pPr>
            <w:r>
              <w:rPr>
                <w:szCs w:val="24"/>
              </w:rPr>
              <w:t>Applicant Declaration</w:t>
            </w:r>
          </w:p>
        </w:tc>
        <w:tc>
          <w:tcPr>
            <w:tcW w:w="2615" w:type="dxa"/>
            <w:vAlign w:val="center"/>
          </w:tcPr>
          <w:p w14:paraId="5F976B71" w14:textId="4C322E5C" w:rsidR="00A20A35" w:rsidRPr="00CE37F1" w:rsidRDefault="7B460524" w:rsidP="00CB6A04">
            <w:pPr>
              <w:rPr>
                <w:szCs w:val="24"/>
              </w:rPr>
            </w:pPr>
            <w:r w:rsidRPr="101EB4DA">
              <w:rPr>
                <w:szCs w:val="24"/>
              </w:rPr>
              <w:t xml:space="preserve">Attachment </w:t>
            </w:r>
            <w:r w:rsidR="4A08AA1D" w:rsidRPr="00BA6305">
              <w:rPr>
                <w:szCs w:val="24"/>
              </w:rPr>
              <w:t>1</w:t>
            </w:r>
            <w:r w:rsidR="00E21929">
              <w:rPr>
                <w:szCs w:val="24"/>
              </w:rPr>
              <w:t>5</w:t>
            </w:r>
          </w:p>
        </w:tc>
      </w:tr>
    </w:tbl>
    <w:p w14:paraId="6DF43BA8" w14:textId="77777777" w:rsidR="006C6191" w:rsidRPr="00050087" w:rsidRDefault="006C6191" w:rsidP="00E04486">
      <w:pPr>
        <w:rPr>
          <w:b/>
          <w:szCs w:val="22"/>
        </w:rPr>
      </w:pPr>
      <w:bookmarkStart w:id="63" w:name="_Toc507398622"/>
    </w:p>
    <w:bookmarkEnd w:id="63"/>
    <w:p w14:paraId="4C9A340B" w14:textId="410C2000" w:rsidR="00BF721E" w:rsidRPr="00285467" w:rsidRDefault="00FE1682" w:rsidP="001B518B">
      <w:pPr>
        <w:numPr>
          <w:ilvl w:val="0"/>
          <w:numId w:val="6"/>
        </w:numPr>
        <w:ind w:left="1440" w:hanging="720"/>
        <w:rPr>
          <w:szCs w:val="24"/>
        </w:rPr>
      </w:pPr>
      <w:r w:rsidRPr="00285467">
        <w:rPr>
          <w:b/>
          <w:szCs w:val="24"/>
        </w:rPr>
        <w:t>Applicant Cer</w:t>
      </w:r>
      <w:r w:rsidR="00285467" w:rsidRPr="00285467">
        <w:rPr>
          <w:b/>
          <w:szCs w:val="24"/>
        </w:rPr>
        <w:t>tifications</w:t>
      </w:r>
    </w:p>
    <w:p w14:paraId="505E1B49" w14:textId="2F6F840E" w:rsidR="00BF721E" w:rsidRPr="00CE37F1" w:rsidRDefault="00BF721E" w:rsidP="00326C9B">
      <w:pPr>
        <w:rPr>
          <w:szCs w:val="24"/>
        </w:rPr>
      </w:pPr>
    </w:p>
    <w:p w14:paraId="3C895295" w14:textId="72069BBD" w:rsidR="0008315E" w:rsidRPr="00B506A0" w:rsidRDefault="0008315E" w:rsidP="0008315E">
      <w:pPr>
        <w:ind w:left="1440"/>
        <w:rPr>
          <w:b/>
          <w:bCs/>
          <w:i/>
          <w:iCs/>
          <w:szCs w:val="24"/>
        </w:rPr>
      </w:pPr>
      <w:r w:rsidRPr="00B506A0">
        <w:rPr>
          <w:b/>
          <w:bCs/>
          <w:i/>
          <w:iCs/>
          <w:szCs w:val="24"/>
        </w:rPr>
        <w:t>ECAMS will require Applicants to provide the required authorizations and certifications listed below prior to final submission of their application:</w:t>
      </w:r>
    </w:p>
    <w:p w14:paraId="4549A87E" w14:textId="34CEEE95" w:rsidR="00BF721E" w:rsidRPr="00CE37F1" w:rsidRDefault="00BF721E" w:rsidP="00BF721E">
      <w:pPr>
        <w:ind w:left="1440"/>
        <w:rPr>
          <w:szCs w:val="24"/>
        </w:rPr>
      </w:pPr>
      <w:r w:rsidRPr="00CE37F1">
        <w:rPr>
          <w:szCs w:val="24"/>
        </w:rPr>
        <w:t xml:space="preserve">All </w:t>
      </w:r>
      <w:r w:rsidR="00FC715F">
        <w:rPr>
          <w:szCs w:val="24"/>
        </w:rPr>
        <w:t>A</w:t>
      </w:r>
      <w:r w:rsidRPr="00CE37F1">
        <w:rPr>
          <w:szCs w:val="24"/>
        </w:rPr>
        <w:t>pplicants must certify under penalty of perjury under the laws of the State of California that:</w:t>
      </w:r>
    </w:p>
    <w:p w14:paraId="0ABA517F" w14:textId="77777777" w:rsidR="00D54D55" w:rsidRPr="00B506A0" w:rsidRDefault="00D54D55" w:rsidP="00164AC5">
      <w:pPr>
        <w:pStyle w:val="ListParagraph"/>
        <w:numPr>
          <w:ilvl w:val="0"/>
          <w:numId w:val="25"/>
        </w:numPr>
        <w:ind w:left="2160" w:hanging="720"/>
        <w:contextualSpacing/>
        <w:rPr>
          <w:szCs w:val="24"/>
        </w:rPr>
      </w:pPr>
      <w:bookmarkStart w:id="64" w:name="_Hlk65762319"/>
      <w:r w:rsidRPr="00B506A0">
        <w:rPr>
          <w:szCs w:val="24"/>
        </w:rPr>
        <w:t xml:space="preserve">I am authorized to submit this application on behalf of the Applicant. </w:t>
      </w:r>
    </w:p>
    <w:p w14:paraId="28D527A4" w14:textId="77777777" w:rsidR="00D54D55" w:rsidRPr="00B506A0" w:rsidRDefault="00D54D55" w:rsidP="00164AC5">
      <w:pPr>
        <w:pStyle w:val="ListParagraph"/>
        <w:numPr>
          <w:ilvl w:val="0"/>
          <w:numId w:val="25"/>
        </w:numPr>
        <w:ind w:left="2160" w:hanging="720"/>
        <w:contextualSpacing/>
        <w:rPr>
          <w:szCs w:val="24"/>
        </w:rPr>
      </w:pPr>
      <w:r w:rsidRPr="00B506A0">
        <w:rPr>
          <w:szCs w:val="24"/>
        </w:rPr>
        <w:t>I authorize the CEC to make any inquiries necessary to verify the information presented in this application.</w:t>
      </w:r>
    </w:p>
    <w:p w14:paraId="145E8264" w14:textId="33510904" w:rsidR="00D54D55" w:rsidRPr="00326C9B" w:rsidRDefault="00D54D55" w:rsidP="00164AC5">
      <w:pPr>
        <w:pStyle w:val="ListParagraph"/>
        <w:numPr>
          <w:ilvl w:val="0"/>
          <w:numId w:val="25"/>
        </w:numPr>
        <w:ind w:left="2160" w:hanging="720"/>
        <w:contextualSpacing/>
        <w:rPr>
          <w:szCs w:val="24"/>
        </w:rPr>
      </w:pPr>
      <w:r w:rsidRPr="00B506A0">
        <w:rPr>
          <w:szCs w:val="24"/>
        </w:rPr>
        <w:t xml:space="preserve">I authorize the CEC to obtain business credit reports and make any inquiries necessary to verify and evaluate the financial condition of the </w:t>
      </w:r>
      <w:r w:rsidR="0087480A">
        <w:rPr>
          <w:szCs w:val="24"/>
        </w:rPr>
        <w:t>A</w:t>
      </w:r>
      <w:r w:rsidRPr="00326C9B">
        <w:rPr>
          <w:szCs w:val="24"/>
        </w:rPr>
        <w:t>pplicant.</w:t>
      </w:r>
    </w:p>
    <w:p w14:paraId="08BCF892" w14:textId="77777777" w:rsidR="00D54D55" w:rsidRPr="00326C9B" w:rsidRDefault="00D54D55" w:rsidP="00164AC5">
      <w:pPr>
        <w:pStyle w:val="ListParagraph"/>
        <w:numPr>
          <w:ilvl w:val="0"/>
          <w:numId w:val="25"/>
        </w:numPr>
        <w:ind w:left="2160" w:hanging="720"/>
        <w:contextualSpacing/>
        <w:rPr>
          <w:szCs w:val="24"/>
        </w:rPr>
      </w:pPr>
      <w:r w:rsidRPr="00326C9B">
        <w:rPr>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6233303C" w:rsidR="00D54D55" w:rsidRPr="00326C9B" w:rsidRDefault="46F389B4" w:rsidP="00164AC5">
      <w:pPr>
        <w:pStyle w:val="ListParagraph"/>
        <w:numPr>
          <w:ilvl w:val="0"/>
          <w:numId w:val="25"/>
        </w:numPr>
        <w:ind w:left="2160" w:hanging="720"/>
        <w:contextualSpacing/>
      </w:pPr>
      <w:r>
        <w:t xml:space="preserve">I certify that (1) this application does not contain any confidential or proprietary information, or (2) if confidential information is allowed under the </w:t>
      </w:r>
      <w:r w:rsidR="5F150271">
        <w:t>solicitation,</w:t>
      </w:r>
      <w:r>
        <w:t xml:space="preserve"> it has been properly identified.</w:t>
      </w:r>
    </w:p>
    <w:p w14:paraId="7DA6B213" w14:textId="77777777" w:rsidR="00D54D55" w:rsidRPr="00326C9B" w:rsidRDefault="00D54D55" w:rsidP="00164AC5">
      <w:pPr>
        <w:pStyle w:val="ListParagraph"/>
        <w:numPr>
          <w:ilvl w:val="0"/>
          <w:numId w:val="25"/>
        </w:numPr>
        <w:ind w:left="2160" w:hanging="720"/>
        <w:contextualSpacing/>
        <w:rPr>
          <w:szCs w:val="24"/>
        </w:rPr>
      </w:pPr>
      <w:r w:rsidRPr="00326C9B">
        <w:rPr>
          <w:szCs w:val="24"/>
        </w:rPr>
        <w:t>I certify under penalty of perjury under the laws of the State of California that, to the best of my knowledge, the information contained in this application is correct and complete.</w:t>
      </w:r>
    </w:p>
    <w:p w14:paraId="4E35A1A4" w14:textId="77777777" w:rsidR="00563100" w:rsidRPr="00326C9B" w:rsidRDefault="00563100" w:rsidP="00164AC5">
      <w:pPr>
        <w:pStyle w:val="ListParagraph"/>
        <w:numPr>
          <w:ilvl w:val="0"/>
          <w:numId w:val="25"/>
        </w:numPr>
        <w:ind w:left="2160" w:hanging="720"/>
        <w:contextualSpacing/>
        <w:rPr>
          <w:szCs w:val="24"/>
        </w:rPr>
      </w:pPr>
      <w:r w:rsidRPr="00326C9B">
        <w:rPr>
          <w:szCs w:val="24"/>
        </w:rPr>
        <w:t>I am authorized to agree to the above certifications on behalf of the Applicant.</w:t>
      </w:r>
    </w:p>
    <w:bookmarkEnd w:id="64"/>
    <w:p w14:paraId="4CC0E47A" w14:textId="77777777" w:rsidR="000C5650" w:rsidRPr="00050087" w:rsidRDefault="000C5650" w:rsidP="00E04486">
      <w:pPr>
        <w:ind w:left="720"/>
        <w:rPr>
          <w:szCs w:val="22"/>
        </w:rPr>
      </w:pPr>
    </w:p>
    <w:p w14:paraId="1F09EF58" w14:textId="707229C2" w:rsidR="00E353FD" w:rsidRPr="00E91F37" w:rsidRDefault="00E353FD" w:rsidP="001B518B">
      <w:pPr>
        <w:numPr>
          <w:ilvl w:val="0"/>
          <w:numId w:val="6"/>
        </w:numPr>
        <w:ind w:left="1440" w:hanging="720"/>
        <w:rPr>
          <w:b/>
        </w:rPr>
      </w:pPr>
      <w:r w:rsidRPr="0B0F112B">
        <w:rPr>
          <w:b/>
        </w:rPr>
        <w:t>Project Narrative</w:t>
      </w:r>
      <w:r w:rsidR="76F77298" w:rsidRPr="0B0F112B">
        <w:rPr>
          <w:b/>
        </w:rPr>
        <w:t xml:space="preserve"> </w:t>
      </w:r>
      <w:r w:rsidR="002D1FAE" w:rsidRPr="002D1FAE">
        <w:rPr>
          <w:b/>
        </w:rPr>
        <w:t xml:space="preserve">Unique to Corridor Segment </w:t>
      </w:r>
      <w:r w:rsidR="76F77298" w:rsidRPr="0B0F112B">
        <w:rPr>
          <w:b/>
        </w:rPr>
        <w:t>(</w:t>
      </w:r>
      <w:r w:rsidR="76F77298" w:rsidRPr="00F61847">
        <w:rPr>
          <w:b/>
        </w:rPr>
        <w:t xml:space="preserve">Attachment </w:t>
      </w:r>
      <w:r w:rsidR="7A2FE31F" w:rsidRPr="00F61847">
        <w:rPr>
          <w:b/>
        </w:rPr>
        <w:t>1</w:t>
      </w:r>
      <w:r w:rsidR="00D06EFE">
        <w:rPr>
          <w:b/>
        </w:rPr>
        <w:t xml:space="preserve">–Part </w:t>
      </w:r>
      <w:r w:rsidR="002D1FAE">
        <w:rPr>
          <w:b/>
        </w:rPr>
        <w:t>A</w:t>
      </w:r>
      <w:r w:rsidR="76F77298" w:rsidRPr="0B0F112B">
        <w:rPr>
          <w:b/>
        </w:rPr>
        <w:t>)</w:t>
      </w:r>
      <w:r w:rsidR="00C501C0">
        <w:rPr>
          <w:b/>
        </w:rPr>
        <w:t xml:space="preserve"> </w:t>
      </w:r>
      <w:r w:rsidR="00C501C0" w:rsidRPr="00C501C0">
        <w:rPr>
          <w:b/>
          <w:i/>
          <w:iCs/>
        </w:rPr>
        <w:t xml:space="preserve">(Limit: </w:t>
      </w:r>
      <w:r w:rsidR="00061760">
        <w:rPr>
          <w:b/>
          <w:i/>
          <w:iCs/>
        </w:rPr>
        <w:t>1</w:t>
      </w:r>
      <w:r w:rsidR="00C501C0" w:rsidRPr="00C501C0">
        <w:rPr>
          <w:b/>
          <w:i/>
          <w:iCs/>
        </w:rPr>
        <w:t>5 pages)</w:t>
      </w:r>
    </w:p>
    <w:p w14:paraId="5B2FC055" w14:textId="7953ECE4" w:rsidR="00EA1277" w:rsidRPr="00E91F37" w:rsidRDefault="00E353FD" w:rsidP="003A0DDC">
      <w:pPr>
        <w:ind w:left="1440"/>
      </w:pPr>
      <w:r>
        <w:t xml:space="preserve">The Project Narrative </w:t>
      </w:r>
      <w:r w:rsidR="002D1FAE">
        <w:t xml:space="preserve">Unique to Corridor Segments </w:t>
      </w:r>
      <w:r w:rsidR="00131AB7">
        <w:t xml:space="preserve">must </w:t>
      </w:r>
      <w:r>
        <w:t xml:space="preserve">include </w:t>
      </w:r>
      <w:r w:rsidR="00FD6BCD">
        <w:t xml:space="preserve">a table of contents (which will not count towards the page limitation) and </w:t>
      </w:r>
      <w:r>
        <w:t xml:space="preserve">a </w:t>
      </w:r>
      <w:r w:rsidR="0DF6E751">
        <w:t>summary</w:t>
      </w:r>
      <w:r w:rsidR="00EA1277">
        <w:t xml:space="preserve"> of the proposed project</w:t>
      </w:r>
      <w:r w:rsidR="67F1986D">
        <w:t xml:space="preserve"> and</w:t>
      </w:r>
      <w:r w:rsidR="569B08F8">
        <w:t xml:space="preserve"> </w:t>
      </w:r>
      <w:r w:rsidR="00EA1277">
        <w:t>its operational goals and objectives</w:t>
      </w:r>
      <w:r w:rsidR="6654CE0C">
        <w:t>.</w:t>
      </w:r>
    </w:p>
    <w:p w14:paraId="51F27404" w14:textId="77777777" w:rsidR="000C5650" w:rsidRPr="00E91F37" w:rsidRDefault="000C5650" w:rsidP="00E04486">
      <w:pPr>
        <w:ind w:left="720"/>
        <w:rPr>
          <w:szCs w:val="24"/>
        </w:rPr>
      </w:pPr>
    </w:p>
    <w:p w14:paraId="5D598FF3" w14:textId="4D85300E" w:rsidR="00985BDD" w:rsidRPr="00E91F37" w:rsidRDefault="00985BDD" w:rsidP="003A0DDC">
      <w:pPr>
        <w:ind w:left="1440"/>
        <w:rPr>
          <w:szCs w:val="24"/>
        </w:rPr>
      </w:pPr>
      <w:r w:rsidRPr="00E91F37">
        <w:rPr>
          <w:szCs w:val="24"/>
        </w:rPr>
        <w:t xml:space="preserve">Applicants </w:t>
      </w:r>
      <w:r w:rsidR="00131AB7" w:rsidRPr="00E91F37">
        <w:rPr>
          <w:szCs w:val="24"/>
        </w:rPr>
        <w:t xml:space="preserve">must </w:t>
      </w:r>
      <w:r w:rsidRPr="00E91F37">
        <w:rPr>
          <w:szCs w:val="24"/>
        </w:rPr>
        <w:t xml:space="preserve">address each of the scoring criteria described in </w:t>
      </w:r>
      <w:r w:rsidR="006E1A26" w:rsidRPr="00E91F37">
        <w:rPr>
          <w:szCs w:val="24"/>
        </w:rPr>
        <w:t xml:space="preserve">this </w:t>
      </w:r>
      <w:r w:rsidR="00EB41F2">
        <w:rPr>
          <w:szCs w:val="24"/>
        </w:rPr>
        <w:t>section</w:t>
      </w:r>
      <w:r w:rsidRPr="00E91F37">
        <w:rPr>
          <w:szCs w:val="24"/>
        </w:rPr>
        <w:t xml:space="preserve"> </w:t>
      </w:r>
      <w:r w:rsidR="0067151C" w:rsidRPr="00E91F37">
        <w:rPr>
          <w:szCs w:val="24"/>
        </w:rPr>
        <w:t xml:space="preserve">by </w:t>
      </w:r>
      <w:r w:rsidRPr="00E91F37">
        <w:rPr>
          <w:szCs w:val="24"/>
        </w:rPr>
        <w:t>providing sufficient, unambiguous detail so that the evaluation team will be able to evaluate the application against each scoring criterion.</w:t>
      </w:r>
    </w:p>
    <w:p w14:paraId="4FF43697" w14:textId="77777777" w:rsidR="000C5650" w:rsidRPr="00E91F37" w:rsidRDefault="000C5650" w:rsidP="00E04486">
      <w:pPr>
        <w:ind w:left="720"/>
        <w:rPr>
          <w:szCs w:val="24"/>
        </w:rPr>
      </w:pPr>
    </w:p>
    <w:p w14:paraId="66DF2C79" w14:textId="24C44AFF" w:rsidR="00985BDD" w:rsidRPr="00E91F37" w:rsidRDefault="00FC715F" w:rsidP="003A0DDC">
      <w:pPr>
        <w:ind w:left="1440"/>
        <w:rPr>
          <w:szCs w:val="24"/>
        </w:rPr>
      </w:pPr>
      <w:r>
        <w:rPr>
          <w:szCs w:val="24"/>
        </w:rPr>
        <w:t xml:space="preserve">The </w:t>
      </w:r>
      <w:r w:rsidR="00985BDD" w:rsidRPr="00E91F37">
        <w:rPr>
          <w:szCs w:val="24"/>
        </w:rPr>
        <w:t xml:space="preserve">Project Narrative </w:t>
      </w:r>
      <w:r w:rsidR="00EB41F2">
        <w:rPr>
          <w:szCs w:val="24"/>
        </w:rPr>
        <w:t xml:space="preserve">Unique to Corridor Segment </w:t>
      </w:r>
      <w:r w:rsidR="00985BDD" w:rsidRPr="00E91F37">
        <w:rPr>
          <w:szCs w:val="24"/>
        </w:rPr>
        <w:t>must respond directly to each criterion with the headings as titled below, and must include the following information:</w:t>
      </w:r>
    </w:p>
    <w:p w14:paraId="1E5A24E3" w14:textId="77777777" w:rsidR="000C5650" w:rsidRPr="00E91F37" w:rsidRDefault="000C5650" w:rsidP="003A0DDC">
      <w:pPr>
        <w:ind w:left="1440"/>
        <w:rPr>
          <w:szCs w:val="24"/>
        </w:rPr>
      </w:pPr>
    </w:p>
    <w:p w14:paraId="24A14A0A" w14:textId="50AAF99D" w:rsidR="00BF7132" w:rsidRPr="00501925" w:rsidRDefault="00BF7132" w:rsidP="00164AC5">
      <w:pPr>
        <w:numPr>
          <w:ilvl w:val="0"/>
          <w:numId w:val="10"/>
        </w:numPr>
        <w:spacing w:after="120"/>
        <w:ind w:left="2160" w:hanging="720"/>
        <w:rPr>
          <w:b/>
          <w:bCs/>
          <w:szCs w:val="24"/>
        </w:rPr>
      </w:pPr>
      <w:r w:rsidRPr="00501925">
        <w:rPr>
          <w:b/>
          <w:bCs/>
          <w:szCs w:val="24"/>
        </w:rPr>
        <w:t>EV Charging Station Siting</w:t>
      </w:r>
    </w:p>
    <w:p w14:paraId="5B4A8F64" w14:textId="555F0489" w:rsidR="006E5937" w:rsidRDefault="00BF7132" w:rsidP="00164AC5">
      <w:pPr>
        <w:numPr>
          <w:ilvl w:val="1"/>
          <w:numId w:val="10"/>
        </w:numPr>
        <w:spacing w:after="120"/>
        <w:ind w:left="2880" w:hanging="720"/>
      </w:pPr>
      <w:r>
        <w:t xml:space="preserve">List the proposed EV charging station locations, including addresses, if known. Provide a clear, concise, and compelling justification for the specific proposed </w:t>
      </w:r>
      <w:r w:rsidR="744CEF20">
        <w:t>EV charging</w:t>
      </w:r>
      <w:r>
        <w:t xml:space="preserve"> station location(s)</w:t>
      </w:r>
      <w:r w:rsidR="00D37B3F">
        <w:t xml:space="preserve"> and explain how </w:t>
      </w:r>
      <w:r w:rsidR="006840C0">
        <w:t xml:space="preserve">the </w:t>
      </w:r>
      <w:r w:rsidR="00D37B3F">
        <w:t xml:space="preserve">needed locations </w:t>
      </w:r>
      <w:r w:rsidR="00D37B3F">
        <w:lastRenderedPageBreak/>
        <w:t xml:space="preserve">identified in Table 2 are </w:t>
      </w:r>
      <w:r w:rsidR="00027D38">
        <w:t>satisfied</w:t>
      </w:r>
      <w:r>
        <w:t xml:space="preserve">. </w:t>
      </w:r>
      <w:r w:rsidR="00AA509C">
        <w:t xml:space="preserve">If Table 2 lists a preference (rather than a requirement) for a station in a needed location, </w:t>
      </w:r>
      <w:r w:rsidR="004D2E12">
        <w:t xml:space="preserve">explain how the preferred location is satisfied or </w:t>
      </w:r>
      <w:r w:rsidR="00334411">
        <w:t>provide a rational</w:t>
      </w:r>
      <w:r w:rsidR="00AA326E">
        <w:t>e</w:t>
      </w:r>
      <w:r w:rsidR="00334411">
        <w:t xml:space="preserve"> for why </w:t>
      </w:r>
      <w:r w:rsidR="004D2E12">
        <w:t>it</w:t>
      </w:r>
      <w:r w:rsidR="00334411">
        <w:t xml:space="preserve"> is not </w:t>
      </w:r>
      <w:r w:rsidR="003B004B">
        <w:t>satisfied</w:t>
      </w:r>
      <w:r w:rsidR="00334411">
        <w:t xml:space="preserve">, </w:t>
      </w:r>
      <w:r w:rsidR="0041290D">
        <w:t>as</w:t>
      </w:r>
      <w:r w:rsidR="00334411">
        <w:t xml:space="preserve"> applicable</w:t>
      </w:r>
      <w:r w:rsidR="00AA509C">
        <w:t xml:space="preserve">. </w:t>
      </w:r>
    </w:p>
    <w:p w14:paraId="5AA217A8" w14:textId="577FFB01" w:rsidR="00BF7132" w:rsidRPr="00501925" w:rsidRDefault="00740334" w:rsidP="00164AC5">
      <w:pPr>
        <w:numPr>
          <w:ilvl w:val="1"/>
          <w:numId w:val="10"/>
        </w:numPr>
        <w:spacing w:after="120"/>
        <w:ind w:left="2880" w:hanging="720"/>
      </w:pPr>
      <w:r>
        <w:t xml:space="preserve">State </w:t>
      </w:r>
      <w:r w:rsidR="00BF7132">
        <w:t xml:space="preserve">if each proposed station is a new or existing </w:t>
      </w:r>
      <w:r>
        <w:t xml:space="preserve">EV charging station </w:t>
      </w:r>
      <w:r w:rsidR="00BF7132">
        <w:t xml:space="preserve">location. </w:t>
      </w:r>
      <w:r w:rsidR="00D27CCD">
        <w:t xml:space="preserve">For </w:t>
      </w:r>
      <w:r w:rsidR="00C217D8">
        <w:t xml:space="preserve">corridor segments </w:t>
      </w:r>
      <w:r w:rsidR="00A9551B">
        <w:t>with asterisk</w:t>
      </w:r>
      <w:r w:rsidR="00BA2F34">
        <w:t xml:space="preserve">s in Table 2 denoting a preference for the use of existing stations, </w:t>
      </w:r>
      <w:r w:rsidR="0014789A">
        <w:t xml:space="preserve">explain </w:t>
      </w:r>
      <w:r w:rsidR="00384C2F">
        <w:t>the degree to which</w:t>
      </w:r>
      <w:r w:rsidR="00414576">
        <w:t xml:space="preserve"> the proposal </w:t>
      </w:r>
      <w:r w:rsidR="007B5F34">
        <w:t>satisfies th</w:t>
      </w:r>
      <w:r w:rsidR="00F04D7E">
        <w:t>at</w:t>
      </w:r>
      <w:r w:rsidR="007B5F34">
        <w:t xml:space="preserve"> preference.</w:t>
      </w:r>
      <w:r w:rsidR="00186587">
        <w:t xml:space="preserve"> </w:t>
      </w:r>
    </w:p>
    <w:p w14:paraId="17726073" w14:textId="4F1D7B4A" w:rsidR="00BF7132" w:rsidRPr="00501925" w:rsidRDefault="00BF7132" w:rsidP="00164AC5">
      <w:pPr>
        <w:numPr>
          <w:ilvl w:val="1"/>
          <w:numId w:val="10"/>
        </w:numPr>
        <w:spacing w:after="120"/>
        <w:ind w:left="2880" w:hanging="720"/>
        <w:rPr>
          <w:szCs w:val="24"/>
        </w:rPr>
      </w:pPr>
      <w:r w:rsidRPr="00501925">
        <w:rPr>
          <w:szCs w:val="24"/>
        </w:rPr>
        <w:t>Calculate the driving distance between the proposed EV charging station locations to demonstrate how the proposed project satisfies the NEVI requirement of having a station at least every 50 miles along the corridor segment</w:t>
      </w:r>
      <w:r w:rsidR="00F20B69">
        <w:rPr>
          <w:szCs w:val="24"/>
        </w:rPr>
        <w:t xml:space="preserve"> and provides </w:t>
      </w:r>
      <w:r w:rsidR="00AD6CFB">
        <w:rPr>
          <w:szCs w:val="24"/>
        </w:rPr>
        <w:t>a</w:t>
      </w:r>
      <w:r w:rsidR="009A5FC2">
        <w:rPr>
          <w:szCs w:val="24"/>
        </w:rPr>
        <w:t xml:space="preserve">n effective network of stations satisfying </w:t>
      </w:r>
      <w:r w:rsidR="00AA69D3">
        <w:rPr>
          <w:szCs w:val="24"/>
        </w:rPr>
        <w:t xml:space="preserve">travel </w:t>
      </w:r>
      <w:r w:rsidR="009A5FC2">
        <w:rPr>
          <w:szCs w:val="24"/>
        </w:rPr>
        <w:t xml:space="preserve">demand </w:t>
      </w:r>
      <w:r w:rsidR="00BF5430">
        <w:rPr>
          <w:szCs w:val="24"/>
        </w:rPr>
        <w:t>along the corridor segment</w:t>
      </w:r>
      <w:r w:rsidRPr="00501925">
        <w:rPr>
          <w:szCs w:val="24"/>
        </w:rPr>
        <w:t>. (Not applicable to Stand-alone Projects</w:t>
      </w:r>
      <w:r w:rsidR="00E944DB">
        <w:rPr>
          <w:szCs w:val="24"/>
        </w:rPr>
        <w:t xml:space="preserve"> as identified in </w:t>
      </w:r>
      <w:r w:rsidR="0094415B">
        <w:rPr>
          <w:szCs w:val="24"/>
        </w:rPr>
        <w:t>Table 2</w:t>
      </w:r>
      <w:r w:rsidRPr="00501925">
        <w:rPr>
          <w:szCs w:val="24"/>
        </w:rPr>
        <w:t>.)</w:t>
      </w:r>
    </w:p>
    <w:p w14:paraId="19EADC25" w14:textId="16A596EA" w:rsidR="00BF7132" w:rsidRPr="00501925" w:rsidRDefault="00BF7132" w:rsidP="00164AC5">
      <w:pPr>
        <w:numPr>
          <w:ilvl w:val="1"/>
          <w:numId w:val="10"/>
        </w:numPr>
        <w:spacing w:after="120"/>
        <w:ind w:left="2880" w:hanging="720"/>
      </w:pPr>
      <w:r>
        <w:t>Calculate the maximum distance between each proposed station location and the end of the off-ramp, or highway</w:t>
      </w:r>
      <w:r w:rsidR="6E814BEA">
        <w:t xml:space="preserve"> intersection</w:t>
      </w:r>
      <w:r>
        <w:t xml:space="preserve"> if there is no off-ramp. Show that the proposed project will satisfy the 1-mile distance NEVI requirement. </w:t>
      </w:r>
      <w:r w:rsidR="00EB0368">
        <w:t xml:space="preserve">Explain how each </w:t>
      </w:r>
      <w:r w:rsidR="00322D18">
        <w:t xml:space="preserve">proposed EV charging station location </w:t>
      </w:r>
      <w:r w:rsidR="00625A34">
        <w:t>will be</w:t>
      </w:r>
      <w:r w:rsidR="00322D18">
        <w:t xml:space="preserve"> </w:t>
      </w:r>
      <w:r w:rsidR="00F638D5">
        <w:t xml:space="preserve">easily </w:t>
      </w:r>
      <w:r w:rsidR="00A23D7F">
        <w:t>accessible from the corridor</w:t>
      </w:r>
      <w:r w:rsidR="00F638D5">
        <w:t xml:space="preserve"> and</w:t>
      </w:r>
      <w:r w:rsidR="00497945">
        <w:t xml:space="preserve"> </w:t>
      </w:r>
      <w:r w:rsidR="00502591">
        <w:t xml:space="preserve">the degree to which it is </w:t>
      </w:r>
      <w:r w:rsidR="00F834CF">
        <w:t>visible from the corridor.</w:t>
      </w:r>
    </w:p>
    <w:p w14:paraId="620C2C0A" w14:textId="23F90073" w:rsidR="00BF7132" w:rsidRPr="00501925" w:rsidRDefault="001F295F" w:rsidP="00164AC5">
      <w:pPr>
        <w:numPr>
          <w:ilvl w:val="1"/>
          <w:numId w:val="10"/>
        </w:numPr>
        <w:spacing w:after="120"/>
        <w:ind w:left="2880" w:hanging="720"/>
        <w:rPr>
          <w:szCs w:val="24"/>
        </w:rPr>
      </w:pPr>
      <w:r>
        <w:rPr>
          <w:szCs w:val="24"/>
        </w:rPr>
        <w:t>Provide</w:t>
      </w:r>
      <w:r w:rsidR="0068059A">
        <w:rPr>
          <w:szCs w:val="24"/>
        </w:rPr>
        <w:t xml:space="preserve"> </w:t>
      </w:r>
      <w:r w:rsidR="00BF7132" w:rsidRPr="00501925">
        <w:rPr>
          <w:szCs w:val="24"/>
        </w:rPr>
        <w:t xml:space="preserve">the number of </w:t>
      </w:r>
      <w:r w:rsidR="00817FA4">
        <w:rPr>
          <w:szCs w:val="24"/>
        </w:rPr>
        <w:t xml:space="preserve">CCS DC fast </w:t>
      </w:r>
      <w:r w:rsidR="00BF7132" w:rsidRPr="00501925">
        <w:rPr>
          <w:szCs w:val="24"/>
        </w:rPr>
        <w:t xml:space="preserve">charging ports at each proposed EV charging station </w:t>
      </w:r>
      <w:r w:rsidR="00375288">
        <w:rPr>
          <w:szCs w:val="24"/>
        </w:rPr>
        <w:t xml:space="preserve">and </w:t>
      </w:r>
      <w:r w:rsidR="004A4C2F">
        <w:rPr>
          <w:szCs w:val="24"/>
        </w:rPr>
        <w:t>the r</w:t>
      </w:r>
      <w:r w:rsidR="00E35D63">
        <w:rPr>
          <w:szCs w:val="24"/>
        </w:rPr>
        <w:t>ationale</w:t>
      </w:r>
      <w:r w:rsidR="004F739A">
        <w:rPr>
          <w:szCs w:val="24"/>
        </w:rPr>
        <w:t xml:space="preserve"> that explains why</w:t>
      </w:r>
      <w:r w:rsidR="00AA1E86">
        <w:rPr>
          <w:szCs w:val="24"/>
        </w:rPr>
        <w:t xml:space="preserve"> </w:t>
      </w:r>
      <w:r w:rsidR="00845E5F">
        <w:rPr>
          <w:szCs w:val="24"/>
        </w:rPr>
        <w:t>th</w:t>
      </w:r>
      <w:r w:rsidR="008B56D1">
        <w:rPr>
          <w:szCs w:val="24"/>
        </w:rPr>
        <w:t>is number of ports was</w:t>
      </w:r>
      <w:r w:rsidR="00845E5F">
        <w:rPr>
          <w:szCs w:val="24"/>
        </w:rPr>
        <w:t xml:space="preserve"> chosen</w:t>
      </w:r>
      <w:r w:rsidR="00BF7132" w:rsidRPr="00501925">
        <w:rPr>
          <w:szCs w:val="24"/>
        </w:rPr>
        <w:t>.</w:t>
      </w:r>
    </w:p>
    <w:p w14:paraId="0802691B" w14:textId="2975EF82" w:rsidR="00BF7132" w:rsidRPr="00501925" w:rsidRDefault="00334A79" w:rsidP="00164AC5">
      <w:pPr>
        <w:numPr>
          <w:ilvl w:val="1"/>
          <w:numId w:val="10"/>
        </w:numPr>
        <w:spacing w:after="120"/>
        <w:ind w:left="2880" w:hanging="720"/>
      </w:pPr>
      <w:r>
        <w:t xml:space="preserve">Explain how the </w:t>
      </w:r>
      <w:r w:rsidR="005426CC">
        <w:t xml:space="preserve">plans for </w:t>
      </w:r>
      <w:r w:rsidR="0062784F">
        <w:t xml:space="preserve">the EV charging station </w:t>
      </w:r>
      <w:r>
        <w:t>site design</w:t>
      </w:r>
      <w:r w:rsidR="0062784F">
        <w:t>(s)</w:t>
      </w:r>
      <w:r w:rsidR="004B6292">
        <w:t xml:space="preserve"> along the corridor segment</w:t>
      </w:r>
      <w:r>
        <w:t xml:space="preserve"> will </w:t>
      </w:r>
      <w:r w:rsidR="00601570">
        <w:t xml:space="preserve">provide </w:t>
      </w:r>
      <w:r w:rsidR="00C408AB">
        <w:t>an excellent customer experience.</w:t>
      </w:r>
      <w:r w:rsidR="004B6292">
        <w:t xml:space="preserve"> </w:t>
      </w:r>
      <w:r w:rsidR="00321A99">
        <w:t>Optionally p</w:t>
      </w:r>
      <w:r w:rsidR="004B6292">
        <w:t>rovide a preliminary site design (Attachment 13 – optional) for each proposed EV charging station</w:t>
      </w:r>
      <w:r w:rsidR="005B4EEF">
        <w:t>. Discuss</w:t>
      </w:r>
      <w:r w:rsidR="004B6292">
        <w:t xml:space="preserve"> all the required elements described in Section II.</w:t>
      </w:r>
      <w:r w:rsidR="009025CC">
        <w:t>B</w:t>
      </w:r>
      <w:r w:rsidR="004B6292">
        <w:t>.1</w:t>
      </w:r>
      <w:r w:rsidR="002A71D5">
        <w:t>6. Customer Service</w:t>
      </w:r>
      <w:r w:rsidR="004B6292">
        <w:t>.</w:t>
      </w:r>
    </w:p>
    <w:p w14:paraId="5F86F2BE" w14:textId="77777777" w:rsidR="00BF7132" w:rsidRPr="00501925" w:rsidRDefault="00BF7132" w:rsidP="00164AC5">
      <w:pPr>
        <w:numPr>
          <w:ilvl w:val="1"/>
          <w:numId w:val="10"/>
        </w:numPr>
        <w:spacing w:after="120"/>
        <w:ind w:left="2880" w:hanging="720"/>
        <w:rPr>
          <w:szCs w:val="24"/>
        </w:rPr>
      </w:pPr>
      <w:r w:rsidRPr="00501925">
        <w:rPr>
          <w:szCs w:val="24"/>
        </w:rPr>
        <w:t>Discuss each proposed EV charging station’s amenities including restrooms and proximity to retail shops, restaurants, parks, pet relief areas, or other attributes relevant to the experience of charging station customers.</w:t>
      </w:r>
    </w:p>
    <w:p w14:paraId="571B5D3B" w14:textId="4C9817B1" w:rsidR="00BF7132" w:rsidRPr="00501925" w:rsidRDefault="00BF7132" w:rsidP="00164AC5">
      <w:pPr>
        <w:numPr>
          <w:ilvl w:val="1"/>
          <w:numId w:val="10"/>
        </w:numPr>
        <w:spacing w:after="120"/>
        <w:ind w:left="2880" w:hanging="720"/>
      </w:pPr>
      <w:r>
        <w:t>Describe any unique stall configurations, including any potential accommodation of cars pulling trailers or of medium- or heavy-duty vehicles</w:t>
      </w:r>
      <w:r w:rsidR="0049766F">
        <w:t>,</w:t>
      </w:r>
      <w:r w:rsidR="008B1BA6">
        <w:t xml:space="preserve"> </w:t>
      </w:r>
      <w:r w:rsidR="00DE03C6">
        <w:t>incl</w:t>
      </w:r>
      <w:r w:rsidR="0049766F">
        <w:t xml:space="preserve">uding those </w:t>
      </w:r>
      <w:r w:rsidR="00C02A24">
        <w:t>pulling</w:t>
      </w:r>
      <w:r w:rsidR="0049766F">
        <w:t xml:space="preserve"> trailers</w:t>
      </w:r>
      <w:r w:rsidR="2F28B828">
        <w:t>, for each charging station</w:t>
      </w:r>
      <w:r>
        <w:t>.</w:t>
      </w:r>
    </w:p>
    <w:p w14:paraId="4FD48416" w14:textId="7163C8BB" w:rsidR="00BF7132" w:rsidRPr="00501925" w:rsidRDefault="00BF7132" w:rsidP="00164AC5">
      <w:pPr>
        <w:numPr>
          <w:ilvl w:val="1"/>
          <w:numId w:val="10"/>
        </w:numPr>
        <w:spacing w:after="120"/>
        <w:ind w:left="2880" w:hanging="720"/>
      </w:pPr>
      <w:r>
        <w:t>Identify the grid connection supply</w:t>
      </w:r>
      <w:r w:rsidR="00A50496">
        <w:t xml:space="preserve"> and its capacity,</w:t>
      </w:r>
      <w:r>
        <w:t xml:space="preserve"> and any </w:t>
      </w:r>
      <w:r w:rsidR="006728C0">
        <w:t>proposed renewable DER</w:t>
      </w:r>
      <w:r w:rsidR="007D535E">
        <w:t xml:space="preserve"> equipment</w:t>
      </w:r>
      <w:r w:rsidR="006728C0">
        <w:t xml:space="preserve"> </w:t>
      </w:r>
      <w:r>
        <w:t xml:space="preserve">such as </w:t>
      </w:r>
      <w:r w:rsidR="006728C0">
        <w:t xml:space="preserve">solar arrays or </w:t>
      </w:r>
      <w:r>
        <w:t>BESS that will be used to help supply and manage power at each charging station</w:t>
      </w:r>
      <w:r w:rsidR="004C089A" w:rsidRPr="00962C76">
        <w:t>.</w:t>
      </w:r>
      <w:r w:rsidR="00360EF5">
        <w:t xml:space="preserve"> If </w:t>
      </w:r>
      <w:r w:rsidR="004D5854">
        <w:t xml:space="preserve">the proposal includes </w:t>
      </w:r>
      <w:r w:rsidR="007D535E">
        <w:t>renewable DER equipment</w:t>
      </w:r>
      <w:r w:rsidR="00360EF5">
        <w:t>, explain how</w:t>
      </w:r>
      <w:r w:rsidR="00003501">
        <w:t xml:space="preserve"> the</w:t>
      </w:r>
      <w:r w:rsidR="00DD13B3">
        <w:t>se features</w:t>
      </w:r>
      <w:r w:rsidR="00003501">
        <w:t xml:space="preserve"> will</w:t>
      </w:r>
      <w:r w:rsidR="00BA0522" w:rsidRPr="00BA0522">
        <w:t xml:space="preserve"> lead to </w:t>
      </w:r>
      <w:r w:rsidR="00BA0522" w:rsidRPr="00BA0522">
        <w:lastRenderedPageBreak/>
        <w:t>lower costs to consumers</w:t>
      </w:r>
      <w:r w:rsidR="00003501">
        <w:t xml:space="preserve"> and</w:t>
      </w:r>
      <w:r w:rsidR="00BA0522" w:rsidRPr="00BA0522">
        <w:t xml:space="preserve"> greater EV charging station reliability, and </w:t>
      </w:r>
      <w:r w:rsidR="00003501">
        <w:t>how they will</w:t>
      </w:r>
      <w:r w:rsidR="00BA0522" w:rsidRPr="00BA0522">
        <w:t xml:space="preserve"> not substantially increase the timeline for completing </w:t>
      </w:r>
      <w:r w:rsidR="004D5854">
        <w:t xml:space="preserve">the proposed </w:t>
      </w:r>
      <w:r w:rsidR="00BA0522" w:rsidRPr="00BA0522">
        <w:t>project.</w:t>
      </w:r>
    </w:p>
    <w:p w14:paraId="149EAD70" w14:textId="05FADF3F" w:rsidR="00751783" w:rsidRPr="00501925" w:rsidRDefault="00751783" w:rsidP="00164AC5">
      <w:pPr>
        <w:numPr>
          <w:ilvl w:val="1"/>
          <w:numId w:val="10"/>
        </w:numPr>
        <w:spacing w:after="120"/>
        <w:ind w:left="2880" w:hanging="720"/>
        <w:rPr>
          <w:szCs w:val="24"/>
        </w:rPr>
      </w:pPr>
      <w:r w:rsidRPr="00501925">
        <w:rPr>
          <w:szCs w:val="24"/>
        </w:rPr>
        <w:t xml:space="preserve">Describe how </w:t>
      </w:r>
      <w:r w:rsidR="00084DA1">
        <w:rPr>
          <w:szCs w:val="24"/>
        </w:rPr>
        <w:t>each</w:t>
      </w:r>
      <w:r w:rsidRPr="00501925">
        <w:rPr>
          <w:szCs w:val="24"/>
        </w:rPr>
        <w:t xml:space="preserve"> proposed EV charging station will always provide adequate lighting and shelter from inclement weather, through structures associated with the charging site or in proximity to the charging site, and how the</w:t>
      </w:r>
      <w:r w:rsidR="00B35606">
        <w:rPr>
          <w:szCs w:val="24"/>
        </w:rPr>
        <w:t xml:space="preserve"> site</w:t>
      </w:r>
      <w:r w:rsidRPr="00501925">
        <w:rPr>
          <w:szCs w:val="24"/>
        </w:rPr>
        <w:t xml:space="preserve"> will be safely accessible when traveling on foot or with any mobility device.</w:t>
      </w:r>
    </w:p>
    <w:p w14:paraId="68306B82" w14:textId="77777777" w:rsidR="00BF7132" w:rsidRPr="00501925" w:rsidRDefault="00BF7132" w:rsidP="00BF7132">
      <w:pPr>
        <w:ind w:left="2880"/>
      </w:pPr>
    </w:p>
    <w:p w14:paraId="5DB651F6" w14:textId="65D1C958" w:rsidR="00BF7132" w:rsidRPr="00501925" w:rsidRDefault="00BF7132" w:rsidP="00164AC5">
      <w:pPr>
        <w:numPr>
          <w:ilvl w:val="0"/>
          <w:numId w:val="10"/>
        </w:numPr>
        <w:spacing w:after="120"/>
        <w:ind w:left="2160" w:hanging="720"/>
        <w:rPr>
          <w:b/>
        </w:rPr>
      </w:pPr>
      <w:r w:rsidRPr="3C6DF8A6">
        <w:rPr>
          <w:b/>
        </w:rPr>
        <w:t>Project Readiness</w:t>
      </w:r>
    </w:p>
    <w:p w14:paraId="5BAC6E9A" w14:textId="599B726F" w:rsidR="4C9328C8" w:rsidRDefault="00E270D8" w:rsidP="00164AC5">
      <w:pPr>
        <w:numPr>
          <w:ilvl w:val="1"/>
          <w:numId w:val="10"/>
        </w:numPr>
        <w:spacing w:after="120"/>
        <w:ind w:left="2880" w:hanging="720"/>
        <w:rPr>
          <w:rFonts w:eastAsia="Arial"/>
          <w:szCs w:val="24"/>
        </w:rPr>
      </w:pPr>
      <w:r>
        <w:rPr>
          <w:rFonts w:eastAsia="Arial"/>
          <w:szCs w:val="24"/>
        </w:rPr>
        <w:t>Explain</w:t>
      </w:r>
      <w:r w:rsidR="003469C3">
        <w:rPr>
          <w:rFonts w:eastAsia="Arial"/>
          <w:szCs w:val="24"/>
        </w:rPr>
        <w:t xml:space="preserve"> the status of</w:t>
      </w:r>
      <w:r w:rsidR="4C9328C8" w:rsidRPr="1578FB91">
        <w:rPr>
          <w:rFonts w:eastAsia="Arial"/>
          <w:szCs w:val="24"/>
        </w:rPr>
        <w:t xml:space="preserve"> </w:t>
      </w:r>
      <w:r w:rsidR="002B385C">
        <w:rPr>
          <w:rFonts w:eastAsia="Arial"/>
          <w:szCs w:val="24"/>
        </w:rPr>
        <w:t xml:space="preserve">site </w:t>
      </w:r>
      <w:r w:rsidR="4C9328C8" w:rsidRPr="1578FB91">
        <w:rPr>
          <w:rFonts w:eastAsia="Arial"/>
          <w:szCs w:val="24"/>
        </w:rPr>
        <w:t xml:space="preserve">control or access rights for </w:t>
      </w:r>
      <w:r w:rsidR="00BB6F2B">
        <w:rPr>
          <w:rFonts w:eastAsia="Arial"/>
          <w:szCs w:val="24"/>
        </w:rPr>
        <w:t>each</w:t>
      </w:r>
      <w:r w:rsidR="4C9328C8" w:rsidRPr="1578FB91">
        <w:rPr>
          <w:rFonts w:eastAsia="Arial"/>
          <w:szCs w:val="24"/>
        </w:rPr>
        <w:t xml:space="preserve"> proposed charging station</w:t>
      </w:r>
      <w:r w:rsidR="00BB6F2B">
        <w:rPr>
          <w:rFonts w:eastAsia="Arial"/>
          <w:szCs w:val="24"/>
        </w:rPr>
        <w:t xml:space="preserve"> property</w:t>
      </w:r>
      <w:r w:rsidR="4C9328C8" w:rsidRPr="1578FB91">
        <w:rPr>
          <w:rFonts w:eastAsia="Arial"/>
          <w:szCs w:val="24"/>
        </w:rPr>
        <w:t xml:space="preserve">. </w:t>
      </w:r>
      <w:r w:rsidR="00545B69" w:rsidRPr="00545B69">
        <w:rPr>
          <w:rFonts w:eastAsia="Arial"/>
          <w:szCs w:val="24"/>
        </w:rPr>
        <w:t xml:space="preserve">Provide backup documentation, including, but not limited to: leases, ownership, or access rights, in the Letters of Commitment attachment (Attachment 8). </w:t>
      </w:r>
      <w:r w:rsidR="4C9328C8" w:rsidRPr="1578FB91">
        <w:rPr>
          <w:rFonts w:eastAsia="Arial"/>
          <w:szCs w:val="24"/>
        </w:rPr>
        <w:t>If control or access rights are not secured at the time of application, explain how control or access rights will be obtained and the anticipated timeline to do so.</w:t>
      </w:r>
    </w:p>
    <w:p w14:paraId="7DB06F59" w14:textId="23E448A0" w:rsidR="00BF7132" w:rsidRPr="00501925" w:rsidRDefault="00BF7132" w:rsidP="00164AC5">
      <w:pPr>
        <w:numPr>
          <w:ilvl w:val="1"/>
          <w:numId w:val="10"/>
        </w:numPr>
        <w:spacing w:after="120"/>
        <w:ind w:left="2880" w:hanging="720"/>
      </w:pPr>
      <w:r>
        <w:t>Identify the entity(</w:t>
      </w:r>
      <w:proofErr w:type="spellStart"/>
      <w:r>
        <w:t>ies</w:t>
      </w:r>
      <w:proofErr w:type="spellEnd"/>
      <w:r>
        <w:t>) that will own and operate the proposed EV charging s</w:t>
      </w:r>
      <w:r w:rsidR="1B2CF32C">
        <w:t>tations</w:t>
      </w:r>
      <w:r>
        <w:t xml:space="preserve"> and equipment and explain their experience with operating DC fast charger charging stations.</w:t>
      </w:r>
    </w:p>
    <w:p w14:paraId="0B0D95F3" w14:textId="1C3D2E26" w:rsidR="0633B667" w:rsidRDefault="0633B667" w:rsidP="00164AC5">
      <w:pPr>
        <w:numPr>
          <w:ilvl w:val="1"/>
          <w:numId w:val="10"/>
        </w:numPr>
        <w:spacing w:after="120"/>
        <w:ind w:left="2880" w:hanging="720"/>
        <w:rPr>
          <w:rFonts w:eastAsia="Arial"/>
          <w:szCs w:val="24"/>
        </w:rPr>
      </w:pPr>
      <w:r w:rsidRPr="5484C8E4">
        <w:rPr>
          <w:rFonts w:eastAsia="Arial"/>
          <w:szCs w:val="24"/>
        </w:rPr>
        <w:t>Provide a comprehensive list of permits required for each charging station, including Caltrans right of way permits, as</w:t>
      </w:r>
      <w:r w:rsidR="261256A7" w:rsidRPr="5484C8E4">
        <w:rPr>
          <w:rFonts w:eastAsia="Arial"/>
          <w:szCs w:val="24"/>
        </w:rPr>
        <w:t xml:space="preserve"> well as</w:t>
      </w:r>
      <w:r w:rsidRPr="5484C8E4">
        <w:rPr>
          <w:rFonts w:eastAsia="Arial"/>
          <w:szCs w:val="24"/>
        </w:rPr>
        <w:t xml:space="preserve"> the permitting agencies the Applicant will need to coordinate with. Identify which required permits have been obtained already or describe how the Applicant plans to obtain the permits required for the project(s) and coordinate with the relevant permitting agencies in a timely manner.</w:t>
      </w:r>
    </w:p>
    <w:p w14:paraId="1F9D36C2" w14:textId="7C64D2EE" w:rsidR="00BF7132" w:rsidRPr="00501925" w:rsidRDefault="00BF7132" w:rsidP="00164AC5">
      <w:pPr>
        <w:numPr>
          <w:ilvl w:val="1"/>
          <w:numId w:val="10"/>
        </w:numPr>
        <w:spacing w:after="120"/>
        <w:ind w:left="2880" w:hanging="720"/>
        <w:rPr>
          <w:szCs w:val="24"/>
        </w:rPr>
      </w:pPr>
      <w:bookmarkStart w:id="65" w:name="_Hlk145331065"/>
      <w:r w:rsidRPr="00501925">
        <w:rPr>
          <w:szCs w:val="24"/>
        </w:rPr>
        <w:t>Describe how the project’s proposed schedule has accounted for CEQA, NEPA, and right-of-way approvals and the estimated timelines are justified given the information provided in the CEQA Worksheet (</w:t>
      </w:r>
      <w:r w:rsidRPr="0006074D">
        <w:rPr>
          <w:szCs w:val="24"/>
        </w:rPr>
        <w:t xml:space="preserve">Attachment </w:t>
      </w:r>
      <w:r w:rsidR="005F7AFB" w:rsidRPr="00962C76">
        <w:rPr>
          <w:szCs w:val="24"/>
        </w:rPr>
        <w:t>1</w:t>
      </w:r>
      <w:r w:rsidR="008F0C31">
        <w:rPr>
          <w:szCs w:val="24"/>
        </w:rPr>
        <w:t>0</w:t>
      </w:r>
      <w:r w:rsidRPr="00501925">
        <w:rPr>
          <w:szCs w:val="24"/>
        </w:rPr>
        <w:t>), the NEPA PES Form (</w:t>
      </w:r>
      <w:r w:rsidRPr="0006074D">
        <w:rPr>
          <w:szCs w:val="24"/>
        </w:rPr>
        <w:t xml:space="preserve">Attachment </w:t>
      </w:r>
      <w:r w:rsidR="005F7AFB" w:rsidRPr="00962C76">
        <w:rPr>
          <w:szCs w:val="24"/>
        </w:rPr>
        <w:t>1</w:t>
      </w:r>
      <w:r w:rsidR="008F0C31">
        <w:rPr>
          <w:szCs w:val="24"/>
        </w:rPr>
        <w:t>4</w:t>
      </w:r>
      <w:r w:rsidRPr="00501925">
        <w:rPr>
          <w:szCs w:val="24"/>
        </w:rPr>
        <w:t>), and right-of-way research.</w:t>
      </w:r>
    </w:p>
    <w:bookmarkEnd w:id="65"/>
    <w:p w14:paraId="6D4A7FD3" w14:textId="0B9CB1E5" w:rsidR="00BF7132" w:rsidRPr="00501925" w:rsidRDefault="5CD0C427" w:rsidP="00164AC5">
      <w:pPr>
        <w:numPr>
          <w:ilvl w:val="1"/>
          <w:numId w:val="10"/>
        </w:numPr>
        <w:spacing w:after="120"/>
        <w:ind w:left="2880" w:hanging="720"/>
      </w:pPr>
      <w:r>
        <w:t>Complete</w:t>
      </w:r>
      <w:r w:rsidR="00BF7132">
        <w:t xml:space="preserve"> a Utility Verification Form (</w:t>
      </w:r>
      <w:r w:rsidR="00BF7132" w:rsidRPr="0006074D">
        <w:t xml:space="preserve">Attachment </w:t>
      </w:r>
      <w:r w:rsidR="005F7AFB" w:rsidRPr="00962C76">
        <w:t>1</w:t>
      </w:r>
      <w:r w:rsidR="007528DF">
        <w:t>1</w:t>
      </w:r>
      <w:r w:rsidR="00BF7132">
        <w:t>) for each charging station</w:t>
      </w:r>
      <w:r w:rsidR="007B63F1">
        <w:t xml:space="preserve"> </w:t>
      </w:r>
      <w:r w:rsidR="00FB3766">
        <w:t xml:space="preserve">and discuss the </w:t>
      </w:r>
      <w:r w:rsidR="00D11934">
        <w:t xml:space="preserve">likely </w:t>
      </w:r>
      <w:r w:rsidR="00FB3766">
        <w:t xml:space="preserve">available </w:t>
      </w:r>
      <w:r w:rsidR="00503600">
        <w:t xml:space="preserve">electrical </w:t>
      </w:r>
      <w:r w:rsidR="00FB3766">
        <w:t>capacity</w:t>
      </w:r>
      <w:r w:rsidR="00D11934">
        <w:t xml:space="preserve"> for the project</w:t>
      </w:r>
      <w:r w:rsidR="00BF7132">
        <w:t>.</w:t>
      </w:r>
    </w:p>
    <w:p w14:paraId="5E16A934" w14:textId="77777777" w:rsidR="00BF7132" w:rsidRPr="00501925" w:rsidRDefault="00BF7132" w:rsidP="00164AC5">
      <w:pPr>
        <w:numPr>
          <w:ilvl w:val="1"/>
          <w:numId w:val="10"/>
        </w:numPr>
        <w:spacing w:after="120"/>
        <w:ind w:left="2880" w:hanging="720"/>
        <w:rPr>
          <w:szCs w:val="24"/>
        </w:rPr>
      </w:pPr>
      <w:r w:rsidRPr="00501925">
        <w:rPr>
          <w:szCs w:val="24"/>
        </w:rPr>
        <w:t>Document any communications with the manufacturer(s) that identify the estimated timeline to deliver the equipment. This includes chargers, switchgear, BESS, and any other equipment being proposed to install.</w:t>
      </w:r>
    </w:p>
    <w:p w14:paraId="26660AEE" w14:textId="77777777" w:rsidR="00BF7132" w:rsidRPr="00501925" w:rsidRDefault="00BF7132" w:rsidP="00164AC5">
      <w:pPr>
        <w:numPr>
          <w:ilvl w:val="1"/>
          <w:numId w:val="10"/>
        </w:numPr>
        <w:spacing w:after="120"/>
        <w:ind w:left="2880" w:hanging="720"/>
        <w:rPr>
          <w:szCs w:val="24"/>
        </w:rPr>
      </w:pPr>
      <w:r w:rsidRPr="00501925">
        <w:rPr>
          <w:szCs w:val="24"/>
        </w:rPr>
        <w:t>Describe how the proposed project will be completed in an expeditious, effective, and efficient manner.</w:t>
      </w:r>
    </w:p>
    <w:p w14:paraId="33BE1A8A" w14:textId="02E9A470" w:rsidR="00BF7132" w:rsidRPr="00501925" w:rsidRDefault="00BF7132" w:rsidP="00164AC5">
      <w:pPr>
        <w:numPr>
          <w:ilvl w:val="1"/>
          <w:numId w:val="10"/>
        </w:numPr>
        <w:spacing w:after="120"/>
        <w:ind w:left="2880" w:hanging="720"/>
        <w:rPr>
          <w:szCs w:val="24"/>
        </w:rPr>
      </w:pPr>
      <w:r w:rsidRPr="00501925">
        <w:rPr>
          <w:szCs w:val="24"/>
        </w:rPr>
        <w:lastRenderedPageBreak/>
        <w:t xml:space="preserve">In the case that a charging station location must be changed, </w:t>
      </w:r>
      <w:r w:rsidR="00632BA3">
        <w:rPr>
          <w:szCs w:val="24"/>
        </w:rPr>
        <w:t xml:space="preserve">explain if any backup sites have already been identified </w:t>
      </w:r>
      <w:r w:rsidR="00774BDD">
        <w:rPr>
          <w:szCs w:val="24"/>
        </w:rPr>
        <w:t>or</w:t>
      </w:r>
      <w:r w:rsidR="00632BA3">
        <w:rPr>
          <w:szCs w:val="24"/>
        </w:rPr>
        <w:t xml:space="preserve"> </w:t>
      </w:r>
      <w:r w:rsidRPr="00501925">
        <w:rPr>
          <w:szCs w:val="24"/>
        </w:rPr>
        <w:t xml:space="preserve">describe the process by which a new site will be selected and evaluated to assure it meets or exceeds the original site characteristics. Describe the likely time duration of </w:t>
      </w:r>
      <w:r w:rsidR="00A7750E">
        <w:rPr>
          <w:szCs w:val="24"/>
        </w:rPr>
        <w:t>that</w:t>
      </w:r>
      <w:r w:rsidRPr="00501925">
        <w:rPr>
          <w:szCs w:val="24"/>
        </w:rPr>
        <w:t xml:space="preserve"> process.</w:t>
      </w:r>
    </w:p>
    <w:p w14:paraId="79E805D9" w14:textId="74F8A6DA" w:rsidR="00BF7132" w:rsidRPr="00501925" w:rsidRDefault="00BF7132" w:rsidP="00164AC5">
      <w:pPr>
        <w:numPr>
          <w:ilvl w:val="0"/>
          <w:numId w:val="10"/>
        </w:numPr>
        <w:spacing w:after="120"/>
        <w:ind w:left="2160" w:hanging="720"/>
        <w:rPr>
          <w:b/>
          <w:bCs/>
          <w:szCs w:val="24"/>
        </w:rPr>
      </w:pPr>
      <w:r w:rsidRPr="00501925">
        <w:rPr>
          <w:b/>
          <w:bCs/>
          <w:szCs w:val="24"/>
        </w:rPr>
        <w:t>Expected Project Benefits</w:t>
      </w:r>
    </w:p>
    <w:p w14:paraId="502BEC4A" w14:textId="571AC43D" w:rsidR="5ED75F21" w:rsidRDefault="5ED75F21" w:rsidP="00164AC5">
      <w:pPr>
        <w:numPr>
          <w:ilvl w:val="1"/>
          <w:numId w:val="10"/>
        </w:numPr>
        <w:spacing w:after="120"/>
        <w:ind w:left="2880" w:hanging="720"/>
        <w:rPr>
          <w:rFonts w:eastAsia="Arial"/>
        </w:rPr>
      </w:pPr>
      <w:r w:rsidRPr="2B32E87C">
        <w:rPr>
          <w:rFonts w:eastAsia="Arial"/>
        </w:rPr>
        <w:t>Detail and document each charging station’s California-designated disadvantaged community percentile</w:t>
      </w:r>
      <w:r w:rsidR="00AC2721" w:rsidRPr="2B32E87C">
        <w:rPr>
          <w:rFonts w:eastAsia="Arial"/>
        </w:rPr>
        <w:t xml:space="preserve"> </w:t>
      </w:r>
      <w:r w:rsidR="00AC2721" w:rsidRPr="2B32E87C">
        <w:rPr>
          <w:rFonts w:eastAsia="Arial"/>
          <w:b/>
        </w:rPr>
        <w:t>and</w:t>
      </w:r>
      <w:r w:rsidR="00AC2721" w:rsidRPr="2B32E87C">
        <w:rPr>
          <w:rFonts w:eastAsia="Arial"/>
        </w:rPr>
        <w:t>[</w:t>
      </w:r>
      <w:r w:rsidRPr="2B32E87C">
        <w:rPr>
          <w:rFonts w:eastAsia="Arial"/>
          <w:strike/>
        </w:rPr>
        <w:t>,</w:t>
      </w:r>
      <w:r w:rsidR="00AC2721" w:rsidRPr="2B32E87C">
        <w:rPr>
          <w:rFonts w:eastAsia="Arial"/>
        </w:rPr>
        <w:t>]</w:t>
      </w:r>
      <w:r w:rsidRPr="2B32E87C">
        <w:rPr>
          <w:rFonts w:eastAsia="Arial"/>
        </w:rPr>
        <w:t xml:space="preserve"> whether it is in a California-designated low-income community</w:t>
      </w:r>
      <w:r w:rsidR="00AC2721" w:rsidRPr="2B32E87C">
        <w:rPr>
          <w:rFonts w:eastAsia="Arial"/>
          <w:b/>
          <w:u w:val="single"/>
        </w:rPr>
        <w:t xml:space="preserve">. </w:t>
      </w:r>
      <w:r w:rsidR="00AC2721" w:rsidRPr="2B32E87C">
        <w:rPr>
          <w:rFonts w:eastAsia="Arial"/>
        </w:rPr>
        <w:t>[</w:t>
      </w:r>
      <w:r w:rsidRPr="2B32E87C">
        <w:rPr>
          <w:rFonts w:eastAsia="Arial"/>
          <w:strike/>
        </w:rPr>
        <w:t>, and whether it is in a Justice40 community (</w:t>
      </w:r>
      <w:proofErr w:type="gramStart"/>
      <w:r w:rsidRPr="2B32E87C">
        <w:rPr>
          <w:rFonts w:eastAsia="Arial"/>
          <w:strike/>
        </w:rPr>
        <w:t>federally-designated</w:t>
      </w:r>
      <w:proofErr w:type="gramEnd"/>
      <w:r w:rsidRPr="2B32E87C">
        <w:rPr>
          <w:rFonts w:eastAsia="Arial"/>
          <w:strike/>
        </w:rPr>
        <w:t xml:space="preserve"> disadvantaged community).</w:t>
      </w:r>
      <w:r w:rsidR="00AC2721" w:rsidRPr="2B32E87C">
        <w:rPr>
          <w:rFonts w:eastAsia="Arial"/>
        </w:rPr>
        <w:t>]</w:t>
      </w:r>
      <w:r w:rsidR="00092D7A" w:rsidRPr="2B32E87C">
        <w:rPr>
          <w:rFonts w:eastAsia="Arial"/>
        </w:rPr>
        <w:t xml:space="preserve"> Specify the degree to which the target </w:t>
      </w:r>
      <w:r w:rsidR="00CE5EEC" w:rsidRPr="2B32E87C">
        <w:rPr>
          <w:rFonts w:eastAsia="Arial"/>
        </w:rPr>
        <w:t xml:space="preserve">(explained in Section II.B.3) </w:t>
      </w:r>
      <w:r w:rsidR="00092D7A" w:rsidRPr="2B32E87C">
        <w:rPr>
          <w:rFonts w:eastAsia="Arial"/>
        </w:rPr>
        <w:t>of 50 percent of stations being located in California-designated disadvantaged or low-income communities is met</w:t>
      </w:r>
      <w:r w:rsidR="00CE5EEC" w:rsidRPr="2B32E87C">
        <w:rPr>
          <w:rFonts w:eastAsia="Arial"/>
        </w:rPr>
        <w:t xml:space="preserve"> or exceeded</w:t>
      </w:r>
      <w:r w:rsidR="00092D7A" w:rsidRPr="2B32E87C">
        <w:rPr>
          <w:rFonts w:eastAsia="Arial"/>
        </w:rPr>
        <w:t xml:space="preserve">. </w:t>
      </w:r>
      <w:r w:rsidR="00AC2721" w:rsidRPr="2B32E87C">
        <w:rPr>
          <w:rFonts w:eastAsia="Arial"/>
        </w:rPr>
        <w:t>[</w:t>
      </w:r>
      <w:r w:rsidR="00092D7A" w:rsidRPr="2B32E87C">
        <w:rPr>
          <w:rFonts w:eastAsia="Arial"/>
          <w:strike/>
        </w:rPr>
        <w:t xml:space="preserve">Specify the degree to which the target </w:t>
      </w:r>
      <w:r w:rsidR="00CE5EEC" w:rsidRPr="2B32E87C">
        <w:rPr>
          <w:rFonts w:eastAsia="Arial"/>
          <w:strike/>
        </w:rPr>
        <w:t xml:space="preserve">(explained in Section II.B.4) </w:t>
      </w:r>
      <w:r w:rsidR="00092D7A" w:rsidRPr="2B32E87C">
        <w:rPr>
          <w:rFonts w:eastAsia="Arial"/>
          <w:strike/>
        </w:rPr>
        <w:t>of 40 percent of stations being located in Justice40 communities is met or exceeded.</w:t>
      </w:r>
      <w:r w:rsidR="00AC2721" w:rsidRPr="2B32E87C">
        <w:rPr>
          <w:rFonts w:eastAsia="Arial"/>
        </w:rPr>
        <w:t>]</w:t>
      </w:r>
    </w:p>
    <w:p w14:paraId="7B4C1C57" w14:textId="5036E89B" w:rsidR="00BF7132" w:rsidRPr="00501925" w:rsidRDefault="00BF7132" w:rsidP="00164AC5">
      <w:pPr>
        <w:numPr>
          <w:ilvl w:val="1"/>
          <w:numId w:val="10"/>
        </w:numPr>
        <w:spacing w:after="120"/>
        <w:ind w:left="2880" w:hanging="720"/>
      </w:pPr>
      <w:r>
        <w:t xml:space="preserve">Describe how the project will benefit </w:t>
      </w:r>
      <w:r w:rsidR="000B0C83">
        <w:t xml:space="preserve">California-designated </w:t>
      </w:r>
      <w:r>
        <w:t>disadvantaged community</w:t>
      </w:r>
      <w:r w:rsidR="00232AEC">
        <w:t xml:space="preserve"> </w:t>
      </w:r>
      <w:r w:rsidR="00232AEC" w:rsidRPr="00232AEC">
        <w:rPr>
          <w:b/>
          <w:bCs/>
          <w:u w:val="single"/>
        </w:rPr>
        <w:t>and</w:t>
      </w:r>
      <w:r w:rsidR="006D598F">
        <w:rPr>
          <w:b/>
          <w:bCs/>
          <w:u w:val="single"/>
        </w:rPr>
        <w:t>/or</w:t>
      </w:r>
      <w:r w:rsidR="00232AEC">
        <w:t>[</w:t>
      </w:r>
      <w:r w:rsidRPr="00232AEC">
        <w:rPr>
          <w:strike/>
        </w:rPr>
        <w:t>,</w:t>
      </w:r>
      <w:r w:rsidR="00232AEC">
        <w:t>]</w:t>
      </w:r>
      <w:r>
        <w:t xml:space="preserve"> </w:t>
      </w:r>
      <w:r w:rsidR="000B0C83">
        <w:t xml:space="preserve">California-designated </w:t>
      </w:r>
      <w:r>
        <w:t>low-income community</w:t>
      </w:r>
      <w:r w:rsidR="00BE543C" w:rsidRPr="00BE543C">
        <w:t>[</w:t>
      </w:r>
      <w:r w:rsidRPr="00BE543C">
        <w:rPr>
          <w:strike/>
        </w:rPr>
        <w:t>, and/or Justice40 community</w:t>
      </w:r>
      <w:r w:rsidR="00BE543C">
        <w:t>]</w:t>
      </w:r>
      <w:r>
        <w:t xml:space="preserve"> residents and communities, by providing emission reduction, public health, economic, and cost-saving benefits.</w:t>
      </w:r>
    </w:p>
    <w:p w14:paraId="31E82819" w14:textId="33659C0C" w:rsidR="00BF7132" w:rsidRPr="00501925" w:rsidRDefault="00BF7132" w:rsidP="00164AC5">
      <w:pPr>
        <w:numPr>
          <w:ilvl w:val="1"/>
          <w:numId w:val="10"/>
        </w:numPr>
        <w:spacing w:after="120"/>
        <w:ind w:left="2880" w:hanging="720"/>
      </w:pPr>
      <w:r>
        <w:t xml:space="preserve">Discuss methods </w:t>
      </w:r>
      <w:r w:rsidR="0BA2C8D3">
        <w:t>that will be deployed</w:t>
      </w:r>
      <w:r>
        <w:t xml:space="preserve"> to reduce or minimize the charging cost to drivers. Document your assumptions.</w:t>
      </w:r>
    </w:p>
    <w:p w14:paraId="32570F8A" w14:textId="34A38255" w:rsidR="00BF7132" w:rsidRPr="00501925" w:rsidRDefault="00BF7132" w:rsidP="00164AC5">
      <w:pPr>
        <w:numPr>
          <w:ilvl w:val="1"/>
          <w:numId w:val="10"/>
        </w:numPr>
        <w:spacing w:after="120"/>
        <w:ind w:left="2880" w:hanging="720"/>
      </w:pPr>
      <w:r>
        <w:t>Calculate and document the benefit-cost score</w:t>
      </w:r>
      <w:r w:rsidR="2B6A64BD">
        <w:t>,</w:t>
      </w:r>
      <w:r>
        <w:t xml:space="preserve"> defined as the ratio of grams of CO</w:t>
      </w:r>
      <w:r w:rsidRPr="2DB305EE">
        <w:rPr>
          <w:vertAlign w:val="subscript"/>
        </w:rPr>
        <w:t>2</w:t>
      </w:r>
      <w:r>
        <w:t xml:space="preserve"> equivalent reduction </w:t>
      </w:r>
      <w:r w:rsidR="000944EF">
        <w:t xml:space="preserve">over five years of operation </w:t>
      </w:r>
      <w:r>
        <w:t xml:space="preserve">per dollar of </w:t>
      </w:r>
      <w:r w:rsidR="00784256">
        <w:t>CEC</w:t>
      </w:r>
      <w:r>
        <w:t xml:space="preserve"> </w:t>
      </w:r>
      <w:r w:rsidR="000944EF">
        <w:t>funding requested for the project.</w:t>
      </w:r>
    </w:p>
    <w:p w14:paraId="6BCFAB89" w14:textId="1BCE21A5" w:rsidR="00BF7132" w:rsidRPr="00501925" w:rsidRDefault="00BF7132" w:rsidP="00164AC5">
      <w:pPr>
        <w:numPr>
          <w:ilvl w:val="0"/>
          <w:numId w:val="10"/>
        </w:numPr>
        <w:spacing w:after="120"/>
        <w:ind w:left="2160" w:hanging="720"/>
        <w:rPr>
          <w:b/>
          <w:bCs/>
          <w:szCs w:val="24"/>
        </w:rPr>
      </w:pPr>
      <w:r w:rsidRPr="00501925">
        <w:rPr>
          <w:b/>
          <w:bCs/>
          <w:szCs w:val="24"/>
        </w:rPr>
        <w:t>Project Budget and Finances</w:t>
      </w:r>
    </w:p>
    <w:p w14:paraId="18F4912C" w14:textId="77777777" w:rsidR="00BF7132" w:rsidRPr="00501925" w:rsidRDefault="00BF7132" w:rsidP="00164AC5">
      <w:pPr>
        <w:numPr>
          <w:ilvl w:val="1"/>
          <w:numId w:val="10"/>
        </w:numPr>
        <w:spacing w:after="120"/>
        <w:ind w:left="2880" w:hanging="720"/>
        <w:rPr>
          <w:szCs w:val="24"/>
        </w:rPr>
      </w:pPr>
      <w:r w:rsidRPr="00501925">
        <w:rPr>
          <w:szCs w:val="24"/>
        </w:rPr>
        <w:t>Describe how the proposed project’s budget is cost effective and reasonable relative to the Scope of Work and expected benefits to California.</w:t>
      </w:r>
    </w:p>
    <w:p w14:paraId="7971F5C2" w14:textId="77777777" w:rsidR="00BF7132" w:rsidRPr="00501925" w:rsidRDefault="00BF7132" w:rsidP="00164AC5">
      <w:pPr>
        <w:numPr>
          <w:ilvl w:val="1"/>
          <w:numId w:val="10"/>
        </w:numPr>
        <w:spacing w:after="120"/>
        <w:ind w:left="2880" w:hanging="720"/>
        <w:rPr>
          <w:szCs w:val="24"/>
        </w:rPr>
      </w:pPr>
      <w:r w:rsidRPr="00501925">
        <w:rPr>
          <w:szCs w:val="24"/>
        </w:rPr>
        <w:t>Describe how the budget optimizes the balance between charger reliability and costs.</w:t>
      </w:r>
    </w:p>
    <w:p w14:paraId="3D64CEC2" w14:textId="068B308E" w:rsidR="00856F18" w:rsidRPr="00501925" w:rsidRDefault="00BF7132" w:rsidP="00164AC5">
      <w:pPr>
        <w:numPr>
          <w:ilvl w:val="1"/>
          <w:numId w:val="10"/>
        </w:numPr>
        <w:spacing w:after="120"/>
        <w:ind w:left="2880" w:hanging="720"/>
        <w:rPr>
          <w:rFonts w:eastAsia="Arial"/>
          <w:szCs w:val="24"/>
        </w:rPr>
      </w:pPr>
      <w:r>
        <w:t xml:space="preserve">Describe how the </w:t>
      </w:r>
      <w:r w:rsidR="00AA122D">
        <w:t xml:space="preserve">project </w:t>
      </w:r>
      <w:r>
        <w:t>will meet or exceed the solicitation’s goal of 25% small business participation</w:t>
      </w:r>
      <w:r w:rsidR="09AAC887">
        <w:t xml:space="preserve">. </w:t>
      </w:r>
      <w:r w:rsidR="09AAC887" w:rsidRPr="47D0B6A8">
        <w:rPr>
          <w:rFonts w:eastAsia="Arial"/>
          <w:color w:val="000000" w:themeColor="text1"/>
          <w:szCs w:val="24"/>
        </w:rPr>
        <w:t>Please refer to Section V.A. below for the definition of small business.</w:t>
      </w:r>
    </w:p>
    <w:p w14:paraId="00E2DB9D" w14:textId="05C8BF57" w:rsidR="00BF7132" w:rsidRPr="00501925" w:rsidRDefault="00BF7132" w:rsidP="00164AC5">
      <w:pPr>
        <w:numPr>
          <w:ilvl w:val="1"/>
          <w:numId w:val="10"/>
        </w:numPr>
        <w:spacing w:after="120"/>
        <w:ind w:left="2880" w:hanging="720"/>
        <w:rPr>
          <w:szCs w:val="24"/>
        </w:rPr>
      </w:pPr>
      <w:r w:rsidRPr="00501925">
        <w:rPr>
          <w:szCs w:val="24"/>
        </w:rPr>
        <w:t xml:space="preserve">Describe how the proposed project will use income or revenue earned from the operation of the EV charging stations in compliance with the </w:t>
      </w:r>
      <w:r w:rsidR="00CE72FA">
        <w:rPr>
          <w:szCs w:val="24"/>
        </w:rPr>
        <w:t xml:space="preserve">23 CFR </w:t>
      </w:r>
      <w:proofErr w:type="gramStart"/>
      <w:r w:rsidR="00CE72FA">
        <w:rPr>
          <w:szCs w:val="24"/>
        </w:rPr>
        <w:t>680.106(m)</w:t>
      </w:r>
      <w:r w:rsidR="00E90736">
        <w:t>, and</w:t>
      </w:r>
      <w:proofErr w:type="gramEnd"/>
      <w:r w:rsidR="00C50166">
        <w:t xml:space="preserve"> </w:t>
      </w:r>
      <w:r w:rsidR="00E90736">
        <w:rPr>
          <w:rStyle w:val="normaltextrun"/>
        </w:rPr>
        <w:t>d</w:t>
      </w:r>
      <w:r w:rsidR="00CE72FA">
        <w:rPr>
          <w:rStyle w:val="normaltextrun"/>
        </w:rPr>
        <w:t>escribe how</w:t>
      </w:r>
      <w:r w:rsidR="00C50166" w:rsidRPr="00C50166">
        <w:rPr>
          <w:rStyle w:val="normaltextrun"/>
        </w:rPr>
        <w:t xml:space="preserve"> CEC </w:t>
      </w:r>
      <w:r w:rsidR="00C468BC">
        <w:rPr>
          <w:rStyle w:val="normaltextrun"/>
        </w:rPr>
        <w:t xml:space="preserve">will be provided with </w:t>
      </w:r>
      <w:r w:rsidR="00C50166" w:rsidRPr="00C50166">
        <w:rPr>
          <w:rStyle w:val="normaltextrun"/>
        </w:rPr>
        <w:t xml:space="preserve">sufficient information to evaluate and confirm that revenue from the proposed </w:t>
      </w:r>
      <w:r w:rsidR="00C50166" w:rsidRPr="00C50166">
        <w:rPr>
          <w:rStyle w:val="normaltextrun"/>
        </w:rPr>
        <w:lastRenderedPageBreak/>
        <w:t>corridor segment projects will be used in accordance with 23 CFR 680.106(m)</w:t>
      </w:r>
      <w:r w:rsidR="0042231F">
        <w:rPr>
          <w:rStyle w:val="normaltextrun"/>
        </w:rPr>
        <w:t xml:space="preserve"> should the project be awarded</w:t>
      </w:r>
      <w:r w:rsidR="00C50166" w:rsidRPr="00C50166">
        <w:rPr>
          <w:rStyle w:val="normaltextrun"/>
        </w:rPr>
        <w:t>.</w:t>
      </w:r>
      <w:r w:rsidR="00D42A22">
        <w:rPr>
          <w:rStyle w:val="normaltextrun"/>
        </w:rPr>
        <w:t xml:space="preserve"> </w:t>
      </w:r>
      <w:r w:rsidR="009A6B24">
        <w:rPr>
          <w:rStyle w:val="normaltextrun"/>
        </w:rPr>
        <w:t xml:space="preserve">Explain </w:t>
      </w:r>
      <w:r w:rsidR="008B6464">
        <w:rPr>
          <w:rStyle w:val="normaltextrun"/>
        </w:rPr>
        <w:t>how compliance will be documented</w:t>
      </w:r>
      <w:r w:rsidR="009A6B24">
        <w:rPr>
          <w:rStyle w:val="normaltextrun"/>
        </w:rPr>
        <w:t xml:space="preserve"> during the project</w:t>
      </w:r>
      <w:r w:rsidR="008B6464">
        <w:rPr>
          <w:rStyle w:val="normaltextrun"/>
        </w:rPr>
        <w:t>.</w:t>
      </w:r>
    </w:p>
    <w:p w14:paraId="1A0FBE59" w14:textId="29EF92A3" w:rsidR="00BF7132" w:rsidRPr="00501925" w:rsidRDefault="00BF7132" w:rsidP="00164AC5">
      <w:pPr>
        <w:numPr>
          <w:ilvl w:val="1"/>
          <w:numId w:val="10"/>
        </w:numPr>
        <w:spacing w:after="120"/>
        <w:ind w:left="2880" w:hanging="720"/>
        <w:rPr>
          <w:szCs w:val="24"/>
        </w:rPr>
      </w:pPr>
      <w:r w:rsidRPr="00501925">
        <w:rPr>
          <w:szCs w:val="24"/>
        </w:rPr>
        <w:t xml:space="preserve">Provide the amount of Match Funds (cash and/or in-kind) and provide verification and documentation of the source and availability. If match funding is from a third party, Applicants must provide a letter of commitment </w:t>
      </w:r>
      <w:r w:rsidR="00F1616D">
        <w:rPr>
          <w:szCs w:val="24"/>
        </w:rPr>
        <w:t xml:space="preserve">(Attachment 8) </w:t>
      </w:r>
      <w:r w:rsidRPr="00501925">
        <w:rPr>
          <w:szCs w:val="24"/>
        </w:rPr>
        <w:t>documenting their funding support. Provide details (name and business location, type of entity, amount, etc.) for each match share funding partner.</w:t>
      </w:r>
    </w:p>
    <w:p w14:paraId="69062B88" w14:textId="18ED76C8" w:rsidR="00BF7132" w:rsidRPr="00501925" w:rsidRDefault="00BF7132" w:rsidP="00164AC5">
      <w:pPr>
        <w:numPr>
          <w:ilvl w:val="1"/>
          <w:numId w:val="10"/>
        </w:numPr>
        <w:spacing w:after="120"/>
        <w:ind w:left="2880" w:hanging="720"/>
      </w:pPr>
      <w:r>
        <w:t xml:space="preserve">Calculate the total </w:t>
      </w:r>
      <w:r w:rsidR="00814E3A">
        <w:t xml:space="preserve">CEC </w:t>
      </w:r>
      <w:r>
        <w:t xml:space="preserve">funding </w:t>
      </w:r>
      <w:r w:rsidR="75D86940">
        <w:t xml:space="preserve">requested </w:t>
      </w:r>
      <w:r>
        <w:t>per proposed charging port.</w:t>
      </w:r>
    </w:p>
    <w:p w14:paraId="2CC0E586" w14:textId="26BA2150" w:rsidR="00BF7132" w:rsidRPr="00501925" w:rsidRDefault="00BF7132" w:rsidP="00164AC5">
      <w:pPr>
        <w:numPr>
          <w:ilvl w:val="1"/>
          <w:numId w:val="10"/>
        </w:numPr>
        <w:spacing w:after="120"/>
        <w:ind w:left="2880" w:hanging="720"/>
        <w:rPr>
          <w:rFonts w:eastAsia="Arial"/>
        </w:rPr>
      </w:pPr>
      <w:r w:rsidRPr="4D6DB4BC">
        <w:rPr>
          <w:rFonts w:eastAsia="Arial"/>
        </w:rPr>
        <w:t xml:space="preserve">Calculate the total </w:t>
      </w:r>
      <w:r w:rsidR="177BD6AE" w:rsidRPr="4D6DB4BC">
        <w:rPr>
          <w:rFonts w:eastAsia="Arial"/>
        </w:rPr>
        <w:t xml:space="preserve">allowable </w:t>
      </w:r>
      <w:r w:rsidR="00E13629">
        <w:rPr>
          <w:rFonts w:eastAsia="Arial"/>
        </w:rPr>
        <w:t>project</w:t>
      </w:r>
      <w:r w:rsidR="177BD6AE" w:rsidRPr="4D6DB4BC">
        <w:rPr>
          <w:rFonts w:eastAsia="Arial"/>
        </w:rPr>
        <w:t xml:space="preserve"> cost per kilowatt of EV </w:t>
      </w:r>
      <w:r w:rsidRPr="4D6DB4BC">
        <w:rPr>
          <w:rFonts w:eastAsia="Arial"/>
        </w:rPr>
        <w:t xml:space="preserve">charging </w:t>
      </w:r>
      <w:r w:rsidR="177BD6AE" w:rsidRPr="4D6DB4BC">
        <w:rPr>
          <w:rFonts w:eastAsia="Arial"/>
        </w:rPr>
        <w:t>capacity proposed for</w:t>
      </w:r>
      <w:r w:rsidRPr="4D6DB4BC">
        <w:rPr>
          <w:rFonts w:eastAsia="Arial"/>
        </w:rPr>
        <w:t xml:space="preserve"> the application</w:t>
      </w:r>
      <w:r w:rsidR="177BD6AE" w:rsidRPr="4D6DB4BC">
        <w:rPr>
          <w:rFonts w:eastAsia="Arial"/>
        </w:rPr>
        <w:t>. This should be calculated by summarizing</w:t>
      </w:r>
      <w:r w:rsidRPr="4D6DB4BC">
        <w:rPr>
          <w:rFonts w:eastAsia="Arial"/>
        </w:rPr>
        <w:t xml:space="preserve"> the total </w:t>
      </w:r>
      <w:r w:rsidR="177BD6AE" w:rsidRPr="4D6DB4BC">
        <w:rPr>
          <w:rFonts w:eastAsia="Arial"/>
        </w:rPr>
        <w:t xml:space="preserve">allowable </w:t>
      </w:r>
      <w:r w:rsidR="00E13629">
        <w:rPr>
          <w:rFonts w:eastAsia="Arial"/>
        </w:rPr>
        <w:t>project</w:t>
      </w:r>
      <w:r w:rsidR="177BD6AE" w:rsidRPr="4D6DB4BC">
        <w:rPr>
          <w:rFonts w:eastAsia="Arial"/>
        </w:rPr>
        <w:t xml:space="preserve"> cost of </w:t>
      </w:r>
      <w:r w:rsidRPr="4D6DB4BC">
        <w:rPr>
          <w:rFonts w:eastAsia="Arial"/>
        </w:rPr>
        <w:t xml:space="preserve">the </w:t>
      </w:r>
      <w:r w:rsidR="177BD6AE" w:rsidRPr="4D6DB4BC">
        <w:rPr>
          <w:rFonts w:eastAsia="Arial"/>
        </w:rPr>
        <w:t xml:space="preserve">project </w:t>
      </w:r>
      <w:r w:rsidR="009A6B24">
        <w:rPr>
          <w:rFonts w:eastAsia="Arial"/>
        </w:rPr>
        <w:t xml:space="preserve">(defined as </w:t>
      </w:r>
      <w:r w:rsidR="00880E4C" w:rsidRPr="00880E4C">
        <w:rPr>
          <w:rFonts w:eastAsia="Arial"/>
        </w:rPr>
        <w:t>the sum of the CEC’s reimbursable share and Recipient’s match share of the project costs</w:t>
      </w:r>
      <w:r w:rsidR="009A6B24">
        <w:rPr>
          <w:rFonts w:eastAsia="Arial"/>
        </w:rPr>
        <w:t>)</w:t>
      </w:r>
      <w:r w:rsidR="00880E4C" w:rsidRPr="00880E4C">
        <w:rPr>
          <w:rFonts w:eastAsia="Arial"/>
        </w:rPr>
        <w:t xml:space="preserve"> </w:t>
      </w:r>
      <w:r w:rsidR="177BD6AE" w:rsidRPr="4D6DB4BC">
        <w:rPr>
          <w:rFonts w:eastAsia="Arial"/>
        </w:rPr>
        <w:t>by the amount of charging capacity the Applicant</w:t>
      </w:r>
      <w:r w:rsidRPr="4D6DB4BC">
        <w:rPr>
          <w:rFonts w:eastAsia="Arial"/>
        </w:rPr>
        <w:t xml:space="preserve"> is requesting </w:t>
      </w:r>
      <w:r w:rsidR="177BD6AE" w:rsidRPr="4D6DB4BC">
        <w:rPr>
          <w:rFonts w:eastAsia="Arial"/>
        </w:rPr>
        <w:t>funding to install.</w:t>
      </w:r>
      <w:r w:rsidRPr="4D6DB4BC">
        <w:rPr>
          <w:rFonts w:eastAsia="Arial"/>
        </w:rPr>
        <w:t xml:space="preserve"> Example: </w:t>
      </w:r>
      <w:r w:rsidR="177BD6AE" w:rsidRPr="4D6DB4BC">
        <w:rPr>
          <w:rFonts w:eastAsia="Arial"/>
        </w:rPr>
        <w:t>An Applicant is proposing</w:t>
      </w:r>
      <w:r w:rsidRPr="4D6DB4BC">
        <w:rPr>
          <w:rFonts w:eastAsia="Arial"/>
        </w:rPr>
        <w:t xml:space="preserve"> to install </w:t>
      </w:r>
      <w:r w:rsidR="004E6E17">
        <w:rPr>
          <w:rFonts w:eastAsia="Arial"/>
        </w:rPr>
        <w:t xml:space="preserve">twenty </w:t>
      </w:r>
      <w:r w:rsidRPr="4D6DB4BC">
        <w:rPr>
          <w:rFonts w:eastAsia="Arial"/>
        </w:rPr>
        <w:t>(20) 150</w:t>
      </w:r>
      <w:r w:rsidR="00895431">
        <w:rPr>
          <w:rFonts w:eastAsia="Arial"/>
        </w:rPr>
        <w:t>-</w:t>
      </w:r>
      <w:r w:rsidRPr="4D6DB4BC">
        <w:rPr>
          <w:rFonts w:eastAsia="Arial"/>
        </w:rPr>
        <w:t xml:space="preserve">kW charging ports and </w:t>
      </w:r>
      <w:r w:rsidR="00895431">
        <w:rPr>
          <w:rFonts w:eastAsia="Arial"/>
        </w:rPr>
        <w:t xml:space="preserve">twenty </w:t>
      </w:r>
      <w:r w:rsidRPr="4D6DB4BC">
        <w:rPr>
          <w:rFonts w:eastAsia="Arial"/>
        </w:rPr>
        <w:t>(20) 350</w:t>
      </w:r>
      <w:r w:rsidR="00895431">
        <w:rPr>
          <w:rFonts w:eastAsia="Arial"/>
        </w:rPr>
        <w:t>-</w:t>
      </w:r>
      <w:r w:rsidRPr="4D6DB4BC">
        <w:rPr>
          <w:rFonts w:eastAsia="Arial"/>
        </w:rPr>
        <w:t>kW charging ports</w:t>
      </w:r>
      <w:r w:rsidR="177BD6AE" w:rsidRPr="4D6DB4BC">
        <w:rPr>
          <w:rFonts w:eastAsia="Arial"/>
        </w:rPr>
        <w:t xml:space="preserve"> for a total allowable </w:t>
      </w:r>
      <w:r w:rsidR="008F7946">
        <w:rPr>
          <w:rFonts w:eastAsia="Arial"/>
        </w:rPr>
        <w:t xml:space="preserve">project </w:t>
      </w:r>
      <w:r w:rsidR="177BD6AE" w:rsidRPr="4D6DB4BC">
        <w:rPr>
          <w:rFonts w:eastAsia="Arial"/>
        </w:rPr>
        <w:t>cost of $10 million.</w:t>
      </w:r>
      <w:r w:rsidRPr="4D6DB4BC">
        <w:rPr>
          <w:rFonts w:eastAsia="Arial"/>
        </w:rPr>
        <w:t xml:space="preserve"> The total </w:t>
      </w:r>
      <w:r w:rsidR="177BD6AE" w:rsidRPr="4D6DB4BC">
        <w:rPr>
          <w:rFonts w:eastAsia="Arial"/>
        </w:rPr>
        <w:t xml:space="preserve">allowable </w:t>
      </w:r>
      <w:r w:rsidR="00BA3E84">
        <w:rPr>
          <w:rFonts w:eastAsia="Arial"/>
        </w:rPr>
        <w:t xml:space="preserve">project </w:t>
      </w:r>
      <w:r w:rsidR="177BD6AE" w:rsidRPr="4D6DB4BC">
        <w:rPr>
          <w:rFonts w:eastAsia="Arial"/>
        </w:rPr>
        <w:t>cost per kW = $1</w:t>
      </w:r>
      <w:r w:rsidRPr="4D6DB4BC">
        <w:rPr>
          <w:rFonts w:eastAsia="Arial"/>
        </w:rPr>
        <w:t>,000</w:t>
      </w:r>
      <w:r w:rsidR="177BD6AE" w:rsidRPr="4D6DB4BC">
        <w:rPr>
          <w:rFonts w:eastAsia="Arial"/>
        </w:rPr>
        <w:t>/kW.</w:t>
      </w:r>
    </w:p>
    <w:p w14:paraId="7F32110E" w14:textId="77777777" w:rsidR="00BF7132" w:rsidRPr="00501925" w:rsidRDefault="00BF7132" w:rsidP="00164AC5">
      <w:pPr>
        <w:numPr>
          <w:ilvl w:val="1"/>
          <w:numId w:val="10"/>
        </w:numPr>
        <w:spacing w:after="120"/>
        <w:ind w:left="2880" w:hanging="720"/>
        <w:rPr>
          <w:szCs w:val="24"/>
        </w:rPr>
      </w:pPr>
      <w:r w:rsidRPr="00501925">
        <w:rPr>
          <w:szCs w:val="24"/>
        </w:rPr>
        <w:t>Present credible strategies to secure additional capital, as needed, to ensure project success and continue operations and maintenance of the project beyond the term of the funding agreement.</w:t>
      </w:r>
    </w:p>
    <w:p w14:paraId="574556D6" w14:textId="77777777" w:rsidR="000C5650" w:rsidRPr="00E91F37" w:rsidRDefault="000C5650" w:rsidP="00E04486">
      <w:pPr>
        <w:rPr>
          <w:szCs w:val="24"/>
        </w:rPr>
      </w:pPr>
    </w:p>
    <w:p w14:paraId="0FAD316E" w14:textId="427CBD32" w:rsidR="000D6B50" w:rsidRDefault="000D6B50" w:rsidP="001B518B">
      <w:pPr>
        <w:numPr>
          <w:ilvl w:val="0"/>
          <w:numId w:val="6"/>
        </w:numPr>
        <w:ind w:left="1440" w:hanging="720"/>
        <w:rPr>
          <w:b/>
          <w:bCs/>
          <w:szCs w:val="24"/>
        </w:rPr>
      </w:pPr>
      <w:r w:rsidRPr="000D6B50">
        <w:rPr>
          <w:b/>
          <w:bCs/>
          <w:szCs w:val="24"/>
        </w:rPr>
        <w:t>Project Narrative to Complete Once for all Corridor Segments</w:t>
      </w:r>
      <w:r w:rsidR="00D06EFE">
        <w:rPr>
          <w:b/>
          <w:bCs/>
          <w:szCs w:val="24"/>
        </w:rPr>
        <w:t xml:space="preserve"> (Attachment 1–Part B)</w:t>
      </w:r>
      <w:r w:rsidR="00934CE9">
        <w:rPr>
          <w:b/>
          <w:bCs/>
          <w:szCs w:val="24"/>
        </w:rPr>
        <w:t xml:space="preserve"> </w:t>
      </w:r>
      <w:r w:rsidR="00646628" w:rsidRPr="00646628">
        <w:rPr>
          <w:b/>
          <w:bCs/>
          <w:i/>
          <w:iCs/>
          <w:szCs w:val="24"/>
        </w:rPr>
        <w:t>(Limit</w:t>
      </w:r>
      <w:r w:rsidR="00646628">
        <w:rPr>
          <w:b/>
          <w:bCs/>
          <w:i/>
          <w:iCs/>
          <w:szCs w:val="24"/>
        </w:rPr>
        <w:t>:</w:t>
      </w:r>
      <w:r w:rsidR="00646628" w:rsidRPr="00646628">
        <w:rPr>
          <w:b/>
          <w:bCs/>
          <w:i/>
          <w:iCs/>
          <w:szCs w:val="24"/>
        </w:rPr>
        <w:t xml:space="preserve"> 15 pages)</w:t>
      </w:r>
    </w:p>
    <w:p w14:paraId="4B83AF13" w14:textId="75FC0194" w:rsidR="004A4349" w:rsidRPr="004A4349" w:rsidRDefault="004A4349" w:rsidP="00934CE9">
      <w:pPr>
        <w:ind w:left="1440"/>
      </w:pPr>
      <w:r w:rsidRPr="004A4349">
        <w:t xml:space="preserve">The Project Narrative </w:t>
      </w:r>
      <w:r w:rsidR="00934CE9">
        <w:t>to Complete Once for all Corridor Segments</w:t>
      </w:r>
      <w:r w:rsidRPr="004A4349">
        <w:t xml:space="preserve"> must include a table of contents (which will not count towards the page limitation).</w:t>
      </w:r>
      <w:r w:rsidR="00934CE9">
        <w:t xml:space="preserve"> </w:t>
      </w:r>
      <w:r w:rsidRPr="004A4349">
        <w:t>Applicants must address each of the scoring criteria described in this section by providing sufficient, unambiguous detail so that the evaluation team will be able to evaluate the application against each scoring criterion.</w:t>
      </w:r>
    </w:p>
    <w:p w14:paraId="15E05C26" w14:textId="77777777" w:rsidR="004A4349" w:rsidRDefault="004A4349" w:rsidP="00934CE9">
      <w:pPr>
        <w:ind w:left="1440"/>
      </w:pPr>
    </w:p>
    <w:p w14:paraId="1B8859E5" w14:textId="3E0E87D1" w:rsidR="004B068F" w:rsidRDefault="00C37FC2" w:rsidP="00934CE9">
      <w:pPr>
        <w:ind w:left="1440"/>
      </w:pPr>
      <w:r>
        <w:t>The</w:t>
      </w:r>
      <w:r w:rsidR="009B0D72">
        <w:t xml:space="preserve"> CEC expects </w:t>
      </w:r>
      <w:r w:rsidR="006A4CFE">
        <w:t>Applicant</w:t>
      </w:r>
      <w:r w:rsidR="009B0D72">
        <w:t xml:space="preserve"> </w:t>
      </w:r>
      <w:r w:rsidR="006A4CFE">
        <w:t>responses</w:t>
      </w:r>
      <w:r w:rsidR="009B0D72">
        <w:t xml:space="preserve"> to these scoring criteria to be identical or almost identical </w:t>
      </w:r>
      <w:r w:rsidR="00082F2F">
        <w:t xml:space="preserve">for all corridor segments an Applicant chooses to apply for. </w:t>
      </w:r>
      <w:r w:rsidR="003B3948">
        <w:t xml:space="preserve">Therefore, </w:t>
      </w:r>
      <w:r w:rsidR="004B068F" w:rsidRPr="004B068F">
        <w:t xml:space="preserve">Applicants </w:t>
      </w:r>
      <w:r w:rsidR="003B3948">
        <w:t xml:space="preserve">may prepare this </w:t>
      </w:r>
      <w:r w:rsidR="00C42245">
        <w:t>portion of the</w:t>
      </w:r>
      <w:r w:rsidR="003B3948">
        <w:t xml:space="preserve"> Project Narrative only once and submit the same document </w:t>
      </w:r>
      <w:r w:rsidR="00AC746D">
        <w:t>in</w:t>
      </w:r>
      <w:r w:rsidR="003B3948">
        <w:t xml:space="preserve"> each application. Applicants </w:t>
      </w:r>
      <w:r w:rsidR="005109B1">
        <w:t>should</w:t>
      </w:r>
      <w:r w:rsidR="003B3948">
        <w:t xml:space="preserve"> explain any differences </w:t>
      </w:r>
      <w:r w:rsidR="00C31DF0">
        <w:t xml:space="preserve">between </w:t>
      </w:r>
      <w:r w:rsidR="006A4CFE">
        <w:t xml:space="preserve">corridor segments </w:t>
      </w:r>
      <w:r w:rsidR="00C31DF0">
        <w:t>in their responses</w:t>
      </w:r>
      <w:r w:rsidR="00CD5449">
        <w:t xml:space="preserve"> as needed</w:t>
      </w:r>
      <w:r w:rsidR="004B068F" w:rsidRPr="004B068F">
        <w:t>.</w:t>
      </w:r>
    </w:p>
    <w:p w14:paraId="33B52BC3" w14:textId="77777777" w:rsidR="008A1A32" w:rsidRPr="004B068F" w:rsidRDefault="008A1A32" w:rsidP="00934CE9">
      <w:pPr>
        <w:ind w:left="1440"/>
      </w:pPr>
    </w:p>
    <w:p w14:paraId="47B6B096" w14:textId="4382B478" w:rsidR="004A4349" w:rsidRDefault="004A4349" w:rsidP="00934CE9">
      <w:pPr>
        <w:ind w:left="1440"/>
      </w:pPr>
      <w:r w:rsidRPr="004A4349">
        <w:lastRenderedPageBreak/>
        <w:t xml:space="preserve">The Project Narrative </w:t>
      </w:r>
      <w:r w:rsidR="00FE3081" w:rsidRPr="00FE3081">
        <w:t>to Complete Once for all Corridor Segments</w:t>
      </w:r>
      <w:r w:rsidR="00FE3081">
        <w:rPr>
          <w:b/>
          <w:bCs/>
          <w:szCs w:val="24"/>
        </w:rPr>
        <w:t xml:space="preserve"> </w:t>
      </w:r>
      <w:r w:rsidRPr="004A4349">
        <w:t>must respond directly to each criterion with the headings as titled below, and must include the following information:</w:t>
      </w:r>
    </w:p>
    <w:p w14:paraId="24A26221" w14:textId="77777777" w:rsidR="00934CE9" w:rsidRDefault="00934CE9" w:rsidP="00934CE9">
      <w:pPr>
        <w:ind w:left="1440"/>
      </w:pPr>
    </w:p>
    <w:p w14:paraId="210B2DCE" w14:textId="6B072567" w:rsidR="00FE3081" w:rsidRPr="00962C76" w:rsidRDefault="00FE3081" w:rsidP="00164AC5">
      <w:pPr>
        <w:pStyle w:val="ListParagraph"/>
        <w:numPr>
          <w:ilvl w:val="0"/>
          <w:numId w:val="85"/>
        </w:numPr>
        <w:spacing w:after="120"/>
        <w:ind w:left="2160" w:hanging="720"/>
        <w:rPr>
          <w:b/>
          <w:bCs/>
        </w:rPr>
      </w:pPr>
      <w:r w:rsidRPr="004E75F2">
        <w:rPr>
          <w:b/>
          <w:bCs/>
          <w:szCs w:val="24"/>
        </w:rPr>
        <w:t>Charging Station Technology</w:t>
      </w:r>
    </w:p>
    <w:p w14:paraId="44E90A55" w14:textId="31A80DFF" w:rsidR="00FE3081" w:rsidRDefault="00FE3081" w:rsidP="00164AC5">
      <w:pPr>
        <w:numPr>
          <w:ilvl w:val="1"/>
          <w:numId w:val="85"/>
        </w:numPr>
        <w:spacing w:after="120"/>
        <w:ind w:left="2880" w:hanging="720"/>
      </w:pPr>
      <w:r>
        <w:t xml:space="preserve">Identify the make, model, and power levels of the DC fast chargers being deployed, how many ports each charger has, and why the chargers were chosen for the project, including any innovative or sustainability features. Explain the reasons for deploying </w:t>
      </w:r>
      <w:r w:rsidR="00F97D7F">
        <w:t>J3400</w:t>
      </w:r>
      <w:r>
        <w:t xml:space="preserve"> connector</w:t>
      </w:r>
      <w:r w:rsidR="00F97D7F">
        <w:t>s</w:t>
      </w:r>
      <w:r>
        <w:t>, if applicable.</w:t>
      </w:r>
    </w:p>
    <w:p w14:paraId="465EE8E9" w14:textId="55C9DBF6" w:rsidR="008101B3" w:rsidRDefault="008101B3" w:rsidP="00164AC5">
      <w:pPr>
        <w:numPr>
          <w:ilvl w:val="1"/>
          <w:numId w:val="85"/>
        </w:numPr>
        <w:spacing w:after="120"/>
        <w:ind w:left="2880" w:hanging="720"/>
      </w:pPr>
      <w:r>
        <w:t xml:space="preserve">Describe how the charging ports at each proposed EV charging station will be </w:t>
      </w:r>
      <w:r w:rsidR="00230C2F">
        <w:t>guaranteed</w:t>
      </w:r>
      <w:r>
        <w:t xml:space="preserve"> of simultaneously supplying vehicles with at least 150 kW. </w:t>
      </w:r>
    </w:p>
    <w:p w14:paraId="3B3E3832" w14:textId="77777777" w:rsidR="00FE3081" w:rsidRDefault="00FE3081" w:rsidP="00164AC5">
      <w:pPr>
        <w:numPr>
          <w:ilvl w:val="1"/>
          <w:numId w:val="85"/>
        </w:numPr>
        <w:spacing w:after="120"/>
        <w:ind w:left="2880" w:hanging="720"/>
        <w:rPr>
          <w:szCs w:val="24"/>
        </w:rPr>
      </w:pPr>
      <w:r w:rsidRPr="00501925">
        <w:rPr>
          <w:szCs w:val="24"/>
        </w:rPr>
        <w:t>Describe how the proposed EV charg</w:t>
      </w:r>
      <w:r>
        <w:rPr>
          <w:szCs w:val="24"/>
        </w:rPr>
        <w:t>ers</w:t>
      </w:r>
      <w:r w:rsidRPr="00501925">
        <w:rPr>
          <w:szCs w:val="24"/>
        </w:rPr>
        <w:t xml:space="preserve"> are customer-friendly, easy to use, aesthetically pleasing, secure, and accessible to all EV drivers. </w:t>
      </w:r>
    </w:p>
    <w:p w14:paraId="59DF10E8" w14:textId="04D42E2F" w:rsidR="00FE3081" w:rsidRPr="00501925" w:rsidRDefault="00FE3081" w:rsidP="00164AC5">
      <w:pPr>
        <w:numPr>
          <w:ilvl w:val="0"/>
          <w:numId w:val="85"/>
        </w:numPr>
        <w:spacing w:after="120"/>
        <w:ind w:left="2160" w:hanging="720"/>
        <w:rPr>
          <w:szCs w:val="24"/>
        </w:rPr>
      </w:pPr>
      <w:r w:rsidRPr="00501925">
        <w:rPr>
          <w:b/>
          <w:bCs/>
          <w:szCs w:val="24"/>
        </w:rPr>
        <w:t xml:space="preserve">Operations and Maintenance </w:t>
      </w:r>
      <w:r w:rsidR="00C4638E">
        <w:rPr>
          <w:b/>
          <w:bCs/>
          <w:szCs w:val="24"/>
        </w:rPr>
        <w:t xml:space="preserve">Plan </w:t>
      </w:r>
      <w:r w:rsidRPr="00962C76">
        <w:rPr>
          <w:b/>
          <w:bCs/>
          <w:i/>
          <w:iCs/>
          <w:szCs w:val="24"/>
        </w:rPr>
        <w:t>(</w:t>
      </w:r>
      <w:r w:rsidR="003263D6">
        <w:rPr>
          <w:b/>
          <w:bCs/>
          <w:i/>
          <w:iCs/>
          <w:szCs w:val="24"/>
        </w:rPr>
        <w:t>Limit: 5 pages)</w:t>
      </w:r>
    </w:p>
    <w:p w14:paraId="5D9880DA" w14:textId="6779300C" w:rsidR="00FE3081" w:rsidRPr="00501925" w:rsidRDefault="00FE3081" w:rsidP="00164AC5">
      <w:pPr>
        <w:numPr>
          <w:ilvl w:val="1"/>
          <w:numId w:val="85"/>
        </w:numPr>
        <w:spacing w:after="120"/>
        <w:ind w:left="2880" w:hanging="720"/>
        <w:rPr>
          <w:rFonts w:eastAsia="Arial"/>
          <w:szCs w:val="24"/>
        </w:rPr>
      </w:pPr>
      <w:r w:rsidRPr="00501925">
        <w:rPr>
          <w:rFonts w:eastAsia="Arial"/>
          <w:szCs w:val="24"/>
        </w:rPr>
        <w:t xml:space="preserve">Applicants must submit an Operations and Maintenance Plan </w:t>
      </w:r>
      <w:r w:rsidR="00EE00EF">
        <w:rPr>
          <w:rFonts w:eastAsia="Arial"/>
          <w:szCs w:val="24"/>
        </w:rPr>
        <w:t>that</w:t>
      </w:r>
      <w:r w:rsidRPr="00501925">
        <w:rPr>
          <w:rFonts w:eastAsia="Arial"/>
          <w:szCs w:val="24"/>
        </w:rPr>
        <w:t xml:space="preserve"> details their strategy to operate and maintain the charging equipment funded through this solicitation for at least five years after its commissioning date. The Applicant must propose a plan to demonstrate that each charging port will achieve an average annual uptime of greater than 97</w:t>
      </w:r>
      <w:r w:rsidR="00AD42A2">
        <w:rPr>
          <w:rFonts w:eastAsia="Arial"/>
          <w:szCs w:val="24"/>
        </w:rPr>
        <w:t xml:space="preserve"> percent</w:t>
      </w:r>
      <w:r w:rsidRPr="00501925">
        <w:rPr>
          <w:rFonts w:eastAsia="Arial"/>
          <w:szCs w:val="24"/>
        </w:rPr>
        <w:t>. The plan should address, but is not limited to:</w:t>
      </w:r>
    </w:p>
    <w:p w14:paraId="3E940C9A"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Strategies to physically secure the site and limit or prevent tampering with or damage to the charging stations.</w:t>
      </w:r>
    </w:p>
    <w:p w14:paraId="50B44EE1"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The strategy with timelines to conduct preventative maintenance and/or field testing of the equipment.</w:t>
      </w:r>
    </w:p>
    <w:p w14:paraId="3042ECE6"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Strategies and timelines to provide prompt attention to chargers that are not operational and carry out repairs to maximize uptime.</w:t>
      </w:r>
    </w:p>
    <w:p w14:paraId="12870142"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The availability of replacement parts.</w:t>
      </w:r>
    </w:p>
    <w:p w14:paraId="60480250"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Established or planned partnerships/service level contracts with local qualified technicians.</w:t>
      </w:r>
    </w:p>
    <w:p w14:paraId="458D9FE3"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The warranties and/or extended warranties selected for the chargers and/or auxiliary charging equipment.</w:t>
      </w:r>
    </w:p>
    <w:p w14:paraId="653BA5B9" w14:textId="62BE2DF3"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How the customer service project requirements will be met (see Section II.B.16).</w:t>
      </w:r>
    </w:p>
    <w:p w14:paraId="3C519761"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 xml:space="preserve">Site host training and responsibilities of the site host in conducting operations and maintenance. </w:t>
      </w:r>
    </w:p>
    <w:p w14:paraId="212930AB"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lastRenderedPageBreak/>
        <w:t>Who will be responsible for maintaining the charging stations, charging equipment, and all ancillary equipment, including but not limited to any awnings, canopies, shelters, restrooms, and information display kiosks or signage associated with the charging station. “Maintain,” as used in this solicitation means “to provide all needed repairs or desired and approved alteration, as well as to clean the equipment and keep it safe and presentable.”</w:t>
      </w:r>
    </w:p>
    <w:p w14:paraId="443CCE16" w14:textId="77777777" w:rsidR="00FE3081" w:rsidRPr="00501925" w:rsidRDefault="00FE3081" w:rsidP="00164AC5">
      <w:pPr>
        <w:pStyle w:val="ListParagraph"/>
        <w:numPr>
          <w:ilvl w:val="3"/>
          <w:numId w:val="85"/>
        </w:numPr>
        <w:spacing w:after="120"/>
        <w:ind w:hanging="720"/>
        <w:rPr>
          <w:rFonts w:eastAsia="Arial"/>
          <w:szCs w:val="24"/>
        </w:rPr>
      </w:pPr>
      <w:r w:rsidRPr="00501925">
        <w:rPr>
          <w:rFonts w:eastAsia="Arial"/>
          <w:szCs w:val="24"/>
        </w:rPr>
        <w:t>Who will be responsible for payment of all operating costs, including but not limited to payment of leases, rents, royalties, licenses, fees, taxes, revenue sharing, utilities, and electric power supply for the charging equipment and applicable supporting elements, such as area lighting.</w:t>
      </w:r>
    </w:p>
    <w:p w14:paraId="6BBB0425" w14:textId="77777777" w:rsidR="00FE3081" w:rsidRPr="00963821" w:rsidRDefault="00FE3081" w:rsidP="00164AC5">
      <w:pPr>
        <w:pStyle w:val="ListParagraph"/>
        <w:numPr>
          <w:ilvl w:val="3"/>
          <w:numId w:val="85"/>
        </w:numPr>
        <w:spacing w:after="120"/>
        <w:ind w:hanging="720"/>
        <w:rPr>
          <w:rFonts w:eastAsia="Arial"/>
          <w:kern w:val="2"/>
          <w:szCs w:val="24"/>
          <w14:ligatures w14:val="standardContextual"/>
        </w:rPr>
      </w:pPr>
      <w:r w:rsidRPr="00501925">
        <w:rPr>
          <w:szCs w:val="24"/>
        </w:rPr>
        <w:t>The Applicant’s plan to continue the proposed project beyond the agreement term and minimum five-year data reporting period.</w:t>
      </w:r>
    </w:p>
    <w:p w14:paraId="003B3525" w14:textId="6E66CA7C" w:rsidR="00FE3081" w:rsidRPr="00501925" w:rsidRDefault="00FE3081" w:rsidP="00164AC5">
      <w:pPr>
        <w:numPr>
          <w:ilvl w:val="0"/>
          <w:numId w:val="85"/>
        </w:numPr>
        <w:spacing w:after="120"/>
        <w:ind w:left="2160" w:hanging="720"/>
        <w:rPr>
          <w:b/>
          <w:bCs/>
          <w:szCs w:val="24"/>
        </w:rPr>
      </w:pPr>
      <w:r w:rsidRPr="00501925">
        <w:rPr>
          <w:b/>
          <w:bCs/>
          <w:szCs w:val="24"/>
        </w:rPr>
        <w:t>Team Experience and Qualifications</w:t>
      </w:r>
    </w:p>
    <w:p w14:paraId="7A7271E7" w14:textId="77777777" w:rsidR="00FE3081" w:rsidRPr="00501925" w:rsidRDefault="00FE3081" w:rsidP="00164AC5">
      <w:pPr>
        <w:numPr>
          <w:ilvl w:val="1"/>
          <w:numId w:val="85"/>
        </w:numPr>
        <w:spacing w:after="120"/>
        <w:ind w:left="2880" w:hanging="720"/>
        <w:rPr>
          <w:szCs w:val="24"/>
        </w:rPr>
      </w:pPr>
      <w:r w:rsidRPr="00501925">
        <w:rPr>
          <w:szCs w:val="24"/>
        </w:rPr>
        <w:t xml:space="preserve">Explain how the project team’s qualifications (including relevant expertise, experience, and skill sets) are suitable to the tasks described in the proposed Scope of Work. </w:t>
      </w:r>
    </w:p>
    <w:p w14:paraId="1388A43B" w14:textId="77777777" w:rsidR="00FE3081" w:rsidRPr="00501925" w:rsidRDefault="00FE3081" w:rsidP="00164AC5">
      <w:pPr>
        <w:numPr>
          <w:ilvl w:val="1"/>
          <w:numId w:val="85"/>
        </w:numPr>
        <w:spacing w:after="120"/>
        <w:ind w:left="2880" w:hanging="720"/>
        <w:rPr>
          <w:szCs w:val="24"/>
        </w:rPr>
      </w:pPr>
      <w:r w:rsidRPr="00501925">
        <w:rPr>
          <w:szCs w:val="24"/>
        </w:rPr>
        <w:t>Identify, by name, all key personnel assigned to the project, including the project manager, and clearly describe their individual areas of responsibility. The project manager is the one individual responsible for interacting with the CAM on all issues relating to the overall project and coordinating all aspects of work under the project.</w:t>
      </w:r>
    </w:p>
    <w:p w14:paraId="7C11304A" w14:textId="342910FD" w:rsidR="00FE3081" w:rsidRPr="00501925" w:rsidRDefault="00FE3081" w:rsidP="00164AC5">
      <w:pPr>
        <w:numPr>
          <w:ilvl w:val="1"/>
          <w:numId w:val="85"/>
        </w:numPr>
        <w:spacing w:after="120"/>
        <w:ind w:left="2880" w:hanging="720"/>
        <w:rPr>
          <w:szCs w:val="24"/>
        </w:rPr>
      </w:pPr>
      <w:r w:rsidRPr="00501925">
        <w:rPr>
          <w:szCs w:val="24"/>
        </w:rPr>
        <w:t xml:space="preserve">Explain how the Applicant or lead installation Subrecipient(s) from the proposed project team meet(s) </w:t>
      </w:r>
      <w:r w:rsidR="009779CB">
        <w:rPr>
          <w:szCs w:val="24"/>
        </w:rPr>
        <w:t xml:space="preserve">or exceed(s) </w:t>
      </w:r>
      <w:r w:rsidRPr="00501925">
        <w:rPr>
          <w:szCs w:val="24"/>
        </w:rPr>
        <w:t>the Experienced Contractor definition</w:t>
      </w:r>
      <w:r w:rsidR="0085100D">
        <w:rPr>
          <w:szCs w:val="24"/>
        </w:rPr>
        <w:t xml:space="preserve"> in </w:t>
      </w:r>
      <w:r w:rsidR="006B1B6D">
        <w:rPr>
          <w:szCs w:val="24"/>
        </w:rPr>
        <w:t>Section II.B.</w:t>
      </w:r>
      <w:r w:rsidR="009C414B">
        <w:rPr>
          <w:szCs w:val="24"/>
        </w:rPr>
        <w:t>10 Project Team</w:t>
      </w:r>
      <w:r w:rsidRPr="00501925">
        <w:rPr>
          <w:szCs w:val="24"/>
        </w:rPr>
        <w:t xml:space="preserve">. </w:t>
      </w:r>
    </w:p>
    <w:p w14:paraId="3A768450" w14:textId="77777777" w:rsidR="00FE3081" w:rsidRPr="00501925" w:rsidRDefault="00FE3081" w:rsidP="00164AC5">
      <w:pPr>
        <w:numPr>
          <w:ilvl w:val="1"/>
          <w:numId w:val="85"/>
        </w:numPr>
        <w:spacing w:after="120"/>
        <w:ind w:left="2880" w:hanging="720"/>
        <w:rPr>
          <w:szCs w:val="24"/>
        </w:rPr>
      </w:pPr>
      <w:r w:rsidRPr="00501925">
        <w:rPr>
          <w:szCs w:val="24"/>
        </w:rPr>
        <w:t>Explain how the Applicant’s selected charging station network provider has demonstrated experience keeping chargers in service for at least five years or the capability to keep the chargers in service for at least the entire required five-year operation period.</w:t>
      </w:r>
    </w:p>
    <w:p w14:paraId="6FBECD99" w14:textId="77777777" w:rsidR="00FE3081" w:rsidRPr="00501925" w:rsidRDefault="00FE3081" w:rsidP="00164AC5">
      <w:pPr>
        <w:numPr>
          <w:ilvl w:val="1"/>
          <w:numId w:val="85"/>
        </w:numPr>
        <w:spacing w:after="120"/>
        <w:ind w:left="2880" w:hanging="720"/>
        <w:rPr>
          <w:szCs w:val="24"/>
        </w:rPr>
      </w:pPr>
      <w:r w:rsidRPr="00501925">
        <w:rPr>
          <w:szCs w:val="24"/>
        </w:rPr>
        <w:t>Identify which of the selected installation contractors have EVITP certified electricians or detail the plan to comply with the EVITP labor requirement.</w:t>
      </w:r>
    </w:p>
    <w:p w14:paraId="05E24CF0" w14:textId="77777777" w:rsidR="00FE3081" w:rsidRPr="00501925" w:rsidRDefault="00FE3081" w:rsidP="00164AC5">
      <w:pPr>
        <w:numPr>
          <w:ilvl w:val="1"/>
          <w:numId w:val="85"/>
        </w:numPr>
        <w:spacing w:after="120"/>
        <w:ind w:left="2880" w:hanging="720"/>
        <w:rPr>
          <w:szCs w:val="24"/>
        </w:rPr>
      </w:pPr>
      <w:r w:rsidRPr="00501925">
        <w:rPr>
          <w:szCs w:val="24"/>
        </w:rPr>
        <w:t>Detail the Applicant’s experience with federally funded projects and/or explain how the Applicant plans to meet and document compliance with all the federal requirements.</w:t>
      </w:r>
    </w:p>
    <w:p w14:paraId="55AE4B75" w14:textId="77777777" w:rsidR="00FE3081" w:rsidRPr="00501925" w:rsidRDefault="00FE3081" w:rsidP="00164AC5">
      <w:pPr>
        <w:numPr>
          <w:ilvl w:val="1"/>
          <w:numId w:val="85"/>
        </w:numPr>
        <w:spacing w:after="120"/>
        <w:ind w:left="2880" w:hanging="720"/>
      </w:pPr>
      <w:r w:rsidRPr="00293A1D">
        <w:lastRenderedPageBreak/>
        <w:t>Explain how the</w:t>
      </w:r>
      <w:r w:rsidRPr="00293A1D">
        <w:rPr>
          <w:rFonts w:eastAsia="Arial"/>
        </w:rPr>
        <w:t xml:space="preserve"> Applicant </w:t>
      </w:r>
      <w:r w:rsidRPr="5E8CD51F">
        <w:rPr>
          <w:rFonts w:eastAsia="Arial"/>
          <w:color w:val="000000" w:themeColor="text1"/>
          <w:szCs w:val="24"/>
        </w:rPr>
        <w:t>demonstrates experience meeting</w:t>
      </w:r>
      <w:r w:rsidRPr="00293A1D">
        <w:rPr>
          <w:rFonts w:eastAsia="Arial"/>
        </w:rPr>
        <w:t xml:space="preserve"> deadlines and </w:t>
      </w:r>
      <w:r w:rsidRPr="5E8CD51F">
        <w:rPr>
          <w:rFonts w:eastAsia="Arial"/>
          <w:color w:val="000000" w:themeColor="text1"/>
          <w:szCs w:val="24"/>
        </w:rPr>
        <w:t>completing</w:t>
      </w:r>
      <w:r w:rsidRPr="00293A1D">
        <w:rPr>
          <w:rFonts w:eastAsia="Arial"/>
        </w:rPr>
        <w:t xml:space="preserve"> milestones associated with large, complex projects, including </w:t>
      </w:r>
      <w:r w:rsidRPr="00293A1D">
        <w:t xml:space="preserve">examples of </w:t>
      </w:r>
      <w:r w:rsidRPr="00293A1D">
        <w:rPr>
          <w:rFonts w:eastAsia="Arial"/>
        </w:rPr>
        <w:t>previously successful EV charging projects.</w:t>
      </w:r>
      <w:r w:rsidRPr="00293A1D">
        <w:t> </w:t>
      </w:r>
    </w:p>
    <w:p w14:paraId="1A91B128" w14:textId="35ED59F0" w:rsidR="00FE3081" w:rsidRPr="00501925" w:rsidRDefault="00FE3081" w:rsidP="00164AC5">
      <w:pPr>
        <w:numPr>
          <w:ilvl w:val="1"/>
          <w:numId w:val="85"/>
        </w:numPr>
        <w:spacing w:after="120"/>
        <w:ind w:left="2880" w:hanging="720"/>
        <w:rPr>
          <w:szCs w:val="24"/>
        </w:rPr>
      </w:pPr>
      <w:r w:rsidRPr="00501925">
        <w:rPr>
          <w:szCs w:val="24"/>
        </w:rPr>
        <w:t xml:space="preserve">Past Performance forms </w:t>
      </w:r>
      <w:r w:rsidR="005F1FC3">
        <w:rPr>
          <w:szCs w:val="24"/>
        </w:rPr>
        <w:t xml:space="preserve">(Attachment 12) </w:t>
      </w:r>
      <w:r w:rsidRPr="00501925">
        <w:rPr>
          <w:szCs w:val="24"/>
        </w:rPr>
        <w:t>will be evaluated in this criterion. (If Applicable)</w:t>
      </w:r>
    </w:p>
    <w:p w14:paraId="531C6A82" w14:textId="77777777" w:rsidR="00FE3081" w:rsidRDefault="00FE3081" w:rsidP="00934CE9">
      <w:pPr>
        <w:ind w:left="1440"/>
      </w:pPr>
    </w:p>
    <w:p w14:paraId="1A212B15" w14:textId="53481728" w:rsidR="00EE0E85" w:rsidRPr="00E91F37" w:rsidRDefault="00FD0C9E" w:rsidP="001B518B">
      <w:pPr>
        <w:numPr>
          <w:ilvl w:val="0"/>
          <w:numId w:val="6"/>
        </w:numPr>
        <w:ind w:left="1440" w:hanging="720"/>
        <w:rPr>
          <w:b/>
          <w:bCs/>
          <w:szCs w:val="24"/>
        </w:rPr>
      </w:pPr>
      <w:r w:rsidRPr="101EB4DA">
        <w:rPr>
          <w:b/>
          <w:bCs/>
          <w:szCs w:val="24"/>
        </w:rPr>
        <w:t>Scope of Work</w:t>
      </w:r>
      <w:r w:rsidR="00FC715F" w:rsidRPr="101EB4DA">
        <w:rPr>
          <w:b/>
          <w:bCs/>
          <w:szCs w:val="24"/>
        </w:rPr>
        <w:t xml:space="preserve"> (</w:t>
      </w:r>
      <w:r w:rsidR="00FC715F" w:rsidRPr="00A714C7">
        <w:rPr>
          <w:b/>
          <w:szCs w:val="24"/>
        </w:rPr>
        <w:t xml:space="preserve">Attachment </w:t>
      </w:r>
      <w:r w:rsidR="59BF61A2" w:rsidRPr="00A714C7">
        <w:rPr>
          <w:b/>
          <w:szCs w:val="24"/>
        </w:rPr>
        <w:t>2</w:t>
      </w:r>
      <w:r w:rsidR="00FC715F" w:rsidRPr="101EB4DA">
        <w:rPr>
          <w:b/>
          <w:bCs/>
          <w:szCs w:val="24"/>
        </w:rPr>
        <w:t>)</w:t>
      </w:r>
    </w:p>
    <w:p w14:paraId="057E8838" w14:textId="31615F9C" w:rsidR="00FD0C9E" w:rsidRPr="00E91F37" w:rsidRDefault="00FD0C9E" w:rsidP="003A0DDC">
      <w:pPr>
        <w:ind w:left="1440"/>
        <w:rPr>
          <w:szCs w:val="24"/>
        </w:rPr>
      </w:pPr>
      <w:r w:rsidRPr="60D49439">
        <w:rPr>
          <w:szCs w:val="24"/>
        </w:rPr>
        <w:t xml:space="preserve">Applicants must include a completed Scope of Work utilizing the template contained in Attachment </w:t>
      </w:r>
      <w:r w:rsidR="3B3072E7" w:rsidRPr="00A714C7">
        <w:rPr>
          <w:szCs w:val="24"/>
        </w:rPr>
        <w:t>2</w:t>
      </w:r>
      <w:r w:rsidRPr="60D49439">
        <w:rPr>
          <w:szCs w:val="24"/>
        </w:rPr>
        <w:t xml:space="preserve">. Instructions for completing the Scope of Work as well as a sample are included in Attachment </w:t>
      </w:r>
      <w:r w:rsidR="6D142DAC" w:rsidRPr="60D49439">
        <w:rPr>
          <w:szCs w:val="24"/>
        </w:rPr>
        <w:t>3</w:t>
      </w:r>
      <w:r w:rsidRPr="00A714C7">
        <w:rPr>
          <w:szCs w:val="24"/>
        </w:rPr>
        <w:t>.</w:t>
      </w:r>
      <w:r w:rsidRPr="60D49439">
        <w:rPr>
          <w:szCs w:val="24"/>
        </w:rPr>
        <w:t xml:space="preserve"> The description of activities proposed in the Project Narrative must conform to the </w:t>
      </w:r>
      <w:r w:rsidR="00A550DC" w:rsidRPr="60D49439">
        <w:rPr>
          <w:szCs w:val="24"/>
        </w:rPr>
        <w:t>t</w:t>
      </w:r>
      <w:r w:rsidRPr="60D49439">
        <w:rPr>
          <w:szCs w:val="24"/>
        </w:rPr>
        <w:t>asks described in the Scope of Work. Electronic files for the Scope of Work must be in MS Word.</w:t>
      </w:r>
    </w:p>
    <w:p w14:paraId="623C79AC" w14:textId="77777777" w:rsidR="00482186" w:rsidRPr="00E91F37" w:rsidRDefault="00482186" w:rsidP="003A0DDC">
      <w:pPr>
        <w:ind w:left="1440"/>
        <w:rPr>
          <w:szCs w:val="24"/>
        </w:rPr>
      </w:pPr>
    </w:p>
    <w:p w14:paraId="4514B791" w14:textId="675FA5A7" w:rsidR="00482186" w:rsidRPr="00E91F37" w:rsidRDefault="00482186" w:rsidP="003A0DDC">
      <w:pPr>
        <w:ind w:left="1440"/>
        <w:rPr>
          <w:szCs w:val="24"/>
        </w:rPr>
      </w:pPr>
      <w:r w:rsidRPr="00E91F37">
        <w:rPr>
          <w:szCs w:val="24"/>
        </w:rPr>
        <w:t xml:space="preserve">Applicants must present a comprehensive and credible </w:t>
      </w:r>
      <w:r w:rsidR="00A550DC">
        <w:rPr>
          <w:szCs w:val="24"/>
        </w:rPr>
        <w:t>S</w:t>
      </w:r>
      <w:r w:rsidRPr="00E91F37">
        <w:rPr>
          <w:szCs w:val="24"/>
        </w:rPr>
        <w:t xml:space="preserve">cope of </w:t>
      </w:r>
      <w:r w:rsidR="00A550DC">
        <w:rPr>
          <w:szCs w:val="24"/>
        </w:rPr>
        <w:t>W</w:t>
      </w:r>
      <w:r w:rsidRPr="00E91F37">
        <w:rPr>
          <w:szCs w:val="24"/>
        </w:rPr>
        <w:t>ork which includes</w:t>
      </w:r>
      <w:r w:rsidR="001A6D2D" w:rsidRPr="00E91F37">
        <w:rPr>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E04486">
      <w:pPr>
        <w:ind w:left="720"/>
        <w:rPr>
          <w:szCs w:val="22"/>
        </w:rPr>
      </w:pPr>
    </w:p>
    <w:p w14:paraId="28DC1A14" w14:textId="2BC10E2A" w:rsidR="00EE0E85" w:rsidRPr="00E91F37" w:rsidRDefault="00FD0C9E" w:rsidP="001B518B">
      <w:pPr>
        <w:numPr>
          <w:ilvl w:val="0"/>
          <w:numId w:val="6"/>
        </w:numPr>
        <w:ind w:left="1440" w:hanging="720"/>
        <w:rPr>
          <w:b/>
          <w:bCs/>
          <w:szCs w:val="24"/>
        </w:rPr>
      </w:pPr>
      <w:r w:rsidRPr="101EB4DA">
        <w:rPr>
          <w:b/>
          <w:bCs/>
          <w:szCs w:val="24"/>
        </w:rPr>
        <w:t>Schedule of Products and Due Dates</w:t>
      </w:r>
      <w:r w:rsidR="00A550DC" w:rsidRPr="101EB4DA">
        <w:rPr>
          <w:b/>
          <w:bCs/>
          <w:szCs w:val="24"/>
        </w:rPr>
        <w:t xml:space="preserve"> (</w:t>
      </w:r>
      <w:r w:rsidR="00A550DC" w:rsidRPr="0036588D">
        <w:rPr>
          <w:b/>
          <w:szCs w:val="24"/>
        </w:rPr>
        <w:t xml:space="preserve">Attachment </w:t>
      </w:r>
      <w:r w:rsidR="236782CD" w:rsidRPr="0036588D">
        <w:rPr>
          <w:b/>
          <w:szCs w:val="24"/>
        </w:rPr>
        <w:t>4</w:t>
      </w:r>
      <w:r w:rsidR="00A550DC" w:rsidRPr="101EB4DA">
        <w:rPr>
          <w:b/>
          <w:bCs/>
          <w:szCs w:val="24"/>
        </w:rPr>
        <w:t>)</w:t>
      </w:r>
    </w:p>
    <w:p w14:paraId="1EE12AE3" w14:textId="051761CC" w:rsidR="00FD0C9E" w:rsidRPr="00E91F37" w:rsidRDefault="00FD0C9E" w:rsidP="003A0DDC">
      <w:pPr>
        <w:ind w:left="1440"/>
        <w:rPr>
          <w:szCs w:val="24"/>
        </w:rPr>
      </w:pPr>
      <w:r w:rsidRPr="101EB4DA">
        <w:rPr>
          <w:szCs w:val="24"/>
        </w:rPr>
        <w:t>Applicants must include a completed Schedule of Products and Due Dates</w:t>
      </w:r>
      <w:r w:rsidR="00A550DC" w:rsidRPr="101EB4DA">
        <w:rPr>
          <w:szCs w:val="24"/>
        </w:rPr>
        <w:t xml:space="preserve">. </w:t>
      </w:r>
      <w:r w:rsidRPr="101EB4DA">
        <w:rPr>
          <w:szCs w:val="24"/>
        </w:rPr>
        <w:t xml:space="preserve">All </w:t>
      </w:r>
      <w:r w:rsidR="006234F3">
        <w:rPr>
          <w:szCs w:val="24"/>
        </w:rPr>
        <w:t xml:space="preserve">EV </w:t>
      </w:r>
      <w:r w:rsidR="00171B3B">
        <w:rPr>
          <w:szCs w:val="24"/>
        </w:rPr>
        <w:t>charging stations, chargers, and supporting equipment should be operational and open for public use within</w:t>
      </w:r>
      <w:r w:rsidR="009C75C5" w:rsidRPr="00285ACE">
        <w:rPr>
          <w:szCs w:val="24"/>
        </w:rPr>
        <w:t xml:space="preserve"> five (5) years from</w:t>
      </w:r>
      <w:r w:rsidR="00FE406C" w:rsidRPr="00285ACE">
        <w:rPr>
          <w:szCs w:val="24"/>
        </w:rPr>
        <w:t xml:space="preserve"> the </w:t>
      </w:r>
      <w:r w:rsidR="009C75C5" w:rsidRPr="00285ACE">
        <w:rPr>
          <w:szCs w:val="24"/>
        </w:rPr>
        <w:t>agreement execution</w:t>
      </w:r>
      <w:r w:rsidR="00FE406C" w:rsidRPr="00285ACE">
        <w:rPr>
          <w:szCs w:val="24"/>
        </w:rPr>
        <w:t xml:space="preserve"> </w:t>
      </w:r>
      <w:r w:rsidR="00FE406C" w:rsidRPr="101EB4DA">
        <w:rPr>
          <w:szCs w:val="24"/>
        </w:rPr>
        <w:t>date</w:t>
      </w:r>
      <w:r w:rsidR="003E4292" w:rsidRPr="00285ACE">
        <w:rPr>
          <w:szCs w:val="24"/>
        </w:rPr>
        <w:t>.</w:t>
      </w:r>
      <w:r w:rsidRPr="101EB4DA">
        <w:rPr>
          <w:szCs w:val="24"/>
        </w:rPr>
        <w:t xml:space="preserve"> Instructions for the Schedule of Products and Due Dates are included in Attachment </w:t>
      </w:r>
      <w:r w:rsidR="66A1776F" w:rsidRPr="0036588D">
        <w:rPr>
          <w:szCs w:val="24"/>
        </w:rPr>
        <w:t>4</w:t>
      </w:r>
      <w:r w:rsidRPr="101EB4DA">
        <w:rPr>
          <w:szCs w:val="24"/>
        </w:rPr>
        <w:t xml:space="preserve">. </w:t>
      </w:r>
      <w:r w:rsidR="000A274B" w:rsidRPr="101EB4DA">
        <w:rPr>
          <w:szCs w:val="24"/>
        </w:rPr>
        <w:t>T</w:t>
      </w:r>
      <w:r w:rsidRPr="101EB4DA">
        <w:rPr>
          <w:szCs w:val="24"/>
        </w:rPr>
        <w:t>he Schedule of Products and Due Dates must be in MS Excel.</w:t>
      </w:r>
    </w:p>
    <w:p w14:paraId="3F371417" w14:textId="77777777" w:rsidR="000C5650" w:rsidRPr="00E91F37" w:rsidRDefault="000C5650" w:rsidP="00E04486">
      <w:pPr>
        <w:pStyle w:val="BulletedList"/>
        <w:tabs>
          <w:tab w:val="clear" w:pos="288"/>
        </w:tabs>
        <w:ind w:left="720" w:firstLine="0"/>
        <w:rPr>
          <w:szCs w:val="22"/>
        </w:rPr>
      </w:pPr>
    </w:p>
    <w:p w14:paraId="3F0A9717" w14:textId="397E128E" w:rsidR="006C6191" w:rsidRDefault="67C9D345" w:rsidP="001B518B">
      <w:pPr>
        <w:numPr>
          <w:ilvl w:val="0"/>
          <w:numId w:val="6"/>
        </w:numPr>
        <w:ind w:left="1440" w:hanging="720"/>
        <w:rPr>
          <w:b/>
          <w:bCs/>
          <w:szCs w:val="24"/>
        </w:rPr>
      </w:pPr>
      <w:bookmarkStart w:id="66" w:name="_Toc35074602"/>
      <w:r w:rsidRPr="101EB4DA">
        <w:rPr>
          <w:b/>
          <w:bCs/>
          <w:szCs w:val="24"/>
        </w:rPr>
        <w:t>Budget Forms</w:t>
      </w:r>
      <w:r w:rsidR="58E5DC43" w:rsidRPr="101EB4DA">
        <w:rPr>
          <w:b/>
          <w:bCs/>
          <w:szCs w:val="24"/>
        </w:rPr>
        <w:t xml:space="preserve"> (</w:t>
      </w:r>
      <w:r w:rsidR="58E5DC43" w:rsidRPr="0036588D">
        <w:rPr>
          <w:b/>
          <w:szCs w:val="24"/>
        </w:rPr>
        <w:t xml:space="preserve">Attachment </w:t>
      </w:r>
      <w:r w:rsidR="3120A6A2" w:rsidRPr="0036588D">
        <w:rPr>
          <w:b/>
          <w:szCs w:val="24"/>
        </w:rPr>
        <w:t>5</w:t>
      </w:r>
      <w:r w:rsidR="58E5DC43" w:rsidRPr="101EB4DA">
        <w:rPr>
          <w:b/>
          <w:bCs/>
          <w:szCs w:val="24"/>
        </w:rPr>
        <w:t>)</w:t>
      </w:r>
    </w:p>
    <w:p w14:paraId="11356E34" w14:textId="2877078C" w:rsidR="00B47808" w:rsidRPr="00326C9B" w:rsidRDefault="00B47808" w:rsidP="00A13A04">
      <w:pPr>
        <w:pStyle w:val="BulletedList"/>
        <w:tabs>
          <w:tab w:val="clear" w:pos="288"/>
          <w:tab w:val="left" w:pos="810"/>
        </w:tabs>
        <w:ind w:left="1440" w:firstLine="0"/>
        <w:rPr>
          <w:szCs w:val="24"/>
        </w:rPr>
      </w:pPr>
      <w:r w:rsidRPr="005A73B2">
        <w:rPr>
          <w:szCs w:val="24"/>
        </w:rPr>
        <w:t xml:space="preserve">Because this solicitation is utilizing ECAMS for submitting applications, </w:t>
      </w:r>
      <w:r w:rsidR="0087480A">
        <w:rPr>
          <w:szCs w:val="24"/>
        </w:rPr>
        <w:t>A</w:t>
      </w:r>
      <w:r w:rsidRPr="00326C9B">
        <w:rPr>
          <w:szCs w:val="24"/>
        </w:rPr>
        <w:t>pplicants have two options for uploading a budget:</w:t>
      </w:r>
    </w:p>
    <w:p w14:paraId="49D18CCB" w14:textId="14E0F884" w:rsidR="00B47808" w:rsidRPr="00EE61DF" w:rsidRDefault="00B47808" w:rsidP="00164AC5">
      <w:pPr>
        <w:pStyle w:val="BulletedList"/>
        <w:numPr>
          <w:ilvl w:val="0"/>
          <w:numId w:val="26"/>
        </w:numPr>
        <w:spacing w:before="120"/>
        <w:ind w:left="2160" w:hanging="720"/>
        <w:rPr>
          <w:rFonts w:cs="Arial"/>
          <w:szCs w:val="24"/>
        </w:rPr>
      </w:pPr>
      <w:r w:rsidRPr="00EE61DF">
        <w:rPr>
          <w:rFonts w:cs="Arial"/>
          <w:b/>
          <w:bCs/>
          <w:szCs w:val="24"/>
        </w:rPr>
        <w:t xml:space="preserve">Option 1: Prime Applicant’s budget is </w:t>
      </w:r>
      <w:r w:rsidR="00FF1534" w:rsidRPr="00EE61DF">
        <w:rPr>
          <w:rFonts w:cs="Arial"/>
          <w:b/>
          <w:bCs/>
          <w:szCs w:val="24"/>
        </w:rPr>
        <w:t xml:space="preserve">both </w:t>
      </w:r>
      <w:r w:rsidRPr="00EE61DF">
        <w:rPr>
          <w:rFonts w:cs="Arial"/>
          <w:b/>
          <w:bCs/>
          <w:szCs w:val="24"/>
        </w:rPr>
        <w:t>keyed directly into ECAMS</w:t>
      </w:r>
      <w:r w:rsidR="00FF1534" w:rsidRPr="00EE61DF">
        <w:rPr>
          <w:rFonts w:cs="Arial"/>
          <w:b/>
          <w:bCs/>
          <w:szCs w:val="24"/>
        </w:rPr>
        <w:t xml:space="preserve"> and uploaded as an MS Excel attachment</w:t>
      </w:r>
      <w:r w:rsidRPr="00EE61DF">
        <w:rPr>
          <w:rFonts w:cs="Arial"/>
          <w:b/>
          <w:bCs/>
          <w:szCs w:val="24"/>
        </w:rPr>
        <w:t>; Major Subrecipient</w:t>
      </w:r>
      <w:r w:rsidR="00FF1534" w:rsidRPr="00EE61DF">
        <w:rPr>
          <w:rFonts w:cs="Arial"/>
          <w:b/>
          <w:bCs/>
          <w:szCs w:val="24"/>
        </w:rPr>
        <w:t>(s)</w:t>
      </w:r>
      <w:r w:rsidRPr="00EE61DF">
        <w:rPr>
          <w:rFonts w:cs="Arial"/>
          <w:b/>
          <w:bCs/>
          <w:szCs w:val="24"/>
        </w:rPr>
        <w:t xml:space="preserve"> budgets are uploaded as MS Excel attachments.</w:t>
      </w:r>
      <w:r w:rsidRPr="00EE61DF">
        <w:rPr>
          <w:rFonts w:cs="Arial"/>
          <w:szCs w:val="24"/>
        </w:rPr>
        <w:t xml:space="preserve"> ECAMS allows </w:t>
      </w:r>
      <w:r w:rsidR="0087480A" w:rsidRPr="00EE61DF">
        <w:rPr>
          <w:rFonts w:cs="Arial"/>
          <w:szCs w:val="24"/>
        </w:rPr>
        <w:t>A</w:t>
      </w:r>
      <w:r w:rsidRPr="00EE61DF">
        <w:rPr>
          <w:rFonts w:cs="Arial"/>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EE61DF">
        <w:rPr>
          <w:rFonts w:cs="Arial"/>
        </w:rPr>
        <w:t xml:space="preserve"> </w:t>
      </w:r>
      <w:hyperlink r:id="rId80" w:history="1">
        <w:r w:rsidR="1E3DB4EE" w:rsidRPr="00385549">
          <w:rPr>
            <w:rStyle w:val="Hyperlink"/>
            <w:rFonts w:eastAsia="Tahoma" w:cs="Arial"/>
            <w:szCs w:val="24"/>
          </w:rPr>
          <w:t>https://www.energy.ca.gov/media/7956</w:t>
        </w:r>
      </w:hyperlink>
      <w:r w:rsidRPr="00EE61DF">
        <w:rPr>
          <w:rFonts w:cs="Arial"/>
          <w:szCs w:val="24"/>
        </w:rPr>
        <w:t>.</w:t>
      </w:r>
    </w:p>
    <w:p w14:paraId="03FF290A" w14:textId="5002C54D" w:rsidR="00B47808" w:rsidRPr="00EE61DF" w:rsidRDefault="00B47808" w:rsidP="00164AC5">
      <w:pPr>
        <w:pStyle w:val="BulletedList"/>
        <w:numPr>
          <w:ilvl w:val="0"/>
          <w:numId w:val="26"/>
        </w:numPr>
        <w:spacing w:before="120"/>
        <w:ind w:left="2160" w:hanging="720"/>
        <w:rPr>
          <w:rFonts w:cs="Arial"/>
          <w:szCs w:val="24"/>
        </w:rPr>
      </w:pPr>
      <w:r w:rsidRPr="00EE61DF">
        <w:rPr>
          <w:rFonts w:cs="Arial"/>
          <w:b/>
          <w:bCs/>
          <w:szCs w:val="24"/>
        </w:rPr>
        <w:t>Option 2: Upload all budgets (Prime and Major Subrecipients) as MS Excel attachments</w:t>
      </w:r>
      <w:r w:rsidRPr="00EE61DF">
        <w:rPr>
          <w:rFonts w:cs="Arial"/>
          <w:szCs w:val="24"/>
        </w:rPr>
        <w:t xml:space="preserve"> and leave the ECAMS budget sections blank</w:t>
      </w:r>
      <w:r w:rsidR="00476233" w:rsidRPr="00EE61DF">
        <w:rPr>
          <w:rFonts w:cs="Arial"/>
          <w:szCs w:val="24"/>
        </w:rPr>
        <w:t xml:space="preserve"> in ECAMS</w:t>
      </w:r>
      <w:r w:rsidRPr="00EE61DF">
        <w:rPr>
          <w:rFonts w:cs="Arial"/>
          <w:szCs w:val="24"/>
        </w:rPr>
        <w:t xml:space="preserve">. </w:t>
      </w:r>
    </w:p>
    <w:bookmarkEnd w:id="66"/>
    <w:p w14:paraId="145313F1" w14:textId="77777777" w:rsidR="00CA3004" w:rsidRPr="00E91F37" w:rsidRDefault="00CA3004" w:rsidP="00CA3004">
      <w:pPr>
        <w:ind w:left="2160"/>
        <w:rPr>
          <w:szCs w:val="24"/>
        </w:rPr>
      </w:pPr>
    </w:p>
    <w:p w14:paraId="5230BC12" w14:textId="4D659496" w:rsidR="000C1C43" w:rsidRPr="000A274B" w:rsidRDefault="000C1C43" w:rsidP="003733C2">
      <w:pPr>
        <w:ind w:left="1440"/>
        <w:rPr>
          <w:szCs w:val="24"/>
        </w:rPr>
      </w:pPr>
      <w:bookmarkStart w:id="67" w:name="_Hlk125712155"/>
      <w:r w:rsidRPr="000A274B">
        <w:rPr>
          <w:szCs w:val="24"/>
        </w:rPr>
        <w:t xml:space="preserve">The Applicant must submit information on </w:t>
      </w:r>
      <w:r w:rsidRPr="4DD50A44">
        <w:rPr>
          <w:b/>
          <w:bCs/>
          <w:i/>
          <w:iCs/>
          <w:szCs w:val="24"/>
        </w:rPr>
        <w:t>all</w:t>
      </w:r>
      <w:r w:rsidRPr="000A274B">
        <w:rPr>
          <w:szCs w:val="24"/>
        </w:rPr>
        <w:t xml:space="preserve"> tabs of the budget forms.</w:t>
      </w:r>
      <w:r w:rsidR="000A274B">
        <w:rPr>
          <w:szCs w:val="24"/>
        </w:rPr>
        <w:t xml:space="preserve"> </w:t>
      </w:r>
      <w:r w:rsidRPr="000A274B">
        <w:rPr>
          <w:szCs w:val="24"/>
        </w:rPr>
        <w:t xml:space="preserve">The salaries, rates, and other costs entered must reflect the salaries, rates, and other costs the Applicant would include if selected as a grant </w:t>
      </w:r>
      <w:r w:rsidRPr="000A274B">
        <w:rPr>
          <w:szCs w:val="24"/>
        </w:rPr>
        <w:lastRenderedPageBreak/>
        <w:t>recipient.</w:t>
      </w:r>
      <w:r w:rsidRPr="000A274B">
        <w:rPr>
          <w:spacing w:val="-3"/>
          <w:szCs w:val="24"/>
        </w:rPr>
        <w:t xml:space="preserve"> </w:t>
      </w:r>
      <w:r w:rsidRPr="000A274B">
        <w:rPr>
          <w:szCs w:val="24"/>
        </w:rPr>
        <w:t>A separate set of complete budget forms is required for the Applicant and for each subaward containing $100,000 or more of CEC funds.</w:t>
      </w:r>
    </w:p>
    <w:p w14:paraId="32ABEF3B" w14:textId="77777777" w:rsidR="00A42C05" w:rsidRPr="00476233" w:rsidRDefault="00A42C05" w:rsidP="00A42C05">
      <w:pPr>
        <w:ind w:left="2160"/>
        <w:rPr>
          <w:szCs w:val="24"/>
        </w:rPr>
      </w:pPr>
    </w:p>
    <w:p w14:paraId="5644CC38" w14:textId="4D842C43" w:rsidR="00752A4E" w:rsidRPr="003366FA" w:rsidRDefault="00752A4E" w:rsidP="00164AC5">
      <w:pPr>
        <w:pStyle w:val="ListParagraph"/>
        <w:numPr>
          <w:ilvl w:val="2"/>
          <w:numId w:val="27"/>
        </w:numPr>
        <w:ind w:left="2160" w:hanging="720"/>
        <w:rPr>
          <w:szCs w:val="24"/>
        </w:rPr>
      </w:pPr>
      <w:r w:rsidRPr="101EB4DA">
        <w:rPr>
          <w:szCs w:val="24"/>
        </w:rPr>
        <w:t xml:space="preserve">Detailed instructions for completing these forms are included at the beginning of Attachment </w:t>
      </w:r>
      <w:r w:rsidR="490ADB56" w:rsidRPr="0036588D">
        <w:rPr>
          <w:szCs w:val="24"/>
        </w:rPr>
        <w:t>5</w:t>
      </w:r>
      <w:r w:rsidRPr="101EB4DA">
        <w:rPr>
          <w:szCs w:val="24"/>
        </w:rPr>
        <w:t>.</w:t>
      </w:r>
    </w:p>
    <w:p w14:paraId="285B5F48" w14:textId="77777777" w:rsidR="00752A4E" w:rsidRPr="003366FA" w:rsidRDefault="00752A4E" w:rsidP="00164AC5">
      <w:pPr>
        <w:numPr>
          <w:ilvl w:val="3"/>
          <w:numId w:val="28"/>
        </w:numPr>
        <w:ind w:hanging="720"/>
        <w:rPr>
          <w:szCs w:val="24"/>
        </w:rPr>
      </w:pPr>
      <w:r w:rsidRPr="003366FA">
        <w:rPr>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81">
        <w:r w:rsidRPr="003366FA">
          <w:rPr>
            <w:rStyle w:val="Hyperlink"/>
            <w:szCs w:val="24"/>
          </w:rPr>
          <w:t>ECAMS Resources webpage</w:t>
        </w:r>
      </w:hyperlink>
      <w:r w:rsidRPr="003366FA">
        <w:rPr>
          <w:szCs w:val="24"/>
        </w:rPr>
        <w:t xml:space="preserve"> under </w:t>
      </w:r>
      <w:hyperlink r:id="rId82" w:history="1">
        <w:r w:rsidRPr="003366FA">
          <w:rPr>
            <w:rStyle w:val="Hyperlink"/>
            <w:szCs w:val="24"/>
          </w:rPr>
          <w:t>Budget Category Guidance</w:t>
        </w:r>
      </w:hyperlink>
      <w:r w:rsidRPr="003366FA">
        <w:rPr>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3366FA" w:rsidRDefault="00752A4E" w:rsidP="00D16ABB">
      <w:pPr>
        <w:ind w:left="2880" w:hanging="720"/>
        <w:rPr>
          <w:szCs w:val="24"/>
        </w:rPr>
      </w:pPr>
    </w:p>
    <w:p w14:paraId="75E82F57" w14:textId="77777777" w:rsidR="00752A4E" w:rsidRPr="003366FA" w:rsidRDefault="00752A4E" w:rsidP="00164AC5">
      <w:pPr>
        <w:numPr>
          <w:ilvl w:val="3"/>
          <w:numId w:val="28"/>
        </w:numPr>
        <w:ind w:hanging="720"/>
        <w:rPr>
          <w:szCs w:val="24"/>
        </w:rPr>
      </w:pPr>
      <w:r w:rsidRPr="003366FA">
        <w:rPr>
          <w:szCs w:val="24"/>
        </w:rPr>
        <w:t>The information provided in these forms will not be kept confidential.</w:t>
      </w:r>
    </w:p>
    <w:p w14:paraId="676D044E" w14:textId="77777777" w:rsidR="00752A4E" w:rsidRPr="003366FA" w:rsidRDefault="00752A4E" w:rsidP="00D16ABB">
      <w:pPr>
        <w:ind w:left="2880" w:hanging="720"/>
        <w:rPr>
          <w:szCs w:val="24"/>
        </w:rPr>
      </w:pPr>
    </w:p>
    <w:p w14:paraId="5C4B0D29" w14:textId="2A156C9C" w:rsidR="00752A4E" w:rsidRPr="003366FA" w:rsidRDefault="00752A4E" w:rsidP="00164AC5">
      <w:pPr>
        <w:numPr>
          <w:ilvl w:val="3"/>
          <w:numId w:val="28"/>
        </w:numPr>
        <w:ind w:hanging="720"/>
        <w:rPr>
          <w:szCs w:val="24"/>
        </w:rPr>
      </w:pPr>
      <w:r w:rsidRPr="003366FA">
        <w:rPr>
          <w:szCs w:val="24"/>
        </w:rPr>
        <w:t xml:space="preserve">All reimbursable expenditures must be expended within the approved term of the grant agreement. Expenditures may be counted as </w:t>
      </w:r>
      <w:r w:rsidR="009332F3">
        <w:rPr>
          <w:szCs w:val="24"/>
        </w:rPr>
        <w:t xml:space="preserve">reimbursable or </w:t>
      </w:r>
      <w:r w:rsidRPr="003366FA">
        <w:rPr>
          <w:szCs w:val="24"/>
        </w:rPr>
        <w:t xml:space="preserve">match share only after </w:t>
      </w:r>
      <w:r w:rsidR="00807D64">
        <w:rPr>
          <w:szCs w:val="24"/>
        </w:rPr>
        <w:t xml:space="preserve">an agreement is executed </w:t>
      </w:r>
      <w:r w:rsidR="004B3328">
        <w:rPr>
          <w:szCs w:val="24"/>
        </w:rPr>
        <w:t xml:space="preserve">and the FHWA authorizes the </w:t>
      </w:r>
      <w:r w:rsidR="009332F3">
        <w:rPr>
          <w:szCs w:val="24"/>
        </w:rPr>
        <w:t xml:space="preserve">relevant </w:t>
      </w:r>
      <w:r w:rsidR="004B3328">
        <w:rPr>
          <w:szCs w:val="24"/>
        </w:rPr>
        <w:t>project</w:t>
      </w:r>
      <w:r w:rsidR="009332F3">
        <w:rPr>
          <w:szCs w:val="24"/>
        </w:rPr>
        <w:t xml:space="preserve"> phase</w:t>
      </w:r>
      <w:r w:rsidR="00C462D8">
        <w:rPr>
          <w:szCs w:val="24"/>
        </w:rPr>
        <w:t xml:space="preserve"> (E-76 approval)</w:t>
      </w:r>
      <w:r w:rsidR="004B3328">
        <w:rPr>
          <w:szCs w:val="24"/>
        </w:rPr>
        <w:t xml:space="preserve">. </w:t>
      </w:r>
    </w:p>
    <w:p w14:paraId="4644BC27" w14:textId="77777777" w:rsidR="00752A4E" w:rsidRPr="003366FA" w:rsidRDefault="00752A4E" w:rsidP="00D16ABB">
      <w:pPr>
        <w:ind w:left="2880" w:hanging="720"/>
        <w:rPr>
          <w:szCs w:val="24"/>
        </w:rPr>
      </w:pPr>
    </w:p>
    <w:p w14:paraId="68ED0308" w14:textId="22269DD9" w:rsidR="00752A4E" w:rsidRPr="003366FA" w:rsidRDefault="00752A4E" w:rsidP="00637FD9">
      <w:pPr>
        <w:numPr>
          <w:ilvl w:val="3"/>
          <w:numId w:val="28"/>
        </w:numPr>
        <w:ind w:hanging="720"/>
        <w:rPr>
          <w:szCs w:val="24"/>
        </w:rPr>
      </w:pPr>
      <w:r w:rsidRPr="003366FA">
        <w:rPr>
          <w:szCs w:val="24"/>
        </w:rPr>
        <w:t xml:space="preserve">Applicants must budget for the expenses of a Kick-off Meeting, at least one (1) Critical Project Review meeting, and a Final meeting. Meetings may be conducted at the CEC or </w:t>
      </w:r>
      <w:r w:rsidR="00C1224F">
        <w:rPr>
          <w:szCs w:val="24"/>
        </w:rPr>
        <w:t>remotely</w:t>
      </w:r>
      <w:r w:rsidRPr="003366FA">
        <w:rPr>
          <w:szCs w:val="24"/>
        </w:rPr>
        <w:t>, as determined by the CAM.</w:t>
      </w:r>
    </w:p>
    <w:p w14:paraId="20EC95F5" w14:textId="2636569D" w:rsidR="00752A4E" w:rsidRPr="003366FA" w:rsidRDefault="00752A4E" w:rsidP="00D16ABB">
      <w:pPr>
        <w:ind w:left="2880" w:hanging="720"/>
        <w:rPr>
          <w:szCs w:val="24"/>
        </w:rPr>
      </w:pPr>
    </w:p>
    <w:p w14:paraId="2F418988" w14:textId="77777777" w:rsidR="00752A4E" w:rsidRPr="003366FA" w:rsidRDefault="00752A4E" w:rsidP="00164AC5">
      <w:pPr>
        <w:numPr>
          <w:ilvl w:val="3"/>
          <w:numId w:val="28"/>
        </w:numPr>
        <w:ind w:hanging="720"/>
        <w:rPr>
          <w:szCs w:val="24"/>
        </w:rPr>
      </w:pPr>
      <w:r w:rsidRPr="003366FA">
        <w:rPr>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D16ABB">
      <w:pPr>
        <w:ind w:left="2880" w:hanging="720"/>
        <w:rPr>
          <w:szCs w:val="24"/>
        </w:rPr>
      </w:pPr>
    </w:p>
    <w:p w14:paraId="5C0DE7BB" w14:textId="469809DD" w:rsidR="00752A4E" w:rsidRPr="00EA3B6F" w:rsidRDefault="00752A4E" w:rsidP="00164AC5">
      <w:pPr>
        <w:numPr>
          <w:ilvl w:val="3"/>
          <w:numId w:val="28"/>
        </w:numPr>
        <w:ind w:hanging="720"/>
        <w:rPr>
          <w:szCs w:val="24"/>
        </w:rPr>
      </w:pPr>
      <w:r w:rsidRPr="003366FA">
        <w:rPr>
          <w:szCs w:val="24"/>
        </w:rPr>
        <w:t>The purchase of equipment (defined as items with a unit cost greater than $5,000 and a useful life of greater than one year) with</w:t>
      </w:r>
      <w:r w:rsidR="004E3CD8">
        <w:rPr>
          <w:szCs w:val="24"/>
        </w:rPr>
        <w:t xml:space="preserve"> CEC</w:t>
      </w:r>
      <w:r w:rsidRPr="003366FA">
        <w:rPr>
          <w:szCs w:val="24"/>
        </w:rPr>
        <w:t xml:space="preserve"> funds will require disposition of purchased </w:t>
      </w:r>
      <w:r w:rsidRPr="003366FA">
        <w:rPr>
          <w:szCs w:val="24"/>
        </w:rPr>
        <w:lastRenderedPageBreak/>
        <w:t xml:space="preserve">equipment at the end of the project. Typically, grant recipients may continue to utilize equipment purchased with </w:t>
      </w:r>
      <w:r w:rsidR="004E3CD8">
        <w:rPr>
          <w:szCs w:val="24"/>
        </w:rPr>
        <w:t>CEC</w:t>
      </w:r>
      <w:r w:rsidRPr="003366FA">
        <w:rPr>
          <w:szCs w:val="24"/>
        </w:rPr>
        <w:t xml:space="preserve"> funds as long as the use is consistent with the intent of the original agreement. There </w:t>
      </w:r>
      <w:proofErr w:type="gramStart"/>
      <w:r w:rsidRPr="003366FA">
        <w:rPr>
          <w:szCs w:val="24"/>
        </w:rPr>
        <w:t>are</w:t>
      </w:r>
      <w:proofErr w:type="gramEnd"/>
      <w:r w:rsidRPr="003366FA">
        <w:rPr>
          <w:szCs w:val="24"/>
        </w:rPr>
        <w:t xml:space="preserve"> no disposition requirements for equipment purchased with match share funding.</w:t>
      </w:r>
    </w:p>
    <w:p w14:paraId="1C7FD9E4" w14:textId="77777777" w:rsidR="00752A4E" w:rsidRPr="003366FA" w:rsidRDefault="00752A4E" w:rsidP="00752A4E">
      <w:pPr>
        <w:ind w:left="2160"/>
        <w:rPr>
          <w:szCs w:val="24"/>
        </w:rPr>
      </w:pPr>
    </w:p>
    <w:p w14:paraId="6FD6CD87" w14:textId="77777777" w:rsidR="00752A4E" w:rsidRPr="003366FA" w:rsidRDefault="00752A4E" w:rsidP="00164AC5">
      <w:pPr>
        <w:numPr>
          <w:ilvl w:val="2"/>
          <w:numId w:val="28"/>
        </w:numPr>
        <w:ind w:left="2160" w:hanging="720"/>
        <w:rPr>
          <w:szCs w:val="24"/>
        </w:rPr>
      </w:pPr>
      <w:r w:rsidRPr="003366FA">
        <w:rPr>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D16ABB">
      <w:pPr>
        <w:ind w:left="2160" w:hanging="720"/>
        <w:rPr>
          <w:szCs w:val="24"/>
        </w:rPr>
      </w:pPr>
    </w:p>
    <w:p w14:paraId="393EB0D9" w14:textId="3CDF2EB4" w:rsidR="00752A4E" w:rsidRPr="003366FA" w:rsidRDefault="00752A4E" w:rsidP="00164AC5">
      <w:pPr>
        <w:numPr>
          <w:ilvl w:val="2"/>
          <w:numId w:val="28"/>
        </w:numPr>
        <w:ind w:left="2160" w:hanging="720"/>
      </w:pPr>
      <w: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t xml:space="preserve"> See terms and conditions for additional restrictions and requirements.</w:t>
      </w:r>
      <w:r>
        <w:t xml:space="preserve"> </w:t>
      </w:r>
    </w:p>
    <w:p w14:paraId="35135318" w14:textId="77777777" w:rsidR="00752A4E" w:rsidRPr="003366FA" w:rsidRDefault="00752A4E" w:rsidP="00752A4E">
      <w:pPr>
        <w:ind w:left="2160"/>
        <w:rPr>
          <w:szCs w:val="24"/>
        </w:rPr>
      </w:pPr>
    </w:p>
    <w:p w14:paraId="531C2A53" w14:textId="3A1A14D6" w:rsidR="001A73B9" w:rsidRPr="00E414D9" w:rsidRDefault="00752A4E" w:rsidP="00EA3B6F">
      <w:pPr>
        <w:rPr>
          <w:szCs w:val="24"/>
        </w:rPr>
      </w:pPr>
      <w:r w:rsidRPr="003366FA">
        <w:rPr>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7"/>
    <w:p w14:paraId="7A909CB2" w14:textId="77777777" w:rsidR="001A73B9" w:rsidRPr="0087316A" w:rsidRDefault="001A73B9" w:rsidP="00EB7F7C">
      <w:pPr>
        <w:ind w:left="2160"/>
        <w:rPr>
          <w:szCs w:val="24"/>
        </w:rPr>
      </w:pPr>
    </w:p>
    <w:p w14:paraId="18D8641C" w14:textId="714C469F" w:rsidR="00FD6BCD" w:rsidRPr="00E91F37" w:rsidRDefault="00FD6BCD" w:rsidP="001B518B">
      <w:pPr>
        <w:numPr>
          <w:ilvl w:val="0"/>
          <w:numId w:val="6"/>
        </w:numPr>
        <w:ind w:left="1440" w:hanging="720"/>
        <w:rPr>
          <w:b/>
          <w:bCs/>
          <w:szCs w:val="24"/>
        </w:rPr>
      </w:pPr>
      <w:r w:rsidRPr="101EB4DA">
        <w:rPr>
          <w:b/>
          <w:bCs/>
          <w:szCs w:val="24"/>
        </w:rPr>
        <w:t>Resumes</w:t>
      </w:r>
      <w:r w:rsidR="4D325E0C" w:rsidRPr="101EB4DA">
        <w:rPr>
          <w:b/>
          <w:bCs/>
          <w:szCs w:val="24"/>
        </w:rPr>
        <w:t xml:space="preserve"> (Attachment </w:t>
      </w:r>
      <w:r w:rsidR="02CFAD5D" w:rsidRPr="002D3723">
        <w:rPr>
          <w:b/>
          <w:szCs w:val="24"/>
        </w:rPr>
        <w:t>6</w:t>
      </w:r>
      <w:r w:rsidR="4D325E0C" w:rsidRPr="101EB4DA">
        <w:rPr>
          <w:b/>
          <w:bCs/>
          <w:szCs w:val="24"/>
        </w:rPr>
        <w:t>)</w:t>
      </w:r>
    </w:p>
    <w:p w14:paraId="40853AFF" w14:textId="16C4AA7F" w:rsidR="00FD6BCD" w:rsidRPr="00E91F37" w:rsidRDefault="00FD6BCD" w:rsidP="00432A3B">
      <w:pPr>
        <w:ind w:left="1440"/>
        <w:rPr>
          <w:szCs w:val="24"/>
        </w:rPr>
      </w:pPr>
      <w:r w:rsidRPr="00E91F37">
        <w:rPr>
          <w:szCs w:val="24"/>
        </w:rPr>
        <w:t xml:space="preserve">Applicants </w:t>
      </w:r>
      <w:r w:rsidR="00F82EBD" w:rsidRPr="00E91F37">
        <w:rPr>
          <w:szCs w:val="24"/>
        </w:rPr>
        <w:t>must</w:t>
      </w:r>
      <w:r w:rsidRPr="00E91F37">
        <w:rPr>
          <w:szCs w:val="24"/>
        </w:rPr>
        <w:t xml:space="preserve"> include resumes for key personnel identified in the proposal.</w:t>
      </w:r>
      <w:r w:rsidR="005A76DA">
        <w:rPr>
          <w:szCs w:val="24"/>
        </w:rPr>
        <w:t xml:space="preserve"> “Key personnel” are individuals that are critical to the project due to their experience, knowledge, and/or capabilities.</w:t>
      </w:r>
      <w:r w:rsidRPr="00E91F37">
        <w:rPr>
          <w:szCs w:val="24"/>
        </w:rPr>
        <w:t xml:space="preserve"> Resumes are limited to a maximum of 2 pages each.</w:t>
      </w:r>
    </w:p>
    <w:p w14:paraId="523524A6" w14:textId="77777777" w:rsidR="00FD6BCD" w:rsidRPr="00E91F37" w:rsidRDefault="00FD6BCD" w:rsidP="00432A3B">
      <w:pPr>
        <w:ind w:left="1440"/>
        <w:rPr>
          <w:szCs w:val="24"/>
        </w:rPr>
      </w:pPr>
    </w:p>
    <w:p w14:paraId="5BCBD03E" w14:textId="21AB0EC3" w:rsidR="00D02D86" w:rsidRPr="00E91F37" w:rsidRDefault="00CB24F5" w:rsidP="001B518B">
      <w:pPr>
        <w:numPr>
          <w:ilvl w:val="0"/>
          <w:numId w:val="6"/>
        </w:numPr>
        <w:ind w:left="1440" w:hanging="720"/>
        <w:rPr>
          <w:b/>
          <w:bCs/>
          <w:szCs w:val="24"/>
        </w:rPr>
      </w:pPr>
      <w:r w:rsidRPr="101EB4DA">
        <w:rPr>
          <w:b/>
          <w:bCs/>
          <w:szCs w:val="24"/>
        </w:rPr>
        <w:t>Contact</w:t>
      </w:r>
      <w:r w:rsidR="00D02D86" w:rsidRPr="101EB4DA">
        <w:rPr>
          <w:b/>
          <w:bCs/>
          <w:szCs w:val="24"/>
        </w:rPr>
        <w:t xml:space="preserve"> List</w:t>
      </w:r>
      <w:r w:rsidR="07E20DB3" w:rsidRPr="101EB4DA">
        <w:rPr>
          <w:b/>
          <w:bCs/>
          <w:szCs w:val="24"/>
        </w:rPr>
        <w:t xml:space="preserve"> (Attachment </w:t>
      </w:r>
      <w:r w:rsidR="6C73737F" w:rsidRPr="002D3723">
        <w:rPr>
          <w:b/>
          <w:szCs w:val="24"/>
        </w:rPr>
        <w:t>7)</w:t>
      </w:r>
    </w:p>
    <w:p w14:paraId="3500AF7E" w14:textId="7E6ABF43" w:rsidR="00D02D86" w:rsidRPr="00E91F37" w:rsidRDefault="00D02D86" w:rsidP="003A0DDC">
      <w:pPr>
        <w:ind w:left="1440"/>
        <w:rPr>
          <w:szCs w:val="24"/>
        </w:rPr>
      </w:pPr>
      <w:r w:rsidRPr="36E84872">
        <w:rPr>
          <w:szCs w:val="24"/>
        </w:rPr>
        <w:t>Applicants must include a completed</w:t>
      </w:r>
      <w:r w:rsidR="00CB24F5" w:rsidRPr="36E84872">
        <w:rPr>
          <w:szCs w:val="24"/>
        </w:rPr>
        <w:t xml:space="preserve"> Contact</w:t>
      </w:r>
      <w:r w:rsidR="00767454" w:rsidRPr="36E84872">
        <w:rPr>
          <w:szCs w:val="24"/>
        </w:rPr>
        <w:t xml:space="preserve"> List by including the appropriate points of contact for the Applicant. </w:t>
      </w:r>
      <w:r w:rsidR="008E36A3" w:rsidRPr="36E84872">
        <w:rPr>
          <w:szCs w:val="24"/>
        </w:rPr>
        <w:t xml:space="preserve">CEC </w:t>
      </w:r>
      <w:r w:rsidR="00767454" w:rsidRPr="36E84872">
        <w:rPr>
          <w:szCs w:val="24"/>
        </w:rPr>
        <w:t xml:space="preserve">will complete the </w:t>
      </w:r>
      <w:r w:rsidR="008E36A3" w:rsidRPr="36E84872">
        <w:rPr>
          <w:szCs w:val="24"/>
        </w:rPr>
        <w:t xml:space="preserve">CEC </w:t>
      </w:r>
      <w:r w:rsidR="00767454" w:rsidRPr="36E84872">
        <w:rPr>
          <w:szCs w:val="24"/>
        </w:rPr>
        <w:t>points of contact during agreement development.</w:t>
      </w:r>
    </w:p>
    <w:p w14:paraId="76594DDC" w14:textId="77777777" w:rsidR="00D02D86" w:rsidRPr="00E91F37" w:rsidRDefault="00D02D86" w:rsidP="00E04486">
      <w:pPr>
        <w:rPr>
          <w:sz w:val="28"/>
          <w:szCs w:val="28"/>
        </w:rPr>
      </w:pPr>
    </w:p>
    <w:p w14:paraId="5B0CF000" w14:textId="37BA6BA2" w:rsidR="00D02D86" w:rsidRPr="00E91F37" w:rsidRDefault="00D02D86" w:rsidP="001B518B">
      <w:pPr>
        <w:numPr>
          <w:ilvl w:val="0"/>
          <w:numId w:val="6"/>
        </w:numPr>
        <w:ind w:left="1440" w:hanging="720"/>
        <w:rPr>
          <w:b/>
          <w:bCs/>
          <w:szCs w:val="24"/>
        </w:rPr>
      </w:pPr>
      <w:r w:rsidRPr="101EB4DA">
        <w:rPr>
          <w:b/>
          <w:bCs/>
          <w:szCs w:val="24"/>
        </w:rPr>
        <w:t xml:space="preserve">Letters of </w:t>
      </w:r>
      <w:r w:rsidR="00BF41C8" w:rsidRPr="101EB4DA">
        <w:rPr>
          <w:b/>
          <w:bCs/>
          <w:szCs w:val="24"/>
        </w:rPr>
        <w:t>Commitment</w:t>
      </w:r>
      <w:r w:rsidR="006B7671" w:rsidRPr="101EB4DA">
        <w:rPr>
          <w:b/>
          <w:bCs/>
          <w:szCs w:val="24"/>
        </w:rPr>
        <w:t xml:space="preserve"> (</w:t>
      </w:r>
      <w:r w:rsidR="6B78BF8A" w:rsidRPr="101EB4DA">
        <w:rPr>
          <w:b/>
          <w:bCs/>
          <w:szCs w:val="24"/>
        </w:rPr>
        <w:t xml:space="preserve">Attachment </w:t>
      </w:r>
      <w:r w:rsidR="3FE82E9F" w:rsidRPr="002D3723">
        <w:rPr>
          <w:b/>
          <w:szCs w:val="24"/>
        </w:rPr>
        <w:t>8</w:t>
      </w:r>
      <w:r w:rsidR="6B78BF8A" w:rsidRPr="101EB4DA">
        <w:rPr>
          <w:b/>
          <w:bCs/>
          <w:szCs w:val="24"/>
        </w:rPr>
        <w:t>)</w:t>
      </w:r>
    </w:p>
    <w:p w14:paraId="1A600C3D" w14:textId="1A76041C" w:rsidR="00D02D86" w:rsidRPr="00E91F37" w:rsidRDefault="00CA10AC" w:rsidP="003A0DDC">
      <w:pPr>
        <w:ind w:left="1440"/>
        <w:rPr>
          <w:szCs w:val="24"/>
        </w:rPr>
      </w:pPr>
      <w:r w:rsidRPr="101EB4DA">
        <w:rPr>
          <w:szCs w:val="24"/>
        </w:rPr>
        <w:t>A</w:t>
      </w:r>
      <w:r w:rsidR="006A629A" w:rsidRPr="101EB4DA">
        <w:rPr>
          <w:szCs w:val="24"/>
        </w:rPr>
        <w:t xml:space="preserve">pplicants must submit a match funding commitment letter from each entity that is committing to providing match funding. A commitment letter commits an entity or individual to providing the service or funding described in the letter. </w:t>
      </w:r>
      <w:r w:rsidR="00CF393D">
        <w:rPr>
          <w:szCs w:val="24"/>
        </w:rPr>
        <w:t xml:space="preserve">This attachment may also include site control </w:t>
      </w:r>
      <w:r w:rsidR="00CF393D">
        <w:rPr>
          <w:szCs w:val="24"/>
        </w:rPr>
        <w:lastRenderedPageBreak/>
        <w:t xml:space="preserve">documentation </w:t>
      </w:r>
      <w:r w:rsidR="00EF46DD">
        <w:rPr>
          <w:szCs w:val="24"/>
        </w:rPr>
        <w:t>for proposed EV charging station sites</w:t>
      </w:r>
      <w:r w:rsidR="0019283F">
        <w:rPr>
          <w:szCs w:val="24"/>
        </w:rPr>
        <w:t>, including but not limited to lease agreements or letters of intent from site owners</w:t>
      </w:r>
      <w:r w:rsidR="00EF46DD">
        <w:rPr>
          <w:szCs w:val="24"/>
        </w:rPr>
        <w:t>.</w:t>
      </w:r>
    </w:p>
    <w:p w14:paraId="71C24AA3" w14:textId="77777777" w:rsidR="00D02D86" w:rsidRPr="00E91F37" w:rsidRDefault="00D02D86" w:rsidP="00465641">
      <w:pPr>
        <w:ind w:left="1440"/>
        <w:rPr>
          <w:szCs w:val="24"/>
        </w:rPr>
      </w:pPr>
    </w:p>
    <w:p w14:paraId="45B63E2F" w14:textId="0D8C4765" w:rsidR="008F76F2" w:rsidRPr="00E91F37" w:rsidRDefault="008F76F2" w:rsidP="001B518B">
      <w:pPr>
        <w:numPr>
          <w:ilvl w:val="1"/>
          <w:numId w:val="6"/>
        </w:numPr>
        <w:ind w:left="2160" w:hanging="720"/>
        <w:rPr>
          <w:szCs w:val="24"/>
        </w:rPr>
      </w:pPr>
      <w:r w:rsidRPr="60D49439">
        <w:rPr>
          <w:b/>
          <w:bCs/>
          <w:szCs w:val="24"/>
        </w:rPr>
        <w:t>Key Project Partners</w:t>
      </w:r>
      <w:r w:rsidR="006B7671" w:rsidRPr="60D49439">
        <w:rPr>
          <w:b/>
          <w:bCs/>
          <w:szCs w:val="24"/>
        </w:rPr>
        <w:t xml:space="preserve">: </w:t>
      </w:r>
      <w:r w:rsidRPr="60D49439">
        <w:rPr>
          <w:szCs w:val="24"/>
        </w:rPr>
        <w:t>Key project partners identified in the application must provide letters demonstrating their ability to fulfill their identified roles.</w:t>
      </w:r>
      <w:r w:rsidR="00FC5F0D">
        <w:rPr>
          <w:szCs w:val="24"/>
        </w:rPr>
        <w:t xml:space="preserve"> Letters are limited to two pages each.</w:t>
      </w:r>
    </w:p>
    <w:p w14:paraId="7B7C6B5C" w14:textId="77777777" w:rsidR="00D02D86" w:rsidRPr="00E91F37" w:rsidRDefault="00D02D86" w:rsidP="00D24381">
      <w:pPr>
        <w:ind w:left="2160"/>
        <w:rPr>
          <w:szCs w:val="24"/>
        </w:rPr>
      </w:pPr>
    </w:p>
    <w:p w14:paraId="6F2FA3E7" w14:textId="193D5AEE" w:rsidR="00D02D86" w:rsidRDefault="00D02D86" w:rsidP="001B518B">
      <w:pPr>
        <w:numPr>
          <w:ilvl w:val="1"/>
          <w:numId w:val="6"/>
        </w:numPr>
        <w:ind w:left="2160" w:hanging="720"/>
        <w:rPr>
          <w:szCs w:val="24"/>
        </w:rPr>
      </w:pPr>
      <w:r w:rsidRPr="00E91F37">
        <w:rPr>
          <w:b/>
          <w:szCs w:val="24"/>
        </w:rPr>
        <w:t xml:space="preserve">Match Share Contributors </w:t>
      </w:r>
      <w:r w:rsidR="00146A04">
        <w:rPr>
          <w:b/>
          <w:szCs w:val="24"/>
        </w:rPr>
        <w:t>Letters of Commitment</w:t>
      </w:r>
      <w:r w:rsidR="006B7671">
        <w:rPr>
          <w:b/>
          <w:szCs w:val="24"/>
        </w:rPr>
        <w:t xml:space="preserve">: </w:t>
      </w:r>
      <w:r w:rsidR="00E81A5D" w:rsidRPr="00E91F37">
        <w:rPr>
          <w:szCs w:val="24"/>
        </w:rPr>
        <w:t>A</w:t>
      </w:r>
      <w:r w:rsidR="00DD2F1C" w:rsidRPr="00E91F37">
        <w:rPr>
          <w:szCs w:val="24"/>
        </w:rPr>
        <w:t>ny</w:t>
      </w:r>
      <w:r w:rsidR="00E81A5D" w:rsidRPr="00E91F37">
        <w:rPr>
          <w:szCs w:val="24"/>
        </w:rPr>
        <w:t xml:space="preserve"> </w:t>
      </w:r>
      <w:r w:rsidR="00DD2F1C" w:rsidRPr="00E91F37">
        <w:rPr>
          <w:szCs w:val="24"/>
        </w:rPr>
        <w:t>match share contributors</w:t>
      </w:r>
      <w:r w:rsidR="00AE7D84">
        <w:rPr>
          <w:szCs w:val="24"/>
        </w:rPr>
        <w:t xml:space="preserve"> (including the Applicant and/or a third-party)</w:t>
      </w:r>
      <w:r w:rsidR="00DD2F1C" w:rsidRPr="00E91F37">
        <w:rPr>
          <w:szCs w:val="24"/>
        </w:rPr>
        <w:t xml:space="preserve"> </w:t>
      </w:r>
      <w:r w:rsidR="00BF41C8" w:rsidRPr="00E91F37">
        <w:rPr>
          <w:szCs w:val="24"/>
        </w:rPr>
        <w:t>must</w:t>
      </w:r>
      <w:r w:rsidRPr="00E91F37">
        <w:rPr>
          <w:szCs w:val="24"/>
        </w:rPr>
        <w:t xml:space="preserve"> identify</w:t>
      </w:r>
      <w:r w:rsidR="00DD2F1C" w:rsidRPr="00E91F37">
        <w:rPr>
          <w:szCs w:val="24"/>
        </w:rPr>
        <w:t xml:space="preserve"> the intended amount of match</w:t>
      </w:r>
      <w:r w:rsidR="006107DC">
        <w:rPr>
          <w:szCs w:val="24"/>
        </w:rPr>
        <w:t xml:space="preserve"> that will be committed to the project</w:t>
      </w:r>
      <w:r w:rsidR="00DD2F1C" w:rsidRPr="00E91F37">
        <w:rPr>
          <w:szCs w:val="24"/>
        </w:rPr>
        <w:t>, the</w:t>
      </w:r>
      <w:r w:rsidRPr="00E91F37">
        <w:rPr>
          <w:szCs w:val="24"/>
        </w:rPr>
        <w:t xml:space="preserve"> funding source(s)</w:t>
      </w:r>
      <w:r w:rsidR="006B36A0" w:rsidRPr="00E91F37">
        <w:rPr>
          <w:szCs w:val="24"/>
        </w:rPr>
        <w:t>,</w:t>
      </w:r>
      <w:r w:rsidRPr="00E91F37">
        <w:rPr>
          <w:szCs w:val="24"/>
        </w:rPr>
        <w:t xml:space="preserve"> and </w:t>
      </w:r>
      <w:r w:rsidR="00DD2F1C" w:rsidRPr="00E91F37">
        <w:rPr>
          <w:szCs w:val="24"/>
        </w:rPr>
        <w:t xml:space="preserve">state that the match share contributor </w:t>
      </w:r>
      <w:r w:rsidR="006B36A0" w:rsidRPr="00E91F37">
        <w:rPr>
          <w:szCs w:val="24"/>
        </w:rPr>
        <w:t>will provide</w:t>
      </w:r>
      <w:r w:rsidRPr="00E91F37">
        <w:rPr>
          <w:szCs w:val="24"/>
        </w:rPr>
        <w:t xml:space="preserve"> the identified match funding. Letters </w:t>
      </w:r>
      <w:r w:rsidR="00407531" w:rsidRPr="00E91F37">
        <w:rPr>
          <w:szCs w:val="24"/>
        </w:rPr>
        <w:t xml:space="preserve">of commitment from match share contributors must </w:t>
      </w:r>
      <w:r w:rsidRPr="00E91F37">
        <w:rPr>
          <w:szCs w:val="24"/>
        </w:rPr>
        <w:t>contain a telephone number</w:t>
      </w:r>
      <w:r w:rsidR="0063773C">
        <w:rPr>
          <w:szCs w:val="24"/>
        </w:rPr>
        <w:t xml:space="preserve"> and email address</w:t>
      </w:r>
      <w:r w:rsidRPr="00E91F37">
        <w:rPr>
          <w:szCs w:val="24"/>
        </w:rPr>
        <w:t xml:space="preserve"> to allow </w:t>
      </w:r>
      <w:r w:rsidR="008E36A3" w:rsidRPr="00E91F37">
        <w:rPr>
          <w:szCs w:val="24"/>
        </w:rPr>
        <w:t xml:space="preserve">CEC </w:t>
      </w:r>
      <w:r w:rsidRPr="00E91F37">
        <w:rPr>
          <w:szCs w:val="24"/>
        </w:rPr>
        <w:t xml:space="preserve">to contact the match share partner or representative to confirm </w:t>
      </w:r>
      <w:r w:rsidR="006B36A0" w:rsidRPr="00E91F37">
        <w:rPr>
          <w:szCs w:val="24"/>
        </w:rPr>
        <w:t>their</w:t>
      </w:r>
      <w:r w:rsidRPr="00E91F37">
        <w:rPr>
          <w:szCs w:val="24"/>
        </w:rPr>
        <w:t xml:space="preserve"> authority to commit matching</w:t>
      </w:r>
      <w:r w:rsidR="00D24381" w:rsidRPr="00E91F37">
        <w:rPr>
          <w:szCs w:val="24"/>
        </w:rPr>
        <w:t xml:space="preserve"> funds to the proposed project.</w:t>
      </w:r>
      <w:r w:rsidR="001E5BAF">
        <w:rPr>
          <w:szCs w:val="24"/>
        </w:rPr>
        <w:t xml:space="preserve"> Letters are limited to two pages each.</w:t>
      </w:r>
    </w:p>
    <w:p w14:paraId="71127347" w14:textId="77777777" w:rsidR="000B4487" w:rsidRDefault="000B4487" w:rsidP="000B4487">
      <w:pPr>
        <w:pStyle w:val="ListParagraph"/>
        <w:rPr>
          <w:szCs w:val="24"/>
        </w:rPr>
      </w:pPr>
    </w:p>
    <w:p w14:paraId="15E0EDE0" w14:textId="462ACA70" w:rsidR="000B4487" w:rsidRPr="00E91F37" w:rsidRDefault="000B4487" w:rsidP="001B518B">
      <w:pPr>
        <w:numPr>
          <w:ilvl w:val="1"/>
          <w:numId w:val="6"/>
        </w:numPr>
        <w:ind w:left="2160" w:hanging="720"/>
        <w:rPr>
          <w:szCs w:val="24"/>
        </w:rPr>
      </w:pPr>
      <w:r w:rsidRPr="00EF46DD">
        <w:rPr>
          <w:b/>
          <w:bCs/>
          <w:szCs w:val="24"/>
        </w:rPr>
        <w:t>Site Control Documentation:</w:t>
      </w:r>
      <w:r>
        <w:rPr>
          <w:szCs w:val="24"/>
        </w:rPr>
        <w:t xml:space="preserve"> </w:t>
      </w:r>
      <w:r w:rsidR="00AF7517">
        <w:rPr>
          <w:szCs w:val="24"/>
        </w:rPr>
        <w:t>Documentation explaining lease arrangements, ownership or access rights for proposed sites</w:t>
      </w:r>
      <w:r w:rsidR="00FC5F0D">
        <w:rPr>
          <w:szCs w:val="24"/>
        </w:rPr>
        <w:t>.</w:t>
      </w:r>
      <w:r w:rsidR="001E5BAF">
        <w:rPr>
          <w:szCs w:val="24"/>
        </w:rPr>
        <w:t xml:space="preserve"> No page limit per document.</w:t>
      </w:r>
    </w:p>
    <w:p w14:paraId="11AFBBF3" w14:textId="77777777" w:rsidR="00D02D86" w:rsidRPr="00E91F37" w:rsidRDefault="00D02D86" w:rsidP="00E04486">
      <w:pPr>
        <w:ind w:left="2160" w:hanging="720"/>
        <w:rPr>
          <w:szCs w:val="24"/>
        </w:rPr>
      </w:pPr>
    </w:p>
    <w:p w14:paraId="1995DF61" w14:textId="17932E3F" w:rsidR="00AE7D84" w:rsidRPr="00AE7D84" w:rsidRDefault="00D02D86" w:rsidP="001B518B">
      <w:pPr>
        <w:numPr>
          <w:ilvl w:val="0"/>
          <w:numId w:val="6"/>
        </w:numPr>
        <w:ind w:left="1440" w:hanging="720"/>
        <w:rPr>
          <w:szCs w:val="24"/>
        </w:rPr>
      </w:pPr>
      <w:r w:rsidRPr="101EB4DA">
        <w:rPr>
          <w:b/>
          <w:bCs/>
          <w:szCs w:val="24"/>
        </w:rPr>
        <w:t>Letters of Support</w:t>
      </w:r>
      <w:r w:rsidR="00BF41C8" w:rsidRPr="101EB4DA">
        <w:rPr>
          <w:b/>
          <w:bCs/>
          <w:szCs w:val="24"/>
        </w:rPr>
        <w:t xml:space="preserve"> (</w:t>
      </w:r>
      <w:r w:rsidR="4891FE4A" w:rsidRPr="101EB4DA">
        <w:rPr>
          <w:b/>
          <w:bCs/>
          <w:szCs w:val="24"/>
        </w:rPr>
        <w:t xml:space="preserve">Attachment </w:t>
      </w:r>
      <w:r w:rsidR="737643A2" w:rsidRPr="002D3723">
        <w:rPr>
          <w:b/>
          <w:szCs w:val="24"/>
        </w:rPr>
        <w:t>9</w:t>
      </w:r>
      <w:r w:rsidR="4891FE4A" w:rsidRPr="101EB4DA">
        <w:rPr>
          <w:b/>
          <w:bCs/>
          <w:szCs w:val="24"/>
        </w:rPr>
        <w:t xml:space="preserve"> - </w:t>
      </w:r>
      <w:r w:rsidR="00BF41C8" w:rsidRPr="101EB4DA">
        <w:rPr>
          <w:b/>
          <w:bCs/>
          <w:szCs w:val="24"/>
        </w:rPr>
        <w:t>optional)</w:t>
      </w:r>
      <w:r w:rsidRPr="101EB4DA">
        <w:rPr>
          <w:b/>
          <w:bCs/>
          <w:szCs w:val="24"/>
        </w:rPr>
        <w:t xml:space="preserve"> </w:t>
      </w:r>
    </w:p>
    <w:p w14:paraId="1DCA0377" w14:textId="3277CF0C" w:rsidR="00D02D86" w:rsidRPr="00E91F37" w:rsidRDefault="00D02D86" w:rsidP="00AE7D84">
      <w:pPr>
        <w:ind w:left="1440"/>
        <w:rPr>
          <w:szCs w:val="24"/>
        </w:rPr>
      </w:pPr>
      <w:r w:rsidRPr="101EB4DA">
        <w:rPr>
          <w:szCs w:val="24"/>
        </w:rPr>
        <w:t xml:space="preserve">Applicants are encouraged to submit </w:t>
      </w:r>
      <w:r w:rsidR="00F23206" w:rsidRPr="101EB4DA">
        <w:rPr>
          <w:szCs w:val="24"/>
        </w:rPr>
        <w:t>letter</w:t>
      </w:r>
      <w:r w:rsidRPr="101EB4DA">
        <w:rPr>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00734205" w:rsidRPr="101EB4DA">
        <w:rPr>
          <w:szCs w:val="24"/>
        </w:rPr>
        <w:t>rs of the proposed project</w:t>
      </w:r>
      <w:r w:rsidRPr="101EB4DA">
        <w:rPr>
          <w:szCs w:val="24"/>
        </w:rPr>
        <w:t>, and any other relevant organizations.</w:t>
      </w:r>
      <w:r w:rsidR="14CEE108" w:rsidRPr="101EB4DA">
        <w:rPr>
          <w:szCs w:val="24"/>
        </w:rPr>
        <w:t xml:space="preserve"> Letters are limited to two-pages</w:t>
      </w:r>
      <w:r w:rsidR="5F263C3C" w:rsidRPr="101EB4DA">
        <w:rPr>
          <w:szCs w:val="24"/>
        </w:rPr>
        <w:t xml:space="preserve"> each</w:t>
      </w:r>
      <w:r w:rsidR="14CEE108" w:rsidRPr="101EB4DA">
        <w:rPr>
          <w:szCs w:val="24"/>
        </w:rPr>
        <w:t>.</w:t>
      </w:r>
    </w:p>
    <w:p w14:paraId="69F3A9D2" w14:textId="77777777" w:rsidR="00D02D86" w:rsidRPr="00E91F37" w:rsidRDefault="00D02D86" w:rsidP="00E04486">
      <w:pPr>
        <w:rPr>
          <w:szCs w:val="24"/>
        </w:rPr>
      </w:pPr>
    </w:p>
    <w:p w14:paraId="43C6C2F8" w14:textId="29DB5509" w:rsidR="00E353FD" w:rsidRPr="00E91F37" w:rsidRDefault="00E353FD" w:rsidP="001B518B">
      <w:pPr>
        <w:numPr>
          <w:ilvl w:val="0"/>
          <w:numId w:val="6"/>
        </w:numPr>
        <w:ind w:left="1440" w:hanging="720"/>
        <w:rPr>
          <w:b/>
          <w:bCs/>
          <w:szCs w:val="24"/>
        </w:rPr>
      </w:pPr>
      <w:r w:rsidRPr="101EB4DA">
        <w:rPr>
          <w:b/>
          <w:bCs/>
          <w:szCs w:val="24"/>
        </w:rPr>
        <w:t xml:space="preserve">CEQA </w:t>
      </w:r>
      <w:r w:rsidR="00CA3004" w:rsidRPr="101EB4DA">
        <w:rPr>
          <w:b/>
          <w:bCs/>
          <w:szCs w:val="24"/>
        </w:rPr>
        <w:t>Worksheet</w:t>
      </w:r>
      <w:r w:rsidR="0063773C" w:rsidRPr="101EB4DA">
        <w:rPr>
          <w:b/>
          <w:bCs/>
          <w:szCs w:val="24"/>
        </w:rPr>
        <w:t xml:space="preserve"> (Attachment </w:t>
      </w:r>
      <w:r w:rsidR="79CF450E" w:rsidRPr="002D3723">
        <w:rPr>
          <w:b/>
          <w:szCs w:val="24"/>
        </w:rPr>
        <w:t>10</w:t>
      </w:r>
      <w:r w:rsidR="0063773C" w:rsidRPr="101EB4DA">
        <w:rPr>
          <w:b/>
          <w:bCs/>
          <w:szCs w:val="24"/>
        </w:rPr>
        <w:t>)</w:t>
      </w:r>
    </w:p>
    <w:p w14:paraId="63769EA2" w14:textId="77777777" w:rsidR="00C41291" w:rsidRPr="00C41291" w:rsidRDefault="00C41291" w:rsidP="00C41291">
      <w:pPr>
        <w:ind w:left="1440"/>
        <w:rPr>
          <w:szCs w:val="24"/>
        </w:rPr>
      </w:pPr>
      <w:r w:rsidRPr="00C41291">
        <w:rPr>
          <w:szCs w:val="24"/>
        </w:rPr>
        <w:t xml:space="preserve">Each proposed project may be subject to California Environmental Quality Act (CEQA) compliance, as well as permitting and other requirements (Ca. Public Resources Code Section §§ 21000 et seq.), including National Environmental Policy Act (NEPA) compliance. All projects must adhere to the requirements specified in this section. </w:t>
      </w:r>
    </w:p>
    <w:p w14:paraId="58B0A69C" w14:textId="77777777" w:rsidR="00C41291" w:rsidRPr="00C41291" w:rsidRDefault="00C41291" w:rsidP="00C41291">
      <w:pPr>
        <w:ind w:left="1440"/>
        <w:rPr>
          <w:szCs w:val="24"/>
        </w:rPr>
      </w:pPr>
    </w:p>
    <w:p w14:paraId="1B9520E0" w14:textId="0BF48EE2" w:rsidR="00C41291" w:rsidRDefault="00C41291" w:rsidP="00C41291">
      <w:pPr>
        <w:ind w:left="1440"/>
        <w:rPr>
          <w:szCs w:val="24"/>
        </w:rPr>
      </w:pPr>
      <w:r w:rsidRPr="00C41291">
        <w:rPr>
          <w:szCs w:val="24"/>
        </w:rPr>
        <w:t>CEQA requires public agencies to identify the significant environmental impacts of their discretionary actions and to avoid or mitigate them, if feasible. Under CEQA, an activity that may cause either a direct or reasonably foreseeable indirect physical change in the environment is generally considered a project. Any project funded under this program may be considered a project under CEQA if it will cause a direct or reasonably foreseeable indirect physical change in the environment. Agencies must comply with CEQA before they discretionally approve a project. For projects that are exempt from CEQA, agencies may prepare and file a Notice of Exemption.</w:t>
      </w:r>
    </w:p>
    <w:p w14:paraId="7430EB0C" w14:textId="77777777" w:rsidR="001A73B9" w:rsidRPr="00E91F37" w:rsidRDefault="001A73B9" w:rsidP="003A0DDC">
      <w:pPr>
        <w:ind w:left="1440"/>
        <w:rPr>
          <w:szCs w:val="24"/>
        </w:rPr>
      </w:pPr>
    </w:p>
    <w:p w14:paraId="6D6D1748" w14:textId="295631D4" w:rsidR="000B5635" w:rsidRPr="00E91F37" w:rsidRDefault="000B5635" w:rsidP="003A0DDC">
      <w:pPr>
        <w:ind w:left="1440"/>
        <w:rPr>
          <w:szCs w:val="24"/>
        </w:rPr>
      </w:pPr>
      <w:r w:rsidRPr="00E91F37">
        <w:rPr>
          <w:szCs w:val="24"/>
        </w:rPr>
        <w:lastRenderedPageBreak/>
        <w:t xml:space="preserve">Applicants must complete the CEQA </w:t>
      </w:r>
      <w:r w:rsidR="00B51227" w:rsidRPr="00E91F37">
        <w:rPr>
          <w:szCs w:val="24"/>
        </w:rPr>
        <w:t>Worksheet</w:t>
      </w:r>
      <w:r w:rsidR="007E1DF1">
        <w:rPr>
          <w:szCs w:val="24"/>
        </w:rPr>
        <w:t xml:space="preserve">, </w:t>
      </w:r>
      <w:r w:rsidR="007E1DF1" w:rsidRPr="00292C4F">
        <w:rPr>
          <w:szCs w:val="24"/>
        </w:rPr>
        <w:t xml:space="preserve">as well as the </w:t>
      </w:r>
      <w:r w:rsidR="007E1DF1">
        <w:rPr>
          <w:szCs w:val="24"/>
        </w:rPr>
        <w:t xml:space="preserve">NEPA </w:t>
      </w:r>
      <w:r w:rsidR="007E1DF1" w:rsidRPr="00292C4F">
        <w:rPr>
          <w:szCs w:val="24"/>
        </w:rPr>
        <w:t>PES Form</w:t>
      </w:r>
      <w:r w:rsidR="007E1DF1">
        <w:rPr>
          <w:szCs w:val="24"/>
        </w:rPr>
        <w:t xml:space="preserve"> (Attachment 14)</w:t>
      </w:r>
      <w:r w:rsidR="002B3C72">
        <w:rPr>
          <w:szCs w:val="24"/>
        </w:rPr>
        <w:t>,</w:t>
      </w:r>
      <w:r w:rsidRPr="00E91F37">
        <w:rPr>
          <w:szCs w:val="24"/>
        </w:rPr>
        <w:t xml:space="preserve"> and submit </w:t>
      </w:r>
      <w:r w:rsidR="002B3C72">
        <w:rPr>
          <w:szCs w:val="24"/>
        </w:rPr>
        <w:t>these</w:t>
      </w:r>
      <w:r w:rsidRPr="00E91F37">
        <w:rPr>
          <w:szCs w:val="24"/>
        </w:rPr>
        <w:t xml:space="preserve"> with their </w:t>
      </w:r>
      <w:r w:rsidR="00B51227" w:rsidRPr="00E91F37">
        <w:rPr>
          <w:szCs w:val="24"/>
        </w:rPr>
        <w:t>application</w:t>
      </w:r>
      <w:r w:rsidRPr="00E91F37">
        <w:rPr>
          <w:szCs w:val="24"/>
        </w:rPr>
        <w:t xml:space="preserve">. </w:t>
      </w:r>
      <w:r w:rsidR="00FE0B09">
        <w:rPr>
          <w:szCs w:val="24"/>
        </w:rPr>
        <w:t xml:space="preserve">If needed, Applicants may submit multiple CEQA worksheets. If multiple CEQA worksheets are needed, please consolidate them into one PDF. </w:t>
      </w:r>
      <w:r w:rsidRPr="00E91F37">
        <w:rPr>
          <w:szCs w:val="24"/>
        </w:rPr>
        <w:t xml:space="preserve">This worksheet will help </w:t>
      </w:r>
      <w:r w:rsidR="0063773C">
        <w:rPr>
          <w:szCs w:val="24"/>
        </w:rPr>
        <w:t>A</w:t>
      </w:r>
      <w:r w:rsidR="00403F6F" w:rsidRPr="00E91F37">
        <w:rPr>
          <w:szCs w:val="24"/>
        </w:rPr>
        <w:t>pplicant</w:t>
      </w:r>
      <w:r w:rsidRPr="00E91F37">
        <w:rPr>
          <w:szCs w:val="24"/>
        </w:rPr>
        <w:t xml:space="preserve">s </w:t>
      </w:r>
      <w:r w:rsidR="006A6E55" w:rsidRPr="00E91F37">
        <w:rPr>
          <w:szCs w:val="24"/>
        </w:rPr>
        <w:t xml:space="preserve">and </w:t>
      </w:r>
      <w:r w:rsidR="008E36A3" w:rsidRPr="00E91F37">
        <w:rPr>
          <w:szCs w:val="24"/>
        </w:rPr>
        <w:t xml:space="preserve">CEC </w:t>
      </w:r>
      <w:r w:rsidRPr="00E91F37">
        <w:rPr>
          <w:szCs w:val="24"/>
        </w:rPr>
        <w:t>to determine CEQA compliance obligations by identifying which project</w:t>
      </w:r>
      <w:r w:rsidR="006A6E55" w:rsidRPr="00E91F37">
        <w:rPr>
          <w:szCs w:val="24"/>
        </w:rPr>
        <w:t>s</w:t>
      </w:r>
      <w:r w:rsidRPr="00E91F37">
        <w:rPr>
          <w:szCs w:val="24"/>
        </w:rPr>
        <w:t xml:space="preserve"> may </w:t>
      </w:r>
      <w:r w:rsidR="006A6E55" w:rsidRPr="00E91F37">
        <w:rPr>
          <w:szCs w:val="24"/>
        </w:rPr>
        <w:t xml:space="preserve">require more extensive </w:t>
      </w:r>
      <w:r w:rsidRPr="00E91F37">
        <w:rPr>
          <w:szCs w:val="24"/>
        </w:rPr>
        <w:t xml:space="preserve">CEQA </w:t>
      </w:r>
      <w:r w:rsidR="006A6E55" w:rsidRPr="00E91F37">
        <w:rPr>
          <w:szCs w:val="24"/>
        </w:rPr>
        <w:t>review</w:t>
      </w:r>
      <w:r w:rsidR="00116F2D">
        <w:rPr>
          <w:szCs w:val="24"/>
        </w:rPr>
        <w:t xml:space="preserve">, </w:t>
      </w:r>
      <w:r w:rsidR="00116F2D" w:rsidRPr="00292C4F">
        <w:rPr>
          <w:szCs w:val="24"/>
        </w:rPr>
        <w:t>and it will be used to help evaluate the Project Readiness evaluation criterion in this solicitation (see Section IV.E.2)</w:t>
      </w:r>
      <w:r w:rsidRPr="00E91F37">
        <w:rPr>
          <w:szCs w:val="24"/>
        </w:rPr>
        <w:t xml:space="preserve">. Failure to complete the worksheet may lead to disqualification of the </w:t>
      </w:r>
      <w:r w:rsidR="0063773C">
        <w:rPr>
          <w:szCs w:val="24"/>
        </w:rPr>
        <w:t>application</w:t>
      </w:r>
      <w:r w:rsidRPr="00E91F37">
        <w:rPr>
          <w:szCs w:val="24"/>
        </w:rPr>
        <w:t>.</w:t>
      </w:r>
    </w:p>
    <w:p w14:paraId="5297026F" w14:textId="77777777" w:rsidR="00292C4F" w:rsidRPr="00E91F37" w:rsidRDefault="00292C4F" w:rsidP="003A0DDC">
      <w:pPr>
        <w:ind w:left="1440"/>
        <w:rPr>
          <w:szCs w:val="24"/>
        </w:rPr>
      </w:pPr>
    </w:p>
    <w:p w14:paraId="224F4777" w14:textId="77C681B9" w:rsidR="00292C4F" w:rsidRPr="00292C4F" w:rsidRDefault="00292C4F" w:rsidP="00292C4F">
      <w:pPr>
        <w:ind w:left="1440"/>
        <w:rPr>
          <w:szCs w:val="24"/>
        </w:rPr>
      </w:pPr>
      <w:r w:rsidRPr="00292C4F">
        <w:rPr>
          <w:szCs w:val="24"/>
        </w:rPr>
        <w:t xml:space="preserve">In the worksheet, the Applicant shall provide a detailed description of the project, as well as any direct physical changes and reasonably foreseeable indirect changes to the surrounding environment. </w:t>
      </w:r>
    </w:p>
    <w:p w14:paraId="56756A1C" w14:textId="77777777" w:rsidR="00292C4F" w:rsidRPr="00292C4F" w:rsidRDefault="00292C4F" w:rsidP="00292C4F">
      <w:pPr>
        <w:ind w:left="1440"/>
        <w:rPr>
          <w:szCs w:val="24"/>
        </w:rPr>
      </w:pPr>
    </w:p>
    <w:p w14:paraId="717491C1" w14:textId="77777777" w:rsidR="00292C4F" w:rsidRPr="00292C4F" w:rsidRDefault="00292C4F" w:rsidP="00292C4F">
      <w:pPr>
        <w:ind w:left="1440"/>
        <w:rPr>
          <w:szCs w:val="24"/>
        </w:rPr>
      </w:pPr>
      <w:r w:rsidRPr="00292C4F">
        <w:rPr>
          <w:szCs w:val="24"/>
        </w:rPr>
        <w:t>The Applicant must provide the following information in Attachment 10 as it pertains to the proposed project prior to receiving any funds:</w:t>
      </w:r>
    </w:p>
    <w:p w14:paraId="2008944C" w14:textId="77777777" w:rsidR="00292C4F" w:rsidRPr="00292C4F" w:rsidRDefault="00292C4F" w:rsidP="00292C4F">
      <w:pPr>
        <w:ind w:left="1440"/>
        <w:rPr>
          <w:szCs w:val="24"/>
        </w:rPr>
      </w:pPr>
    </w:p>
    <w:p w14:paraId="042DF2C4" w14:textId="77777777" w:rsidR="00292C4F" w:rsidRPr="00292C4F" w:rsidRDefault="00292C4F" w:rsidP="00F9074A">
      <w:pPr>
        <w:numPr>
          <w:ilvl w:val="0"/>
          <w:numId w:val="92"/>
        </w:numPr>
        <w:ind w:hanging="720"/>
        <w:rPr>
          <w:szCs w:val="24"/>
        </w:rPr>
      </w:pPr>
      <w:r w:rsidRPr="00292C4F">
        <w:rPr>
          <w:szCs w:val="24"/>
        </w:rPr>
        <w:t>Proposed Location: The Applicant must provide the specific address or equivalent location information for all of the proposed charging stations.</w:t>
      </w:r>
    </w:p>
    <w:p w14:paraId="71C703CB" w14:textId="77777777" w:rsidR="00292C4F" w:rsidRPr="00292C4F" w:rsidRDefault="00292C4F" w:rsidP="00DD5C7A">
      <w:pPr>
        <w:ind w:left="1440" w:hanging="720"/>
        <w:rPr>
          <w:szCs w:val="24"/>
        </w:rPr>
      </w:pPr>
    </w:p>
    <w:p w14:paraId="7AE98498" w14:textId="77777777" w:rsidR="00292C4F" w:rsidRPr="00292C4F" w:rsidRDefault="00292C4F" w:rsidP="00DD5C7A">
      <w:pPr>
        <w:numPr>
          <w:ilvl w:val="0"/>
          <w:numId w:val="92"/>
        </w:numPr>
        <w:ind w:hanging="720"/>
        <w:rPr>
          <w:szCs w:val="24"/>
        </w:rPr>
      </w:pPr>
      <w:r w:rsidRPr="00292C4F">
        <w:rPr>
          <w:szCs w:val="24"/>
        </w:rPr>
        <w:t xml:space="preserve">Permits: The Applicant must identify the permits necessary for the project in the proposal narrative. If no permits are necessary, then the Applicant must state that in Attachment 10. </w:t>
      </w:r>
    </w:p>
    <w:p w14:paraId="6B90B32D" w14:textId="77777777" w:rsidR="00292C4F" w:rsidRPr="00292C4F" w:rsidRDefault="00292C4F" w:rsidP="00DD5C7A">
      <w:pPr>
        <w:ind w:left="1440" w:hanging="720"/>
        <w:rPr>
          <w:szCs w:val="24"/>
        </w:rPr>
      </w:pPr>
    </w:p>
    <w:p w14:paraId="2936BE35" w14:textId="77777777" w:rsidR="00292C4F" w:rsidRPr="00292C4F" w:rsidRDefault="00292C4F" w:rsidP="00DD5C7A">
      <w:pPr>
        <w:numPr>
          <w:ilvl w:val="0"/>
          <w:numId w:val="92"/>
        </w:numPr>
        <w:ind w:hanging="720"/>
        <w:rPr>
          <w:szCs w:val="24"/>
        </w:rPr>
      </w:pPr>
      <w:r w:rsidRPr="00292C4F">
        <w:rPr>
          <w:szCs w:val="24"/>
        </w:rPr>
        <w:t>Project Impacts: The Applicant must describe the direct physical changes and reasonably foreseeable indirect changes to the surrounding environment that may result from the project, if any. Please see CEQA Worksheet.</w:t>
      </w:r>
    </w:p>
    <w:p w14:paraId="342BD0A5" w14:textId="77777777" w:rsidR="00292C4F" w:rsidRPr="00292C4F" w:rsidRDefault="00292C4F" w:rsidP="00DD5C7A">
      <w:pPr>
        <w:ind w:left="1440" w:hanging="720"/>
        <w:rPr>
          <w:szCs w:val="24"/>
        </w:rPr>
      </w:pPr>
    </w:p>
    <w:p w14:paraId="0FF0182B" w14:textId="77777777" w:rsidR="00292C4F" w:rsidRPr="00292C4F" w:rsidRDefault="00292C4F" w:rsidP="00DD5C7A">
      <w:pPr>
        <w:numPr>
          <w:ilvl w:val="0"/>
          <w:numId w:val="92"/>
        </w:numPr>
        <w:ind w:hanging="720"/>
        <w:rPr>
          <w:szCs w:val="24"/>
        </w:rPr>
      </w:pPr>
      <w:r w:rsidRPr="00292C4F">
        <w:rPr>
          <w:szCs w:val="24"/>
        </w:rPr>
        <w:t>Identify CEQA Lead Agency for each project: The lead agency is the public agency that has the greatest responsibility for carrying out or approving a project and for preparing environmental review documents under CEQA. The lead agency is the public agency that has the greatest responsibility for approving the project as a whole. When issuing grants, CEC is typically a Responsible Agency under CEQA, which means that they must make CEQA findings based on review of the lead agency’s environmental documents approving the physical project subject to funding. While rare, if CEC is the only public agency with discretionary approval authority over the project, then CEC may act as the lead agency and prepare its own environmental documents (based on analysis provided by the Applicant). The lead agency will be identified using the following process:</w:t>
      </w:r>
    </w:p>
    <w:p w14:paraId="08DBF561" w14:textId="77777777" w:rsidR="00292C4F" w:rsidRPr="00292C4F" w:rsidRDefault="00292C4F" w:rsidP="00292C4F">
      <w:pPr>
        <w:ind w:left="1440"/>
        <w:rPr>
          <w:szCs w:val="24"/>
        </w:rPr>
      </w:pPr>
    </w:p>
    <w:p w14:paraId="79612FD9" w14:textId="77777777" w:rsidR="00292C4F" w:rsidRPr="00292C4F" w:rsidRDefault="00292C4F" w:rsidP="00F9074A">
      <w:pPr>
        <w:numPr>
          <w:ilvl w:val="0"/>
          <w:numId w:val="93"/>
        </w:numPr>
        <w:ind w:left="2880" w:hanging="720"/>
        <w:rPr>
          <w:szCs w:val="24"/>
        </w:rPr>
      </w:pPr>
      <w:r w:rsidRPr="00292C4F">
        <w:rPr>
          <w:szCs w:val="24"/>
        </w:rPr>
        <w:t xml:space="preserve">Where the proposed project would require a discretionary approval from another permitting agency, the Applicant must </w:t>
      </w:r>
      <w:r w:rsidRPr="00292C4F">
        <w:rPr>
          <w:szCs w:val="24"/>
        </w:rPr>
        <w:lastRenderedPageBreak/>
        <w:t>identify the CEQA lead agency in the application and include documentation demonstrating that contact has been made with the lead agency with jurisdiction over the project for purposes of complying with CEQA. The documentation may be in the form of a letter from the lead agency that is stamped as received by the local agency.</w:t>
      </w:r>
      <w:r w:rsidRPr="00292C4F">
        <w:rPr>
          <w:szCs w:val="24"/>
        </w:rPr>
        <w:br/>
      </w:r>
    </w:p>
    <w:p w14:paraId="20759F14" w14:textId="77777777" w:rsidR="00292C4F" w:rsidRPr="00292C4F" w:rsidRDefault="00292C4F" w:rsidP="00F9074A">
      <w:pPr>
        <w:numPr>
          <w:ilvl w:val="0"/>
          <w:numId w:val="93"/>
        </w:numPr>
        <w:ind w:left="2880" w:hanging="720"/>
        <w:rPr>
          <w:szCs w:val="24"/>
        </w:rPr>
      </w:pPr>
      <w:r w:rsidRPr="00292C4F">
        <w:rPr>
          <w:szCs w:val="24"/>
        </w:rPr>
        <w:t>If CEC is the only agency with discretionary approval over the proposed project, then CEC will act as the lead agency and will work with the Applicant to satisfy CEQA requirements.</w:t>
      </w:r>
    </w:p>
    <w:p w14:paraId="5B6496DC" w14:textId="77777777" w:rsidR="00292C4F" w:rsidRPr="00292C4F" w:rsidRDefault="00292C4F" w:rsidP="00292C4F">
      <w:pPr>
        <w:ind w:left="1440"/>
        <w:rPr>
          <w:szCs w:val="24"/>
        </w:rPr>
      </w:pPr>
    </w:p>
    <w:p w14:paraId="3CFC5289" w14:textId="77777777" w:rsidR="00292C4F" w:rsidRPr="00292C4F" w:rsidRDefault="00292C4F" w:rsidP="00292C4F">
      <w:pPr>
        <w:ind w:left="1440"/>
        <w:rPr>
          <w:szCs w:val="24"/>
        </w:rPr>
      </w:pPr>
      <w:r w:rsidRPr="00292C4F">
        <w:rPr>
          <w:szCs w:val="24"/>
        </w:rPr>
        <w:t xml:space="preserve">Regardless of which agency is the lead agency for a proposed project, the Applicant shall be responsible for all costs associated with preparation of environmental review documents. The Applicant may also be required to retain a consultant to perform environmental studies if CEC determines it is needed. </w:t>
      </w:r>
    </w:p>
    <w:p w14:paraId="0D2303F2" w14:textId="77777777" w:rsidR="001A73B9" w:rsidRPr="00E91F37" w:rsidRDefault="001A73B9" w:rsidP="003A0DDC">
      <w:pPr>
        <w:ind w:left="1440"/>
        <w:rPr>
          <w:szCs w:val="24"/>
        </w:rPr>
      </w:pPr>
    </w:p>
    <w:p w14:paraId="135B05DA" w14:textId="53A324C0" w:rsidR="000B5635" w:rsidRPr="00E91F37" w:rsidRDefault="000B5635" w:rsidP="003A0DDC">
      <w:pPr>
        <w:ind w:left="1440"/>
        <w:rPr>
          <w:szCs w:val="24"/>
        </w:rPr>
      </w:pPr>
      <w:r w:rsidRPr="00E91F37">
        <w:rPr>
          <w:szCs w:val="24"/>
        </w:rPr>
        <w:t xml:space="preserve">Applicants </w:t>
      </w:r>
      <w:r w:rsidR="007C79E9" w:rsidRPr="00E91F37">
        <w:rPr>
          <w:szCs w:val="24"/>
        </w:rPr>
        <w:t xml:space="preserve">are encouraged to </w:t>
      </w:r>
      <w:r w:rsidRPr="00E91F37">
        <w:rPr>
          <w:szCs w:val="24"/>
        </w:rPr>
        <w:t>provide documentation of communication with the local</w:t>
      </w:r>
      <w:r w:rsidR="00A0158B" w:rsidRPr="00E91F37">
        <w:rPr>
          <w:szCs w:val="24"/>
        </w:rPr>
        <w:t xml:space="preserve"> lead</w:t>
      </w:r>
      <w:r w:rsidRPr="00E91F37">
        <w:rPr>
          <w:szCs w:val="24"/>
        </w:rPr>
        <w:t xml:space="preserve"> agency</w:t>
      </w:r>
      <w:r w:rsidR="00A0158B" w:rsidRPr="00E91F37">
        <w:rPr>
          <w:szCs w:val="24"/>
        </w:rPr>
        <w:t>, if one exists (e.g., a county or city).</w:t>
      </w:r>
      <w:r w:rsidRPr="00E91F37">
        <w:rPr>
          <w:szCs w:val="24"/>
        </w:rPr>
        <w:t xml:space="preserve"> Documentation </w:t>
      </w:r>
      <w:r w:rsidR="6CD0D230" w:rsidRPr="59383393">
        <w:rPr>
          <w:szCs w:val="24"/>
        </w:rPr>
        <w:t>may include</w:t>
      </w:r>
      <w:r w:rsidRPr="00E91F37">
        <w:rPr>
          <w:szCs w:val="24"/>
        </w:rPr>
        <w:t xml:space="preserve"> a completed notice of exemption, a letter from the local agency acknowledging </w:t>
      </w:r>
      <w:r w:rsidR="0063773C">
        <w:rPr>
          <w:szCs w:val="24"/>
        </w:rPr>
        <w:t>its</w:t>
      </w:r>
      <w:r w:rsidRPr="00E91F37">
        <w:rPr>
          <w:szCs w:val="24"/>
        </w:rPr>
        <w:t xml:space="preserve"> role in the CEQA process, or a </w:t>
      </w:r>
      <w:r w:rsidR="00A0158B" w:rsidRPr="00E91F37">
        <w:rPr>
          <w:szCs w:val="24"/>
        </w:rPr>
        <w:t>permit application</w:t>
      </w:r>
      <w:r w:rsidRPr="00E91F37">
        <w:rPr>
          <w:szCs w:val="24"/>
        </w:rPr>
        <w:t xml:space="preserve"> to the lead agency that is stamped as received. If no CEQA review would be required by the local </w:t>
      </w:r>
      <w:r w:rsidR="00A0158B" w:rsidRPr="00E91F37">
        <w:rPr>
          <w:szCs w:val="24"/>
        </w:rPr>
        <w:t xml:space="preserve">lead </w:t>
      </w:r>
      <w:r w:rsidRPr="00E91F37">
        <w:rPr>
          <w:szCs w:val="24"/>
        </w:rPr>
        <w:t>agency, provide documentation (</w:t>
      </w:r>
      <w:r w:rsidR="0063773C">
        <w:rPr>
          <w:szCs w:val="24"/>
        </w:rPr>
        <w:t>e.g.</w:t>
      </w:r>
      <w:r w:rsidR="00EB2868">
        <w:rPr>
          <w:szCs w:val="24"/>
        </w:rPr>
        <w:t xml:space="preserve"> a </w:t>
      </w:r>
      <w:r w:rsidRPr="00E91F37">
        <w:rPr>
          <w:szCs w:val="24"/>
        </w:rPr>
        <w:t>letter or e-mail) from the local agency explaining why</w:t>
      </w:r>
      <w:r w:rsidR="00EB2868">
        <w:rPr>
          <w:szCs w:val="24"/>
        </w:rPr>
        <w:t xml:space="preserve"> CEQA review is</w:t>
      </w:r>
      <w:r w:rsidRPr="00E91F37">
        <w:rPr>
          <w:szCs w:val="24"/>
        </w:rPr>
        <w:t xml:space="preserve"> not</w:t>
      </w:r>
      <w:r w:rsidR="00EB2868">
        <w:rPr>
          <w:szCs w:val="24"/>
        </w:rPr>
        <w:t xml:space="preserve"> required</w:t>
      </w:r>
      <w:r w:rsidRPr="00E91F37">
        <w:rPr>
          <w:szCs w:val="24"/>
        </w:rPr>
        <w:t>.</w:t>
      </w:r>
    </w:p>
    <w:p w14:paraId="77303077" w14:textId="77777777" w:rsidR="00865148" w:rsidRPr="00E91F37" w:rsidRDefault="00865148" w:rsidP="003A0DDC">
      <w:pPr>
        <w:ind w:left="1440"/>
        <w:rPr>
          <w:szCs w:val="24"/>
        </w:rPr>
      </w:pPr>
    </w:p>
    <w:p w14:paraId="6718426F" w14:textId="638F6441" w:rsidR="6ED10453" w:rsidRDefault="6ED10453" w:rsidP="001F305A">
      <w:pPr>
        <w:pStyle w:val="ListParagraph"/>
        <w:numPr>
          <w:ilvl w:val="0"/>
          <w:numId w:val="35"/>
        </w:numPr>
        <w:spacing w:after="120"/>
        <w:ind w:left="2160" w:hanging="720"/>
        <w:rPr>
          <w:rFonts w:eastAsia="Arial"/>
          <w:color w:val="000000" w:themeColor="text1"/>
          <w:szCs w:val="22"/>
        </w:rPr>
      </w:pPr>
      <w:r w:rsidRPr="6DAD45FF">
        <w:rPr>
          <w:rFonts w:eastAsia="Arial"/>
          <w:b/>
          <w:bCs/>
          <w:color w:val="000000" w:themeColor="text1"/>
          <w:szCs w:val="22"/>
        </w:rPr>
        <w:t>Additional Requirements</w:t>
      </w:r>
    </w:p>
    <w:p w14:paraId="51D82ED0" w14:textId="209A4664" w:rsidR="6ED10453" w:rsidRDefault="6ED10453" w:rsidP="001F305A">
      <w:pPr>
        <w:pStyle w:val="ListParagraph"/>
        <w:numPr>
          <w:ilvl w:val="0"/>
          <w:numId w:val="34"/>
        </w:numPr>
        <w:spacing w:after="120"/>
        <w:ind w:left="2880" w:hanging="720"/>
        <w:rPr>
          <w:rFonts w:eastAsia="Arial"/>
          <w:color w:val="000000" w:themeColor="text1"/>
          <w:szCs w:val="22"/>
        </w:rPr>
      </w:pPr>
      <w:r w:rsidRPr="6DAD45FF">
        <w:rPr>
          <w:rFonts w:eastAsia="Arial"/>
          <w:color w:val="000000" w:themeColor="text1"/>
          <w:szCs w:val="22"/>
        </w:rPr>
        <w:t xml:space="preserve">Time is of the essence. Funds available under this solicitation have encumbrance deadlines as early as </w:t>
      </w:r>
      <w:r w:rsidR="00D745DD">
        <w:rPr>
          <w:rFonts w:eastAsia="Arial"/>
          <w:color w:val="000000" w:themeColor="text1"/>
          <w:szCs w:val="22"/>
        </w:rPr>
        <w:t>June 30, 2027</w:t>
      </w:r>
      <w:r w:rsidRPr="6DAD45FF">
        <w:rPr>
          <w:rFonts w:eastAsia="Arial"/>
          <w:color w:val="000000" w:themeColor="text1"/>
          <w:szCs w:val="22"/>
        </w:rPr>
        <w:t xml:space="preserve">. This means that the CEC must approve proposed awards at a business meeting (usually held monthly) prior to </w:t>
      </w:r>
      <w:r w:rsidR="000A3707">
        <w:rPr>
          <w:rFonts w:eastAsia="Arial"/>
          <w:color w:val="000000" w:themeColor="text1"/>
          <w:szCs w:val="22"/>
        </w:rPr>
        <w:t>June 30, 2027</w:t>
      </w:r>
      <w:r w:rsidRPr="6DAD45FF">
        <w:rPr>
          <w:rFonts w:eastAsia="Arial"/>
          <w:color w:val="000000" w:themeColor="text1"/>
          <w:szCs w:val="22"/>
        </w:rPr>
        <w:t>, in order to avoid expiration of the funds. Prior to approval and encumbrance, the CEC must comply with the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25A39FAC" w14:textId="0B3F0528" w:rsidR="6ED10453" w:rsidRDefault="6ED10453" w:rsidP="001F305A">
      <w:pPr>
        <w:pStyle w:val="ListParagraph"/>
        <w:numPr>
          <w:ilvl w:val="0"/>
          <w:numId w:val="34"/>
        </w:numPr>
        <w:spacing w:after="120"/>
        <w:ind w:left="2880" w:hanging="720"/>
        <w:rPr>
          <w:rFonts w:eastAsia="Arial"/>
          <w:color w:val="000000" w:themeColor="text1"/>
          <w:szCs w:val="22"/>
        </w:rPr>
      </w:pPr>
      <w:r w:rsidRPr="6DAD45FF">
        <w:rPr>
          <w:rFonts w:eastAsia="Arial"/>
          <w:color w:val="000000" w:themeColor="text1"/>
          <w:szCs w:val="22"/>
        </w:rPr>
        <w:lastRenderedPageBreak/>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32276F9B" w14:textId="1294A340" w:rsidR="6ED10453" w:rsidRDefault="6ED10453" w:rsidP="00865148">
      <w:pPr>
        <w:pStyle w:val="ListParagraph"/>
        <w:numPr>
          <w:ilvl w:val="2"/>
          <w:numId w:val="33"/>
        </w:numPr>
        <w:spacing w:after="120"/>
        <w:ind w:left="3600" w:hanging="720"/>
        <w:rPr>
          <w:rFonts w:eastAsia="Arial"/>
          <w:color w:val="000000" w:themeColor="text1"/>
          <w:szCs w:val="22"/>
        </w:rPr>
      </w:pPr>
      <w:r w:rsidRPr="6DAD45FF">
        <w:rPr>
          <w:rFonts w:eastAsia="Arial"/>
          <w:color w:val="000000" w:themeColor="text1"/>
          <w:szCs w:val="22"/>
        </w:rPr>
        <w:t>Example 1: If another state agency or local jurisdiction, such as a city or county, must take the role of lead agency under CEQA, the CEC’s review may be delayed while waiting for a determination from the lead agency.</w:t>
      </w:r>
    </w:p>
    <w:p w14:paraId="588114B3" w14:textId="73C5AF3D" w:rsidR="6ED10453" w:rsidRDefault="6ED10453" w:rsidP="00865148">
      <w:pPr>
        <w:pStyle w:val="ListParagraph"/>
        <w:numPr>
          <w:ilvl w:val="2"/>
          <w:numId w:val="33"/>
        </w:numPr>
        <w:spacing w:after="120"/>
        <w:ind w:left="3600" w:hanging="720"/>
        <w:rPr>
          <w:rFonts w:eastAsia="Arial"/>
          <w:color w:val="000000" w:themeColor="text1"/>
          <w:szCs w:val="22"/>
        </w:rPr>
      </w:pPr>
      <w:r w:rsidRPr="6DAD45FF">
        <w:rPr>
          <w:rFonts w:eastAsia="Arial"/>
          <w:color w:val="000000" w:themeColor="text1"/>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5AC6D1CE" w14:textId="0B4701AA" w:rsidR="6ED10453" w:rsidRDefault="6ED10453" w:rsidP="00865148">
      <w:pPr>
        <w:pStyle w:val="ListParagraph"/>
        <w:numPr>
          <w:ilvl w:val="2"/>
          <w:numId w:val="33"/>
        </w:numPr>
        <w:spacing w:after="120"/>
        <w:ind w:left="3600" w:hanging="720"/>
        <w:rPr>
          <w:rFonts w:eastAsia="Arial"/>
          <w:color w:val="000000" w:themeColor="text1"/>
          <w:szCs w:val="22"/>
        </w:rPr>
      </w:pPr>
      <w:r w:rsidRPr="6DAD45FF">
        <w:rPr>
          <w:rFonts w:eastAsia="Arial"/>
          <w:color w:val="000000" w:themeColor="text1"/>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591E23B5" w14:textId="3AA8FB3E" w:rsidR="6ED10453" w:rsidRDefault="6ED10453" w:rsidP="00865148">
      <w:pPr>
        <w:pStyle w:val="ListParagraph"/>
        <w:numPr>
          <w:ilvl w:val="2"/>
          <w:numId w:val="34"/>
        </w:numPr>
        <w:spacing w:after="120"/>
        <w:ind w:left="3600" w:hanging="720"/>
        <w:rPr>
          <w:rFonts w:eastAsia="Arial"/>
          <w:color w:val="000000" w:themeColor="text1"/>
          <w:szCs w:val="22"/>
        </w:rPr>
      </w:pPr>
      <w:r w:rsidRPr="6DAD45FF">
        <w:rPr>
          <w:rFonts w:eastAsia="Arial"/>
          <w:color w:val="000000" w:themeColor="text1"/>
          <w:szCs w:val="22"/>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330C4091" w14:textId="529A94EC" w:rsidR="6ED10453" w:rsidRDefault="6ED10453" w:rsidP="00865148">
      <w:pPr>
        <w:pStyle w:val="ListParagraph"/>
        <w:numPr>
          <w:ilvl w:val="0"/>
          <w:numId w:val="34"/>
        </w:numPr>
        <w:spacing w:after="120"/>
        <w:ind w:left="2880" w:hanging="720"/>
        <w:rPr>
          <w:rFonts w:eastAsia="Arial"/>
          <w:color w:val="000000" w:themeColor="text1"/>
          <w:szCs w:val="22"/>
        </w:rPr>
      </w:pPr>
      <w:r w:rsidRPr="6DAD45FF">
        <w:rPr>
          <w:rFonts w:eastAsia="Arial"/>
          <w:color w:val="000000" w:themeColor="text1"/>
          <w:szCs w:val="22"/>
        </w:rPr>
        <w:lastRenderedPageBreak/>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25FC32BF" w14:textId="7E41EF72" w:rsidR="001A73B9" w:rsidRPr="00E91F37" w:rsidRDefault="001A73B9" w:rsidP="004A0068">
      <w:pPr>
        <w:tabs>
          <w:tab w:val="left" w:pos="2946"/>
        </w:tabs>
        <w:rPr>
          <w:szCs w:val="24"/>
        </w:rPr>
      </w:pPr>
    </w:p>
    <w:p w14:paraId="573385DA" w14:textId="70982347" w:rsidR="002D2E9A" w:rsidRPr="00E91F37" w:rsidRDefault="00995251" w:rsidP="001B518B">
      <w:pPr>
        <w:numPr>
          <w:ilvl w:val="0"/>
          <w:numId w:val="6"/>
        </w:numPr>
        <w:ind w:left="1440" w:hanging="720"/>
        <w:rPr>
          <w:b/>
          <w:bCs/>
          <w:szCs w:val="24"/>
        </w:rPr>
      </w:pPr>
      <w:r>
        <w:rPr>
          <w:b/>
          <w:bCs/>
          <w:szCs w:val="24"/>
        </w:rPr>
        <w:t>Utility Verification Form</w:t>
      </w:r>
      <w:r w:rsidR="00EB2868" w:rsidRPr="101EB4DA">
        <w:rPr>
          <w:b/>
          <w:bCs/>
          <w:szCs w:val="24"/>
        </w:rPr>
        <w:t xml:space="preserve"> (Attachment </w:t>
      </w:r>
      <w:r w:rsidR="0803E577" w:rsidRPr="004A0068">
        <w:rPr>
          <w:b/>
          <w:szCs w:val="24"/>
        </w:rPr>
        <w:t>11</w:t>
      </w:r>
      <w:r w:rsidR="00EB2868" w:rsidRPr="101EB4DA">
        <w:rPr>
          <w:b/>
          <w:bCs/>
          <w:szCs w:val="24"/>
        </w:rPr>
        <w:t>)</w:t>
      </w:r>
    </w:p>
    <w:p w14:paraId="1FFF38DF" w14:textId="137C4966" w:rsidR="00B97275" w:rsidRPr="008B34A1" w:rsidRDefault="00130870" w:rsidP="008B34A1">
      <w:pPr>
        <w:ind w:left="1440"/>
        <w:rPr>
          <w:bCs/>
          <w:szCs w:val="24"/>
        </w:rPr>
      </w:pPr>
      <w:r w:rsidRPr="008B34A1">
        <w:rPr>
          <w:bCs/>
          <w:szCs w:val="24"/>
        </w:rPr>
        <w:t>Applicants must complete a Utility Verification Form for each proposed charging station. These forms will be used to evaluate the level of readiness for each proposed charging station. Instructions for completing the Utility Verification Form are included in Attachment 1</w:t>
      </w:r>
      <w:r w:rsidR="00726187">
        <w:rPr>
          <w:bCs/>
          <w:szCs w:val="24"/>
        </w:rPr>
        <w:t>1</w:t>
      </w:r>
      <w:r w:rsidRPr="008B34A1">
        <w:rPr>
          <w:bCs/>
          <w:szCs w:val="24"/>
        </w:rPr>
        <w:t>. Applicants may need assistance from the utility company serving the area where the proposed charging station is located to complete the form. If this is required, Applicants should contact the utility company as soon as possible to understand their timelines to complete the verification form.</w:t>
      </w:r>
    </w:p>
    <w:p w14:paraId="7B556245" w14:textId="77777777" w:rsidR="00325509" w:rsidRPr="00E91F37" w:rsidRDefault="00325509" w:rsidP="003A0DDC">
      <w:pPr>
        <w:ind w:left="1440"/>
        <w:rPr>
          <w:szCs w:val="24"/>
        </w:rPr>
      </w:pPr>
    </w:p>
    <w:p w14:paraId="15A7EC54" w14:textId="395A9731" w:rsidR="00325509" w:rsidRPr="00E91F37" w:rsidRDefault="00325509" w:rsidP="001B518B">
      <w:pPr>
        <w:numPr>
          <w:ilvl w:val="0"/>
          <w:numId w:val="6"/>
        </w:numPr>
        <w:ind w:left="1440" w:hanging="720"/>
        <w:rPr>
          <w:b/>
          <w:bCs/>
          <w:szCs w:val="24"/>
        </w:rPr>
      </w:pPr>
      <w:r w:rsidRPr="101EB4DA">
        <w:rPr>
          <w:b/>
          <w:bCs/>
          <w:szCs w:val="24"/>
        </w:rPr>
        <w:t>Past Performance Reference Form(s)</w:t>
      </w:r>
      <w:r w:rsidR="00EB2868" w:rsidRPr="101EB4DA">
        <w:rPr>
          <w:b/>
          <w:bCs/>
          <w:szCs w:val="24"/>
        </w:rPr>
        <w:t xml:space="preserve"> (Attachment </w:t>
      </w:r>
      <w:r w:rsidR="3ECC960B" w:rsidRPr="00D55B7E">
        <w:rPr>
          <w:b/>
          <w:szCs w:val="24"/>
        </w:rPr>
        <w:t>12</w:t>
      </w:r>
      <w:r w:rsidR="00EB2868" w:rsidRPr="101EB4DA">
        <w:rPr>
          <w:b/>
          <w:bCs/>
          <w:szCs w:val="24"/>
        </w:rPr>
        <w:t>)</w:t>
      </w:r>
    </w:p>
    <w:p w14:paraId="1D529E0C" w14:textId="77777777" w:rsidR="00A20A35" w:rsidRDefault="00325509" w:rsidP="00A20A35">
      <w:pPr>
        <w:ind w:left="1440"/>
        <w:rPr>
          <w:bCs/>
          <w:szCs w:val="24"/>
        </w:rPr>
      </w:pPr>
      <w:r w:rsidRPr="00E91F37">
        <w:rPr>
          <w:bCs/>
          <w:szCs w:val="24"/>
        </w:rPr>
        <w:t>Applicants must complete and submit a separate Past Performance Reference Form for each CEC agreement (e.g., contract, grant or loan) received by the Applicant in the last 10 years</w:t>
      </w:r>
      <w:r w:rsidR="00350FF2">
        <w:rPr>
          <w:bCs/>
          <w:szCs w:val="24"/>
        </w:rPr>
        <w:t>, including ongoing agreements,</w:t>
      </w:r>
      <w:r w:rsidRPr="00E91F37">
        <w:rPr>
          <w:bCs/>
          <w:szCs w:val="24"/>
        </w:rPr>
        <w:t xml:space="preserve"> and the 5 most recent agreements with other public agencies within the past 10 years.</w:t>
      </w:r>
    </w:p>
    <w:p w14:paraId="2AA8332B" w14:textId="77777777" w:rsidR="00A20A35" w:rsidRDefault="00A20A35" w:rsidP="00A20A35">
      <w:pPr>
        <w:ind w:left="1440"/>
        <w:rPr>
          <w:bCs/>
          <w:szCs w:val="24"/>
        </w:rPr>
      </w:pPr>
    </w:p>
    <w:p w14:paraId="5FB6177A" w14:textId="4678CA08" w:rsidR="00F87E4F" w:rsidRDefault="00A5168F" w:rsidP="001B518B">
      <w:pPr>
        <w:numPr>
          <w:ilvl w:val="0"/>
          <w:numId w:val="6"/>
        </w:numPr>
        <w:ind w:left="1440" w:hanging="720"/>
        <w:rPr>
          <w:b/>
          <w:bCs/>
          <w:szCs w:val="24"/>
        </w:rPr>
      </w:pPr>
      <w:r>
        <w:rPr>
          <w:b/>
          <w:bCs/>
          <w:szCs w:val="24"/>
        </w:rPr>
        <w:t xml:space="preserve">Preliminary </w:t>
      </w:r>
      <w:r w:rsidR="0006074D">
        <w:rPr>
          <w:b/>
          <w:bCs/>
          <w:szCs w:val="24"/>
        </w:rPr>
        <w:t>Site Design (Attachment 13</w:t>
      </w:r>
      <w:r w:rsidR="00F2422D">
        <w:rPr>
          <w:b/>
          <w:bCs/>
          <w:szCs w:val="24"/>
        </w:rPr>
        <w:t xml:space="preserve"> - optional</w:t>
      </w:r>
      <w:r w:rsidR="0006074D">
        <w:rPr>
          <w:b/>
          <w:bCs/>
          <w:szCs w:val="24"/>
        </w:rPr>
        <w:t>)</w:t>
      </w:r>
    </w:p>
    <w:p w14:paraId="1E8C5974" w14:textId="4B16D934" w:rsidR="006B693E" w:rsidRPr="008736DF" w:rsidRDefault="006B693E" w:rsidP="006B693E">
      <w:pPr>
        <w:ind w:left="1440"/>
        <w:rPr>
          <w:szCs w:val="24"/>
        </w:rPr>
      </w:pPr>
      <w:r w:rsidRPr="008736DF">
        <w:rPr>
          <w:szCs w:val="24"/>
        </w:rPr>
        <w:t xml:space="preserve">Applicants are encouraged to submit </w:t>
      </w:r>
      <w:r>
        <w:rPr>
          <w:szCs w:val="24"/>
        </w:rPr>
        <w:t>a</w:t>
      </w:r>
      <w:r w:rsidR="00A5168F">
        <w:rPr>
          <w:szCs w:val="24"/>
        </w:rPr>
        <w:t xml:space="preserve"> preliminary</w:t>
      </w:r>
      <w:r w:rsidRPr="0072666B">
        <w:rPr>
          <w:szCs w:val="24"/>
        </w:rPr>
        <w:t xml:space="preserve"> </w:t>
      </w:r>
      <w:r>
        <w:rPr>
          <w:szCs w:val="24"/>
        </w:rPr>
        <w:t>site</w:t>
      </w:r>
      <w:r w:rsidR="006A1DF8">
        <w:rPr>
          <w:szCs w:val="24"/>
        </w:rPr>
        <w:t xml:space="preserve"> design</w:t>
      </w:r>
      <w:r w:rsidRPr="008736DF">
        <w:rPr>
          <w:szCs w:val="24"/>
        </w:rPr>
        <w:t xml:space="preserve"> </w:t>
      </w:r>
      <w:r w:rsidRPr="0072666B">
        <w:rPr>
          <w:szCs w:val="24"/>
        </w:rPr>
        <w:t xml:space="preserve">for each </w:t>
      </w:r>
      <w:r w:rsidR="0049200E">
        <w:rPr>
          <w:szCs w:val="24"/>
        </w:rPr>
        <w:t xml:space="preserve">EV </w:t>
      </w:r>
      <w:r>
        <w:rPr>
          <w:szCs w:val="24"/>
        </w:rPr>
        <w:t>charging station</w:t>
      </w:r>
      <w:r w:rsidRPr="0072666B">
        <w:rPr>
          <w:szCs w:val="24"/>
        </w:rPr>
        <w:t xml:space="preserve">. </w:t>
      </w:r>
      <w:r w:rsidRPr="222F8F57">
        <w:rPr>
          <w:szCs w:val="24"/>
        </w:rPr>
        <w:t xml:space="preserve">If </w:t>
      </w:r>
      <w:r>
        <w:rPr>
          <w:szCs w:val="24"/>
        </w:rPr>
        <w:t xml:space="preserve">a </w:t>
      </w:r>
      <w:r w:rsidR="00A5168F">
        <w:rPr>
          <w:szCs w:val="24"/>
        </w:rPr>
        <w:t xml:space="preserve">preliminary </w:t>
      </w:r>
      <w:r>
        <w:rPr>
          <w:szCs w:val="24"/>
        </w:rPr>
        <w:t>site design is</w:t>
      </w:r>
      <w:r w:rsidRPr="222F8F57">
        <w:rPr>
          <w:szCs w:val="24"/>
        </w:rPr>
        <w:t xml:space="preserve"> submitted </w:t>
      </w:r>
      <w:r>
        <w:rPr>
          <w:szCs w:val="24"/>
        </w:rPr>
        <w:t xml:space="preserve">for each proposed </w:t>
      </w:r>
      <w:r w:rsidR="0049200E">
        <w:rPr>
          <w:szCs w:val="24"/>
        </w:rPr>
        <w:t xml:space="preserve">EV </w:t>
      </w:r>
      <w:r>
        <w:rPr>
          <w:szCs w:val="24"/>
        </w:rPr>
        <w:t xml:space="preserve">charging station </w:t>
      </w:r>
      <w:r w:rsidRPr="222F8F57">
        <w:rPr>
          <w:szCs w:val="24"/>
        </w:rPr>
        <w:t>and includes all the required elements, the project will be evaluated more favorably.</w:t>
      </w:r>
    </w:p>
    <w:p w14:paraId="0950769C" w14:textId="77777777" w:rsidR="006B693E" w:rsidRPr="008736DF" w:rsidRDefault="006B693E" w:rsidP="006B693E">
      <w:pPr>
        <w:pStyle w:val="ListParagraph"/>
        <w:ind w:left="1440"/>
        <w:rPr>
          <w:szCs w:val="24"/>
        </w:rPr>
      </w:pPr>
    </w:p>
    <w:p w14:paraId="6EE2EC60" w14:textId="7F21BA97" w:rsidR="006B693E" w:rsidRPr="008736DF" w:rsidRDefault="006B693E" w:rsidP="006B693E">
      <w:pPr>
        <w:pStyle w:val="ListParagraph"/>
        <w:ind w:left="1440"/>
        <w:rPr>
          <w:szCs w:val="24"/>
        </w:rPr>
      </w:pPr>
      <w:r w:rsidRPr="0072666B">
        <w:rPr>
          <w:szCs w:val="24"/>
        </w:rPr>
        <w:t xml:space="preserve">The </w:t>
      </w:r>
      <w:r w:rsidR="008C7F51">
        <w:rPr>
          <w:szCs w:val="24"/>
        </w:rPr>
        <w:t xml:space="preserve">preliminary </w:t>
      </w:r>
      <w:r w:rsidR="00BF4623">
        <w:rPr>
          <w:szCs w:val="24"/>
        </w:rPr>
        <w:t>site design</w:t>
      </w:r>
      <w:r w:rsidRPr="0072666B">
        <w:rPr>
          <w:szCs w:val="24"/>
        </w:rPr>
        <w:t xml:space="preserve"> </w:t>
      </w:r>
      <w:r w:rsidR="00D70D99">
        <w:rPr>
          <w:szCs w:val="24"/>
        </w:rPr>
        <w:t>must include</w:t>
      </w:r>
      <w:r w:rsidRPr="0072666B">
        <w:rPr>
          <w:szCs w:val="24"/>
        </w:rPr>
        <w:t xml:space="preserve"> the following</w:t>
      </w:r>
      <w:r w:rsidR="00371DD6">
        <w:rPr>
          <w:szCs w:val="24"/>
        </w:rPr>
        <w:t xml:space="preserve"> at </w:t>
      </w:r>
      <w:r w:rsidR="00137C27">
        <w:rPr>
          <w:szCs w:val="24"/>
        </w:rPr>
        <w:t xml:space="preserve">a </w:t>
      </w:r>
      <w:r w:rsidR="00371DD6">
        <w:rPr>
          <w:szCs w:val="24"/>
        </w:rPr>
        <w:t>minimum</w:t>
      </w:r>
      <w:r w:rsidRPr="0072666B">
        <w:rPr>
          <w:szCs w:val="24"/>
        </w:rPr>
        <w:t>:</w:t>
      </w:r>
      <w:r w:rsidRPr="008736DF">
        <w:rPr>
          <w:szCs w:val="24"/>
        </w:rPr>
        <w:t xml:space="preserve"> </w:t>
      </w:r>
    </w:p>
    <w:p w14:paraId="12931770" w14:textId="1ECFB85D" w:rsidR="006B693E" w:rsidRPr="0072666B" w:rsidRDefault="006B693E" w:rsidP="00454531">
      <w:pPr>
        <w:pStyle w:val="ListParagraph"/>
        <w:numPr>
          <w:ilvl w:val="0"/>
          <w:numId w:val="83"/>
        </w:numPr>
        <w:ind w:hanging="720"/>
        <w:rPr>
          <w:szCs w:val="24"/>
        </w:rPr>
      </w:pPr>
      <w:r w:rsidRPr="0072666B">
        <w:rPr>
          <w:szCs w:val="24"/>
        </w:rPr>
        <w:t xml:space="preserve">Address of the </w:t>
      </w:r>
      <w:r w:rsidR="0049200E">
        <w:rPr>
          <w:szCs w:val="24"/>
        </w:rPr>
        <w:t xml:space="preserve">EV </w:t>
      </w:r>
      <w:r w:rsidRPr="0072666B">
        <w:rPr>
          <w:szCs w:val="24"/>
        </w:rPr>
        <w:t xml:space="preserve">charging station </w:t>
      </w:r>
    </w:p>
    <w:p w14:paraId="2FF6E134" w14:textId="77777777" w:rsidR="006B693E" w:rsidRPr="0072666B" w:rsidRDefault="006B693E" w:rsidP="00454531">
      <w:pPr>
        <w:pStyle w:val="ListParagraph"/>
        <w:numPr>
          <w:ilvl w:val="0"/>
          <w:numId w:val="83"/>
        </w:numPr>
        <w:ind w:hanging="720"/>
        <w:rPr>
          <w:szCs w:val="24"/>
        </w:rPr>
      </w:pPr>
      <w:r w:rsidRPr="0072666B">
        <w:rPr>
          <w:szCs w:val="24"/>
        </w:rPr>
        <w:t>Map of the charging station showing the following:</w:t>
      </w:r>
    </w:p>
    <w:p w14:paraId="4EAEEC33" w14:textId="6A4CDF36" w:rsidR="006B693E" w:rsidRPr="00FC15CF" w:rsidRDefault="006B693E" w:rsidP="00454531">
      <w:pPr>
        <w:pStyle w:val="ListParagraph"/>
        <w:numPr>
          <w:ilvl w:val="1"/>
          <w:numId w:val="83"/>
        </w:numPr>
        <w:ind w:hanging="720"/>
        <w:rPr>
          <w:szCs w:val="24"/>
        </w:rPr>
      </w:pPr>
      <w:r w:rsidRPr="0072666B">
        <w:rPr>
          <w:szCs w:val="24"/>
        </w:rPr>
        <w:t>Location of all existing</w:t>
      </w:r>
      <w:r w:rsidR="0049200E">
        <w:rPr>
          <w:szCs w:val="24"/>
        </w:rPr>
        <w:t xml:space="preserve"> charging</w:t>
      </w:r>
      <w:r w:rsidRPr="0072666B">
        <w:rPr>
          <w:szCs w:val="24"/>
        </w:rPr>
        <w:t xml:space="preserve"> ports at the charging station</w:t>
      </w:r>
      <w:r w:rsidR="00DE2E8B">
        <w:rPr>
          <w:szCs w:val="24"/>
        </w:rPr>
        <w:t xml:space="preserve"> </w:t>
      </w:r>
      <w:r w:rsidRPr="0072666B">
        <w:rPr>
          <w:szCs w:val="24"/>
        </w:rPr>
        <w:t>(if applicable)</w:t>
      </w:r>
      <w:r w:rsidR="0049200E">
        <w:rPr>
          <w:szCs w:val="24"/>
        </w:rPr>
        <w:t>. Specify the power delivery rate for each existing port (if applicable).</w:t>
      </w:r>
    </w:p>
    <w:p w14:paraId="27A83A98" w14:textId="518359CF" w:rsidR="006B693E" w:rsidRPr="0072666B" w:rsidRDefault="006B693E" w:rsidP="00454531">
      <w:pPr>
        <w:pStyle w:val="ListParagraph"/>
        <w:numPr>
          <w:ilvl w:val="1"/>
          <w:numId w:val="83"/>
        </w:numPr>
        <w:ind w:hanging="720"/>
        <w:rPr>
          <w:szCs w:val="24"/>
        </w:rPr>
      </w:pPr>
      <w:r w:rsidRPr="0072666B">
        <w:rPr>
          <w:szCs w:val="24"/>
        </w:rPr>
        <w:t xml:space="preserve">Location of all ports proposed to </w:t>
      </w:r>
      <w:r w:rsidR="0049200E">
        <w:rPr>
          <w:szCs w:val="24"/>
        </w:rPr>
        <w:t>be installed</w:t>
      </w:r>
      <w:r w:rsidRPr="0072666B">
        <w:rPr>
          <w:szCs w:val="24"/>
        </w:rPr>
        <w:t xml:space="preserve">. Specify the power delivery rating planned for each </w:t>
      </w:r>
      <w:r w:rsidR="0049200E">
        <w:rPr>
          <w:szCs w:val="24"/>
        </w:rPr>
        <w:t>charging</w:t>
      </w:r>
      <w:r w:rsidRPr="0072666B">
        <w:rPr>
          <w:szCs w:val="24"/>
        </w:rPr>
        <w:t xml:space="preserve"> port.</w:t>
      </w:r>
    </w:p>
    <w:p w14:paraId="7BDC996E" w14:textId="6C772E45" w:rsidR="006B693E" w:rsidRPr="0072666B" w:rsidRDefault="006B693E" w:rsidP="00454531">
      <w:pPr>
        <w:pStyle w:val="ListParagraph"/>
        <w:numPr>
          <w:ilvl w:val="1"/>
          <w:numId w:val="83"/>
        </w:numPr>
        <w:ind w:hanging="720"/>
        <w:rPr>
          <w:szCs w:val="24"/>
        </w:rPr>
      </w:pPr>
      <w:r w:rsidRPr="0072666B">
        <w:rPr>
          <w:szCs w:val="24"/>
        </w:rPr>
        <w:t>Location of ADA accessible ports (if applicable)</w:t>
      </w:r>
      <w:r w:rsidR="00A13A04">
        <w:rPr>
          <w:szCs w:val="24"/>
        </w:rPr>
        <w:t>.</w:t>
      </w:r>
      <w:r w:rsidRPr="0072666B">
        <w:rPr>
          <w:szCs w:val="24"/>
        </w:rPr>
        <w:t xml:space="preserve"> </w:t>
      </w:r>
    </w:p>
    <w:p w14:paraId="58F70459" w14:textId="04FE72FF" w:rsidR="006B693E" w:rsidRDefault="006B693E" w:rsidP="00454531">
      <w:pPr>
        <w:pStyle w:val="ListParagraph"/>
        <w:numPr>
          <w:ilvl w:val="1"/>
          <w:numId w:val="83"/>
        </w:numPr>
        <w:ind w:hanging="720"/>
        <w:rPr>
          <w:szCs w:val="24"/>
        </w:rPr>
      </w:pPr>
      <w:r w:rsidRPr="0072666B">
        <w:rPr>
          <w:szCs w:val="24"/>
        </w:rPr>
        <w:t>Travel path (ingress/egress) from the charging station</w:t>
      </w:r>
      <w:r w:rsidR="00A13A04">
        <w:rPr>
          <w:szCs w:val="24"/>
        </w:rPr>
        <w:t>.</w:t>
      </w:r>
    </w:p>
    <w:p w14:paraId="176EC00C" w14:textId="77777777" w:rsidR="006B693E" w:rsidRDefault="006B693E" w:rsidP="006B693E">
      <w:pPr>
        <w:rPr>
          <w:szCs w:val="24"/>
        </w:rPr>
      </w:pPr>
    </w:p>
    <w:p w14:paraId="24C9E5E5" w14:textId="26B874AF" w:rsidR="00AC47B4" w:rsidRPr="0038136A" w:rsidRDefault="006B693E" w:rsidP="0038136A">
      <w:pPr>
        <w:ind w:left="1440"/>
      </w:pPr>
      <w:r>
        <w:rPr>
          <w:szCs w:val="24"/>
        </w:rPr>
        <w:t>P</w:t>
      </w:r>
      <w:r w:rsidRPr="79E577B0">
        <w:rPr>
          <w:szCs w:val="24"/>
        </w:rPr>
        <w:t>lease</w:t>
      </w:r>
      <w:r w:rsidRPr="02E5AEF6">
        <w:rPr>
          <w:szCs w:val="24"/>
        </w:rPr>
        <w:t xml:space="preserve"> </w:t>
      </w:r>
      <w:r w:rsidRPr="2FDE4417">
        <w:rPr>
          <w:szCs w:val="24"/>
        </w:rPr>
        <w:t xml:space="preserve">consolidate </w:t>
      </w:r>
      <w:r>
        <w:rPr>
          <w:szCs w:val="24"/>
        </w:rPr>
        <w:t xml:space="preserve">all </w:t>
      </w:r>
      <w:r w:rsidR="008C7F51">
        <w:rPr>
          <w:szCs w:val="24"/>
        </w:rPr>
        <w:t xml:space="preserve">preliminary </w:t>
      </w:r>
      <w:r w:rsidR="006A1DF8">
        <w:rPr>
          <w:szCs w:val="24"/>
        </w:rPr>
        <w:t>site designs</w:t>
      </w:r>
      <w:r>
        <w:rPr>
          <w:szCs w:val="24"/>
        </w:rPr>
        <w:t xml:space="preserve"> </w:t>
      </w:r>
      <w:r w:rsidRPr="2FDE4417">
        <w:rPr>
          <w:szCs w:val="24"/>
        </w:rPr>
        <w:t xml:space="preserve">into one PDF. </w:t>
      </w:r>
    </w:p>
    <w:p w14:paraId="0DF9906C" w14:textId="77777777" w:rsidR="002F7BC3" w:rsidRDefault="002F7BC3" w:rsidP="0038136A">
      <w:pPr>
        <w:ind w:left="1440"/>
        <w:rPr>
          <w:b/>
          <w:bCs/>
          <w:szCs w:val="24"/>
        </w:rPr>
      </w:pPr>
    </w:p>
    <w:p w14:paraId="10A256B7" w14:textId="5BC736C3" w:rsidR="0006074D" w:rsidRDefault="0006074D" w:rsidP="001B518B">
      <w:pPr>
        <w:numPr>
          <w:ilvl w:val="0"/>
          <w:numId w:val="6"/>
        </w:numPr>
        <w:ind w:left="1440" w:hanging="720"/>
        <w:rPr>
          <w:b/>
          <w:bCs/>
          <w:szCs w:val="24"/>
        </w:rPr>
      </w:pPr>
      <w:r w:rsidRPr="0038136A">
        <w:rPr>
          <w:b/>
          <w:bCs/>
          <w:szCs w:val="24"/>
        </w:rPr>
        <w:t>National Environmental Policy Act Preliminary Environmental Study</w:t>
      </w:r>
      <w:r w:rsidR="00AC2682">
        <w:rPr>
          <w:b/>
          <w:bCs/>
          <w:szCs w:val="24"/>
        </w:rPr>
        <w:t xml:space="preserve"> </w:t>
      </w:r>
      <w:r w:rsidRPr="0038136A">
        <w:rPr>
          <w:b/>
          <w:bCs/>
          <w:szCs w:val="24"/>
        </w:rPr>
        <w:t>Form</w:t>
      </w:r>
      <w:r w:rsidR="00AC2682">
        <w:rPr>
          <w:b/>
          <w:bCs/>
          <w:szCs w:val="24"/>
        </w:rPr>
        <w:t xml:space="preserve"> (NEPA PES Form)</w:t>
      </w:r>
      <w:r w:rsidR="00002A82">
        <w:rPr>
          <w:b/>
          <w:bCs/>
          <w:szCs w:val="24"/>
        </w:rPr>
        <w:t xml:space="preserve"> </w:t>
      </w:r>
      <w:r w:rsidRPr="0038136A">
        <w:rPr>
          <w:b/>
          <w:bCs/>
          <w:szCs w:val="24"/>
        </w:rPr>
        <w:t>(Attachment 14)</w:t>
      </w:r>
    </w:p>
    <w:p w14:paraId="13164722" w14:textId="157D63EB" w:rsidR="00257A7B" w:rsidRDefault="00FF1F94" w:rsidP="00FF1F94">
      <w:pPr>
        <w:pStyle w:val="ListParagraph"/>
        <w:ind w:left="1440"/>
        <w:rPr>
          <w:szCs w:val="24"/>
        </w:rPr>
      </w:pPr>
      <w:r w:rsidRPr="4541FA84">
        <w:rPr>
          <w:szCs w:val="24"/>
        </w:rPr>
        <w:t>Applicants must complete one NEPA PES form that covers all proposed project(s) (</w:t>
      </w:r>
      <w:r w:rsidR="00257A7B">
        <w:rPr>
          <w:szCs w:val="24"/>
        </w:rPr>
        <w:t xml:space="preserve">EV </w:t>
      </w:r>
      <w:r w:rsidRPr="4541FA84">
        <w:rPr>
          <w:szCs w:val="24"/>
        </w:rPr>
        <w:t xml:space="preserve">charging stations). </w:t>
      </w:r>
      <w:r w:rsidR="009F24ED" w:rsidRPr="009F24ED">
        <w:rPr>
          <w:szCs w:val="24"/>
        </w:rPr>
        <w:t xml:space="preserve">If needed, Applicants may submit multiple </w:t>
      </w:r>
      <w:r w:rsidR="00444B38">
        <w:rPr>
          <w:szCs w:val="24"/>
        </w:rPr>
        <w:t>NEPA PES forms, one per EV charging station</w:t>
      </w:r>
      <w:r w:rsidR="009F24ED" w:rsidRPr="009F24ED">
        <w:rPr>
          <w:szCs w:val="24"/>
        </w:rPr>
        <w:t xml:space="preserve">. If multiple </w:t>
      </w:r>
      <w:r w:rsidR="00444B38">
        <w:rPr>
          <w:szCs w:val="24"/>
        </w:rPr>
        <w:t>NEPA PES forms</w:t>
      </w:r>
      <w:r w:rsidR="009F24ED" w:rsidRPr="009F24ED">
        <w:rPr>
          <w:szCs w:val="24"/>
        </w:rPr>
        <w:t xml:space="preserve"> are needed, please consolidate them into one PDF. </w:t>
      </w:r>
    </w:p>
    <w:p w14:paraId="5F481D8A" w14:textId="1D103D8F" w:rsidR="00FF1F94" w:rsidRPr="007D0308" w:rsidRDefault="005A6387" w:rsidP="00FF1F94">
      <w:pPr>
        <w:pStyle w:val="ListParagraph"/>
        <w:ind w:left="1440"/>
        <w:rPr>
          <w:szCs w:val="24"/>
        </w:rPr>
      </w:pPr>
      <w:r>
        <w:rPr>
          <w:szCs w:val="24"/>
        </w:rPr>
        <w:lastRenderedPageBreak/>
        <w:t>Designated sections of t</w:t>
      </w:r>
      <w:r w:rsidR="00FF1F94" w:rsidRPr="4541FA84">
        <w:rPr>
          <w:szCs w:val="24"/>
        </w:rPr>
        <w:t>he NEPA PES form should be completed in as much detail as possible</w:t>
      </w:r>
      <w:r w:rsidR="00E85526">
        <w:rPr>
          <w:szCs w:val="24"/>
        </w:rPr>
        <w:t xml:space="preserve"> as specified </w:t>
      </w:r>
      <w:r w:rsidR="00961655">
        <w:rPr>
          <w:szCs w:val="24"/>
        </w:rPr>
        <w:t>below</w:t>
      </w:r>
      <w:r w:rsidR="00FF1F94" w:rsidRPr="4541FA84">
        <w:rPr>
          <w:szCs w:val="24"/>
        </w:rPr>
        <w:t xml:space="preserve">. This </w:t>
      </w:r>
      <w:r w:rsidR="00E16F38">
        <w:rPr>
          <w:szCs w:val="24"/>
        </w:rPr>
        <w:t>form</w:t>
      </w:r>
      <w:r w:rsidR="00FF1F94" w:rsidRPr="4541FA84">
        <w:rPr>
          <w:szCs w:val="24"/>
        </w:rPr>
        <w:t xml:space="preserve"> will help Applicants, the CEC, and Caltrans determine NEPA compliance obligations. </w:t>
      </w:r>
    </w:p>
    <w:p w14:paraId="6CA22AAB" w14:textId="77777777" w:rsidR="00FF1F94" w:rsidRPr="007D0308" w:rsidRDefault="00FF1F94" w:rsidP="00FF1F94">
      <w:pPr>
        <w:pStyle w:val="ListParagraph"/>
        <w:ind w:left="1440"/>
        <w:rPr>
          <w:szCs w:val="24"/>
        </w:rPr>
      </w:pPr>
    </w:p>
    <w:p w14:paraId="244BE5C6" w14:textId="321701E7" w:rsidR="00FF1F94" w:rsidRPr="007D0308" w:rsidRDefault="00FF1F94" w:rsidP="00FF1F94">
      <w:pPr>
        <w:pStyle w:val="ListParagraph"/>
        <w:ind w:left="1440"/>
        <w:rPr>
          <w:szCs w:val="24"/>
        </w:rPr>
      </w:pPr>
      <w:r w:rsidRPr="007D0308">
        <w:rPr>
          <w:szCs w:val="24"/>
        </w:rPr>
        <w:t xml:space="preserve">The form will be used to help evaluate the Project Readiness evaluation criteria in this </w:t>
      </w:r>
      <w:r w:rsidRPr="00A25E64">
        <w:rPr>
          <w:szCs w:val="24"/>
        </w:rPr>
        <w:t>solicitation (see Section IV.E.</w:t>
      </w:r>
      <w:r w:rsidR="00D32156">
        <w:rPr>
          <w:szCs w:val="24"/>
        </w:rPr>
        <w:t>2</w:t>
      </w:r>
      <w:r w:rsidRPr="00A25E64">
        <w:rPr>
          <w:szCs w:val="24"/>
        </w:rPr>
        <w:t>).</w:t>
      </w:r>
      <w:r w:rsidRPr="007D0308">
        <w:rPr>
          <w:szCs w:val="24"/>
        </w:rPr>
        <w:t xml:space="preserve"> Applications that are proposed for awards and become formal grant agreements will be required to complete the full NEPA PES form and submission process during the term of their executed agreement.</w:t>
      </w:r>
    </w:p>
    <w:p w14:paraId="0EBA95F4" w14:textId="77777777" w:rsidR="00FF1F94" w:rsidRPr="007D0308" w:rsidRDefault="00FF1F94" w:rsidP="00FF1F94">
      <w:pPr>
        <w:pStyle w:val="ListParagraph"/>
        <w:ind w:left="1440"/>
        <w:rPr>
          <w:szCs w:val="24"/>
        </w:rPr>
      </w:pPr>
    </w:p>
    <w:p w14:paraId="27176DE3" w14:textId="77777777" w:rsidR="00FF1F94" w:rsidRPr="007D0308" w:rsidRDefault="00FF1F94" w:rsidP="00FF1F94">
      <w:pPr>
        <w:pStyle w:val="ListParagraph"/>
        <w:ind w:left="1440"/>
        <w:rPr>
          <w:szCs w:val="24"/>
        </w:rPr>
      </w:pPr>
      <w:r w:rsidRPr="007D0308">
        <w:rPr>
          <w:szCs w:val="24"/>
        </w:rPr>
        <w:t xml:space="preserve">Applicants should review </w:t>
      </w:r>
      <w:hyperlink r:id="rId83" w:history="1">
        <w:r w:rsidRPr="007D0308">
          <w:rPr>
            <w:rStyle w:val="Hyperlink"/>
            <w:szCs w:val="24"/>
          </w:rPr>
          <w:t>Exhibit 6-B: Instructions for Completing the Preliminary Environmental Study (PES) Form</w:t>
        </w:r>
      </w:hyperlink>
      <w:r w:rsidRPr="007D0308">
        <w:rPr>
          <w:szCs w:val="24"/>
        </w:rPr>
        <w:t xml:space="preserve"> found at https://dot.ca.gov/-/media/dot-media/programs/local-assistance/documents/lapm/c06/06b.pdf to complete the designated sections. </w:t>
      </w:r>
    </w:p>
    <w:p w14:paraId="48DF5270" w14:textId="77777777" w:rsidR="00FF1F94" w:rsidRPr="007D0308" w:rsidRDefault="00FF1F94" w:rsidP="00FF1F94">
      <w:pPr>
        <w:pStyle w:val="ListParagraph"/>
        <w:ind w:left="1440"/>
        <w:rPr>
          <w:szCs w:val="24"/>
        </w:rPr>
      </w:pPr>
    </w:p>
    <w:p w14:paraId="3A6A7CA3" w14:textId="77777777" w:rsidR="00FF1F94" w:rsidRPr="007D0308" w:rsidRDefault="00FF1F94" w:rsidP="00FF1F94">
      <w:pPr>
        <w:pStyle w:val="ListParagraph"/>
        <w:ind w:left="1440"/>
        <w:rPr>
          <w:szCs w:val="24"/>
        </w:rPr>
      </w:pPr>
      <w:r w:rsidRPr="007D0308">
        <w:rPr>
          <w:szCs w:val="24"/>
        </w:rPr>
        <w:t>The designated sections of the NEPA PES Form that Applicants must complete are as follows:</w:t>
      </w:r>
    </w:p>
    <w:p w14:paraId="223C4CE9" w14:textId="77777777" w:rsidR="00FF1F94" w:rsidRPr="007D0308" w:rsidRDefault="00FF1F94" w:rsidP="00FF1F94">
      <w:pPr>
        <w:pStyle w:val="ListParagraph"/>
        <w:ind w:left="1440"/>
        <w:rPr>
          <w:szCs w:val="24"/>
        </w:rPr>
      </w:pPr>
    </w:p>
    <w:p w14:paraId="7E5F5C5C" w14:textId="77777777" w:rsidR="00FF1F94" w:rsidRPr="007D0308" w:rsidRDefault="00FF1F94" w:rsidP="00164AC5">
      <w:pPr>
        <w:pStyle w:val="ListParagraph"/>
        <w:numPr>
          <w:ilvl w:val="0"/>
          <w:numId w:val="82"/>
        </w:numPr>
        <w:ind w:hanging="720"/>
        <w:rPr>
          <w:szCs w:val="24"/>
        </w:rPr>
      </w:pPr>
      <w:r w:rsidRPr="007D0308">
        <w:rPr>
          <w:szCs w:val="24"/>
        </w:rPr>
        <w:t>Page 1</w:t>
      </w:r>
    </w:p>
    <w:p w14:paraId="2B672DD5" w14:textId="77777777" w:rsidR="00FF1F94" w:rsidRPr="007D0308" w:rsidRDefault="00FF1F94" w:rsidP="00164AC5">
      <w:pPr>
        <w:pStyle w:val="ListParagraph"/>
        <w:numPr>
          <w:ilvl w:val="1"/>
          <w:numId w:val="82"/>
        </w:numPr>
        <w:ind w:hanging="720"/>
        <w:rPr>
          <w:szCs w:val="24"/>
        </w:rPr>
      </w:pPr>
      <w:r w:rsidRPr="007D0308">
        <w:rPr>
          <w:szCs w:val="24"/>
        </w:rPr>
        <w:t>Under “Project Description as Shown in RTP and FSTIP,” enter the Project Title that the Applicant has entered into ECAMS.</w:t>
      </w:r>
    </w:p>
    <w:p w14:paraId="30561A53" w14:textId="77777777" w:rsidR="00FF1F94" w:rsidRPr="007D0308" w:rsidRDefault="00FF1F94" w:rsidP="00164AC5">
      <w:pPr>
        <w:pStyle w:val="ListParagraph"/>
        <w:numPr>
          <w:ilvl w:val="1"/>
          <w:numId w:val="82"/>
        </w:numPr>
        <w:ind w:hanging="720"/>
        <w:rPr>
          <w:szCs w:val="24"/>
        </w:rPr>
      </w:pPr>
      <w:r w:rsidRPr="007D0308">
        <w:rPr>
          <w:szCs w:val="24"/>
        </w:rPr>
        <w:t>Check the appropriate boxes under Preliminary Design Information.</w:t>
      </w:r>
    </w:p>
    <w:p w14:paraId="723CA2BD" w14:textId="77777777" w:rsidR="00FF1F94" w:rsidRPr="007D0308" w:rsidRDefault="00FF1F94" w:rsidP="00164AC5">
      <w:pPr>
        <w:pStyle w:val="ListParagraph"/>
        <w:numPr>
          <w:ilvl w:val="0"/>
          <w:numId w:val="82"/>
        </w:numPr>
        <w:ind w:hanging="720"/>
        <w:rPr>
          <w:szCs w:val="24"/>
        </w:rPr>
      </w:pPr>
      <w:r w:rsidRPr="007D0308">
        <w:rPr>
          <w:szCs w:val="24"/>
        </w:rPr>
        <w:t>Pages 2 – 9</w:t>
      </w:r>
    </w:p>
    <w:p w14:paraId="1B3C1C88" w14:textId="77777777" w:rsidR="00FF1F94" w:rsidRPr="007D0308" w:rsidRDefault="00FF1F94" w:rsidP="00164AC5">
      <w:pPr>
        <w:pStyle w:val="ListParagraph"/>
        <w:numPr>
          <w:ilvl w:val="1"/>
          <w:numId w:val="82"/>
        </w:numPr>
        <w:ind w:hanging="720"/>
        <w:rPr>
          <w:szCs w:val="24"/>
        </w:rPr>
      </w:pPr>
      <w:r w:rsidRPr="007D0308">
        <w:rPr>
          <w:szCs w:val="24"/>
        </w:rPr>
        <w:t>Check the appropriate boxes for parts A. Potential Environmental Effects, B. Required Technical Studies and Analyses, C. Coordination, D. Anticipated Actions/Permits/Approvals, E. Preliminary Environmental Document Classification (NEPA), and F. Public Availability and Public Hearing.</w:t>
      </w:r>
    </w:p>
    <w:p w14:paraId="6C1F4839" w14:textId="77777777" w:rsidR="00FF1F94" w:rsidRPr="007D0308" w:rsidRDefault="00FF1F94" w:rsidP="00164AC5">
      <w:pPr>
        <w:pStyle w:val="ListParagraph"/>
        <w:keepNext/>
        <w:numPr>
          <w:ilvl w:val="0"/>
          <w:numId w:val="82"/>
        </w:numPr>
        <w:ind w:hanging="720"/>
        <w:rPr>
          <w:szCs w:val="24"/>
        </w:rPr>
      </w:pPr>
      <w:r w:rsidRPr="007D0308">
        <w:rPr>
          <w:szCs w:val="24"/>
        </w:rPr>
        <w:t>Pages 11-12</w:t>
      </w:r>
    </w:p>
    <w:p w14:paraId="0722A31A" w14:textId="413C0D06" w:rsidR="00FF1F94" w:rsidRPr="007D0308" w:rsidRDefault="00FF1F94" w:rsidP="00164AC5">
      <w:pPr>
        <w:pStyle w:val="ListParagraph"/>
        <w:numPr>
          <w:ilvl w:val="1"/>
          <w:numId w:val="82"/>
        </w:numPr>
        <w:ind w:hanging="720"/>
        <w:rPr>
          <w:szCs w:val="24"/>
        </w:rPr>
      </w:pPr>
      <w:r w:rsidRPr="007D0308">
        <w:rPr>
          <w:szCs w:val="24"/>
        </w:rPr>
        <w:t xml:space="preserve">Explanations for any items in Part A are at Applicants’ discretion. Applicants may use this area of the form to clarify answers or to provide assumptions or rationale for answers as Applicant sees fit. Explaining all items as described in </w:t>
      </w:r>
      <w:r>
        <w:rPr>
          <w:szCs w:val="24"/>
        </w:rPr>
        <w:t>the NEPA PES Form</w:t>
      </w:r>
      <w:r w:rsidRPr="007D0308">
        <w:rPr>
          <w:szCs w:val="24"/>
        </w:rPr>
        <w:t xml:space="preserve"> is not required</w:t>
      </w:r>
      <w:r w:rsidR="0035119F">
        <w:rPr>
          <w:szCs w:val="24"/>
        </w:rPr>
        <w:t xml:space="preserve"> </w:t>
      </w:r>
      <w:r w:rsidR="002838EE">
        <w:rPr>
          <w:szCs w:val="24"/>
        </w:rPr>
        <w:t>at the time of application, but will need to be fully completed later, if awarded</w:t>
      </w:r>
      <w:r w:rsidRPr="007D0308">
        <w:rPr>
          <w:szCs w:val="24"/>
        </w:rPr>
        <w:t>.</w:t>
      </w:r>
    </w:p>
    <w:p w14:paraId="56D7E19A" w14:textId="77777777" w:rsidR="00FF1F94" w:rsidRPr="007D0308" w:rsidRDefault="00FF1F94" w:rsidP="00FF1F94">
      <w:pPr>
        <w:pStyle w:val="ListParagraph"/>
        <w:ind w:left="2880"/>
        <w:rPr>
          <w:szCs w:val="24"/>
        </w:rPr>
      </w:pPr>
    </w:p>
    <w:p w14:paraId="6D02FCD2" w14:textId="49335249" w:rsidR="00B818AA" w:rsidRPr="00D67179" w:rsidRDefault="00FF1F94" w:rsidP="00D67179">
      <w:pPr>
        <w:pStyle w:val="ListParagraph"/>
        <w:ind w:left="1440"/>
      </w:pPr>
      <w:r>
        <w:t xml:space="preserve">Reservation of right to cancel proposed award: In addition to any other right reserved to it under this solicitation or that it otherwise has, if the CEC determines, in its sole and absolute discretion, that the NEPA review associated with a proposed project would not likely be completed prior to the encumbrance deadline referenced above, and that the CEC’s ability to meet its encumbrance deadline or any other </w:t>
      </w:r>
      <w:r w:rsidR="2068B82E">
        <w:t>NEVI</w:t>
      </w:r>
      <w:r>
        <w:t xml:space="preserve">-related deadline may thereby be jeopardized, the CEC may cancel a proposed award and award funds to the next highest scoring project, regardless of the originally </w:t>
      </w:r>
      <w:r>
        <w:lastRenderedPageBreak/>
        <w:t>proposed Applicant’s diligence in submitting information and materials for NEPA review.</w:t>
      </w:r>
    </w:p>
    <w:p w14:paraId="2100E48E" w14:textId="77777777" w:rsidR="00B20929" w:rsidRDefault="00B20929" w:rsidP="00A20A35">
      <w:pPr>
        <w:ind w:left="1440"/>
        <w:rPr>
          <w:bCs/>
          <w:szCs w:val="24"/>
        </w:rPr>
      </w:pPr>
    </w:p>
    <w:p w14:paraId="3FE4C1AA" w14:textId="07C3E04A" w:rsidR="00A20A35" w:rsidRPr="00A20A35" w:rsidRDefault="00A20A35" w:rsidP="001B518B">
      <w:pPr>
        <w:pStyle w:val="ListParagraph"/>
        <w:numPr>
          <w:ilvl w:val="0"/>
          <w:numId w:val="6"/>
        </w:numPr>
        <w:ind w:left="806" w:hanging="86"/>
        <w:rPr>
          <w:b/>
          <w:bCs/>
          <w:szCs w:val="24"/>
        </w:rPr>
      </w:pPr>
      <w:r w:rsidRPr="101EB4DA">
        <w:rPr>
          <w:b/>
          <w:bCs/>
          <w:szCs w:val="24"/>
        </w:rPr>
        <w:t xml:space="preserve">Applicant Declaration (Attachment </w:t>
      </w:r>
      <w:r w:rsidR="3D361918" w:rsidRPr="008F0C31">
        <w:rPr>
          <w:b/>
          <w:bCs/>
          <w:szCs w:val="24"/>
        </w:rPr>
        <w:t>1</w:t>
      </w:r>
      <w:r w:rsidR="00E71C77">
        <w:rPr>
          <w:b/>
          <w:bCs/>
          <w:szCs w:val="24"/>
        </w:rPr>
        <w:t>5</w:t>
      </w:r>
      <w:r w:rsidR="5D7AC32D" w:rsidRPr="101EB4DA">
        <w:rPr>
          <w:b/>
          <w:bCs/>
          <w:szCs w:val="24"/>
        </w:rPr>
        <w:t>)</w:t>
      </w:r>
    </w:p>
    <w:p w14:paraId="25AC24CC" w14:textId="3DCC1B3D" w:rsidR="2435A651" w:rsidRPr="002C03D0" w:rsidRDefault="240153AD" w:rsidP="2435A651">
      <w:pPr>
        <w:ind w:left="1440"/>
        <w:rPr>
          <w:szCs w:val="24"/>
        </w:rPr>
      </w:pPr>
      <w:r w:rsidRPr="2435A651">
        <w:rPr>
          <w:szCs w:val="24"/>
        </w:rPr>
        <w:t xml:space="preserve">This form requests the </w:t>
      </w:r>
      <w:r w:rsidR="5FA51FF3" w:rsidRPr="2435A651">
        <w:rPr>
          <w:szCs w:val="24"/>
        </w:rPr>
        <w:t>A</w:t>
      </w:r>
      <w:r w:rsidRPr="2435A651">
        <w:rPr>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7A213E07" w:rsidRPr="2435A651">
        <w:rPr>
          <w:szCs w:val="24"/>
        </w:rPr>
        <w:t>CEC</w:t>
      </w:r>
      <w:r w:rsidRPr="2435A651">
        <w:rPr>
          <w:szCs w:val="24"/>
        </w:rPr>
        <w:t xml:space="preserve"> or another public agency or entity; are in compliance with all judgments, if any, issued against the Applicant in any matter to which the </w:t>
      </w:r>
      <w:r w:rsidR="0E30FEB9" w:rsidRPr="2435A651">
        <w:rPr>
          <w:szCs w:val="24"/>
        </w:rPr>
        <w:t>CEC</w:t>
      </w:r>
      <w:r w:rsidRPr="2435A651">
        <w:rPr>
          <w:szCs w:val="24"/>
        </w:rPr>
        <w:t xml:space="preserve"> or another public agency or entity is a party; are complying with any demand letter made on the Applicant by the </w:t>
      </w:r>
      <w:r w:rsidR="23A28B05" w:rsidRPr="2435A651">
        <w:rPr>
          <w:szCs w:val="24"/>
        </w:rPr>
        <w:t>CEC</w:t>
      </w:r>
      <w:r w:rsidRPr="2435A651">
        <w:rPr>
          <w:szCs w:val="24"/>
        </w:rPr>
        <w:t xml:space="preserve"> or another public agency or entity; and are not in active litigation with the </w:t>
      </w:r>
      <w:r w:rsidR="590F37BB" w:rsidRPr="2435A651">
        <w:rPr>
          <w:szCs w:val="24"/>
        </w:rPr>
        <w:t>CEC</w:t>
      </w:r>
      <w:r w:rsidRPr="2435A651">
        <w:rPr>
          <w:szCs w:val="24"/>
        </w:rPr>
        <w:t xml:space="preserve"> regarding the Applicant’s actions under a current or past contract, grant, or loan with the </w:t>
      </w:r>
      <w:r w:rsidR="4FF273FB" w:rsidRPr="2435A651">
        <w:rPr>
          <w:szCs w:val="24"/>
        </w:rPr>
        <w:t>CEC</w:t>
      </w:r>
      <w:r w:rsidRPr="2435A651">
        <w:rPr>
          <w:szCs w:val="24"/>
        </w:rPr>
        <w:t xml:space="preserve">. The declaration must be signed under penalty of perjury by an authorized representative of the </w:t>
      </w:r>
      <w:r w:rsidR="696A8C41" w:rsidRPr="2435A651">
        <w:rPr>
          <w:szCs w:val="24"/>
        </w:rPr>
        <w:t>A</w:t>
      </w:r>
      <w:r w:rsidRPr="2435A651">
        <w:rPr>
          <w:szCs w:val="24"/>
        </w:rPr>
        <w:t xml:space="preserve">pplicant’s organization. </w:t>
      </w:r>
    </w:p>
    <w:p w14:paraId="12474D38" w14:textId="06DDDBBD" w:rsidR="00392B6E" w:rsidRDefault="00392B6E">
      <w:pPr>
        <w:rPr>
          <w:szCs w:val="24"/>
        </w:rPr>
      </w:pPr>
      <w:r>
        <w:rPr>
          <w:szCs w:val="24"/>
        </w:rPr>
        <w:br w:type="page"/>
      </w:r>
    </w:p>
    <w:p w14:paraId="7177D4E0" w14:textId="6C00E06C" w:rsidR="00D74E10" w:rsidRPr="00050087" w:rsidRDefault="006C6191" w:rsidP="000709AE">
      <w:pPr>
        <w:pStyle w:val="Heading1"/>
        <w:keepNext w:val="0"/>
        <w:keepLines w:val="0"/>
        <w:spacing w:before="0" w:after="0"/>
      </w:pPr>
      <w:bookmarkStart w:id="68" w:name="_Toc184829634"/>
      <w:r w:rsidRPr="00050087">
        <w:lastRenderedPageBreak/>
        <w:t>IV</w:t>
      </w:r>
      <w:r w:rsidR="00D74E10" w:rsidRPr="00050087">
        <w:t>.</w:t>
      </w:r>
      <w:r w:rsidR="00D74E10" w:rsidRPr="00050087">
        <w:tab/>
        <w:t>Evaluation Process and Criteria</w:t>
      </w:r>
      <w:bookmarkEnd w:id="53"/>
      <w:bookmarkEnd w:id="68"/>
    </w:p>
    <w:p w14:paraId="1D2E956E" w14:textId="77777777" w:rsidR="001A73B9" w:rsidRPr="00050087" w:rsidRDefault="001A73B9" w:rsidP="00E04486">
      <w:bookmarkStart w:id="69" w:name="_Toc35074632"/>
      <w:bookmarkStart w:id="70" w:name="_Toc219275099"/>
    </w:p>
    <w:p w14:paraId="1F2760C6" w14:textId="77777777" w:rsidR="009E79ED" w:rsidRPr="00050087" w:rsidRDefault="001661BE" w:rsidP="00164AC5">
      <w:pPr>
        <w:pStyle w:val="Heading2"/>
        <w:keepNext w:val="0"/>
        <w:numPr>
          <w:ilvl w:val="2"/>
          <w:numId w:val="85"/>
        </w:numPr>
        <w:spacing w:before="0"/>
        <w:ind w:left="720" w:hanging="720"/>
      </w:pPr>
      <w:bookmarkStart w:id="71" w:name="_Toc184829635"/>
      <w:r w:rsidRPr="00050087">
        <w:t>Application</w:t>
      </w:r>
      <w:r w:rsidR="009E79ED" w:rsidRPr="00050087">
        <w:t xml:space="preserve"> Evaluation</w:t>
      </w:r>
      <w:bookmarkEnd w:id="71"/>
    </w:p>
    <w:p w14:paraId="44B84E2B" w14:textId="31D41B2D" w:rsidR="00210E36" w:rsidRPr="00E91F37" w:rsidRDefault="00210E36" w:rsidP="00E26DE1">
      <w:pPr>
        <w:ind w:left="720"/>
        <w:rPr>
          <w:szCs w:val="24"/>
        </w:rPr>
      </w:pPr>
      <w:r w:rsidRPr="00087F65">
        <w:rPr>
          <w:szCs w:val="24"/>
        </w:rPr>
        <w:t>This section explains how the applications will be evaluated.</w:t>
      </w:r>
    </w:p>
    <w:p w14:paraId="6D9B90F9" w14:textId="77777777" w:rsidR="001A73B9" w:rsidRPr="00E91F37" w:rsidRDefault="001A73B9" w:rsidP="00E26DE1">
      <w:pPr>
        <w:ind w:left="720"/>
        <w:rPr>
          <w:szCs w:val="24"/>
        </w:rPr>
      </w:pPr>
    </w:p>
    <w:p w14:paraId="041599FF" w14:textId="4B5B7C00" w:rsidR="005508AA" w:rsidRPr="00E91F37" w:rsidRDefault="005508AA" w:rsidP="005508AA">
      <w:pPr>
        <w:ind w:left="720"/>
        <w:rPr>
          <w:szCs w:val="24"/>
        </w:rPr>
      </w:pPr>
      <w:r w:rsidRPr="00E91F37">
        <w:rPr>
          <w:szCs w:val="24"/>
        </w:rPr>
        <w:t>Applications will be evaluated and scored based on the responses to the information requested in this solicitation</w:t>
      </w:r>
      <w:r>
        <w:rPr>
          <w:szCs w:val="24"/>
        </w:rPr>
        <w:t xml:space="preserve"> </w:t>
      </w:r>
      <w:bookmarkStart w:id="72" w:name="_Hlk125712453"/>
      <w:r>
        <w:rPr>
          <w:szCs w:val="24"/>
        </w:rPr>
        <w:t>and on any other information available such as past performance of CEC agreements</w:t>
      </w:r>
      <w:r w:rsidRPr="00E91F37">
        <w:rPr>
          <w:szCs w:val="24"/>
        </w:rPr>
        <w:t>.</w:t>
      </w:r>
      <w:bookmarkEnd w:id="72"/>
      <w:r w:rsidR="00165D55">
        <w:rPr>
          <w:rStyle w:val="FootnoteReference"/>
          <w:szCs w:val="24"/>
        </w:rPr>
        <w:footnoteReference w:id="10"/>
      </w:r>
      <w:r w:rsidR="008358A0" w:rsidRPr="00E91F37">
        <w:rPr>
          <w:szCs w:val="24"/>
        </w:rPr>
        <w:t xml:space="preserve"> </w:t>
      </w:r>
      <w:r w:rsidRPr="00E91F37">
        <w:rPr>
          <w:szCs w:val="24"/>
        </w:rPr>
        <w:t>The entire evaluation process from receipt of applications to posting of the Notice of Proposed Award is confidential.</w:t>
      </w:r>
    </w:p>
    <w:p w14:paraId="4BC170BA" w14:textId="77777777" w:rsidR="001A73B9" w:rsidRPr="00E91F37" w:rsidRDefault="001A73B9" w:rsidP="00E26DE1">
      <w:pPr>
        <w:ind w:left="720"/>
        <w:rPr>
          <w:szCs w:val="24"/>
        </w:rPr>
      </w:pPr>
    </w:p>
    <w:p w14:paraId="570E6609" w14:textId="284C8448" w:rsidR="009E79ED" w:rsidRPr="00E91F37" w:rsidRDefault="009E79ED" w:rsidP="00E26DE1">
      <w:pPr>
        <w:ind w:left="720"/>
        <w:rPr>
          <w:szCs w:val="24"/>
        </w:rPr>
      </w:pPr>
      <w:r w:rsidRPr="00E91F37">
        <w:rPr>
          <w:szCs w:val="24"/>
        </w:rPr>
        <w:t xml:space="preserve">To evaluate </w:t>
      </w:r>
      <w:r w:rsidR="00403F6F" w:rsidRPr="00E91F37">
        <w:rPr>
          <w:szCs w:val="24"/>
        </w:rPr>
        <w:t>application</w:t>
      </w:r>
      <w:r w:rsidRPr="00E91F37">
        <w:rPr>
          <w:szCs w:val="24"/>
        </w:rPr>
        <w:t xml:space="preserve">s, </w:t>
      </w:r>
      <w:r w:rsidR="00DC6EDA">
        <w:rPr>
          <w:szCs w:val="24"/>
        </w:rPr>
        <w:t xml:space="preserve">the </w:t>
      </w:r>
      <w:r w:rsidR="008E36A3" w:rsidRPr="00E91F37">
        <w:rPr>
          <w:szCs w:val="24"/>
        </w:rPr>
        <w:t>CEC</w:t>
      </w:r>
      <w:r w:rsidRPr="00E91F37">
        <w:rPr>
          <w:szCs w:val="24"/>
        </w:rPr>
        <w:t xml:space="preserve"> will organize an Evaluation Committee. The Evaluation Committee may consist of </w:t>
      </w:r>
      <w:r w:rsidR="008E36A3" w:rsidRPr="00E91F37">
        <w:rPr>
          <w:szCs w:val="24"/>
        </w:rPr>
        <w:t>CEC</w:t>
      </w:r>
      <w:r w:rsidRPr="00E91F37">
        <w:rPr>
          <w:szCs w:val="24"/>
        </w:rPr>
        <w:t xml:space="preserve"> staff or staff of other California state entities.</w:t>
      </w:r>
    </w:p>
    <w:p w14:paraId="5E6D58A2" w14:textId="77777777" w:rsidR="001A73B9" w:rsidRPr="00E91F37" w:rsidRDefault="001A73B9" w:rsidP="00E04486">
      <w:pPr>
        <w:rPr>
          <w:szCs w:val="24"/>
        </w:rPr>
      </w:pPr>
    </w:p>
    <w:p w14:paraId="23EE383D" w14:textId="77777777" w:rsidR="009E79ED" w:rsidRPr="00E91F37" w:rsidRDefault="009E79ED" w:rsidP="00164AC5">
      <w:pPr>
        <w:numPr>
          <w:ilvl w:val="1"/>
          <w:numId w:val="19"/>
        </w:numPr>
        <w:ind w:hanging="720"/>
        <w:rPr>
          <w:b/>
          <w:szCs w:val="22"/>
        </w:rPr>
      </w:pPr>
      <w:r w:rsidRPr="00E91F37">
        <w:rPr>
          <w:b/>
          <w:szCs w:val="22"/>
        </w:rPr>
        <w:t>Screening</w:t>
      </w:r>
      <w:r w:rsidR="005F08B4" w:rsidRPr="00E91F37">
        <w:rPr>
          <w:b/>
          <w:szCs w:val="22"/>
        </w:rPr>
        <w:t xml:space="preserve"> Criteria</w:t>
      </w:r>
    </w:p>
    <w:p w14:paraId="04F03988" w14:textId="1E60FC36" w:rsidR="009E79ED" w:rsidRPr="00E91F37" w:rsidRDefault="005F08B4" w:rsidP="003A0DDC">
      <w:pPr>
        <w:ind w:left="1440"/>
        <w:rPr>
          <w:szCs w:val="24"/>
        </w:rPr>
      </w:pPr>
      <w:r w:rsidRPr="60D49439">
        <w:rPr>
          <w:szCs w:val="24"/>
        </w:rPr>
        <w:t xml:space="preserve">The </w:t>
      </w:r>
      <w:r w:rsidR="67984407" w:rsidRPr="60D49439">
        <w:rPr>
          <w:szCs w:val="24"/>
        </w:rPr>
        <w:t xml:space="preserve">CEC’s </w:t>
      </w:r>
      <w:r w:rsidRPr="60D49439">
        <w:rPr>
          <w:szCs w:val="24"/>
        </w:rPr>
        <w:t xml:space="preserve">Contracts, Grants and Loans Office will screen </w:t>
      </w:r>
      <w:r w:rsidR="00403F6F" w:rsidRPr="60D49439">
        <w:rPr>
          <w:szCs w:val="24"/>
        </w:rPr>
        <w:t>application</w:t>
      </w:r>
      <w:r w:rsidRPr="60D49439">
        <w:rPr>
          <w:szCs w:val="24"/>
        </w:rPr>
        <w:t xml:space="preserve">s for compliance with the Administrative Screening Criteria. The Evaluation Committee will screen </w:t>
      </w:r>
      <w:r w:rsidR="00403F6F" w:rsidRPr="60D49439">
        <w:rPr>
          <w:szCs w:val="24"/>
        </w:rPr>
        <w:t>application</w:t>
      </w:r>
      <w:r w:rsidRPr="60D49439">
        <w:rPr>
          <w:szCs w:val="24"/>
        </w:rPr>
        <w:t xml:space="preserve">s for compliance with the Technical Screening criteria. </w:t>
      </w:r>
      <w:r w:rsidR="001661BE" w:rsidRPr="60D49439">
        <w:rPr>
          <w:szCs w:val="24"/>
        </w:rPr>
        <w:t>Application</w:t>
      </w:r>
      <w:r w:rsidRPr="60D49439">
        <w:rPr>
          <w:szCs w:val="24"/>
        </w:rPr>
        <w:t>s that fail any of the Administrative or Technical Screening Criteria shall be disqualified and eliminated from further evaluation.</w:t>
      </w:r>
    </w:p>
    <w:p w14:paraId="0EDBC0D2" w14:textId="77777777" w:rsidR="001A73B9" w:rsidRPr="00E91F37" w:rsidRDefault="001A73B9" w:rsidP="00E04486">
      <w:pPr>
        <w:rPr>
          <w:szCs w:val="24"/>
        </w:rPr>
      </w:pPr>
    </w:p>
    <w:p w14:paraId="1F80E46D" w14:textId="77777777" w:rsidR="00347954" w:rsidRPr="00E91F37" w:rsidRDefault="00347954" w:rsidP="00164AC5">
      <w:pPr>
        <w:numPr>
          <w:ilvl w:val="1"/>
          <w:numId w:val="19"/>
        </w:numPr>
        <w:ind w:hanging="720"/>
        <w:rPr>
          <w:b/>
          <w:szCs w:val="24"/>
        </w:rPr>
      </w:pPr>
      <w:r w:rsidRPr="00E91F37">
        <w:rPr>
          <w:b/>
          <w:szCs w:val="22"/>
        </w:rPr>
        <w:t>Administrative Screening Criteria</w:t>
      </w:r>
    </w:p>
    <w:p w14:paraId="2EC7DC8D" w14:textId="77777777" w:rsidR="00F60AC4" w:rsidRDefault="00F60AC4" w:rsidP="00F60AC4">
      <w:pPr>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8023F8">
        <w:trPr>
          <w:cantSplit/>
          <w:trHeight w:val="683"/>
          <w:tblHeader/>
        </w:trPr>
        <w:tc>
          <w:tcPr>
            <w:tcW w:w="7290" w:type="dxa"/>
            <w:shd w:val="clear" w:color="auto" w:fill="D9D9D9" w:themeFill="background1" w:themeFillShade="D9"/>
            <w:vAlign w:val="center"/>
            <w:hideMark/>
          </w:tcPr>
          <w:p w14:paraId="6B38428E" w14:textId="3841E241" w:rsidR="00611F4D" w:rsidRPr="00D11F61" w:rsidRDefault="00611F4D" w:rsidP="00D11F61">
            <w:pPr>
              <w:jc w:val="center"/>
              <w:rPr>
                <w:b/>
                <w:caps/>
                <w:szCs w:val="24"/>
              </w:rPr>
            </w:pPr>
            <w:r w:rsidRPr="00E91F37">
              <w:rPr>
                <w:b/>
                <w:caps/>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E91F37" w:rsidRDefault="00611F4D" w:rsidP="006F5876">
            <w:pPr>
              <w:jc w:val="center"/>
              <w:rPr>
                <w:b/>
                <w:szCs w:val="24"/>
              </w:rPr>
            </w:pPr>
            <w:r w:rsidRPr="00E91F37">
              <w:rPr>
                <w:b/>
                <w:noProof/>
                <w:szCs w:val="24"/>
              </w:rPr>
              <w:t>Pass/Fail</w:t>
            </w:r>
          </w:p>
        </w:tc>
      </w:tr>
      <w:tr w:rsidR="00611F4D" w:rsidRPr="00E91F37" w14:paraId="67ECCE34" w14:textId="77777777" w:rsidTr="008023F8">
        <w:trPr>
          <w:cantSplit/>
        </w:trPr>
        <w:tc>
          <w:tcPr>
            <w:tcW w:w="7290" w:type="dxa"/>
            <w:hideMark/>
          </w:tcPr>
          <w:p w14:paraId="0DDE9F20" w14:textId="5F342345" w:rsidR="00611F4D" w:rsidRPr="00E91F37" w:rsidRDefault="00611F4D" w:rsidP="008023F8">
            <w:pPr>
              <w:numPr>
                <w:ilvl w:val="0"/>
                <w:numId w:val="17"/>
              </w:numPr>
              <w:ind w:hanging="660"/>
              <w:rPr>
                <w:szCs w:val="24"/>
              </w:rPr>
            </w:pPr>
            <w:r w:rsidRPr="00E91F37">
              <w:rPr>
                <w:szCs w:val="24"/>
              </w:rPr>
              <w:t>The application is received by the</w:t>
            </w:r>
            <w:r w:rsidR="00B31BEB">
              <w:rPr>
                <w:szCs w:val="24"/>
              </w:rPr>
              <w:t xml:space="preserve"> CEC by the</w:t>
            </w:r>
            <w:r w:rsidRPr="00E91F37">
              <w:rPr>
                <w:szCs w:val="24"/>
              </w:rPr>
              <w:t xml:space="preserve"> due date and time specified in the “Key Activities Schedule” in </w:t>
            </w:r>
            <w:r w:rsidR="00302CDC" w:rsidRPr="00E91F37">
              <w:rPr>
                <w:szCs w:val="24"/>
              </w:rPr>
              <w:t>Section</w:t>
            </w:r>
            <w:r w:rsidRPr="00E91F37">
              <w:rPr>
                <w:szCs w:val="24"/>
              </w:rPr>
              <w:t xml:space="preserve"> I of this solicitation. </w:t>
            </w:r>
          </w:p>
        </w:tc>
        <w:tc>
          <w:tcPr>
            <w:tcW w:w="2178" w:type="dxa"/>
            <w:vAlign w:val="center"/>
          </w:tcPr>
          <w:p w14:paraId="308B37EA" w14:textId="77777777" w:rsidR="00611F4D" w:rsidRPr="00E91F37" w:rsidRDefault="00611F4D" w:rsidP="006F5876">
            <w:pPr>
              <w:rPr>
                <w:noProof/>
                <w:szCs w:val="24"/>
              </w:rPr>
            </w:pP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Pr="00E91F37">
              <w:rPr>
                <w:szCs w:val="24"/>
              </w:rPr>
            </w:r>
            <w:r w:rsidRPr="00E91F37">
              <w:rPr>
                <w:szCs w:val="24"/>
              </w:rPr>
              <w:fldChar w:fldCharType="separate"/>
            </w:r>
            <w:r w:rsidRPr="00E91F37">
              <w:rPr>
                <w:szCs w:val="24"/>
              </w:rPr>
              <w:fldChar w:fldCharType="end"/>
            </w:r>
            <w:r w:rsidRPr="00E91F37">
              <w:rPr>
                <w:szCs w:val="24"/>
              </w:rPr>
              <w:t xml:space="preserve"> </w:t>
            </w:r>
            <w:r w:rsidRPr="00E91F37">
              <w:rPr>
                <w:noProof/>
                <w:szCs w:val="24"/>
              </w:rPr>
              <w:t xml:space="preserve">Pass   </w:t>
            </w: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Pr="00E91F37">
              <w:rPr>
                <w:szCs w:val="24"/>
              </w:rPr>
            </w:r>
            <w:r w:rsidRPr="00E91F37">
              <w:rPr>
                <w:szCs w:val="24"/>
              </w:rPr>
              <w:fldChar w:fldCharType="separate"/>
            </w:r>
            <w:r w:rsidRPr="00E91F37">
              <w:rPr>
                <w:szCs w:val="24"/>
              </w:rPr>
              <w:fldChar w:fldCharType="end"/>
            </w:r>
            <w:r w:rsidRPr="00E91F37">
              <w:rPr>
                <w:szCs w:val="24"/>
              </w:rPr>
              <w:t xml:space="preserve"> </w:t>
            </w:r>
            <w:r w:rsidRPr="00E91F37">
              <w:rPr>
                <w:noProof/>
                <w:szCs w:val="24"/>
              </w:rPr>
              <w:t>Fail</w:t>
            </w:r>
          </w:p>
        </w:tc>
      </w:tr>
      <w:tr w:rsidR="00611F4D" w:rsidRPr="00E91F37" w14:paraId="342161D3" w14:textId="77777777" w:rsidTr="008023F8">
        <w:trPr>
          <w:cantSplit/>
          <w:trHeight w:val="460"/>
        </w:trPr>
        <w:tc>
          <w:tcPr>
            <w:tcW w:w="7290" w:type="dxa"/>
            <w:hideMark/>
          </w:tcPr>
          <w:p w14:paraId="54C022E3" w14:textId="471C290B" w:rsidR="00611F4D" w:rsidRPr="00E91F37" w:rsidRDefault="00611F4D" w:rsidP="008023F8">
            <w:pPr>
              <w:numPr>
                <w:ilvl w:val="0"/>
                <w:numId w:val="17"/>
              </w:numPr>
              <w:ind w:hanging="660"/>
              <w:rPr>
                <w:noProof/>
                <w:szCs w:val="24"/>
              </w:rPr>
            </w:pPr>
            <w:r w:rsidRPr="00E91F37">
              <w:rPr>
                <w:szCs w:val="24"/>
              </w:rPr>
              <w:t xml:space="preserve">The </w:t>
            </w:r>
            <w:r w:rsidR="00961AA5">
              <w:rPr>
                <w:szCs w:val="24"/>
              </w:rPr>
              <w:t>A</w:t>
            </w:r>
            <w:r w:rsidRPr="00E91F37">
              <w:rPr>
                <w:noProof/>
                <w:szCs w:val="24"/>
              </w:rPr>
              <w:t>pplicant has not included a statement that is contrary to the required authorizations and certifications</w:t>
            </w:r>
            <w:r w:rsidR="00142194">
              <w:rPr>
                <w:noProof/>
                <w:szCs w:val="24"/>
              </w:rPr>
              <w:t xml:space="preserve"> when submitting in</w:t>
            </w:r>
            <w:r w:rsidR="00B06AE8">
              <w:rPr>
                <w:noProof/>
                <w:szCs w:val="24"/>
              </w:rPr>
              <w:t xml:space="preserve"> </w:t>
            </w:r>
            <w:r w:rsidR="00142194">
              <w:rPr>
                <w:noProof/>
                <w:szCs w:val="24"/>
              </w:rPr>
              <w:t>ECAM</w:t>
            </w:r>
            <w:r w:rsidR="00B06AE8">
              <w:rPr>
                <w:noProof/>
                <w:szCs w:val="24"/>
              </w:rPr>
              <w:t>S</w:t>
            </w:r>
            <w:r w:rsidRPr="00E91F37">
              <w:rPr>
                <w:noProof/>
                <w:szCs w:val="24"/>
              </w:rPr>
              <w:t>.</w:t>
            </w:r>
          </w:p>
        </w:tc>
        <w:tc>
          <w:tcPr>
            <w:tcW w:w="2178" w:type="dxa"/>
            <w:vAlign w:val="center"/>
          </w:tcPr>
          <w:p w14:paraId="6A074650" w14:textId="77777777" w:rsidR="00611F4D" w:rsidRPr="00E91F37" w:rsidRDefault="00611F4D" w:rsidP="006F5876">
            <w:pPr>
              <w:rPr>
                <w:noProof/>
                <w:szCs w:val="24"/>
              </w:rPr>
            </w:pP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Pr="00E91F37">
              <w:rPr>
                <w:szCs w:val="24"/>
              </w:rPr>
            </w:r>
            <w:r w:rsidRPr="00E91F37">
              <w:rPr>
                <w:szCs w:val="24"/>
              </w:rPr>
              <w:fldChar w:fldCharType="separate"/>
            </w:r>
            <w:r w:rsidRPr="00E91F37">
              <w:rPr>
                <w:szCs w:val="24"/>
              </w:rPr>
              <w:fldChar w:fldCharType="end"/>
            </w:r>
            <w:r w:rsidRPr="00E91F37">
              <w:rPr>
                <w:szCs w:val="24"/>
              </w:rPr>
              <w:t xml:space="preserve"> </w:t>
            </w:r>
            <w:r w:rsidRPr="00E91F37">
              <w:rPr>
                <w:noProof/>
                <w:szCs w:val="24"/>
              </w:rPr>
              <w:t xml:space="preserve">Pass   </w:t>
            </w: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Pr="00E91F37">
              <w:rPr>
                <w:szCs w:val="24"/>
              </w:rPr>
            </w:r>
            <w:r w:rsidRPr="00E91F37">
              <w:rPr>
                <w:szCs w:val="24"/>
              </w:rPr>
              <w:fldChar w:fldCharType="separate"/>
            </w:r>
            <w:r w:rsidRPr="00E91F37">
              <w:rPr>
                <w:szCs w:val="24"/>
              </w:rPr>
              <w:fldChar w:fldCharType="end"/>
            </w:r>
            <w:r w:rsidRPr="00E91F37">
              <w:rPr>
                <w:szCs w:val="24"/>
              </w:rPr>
              <w:t xml:space="preserve"> </w:t>
            </w:r>
            <w:r w:rsidRPr="00E91F37">
              <w:rPr>
                <w:noProof/>
                <w:szCs w:val="24"/>
              </w:rPr>
              <w:t>Fail</w:t>
            </w:r>
          </w:p>
        </w:tc>
      </w:tr>
    </w:tbl>
    <w:p w14:paraId="08A31D9E" w14:textId="77777777" w:rsidR="001A04FE" w:rsidRPr="003C2885" w:rsidRDefault="001A04FE" w:rsidP="008F4FAF">
      <w:pPr>
        <w:ind w:left="1440"/>
        <w:rPr>
          <w:szCs w:val="24"/>
          <w:highlight w:val="yellow"/>
        </w:rPr>
      </w:pPr>
    </w:p>
    <w:p w14:paraId="0556DB0B" w14:textId="42C131DF" w:rsidR="00EE3414" w:rsidRPr="00087F65" w:rsidDel="00226ADA" w:rsidRDefault="00347954" w:rsidP="00164AC5">
      <w:pPr>
        <w:numPr>
          <w:ilvl w:val="1"/>
          <w:numId w:val="19"/>
        </w:numPr>
        <w:ind w:hanging="720"/>
        <w:rPr>
          <w:szCs w:val="24"/>
        </w:rPr>
      </w:pPr>
      <w:r w:rsidRPr="00087F65" w:rsidDel="00226ADA">
        <w:rPr>
          <w:b/>
          <w:bCs/>
          <w:szCs w:val="24"/>
        </w:rPr>
        <w:t>Technical Screening Criteria</w:t>
      </w:r>
    </w:p>
    <w:p w14:paraId="7467AE5A" w14:textId="77777777" w:rsidR="00BF077E" w:rsidRPr="008F4FAF" w:rsidRDefault="00BF077E" w:rsidP="008F4FAF">
      <w:pPr>
        <w:ind w:left="1440"/>
        <w:rPr>
          <w:szCs w:val="24"/>
          <w:highlight w:val="yellow"/>
        </w:rPr>
      </w:pPr>
    </w:p>
    <w:tbl>
      <w:tblPr>
        <w:tblStyle w:val="TableGrid"/>
        <w:tblW w:w="9468" w:type="dxa"/>
        <w:tblLayout w:type="fixed"/>
        <w:tblLook w:val="00A0" w:firstRow="1" w:lastRow="0" w:firstColumn="1" w:lastColumn="0" w:noHBand="0" w:noVBand="0"/>
      </w:tblPr>
      <w:tblGrid>
        <w:gridCol w:w="7290"/>
        <w:gridCol w:w="2178"/>
      </w:tblGrid>
      <w:tr w:rsidR="00615A38" w:rsidRPr="00E91F37" w14:paraId="03FA26AD" w14:textId="77777777" w:rsidTr="008023F8">
        <w:trPr>
          <w:cantSplit/>
          <w:trHeight w:val="667"/>
          <w:tblHeader/>
        </w:trPr>
        <w:tc>
          <w:tcPr>
            <w:tcW w:w="7290" w:type="dxa"/>
            <w:shd w:val="clear" w:color="auto" w:fill="D9D9D9" w:themeFill="background1" w:themeFillShade="D9"/>
            <w:vAlign w:val="center"/>
          </w:tcPr>
          <w:p w14:paraId="47285F5E" w14:textId="6B4A72B0" w:rsidR="00D11F61" w:rsidRPr="008F4FAF" w:rsidRDefault="00615A38" w:rsidP="00773044">
            <w:pPr>
              <w:jc w:val="center"/>
              <w:rPr>
                <w:b/>
                <w:caps/>
                <w:szCs w:val="24"/>
              </w:rPr>
            </w:pPr>
            <w:r>
              <w:rPr>
                <w:b/>
                <w:caps/>
                <w:szCs w:val="24"/>
              </w:rPr>
              <w:t>Technical</w:t>
            </w:r>
            <w:r w:rsidRPr="00E91F37">
              <w:rPr>
                <w:b/>
                <w:caps/>
                <w:szCs w:val="24"/>
              </w:rPr>
              <w:t xml:space="preserve"> Screening Criteria</w:t>
            </w:r>
          </w:p>
        </w:tc>
        <w:tc>
          <w:tcPr>
            <w:tcW w:w="2178" w:type="dxa"/>
            <w:shd w:val="clear" w:color="auto" w:fill="D9D9D9" w:themeFill="background1" w:themeFillShade="D9"/>
            <w:vAlign w:val="center"/>
          </w:tcPr>
          <w:p w14:paraId="72DF84E4" w14:textId="3EEE89B5" w:rsidR="00615A38" w:rsidRPr="008F4FAF" w:rsidRDefault="00D11F61" w:rsidP="00773044">
            <w:pPr>
              <w:jc w:val="center"/>
              <w:rPr>
                <w:b/>
                <w:caps/>
                <w:szCs w:val="24"/>
              </w:rPr>
            </w:pPr>
            <w:r w:rsidRPr="00E91F37">
              <w:rPr>
                <w:b/>
                <w:noProof/>
                <w:szCs w:val="24"/>
              </w:rPr>
              <w:t>Pass/Fail</w:t>
            </w:r>
          </w:p>
        </w:tc>
      </w:tr>
      <w:tr w:rsidR="00615A38" w:rsidRPr="006B5644" w14:paraId="04947555" w14:textId="77777777" w:rsidTr="008023F8">
        <w:trPr>
          <w:cantSplit/>
          <w:trHeight w:val="460"/>
        </w:trPr>
        <w:tc>
          <w:tcPr>
            <w:tcW w:w="7290" w:type="dxa"/>
            <w:vAlign w:val="center"/>
          </w:tcPr>
          <w:p w14:paraId="2EAA7A77" w14:textId="108488F0" w:rsidR="00615A38" w:rsidRPr="00FE1916" w:rsidRDefault="00615A38" w:rsidP="008023F8">
            <w:pPr>
              <w:pStyle w:val="ListParagraph"/>
              <w:numPr>
                <w:ilvl w:val="0"/>
                <w:numId w:val="32"/>
              </w:numPr>
              <w:ind w:hanging="660"/>
              <w:rPr>
                <w:szCs w:val="24"/>
              </w:rPr>
            </w:pPr>
            <w:r w:rsidRPr="00FE1916">
              <w:rPr>
                <w:noProof/>
                <w:szCs w:val="24"/>
              </w:rPr>
              <w:t>The Applicant is an eligible Applicant.</w:t>
            </w:r>
          </w:p>
        </w:tc>
        <w:tc>
          <w:tcPr>
            <w:tcW w:w="2178" w:type="dxa"/>
            <w:vAlign w:val="center"/>
          </w:tcPr>
          <w:p w14:paraId="5D28E2DF" w14:textId="77777777" w:rsidR="00615A38" w:rsidRPr="00FE1916" w:rsidRDefault="00615A38" w:rsidP="00B61507">
            <w:pPr>
              <w:rPr>
                <w:szCs w:val="24"/>
              </w:rPr>
            </w:pP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Pass   </w:t>
            </w: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Fail</w:t>
            </w:r>
          </w:p>
        </w:tc>
      </w:tr>
      <w:tr w:rsidR="00E66707" w:rsidRPr="006B5644" w14:paraId="7A017910" w14:textId="77777777" w:rsidTr="008023F8">
        <w:trPr>
          <w:cantSplit/>
          <w:trHeight w:val="460"/>
        </w:trPr>
        <w:tc>
          <w:tcPr>
            <w:tcW w:w="7290" w:type="dxa"/>
            <w:vAlign w:val="center"/>
          </w:tcPr>
          <w:p w14:paraId="7A2B0FFF" w14:textId="626FC334" w:rsidR="00E66707" w:rsidRPr="00FE1916" w:rsidRDefault="00E66707" w:rsidP="008023F8">
            <w:pPr>
              <w:pStyle w:val="ListParagraph"/>
              <w:numPr>
                <w:ilvl w:val="0"/>
                <w:numId w:val="32"/>
              </w:numPr>
              <w:ind w:hanging="660"/>
              <w:rPr>
                <w:noProof/>
                <w:szCs w:val="24"/>
              </w:rPr>
            </w:pPr>
            <w:r>
              <w:rPr>
                <w:noProof/>
                <w:szCs w:val="24"/>
              </w:rPr>
              <w:t>The project is an eligible project.</w:t>
            </w:r>
          </w:p>
        </w:tc>
        <w:tc>
          <w:tcPr>
            <w:tcW w:w="2178" w:type="dxa"/>
            <w:vAlign w:val="center"/>
          </w:tcPr>
          <w:p w14:paraId="61119156" w14:textId="0F0A5CA3" w:rsidR="00E66707" w:rsidRPr="00FE1916" w:rsidRDefault="00E66707" w:rsidP="00B61507">
            <w:pPr>
              <w:rPr>
                <w:szCs w:val="24"/>
              </w:rPr>
            </w:pP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Pass   </w:t>
            </w: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Fail</w:t>
            </w:r>
          </w:p>
        </w:tc>
      </w:tr>
      <w:tr w:rsidR="00615A38" w:rsidRPr="006B5644" w14:paraId="66F499DF" w14:textId="77777777" w:rsidTr="008023F8">
        <w:trPr>
          <w:cantSplit/>
          <w:trHeight w:val="460"/>
        </w:trPr>
        <w:tc>
          <w:tcPr>
            <w:tcW w:w="7290" w:type="dxa"/>
            <w:vAlign w:val="center"/>
          </w:tcPr>
          <w:p w14:paraId="0C5BD760" w14:textId="19179291" w:rsidR="00615A38" w:rsidRPr="00FE1916" w:rsidRDefault="00615A38" w:rsidP="008023F8">
            <w:pPr>
              <w:numPr>
                <w:ilvl w:val="0"/>
                <w:numId w:val="32"/>
              </w:numPr>
              <w:ind w:hanging="660"/>
              <w:rPr>
                <w:szCs w:val="24"/>
              </w:rPr>
            </w:pPr>
            <w:r w:rsidRPr="00FE1916">
              <w:rPr>
                <w:szCs w:val="24"/>
              </w:rPr>
              <w:t>The project meets the minimum match share requirement.</w:t>
            </w:r>
          </w:p>
        </w:tc>
        <w:tc>
          <w:tcPr>
            <w:tcW w:w="2178" w:type="dxa"/>
            <w:vAlign w:val="center"/>
          </w:tcPr>
          <w:p w14:paraId="3A6244C2" w14:textId="77777777" w:rsidR="00615A38" w:rsidRPr="00FE1916" w:rsidRDefault="00615A38" w:rsidP="00B61507">
            <w:pPr>
              <w:rPr>
                <w:szCs w:val="24"/>
              </w:rPr>
            </w:pP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Pass   </w:t>
            </w: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Fail</w:t>
            </w:r>
          </w:p>
        </w:tc>
      </w:tr>
      <w:tr w:rsidR="00615A38" w:rsidRPr="006B5644" w14:paraId="4953B3BE" w14:textId="77777777" w:rsidTr="008023F8">
        <w:trPr>
          <w:cantSplit/>
          <w:trHeight w:val="460"/>
        </w:trPr>
        <w:tc>
          <w:tcPr>
            <w:tcW w:w="7290" w:type="dxa"/>
            <w:vAlign w:val="center"/>
          </w:tcPr>
          <w:p w14:paraId="50BFE038" w14:textId="77777777" w:rsidR="00615A38" w:rsidRPr="00FE1916" w:rsidRDefault="00615A38" w:rsidP="00A85763">
            <w:pPr>
              <w:pStyle w:val="ListParagraph"/>
              <w:numPr>
                <w:ilvl w:val="0"/>
                <w:numId w:val="32"/>
              </w:numPr>
              <w:ind w:hanging="660"/>
              <w:rPr>
                <w:szCs w:val="24"/>
              </w:rPr>
            </w:pPr>
            <w:r w:rsidRPr="00FE1916">
              <w:rPr>
                <w:szCs w:val="24"/>
              </w:rPr>
              <w:lastRenderedPageBreak/>
              <w:t>The Applicant passes the past performance screening criterion.</w:t>
            </w:r>
          </w:p>
        </w:tc>
        <w:tc>
          <w:tcPr>
            <w:tcW w:w="2178" w:type="dxa"/>
            <w:vAlign w:val="center"/>
          </w:tcPr>
          <w:p w14:paraId="6C09A6DF" w14:textId="77777777" w:rsidR="00615A38" w:rsidRPr="00FE1916" w:rsidRDefault="00615A38" w:rsidP="00B61507">
            <w:pPr>
              <w:rPr>
                <w:szCs w:val="24"/>
              </w:rPr>
            </w:pP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Pass   </w:t>
            </w:r>
            <w:r w:rsidRPr="00FE1916">
              <w:rPr>
                <w:szCs w:val="24"/>
              </w:rPr>
              <w:fldChar w:fldCharType="begin">
                <w:ffData>
                  <w:name w:val="Check30"/>
                  <w:enabled/>
                  <w:calcOnExit w:val="0"/>
                  <w:checkBox>
                    <w:sizeAuto/>
                    <w:default w:val="0"/>
                  </w:checkBox>
                </w:ffData>
              </w:fldChar>
            </w:r>
            <w:r w:rsidRPr="00FE1916">
              <w:rPr>
                <w:szCs w:val="24"/>
              </w:rPr>
              <w:instrText xml:space="preserve"> FORMCHECKBOX </w:instrText>
            </w:r>
            <w:r w:rsidRPr="00FE1916">
              <w:rPr>
                <w:szCs w:val="24"/>
              </w:rPr>
            </w:r>
            <w:r w:rsidRPr="00FE1916">
              <w:rPr>
                <w:szCs w:val="24"/>
              </w:rPr>
              <w:fldChar w:fldCharType="separate"/>
            </w:r>
            <w:r w:rsidRPr="00FE1916">
              <w:rPr>
                <w:szCs w:val="24"/>
              </w:rPr>
              <w:fldChar w:fldCharType="end"/>
            </w:r>
            <w:r w:rsidRPr="00FE1916">
              <w:rPr>
                <w:szCs w:val="24"/>
              </w:rPr>
              <w:t xml:space="preserve"> Fail</w:t>
            </w:r>
          </w:p>
        </w:tc>
      </w:tr>
    </w:tbl>
    <w:p w14:paraId="417A62FA" w14:textId="77777777" w:rsidR="0082191D" w:rsidRPr="00E91F37" w:rsidRDefault="0082191D" w:rsidP="00612B0A">
      <w:pPr>
        <w:rPr>
          <w:szCs w:val="24"/>
        </w:rPr>
      </w:pPr>
    </w:p>
    <w:p w14:paraId="0F33DFDF" w14:textId="77777777" w:rsidR="0082191D" w:rsidRPr="00E91F37" w:rsidRDefault="0082191D" w:rsidP="00164AC5">
      <w:pPr>
        <w:numPr>
          <w:ilvl w:val="1"/>
          <w:numId w:val="19"/>
        </w:numPr>
        <w:ind w:hanging="720"/>
        <w:rPr>
          <w:b/>
          <w:bCs/>
          <w:szCs w:val="24"/>
        </w:rPr>
      </w:pPr>
      <w:r w:rsidRPr="7133E0DA">
        <w:rPr>
          <w:b/>
          <w:bCs/>
          <w:szCs w:val="24"/>
        </w:rPr>
        <w:t>Applicant’s Past Performance Screening Criterion (Pass/Fail)</w:t>
      </w:r>
    </w:p>
    <w:p w14:paraId="7352004F" w14:textId="63491C77" w:rsidR="00BB270A" w:rsidRPr="008A6570" w:rsidRDefault="008A6570" w:rsidP="0082191D">
      <w:pPr>
        <w:ind w:left="1440"/>
        <w:textAlignment w:val="baseline"/>
        <w:rPr>
          <w:szCs w:val="24"/>
        </w:rPr>
      </w:pPr>
      <w:bookmarkStart w:id="73" w:name="_Hlk66194955"/>
      <w:r w:rsidRPr="008A6570">
        <w:rPr>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w:t>
      </w:r>
      <w:r w:rsidR="00560884">
        <w:rPr>
          <w:szCs w:val="24"/>
        </w:rPr>
        <w:t xml:space="preserve"> </w:t>
      </w:r>
      <w:r w:rsidRPr="008A6570">
        <w:rPr>
          <w:szCs w:val="24"/>
        </w:rPr>
        <w:t>Any Applicant that does not have an active or prior agreement and has not received a CEC-funded incentive equates to no severe performance issues and therefore would pass this screening criterion</w:t>
      </w:r>
      <w:r w:rsidR="00265033">
        <w:rPr>
          <w:szCs w:val="24"/>
        </w:rPr>
        <w:t>.</w:t>
      </w:r>
    </w:p>
    <w:p w14:paraId="4A5952DE" w14:textId="77777777" w:rsidR="008A6570" w:rsidRPr="00E91F37" w:rsidRDefault="008A6570" w:rsidP="0082191D">
      <w:pPr>
        <w:ind w:left="1440"/>
        <w:textAlignment w:val="baseline"/>
        <w:rPr>
          <w:szCs w:val="24"/>
        </w:rPr>
      </w:pPr>
    </w:p>
    <w:p w14:paraId="2BE2BBB4" w14:textId="77777777" w:rsidR="0082191D" w:rsidRPr="00E91F37" w:rsidRDefault="00C31B4A" w:rsidP="0082191D">
      <w:pPr>
        <w:ind w:left="1440"/>
        <w:textAlignment w:val="baseline"/>
        <w:rPr>
          <w:szCs w:val="24"/>
        </w:rPr>
      </w:pPr>
      <w:r w:rsidRPr="00E91F37">
        <w:rPr>
          <w:szCs w:val="24"/>
        </w:rPr>
        <w:t>S</w:t>
      </w:r>
      <w:r w:rsidR="0082191D" w:rsidRPr="00E91F37">
        <w:rPr>
          <w:szCs w:val="24"/>
        </w:rPr>
        <w:t>evere performance issues</w:t>
      </w:r>
      <w:r w:rsidRPr="00E91F37">
        <w:rPr>
          <w:b/>
          <w:bCs/>
          <w:szCs w:val="24"/>
        </w:rPr>
        <w:t xml:space="preserve"> </w:t>
      </w:r>
      <w:r w:rsidRPr="00E91F37">
        <w:rPr>
          <w:szCs w:val="24"/>
        </w:rPr>
        <w:t xml:space="preserve">are </w:t>
      </w:r>
      <w:r w:rsidR="0082191D" w:rsidRPr="00E91F37">
        <w:rPr>
          <w:szCs w:val="24"/>
        </w:rPr>
        <w:t xml:space="preserve">characterized by significant negative outcomes </w:t>
      </w:r>
      <w:r w:rsidRPr="00E91F37">
        <w:rPr>
          <w:szCs w:val="24"/>
        </w:rPr>
        <w:t xml:space="preserve">under an agreement and may </w:t>
      </w:r>
      <w:r w:rsidR="0082191D" w:rsidRPr="00E91F37">
        <w:rPr>
          <w:szCs w:val="24"/>
        </w:rPr>
        <w:t>includ</w:t>
      </w:r>
      <w:r w:rsidRPr="00E91F37">
        <w:rPr>
          <w:szCs w:val="24"/>
        </w:rPr>
        <w:t>e</w:t>
      </w:r>
      <w:r w:rsidR="0082191D" w:rsidRPr="00E91F37">
        <w:rPr>
          <w:szCs w:val="24"/>
        </w:rPr>
        <w:t>:</w:t>
      </w:r>
      <w:bookmarkEnd w:id="73"/>
    </w:p>
    <w:p w14:paraId="3447BC89" w14:textId="77777777" w:rsidR="00D87179" w:rsidRPr="00E91F37" w:rsidRDefault="00D87179" w:rsidP="0082191D">
      <w:pPr>
        <w:ind w:left="1440"/>
        <w:textAlignment w:val="baseline"/>
        <w:rPr>
          <w:szCs w:val="24"/>
        </w:rPr>
      </w:pPr>
    </w:p>
    <w:p w14:paraId="3F18ACEF" w14:textId="77777777" w:rsidR="00C31B4A" w:rsidRPr="00E91F37" w:rsidRDefault="00C31B4A" w:rsidP="00164AC5">
      <w:pPr>
        <w:pStyle w:val="ListParagraph"/>
        <w:numPr>
          <w:ilvl w:val="1"/>
          <w:numId w:val="23"/>
        </w:numPr>
        <w:jc w:val="both"/>
        <w:rPr>
          <w:iCs/>
          <w:szCs w:val="24"/>
        </w:rPr>
      </w:pPr>
      <w:r w:rsidRPr="00E91F37">
        <w:rPr>
          <w:iCs/>
          <w:szCs w:val="24"/>
        </w:rPr>
        <w:t>Agreement was terminated with cause</w:t>
      </w:r>
      <w:r w:rsidR="00D87179" w:rsidRPr="00E91F37">
        <w:rPr>
          <w:iCs/>
          <w:szCs w:val="24"/>
        </w:rPr>
        <w:t>.</w:t>
      </w:r>
    </w:p>
    <w:p w14:paraId="30AF2C82" w14:textId="77777777" w:rsidR="00D87179" w:rsidRPr="00E91F37" w:rsidRDefault="00D87179" w:rsidP="00612B0A">
      <w:pPr>
        <w:pStyle w:val="ListParagraph"/>
        <w:ind w:left="2160"/>
        <w:jc w:val="both"/>
        <w:rPr>
          <w:iCs/>
          <w:szCs w:val="24"/>
        </w:rPr>
      </w:pPr>
    </w:p>
    <w:p w14:paraId="4B4B4F58" w14:textId="75A85487" w:rsidR="00C31B4A" w:rsidRPr="00E91F37" w:rsidRDefault="00C31B4A" w:rsidP="00164AC5">
      <w:pPr>
        <w:pStyle w:val="ListParagraph"/>
        <w:numPr>
          <w:ilvl w:val="1"/>
          <w:numId w:val="23"/>
        </w:numPr>
        <w:jc w:val="both"/>
        <w:rPr>
          <w:iCs/>
          <w:szCs w:val="24"/>
        </w:rPr>
      </w:pPr>
      <w:r w:rsidRPr="00E91F37">
        <w:rPr>
          <w:iCs/>
          <w:szCs w:val="24"/>
        </w:rPr>
        <w:t xml:space="preserve">CEC filed litigation against the </w:t>
      </w:r>
      <w:r w:rsidR="005C13B9">
        <w:rPr>
          <w:iCs/>
          <w:szCs w:val="24"/>
        </w:rPr>
        <w:t>A</w:t>
      </w:r>
      <w:r w:rsidRPr="00E91F37">
        <w:rPr>
          <w:iCs/>
          <w:szCs w:val="24"/>
        </w:rPr>
        <w:t>pplicant.</w:t>
      </w:r>
    </w:p>
    <w:p w14:paraId="232FADD3" w14:textId="77777777" w:rsidR="00D87179" w:rsidRPr="00E91F37" w:rsidRDefault="00D87179" w:rsidP="00612B0A">
      <w:pPr>
        <w:pStyle w:val="ListParagraph"/>
        <w:ind w:left="2160"/>
        <w:jc w:val="both"/>
        <w:rPr>
          <w:iCs/>
          <w:szCs w:val="24"/>
        </w:rPr>
      </w:pPr>
    </w:p>
    <w:p w14:paraId="772C3CBC" w14:textId="6250BBAC" w:rsidR="00C31B4A" w:rsidRPr="00E91F37" w:rsidRDefault="00C31B4A" w:rsidP="00164AC5">
      <w:pPr>
        <w:pStyle w:val="ListParagraph"/>
        <w:numPr>
          <w:ilvl w:val="1"/>
          <w:numId w:val="23"/>
        </w:numPr>
        <w:rPr>
          <w:iCs/>
          <w:szCs w:val="24"/>
        </w:rPr>
      </w:pPr>
      <w:r w:rsidRPr="00E91F37">
        <w:rPr>
          <w:iCs/>
          <w:szCs w:val="24"/>
        </w:rPr>
        <w:t xml:space="preserve">Severe audit findings </w:t>
      </w:r>
      <w:r w:rsidR="00D87179" w:rsidRPr="00E91F37">
        <w:rPr>
          <w:iCs/>
          <w:szCs w:val="24"/>
        </w:rPr>
        <w:t>are</w:t>
      </w:r>
      <w:r w:rsidRPr="00E91F37">
        <w:rPr>
          <w:iCs/>
          <w:szCs w:val="24"/>
        </w:rPr>
        <w:t xml:space="preserve"> not resolved to CEC’s satisfaction</w:t>
      </w:r>
      <w:r w:rsidR="002A4EE6" w:rsidRPr="00E91F37">
        <w:rPr>
          <w:iCs/>
          <w:szCs w:val="24"/>
        </w:rPr>
        <w:t>.</w:t>
      </w:r>
      <w:r w:rsidR="00D87179" w:rsidRPr="00E91F37">
        <w:rPr>
          <w:iCs/>
          <w:szCs w:val="24"/>
        </w:rPr>
        <w:t xml:space="preserve"> Severe audit findings may include</w:t>
      </w:r>
      <w:r w:rsidRPr="00E91F37">
        <w:rPr>
          <w:iCs/>
          <w:szCs w:val="24"/>
        </w:rPr>
        <w:t xml:space="preserve"> but</w:t>
      </w:r>
      <w:r w:rsidR="005C13B9">
        <w:rPr>
          <w:iCs/>
          <w:szCs w:val="24"/>
        </w:rPr>
        <w:t xml:space="preserve"> are</w:t>
      </w:r>
      <w:r w:rsidRPr="00E91F37">
        <w:rPr>
          <w:iCs/>
          <w:szCs w:val="24"/>
        </w:rPr>
        <w:t xml:space="preserve"> not limited to: incomplete </w:t>
      </w:r>
      <w:r w:rsidR="002A4EE6" w:rsidRPr="00E91F37">
        <w:rPr>
          <w:iCs/>
          <w:szCs w:val="24"/>
        </w:rPr>
        <w:t xml:space="preserve">or unsatisfactory </w:t>
      </w:r>
      <w:r w:rsidRPr="00E91F37">
        <w:rPr>
          <w:iCs/>
          <w:szCs w:val="24"/>
        </w:rPr>
        <w:t>deliverable</w:t>
      </w:r>
      <w:r w:rsidR="002A4EE6" w:rsidRPr="00E91F37">
        <w:rPr>
          <w:iCs/>
          <w:szCs w:val="24"/>
        </w:rPr>
        <w:t>s</w:t>
      </w:r>
      <w:r w:rsidRPr="00E91F37">
        <w:rPr>
          <w:iCs/>
          <w:szCs w:val="24"/>
        </w:rPr>
        <w:t>; grant funds used inappropriately (i.e.</w:t>
      </w:r>
      <w:r w:rsidR="00D87179" w:rsidRPr="00E91F37">
        <w:rPr>
          <w:iCs/>
          <w:szCs w:val="24"/>
        </w:rPr>
        <w:t>,</w:t>
      </w:r>
      <w:r w:rsidRPr="00E91F37">
        <w:rPr>
          <w:iCs/>
          <w:szCs w:val="24"/>
        </w:rPr>
        <w:t xml:space="preserve"> other than as represented); </w:t>
      </w:r>
      <w:r w:rsidR="00D87179" w:rsidRPr="00E91F37">
        <w:rPr>
          <w:iCs/>
          <w:szCs w:val="24"/>
        </w:rPr>
        <w:t xml:space="preserve">or </w:t>
      </w:r>
      <w:r w:rsidRPr="00E91F37">
        <w:rPr>
          <w:iCs/>
          <w:szCs w:val="24"/>
        </w:rPr>
        <w:t>questioned costs.</w:t>
      </w:r>
    </w:p>
    <w:p w14:paraId="7722E444" w14:textId="77777777" w:rsidR="00D87179" w:rsidRPr="00E91F37" w:rsidRDefault="00D87179" w:rsidP="009C6632">
      <w:pPr>
        <w:pStyle w:val="ListParagraph"/>
        <w:ind w:left="2160"/>
        <w:rPr>
          <w:iCs/>
          <w:szCs w:val="24"/>
        </w:rPr>
      </w:pPr>
    </w:p>
    <w:p w14:paraId="109BFB2B" w14:textId="722CEF63" w:rsidR="00C31B4A" w:rsidRPr="00E91F37" w:rsidRDefault="002A4EE6" w:rsidP="00164AC5">
      <w:pPr>
        <w:pStyle w:val="ListParagraph"/>
        <w:numPr>
          <w:ilvl w:val="1"/>
          <w:numId w:val="23"/>
        </w:numPr>
        <w:rPr>
          <w:iCs/>
          <w:szCs w:val="24"/>
        </w:rPr>
      </w:pPr>
      <w:r w:rsidRPr="00E91F37">
        <w:rPr>
          <w:iCs/>
          <w:szCs w:val="24"/>
        </w:rPr>
        <w:t xml:space="preserve">Project objectives </w:t>
      </w:r>
      <w:r w:rsidR="00D271EB" w:rsidRPr="00E91F37">
        <w:rPr>
          <w:iCs/>
          <w:szCs w:val="24"/>
        </w:rPr>
        <w:t>were not</w:t>
      </w:r>
      <w:r w:rsidRPr="00E91F37">
        <w:rPr>
          <w:iCs/>
          <w:szCs w:val="24"/>
        </w:rPr>
        <w:t xml:space="preserve"> met</w:t>
      </w:r>
      <w:r w:rsidR="2842A904" w:rsidRPr="3BA16483">
        <w:rPr>
          <w:szCs w:val="24"/>
        </w:rPr>
        <w:t>.</w:t>
      </w:r>
    </w:p>
    <w:p w14:paraId="4AFF5AD7" w14:textId="77777777" w:rsidR="00D87179" w:rsidRPr="00E91F37" w:rsidRDefault="00D87179" w:rsidP="009C6632">
      <w:pPr>
        <w:pStyle w:val="ListParagraph"/>
        <w:ind w:left="2160"/>
        <w:rPr>
          <w:iCs/>
          <w:szCs w:val="24"/>
        </w:rPr>
      </w:pPr>
    </w:p>
    <w:p w14:paraId="414CC91D" w14:textId="40E8A1E6" w:rsidR="00C31B4A" w:rsidRPr="00E91F37" w:rsidRDefault="003F1550" w:rsidP="00164AC5">
      <w:pPr>
        <w:pStyle w:val="ListParagraph"/>
        <w:numPr>
          <w:ilvl w:val="1"/>
          <w:numId w:val="23"/>
        </w:numPr>
        <w:rPr>
          <w:iCs/>
          <w:szCs w:val="24"/>
        </w:rPr>
      </w:pPr>
      <w:r w:rsidRPr="00E91F37">
        <w:rPr>
          <w:iCs/>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Cs w:val="24"/>
        </w:rPr>
        <w:t>Applicant’s</w:t>
      </w:r>
      <w:r w:rsidRPr="00E91F37">
        <w:rPr>
          <w:iCs/>
          <w:szCs w:val="24"/>
        </w:rPr>
        <w:t xml:space="preserve"> control may be considered significant</w:t>
      </w:r>
      <w:r w:rsidR="00C31B4A" w:rsidRPr="00E91F37">
        <w:rPr>
          <w:iCs/>
          <w:szCs w:val="24"/>
        </w:rPr>
        <w:t>.</w:t>
      </w:r>
    </w:p>
    <w:p w14:paraId="39CC43AA" w14:textId="77777777" w:rsidR="00D87179" w:rsidRPr="00E91F37" w:rsidRDefault="00D87179" w:rsidP="009C6632">
      <w:pPr>
        <w:pStyle w:val="ListParagraph"/>
        <w:ind w:left="2160"/>
        <w:rPr>
          <w:iCs/>
          <w:szCs w:val="24"/>
        </w:rPr>
      </w:pPr>
    </w:p>
    <w:p w14:paraId="6C4C9A56" w14:textId="3797D4FD" w:rsidR="00C31B4A" w:rsidRPr="00E91F37" w:rsidRDefault="00D271EB" w:rsidP="00164AC5">
      <w:pPr>
        <w:pStyle w:val="ListParagraph"/>
        <w:numPr>
          <w:ilvl w:val="1"/>
          <w:numId w:val="23"/>
        </w:numPr>
        <w:rPr>
          <w:iCs/>
          <w:szCs w:val="24"/>
        </w:rPr>
      </w:pPr>
      <w:r w:rsidRPr="00E91F37">
        <w:rPr>
          <w:iCs/>
          <w:szCs w:val="24"/>
        </w:rPr>
        <w:t xml:space="preserve">Deliverables were not submitted to the CEC or were of poor quality. For example, </w:t>
      </w:r>
      <w:r w:rsidR="00DB655B">
        <w:rPr>
          <w:iCs/>
          <w:szCs w:val="24"/>
        </w:rPr>
        <w:t>Applicant</w:t>
      </w:r>
      <w:r w:rsidR="00C31B4A" w:rsidRPr="00E91F37">
        <w:rPr>
          <w:iCs/>
          <w:szCs w:val="24"/>
        </w:rPr>
        <w:t xml:space="preserve"> deliver</w:t>
      </w:r>
      <w:r w:rsidR="00DB655B">
        <w:rPr>
          <w:iCs/>
          <w:szCs w:val="24"/>
        </w:rPr>
        <w:t>ed</w:t>
      </w:r>
      <w:r w:rsidR="00C31B4A" w:rsidRPr="00E91F37">
        <w:rPr>
          <w:iCs/>
          <w:szCs w:val="24"/>
        </w:rPr>
        <w:t xml:space="preserve"> poorly written reports that require</w:t>
      </w:r>
      <w:r w:rsidRPr="00E91F37">
        <w:rPr>
          <w:iCs/>
          <w:szCs w:val="24"/>
        </w:rPr>
        <w:t>d</w:t>
      </w:r>
      <w:r w:rsidR="00C31B4A" w:rsidRPr="00E91F37">
        <w:rPr>
          <w:iCs/>
          <w:szCs w:val="24"/>
        </w:rPr>
        <w:t xml:space="preserve"> significant rework by staff</w:t>
      </w:r>
      <w:r w:rsidRPr="00E91F37">
        <w:rPr>
          <w:iCs/>
          <w:szCs w:val="24"/>
        </w:rPr>
        <w:t xml:space="preserve"> prior to </w:t>
      </w:r>
      <w:r w:rsidR="00725C16" w:rsidRPr="00E91F37">
        <w:rPr>
          <w:iCs/>
          <w:szCs w:val="24"/>
        </w:rPr>
        <w:t xml:space="preserve">acceptance or </w:t>
      </w:r>
      <w:r w:rsidRPr="00E91F37">
        <w:rPr>
          <w:iCs/>
          <w:szCs w:val="24"/>
        </w:rPr>
        <w:t>publication</w:t>
      </w:r>
      <w:r w:rsidR="00C31B4A" w:rsidRPr="00E91F37">
        <w:rPr>
          <w:iCs/>
          <w:szCs w:val="24"/>
        </w:rPr>
        <w:t>.</w:t>
      </w:r>
    </w:p>
    <w:p w14:paraId="51C9BD51" w14:textId="77777777" w:rsidR="00D87179" w:rsidRPr="00E91F37" w:rsidRDefault="00D87179" w:rsidP="00612B0A">
      <w:pPr>
        <w:pStyle w:val="ListParagraph"/>
        <w:ind w:left="2160"/>
        <w:jc w:val="both"/>
        <w:rPr>
          <w:iCs/>
          <w:szCs w:val="24"/>
        </w:rPr>
      </w:pPr>
    </w:p>
    <w:p w14:paraId="253550E2" w14:textId="7AA9F491" w:rsidR="008617E2" w:rsidRDefault="008617E2" w:rsidP="00164AC5">
      <w:pPr>
        <w:pStyle w:val="ListParagraph"/>
        <w:numPr>
          <w:ilvl w:val="1"/>
          <w:numId w:val="23"/>
        </w:numPr>
        <w:rPr>
          <w:szCs w:val="24"/>
        </w:rPr>
      </w:pPr>
      <w:bookmarkStart w:id="74" w:name="_Hlk105404153"/>
      <w:r w:rsidRPr="3BA16483">
        <w:rPr>
          <w:szCs w:val="24"/>
        </w:rPr>
        <w:t>Demonstrated</w:t>
      </w:r>
      <w:r w:rsidR="31C1A80E" w:rsidRPr="3BA16483">
        <w:rPr>
          <w:szCs w:val="24"/>
        </w:rPr>
        <w:t xml:space="preserve"> </w:t>
      </w:r>
      <w:r w:rsidR="00D6784C">
        <w:rPr>
          <w:szCs w:val="24"/>
        </w:rPr>
        <w:t xml:space="preserve">poor </w:t>
      </w:r>
      <w:r w:rsidR="31C1A80E" w:rsidRPr="3BA16483">
        <w:rPr>
          <w:szCs w:val="24"/>
        </w:rPr>
        <w:t>or delayed</w:t>
      </w:r>
      <w:r w:rsidRPr="3BA16483">
        <w:rPr>
          <w:szCs w:val="24"/>
        </w:rPr>
        <w:t xml:space="preserve"> communication</w:t>
      </w:r>
      <w:r w:rsidR="58617257" w:rsidRPr="3BA16483">
        <w:rPr>
          <w:szCs w:val="24"/>
        </w:rPr>
        <w:t xml:space="preserve"> when significant issues or setback</w:t>
      </w:r>
      <w:r w:rsidR="79BD8F31" w:rsidRPr="3BA16483">
        <w:rPr>
          <w:szCs w:val="24"/>
        </w:rPr>
        <w:t xml:space="preserve">s were experienced that materially and negatively impacted the project. For example, </w:t>
      </w:r>
      <w:bookmarkEnd w:id="74"/>
      <w:r w:rsidR="20BC4985" w:rsidRPr="3BA16483">
        <w:rPr>
          <w:szCs w:val="24"/>
        </w:rPr>
        <w:t xml:space="preserve">delays in informing the CEC when the Applicant experiences loss of a key project partner or site control may be considered significant.  </w:t>
      </w:r>
    </w:p>
    <w:p w14:paraId="5561FC75" w14:textId="77777777" w:rsidR="00C31B4A" w:rsidRPr="00E91F37" w:rsidRDefault="00C31B4A" w:rsidP="0082191D">
      <w:pPr>
        <w:ind w:left="1440"/>
        <w:textAlignment w:val="baseline"/>
        <w:rPr>
          <w:szCs w:val="24"/>
        </w:rPr>
      </w:pPr>
    </w:p>
    <w:p w14:paraId="2B1EFF6E" w14:textId="455805CC" w:rsidR="00347954" w:rsidRPr="00E91F37" w:rsidRDefault="00347954" w:rsidP="00164AC5">
      <w:pPr>
        <w:numPr>
          <w:ilvl w:val="1"/>
          <w:numId w:val="19"/>
        </w:numPr>
        <w:ind w:hanging="720"/>
        <w:rPr>
          <w:b/>
          <w:szCs w:val="24"/>
        </w:rPr>
      </w:pPr>
      <w:r w:rsidRPr="00E91F37">
        <w:rPr>
          <w:b/>
          <w:szCs w:val="24"/>
        </w:rPr>
        <w:lastRenderedPageBreak/>
        <w:t xml:space="preserve">Grounds to Reject an </w:t>
      </w:r>
      <w:r w:rsidR="001661BE" w:rsidRPr="00E91F37">
        <w:rPr>
          <w:b/>
          <w:szCs w:val="24"/>
        </w:rPr>
        <w:t>Application</w:t>
      </w:r>
      <w:r w:rsidR="00826ACD">
        <w:rPr>
          <w:b/>
          <w:szCs w:val="24"/>
        </w:rPr>
        <w:t xml:space="preserve"> or Cancel an Award</w:t>
      </w:r>
    </w:p>
    <w:p w14:paraId="5F39DA27" w14:textId="6DB0A62D" w:rsidR="00347954" w:rsidRPr="00E91F37" w:rsidRDefault="00347954" w:rsidP="003A0DDC">
      <w:pPr>
        <w:ind w:left="1440"/>
        <w:rPr>
          <w:szCs w:val="24"/>
        </w:rPr>
      </w:pPr>
      <w:r w:rsidRPr="00E91F37">
        <w:rPr>
          <w:szCs w:val="24"/>
        </w:rPr>
        <w:t xml:space="preserve">In addition to the Screening Criteria identified </w:t>
      </w:r>
      <w:r w:rsidR="00F34B68" w:rsidRPr="00E91F37">
        <w:rPr>
          <w:szCs w:val="24"/>
        </w:rPr>
        <w:t>within this solicitation</w:t>
      </w:r>
      <w:r w:rsidRPr="00E91F37">
        <w:rPr>
          <w:szCs w:val="24"/>
        </w:rPr>
        <w:t xml:space="preserve">, </w:t>
      </w:r>
      <w:r w:rsidR="008E36A3" w:rsidRPr="00E91F37">
        <w:rPr>
          <w:szCs w:val="24"/>
        </w:rPr>
        <w:t xml:space="preserve">CEC </w:t>
      </w:r>
      <w:r w:rsidRPr="00E91F37">
        <w:rPr>
          <w:szCs w:val="24"/>
        </w:rPr>
        <w:t xml:space="preserve">reserves the right to reject an application and/or cancel an award </w:t>
      </w:r>
      <w:r w:rsidR="00826ACD">
        <w:rPr>
          <w:szCs w:val="24"/>
        </w:rPr>
        <w:t>for reasons including, but not limited to the following:</w:t>
      </w:r>
    </w:p>
    <w:p w14:paraId="4972F70A" w14:textId="77777777" w:rsidR="007D60E9" w:rsidRPr="00E91F37" w:rsidRDefault="007D60E9" w:rsidP="00636732">
      <w:pPr>
        <w:ind w:left="2160" w:hanging="720"/>
        <w:rPr>
          <w:szCs w:val="24"/>
        </w:rPr>
      </w:pPr>
    </w:p>
    <w:p w14:paraId="5A7C118C" w14:textId="4213225E" w:rsidR="00347954" w:rsidRPr="00E91F37" w:rsidRDefault="001104BC" w:rsidP="001B518B">
      <w:pPr>
        <w:numPr>
          <w:ilvl w:val="0"/>
          <w:numId w:val="7"/>
        </w:numPr>
        <w:ind w:left="2160" w:hanging="720"/>
        <w:rPr>
          <w:szCs w:val="24"/>
        </w:rPr>
      </w:pPr>
      <w:r w:rsidRPr="00E91F37">
        <w:rPr>
          <w:szCs w:val="24"/>
        </w:rPr>
        <w:t xml:space="preserve">The application </w:t>
      </w:r>
      <w:r w:rsidR="00347954" w:rsidRPr="00E91F37">
        <w:rPr>
          <w:szCs w:val="24"/>
        </w:rPr>
        <w:t xml:space="preserve">contains false or intentionally misleading statements or references which do not support an attribute or condition contended by the </w:t>
      </w:r>
      <w:r w:rsidR="00826ACD">
        <w:rPr>
          <w:szCs w:val="24"/>
        </w:rPr>
        <w:t>A</w:t>
      </w:r>
      <w:r w:rsidR="00403F6F" w:rsidRPr="00E91F37">
        <w:rPr>
          <w:szCs w:val="24"/>
        </w:rPr>
        <w:t>pplicant</w:t>
      </w:r>
      <w:r w:rsidR="00347954" w:rsidRPr="00E91F37">
        <w:rPr>
          <w:szCs w:val="24"/>
        </w:rPr>
        <w:t>.</w:t>
      </w:r>
    </w:p>
    <w:p w14:paraId="64BA1CAC" w14:textId="77777777" w:rsidR="007D60E9" w:rsidRPr="00E91F37" w:rsidRDefault="007D60E9" w:rsidP="00E04486">
      <w:pPr>
        <w:ind w:left="2160" w:hanging="720"/>
        <w:rPr>
          <w:szCs w:val="24"/>
        </w:rPr>
      </w:pPr>
    </w:p>
    <w:p w14:paraId="52EAD324" w14:textId="77777777" w:rsidR="00347954" w:rsidRPr="00E91F37" w:rsidRDefault="00347954" w:rsidP="001B518B">
      <w:pPr>
        <w:numPr>
          <w:ilvl w:val="0"/>
          <w:numId w:val="7"/>
        </w:numPr>
        <w:ind w:left="2160" w:hanging="720"/>
        <w:rPr>
          <w:szCs w:val="24"/>
        </w:rPr>
      </w:pPr>
      <w:r w:rsidRPr="00E91F37">
        <w:rPr>
          <w:szCs w:val="24"/>
        </w:rPr>
        <w:t xml:space="preserve">The </w:t>
      </w:r>
      <w:r w:rsidR="00403F6F" w:rsidRPr="00E91F37">
        <w:rPr>
          <w:szCs w:val="24"/>
        </w:rPr>
        <w:t>application</w:t>
      </w:r>
      <w:r w:rsidRPr="00E91F37">
        <w:rPr>
          <w:szCs w:val="24"/>
        </w:rPr>
        <w:t xml:space="preserve"> is intended to erroneously and fallaciously mislead the State in its evaluation of the </w:t>
      </w:r>
      <w:r w:rsidR="00403F6F" w:rsidRPr="00E91F37">
        <w:rPr>
          <w:szCs w:val="24"/>
        </w:rPr>
        <w:t>application</w:t>
      </w:r>
      <w:r w:rsidRPr="00E91F37">
        <w:rPr>
          <w:szCs w:val="24"/>
        </w:rPr>
        <w:t xml:space="preserve"> and the attribute, condition, or capability is a requirement of this solicitation.</w:t>
      </w:r>
    </w:p>
    <w:p w14:paraId="15B2F20F" w14:textId="77777777" w:rsidR="007D60E9" w:rsidRPr="00E91F37" w:rsidRDefault="007D60E9" w:rsidP="00E04486">
      <w:pPr>
        <w:ind w:left="2160" w:hanging="720"/>
        <w:rPr>
          <w:szCs w:val="24"/>
        </w:rPr>
      </w:pPr>
    </w:p>
    <w:p w14:paraId="0CFCE518" w14:textId="731A54D9" w:rsidR="00347954" w:rsidRPr="00E91F37" w:rsidRDefault="001104BC" w:rsidP="001B518B">
      <w:pPr>
        <w:numPr>
          <w:ilvl w:val="0"/>
          <w:numId w:val="7"/>
        </w:numPr>
        <w:ind w:left="2160" w:hanging="720"/>
        <w:rPr>
          <w:szCs w:val="24"/>
        </w:rPr>
      </w:pPr>
      <w:r w:rsidRPr="00E91F37">
        <w:rPr>
          <w:szCs w:val="24"/>
        </w:rPr>
        <w:t xml:space="preserve">The application </w:t>
      </w:r>
      <w:r w:rsidR="00347954" w:rsidRPr="00E91F37">
        <w:rPr>
          <w:szCs w:val="24"/>
        </w:rPr>
        <w:t xml:space="preserve">does not comply or contains caveats that conflict with the solicitation and the variation or deviation is </w:t>
      </w:r>
      <w:proofErr w:type="gramStart"/>
      <w:r w:rsidR="00347954" w:rsidRPr="00E91F37">
        <w:rPr>
          <w:szCs w:val="24"/>
        </w:rPr>
        <w:t>material</w:t>
      </w:r>
      <w:proofErr w:type="gramEnd"/>
      <w:r w:rsidR="00347954" w:rsidRPr="00E91F37">
        <w:rPr>
          <w:szCs w:val="24"/>
        </w:rPr>
        <w:t xml:space="preserve"> or it is otherwise non-responsive.</w:t>
      </w:r>
    </w:p>
    <w:p w14:paraId="5494D81E" w14:textId="77777777" w:rsidR="00FD49AE" w:rsidRDefault="00FD49AE" w:rsidP="00636732">
      <w:pPr>
        <w:ind w:left="2160" w:hanging="720"/>
        <w:rPr>
          <w:szCs w:val="24"/>
        </w:rPr>
      </w:pPr>
    </w:p>
    <w:p w14:paraId="118C75EE" w14:textId="68CC7C3F" w:rsidR="00FD49AE" w:rsidRPr="00E91F37" w:rsidRDefault="001A786B" w:rsidP="001B518B">
      <w:pPr>
        <w:numPr>
          <w:ilvl w:val="0"/>
          <w:numId w:val="7"/>
        </w:numPr>
        <w:ind w:left="2160" w:hanging="720"/>
      </w:pPr>
      <w:r>
        <w:t>The CEC, in its sole discretion, determines the Applicant’s financial condition may materially impact its ability to complete the proposed project.</w:t>
      </w:r>
    </w:p>
    <w:p w14:paraId="614EFE58" w14:textId="77777777" w:rsidR="009640E7" w:rsidRDefault="009640E7" w:rsidP="00636732">
      <w:pPr>
        <w:ind w:left="2160" w:hanging="720"/>
        <w:rPr>
          <w:b/>
          <w:szCs w:val="22"/>
        </w:rPr>
      </w:pPr>
    </w:p>
    <w:p w14:paraId="2147120A" w14:textId="60E97602" w:rsidR="009E79ED" w:rsidRPr="00E91F37" w:rsidRDefault="009E79ED" w:rsidP="00164AC5">
      <w:pPr>
        <w:numPr>
          <w:ilvl w:val="1"/>
          <w:numId w:val="19"/>
        </w:numPr>
        <w:ind w:hanging="720"/>
        <w:rPr>
          <w:b/>
          <w:szCs w:val="22"/>
        </w:rPr>
      </w:pPr>
      <w:r w:rsidRPr="6DF86161">
        <w:rPr>
          <w:b/>
          <w:bCs/>
          <w:szCs w:val="24"/>
        </w:rPr>
        <w:t>Technical Evaluation</w:t>
      </w:r>
    </w:p>
    <w:p w14:paraId="3E8BDA55" w14:textId="78637418" w:rsidR="009E79ED" w:rsidRPr="00E91F37" w:rsidRDefault="001661BE" w:rsidP="003A0DDC">
      <w:pPr>
        <w:ind w:left="1440"/>
        <w:rPr>
          <w:szCs w:val="24"/>
        </w:rPr>
      </w:pPr>
      <w:r w:rsidRPr="00E91F37">
        <w:rPr>
          <w:szCs w:val="24"/>
        </w:rPr>
        <w:t>Application</w:t>
      </w:r>
      <w:r w:rsidR="009E79ED" w:rsidRPr="00E91F37">
        <w:rPr>
          <w:szCs w:val="24"/>
        </w:rPr>
        <w:t xml:space="preserve">s passing </w:t>
      </w:r>
      <w:r w:rsidR="001104BC" w:rsidRPr="00E91F37">
        <w:rPr>
          <w:szCs w:val="24"/>
        </w:rPr>
        <w:t>all screening criteria</w:t>
      </w:r>
      <w:r w:rsidR="00826ACD">
        <w:rPr>
          <w:szCs w:val="24"/>
        </w:rPr>
        <w:t xml:space="preserve"> </w:t>
      </w:r>
      <w:r w:rsidR="00BF4E9E">
        <w:rPr>
          <w:szCs w:val="24"/>
        </w:rPr>
        <w:t xml:space="preserve">will </w:t>
      </w:r>
      <w:r w:rsidR="009E79ED" w:rsidRPr="00E91F37">
        <w:rPr>
          <w:szCs w:val="24"/>
        </w:rPr>
        <w:t xml:space="preserve">be submitted to the Evaluation Committee to review and score based on the Evaluation </w:t>
      </w:r>
      <w:r w:rsidR="007D60E9" w:rsidRPr="00E91F37">
        <w:rPr>
          <w:szCs w:val="24"/>
        </w:rPr>
        <w:t xml:space="preserve">Criteria </w:t>
      </w:r>
      <w:r w:rsidR="00BF4E9E">
        <w:rPr>
          <w:szCs w:val="24"/>
        </w:rPr>
        <w:t>using the Scoring Scale described below</w:t>
      </w:r>
      <w:r w:rsidR="007D60E9" w:rsidRPr="00E91F37">
        <w:rPr>
          <w:szCs w:val="24"/>
        </w:rPr>
        <w:t>.</w:t>
      </w:r>
    </w:p>
    <w:p w14:paraId="1643BA69" w14:textId="77777777" w:rsidR="007D60E9" w:rsidRPr="00E91F37" w:rsidRDefault="007D60E9" w:rsidP="003A0DDC">
      <w:pPr>
        <w:ind w:left="1440"/>
        <w:rPr>
          <w:szCs w:val="24"/>
        </w:rPr>
      </w:pPr>
    </w:p>
    <w:p w14:paraId="3F530538" w14:textId="0AC1CD31" w:rsidR="009E79ED" w:rsidRPr="00E91F37" w:rsidRDefault="007B05C1" w:rsidP="003A0DDC">
      <w:pPr>
        <w:ind w:left="1440"/>
        <w:rPr>
          <w:szCs w:val="24"/>
        </w:rPr>
      </w:pPr>
      <w:r w:rsidRPr="60D49439">
        <w:rPr>
          <w:szCs w:val="24"/>
        </w:rPr>
        <w:t>T</w:t>
      </w:r>
      <w:r w:rsidR="009E79ED" w:rsidRPr="60D49439">
        <w:rPr>
          <w:szCs w:val="24"/>
        </w:rPr>
        <w:t xml:space="preserve">he Evaluation Committee </w:t>
      </w:r>
      <w:r w:rsidRPr="60D49439">
        <w:rPr>
          <w:szCs w:val="24"/>
        </w:rPr>
        <w:t xml:space="preserve">reserves the right to </w:t>
      </w:r>
      <w:r w:rsidR="009E79ED" w:rsidRPr="60D49439">
        <w:rPr>
          <w:szCs w:val="24"/>
        </w:rPr>
        <w:t xml:space="preserve">schedule a clarification interview with </w:t>
      </w:r>
      <w:r w:rsidR="00935AD4" w:rsidRPr="60D49439">
        <w:rPr>
          <w:szCs w:val="24"/>
        </w:rPr>
        <w:t xml:space="preserve">an </w:t>
      </w:r>
      <w:r w:rsidR="00471148" w:rsidRPr="60D49439">
        <w:rPr>
          <w:szCs w:val="24"/>
        </w:rPr>
        <w:t>A</w:t>
      </w:r>
      <w:r w:rsidR="00403F6F" w:rsidRPr="60D49439">
        <w:rPr>
          <w:szCs w:val="24"/>
        </w:rPr>
        <w:t>pplicant</w:t>
      </w:r>
      <w:r w:rsidR="009E79ED" w:rsidRPr="60D49439">
        <w:rPr>
          <w:szCs w:val="24"/>
        </w:rPr>
        <w:t xml:space="preserve"> </w:t>
      </w:r>
      <w:r w:rsidR="001975C2" w:rsidRPr="60D49439">
        <w:rPr>
          <w:szCs w:val="24"/>
        </w:rPr>
        <w:t xml:space="preserve">to clarify and/or verify information </w:t>
      </w:r>
      <w:r w:rsidR="00C73E38" w:rsidRPr="60D49439">
        <w:rPr>
          <w:szCs w:val="24"/>
        </w:rPr>
        <w:t xml:space="preserve">submitted in the application. </w:t>
      </w:r>
      <w:r w:rsidR="009E79ED" w:rsidRPr="60D49439">
        <w:rPr>
          <w:szCs w:val="24"/>
        </w:rPr>
        <w:t xml:space="preserve">However, these interviews may not be used to change or add to the contents of the original </w:t>
      </w:r>
      <w:r w:rsidR="00403F6F" w:rsidRPr="60D49439">
        <w:rPr>
          <w:szCs w:val="24"/>
        </w:rPr>
        <w:t>application</w:t>
      </w:r>
      <w:r w:rsidR="009E79ED" w:rsidRPr="60D49439">
        <w:rPr>
          <w:szCs w:val="24"/>
        </w:rPr>
        <w:t>.</w:t>
      </w:r>
      <w:r w:rsidR="00F95356" w:rsidRPr="60D49439">
        <w:rPr>
          <w:szCs w:val="24"/>
        </w:rPr>
        <w:t xml:space="preserve"> Applicants will not be reimbursed for time spent answering clarifying questions.</w:t>
      </w:r>
    </w:p>
    <w:p w14:paraId="6EFBFC39" w14:textId="77777777" w:rsidR="007D60E9" w:rsidRPr="00E91F37" w:rsidRDefault="007D60E9" w:rsidP="003A0DDC">
      <w:pPr>
        <w:ind w:left="1440"/>
        <w:rPr>
          <w:szCs w:val="24"/>
        </w:rPr>
      </w:pPr>
    </w:p>
    <w:p w14:paraId="54081077" w14:textId="77777777" w:rsidR="005A502A" w:rsidRPr="00E91F37" w:rsidRDefault="009E79ED" w:rsidP="003A0DDC">
      <w:pPr>
        <w:ind w:left="1440"/>
        <w:rPr>
          <w:szCs w:val="24"/>
        </w:rPr>
      </w:pPr>
      <w:r w:rsidRPr="00E91F37">
        <w:rPr>
          <w:szCs w:val="24"/>
        </w:rPr>
        <w:t xml:space="preserve">The total score for each </w:t>
      </w:r>
      <w:r w:rsidR="00403F6F" w:rsidRPr="00E91F37">
        <w:rPr>
          <w:szCs w:val="24"/>
        </w:rPr>
        <w:t>application</w:t>
      </w:r>
      <w:r w:rsidRPr="00E91F37">
        <w:rPr>
          <w:szCs w:val="24"/>
        </w:rPr>
        <w:t xml:space="preserve"> will be the average of the combined scores of al</w:t>
      </w:r>
      <w:r w:rsidR="007D60E9" w:rsidRPr="00E91F37">
        <w:rPr>
          <w:szCs w:val="24"/>
        </w:rPr>
        <w:t>l Evaluation Committee members.</w:t>
      </w:r>
      <w:r w:rsidR="001104BC" w:rsidRPr="00E91F37">
        <w:rPr>
          <w:szCs w:val="24"/>
        </w:rPr>
        <w:t xml:space="preserve"> </w:t>
      </w:r>
      <w:r w:rsidR="00F95356" w:rsidRPr="00E91F37">
        <w:rPr>
          <w:szCs w:val="24"/>
        </w:rPr>
        <w:t xml:space="preserve">A minimum score of </w:t>
      </w:r>
      <w:r w:rsidR="008F11C0" w:rsidRPr="00E91F37">
        <w:rPr>
          <w:szCs w:val="24"/>
        </w:rPr>
        <w:t>70</w:t>
      </w:r>
      <w:r w:rsidR="00F95356" w:rsidRPr="00E91F37">
        <w:rPr>
          <w:szCs w:val="24"/>
        </w:rPr>
        <w:t xml:space="preserve"> percent</w:t>
      </w:r>
      <w:r w:rsidR="00AB3DDD" w:rsidRPr="00E91F37">
        <w:rPr>
          <w:szCs w:val="24"/>
        </w:rPr>
        <w:t xml:space="preserve"> </w:t>
      </w:r>
      <w:r w:rsidR="00F95356" w:rsidRPr="00E91F37">
        <w:rPr>
          <w:szCs w:val="24"/>
        </w:rPr>
        <w:t>is required for the application to be eligible for funding.</w:t>
      </w:r>
    </w:p>
    <w:p w14:paraId="546C8583" w14:textId="77777777" w:rsidR="005A502A" w:rsidRPr="00E91F37" w:rsidRDefault="005A502A" w:rsidP="003A0DDC">
      <w:pPr>
        <w:ind w:left="1440"/>
        <w:rPr>
          <w:szCs w:val="24"/>
        </w:rPr>
      </w:pPr>
    </w:p>
    <w:p w14:paraId="624ADC16" w14:textId="77777777" w:rsidR="00F95356" w:rsidRPr="00E91F37" w:rsidRDefault="008E36A3" w:rsidP="003A0DDC">
      <w:pPr>
        <w:ind w:left="1440"/>
        <w:rPr>
          <w:szCs w:val="24"/>
        </w:rPr>
      </w:pPr>
      <w:r w:rsidRPr="00E91F37">
        <w:rPr>
          <w:szCs w:val="24"/>
        </w:rPr>
        <w:t>CEC</w:t>
      </w:r>
      <w:r w:rsidR="00F95356" w:rsidRPr="00E91F37">
        <w:rPr>
          <w:szCs w:val="24"/>
        </w:rPr>
        <w:t xml:space="preserve"> will </w:t>
      </w:r>
      <w:r w:rsidR="001104BC" w:rsidRPr="00E91F37">
        <w:rPr>
          <w:szCs w:val="24"/>
        </w:rPr>
        <w:t xml:space="preserve">recommend </w:t>
      </w:r>
      <w:r w:rsidR="00F95356" w:rsidRPr="00E91F37">
        <w:rPr>
          <w:szCs w:val="24"/>
        </w:rPr>
        <w:t>awards</w:t>
      </w:r>
      <w:r w:rsidR="00734205" w:rsidRPr="00E91F37">
        <w:rPr>
          <w:szCs w:val="24"/>
        </w:rPr>
        <w:t xml:space="preserve"> to </w:t>
      </w:r>
      <w:r w:rsidR="007D60E9" w:rsidRPr="00E91F37">
        <w:rPr>
          <w:szCs w:val="24"/>
        </w:rPr>
        <w:t>the highest ranked project</w:t>
      </w:r>
      <w:r w:rsidR="00582A62" w:rsidRPr="00E91F37">
        <w:rPr>
          <w:szCs w:val="24"/>
        </w:rPr>
        <w:t>s</w:t>
      </w:r>
      <w:r w:rsidR="00734205" w:rsidRPr="00E91F37">
        <w:rPr>
          <w:szCs w:val="24"/>
        </w:rPr>
        <w:t xml:space="preserve"> </w:t>
      </w:r>
      <w:r w:rsidR="005A502A" w:rsidRPr="00E91F37">
        <w:rPr>
          <w:szCs w:val="24"/>
        </w:rPr>
        <w:t>(according to final overall application score)</w:t>
      </w:r>
      <w:r w:rsidR="00582A62" w:rsidRPr="00E91F37">
        <w:rPr>
          <w:szCs w:val="24"/>
        </w:rPr>
        <w:t xml:space="preserve"> until available funding under this solicitation has been exhausted</w:t>
      </w:r>
      <w:r w:rsidR="005A502A" w:rsidRPr="00E91F37">
        <w:rPr>
          <w:szCs w:val="24"/>
        </w:rPr>
        <w:t>.</w:t>
      </w:r>
    </w:p>
    <w:p w14:paraId="6CEA2E9A" w14:textId="77777777" w:rsidR="006A52B0" w:rsidRPr="00E91F37" w:rsidRDefault="006A52B0" w:rsidP="00E04486">
      <w:pPr>
        <w:rPr>
          <w:szCs w:val="24"/>
        </w:rPr>
      </w:pPr>
    </w:p>
    <w:p w14:paraId="6F0AB863" w14:textId="77777777" w:rsidR="00E13922" w:rsidRPr="00050087" w:rsidRDefault="00E13922" w:rsidP="00164AC5">
      <w:pPr>
        <w:pStyle w:val="Heading2"/>
        <w:keepNext w:val="0"/>
        <w:numPr>
          <w:ilvl w:val="2"/>
          <w:numId w:val="85"/>
        </w:numPr>
        <w:spacing w:before="0"/>
        <w:ind w:left="720" w:hanging="720"/>
      </w:pPr>
      <w:bookmarkStart w:id="75" w:name="_Toc184829636"/>
      <w:r w:rsidRPr="00050087">
        <w:t>Notice of Proposed Award</w:t>
      </w:r>
      <w:r w:rsidR="008F11C0" w:rsidRPr="00050087">
        <w:rPr>
          <w:lang w:val="en-US"/>
        </w:rPr>
        <w:t>s</w:t>
      </w:r>
      <w:bookmarkEnd w:id="75"/>
    </w:p>
    <w:p w14:paraId="0950A448" w14:textId="4AC733A3" w:rsidR="00E13922" w:rsidRPr="00E91F37" w:rsidRDefault="00E13922" w:rsidP="00E26DE1">
      <w:pPr>
        <w:ind w:left="720"/>
        <w:rPr>
          <w:szCs w:val="24"/>
        </w:rPr>
      </w:pPr>
      <w:bookmarkStart w:id="76" w:name="_Toc267663292"/>
      <w:r w:rsidRPr="6C5429BA">
        <w:rPr>
          <w:szCs w:val="24"/>
        </w:rPr>
        <w:t xml:space="preserve">The results of the </w:t>
      </w:r>
      <w:r w:rsidR="001104BC" w:rsidRPr="6C5429BA">
        <w:rPr>
          <w:szCs w:val="24"/>
        </w:rPr>
        <w:t xml:space="preserve">evaluation will be posted in a Notice of Proposed Awards (NOPA) and will include </w:t>
      </w:r>
      <w:r w:rsidR="003E7EE1" w:rsidRPr="6C5429BA">
        <w:rPr>
          <w:szCs w:val="24"/>
        </w:rPr>
        <w:t xml:space="preserve">(1) the total proposed funding amount; (2) the rank order of Applicants; and (3) the amount of each proposed award. </w:t>
      </w:r>
      <w:r w:rsidR="008E36A3" w:rsidRPr="6C5429BA">
        <w:rPr>
          <w:szCs w:val="24"/>
        </w:rPr>
        <w:t xml:space="preserve">CEC </w:t>
      </w:r>
      <w:r w:rsidRPr="6C5429BA">
        <w:rPr>
          <w:szCs w:val="24"/>
        </w:rPr>
        <w:t xml:space="preserve">will </w:t>
      </w:r>
      <w:r w:rsidR="0087587D" w:rsidRPr="6C5429BA">
        <w:rPr>
          <w:szCs w:val="24"/>
        </w:rPr>
        <w:t xml:space="preserve">publish the NOPA </w:t>
      </w:r>
      <w:r w:rsidRPr="6C5429BA">
        <w:rPr>
          <w:szCs w:val="24"/>
        </w:rPr>
        <w:t xml:space="preserve">on the </w:t>
      </w:r>
      <w:r w:rsidR="008E36A3" w:rsidRPr="6C5429BA">
        <w:rPr>
          <w:szCs w:val="24"/>
        </w:rPr>
        <w:t>CEC</w:t>
      </w:r>
      <w:r w:rsidRPr="6C5429BA">
        <w:rPr>
          <w:szCs w:val="24"/>
        </w:rPr>
        <w:t xml:space="preserve">’s </w:t>
      </w:r>
      <w:r w:rsidR="001104BC" w:rsidRPr="6C5429BA">
        <w:rPr>
          <w:szCs w:val="24"/>
        </w:rPr>
        <w:t>w</w:t>
      </w:r>
      <w:r w:rsidR="00025632" w:rsidRPr="6C5429BA">
        <w:rPr>
          <w:szCs w:val="24"/>
        </w:rPr>
        <w:t>ebsite</w:t>
      </w:r>
      <w:r w:rsidRPr="6C5429BA">
        <w:rPr>
          <w:szCs w:val="24"/>
        </w:rPr>
        <w:t>.</w:t>
      </w:r>
      <w:bookmarkEnd w:id="76"/>
    </w:p>
    <w:p w14:paraId="75BB0A70" w14:textId="35226A75" w:rsidR="00636732" w:rsidRDefault="00636732">
      <w:pPr>
        <w:rPr>
          <w:szCs w:val="24"/>
        </w:rPr>
      </w:pPr>
      <w:r>
        <w:rPr>
          <w:szCs w:val="24"/>
        </w:rPr>
        <w:br w:type="page"/>
      </w:r>
    </w:p>
    <w:p w14:paraId="238C51F1" w14:textId="77777777" w:rsidR="00E13922" w:rsidRPr="00050087" w:rsidRDefault="00E13922" w:rsidP="00164AC5">
      <w:pPr>
        <w:pStyle w:val="Heading2"/>
        <w:keepNext w:val="0"/>
        <w:numPr>
          <w:ilvl w:val="2"/>
          <w:numId w:val="85"/>
        </w:numPr>
        <w:spacing w:before="0"/>
        <w:ind w:left="720" w:hanging="720"/>
      </w:pPr>
      <w:bookmarkStart w:id="77" w:name="_Toc184829637"/>
      <w:r w:rsidRPr="00050087">
        <w:lastRenderedPageBreak/>
        <w:t>Debriefings</w:t>
      </w:r>
      <w:bookmarkEnd w:id="77"/>
    </w:p>
    <w:p w14:paraId="593049B7" w14:textId="53F64985" w:rsidR="00E13922" w:rsidRPr="00E91F37" w:rsidRDefault="003E7EE1" w:rsidP="00E26DE1">
      <w:pPr>
        <w:ind w:left="720"/>
        <w:rPr>
          <w:szCs w:val="24"/>
        </w:rPr>
      </w:pPr>
      <w:r>
        <w:rPr>
          <w:szCs w:val="24"/>
        </w:rPr>
        <w:t>A</w:t>
      </w:r>
      <w:r w:rsidR="00403F6F" w:rsidRPr="00E91F37">
        <w:rPr>
          <w:szCs w:val="24"/>
        </w:rPr>
        <w:t>pplicant</w:t>
      </w:r>
      <w:r w:rsidR="00E13922" w:rsidRPr="00E91F37">
        <w:rPr>
          <w:szCs w:val="24"/>
        </w:rPr>
        <w:t>s</w:t>
      </w:r>
      <w:r>
        <w:rPr>
          <w:szCs w:val="24"/>
        </w:rPr>
        <w:t xml:space="preserve"> that are not proposed for funding</w:t>
      </w:r>
      <w:r w:rsidR="00E13922" w:rsidRPr="00E91F37">
        <w:rPr>
          <w:szCs w:val="24"/>
        </w:rPr>
        <w:t xml:space="preserve"> may request a debriefing after the release of the NOPA</w:t>
      </w:r>
      <w:r>
        <w:rPr>
          <w:szCs w:val="24"/>
        </w:rPr>
        <w:t xml:space="preserve"> by e-mailing the CAO listed in Part I</w:t>
      </w:r>
      <w:r w:rsidR="00E13922" w:rsidRPr="00E91F37">
        <w:rPr>
          <w:szCs w:val="24"/>
        </w:rPr>
        <w:t xml:space="preserve">. A request for debriefing </w:t>
      </w:r>
      <w:r w:rsidR="00FD6BCD" w:rsidRPr="00E91F37">
        <w:rPr>
          <w:szCs w:val="24"/>
        </w:rPr>
        <w:t xml:space="preserve">should </w:t>
      </w:r>
      <w:r w:rsidR="00E13922" w:rsidRPr="00E91F37">
        <w:rPr>
          <w:szCs w:val="24"/>
        </w:rPr>
        <w:t xml:space="preserve">be received no later than 15 </w:t>
      </w:r>
      <w:r w:rsidR="008E410C">
        <w:rPr>
          <w:szCs w:val="24"/>
        </w:rPr>
        <w:t xml:space="preserve">calendar </w:t>
      </w:r>
      <w:r w:rsidR="00E13922" w:rsidRPr="00E91F37">
        <w:rPr>
          <w:szCs w:val="24"/>
        </w:rPr>
        <w:t>day</w:t>
      </w:r>
      <w:r w:rsidR="007D60E9" w:rsidRPr="00E91F37">
        <w:rPr>
          <w:szCs w:val="24"/>
        </w:rPr>
        <w:t>s after the NOPA is released.</w:t>
      </w:r>
    </w:p>
    <w:p w14:paraId="2C88D00B" w14:textId="77777777" w:rsidR="007D60E9" w:rsidRPr="00E91F37" w:rsidRDefault="007D60E9" w:rsidP="00E04486">
      <w:pPr>
        <w:rPr>
          <w:szCs w:val="24"/>
        </w:rPr>
      </w:pPr>
    </w:p>
    <w:p w14:paraId="17A1F251" w14:textId="77777777" w:rsidR="009E79ED" w:rsidRPr="00050087" w:rsidRDefault="009E79ED" w:rsidP="00164AC5">
      <w:pPr>
        <w:pStyle w:val="Heading2"/>
        <w:keepNext w:val="0"/>
        <w:numPr>
          <w:ilvl w:val="2"/>
          <w:numId w:val="85"/>
        </w:numPr>
        <w:spacing w:before="0"/>
        <w:ind w:left="720" w:hanging="720"/>
      </w:pPr>
      <w:bookmarkStart w:id="78" w:name="_Toc305406690"/>
      <w:bookmarkStart w:id="79" w:name="_Toc184829638"/>
      <w:bookmarkStart w:id="80" w:name="_Toc219275104"/>
      <w:bookmarkEnd w:id="69"/>
      <w:bookmarkEnd w:id="70"/>
      <w:r w:rsidRPr="00050087">
        <w:t>Scoring Scale</w:t>
      </w:r>
      <w:bookmarkEnd w:id="78"/>
      <w:bookmarkEnd w:id="79"/>
    </w:p>
    <w:p w14:paraId="3AD9C95E" w14:textId="77777777" w:rsidR="009E79ED" w:rsidRPr="00E91F37" w:rsidRDefault="009E79ED" w:rsidP="00E26DE1">
      <w:pPr>
        <w:ind w:left="720"/>
        <w:rPr>
          <w:szCs w:val="24"/>
        </w:rPr>
      </w:pPr>
      <w:r w:rsidRPr="00E91F37">
        <w:rPr>
          <w:szCs w:val="24"/>
        </w:rPr>
        <w:t>Using this Scoring Scale, the Evaluation Committee will give a score for each criterion described in the Evaluation Criteria.</w:t>
      </w:r>
    </w:p>
    <w:p w14:paraId="500F00FA" w14:textId="77777777" w:rsidR="009E79ED" w:rsidRPr="00050087" w:rsidRDefault="009E79ED" w:rsidP="00E04486">
      <w:pPr>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00D77B13">
        <w:trPr>
          <w:cantSplit/>
          <w:trHeight w:val="865"/>
          <w:tblHeader/>
        </w:trPr>
        <w:tc>
          <w:tcPr>
            <w:tcW w:w="1530" w:type="dxa"/>
            <w:shd w:val="clear" w:color="auto" w:fill="D9D9D9" w:themeFill="background1" w:themeFillShade="D9"/>
            <w:vAlign w:val="center"/>
          </w:tcPr>
          <w:p w14:paraId="6AA54AE3" w14:textId="77777777" w:rsidR="009E79ED" w:rsidRPr="00E91F37" w:rsidRDefault="009E79ED" w:rsidP="00E04486">
            <w:pPr>
              <w:jc w:val="center"/>
              <w:rPr>
                <w:b/>
                <w:szCs w:val="24"/>
              </w:rPr>
            </w:pPr>
            <w:r w:rsidRPr="00E91F37">
              <w:rPr>
                <w:b/>
                <w:szCs w:val="24"/>
              </w:rPr>
              <w:t>% of Possible Points</w:t>
            </w:r>
          </w:p>
        </w:tc>
        <w:tc>
          <w:tcPr>
            <w:tcW w:w="1980" w:type="dxa"/>
            <w:shd w:val="clear" w:color="auto" w:fill="D9D9D9" w:themeFill="background1" w:themeFillShade="D9"/>
            <w:vAlign w:val="center"/>
          </w:tcPr>
          <w:p w14:paraId="6236DF06" w14:textId="77777777" w:rsidR="009E79ED" w:rsidRPr="00E91F37" w:rsidRDefault="009E79ED" w:rsidP="00E04486">
            <w:pPr>
              <w:jc w:val="center"/>
              <w:rPr>
                <w:b/>
                <w:szCs w:val="24"/>
              </w:rPr>
            </w:pPr>
            <w:r w:rsidRPr="00E91F37">
              <w:rPr>
                <w:b/>
                <w:szCs w:val="24"/>
              </w:rPr>
              <w:t>Interpretation</w:t>
            </w:r>
          </w:p>
        </w:tc>
        <w:tc>
          <w:tcPr>
            <w:tcW w:w="5850" w:type="dxa"/>
            <w:shd w:val="clear" w:color="auto" w:fill="D9D9D9" w:themeFill="background1" w:themeFillShade="D9"/>
            <w:vAlign w:val="center"/>
          </w:tcPr>
          <w:p w14:paraId="6E16CCFB" w14:textId="77777777" w:rsidR="009E79ED" w:rsidRPr="00E91F37" w:rsidRDefault="009E79ED" w:rsidP="00E04486">
            <w:pPr>
              <w:jc w:val="center"/>
              <w:rPr>
                <w:b/>
                <w:szCs w:val="24"/>
              </w:rPr>
            </w:pPr>
            <w:r w:rsidRPr="00E91F37">
              <w:rPr>
                <w:b/>
                <w:szCs w:val="24"/>
              </w:rPr>
              <w:t xml:space="preserve">Explanation for Percentage Points </w:t>
            </w:r>
          </w:p>
        </w:tc>
      </w:tr>
      <w:tr w:rsidR="009E79ED" w:rsidRPr="00E91F37" w14:paraId="60C2893A" w14:textId="77777777" w:rsidTr="00D77B13">
        <w:trPr>
          <w:cantSplit/>
          <w:trHeight w:val="253"/>
        </w:trPr>
        <w:tc>
          <w:tcPr>
            <w:tcW w:w="1530" w:type="dxa"/>
            <w:vAlign w:val="center"/>
          </w:tcPr>
          <w:p w14:paraId="77FE6054" w14:textId="77777777" w:rsidR="009E79ED" w:rsidRPr="00E91F37" w:rsidRDefault="009E79ED" w:rsidP="00E04486">
            <w:pPr>
              <w:jc w:val="center"/>
              <w:rPr>
                <w:szCs w:val="24"/>
              </w:rPr>
            </w:pPr>
            <w:r w:rsidRPr="00E91F37">
              <w:rPr>
                <w:szCs w:val="24"/>
              </w:rPr>
              <w:t>0%</w:t>
            </w:r>
          </w:p>
        </w:tc>
        <w:tc>
          <w:tcPr>
            <w:tcW w:w="1980" w:type="dxa"/>
            <w:vAlign w:val="center"/>
          </w:tcPr>
          <w:p w14:paraId="74C27D9C" w14:textId="77777777" w:rsidR="009E79ED" w:rsidRPr="00E91F37" w:rsidRDefault="009E79ED" w:rsidP="00E04486">
            <w:pPr>
              <w:jc w:val="center"/>
              <w:rPr>
                <w:szCs w:val="24"/>
              </w:rPr>
            </w:pPr>
            <w:r w:rsidRPr="00E91F37">
              <w:rPr>
                <w:szCs w:val="24"/>
              </w:rPr>
              <w:t>Not Responsive</w:t>
            </w:r>
          </w:p>
        </w:tc>
        <w:tc>
          <w:tcPr>
            <w:tcW w:w="5850" w:type="dxa"/>
            <w:vAlign w:val="center"/>
          </w:tcPr>
          <w:p w14:paraId="6459B6B1" w14:textId="706E386F" w:rsidR="009E79ED" w:rsidRPr="00E91F37" w:rsidRDefault="009E79ED" w:rsidP="00E04486">
            <w:pPr>
              <w:rPr>
                <w:szCs w:val="24"/>
              </w:rPr>
            </w:pPr>
            <w:r w:rsidRPr="00E91F37">
              <w:rPr>
                <w:szCs w:val="24"/>
              </w:rPr>
              <w:t>Response does not include or fails to address the requirements being scored. The omission(s), flaw(s), or defect(s) are significant and unacceptable.</w:t>
            </w:r>
          </w:p>
        </w:tc>
      </w:tr>
      <w:tr w:rsidR="009E79ED" w:rsidRPr="00E91F37" w14:paraId="6B5A48B3" w14:textId="77777777" w:rsidTr="00D77B13">
        <w:trPr>
          <w:cantSplit/>
          <w:trHeight w:val="253"/>
        </w:trPr>
        <w:tc>
          <w:tcPr>
            <w:tcW w:w="1530" w:type="dxa"/>
            <w:vAlign w:val="center"/>
          </w:tcPr>
          <w:p w14:paraId="2217699D" w14:textId="77777777" w:rsidR="009E79ED" w:rsidRPr="00E91F37" w:rsidRDefault="00473A88" w:rsidP="00E04486">
            <w:pPr>
              <w:jc w:val="center"/>
              <w:rPr>
                <w:szCs w:val="24"/>
              </w:rPr>
            </w:pPr>
            <w:r w:rsidRPr="00E91F37">
              <w:rPr>
                <w:szCs w:val="24"/>
              </w:rPr>
              <w:t>10-30</w:t>
            </w:r>
            <w:r w:rsidR="009E79ED" w:rsidRPr="00E91F37">
              <w:rPr>
                <w:szCs w:val="24"/>
              </w:rPr>
              <w:t>%</w:t>
            </w:r>
          </w:p>
        </w:tc>
        <w:tc>
          <w:tcPr>
            <w:tcW w:w="1980" w:type="dxa"/>
            <w:vAlign w:val="center"/>
          </w:tcPr>
          <w:p w14:paraId="773B62F4" w14:textId="77777777" w:rsidR="009E79ED" w:rsidRPr="00E91F37" w:rsidRDefault="009E79ED" w:rsidP="00E04486">
            <w:pPr>
              <w:jc w:val="center"/>
              <w:rPr>
                <w:szCs w:val="24"/>
              </w:rPr>
            </w:pPr>
            <w:r w:rsidRPr="00E91F37">
              <w:rPr>
                <w:szCs w:val="24"/>
              </w:rPr>
              <w:t>Minimally Responsive</w:t>
            </w:r>
          </w:p>
        </w:tc>
        <w:tc>
          <w:tcPr>
            <w:tcW w:w="5850" w:type="dxa"/>
            <w:vAlign w:val="center"/>
          </w:tcPr>
          <w:p w14:paraId="3C503050" w14:textId="4F77DB0E" w:rsidR="009E79ED" w:rsidRPr="00E91F37" w:rsidRDefault="009E79ED" w:rsidP="00E04486">
            <w:pPr>
              <w:rPr>
                <w:szCs w:val="24"/>
              </w:rPr>
            </w:pPr>
            <w:r w:rsidRPr="00E91F37">
              <w:rPr>
                <w:szCs w:val="24"/>
              </w:rPr>
              <w:t>Response minimally addresses the requirements being scored. The omission(s), flaw(s), or defect(s) are significant and unacceptable.</w:t>
            </w:r>
          </w:p>
        </w:tc>
      </w:tr>
      <w:tr w:rsidR="009E79ED" w:rsidRPr="00E91F37" w14:paraId="0B90326D" w14:textId="77777777" w:rsidTr="00D77B13">
        <w:trPr>
          <w:cantSplit/>
          <w:trHeight w:val="253"/>
        </w:trPr>
        <w:tc>
          <w:tcPr>
            <w:tcW w:w="1530" w:type="dxa"/>
            <w:vAlign w:val="center"/>
          </w:tcPr>
          <w:p w14:paraId="01A3DA7D" w14:textId="77777777" w:rsidR="009E79ED" w:rsidRPr="00E91F37" w:rsidRDefault="00473A88" w:rsidP="00E04486">
            <w:pPr>
              <w:jc w:val="center"/>
              <w:rPr>
                <w:szCs w:val="24"/>
              </w:rPr>
            </w:pPr>
            <w:r w:rsidRPr="00E91F37">
              <w:rPr>
                <w:szCs w:val="24"/>
              </w:rPr>
              <w:t>40-60</w:t>
            </w:r>
            <w:r w:rsidR="009E79ED" w:rsidRPr="00E91F37">
              <w:rPr>
                <w:szCs w:val="24"/>
              </w:rPr>
              <w:t>%</w:t>
            </w:r>
          </w:p>
        </w:tc>
        <w:tc>
          <w:tcPr>
            <w:tcW w:w="1980" w:type="dxa"/>
            <w:vAlign w:val="center"/>
          </w:tcPr>
          <w:p w14:paraId="0601B0C6" w14:textId="77777777" w:rsidR="009E79ED" w:rsidRPr="00E91F37" w:rsidRDefault="009E79ED" w:rsidP="00E04486">
            <w:pPr>
              <w:jc w:val="center"/>
              <w:rPr>
                <w:szCs w:val="24"/>
              </w:rPr>
            </w:pPr>
            <w:r w:rsidRPr="00E91F37">
              <w:rPr>
                <w:szCs w:val="24"/>
              </w:rPr>
              <w:t>Inadequate</w:t>
            </w:r>
          </w:p>
        </w:tc>
        <w:tc>
          <w:tcPr>
            <w:tcW w:w="5850" w:type="dxa"/>
            <w:vAlign w:val="center"/>
          </w:tcPr>
          <w:p w14:paraId="09E75AB9" w14:textId="77777777" w:rsidR="009E79ED" w:rsidRPr="00E91F37" w:rsidRDefault="009E79ED" w:rsidP="00E04486">
            <w:pPr>
              <w:rPr>
                <w:szCs w:val="24"/>
              </w:rPr>
            </w:pPr>
            <w:r w:rsidRPr="00E91F37">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D77B13">
        <w:trPr>
          <w:cantSplit/>
          <w:trHeight w:val="253"/>
        </w:trPr>
        <w:tc>
          <w:tcPr>
            <w:tcW w:w="1530" w:type="dxa"/>
            <w:vAlign w:val="center"/>
          </w:tcPr>
          <w:p w14:paraId="35EB312F" w14:textId="77777777" w:rsidR="009E79ED" w:rsidRPr="00E91F37" w:rsidRDefault="009E79ED" w:rsidP="00E04486">
            <w:pPr>
              <w:jc w:val="center"/>
              <w:rPr>
                <w:szCs w:val="24"/>
              </w:rPr>
            </w:pPr>
            <w:r w:rsidRPr="00E91F37">
              <w:rPr>
                <w:szCs w:val="24"/>
              </w:rPr>
              <w:t>70%</w:t>
            </w:r>
          </w:p>
        </w:tc>
        <w:tc>
          <w:tcPr>
            <w:tcW w:w="1980" w:type="dxa"/>
            <w:vAlign w:val="center"/>
          </w:tcPr>
          <w:p w14:paraId="1ACA9CD8" w14:textId="77777777" w:rsidR="009E79ED" w:rsidRPr="00E91F37" w:rsidRDefault="009E79ED" w:rsidP="00E04486">
            <w:pPr>
              <w:jc w:val="center"/>
              <w:rPr>
                <w:szCs w:val="24"/>
              </w:rPr>
            </w:pPr>
            <w:r w:rsidRPr="00E91F37">
              <w:rPr>
                <w:szCs w:val="24"/>
              </w:rPr>
              <w:t>Adequate</w:t>
            </w:r>
          </w:p>
        </w:tc>
        <w:tc>
          <w:tcPr>
            <w:tcW w:w="5850" w:type="dxa"/>
            <w:vAlign w:val="center"/>
          </w:tcPr>
          <w:p w14:paraId="69EFBC12" w14:textId="441B951B" w:rsidR="009E79ED" w:rsidRPr="00E91F37" w:rsidRDefault="009E79ED" w:rsidP="00E04486">
            <w:pPr>
              <w:rPr>
                <w:szCs w:val="24"/>
              </w:rPr>
            </w:pPr>
            <w:r w:rsidRPr="00E91F37">
              <w:rPr>
                <w:szCs w:val="24"/>
              </w:rPr>
              <w:t>Response adequately addresses the requirements being scored. Any omission(s), flaw(s), or defect(s) are inconsequential and acceptable.</w:t>
            </w:r>
          </w:p>
        </w:tc>
      </w:tr>
      <w:tr w:rsidR="00CB3565" w:rsidRPr="00E91F37" w14:paraId="7A4BFD61" w14:textId="77777777" w:rsidTr="00D77B13">
        <w:trPr>
          <w:cantSplit/>
          <w:trHeight w:val="253"/>
        </w:trPr>
        <w:tc>
          <w:tcPr>
            <w:tcW w:w="1530" w:type="dxa"/>
            <w:vAlign w:val="center"/>
          </w:tcPr>
          <w:p w14:paraId="2EFA029E" w14:textId="77777777" w:rsidR="00CB3565" w:rsidRPr="00E91F37" w:rsidRDefault="00181269" w:rsidP="00E04486">
            <w:pPr>
              <w:jc w:val="center"/>
              <w:rPr>
                <w:szCs w:val="24"/>
              </w:rPr>
            </w:pPr>
            <w:r w:rsidRPr="00E91F37">
              <w:rPr>
                <w:szCs w:val="24"/>
              </w:rPr>
              <w:t>75%</w:t>
            </w:r>
          </w:p>
        </w:tc>
        <w:tc>
          <w:tcPr>
            <w:tcW w:w="1980" w:type="dxa"/>
            <w:vAlign w:val="center"/>
          </w:tcPr>
          <w:p w14:paraId="48432C42" w14:textId="77777777" w:rsidR="00CB3565" w:rsidRPr="00E91F37" w:rsidRDefault="00181269" w:rsidP="00E04486">
            <w:pPr>
              <w:jc w:val="center"/>
              <w:rPr>
                <w:szCs w:val="24"/>
              </w:rPr>
            </w:pPr>
            <w:r w:rsidRPr="00E91F37">
              <w:rPr>
                <w:szCs w:val="24"/>
              </w:rPr>
              <w:t>Between Adequate and Good</w:t>
            </w:r>
          </w:p>
        </w:tc>
        <w:tc>
          <w:tcPr>
            <w:tcW w:w="5850" w:type="dxa"/>
            <w:vAlign w:val="center"/>
          </w:tcPr>
          <w:p w14:paraId="5405B70B" w14:textId="77777777" w:rsidR="00CB3565" w:rsidRPr="00E91F37" w:rsidRDefault="00181269" w:rsidP="00E04486">
            <w:pPr>
              <w:rPr>
                <w:szCs w:val="24"/>
              </w:rPr>
            </w:pPr>
            <w:r w:rsidRPr="00E91F37">
              <w:rPr>
                <w:szCs w:val="24"/>
              </w:rPr>
              <w:t>Response better than adequately addresses the requirements being scored. Any omission(s), flaw(s), or defect(s) are inconsequential and acceptable.</w:t>
            </w:r>
          </w:p>
        </w:tc>
      </w:tr>
      <w:tr w:rsidR="009E79ED" w:rsidRPr="00E91F37" w14:paraId="4164CC1B" w14:textId="77777777" w:rsidTr="00D77B13">
        <w:trPr>
          <w:cantSplit/>
          <w:trHeight w:val="253"/>
        </w:trPr>
        <w:tc>
          <w:tcPr>
            <w:tcW w:w="1530" w:type="dxa"/>
            <w:vAlign w:val="center"/>
          </w:tcPr>
          <w:p w14:paraId="50447104" w14:textId="77777777" w:rsidR="009E79ED" w:rsidRPr="00E91F37" w:rsidRDefault="009E79ED" w:rsidP="00E04486">
            <w:pPr>
              <w:jc w:val="center"/>
              <w:rPr>
                <w:szCs w:val="24"/>
              </w:rPr>
            </w:pPr>
            <w:r w:rsidRPr="00E91F37">
              <w:rPr>
                <w:szCs w:val="24"/>
              </w:rPr>
              <w:t>80%</w:t>
            </w:r>
          </w:p>
        </w:tc>
        <w:tc>
          <w:tcPr>
            <w:tcW w:w="1980" w:type="dxa"/>
            <w:vAlign w:val="center"/>
          </w:tcPr>
          <w:p w14:paraId="6CB08D2D" w14:textId="77777777" w:rsidR="009E79ED" w:rsidRPr="00E91F37" w:rsidRDefault="009E79ED" w:rsidP="00E04486">
            <w:pPr>
              <w:jc w:val="center"/>
              <w:rPr>
                <w:szCs w:val="24"/>
              </w:rPr>
            </w:pPr>
            <w:r w:rsidRPr="00E91F37">
              <w:rPr>
                <w:szCs w:val="24"/>
              </w:rPr>
              <w:t>Good</w:t>
            </w:r>
          </w:p>
        </w:tc>
        <w:tc>
          <w:tcPr>
            <w:tcW w:w="5850" w:type="dxa"/>
            <w:vAlign w:val="center"/>
          </w:tcPr>
          <w:p w14:paraId="4C24F8AC" w14:textId="3CFE41FE" w:rsidR="009E79ED" w:rsidRPr="00E91F37" w:rsidRDefault="009E79ED" w:rsidP="00E04486">
            <w:pPr>
              <w:rPr>
                <w:szCs w:val="24"/>
              </w:rPr>
            </w:pPr>
            <w:r w:rsidRPr="60D49439">
              <w:rPr>
                <w:szCs w:val="24"/>
              </w:rPr>
              <w:t xml:space="preserve">Response fully addresses the requirements being scored with a good degree of confidence in the </w:t>
            </w:r>
            <w:r w:rsidR="399B4DE6" w:rsidRPr="60D49439">
              <w:rPr>
                <w:szCs w:val="24"/>
              </w:rPr>
              <w:t>A</w:t>
            </w:r>
            <w:r w:rsidR="00403F6F" w:rsidRPr="60D49439">
              <w:rPr>
                <w:szCs w:val="24"/>
              </w:rPr>
              <w:t>pplicant</w:t>
            </w:r>
            <w:r w:rsidRPr="60D49439">
              <w:rPr>
                <w:szCs w:val="24"/>
              </w:rPr>
              <w:t>’s response or proposed solution. No identified omission(s), flaw(s), or defect(s). Any identified weaknesses are minimal, inconsequential, and acceptable.</w:t>
            </w:r>
          </w:p>
        </w:tc>
      </w:tr>
      <w:tr w:rsidR="00CB3565" w:rsidRPr="00E91F37" w14:paraId="5B7648DF" w14:textId="77777777" w:rsidTr="00D77B13">
        <w:trPr>
          <w:cantSplit/>
          <w:trHeight w:val="253"/>
        </w:trPr>
        <w:tc>
          <w:tcPr>
            <w:tcW w:w="1530" w:type="dxa"/>
            <w:vAlign w:val="center"/>
          </w:tcPr>
          <w:p w14:paraId="52F6F7AE" w14:textId="77777777" w:rsidR="00CB3565" w:rsidRPr="00E91F37" w:rsidRDefault="00181269" w:rsidP="00E04486">
            <w:pPr>
              <w:jc w:val="center"/>
              <w:rPr>
                <w:szCs w:val="24"/>
              </w:rPr>
            </w:pPr>
            <w:r w:rsidRPr="00E91F37">
              <w:rPr>
                <w:szCs w:val="24"/>
              </w:rPr>
              <w:t>85%</w:t>
            </w:r>
          </w:p>
        </w:tc>
        <w:tc>
          <w:tcPr>
            <w:tcW w:w="1980" w:type="dxa"/>
            <w:vAlign w:val="center"/>
          </w:tcPr>
          <w:p w14:paraId="6788C02D" w14:textId="77777777" w:rsidR="00CB3565" w:rsidRPr="00E91F37" w:rsidRDefault="00181269" w:rsidP="00E04486">
            <w:pPr>
              <w:jc w:val="center"/>
              <w:rPr>
                <w:szCs w:val="24"/>
              </w:rPr>
            </w:pPr>
            <w:r w:rsidRPr="00E91F37">
              <w:rPr>
                <w:szCs w:val="24"/>
              </w:rPr>
              <w:t>Between Good and Excellent</w:t>
            </w:r>
          </w:p>
        </w:tc>
        <w:tc>
          <w:tcPr>
            <w:tcW w:w="5850" w:type="dxa"/>
            <w:vAlign w:val="center"/>
          </w:tcPr>
          <w:p w14:paraId="044162C1" w14:textId="0E872A07" w:rsidR="00CB3565" w:rsidRPr="00E91F37" w:rsidRDefault="00181269" w:rsidP="001D3518">
            <w:pPr>
              <w:rPr>
                <w:szCs w:val="24"/>
              </w:rPr>
            </w:pPr>
            <w:r w:rsidRPr="00E91F37">
              <w:rPr>
                <w:szCs w:val="24"/>
              </w:rPr>
              <w:t xml:space="preserve">Response fully addresses the requirements being scored with a better than good degree of confidence in the </w:t>
            </w:r>
            <w:r w:rsidR="00977DE8">
              <w:rPr>
                <w:szCs w:val="24"/>
              </w:rPr>
              <w:t>A</w:t>
            </w:r>
            <w:r w:rsidRPr="00E91F37">
              <w:rPr>
                <w:szCs w:val="24"/>
              </w:rPr>
              <w:t>pplicant’s response or proposed solution. No identified omission(s), flaw(s), or defect(s). Any identified weaknesses are minimal, inconsequential, and acceptable.</w:t>
            </w:r>
          </w:p>
        </w:tc>
      </w:tr>
      <w:tr w:rsidR="009E79ED" w:rsidRPr="00E91F37" w14:paraId="4B90B340" w14:textId="77777777" w:rsidTr="00D77B13">
        <w:trPr>
          <w:cantSplit/>
          <w:trHeight w:val="253"/>
        </w:trPr>
        <w:tc>
          <w:tcPr>
            <w:tcW w:w="1530" w:type="dxa"/>
            <w:vAlign w:val="center"/>
          </w:tcPr>
          <w:p w14:paraId="63D68D25" w14:textId="77777777" w:rsidR="009E79ED" w:rsidRPr="00E91F37" w:rsidRDefault="009E79ED" w:rsidP="00E04486">
            <w:pPr>
              <w:jc w:val="center"/>
              <w:rPr>
                <w:szCs w:val="24"/>
              </w:rPr>
            </w:pPr>
            <w:r w:rsidRPr="00E91F37">
              <w:rPr>
                <w:szCs w:val="24"/>
              </w:rPr>
              <w:t>90%</w:t>
            </w:r>
          </w:p>
        </w:tc>
        <w:tc>
          <w:tcPr>
            <w:tcW w:w="1980" w:type="dxa"/>
            <w:vAlign w:val="center"/>
          </w:tcPr>
          <w:p w14:paraId="38F1A121" w14:textId="77777777" w:rsidR="009E79ED" w:rsidRPr="00E91F37" w:rsidRDefault="009E79ED" w:rsidP="00E04486">
            <w:pPr>
              <w:jc w:val="center"/>
              <w:rPr>
                <w:szCs w:val="24"/>
              </w:rPr>
            </w:pPr>
            <w:r w:rsidRPr="00E91F37">
              <w:rPr>
                <w:szCs w:val="24"/>
              </w:rPr>
              <w:t>Excellent</w:t>
            </w:r>
          </w:p>
        </w:tc>
        <w:tc>
          <w:tcPr>
            <w:tcW w:w="5850" w:type="dxa"/>
            <w:vAlign w:val="center"/>
          </w:tcPr>
          <w:p w14:paraId="28BF3CEA" w14:textId="4C67C345" w:rsidR="009E79ED" w:rsidRPr="00E91F37" w:rsidRDefault="009E79ED" w:rsidP="00E04486">
            <w:pPr>
              <w:rPr>
                <w:szCs w:val="24"/>
              </w:rPr>
            </w:pPr>
            <w:r w:rsidRPr="60D49439">
              <w:rPr>
                <w:szCs w:val="24"/>
              </w:rPr>
              <w:t xml:space="preserve">Response fully addresses the requirements being scored with a high degree of confidence in the </w:t>
            </w:r>
            <w:r w:rsidR="3298A3A8" w:rsidRPr="60D49439">
              <w:rPr>
                <w:szCs w:val="24"/>
              </w:rPr>
              <w:t>A</w:t>
            </w:r>
            <w:r w:rsidR="00403F6F" w:rsidRPr="60D49439">
              <w:rPr>
                <w:szCs w:val="24"/>
              </w:rPr>
              <w:t>pplicant</w:t>
            </w:r>
            <w:r w:rsidRPr="60D49439">
              <w:rPr>
                <w:szCs w:val="24"/>
              </w:rPr>
              <w:t xml:space="preserve">’s response or proposed solution. </w:t>
            </w:r>
            <w:r w:rsidR="00D11F0F" w:rsidRPr="60D49439">
              <w:rPr>
                <w:szCs w:val="24"/>
              </w:rPr>
              <w:t>Applicant</w:t>
            </w:r>
            <w:r w:rsidRPr="60D49439">
              <w:rPr>
                <w:szCs w:val="24"/>
              </w:rPr>
              <w:t xml:space="preserve"> offers one or more enhancing features, methods or approaches exceeding basic expectations.</w:t>
            </w:r>
          </w:p>
        </w:tc>
      </w:tr>
      <w:tr w:rsidR="00181269" w:rsidRPr="00E91F37" w14:paraId="6C828325" w14:textId="77777777" w:rsidTr="00D77B13">
        <w:trPr>
          <w:cantSplit/>
          <w:trHeight w:val="253"/>
        </w:trPr>
        <w:tc>
          <w:tcPr>
            <w:tcW w:w="1530" w:type="dxa"/>
            <w:vAlign w:val="center"/>
          </w:tcPr>
          <w:p w14:paraId="09397AB7" w14:textId="77777777" w:rsidR="00181269" w:rsidRPr="00E91F37" w:rsidRDefault="00181269" w:rsidP="00E04486">
            <w:pPr>
              <w:jc w:val="center"/>
              <w:rPr>
                <w:szCs w:val="24"/>
              </w:rPr>
            </w:pPr>
            <w:r w:rsidRPr="00E91F37">
              <w:rPr>
                <w:szCs w:val="24"/>
              </w:rPr>
              <w:lastRenderedPageBreak/>
              <w:t>95%</w:t>
            </w:r>
          </w:p>
        </w:tc>
        <w:tc>
          <w:tcPr>
            <w:tcW w:w="1980" w:type="dxa"/>
            <w:vAlign w:val="center"/>
          </w:tcPr>
          <w:p w14:paraId="7D25777F" w14:textId="77777777" w:rsidR="00181269" w:rsidRPr="00E91F37" w:rsidRDefault="00181269" w:rsidP="00E04486">
            <w:pPr>
              <w:jc w:val="center"/>
              <w:rPr>
                <w:szCs w:val="24"/>
              </w:rPr>
            </w:pPr>
            <w:r w:rsidRPr="00E91F37">
              <w:rPr>
                <w:szCs w:val="24"/>
              </w:rPr>
              <w:t>Between Excellent and Exceptional</w:t>
            </w:r>
          </w:p>
        </w:tc>
        <w:tc>
          <w:tcPr>
            <w:tcW w:w="5850" w:type="dxa"/>
            <w:vAlign w:val="center"/>
          </w:tcPr>
          <w:p w14:paraId="21664C1C" w14:textId="12F007B4" w:rsidR="00181269" w:rsidRPr="00E91F37" w:rsidRDefault="00181269" w:rsidP="001D3518">
            <w:pPr>
              <w:rPr>
                <w:szCs w:val="24"/>
              </w:rPr>
            </w:pPr>
            <w:r w:rsidRPr="00E91F37">
              <w:rPr>
                <w:szCs w:val="24"/>
              </w:rPr>
              <w:t xml:space="preserve">Response fully addresses the requirements being scored with a better than excellent degree of confidence in the </w:t>
            </w:r>
            <w:r w:rsidR="00977DE8">
              <w:rPr>
                <w:szCs w:val="24"/>
              </w:rPr>
              <w:t>A</w:t>
            </w:r>
            <w:r w:rsidRPr="00E91F37">
              <w:rPr>
                <w:szCs w:val="24"/>
              </w:rPr>
              <w:t>pplicant’s response or proposed solution. Applicant offers one or more enhancing features, methods or approaches exceeding basic expectations.</w:t>
            </w:r>
          </w:p>
        </w:tc>
      </w:tr>
      <w:tr w:rsidR="009E79ED" w:rsidRPr="00E91F37" w14:paraId="31E79889" w14:textId="77777777" w:rsidTr="00D77B13">
        <w:trPr>
          <w:cantSplit/>
          <w:trHeight w:val="253"/>
        </w:trPr>
        <w:tc>
          <w:tcPr>
            <w:tcW w:w="1530" w:type="dxa"/>
            <w:vAlign w:val="center"/>
          </w:tcPr>
          <w:p w14:paraId="65EE0C63" w14:textId="77777777" w:rsidR="009E79ED" w:rsidRPr="00E91F37" w:rsidRDefault="009E79ED" w:rsidP="00E04486">
            <w:pPr>
              <w:jc w:val="center"/>
              <w:rPr>
                <w:szCs w:val="24"/>
              </w:rPr>
            </w:pPr>
            <w:r w:rsidRPr="00E91F37">
              <w:rPr>
                <w:szCs w:val="24"/>
              </w:rPr>
              <w:t>100%</w:t>
            </w:r>
          </w:p>
        </w:tc>
        <w:tc>
          <w:tcPr>
            <w:tcW w:w="1980" w:type="dxa"/>
            <w:vAlign w:val="center"/>
          </w:tcPr>
          <w:p w14:paraId="785E2C2B" w14:textId="77777777" w:rsidR="009E79ED" w:rsidRPr="00E91F37" w:rsidRDefault="009E79ED" w:rsidP="00E04486">
            <w:pPr>
              <w:jc w:val="center"/>
              <w:rPr>
                <w:szCs w:val="24"/>
              </w:rPr>
            </w:pPr>
            <w:r w:rsidRPr="00E91F37">
              <w:rPr>
                <w:szCs w:val="24"/>
              </w:rPr>
              <w:t>Exceptional</w:t>
            </w:r>
          </w:p>
        </w:tc>
        <w:tc>
          <w:tcPr>
            <w:tcW w:w="5850" w:type="dxa"/>
            <w:vAlign w:val="center"/>
          </w:tcPr>
          <w:p w14:paraId="4FD177A3" w14:textId="2665DBCF" w:rsidR="009E79ED" w:rsidRPr="00E91F37" w:rsidRDefault="009E79ED" w:rsidP="00E04486">
            <w:pPr>
              <w:rPr>
                <w:szCs w:val="24"/>
              </w:rPr>
            </w:pPr>
            <w:r w:rsidRPr="00E91F37">
              <w:rPr>
                <w:szCs w:val="24"/>
              </w:rPr>
              <w:t xml:space="preserve">All requirements are addressed with the highest degree of confidence in the </w:t>
            </w:r>
            <w:r w:rsidR="00977DE8">
              <w:rPr>
                <w:szCs w:val="24"/>
              </w:rPr>
              <w:t>A</w:t>
            </w:r>
            <w:r w:rsidR="00403F6F" w:rsidRPr="00E91F37">
              <w:rPr>
                <w:szCs w:val="24"/>
              </w:rPr>
              <w:t>pplicant</w:t>
            </w:r>
            <w:r w:rsidRPr="00E91F37">
              <w:rPr>
                <w:szCs w:val="24"/>
              </w:rPr>
              <w:t>’s response or proposed solution. The response exceeds the requirements in providing multiple enhancing features, a creative approach, or an exceptional solution.</w:t>
            </w:r>
          </w:p>
        </w:tc>
      </w:tr>
      <w:bookmarkEnd w:id="80"/>
    </w:tbl>
    <w:p w14:paraId="1CD37DF6" w14:textId="49F4D53C" w:rsidR="007D60E9" w:rsidRDefault="007D60E9" w:rsidP="00E04486">
      <w:pPr>
        <w:rPr>
          <w:szCs w:val="22"/>
        </w:rPr>
      </w:pPr>
    </w:p>
    <w:p w14:paraId="69A043C0" w14:textId="77777777" w:rsidR="0058041E" w:rsidRPr="00050087" w:rsidRDefault="0058041E" w:rsidP="00E04486">
      <w:pPr>
        <w:rPr>
          <w:szCs w:val="22"/>
        </w:rPr>
      </w:pPr>
    </w:p>
    <w:p w14:paraId="78941710" w14:textId="77777777" w:rsidR="00473A88" w:rsidRPr="00050087" w:rsidRDefault="00473A88" w:rsidP="00164AC5">
      <w:pPr>
        <w:pStyle w:val="Heading2"/>
        <w:keepNext w:val="0"/>
        <w:numPr>
          <w:ilvl w:val="2"/>
          <w:numId w:val="85"/>
        </w:numPr>
        <w:spacing w:before="0"/>
        <w:ind w:left="720" w:hanging="720"/>
      </w:pPr>
      <w:bookmarkStart w:id="81" w:name="_Toc184829639"/>
      <w:r w:rsidRPr="00050087">
        <w:t>Evaluation Criteria</w:t>
      </w:r>
      <w:bookmarkEnd w:id="81"/>
    </w:p>
    <w:p w14:paraId="60E580D3" w14:textId="77777777" w:rsidR="00AB3DDD" w:rsidRPr="00050087" w:rsidRDefault="00AB3DDD" w:rsidP="00E04486">
      <w:pPr>
        <w:rPr>
          <w:szCs w:val="22"/>
        </w:rPr>
      </w:pPr>
    </w:p>
    <w:tbl>
      <w:tblPr>
        <w:tblStyle w:val="TableGrid"/>
        <w:tblW w:w="0" w:type="auto"/>
        <w:tblLook w:val="04A0" w:firstRow="1" w:lastRow="0" w:firstColumn="1" w:lastColumn="0" w:noHBand="0" w:noVBand="1"/>
      </w:tblPr>
      <w:tblGrid>
        <w:gridCol w:w="7877"/>
        <w:gridCol w:w="1473"/>
      </w:tblGrid>
      <w:tr w:rsidR="008574D4" w:rsidRPr="00E91F37" w14:paraId="58F8C65D" w14:textId="77777777" w:rsidTr="00534AD2">
        <w:trPr>
          <w:tblHeader/>
        </w:trPr>
        <w:tc>
          <w:tcPr>
            <w:tcW w:w="7877" w:type="dxa"/>
            <w:shd w:val="clear" w:color="auto" w:fill="D9D9D9" w:themeFill="background1" w:themeFillShade="D9"/>
            <w:vAlign w:val="bottom"/>
          </w:tcPr>
          <w:p w14:paraId="24324D43" w14:textId="77777777" w:rsidR="008574D4" w:rsidRPr="0060634E" w:rsidRDefault="008574D4" w:rsidP="00705437">
            <w:pPr>
              <w:spacing w:before="40" w:after="40"/>
              <w:ind w:left="720"/>
              <w:jc w:val="center"/>
              <w:rPr>
                <w:b/>
                <w:szCs w:val="24"/>
                <w:highlight w:val="yellow"/>
              </w:rPr>
            </w:pPr>
            <w:bookmarkStart w:id="82" w:name="_Toc365376518"/>
            <w:r w:rsidRPr="0060634E">
              <w:rPr>
                <w:b/>
                <w:szCs w:val="24"/>
              </w:rPr>
              <w:t>Criterion</w:t>
            </w:r>
          </w:p>
        </w:tc>
        <w:tc>
          <w:tcPr>
            <w:tcW w:w="1473" w:type="dxa"/>
            <w:shd w:val="clear" w:color="auto" w:fill="D9D9D9" w:themeFill="background1" w:themeFillShade="D9"/>
            <w:vAlign w:val="bottom"/>
          </w:tcPr>
          <w:p w14:paraId="38CAD922" w14:textId="77777777" w:rsidR="008574D4" w:rsidRPr="0060634E" w:rsidRDefault="008574D4" w:rsidP="00705437">
            <w:pPr>
              <w:spacing w:before="40" w:after="40"/>
              <w:jc w:val="center"/>
              <w:rPr>
                <w:szCs w:val="24"/>
              </w:rPr>
            </w:pPr>
            <w:r w:rsidRPr="0060634E">
              <w:rPr>
                <w:b/>
                <w:szCs w:val="24"/>
              </w:rPr>
              <w:t>Possible Points</w:t>
            </w:r>
          </w:p>
        </w:tc>
      </w:tr>
      <w:tr w:rsidR="008574D4" w:rsidRPr="00E91F37" w14:paraId="51B96168" w14:textId="77777777" w:rsidTr="00534AD2">
        <w:tc>
          <w:tcPr>
            <w:tcW w:w="7877" w:type="dxa"/>
          </w:tcPr>
          <w:p w14:paraId="5ADED5E5" w14:textId="72640543" w:rsidR="008574D4" w:rsidRPr="00294AC3" w:rsidRDefault="008574D4" w:rsidP="00705437">
            <w:pPr>
              <w:numPr>
                <w:ilvl w:val="0"/>
                <w:numId w:val="87"/>
              </w:numPr>
              <w:spacing w:before="40" w:after="40"/>
              <w:ind w:hanging="655"/>
              <w:rPr>
                <w:b/>
                <w:bCs/>
                <w:szCs w:val="24"/>
              </w:rPr>
            </w:pPr>
            <w:r w:rsidRPr="00294AC3">
              <w:rPr>
                <w:b/>
                <w:bCs/>
                <w:szCs w:val="24"/>
              </w:rPr>
              <w:t>EV Charging Station Siting</w:t>
            </w:r>
          </w:p>
          <w:p w14:paraId="31C0928D" w14:textId="77777777" w:rsidR="008574D4" w:rsidRPr="0060634E" w:rsidRDefault="008574D4" w:rsidP="00705437">
            <w:pPr>
              <w:spacing w:before="40" w:after="40"/>
              <w:rPr>
                <w:szCs w:val="24"/>
              </w:rPr>
            </w:pPr>
            <w:r w:rsidRPr="0060634E">
              <w:rPr>
                <w:szCs w:val="24"/>
              </w:rPr>
              <w:t>Applications will be evaluated on the degree to which:</w:t>
            </w:r>
          </w:p>
          <w:p w14:paraId="57EC4C1D" w14:textId="0B72A854" w:rsidR="00304D8B" w:rsidRPr="00CF1E2E" w:rsidRDefault="008574D4" w:rsidP="00705437">
            <w:pPr>
              <w:pStyle w:val="ListParagraph"/>
              <w:numPr>
                <w:ilvl w:val="0"/>
                <w:numId w:val="81"/>
              </w:numPr>
              <w:spacing w:before="40" w:after="40"/>
              <w:rPr>
                <w:szCs w:val="24"/>
              </w:rPr>
            </w:pPr>
            <w:r w:rsidRPr="00F034F0">
              <w:rPr>
                <w:szCs w:val="24"/>
              </w:rPr>
              <w:t>The Applicant lists the proposed EV charging station location</w:t>
            </w:r>
            <w:r w:rsidR="00CD4412">
              <w:rPr>
                <w:szCs w:val="24"/>
              </w:rPr>
              <w:t>(</w:t>
            </w:r>
            <w:r w:rsidRPr="00F034F0">
              <w:rPr>
                <w:szCs w:val="24"/>
              </w:rPr>
              <w:t>s</w:t>
            </w:r>
            <w:r w:rsidR="00CD4412">
              <w:rPr>
                <w:szCs w:val="24"/>
              </w:rPr>
              <w:t>)</w:t>
            </w:r>
            <w:r w:rsidRPr="00F034F0">
              <w:rPr>
                <w:szCs w:val="24"/>
              </w:rPr>
              <w:t>, including address</w:t>
            </w:r>
            <w:r w:rsidR="00CD4412">
              <w:rPr>
                <w:szCs w:val="24"/>
              </w:rPr>
              <w:t>(</w:t>
            </w:r>
            <w:r w:rsidRPr="00F034F0">
              <w:rPr>
                <w:szCs w:val="24"/>
              </w:rPr>
              <w:t>es</w:t>
            </w:r>
            <w:r w:rsidR="00CD4412">
              <w:rPr>
                <w:szCs w:val="24"/>
              </w:rPr>
              <w:t>)</w:t>
            </w:r>
            <w:r w:rsidRPr="00F034F0">
              <w:rPr>
                <w:szCs w:val="24"/>
              </w:rPr>
              <w:t>, if known. The</w:t>
            </w:r>
            <w:r w:rsidR="00E75F65">
              <w:rPr>
                <w:szCs w:val="24"/>
              </w:rPr>
              <w:t xml:space="preserve">re is </w:t>
            </w:r>
            <w:r w:rsidRPr="00F034F0">
              <w:rPr>
                <w:szCs w:val="24"/>
              </w:rPr>
              <w:t>a clear, concise, and compelling justification for the specific proposed EV charging station location(s)</w:t>
            </w:r>
            <w:r w:rsidR="00602857">
              <w:rPr>
                <w:szCs w:val="24"/>
              </w:rPr>
              <w:t xml:space="preserve"> </w:t>
            </w:r>
            <w:r w:rsidR="002677F6">
              <w:rPr>
                <w:szCs w:val="24"/>
              </w:rPr>
              <w:t>satisfying</w:t>
            </w:r>
            <w:r w:rsidR="00A17754">
              <w:t xml:space="preserve"> the needed locations identified in Table 2</w:t>
            </w:r>
            <w:r w:rsidR="00CD4412" w:rsidRPr="00CF1E2E">
              <w:rPr>
                <w:szCs w:val="24"/>
              </w:rPr>
              <w:t>, if applicable</w:t>
            </w:r>
            <w:r w:rsidR="00A17754" w:rsidRPr="00CF1E2E">
              <w:rPr>
                <w:szCs w:val="24"/>
              </w:rPr>
              <w:t xml:space="preserve">. </w:t>
            </w:r>
          </w:p>
          <w:p w14:paraId="5D1F44ED" w14:textId="56435296" w:rsidR="00A17754" w:rsidRPr="00F743D7" w:rsidRDefault="00A17754" w:rsidP="00705437">
            <w:pPr>
              <w:pStyle w:val="ListParagraph"/>
              <w:numPr>
                <w:ilvl w:val="0"/>
                <w:numId w:val="81"/>
              </w:numPr>
              <w:spacing w:before="40" w:after="40"/>
              <w:rPr>
                <w:szCs w:val="24"/>
              </w:rPr>
            </w:pPr>
            <w:r w:rsidRPr="00F743D7">
              <w:rPr>
                <w:szCs w:val="24"/>
              </w:rPr>
              <w:t xml:space="preserve">For corridor segments with asterisks in Table 2 denoting a preference for the use of existing stations, </w:t>
            </w:r>
            <w:r w:rsidR="007319BA">
              <w:rPr>
                <w:szCs w:val="24"/>
              </w:rPr>
              <w:t>the</w:t>
            </w:r>
            <w:r w:rsidRPr="00F743D7">
              <w:rPr>
                <w:szCs w:val="24"/>
              </w:rPr>
              <w:t xml:space="preserve"> proposal satisfies that preference. </w:t>
            </w:r>
          </w:p>
          <w:p w14:paraId="294A63A5" w14:textId="542DD922" w:rsidR="008574D4" w:rsidRPr="004A4ABE" w:rsidRDefault="00BF6405" w:rsidP="00705437">
            <w:pPr>
              <w:pStyle w:val="ListParagraph"/>
              <w:numPr>
                <w:ilvl w:val="0"/>
                <w:numId w:val="81"/>
              </w:numPr>
              <w:spacing w:before="40" w:after="40"/>
            </w:pPr>
            <w:r>
              <w:t xml:space="preserve">The </w:t>
            </w:r>
            <w:r w:rsidR="00140982">
              <w:t xml:space="preserve">proposed project meets or exceeds </w:t>
            </w:r>
            <w:r w:rsidR="00324554">
              <w:t>the</w:t>
            </w:r>
            <w:r w:rsidR="00140982">
              <w:t xml:space="preserve"> requirement that a station be located at least every 50 miles along the corridor segment </w:t>
            </w:r>
            <w:r>
              <w:t xml:space="preserve">and </w:t>
            </w:r>
            <w:r w:rsidR="002607D2">
              <w:t xml:space="preserve">explains how the proposed station locations </w:t>
            </w:r>
            <w:r>
              <w:t xml:space="preserve">provide an effective </w:t>
            </w:r>
            <w:r w:rsidR="002607D2">
              <w:t xml:space="preserve">station </w:t>
            </w:r>
            <w:r>
              <w:t>network satisfying travel demand along the corridor</w:t>
            </w:r>
            <w:r w:rsidR="00324554">
              <w:t>.</w:t>
            </w:r>
            <w:r w:rsidR="007D1B18">
              <w:t xml:space="preserve"> </w:t>
            </w:r>
            <w:r w:rsidR="008574D4">
              <w:t>(Not applicable to Stand-alone Projects</w:t>
            </w:r>
            <w:r w:rsidR="4F97AF72">
              <w:t xml:space="preserve"> as identified in Table 2</w:t>
            </w:r>
            <w:r w:rsidR="008574D4">
              <w:t>.)</w:t>
            </w:r>
          </w:p>
          <w:p w14:paraId="25DD7966" w14:textId="6DF2EFC6" w:rsidR="008574D4" w:rsidRPr="00D73F6A" w:rsidRDefault="0075273A" w:rsidP="00705437">
            <w:pPr>
              <w:pStyle w:val="ListParagraph"/>
              <w:numPr>
                <w:ilvl w:val="0"/>
                <w:numId w:val="81"/>
              </w:numPr>
              <w:spacing w:before="40" w:after="40"/>
            </w:pPr>
            <w:r>
              <w:t>E</w:t>
            </w:r>
            <w:r w:rsidR="00F834CF">
              <w:t xml:space="preserve">ach proposed EV charging station location </w:t>
            </w:r>
            <w:r w:rsidR="005E65C3">
              <w:t>will be</w:t>
            </w:r>
            <w:r w:rsidR="00F834CF">
              <w:t xml:space="preserve"> easily accessible from the corridor and visible from the corridor.</w:t>
            </w:r>
          </w:p>
          <w:p w14:paraId="3C870A55" w14:textId="76912BD9" w:rsidR="008574D4" w:rsidRPr="00D73F6A" w:rsidRDefault="0075273A" w:rsidP="00705437">
            <w:pPr>
              <w:pStyle w:val="ListParagraph"/>
              <w:numPr>
                <w:ilvl w:val="0"/>
                <w:numId w:val="81"/>
              </w:numPr>
              <w:spacing w:before="40" w:after="40"/>
              <w:rPr>
                <w:szCs w:val="24"/>
              </w:rPr>
            </w:pPr>
            <w:r>
              <w:rPr>
                <w:szCs w:val="24"/>
              </w:rPr>
              <w:t>T</w:t>
            </w:r>
            <w:r w:rsidR="006805F6">
              <w:rPr>
                <w:szCs w:val="24"/>
              </w:rPr>
              <w:t>he number of</w:t>
            </w:r>
            <w:r w:rsidR="008574D4" w:rsidRPr="00D73F6A">
              <w:rPr>
                <w:szCs w:val="24"/>
              </w:rPr>
              <w:t xml:space="preserve"> CCS DC fast charging ports</w:t>
            </w:r>
            <w:r w:rsidR="006805F6">
              <w:rPr>
                <w:szCs w:val="24"/>
              </w:rPr>
              <w:t xml:space="preserve"> chosen at each proposed EV charging station</w:t>
            </w:r>
            <w:r>
              <w:rPr>
                <w:szCs w:val="24"/>
              </w:rPr>
              <w:t xml:space="preserve"> is justified</w:t>
            </w:r>
            <w:r w:rsidR="004A5783">
              <w:rPr>
                <w:szCs w:val="24"/>
              </w:rPr>
              <w:t xml:space="preserve"> with </w:t>
            </w:r>
            <w:r w:rsidR="00E10EBF">
              <w:rPr>
                <w:szCs w:val="24"/>
              </w:rPr>
              <w:t>reasoning</w:t>
            </w:r>
            <w:r w:rsidR="00086D23">
              <w:rPr>
                <w:szCs w:val="24"/>
              </w:rPr>
              <w:t xml:space="preserve"> about expected demand</w:t>
            </w:r>
            <w:r w:rsidR="008574D4" w:rsidRPr="00D73F6A">
              <w:rPr>
                <w:szCs w:val="24"/>
              </w:rPr>
              <w:t>.</w:t>
            </w:r>
          </w:p>
          <w:p w14:paraId="23A43546" w14:textId="0703B171" w:rsidR="008574D4" w:rsidRPr="00D73F6A" w:rsidRDefault="00E10EBF" w:rsidP="00705437">
            <w:pPr>
              <w:pStyle w:val="ListParagraph"/>
              <w:numPr>
                <w:ilvl w:val="0"/>
                <w:numId w:val="81"/>
              </w:numPr>
              <w:spacing w:before="40" w:after="40"/>
            </w:pPr>
            <w:r>
              <w:t>T</w:t>
            </w:r>
            <w:r w:rsidR="003F06DA">
              <w:t xml:space="preserve">he plans for </w:t>
            </w:r>
            <w:r w:rsidR="00A84D32">
              <w:t xml:space="preserve">the EV charging station </w:t>
            </w:r>
            <w:r w:rsidR="003F06DA">
              <w:t>site design</w:t>
            </w:r>
            <w:r w:rsidR="00A84D32">
              <w:t>(s)</w:t>
            </w:r>
            <w:r w:rsidR="003F06DA">
              <w:t xml:space="preserve"> along the corridor segment will provide an excellent customer experience</w:t>
            </w:r>
            <w:r w:rsidR="009D466C">
              <w:t xml:space="preserve">. </w:t>
            </w:r>
            <w:r w:rsidR="009D466C">
              <w:lastRenderedPageBreak/>
              <w:t xml:space="preserve">Optionally include </w:t>
            </w:r>
            <w:r w:rsidR="004A7415">
              <w:t>a preliminary site design for each site</w:t>
            </w:r>
            <w:r w:rsidR="00BE5B5E">
              <w:t xml:space="preserve"> as supporting documentation</w:t>
            </w:r>
            <w:r w:rsidR="00172A87">
              <w:t xml:space="preserve"> (Attachment 13)</w:t>
            </w:r>
            <w:r w:rsidR="004A7415">
              <w:t>.</w:t>
            </w:r>
          </w:p>
          <w:p w14:paraId="6D9C8276" w14:textId="0F61B59B" w:rsidR="008574D4" w:rsidRPr="00D73F6A" w:rsidRDefault="0736C348" w:rsidP="00705437">
            <w:pPr>
              <w:pStyle w:val="ListParagraph"/>
              <w:numPr>
                <w:ilvl w:val="0"/>
                <w:numId w:val="81"/>
              </w:numPr>
              <w:spacing w:before="40" w:after="40"/>
            </w:pPr>
            <w:r>
              <w:t xml:space="preserve">The </w:t>
            </w:r>
            <w:r w:rsidR="0A3882E4">
              <w:t>proposed</w:t>
            </w:r>
            <w:r w:rsidR="008574D4">
              <w:t xml:space="preserve"> project’s EV charging stations have amenities that enhance the experience of EV charging station customers, including restrooms, proximity to retail shops, restaurants, parks, pet relief areas, or other attributes.</w:t>
            </w:r>
          </w:p>
          <w:p w14:paraId="2845E660" w14:textId="50BA73AB" w:rsidR="008574D4" w:rsidRPr="00D73F6A" w:rsidRDefault="0736C348" w:rsidP="00705437">
            <w:pPr>
              <w:pStyle w:val="ListParagraph"/>
              <w:numPr>
                <w:ilvl w:val="0"/>
                <w:numId w:val="81"/>
              </w:numPr>
              <w:spacing w:before="40" w:after="40"/>
            </w:pPr>
            <w:r>
              <w:t>The</w:t>
            </w:r>
            <w:r w:rsidR="2C433B39">
              <w:t xml:space="preserve"> proposed</w:t>
            </w:r>
            <w:r w:rsidR="008574D4" w:rsidRPr="00D73F6A">
              <w:t xml:space="preserve"> project includes charging stations with unique stall configurations, including the ability to accommodate cars pulling trailers or medium- or heavy-duty vehicles</w:t>
            </w:r>
            <w:r w:rsidR="000217FE">
              <w:t xml:space="preserve"> pull</w:t>
            </w:r>
            <w:r w:rsidR="00B63F43">
              <w:t>ing</w:t>
            </w:r>
            <w:r w:rsidR="000217FE">
              <w:t xml:space="preserve"> trailers</w:t>
            </w:r>
            <w:r w:rsidR="008574D4" w:rsidRPr="00D73F6A">
              <w:t>.</w:t>
            </w:r>
          </w:p>
          <w:p w14:paraId="237AE7FE" w14:textId="48C16884" w:rsidR="008574D4" w:rsidRPr="00D73F6A" w:rsidRDefault="008574D4" w:rsidP="00705437">
            <w:pPr>
              <w:pStyle w:val="ListParagraph"/>
              <w:numPr>
                <w:ilvl w:val="0"/>
                <w:numId w:val="81"/>
              </w:numPr>
              <w:spacing w:before="40" w:after="40"/>
            </w:pPr>
            <w:r w:rsidRPr="00D73F6A">
              <w:t xml:space="preserve">The grid connection and its capacity, and other </w:t>
            </w:r>
            <w:r w:rsidR="0053711E">
              <w:t>renewable DER equipment</w:t>
            </w:r>
            <w:r w:rsidRPr="00D73F6A">
              <w:t xml:space="preserve">, such as </w:t>
            </w:r>
            <w:r w:rsidR="0053711E">
              <w:t xml:space="preserve">solar arrays and </w:t>
            </w:r>
            <w:r w:rsidRPr="00D73F6A">
              <w:t>BESS</w:t>
            </w:r>
            <w:r w:rsidR="00F352E9">
              <w:t>,</w:t>
            </w:r>
            <w:r w:rsidRPr="00D73F6A">
              <w:t xml:space="preserve"> </w:t>
            </w:r>
            <w:r w:rsidR="00B92F1F">
              <w:t>will</w:t>
            </w:r>
            <w:r w:rsidRPr="00D73F6A">
              <w:t xml:space="preserve"> </w:t>
            </w:r>
            <w:r w:rsidR="007A6E7B">
              <w:t xml:space="preserve">provide reliable power </w:t>
            </w:r>
            <w:r w:rsidRPr="00D73F6A">
              <w:t xml:space="preserve">supply at each </w:t>
            </w:r>
            <w:r w:rsidR="007A6E7B">
              <w:t xml:space="preserve">EV </w:t>
            </w:r>
            <w:r w:rsidRPr="00D73F6A">
              <w:t>charging station</w:t>
            </w:r>
            <w:r w:rsidR="002B05CB">
              <w:t>. Any renewable DER equipment</w:t>
            </w:r>
            <w:r w:rsidR="005A4564">
              <w:t xml:space="preserve"> will deliver </w:t>
            </w:r>
            <w:r w:rsidR="00607A57">
              <w:t xml:space="preserve">benefits </w:t>
            </w:r>
            <w:r w:rsidR="0056087C">
              <w:t>such as reduced cost to customers or improved reliability, and</w:t>
            </w:r>
            <w:r w:rsidR="002014A4">
              <w:t xml:space="preserve"> not negatively affect</w:t>
            </w:r>
            <w:r w:rsidR="00607A57">
              <w:t xml:space="preserve"> </w:t>
            </w:r>
            <w:r w:rsidR="0056087C">
              <w:t>project timeline</w:t>
            </w:r>
            <w:r w:rsidRPr="00D73F6A">
              <w:t>.</w:t>
            </w:r>
          </w:p>
          <w:p w14:paraId="4E54D1D0" w14:textId="21119623" w:rsidR="008574D4" w:rsidRPr="00D73F6A" w:rsidRDefault="00BD2B8F" w:rsidP="00705437">
            <w:pPr>
              <w:pStyle w:val="ListParagraph"/>
              <w:numPr>
                <w:ilvl w:val="0"/>
                <w:numId w:val="81"/>
              </w:numPr>
              <w:spacing w:before="40" w:after="40"/>
            </w:pPr>
            <w:r>
              <w:t>Each</w:t>
            </w:r>
            <w:r w:rsidR="008574D4">
              <w:t xml:space="preserve"> proposed EV charging station will provide adequate lighting and shelter from inclement weather</w:t>
            </w:r>
            <w:r w:rsidR="00E239BE">
              <w:t xml:space="preserve"> </w:t>
            </w:r>
            <w:r w:rsidR="008574D4">
              <w:t xml:space="preserve">and </w:t>
            </w:r>
            <w:r>
              <w:t>the site</w:t>
            </w:r>
            <w:r w:rsidR="008574D4">
              <w:t xml:space="preserve"> </w:t>
            </w:r>
            <w:r w:rsidR="194E221B">
              <w:t xml:space="preserve">will </w:t>
            </w:r>
            <w:r w:rsidR="008574D4">
              <w:t>be safely accessible when traveling on foot or with any mobility device.</w:t>
            </w:r>
          </w:p>
        </w:tc>
        <w:tc>
          <w:tcPr>
            <w:tcW w:w="1473" w:type="dxa"/>
          </w:tcPr>
          <w:p w14:paraId="2701FB8B" w14:textId="77777777" w:rsidR="008574D4" w:rsidRPr="0060634E" w:rsidRDefault="008574D4" w:rsidP="00705437">
            <w:pPr>
              <w:spacing w:before="40" w:after="40"/>
              <w:jc w:val="center"/>
              <w:rPr>
                <w:szCs w:val="24"/>
              </w:rPr>
            </w:pPr>
          </w:p>
          <w:p w14:paraId="121BDB51" w14:textId="2F85B990" w:rsidR="008574D4" w:rsidRPr="0060634E" w:rsidRDefault="00A13A74" w:rsidP="00705437">
            <w:pPr>
              <w:spacing w:before="40" w:after="40"/>
              <w:jc w:val="center"/>
              <w:rPr>
                <w:szCs w:val="24"/>
              </w:rPr>
            </w:pPr>
            <w:r>
              <w:rPr>
                <w:szCs w:val="24"/>
              </w:rPr>
              <w:t>50</w:t>
            </w:r>
          </w:p>
        </w:tc>
      </w:tr>
      <w:tr w:rsidR="008574D4" w:rsidRPr="00E91F37" w14:paraId="618831E8" w14:textId="77777777" w:rsidTr="00534AD2">
        <w:tc>
          <w:tcPr>
            <w:tcW w:w="7877" w:type="dxa"/>
          </w:tcPr>
          <w:p w14:paraId="7227E6D4" w14:textId="190AF8AD" w:rsidR="008574D4" w:rsidRPr="00473271" w:rsidRDefault="008574D4" w:rsidP="00705437">
            <w:pPr>
              <w:numPr>
                <w:ilvl w:val="0"/>
                <w:numId w:val="87"/>
              </w:numPr>
              <w:spacing w:before="40" w:after="40"/>
              <w:ind w:left="695" w:hanging="630"/>
              <w:rPr>
                <w:b/>
                <w:szCs w:val="24"/>
              </w:rPr>
            </w:pPr>
            <w:r w:rsidRPr="00473271">
              <w:rPr>
                <w:b/>
                <w:szCs w:val="24"/>
              </w:rPr>
              <w:t>Project Readiness</w:t>
            </w:r>
          </w:p>
          <w:p w14:paraId="7FCF51F1" w14:textId="77777777" w:rsidR="008574D4" w:rsidRPr="0060634E" w:rsidRDefault="008574D4" w:rsidP="00705437">
            <w:pPr>
              <w:spacing w:before="40" w:after="40"/>
              <w:ind w:firstLine="65"/>
              <w:rPr>
                <w:szCs w:val="24"/>
              </w:rPr>
            </w:pPr>
            <w:r w:rsidRPr="0060634E">
              <w:rPr>
                <w:szCs w:val="24"/>
              </w:rPr>
              <w:t>Applications will be evaluated on the degree to which:</w:t>
            </w:r>
          </w:p>
          <w:p w14:paraId="4F877F5D" w14:textId="69FA299D" w:rsidR="008574D4" w:rsidRPr="0060634E" w:rsidRDefault="00AB63DB" w:rsidP="00705437">
            <w:pPr>
              <w:numPr>
                <w:ilvl w:val="0"/>
                <w:numId w:val="88"/>
              </w:numPr>
              <w:spacing w:before="40" w:after="40"/>
              <w:ind w:left="695"/>
            </w:pPr>
            <w:r>
              <w:t>D</w:t>
            </w:r>
            <w:r w:rsidR="008574D4">
              <w:t xml:space="preserve">ocumentation </w:t>
            </w:r>
            <w:r w:rsidR="003E64DE">
              <w:t>(included in Attachment 8</w:t>
            </w:r>
            <w:r w:rsidR="00D50FD0">
              <w:t>, Letters of Commitment</w:t>
            </w:r>
            <w:r w:rsidR="003E64DE">
              <w:t xml:space="preserve">) </w:t>
            </w:r>
            <w:r w:rsidR="008574D4">
              <w:t>demonstrat</w:t>
            </w:r>
            <w:r>
              <w:t>es</w:t>
            </w:r>
            <w:r w:rsidR="008574D4">
              <w:t xml:space="preserve"> </w:t>
            </w:r>
            <w:r w:rsidR="00877B58">
              <w:t>site</w:t>
            </w:r>
            <w:r w:rsidR="008574D4">
              <w:t xml:space="preserve"> control or access rights for </w:t>
            </w:r>
            <w:r w:rsidR="002651D6">
              <w:t xml:space="preserve">each </w:t>
            </w:r>
            <w:r w:rsidR="561A0D66">
              <w:t xml:space="preserve">proposed </w:t>
            </w:r>
            <w:r w:rsidR="002651D6">
              <w:t xml:space="preserve">EV </w:t>
            </w:r>
            <w:r w:rsidR="008574D4">
              <w:t>charging station</w:t>
            </w:r>
            <w:r w:rsidR="002651D6">
              <w:t xml:space="preserve"> property</w:t>
            </w:r>
            <w:r w:rsidR="008574D4">
              <w:t>. If control or access rights are not secured at the time of application, the</w:t>
            </w:r>
            <w:r w:rsidR="00877B58">
              <w:t>re is a credible</w:t>
            </w:r>
            <w:r w:rsidR="008574D4">
              <w:t xml:space="preserve"> </w:t>
            </w:r>
            <w:r w:rsidR="00D35ACE">
              <w:t xml:space="preserve">and time-efficient </w:t>
            </w:r>
            <w:r w:rsidR="008574D4">
              <w:t xml:space="preserve">plan for securing control or access rights. </w:t>
            </w:r>
          </w:p>
          <w:p w14:paraId="1C2DF385" w14:textId="12B6729B" w:rsidR="008574D4" w:rsidRPr="0060634E" w:rsidRDefault="00E44181" w:rsidP="00705437">
            <w:pPr>
              <w:numPr>
                <w:ilvl w:val="0"/>
                <w:numId w:val="88"/>
              </w:numPr>
              <w:spacing w:before="40" w:after="40"/>
              <w:ind w:left="695"/>
              <w:rPr>
                <w:szCs w:val="24"/>
              </w:rPr>
            </w:pPr>
            <w:r>
              <w:rPr>
                <w:szCs w:val="24"/>
              </w:rPr>
              <w:t>The</w:t>
            </w:r>
            <w:r w:rsidR="008574D4" w:rsidRPr="00D73F6A">
              <w:rPr>
                <w:szCs w:val="24"/>
              </w:rPr>
              <w:t xml:space="preserve"> own</w:t>
            </w:r>
            <w:r>
              <w:rPr>
                <w:szCs w:val="24"/>
              </w:rPr>
              <w:t>er(s)</w:t>
            </w:r>
            <w:r w:rsidR="008574D4" w:rsidRPr="00D73F6A">
              <w:rPr>
                <w:szCs w:val="24"/>
              </w:rPr>
              <w:t xml:space="preserve"> and </w:t>
            </w:r>
            <w:r w:rsidR="008F0A29" w:rsidRPr="00D73F6A">
              <w:rPr>
                <w:szCs w:val="24"/>
              </w:rPr>
              <w:t>operato</w:t>
            </w:r>
            <w:r w:rsidR="008F0A29">
              <w:rPr>
                <w:szCs w:val="24"/>
              </w:rPr>
              <w:t>r</w:t>
            </w:r>
            <w:r>
              <w:rPr>
                <w:szCs w:val="24"/>
              </w:rPr>
              <w:t>(s) of</w:t>
            </w:r>
            <w:r w:rsidR="008574D4" w:rsidRPr="00D73F6A">
              <w:rPr>
                <w:szCs w:val="24"/>
              </w:rPr>
              <w:t xml:space="preserve"> the proposed EV charging stations and equipment </w:t>
            </w:r>
            <w:r>
              <w:rPr>
                <w:szCs w:val="24"/>
              </w:rPr>
              <w:t xml:space="preserve">are clearly identified </w:t>
            </w:r>
            <w:r w:rsidR="008574D4" w:rsidRPr="00D73F6A">
              <w:rPr>
                <w:szCs w:val="24"/>
              </w:rPr>
              <w:t>and the</w:t>
            </w:r>
            <w:r w:rsidR="000A38A7">
              <w:rPr>
                <w:szCs w:val="24"/>
              </w:rPr>
              <w:t>y have</w:t>
            </w:r>
            <w:r w:rsidR="008574D4" w:rsidRPr="00D73F6A">
              <w:rPr>
                <w:szCs w:val="24"/>
              </w:rPr>
              <w:t xml:space="preserve"> </w:t>
            </w:r>
            <w:r w:rsidR="002C7CC6">
              <w:rPr>
                <w:szCs w:val="24"/>
              </w:rPr>
              <w:t>successful</w:t>
            </w:r>
            <w:r w:rsidR="000A38A7">
              <w:rPr>
                <w:szCs w:val="24"/>
              </w:rPr>
              <w:t>ly</w:t>
            </w:r>
            <w:r w:rsidR="008574D4" w:rsidRPr="00D73F6A">
              <w:rPr>
                <w:szCs w:val="24"/>
              </w:rPr>
              <w:t xml:space="preserve"> operat</w:t>
            </w:r>
            <w:r w:rsidR="000A38A7">
              <w:rPr>
                <w:szCs w:val="24"/>
              </w:rPr>
              <w:t>ed</w:t>
            </w:r>
            <w:r w:rsidR="008574D4" w:rsidRPr="00D73F6A">
              <w:rPr>
                <w:szCs w:val="24"/>
              </w:rPr>
              <w:t xml:space="preserve"> DC fast charging stations</w:t>
            </w:r>
            <w:r w:rsidR="000A38A7">
              <w:rPr>
                <w:szCs w:val="24"/>
              </w:rPr>
              <w:t xml:space="preserve"> before</w:t>
            </w:r>
            <w:r w:rsidR="008574D4" w:rsidRPr="00D73F6A">
              <w:rPr>
                <w:szCs w:val="24"/>
              </w:rPr>
              <w:t>.</w:t>
            </w:r>
          </w:p>
          <w:p w14:paraId="29E3FBE7" w14:textId="17A921F7" w:rsidR="008574D4" w:rsidRPr="0060634E" w:rsidRDefault="00931C15" w:rsidP="00705437">
            <w:pPr>
              <w:numPr>
                <w:ilvl w:val="0"/>
                <w:numId w:val="88"/>
              </w:numPr>
              <w:spacing w:before="40" w:after="40"/>
              <w:ind w:left="695"/>
            </w:pPr>
            <w:r w:rsidRPr="00931C15">
              <w:t>Required permits for the proposed project are obtained or clearly established plans to obtain the required permits are demonstrated</w:t>
            </w:r>
            <w:r w:rsidR="008574D4">
              <w:t>.</w:t>
            </w:r>
          </w:p>
          <w:p w14:paraId="2A438471" w14:textId="19FE98C5" w:rsidR="008574D4" w:rsidRPr="0060634E" w:rsidRDefault="0736C348" w:rsidP="00705437">
            <w:pPr>
              <w:numPr>
                <w:ilvl w:val="0"/>
                <w:numId w:val="88"/>
              </w:numPr>
              <w:spacing w:before="40" w:after="40"/>
              <w:ind w:left="695"/>
            </w:pPr>
            <w:r>
              <w:t xml:space="preserve">The </w:t>
            </w:r>
            <w:r w:rsidR="4BD4253D">
              <w:t>prop</w:t>
            </w:r>
            <w:r w:rsidR="005D3C55">
              <w:t>o</w:t>
            </w:r>
            <w:r w:rsidR="4BD4253D">
              <w:t>sed</w:t>
            </w:r>
            <w:r w:rsidR="008574D4">
              <w:t xml:space="preserve"> project’s schedule accounts for CEQA, NEPA, and right-of-way approvals and is justified given the information provided in the CEQA Worksheet (Attachment </w:t>
            </w:r>
            <w:r w:rsidR="007252F1">
              <w:t>1</w:t>
            </w:r>
            <w:r w:rsidR="008F0C31">
              <w:t>0</w:t>
            </w:r>
            <w:r w:rsidR="008574D4">
              <w:t xml:space="preserve">), the NEPA PES Form (Attachment </w:t>
            </w:r>
            <w:r w:rsidR="00BB2AEA">
              <w:t>1</w:t>
            </w:r>
            <w:r w:rsidR="008F0C31">
              <w:t>4</w:t>
            </w:r>
            <w:r w:rsidR="008574D4">
              <w:t>), and right-of-way research.</w:t>
            </w:r>
          </w:p>
          <w:p w14:paraId="7B3CAD60" w14:textId="1E52E7BF" w:rsidR="008574D4" w:rsidRPr="0060634E" w:rsidRDefault="008D0D33" w:rsidP="00705437">
            <w:pPr>
              <w:numPr>
                <w:ilvl w:val="0"/>
                <w:numId w:val="88"/>
              </w:numPr>
              <w:spacing w:before="40" w:after="40"/>
              <w:ind w:left="695"/>
            </w:pPr>
            <w:r>
              <w:t>The</w:t>
            </w:r>
            <w:r w:rsidR="00625C88">
              <w:t>re</w:t>
            </w:r>
            <w:r w:rsidR="00AC7CBF">
              <w:t xml:space="preserve"> is available </w:t>
            </w:r>
            <w:r w:rsidR="00507240">
              <w:t xml:space="preserve">electrical </w:t>
            </w:r>
            <w:r w:rsidR="00AC7CBF">
              <w:t>capacity</w:t>
            </w:r>
            <w:r w:rsidR="00E34263">
              <w:t xml:space="preserve"> to complete the </w:t>
            </w:r>
            <w:r w:rsidR="2A6F5AD6">
              <w:t xml:space="preserve">proposed </w:t>
            </w:r>
            <w:r w:rsidR="00E34263">
              <w:t>project</w:t>
            </w:r>
            <w:r w:rsidR="00625C88">
              <w:t>, supported by</w:t>
            </w:r>
            <w:r w:rsidR="00507240">
              <w:t xml:space="preserve"> a completed</w:t>
            </w:r>
            <w:r w:rsidR="008574D4">
              <w:t xml:space="preserve"> Utility Verification Form </w:t>
            </w:r>
            <w:r w:rsidR="28D76335">
              <w:t xml:space="preserve">(Attachment 11) </w:t>
            </w:r>
            <w:r w:rsidR="008574D4">
              <w:t xml:space="preserve">for each proposed </w:t>
            </w:r>
            <w:r w:rsidR="00625C88">
              <w:t xml:space="preserve">EV </w:t>
            </w:r>
            <w:r w:rsidR="008574D4">
              <w:t>charging station.</w:t>
            </w:r>
          </w:p>
          <w:p w14:paraId="61D44345" w14:textId="65677BDF" w:rsidR="008574D4" w:rsidRPr="0060634E" w:rsidRDefault="008574D4" w:rsidP="00705437">
            <w:pPr>
              <w:numPr>
                <w:ilvl w:val="0"/>
                <w:numId w:val="88"/>
              </w:numPr>
              <w:spacing w:before="40" w:after="40"/>
              <w:ind w:left="695"/>
            </w:pPr>
            <w:r>
              <w:t xml:space="preserve">The timeline for obtaining </w:t>
            </w:r>
            <w:r w:rsidR="69D8198B">
              <w:t>EV</w:t>
            </w:r>
            <w:r w:rsidR="0736C348">
              <w:t xml:space="preserve"> </w:t>
            </w:r>
            <w:r>
              <w:t>chargers and other proposed equipment is minimized and supported by verifiable documentation from the manufacturer(s).</w:t>
            </w:r>
          </w:p>
          <w:p w14:paraId="27259099" w14:textId="77777777" w:rsidR="008574D4" w:rsidRPr="0060634E" w:rsidRDefault="008574D4" w:rsidP="00705437">
            <w:pPr>
              <w:numPr>
                <w:ilvl w:val="0"/>
                <w:numId w:val="88"/>
              </w:numPr>
              <w:spacing w:before="40" w:after="40"/>
              <w:ind w:left="695"/>
              <w:rPr>
                <w:szCs w:val="24"/>
              </w:rPr>
            </w:pPr>
            <w:r w:rsidRPr="00D73F6A">
              <w:rPr>
                <w:szCs w:val="24"/>
              </w:rPr>
              <w:lastRenderedPageBreak/>
              <w:t xml:space="preserve">The proposed project will be completed in an expeditious, effective, and efficient manner. </w:t>
            </w:r>
          </w:p>
          <w:p w14:paraId="672911F3" w14:textId="064D7823" w:rsidR="008574D4" w:rsidRPr="00D73F6A" w:rsidRDefault="008574D4" w:rsidP="00705437">
            <w:pPr>
              <w:numPr>
                <w:ilvl w:val="0"/>
                <w:numId w:val="88"/>
              </w:numPr>
              <w:spacing w:before="40" w:after="40"/>
              <w:ind w:left="695"/>
              <w:rPr>
                <w:szCs w:val="24"/>
              </w:rPr>
            </w:pPr>
            <w:r w:rsidRPr="00D73F6A">
              <w:rPr>
                <w:szCs w:val="24"/>
              </w:rPr>
              <w:t>The</w:t>
            </w:r>
            <w:r w:rsidR="00507240">
              <w:rPr>
                <w:szCs w:val="24"/>
              </w:rPr>
              <w:t xml:space="preserve">re are backup sites </w:t>
            </w:r>
            <w:r w:rsidR="000D6E18">
              <w:rPr>
                <w:szCs w:val="24"/>
              </w:rPr>
              <w:t xml:space="preserve">already </w:t>
            </w:r>
            <w:proofErr w:type="gramStart"/>
            <w:r w:rsidR="000D6E18">
              <w:rPr>
                <w:szCs w:val="24"/>
              </w:rPr>
              <w:t>identified</w:t>
            </w:r>
            <w:proofErr w:type="gramEnd"/>
            <w:r w:rsidR="000D6E18">
              <w:rPr>
                <w:szCs w:val="24"/>
              </w:rPr>
              <w:t xml:space="preserve"> </w:t>
            </w:r>
            <w:r w:rsidR="00507240">
              <w:rPr>
                <w:szCs w:val="24"/>
              </w:rPr>
              <w:t>or the</w:t>
            </w:r>
            <w:r w:rsidRPr="00D73F6A">
              <w:rPr>
                <w:szCs w:val="24"/>
              </w:rPr>
              <w:t xml:space="preserve"> Applicant has a process in place to </w:t>
            </w:r>
            <w:r w:rsidR="00AF25F1">
              <w:rPr>
                <w:szCs w:val="24"/>
              </w:rPr>
              <w:t xml:space="preserve">expeditiously </w:t>
            </w:r>
            <w:r w:rsidRPr="00D73F6A">
              <w:rPr>
                <w:szCs w:val="24"/>
              </w:rPr>
              <w:t xml:space="preserve">select a new </w:t>
            </w:r>
            <w:r w:rsidR="000D6E18">
              <w:rPr>
                <w:szCs w:val="24"/>
              </w:rPr>
              <w:t xml:space="preserve">EV </w:t>
            </w:r>
            <w:r w:rsidRPr="00D73F6A">
              <w:rPr>
                <w:szCs w:val="24"/>
              </w:rPr>
              <w:t xml:space="preserve">charging station </w:t>
            </w:r>
            <w:r w:rsidR="008D0D33">
              <w:rPr>
                <w:szCs w:val="24"/>
              </w:rPr>
              <w:t>site</w:t>
            </w:r>
            <w:r w:rsidR="00FB1246">
              <w:rPr>
                <w:szCs w:val="24"/>
              </w:rPr>
              <w:t xml:space="preserve"> </w:t>
            </w:r>
            <w:r w:rsidRPr="00D73F6A">
              <w:rPr>
                <w:szCs w:val="24"/>
              </w:rPr>
              <w:t xml:space="preserve">in the event a charging station location must be changed. </w:t>
            </w:r>
          </w:p>
        </w:tc>
        <w:tc>
          <w:tcPr>
            <w:tcW w:w="1473" w:type="dxa"/>
          </w:tcPr>
          <w:p w14:paraId="2DA28559" w14:textId="77777777" w:rsidR="008574D4" w:rsidRPr="0060634E" w:rsidRDefault="008574D4" w:rsidP="00705437">
            <w:pPr>
              <w:spacing w:before="40" w:after="40"/>
              <w:jc w:val="center"/>
              <w:rPr>
                <w:szCs w:val="24"/>
              </w:rPr>
            </w:pPr>
          </w:p>
          <w:p w14:paraId="4EE27AA7" w14:textId="117F20C1" w:rsidR="008574D4" w:rsidRPr="0060634E" w:rsidRDefault="007A3FBB" w:rsidP="00705437">
            <w:pPr>
              <w:spacing w:before="40" w:after="40"/>
              <w:jc w:val="center"/>
              <w:rPr>
                <w:szCs w:val="24"/>
              </w:rPr>
            </w:pPr>
            <w:r>
              <w:rPr>
                <w:szCs w:val="24"/>
              </w:rPr>
              <w:t>45</w:t>
            </w:r>
          </w:p>
        </w:tc>
      </w:tr>
      <w:tr w:rsidR="008574D4" w:rsidRPr="00E91F37" w14:paraId="1793A802" w14:textId="77777777" w:rsidTr="00534AD2">
        <w:tc>
          <w:tcPr>
            <w:tcW w:w="7877" w:type="dxa"/>
          </w:tcPr>
          <w:p w14:paraId="4B7AC6FF" w14:textId="77777777" w:rsidR="008574D4" w:rsidRPr="0060634E" w:rsidRDefault="008574D4" w:rsidP="00705437">
            <w:pPr>
              <w:numPr>
                <w:ilvl w:val="0"/>
                <w:numId w:val="87"/>
              </w:numPr>
              <w:spacing w:before="40" w:after="40"/>
              <w:ind w:left="695" w:hanging="630"/>
              <w:rPr>
                <w:b/>
                <w:szCs w:val="24"/>
              </w:rPr>
            </w:pPr>
            <w:r w:rsidRPr="0060634E">
              <w:rPr>
                <w:b/>
                <w:szCs w:val="24"/>
              </w:rPr>
              <w:t>Expected Project Benefits</w:t>
            </w:r>
          </w:p>
          <w:p w14:paraId="40310AD7" w14:textId="77777777" w:rsidR="008574D4" w:rsidRPr="0060634E" w:rsidRDefault="008574D4" w:rsidP="00705437">
            <w:pPr>
              <w:spacing w:before="40" w:after="40"/>
              <w:rPr>
                <w:szCs w:val="24"/>
              </w:rPr>
            </w:pPr>
            <w:r w:rsidRPr="0060634E">
              <w:rPr>
                <w:szCs w:val="24"/>
              </w:rPr>
              <w:t>Applications will be evaluated on the degree to which:</w:t>
            </w:r>
          </w:p>
          <w:p w14:paraId="3479AAA8" w14:textId="76ADC402" w:rsidR="008574D4" w:rsidRPr="00D73F6A" w:rsidRDefault="00C51077" w:rsidP="00705437">
            <w:pPr>
              <w:numPr>
                <w:ilvl w:val="0"/>
                <w:numId w:val="15"/>
              </w:numPr>
              <w:spacing w:before="40" w:after="40"/>
            </w:pPr>
            <w:r>
              <w:t xml:space="preserve">The </w:t>
            </w:r>
            <w:r w:rsidR="0076726E">
              <w:t xml:space="preserve">proposed </w:t>
            </w:r>
            <w:r>
              <w:t>EV</w:t>
            </w:r>
            <w:r w:rsidR="008574D4">
              <w:t xml:space="preserve"> charging station</w:t>
            </w:r>
            <w:r w:rsidR="0076726E">
              <w:t xml:space="preserve"> site</w:t>
            </w:r>
            <w:r w:rsidR="00E74079">
              <w:t>(s)</w:t>
            </w:r>
            <w:r w:rsidR="0076726E">
              <w:t xml:space="preserve"> are </w:t>
            </w:r>
            <w:r>
              <w:t xml:space="preserve">in </w:t>
            </w:r>
            <w:r w:rsidR="00E74079">
              <w:t xml:space="preserve">a </w:t>
            </w:r>
            <w:r w:rsidR="008574D4">
              <w:t>California-designated disadvantaged communit</w:t>
            </w:r>
            <w:r w:rsidR="00E74079">
              <w:t>y</w:t>
            </w:r>
            <w:r w:rsidR="0010457F">
              <w:t xml:space="preserve"> </w:t>
            </w:r>
            <w:r w:rsidR="0010457F" w:rsidRPr="2B32E87C">
              <w:rPr>
                <w:b/>
                <w:u w:val="single"/>
              </w:rPr>
              <w:t>and</w:t>
            </w:r>
            <w:r w:rsidR="00780178" w:rsidRPr="2B32E87C">
              <w:rPr>
                <w:b/>
                <w:u w:val="single"/>
              </w:rPr>
              <w:t>/or</w:t>
            </w:r>
            <w:r w:rsidR="0010457F">
              <w:t>[</w:t>
            </w:r>
            <w:r w:rsidR="008574D4" w:rsidRPr="2B32E87C">
              <w:rPr>
                <w:strike/>
              </w:rPr>
              <w:t>,</w:t>
            </w:r>
            <w:r w:rsidR="0010457F">
              <w:t>]</w:t>
            </w:r>
            <w:r w:rsidR="008574D4">
              <w:t xml:space="preserve"> California-designated low-income communit</w:t>
            </w:r>
            <w:r w:rsidR="00E74079">
              <w:t>y</w:t>
            </w:r>
            <w:r w:rsidR="004F251C" w:rsidRPr="2B32E87C">
              <w:rPr>
                <w:b/>
                <w:u w:val="single"/>
              </w:rPr>
              <w:t>.</w:t>
            </w:r>
            <w:r w:rsidR="004F251C">
              <w:t>[</w:t>
            </w:r>
            <w:r w:rsidR="008574D4" w:rsidRPr="2B32E87C">
              <w:rPr>
                <w:strike/>
              </w:rPr>
              <w:t>, and</w:t>
            </w:r>
            <w:r w:rsidR="00FE0DC3" w:rsidRPr="2B32E87C">
              <w:rPr>
                <w:strike/>
              </w:rPr>
              <w:t xml:space="preserve">/or </w:t>
            </w:r>
            <w:r w:rsidR="008574D4" w:rsidRPr="2B32E87C">
              <w:rPr>
                <w:strike/>
              </w:rPr>
              <w:t>Justice40 community (</w:t>
            </w:r>
            <w:proofErr w:type="gramStart"/>
            <w:r w:rsidR="008574D4" w:rsidRPr="2B32E87C">
              <w:rPr>
                <w:strike/>
              </w:rPr>
              <w:t>federally-designated</w:t>
            </w:r>
            <w:proofErr w:type="gramEnd"/>
            <w:r w:rsidR="008574D4" w:rsidRPr="2B32E87C">
              <w:rPr>
                <w:strike/>
              </w:rPr>
              <w:t xml:space="preserve"> disadvantaged community)</w:t>
            </w:r>
            <w:r w:rsidR="00896829" w:rsidRPr="2B32E87C">
              <w:rPr>
                <w:strike/>
              </w:rPr>
              <w:t>.</w:t>
            </w:r>
            <w:r w:rsidR="004F251C">
              <w:t>]</w:t>
            </w:r>
            <w:r w:rsidR="00896829">
              <w:t xml:space="preserve"> T</w:t>
            </w:r>
            <w:r w:rsidR="00CD1106">
              <w:t xml:space="preserve">he goals described in </w:t>
            </w:r>
            <w:r w:rsidR="00896829">
              <w:t xml:space="preserve">Section II.B.3 </w:t>
            </w:r>
            <w:r w:rsidR="00440983">
              <w:t>[</w:t>
            </w:r>
            <w:r w:rsidR="00896829" w:rsidRPr="2B32E87C">
              <w:rPr>
                <w:strike/>
              </w:rPr>
              <w:t>and II.B.4</w:t>
            </w:r>
            <w:r w:rsidR="00440983">
              <w:t>]</w:t>
            </w:r>
            <w:r w:rsidR="00896829">
              <w:t xml:space="preserve"> will be met or exceeded</w:t>
            </w:r>
            <w:r w:rsidR="008574D4">
              <w:t>.</w:t>
            </w:r>
          </w:p>
          <w:p w14:paraId="74AF3570" w14:textId="342CB6FD" w:rsidR="008574D4" w:rsidRPr="0060634E" w:rsidRDefault="008574D4" w:rsidP="00705437">
            <w:pPr>
              <w:numPr>
                <w:ilvl w:val="0"/>
                <w:numId w:val="15"/>
              </w:numPr>
              <w:spacing w:before="40" w:after="40"/>
              <w:rPr>
                <w:szCs w:val="24"/>
              </w:rPr>
            </w:pPr>
            <w:r w:rsidRPr="0060634E">
              <w:rPr>
                <w:szCs w:val="24"/>
              </w:rPr>
              <w:t>The</w:t>
            </w:r>
            <w:r w:rsidRPr="00D73F6A">
              <w:rPr>
                <w:szCs w:val="24"/>
              </w:rPr>
              <w:t xml:space="preserve"> proposed project(s) will benefit </w:t>
            </w:r>
            <w:r w:rsidRPr="0060634E">
              <w:rPr>
                <w:szCs w:val="24"/>
              </w:rPr>
              <w:t xml:space="preserve">California-designated </w:t>
            </w:r>
            <w:r w:rsidRPr="00D73F6A">
              <w:rPr>
                <w:szCs w:val="24"/>
              </w:rPr>
              <w:t>disadvantaged communities</w:t>
            </w:r>
            <w:r w:rsidR="00656CC2">
              <w:rPr>
                <w:szCs w:val="24"/>
              </w:rPr>
              <w:t xml:space="preserve"> </w:t>
            </w:r>
            <w:r w:rsidR="00656CC2" w:rsidRPr="00656CC2">
              <w:rPr>
                <w:b/>
                <w:bCs/>
                <w:szCs w:val="24"/>
                <w:u w:val="single"/>
              </w:rPr>
              <w:t>and/or</w:t>
            </w:r>
            <w:r w:rsidR="00656CC2">
              <w:rPr>
                <w:szCs w:val="24"/>
              </w:rPr>
              <w:t>[</w:t>
            </w:r>
            <w:r w:rsidRPr="00656CC2">
              <w:rPr>
                <w:strike/>
                <w:szCs w:val="24"/>
              </w:rPr>
              <w:t>,</w:t>
            </w:r>
            <w:r w:rsidR="00656CC2">
              <w:rPr>
                <w:szCs w:val="24"/>
              </w:rPr>
              <w:t>]</w:t>
            </w:r>
            <w:r w:rsidRPr="0060634E">
              <w:rPr>
                <w:szCs w:val="24"/>
              </w:rPr>
              <w:t xml:space="preserve"> California-designated </w:t>
            </w:r>
            <w:r w:rsidRPr="00D73F6A">
              <w:rPr>
                <w:szCs w:val="24"/>
              </w:rPr>
              <w:t>low-income communities</w:t>
            </w:r>
            <w:r w:rsidR="00656CC2" w:rsidRPr="00656CC2">
              <w:rPr>
                <w:szCs w:val="24"/>
              </w:rPr>
              <w:t>[</w:t>
            </w:r>
            <w:r w:rsidRPr="00656CC2">
              <w:rPr>
                <w:strike/>
                <w:szCs w:val="24"/>
              </w:rPr>
              <w:t>, and/or Justice40 disadvantaged communities (federal disadvantaged communities)</w:t>
            </w:r>
            <w:r w:rsidR="00656CC2">
              <w:rPr>
                <w:szCs w:val="24"/>
              </w:rPr>
              <w:t>]</w:t>
            </w:r>
            <w:r w:rsidRPr="00D73F6A">
              <w:rPr>
                <w:szCs w:val="24"/>
              </w:rPr>
              <w:t xml:space="preserve"> by providing emission reduction, public health, economic, and cost-saving benefits.</w:t>
            </w:r>
          </w:p>
          <w:p w14:paraId="00A1F630" w14:textId="68181B45" w:rsidR="008574D4" w:rsidRPr="0060634E" w:rsidRDefault="008574D4" w:rsidP="00705437">
            <w:pPr>
              <w:numPr>
                <w:ilvl w:val="0"/>
                <w:numId w:val="15"/>
              </w:numPr>
              <w:spacing w:before="40" w:after="40"/>
              <w:rPr>
                <w:szCs w:val="24"/>
              </w:rPr>
            </w:pPr>
            <w:r w:rsidRPr="0060634E">
              <w:rPr>
                <w:szCs w:val="24"/>
              </w:rPr>
              <w:t xml:space="preserve">The </w:t>
            </w:r>
            <w:r w:rsidR="00F150AC">
              <w:rPr>
                <w:szCs w:val="24"/>
              </w:rPr>
              <w:t xml:space="preserve">cost </w:t>
            </w:r>
            <w:r w:rsidRPr="0060634E">
              <w:rPr>
                <w:szCs w:val="24"/>
              </w:rPr>
              <w:t>to charg</w:t>
            </w:r>
            <w:r w:rsidR="00F150AC">
              <w:rPr>
                <w:szCs w:val="24"/>
              </w:rPr>
              <w:t>e</w:t>
            </w:r>
            <w:r w:rsidRPr="0060634E">
              <w:rPr>
                <w:szCs w:val="24"/>
              </w:rPr>
              <w:t xml:space="preserve"> </w:t>
            </w:r>
            <w:r w:rsidR="00F150AC">
              <w:rPr>
                <w:szCs w:val="24"/>
              </w:rPr>
              <w:t>for</w:t>
            </w:r>
            <w:r w:rsidRPr="0060634E">
              <w:rPr>
                <w:szCs w:val="24"/>
              </w:rPr>
              <w:t xml:space="preserve"> drivers </w:t>
            </w:r>
            <w:r w:rsidR="00F150AC">
              <w:rPr>
                <w:szCs w:val="24"/>
              </w:rPr>
              <w:t>will be reduced or minimized</w:t>
            </w:r>
            <w:r w:rsidR="003C4467">
              <w:rPr>
                <w:szCs w:val="24"/>
              </w:rPr>
              <w:t xml:space="preserve">, with </w:t>
            </w:r>
            <w:r w:rsidR="00F779D6">
              <w:rPr>
                <w:szCs w:val="24"/>
              </w:rPr>
              <w:t xml:space="preserve">methods and </w:t>
            </w:r>
            <w:r w:rsidR="003C4467">
              <w:rPr>
                <w:szCs w:val="24"/>
              </w:rPr>
              <w:t>assumptions explained</w:t>
            </w:r>
            <w:r w:rsidRPr="0060634E">
              <w:rPr>
                <w:szCs w:val="24"/>
              </w:rPr>
              <w:t>.</w:t>
            </w:r>
          </w:p>
          <w:p w14:paraId="606E4383" w14:textId="3C9F1173" w:rsidR="008574D4" w:rsidRPr="00D73F6A" w:rsidRDefault="7E083535" w:rsidP="00705437">
            <w:pPr>
              <w:numPr>
                <w:ilvl w:val="0"/>
                <w:numId w:val="15"/>
              </w:numPr>
              <w:spacing w:before="40" w:after="40"/>
            </w:pPr>
            <w:r>
              <w:t>The benefit-cost score, defined as the ratio of grams of CO</w:t>
            </w:r>
            <w:r w:rsidRPr="00466DA4">
              <w:rPr>
                <w:vertAlign w:val="subscript"/>
              </w:rPr>
              <w:t>2</w:t>
            </w:r>
            <w:r>
              <w:t xml:space="preserve"> equivalent reduction </w:t>
            </w:r>
            <w:r w:rsidR="000B1D3F">
              <w:t xml:space="preserve">over five years of operation </w:t>
            </w:r>
            <w:r>
              <w:t xml:space="preserve">per dollar of </w:t>
            </w:r>
            <w:r w:rsidR="00292B81">
              <w:t>CEC</w:t>
            </w:r>
            <w:r>
              <w:t xml:space="preserve"> </w:t>
            </w:r>
            <w:r w:rsidR="000B1D3F">
              <w:t xml:space="preserve">funding </w:t>
            </w:r>
            <w:r w:rsidR="009A75D7">
              <w:t>requested for</w:t>
            </w:r>
            <w:r w:rsidR="000B1D3F">
              <w:t xml:space="preserve"> the project</w:t>
            </w:r>
            <w:r>
              <w:t>.</w:t>
            </w:r>
          </w:p>
        </w:tc>
        <w:tc>
          <w:tcPr>
            <w:tcW w:w="1473" w:type="dxa"/>
          </w:tcPr>
          <w:p w14:paraId="0120DBA6" w14:textId="77777777" w:rsidR="008574D4" w:rsidRPr="0060634E" w:rsidRDefault="008574D4" w:rsidP="00705437">
            <w:pPr>
              <w:spacing w:before="40" w:after="40"/>
              <w:jc w:val="center"/>
              <w:rPr>
                <w:szCs w:val="24"/>
              </w:rPr>
            </w:pPr>
          </w:p>
          <w:p w14:paraId="64973330" w14:textId="7FDB13E8" w:rsidR="008574D4" w:rsidRPr="0060634E" w:rsidRDefault="00007F2D" w:rsidP="00705437">
            <w:pPr>
              <w:spacing w:before="40" w:after="40"/>
              <w:jc w:val="center"/>
              <w:rPr>
                <w:szCs w:val="24"/>
              </w:rPr>
            </w:pPr>
            <w:r>
              <w:rPr>
                <w:szCs w:val="24"/>
              </w:rPr>
              <w:t>20</w:t>
            </w:r>
          </w:p>
        </w:tc>
      </w:tr>
      <w:tr w:rsidR="008574D4" w:rsidRPr="00E91F37" w14:paraId="029E96AF" w14:textId="77777777" w:rsidTr="00534AD2">
        <w:tc>
          <w:tcPr>
            <w:tcW w:w="7877" w:type="dxa"/>
          </w:tcPr>
          <w:p w14:paraId="16A1256D" w14:textId="77777777" w:rsidR="008574D4" w:rsidRPr="0060634E" w:rsidRDefault="008574D4" w:rsidP="00705437">
            <w:pPr>
              <w:numPr>
                <w:ilvl w:val="0"/>
                <w:numId w:val="87"/>
              </w:numPr>
              <w:spacing w:before="40" w:after="40"/>
              <w:ind w:left="695" w:hanging="630"/>
              <w:rPr>
                <w:b/>
                <w:szCs w:val="24"/>
              </w:rPr>
            </w:pPr>
            <w:r w:rsidRPr="0060634E">
              <w:rPr>
                <w:b/>
                <w:szCs w:val="24"/>
              </w:rPr>
              <w:t>Project Budget and Finances</w:t>
            </w:r>
          </w:p>
          <w:p w14:paraId="3F259220" w14:textId="77777777" w:rsidR="008574D4" w:rsidRPr="0060634E" w:rsidRDefault="008574D4" w:rsidP="00705437">
            <w:pPr>
              <w:spacing w:before="40" w:after="40"/>
              <w:rPr>
                <w:szCs w:val="24"/>
              </w:rPr>
            </w:pPr>
            <w:r w:rsidRPr="0060634E">
              <w:rPr>
                <w:szCs w:val="24"/>
              </w:rPr>
              <w:t>Applications will be evaluated on the degree to which:</w:t>
            </w:r>
          </w:p>
          <w:p w14:paraId="1F63B310" w14:textId="77777777" w:rsidR="008574D4" w:rsidRPr="00ED28A6" w:rsidRDefault="008574D4" w:rsidP="00705437">
            <w:pPr>
              <w:numPr>
                <w:ilvl w:val="0"/>
                <w:numId w:val="89"/>
              </w:numPr>
              <w:spacing w:before="40" w:after="40"/>
              <w:ind w:left="695"/>
              <w:rPr>
                <w:b/>
                <w:bCs/>
                <w:szCs w:val="24"/>
              </w:rPr>
            </w:pPr>
            <w:r w:rsidRPr="00ED28A6">
              <w:rPr>
                <w:rStyle w:val="Heading3Char"/>
                <w:b w:val="0"/>
                <w:bCs/>
                <w:szCs w:val="24"/>
              </w:rPr>
              <w:t>The proposed project’s budget is cost effective and reasonable relative to the Scope of Work and expected benefits to California</w:t>
            </w:r>
            <w:r w:rsidRPr="00ED28A6">
              <w:rPr>
                <w:b/>
                <w:bCs/>
                <w:szCs w:val="24"/>
              </w:rPr>
              <w:t>.</w:t>
            </w:r>
          </w:p>
          <w:p w14:paraId="4ED933B2" w14:textId="199F60E4" w:rsidR="008574D4" w:rsidRPr="00D73F6A" w:rsidRDefault="008574D4" w:rsidP="00705437">
            <w:pPr>
              <w:numPr>
                <w:ilvl w:val="0"/>
                <w:numId w:val="89"/>
              </w:numPr>
              <w:spacing w:before="40" w:after="40"/>
              <w:ind w:left="695"/>
              <w:rPr>
                <w:szCs w:val="24"/>
              </w:rPr>
            </w:pPr>
            <w:r w:rsidRPr="00D73F6A">
              <w:rPr>
                <w:szCs w:val="24"/>
              </w:rPr>
              <w:t xml:space="preserve">The </w:t>
            </w:r>
            <w:r w:rsidRPr="0060634E">
              <w:rPr>
                <w:szCs w:val="24"/>
              </w:rPr>
              <w:t>budget</w:t>
            </w:r>
            <w:r w:rsidRPr="00D73F6A">
              <w:rPr>
                <w:szCs w:val="24"/>
              </w:rPr>
              <w:t xml:space="preserve"> optimizes the balance between charger reliability and costs.</w:t>
            </w:r>
          </w:p>
          <w:p w14:paraId="7DA1070E" w14:textId="7BDB0DF4" w:rsidR="008574D4" w:rsidRPr="0060634E" w:rsidRDefault="008574D4" w:rsidP="00705437">
            <w:pPr>
              <w:numPr>
                <w:ilvl w:val="0"/>
                <w:numId w:val="89"/>
              </w:numPr>
              <w:spacing w:before="40" w:after="40"/>
              <w:ind w:left="695"/>
              <w:rPr>
                <w:szCs w:val="24"/>
              </w:rPr>
            </w:pPr>
            <w:r w:rsidRPr="00D73F6A">
              <w:rPr>
                <w:szCs w:val="24"/>
              </w:rPr>
              <w:t>The</w:t>
            </w:r>
            <w:r w:rsidR="00D6721E">
              <w:rPr>
                <w:szCs w:val="24"/>
              </w:rPr>
              <w:t xml:space="preserve">re is a credible plan to </w:t>
            </w:r>
            <w:r w:rsidRPr="00D73F6A">
              <w:rPr>
                <w:szCs w:val="24"/>
              </w:rPr>
              <w:t>meet or exceed the solicitation’s goal of 25</w:t>
            </w:r>
            <w:r w:rsidR="0052572B">
              <w:rPr>
                <w:szCs w:val="24"/>
              </w:rPr>
              <w:t xml:space="preserve"> percent</w:t>
            </w:r>
            <w:r w:rsidRPr="00D73F6A">
              <w:rPr>
                <w:szCs w:val="24"/>
              </w:rPr>
              <w:t xml:space="preserve"> small business participation.</w:t>
            </w:r>
          </w:p>
          <w:p w14:paraId="2598AAA9" w14:textId="75842947" w:rsidR="008574D4" w:rsidRPr="0060634E" w:rsidRDefault="00B378C9" w:rsidP="00705437">
            <w:pPr>
              <w:numPr>
                <w:ilvl w:val="0"/>
                <w:numId w:val="89"/>
              </w:numPr>
              <w:spacing w:before="40" w:after="40"/>
              <w:ind w:left="695"/>
            </w:pPr>
            <w:r>
              <w:t>I</w:t>
            </w:r>
            <w:r w:rsidR="008574D4">
              <w:t xml:space="preserve">ncome or revenue earned from the operation of the </w:t>
            </w:r>
            <w:r w:rsidR="389348A9">
              <w:t xml:space="preserve">proposed </w:t>
            </w:r>
            <w:r w:rsidR="008574D4">
              <w:t>EV charging stations will be used in compliance with the federal NEVI standards</w:t>
            </w:r>
            <w:r w:rsidR="00400245">
              <w:t xml:space="preserve"> </w:t>
            </w:r>
            <w:r w:rsidR="00B45338">
              <w:t xml:space="preserve">under 23 CFR 680.106(m), </w:t>
            </w:r>
            <w:r w:rsidR="0092124C">
              <w:t>(</w:t>
            </w:r>
            <w:r w:rsidR="00B45338">
              <w:t>which</w:t>
            </w:r>
            <w:r w:rsidR="00400245">
              <w:t xml:space="preserve"> require</w:t>
            </w:r>
            <w:r w:rsidR="00CC5DEA">
              <w:t xml:space="preserve"> </w:t>
            </w:r>
            <w:r w:rsidR="00F56BA9">
              <w:t>use</w:t>
            </w:r>
            <w:r w:rsidR="00CC5DEA">
              <w:t xml:space="preserve"> for debt service, a reasonable return on investment, and/or costs for operation, maintenance, and site improvement</w:t>
            </w:r>
            <w:r w:rsidR="0092124C">
              <w:t>) and</w:t>
            </w:r>
            <w:r w:rsidR="002476AA">
              <w:t xml:space="preserve"> </w:t>
            </w:r>
            <w:r w:rsidR="00D22FE5">
              <w:t xml:space="preserve">there is </w:t>
            </w:r>
            <w:r w:rsidR="00B10977">
              <w:t xml:space="preserve">a method </w:t>
            </w:r>
            <w:r w:rsidR="007D3F86">
              <w:t xml:space="preserve">in place </w:t>
            </w:r>
            <w:r w:rsidR="00B10977">
              <w:t>for</w:t>
            </w:r>
            <w:r w:rsidR="002476AA">
              <w:t xml:space="preserve"> document</w:t>
            </w:r>
            <w:r w:rsidR="00B10977">
              <w:t>ing</w:t>
            </w:r>
            <w:r w:rsidR="002476AA">
              <w:t xml:space="preserve"> compliance during the project</w:t>
            </w:r>
            <w:r w:rsidR="00F56BA9">
              <w:t>.</w:t>
            </w:r>
          </w:p>
          <w:p w14:paraId="6CD7D18F" w14:textId="77777777" w:rsidR="008574D4" w:rsidRPr="0060634E" w:rsidRDefault="008574D4" w:rsidP="00705437">
            <w:pPr>
              <w:numPr>
                <w:ilvl w:val="0"/>
                <w:numId w:val="89"/>
              </w:numPr>
              <w:spacing w:before="40" w:after="40"/>
              <w:ind w:left="695"/>
              <w:rPr>
                <w:szCs w:val="24"/>
              </w:rPr>
            </w:pPr>
            <w:r w:rsidRPr="0060634E">
              <w:rPr>
                <w:szCs w:val="24"/>
              </w:rPr>
              <w:t>Match funding commitments are supported by verifiable documentation.</w:t>
            </w:r>
          </w:p>
          <w:p w14:paraId="2E8F55AF" w14:textId="5C5DF26A" w:rsidR="008574D4" w:rsidRPr="0060634E" w:rsidRDefault="008574D4" w:rsidP="00705437">
            <w:pPr>
              <w:numPr>
                <w:ilvl w:val="0"/>
                <w:numId w:val="89"/>
              </w:numPr>
              <w:spacing w:before="40" w:after="40"/>
              <w:ind w:left="695"/>
            </w:pPr>
            <w:r>
              <w:lastRenderedPageBreak/>
              <w:t xml:space="preserve">The total </w:t>
            </w:r>
            <w:r w:rsidR="00814E3A">
              <w:t xml:space="preserve">CEC </w:t>
            </w:r>
            <w:r>
              <w:t xml:space="preserve">funding requested per proposed charging port is </w:t>
            </w:r>
            <w:r w:rsidR="00D11BF0">
              <w:t>low</w:t>
            </w:r>
            <w:r>
              <w:t>.</w:t>
            </w:r>
          </w:p>
          <w:p w14:paraId="4BD6E26E" w14:textId="3E63BD3E" w:rsidR="008574D4" w:rsidRPr="00D73F6A" w:rsidRDefault="008574D4" w:rsidP="00705437">
            <w:pPr>
              <w:numPr>
                <w:ilvl w:val="0"/>
                <w:numId w:val="89"/>
              </w:numPr>
              <w:spacing w:before="40" w:after="40"/>
              <w:ind w:left="695"/>
            </w:pPr>
            <w:r>
              <w:t xml:space="preserve">The total allowable </w:t>
            </w:r>
            <w:r w:rsidR="00E13629">
              <w:t xml:space="preserve">project </w:t>
            </w:r>
            <w:r>
              <w:t xml:space="preserve">cost per kW is </w:t>
            </w:r>
            <w:r w:rsidR="00D11BF0">
              <w:t>low</w:t>
            </w:r>
            <w:r>
              <w:t>.</w:t>
            </w:r>
          </w:p>
          <w:p w14:paraId="0DB97739" w14:textId="135FCEA4" w:rsidR="008574D4" w:rsidRPr="00D73F6A" w:rsidRDefault="005B6F08" w:rsidP="00705437">
            <w:pPr>
              <w:numPr>
                <w:ilvl w:val="0"/>
                <w:numId w:val="89"/>
              </w:numPr>
              <w:spacing w:before="40" w:after="40"/>
              <w:ind w:left="695"/>
              <w:rPr>
                <w:rStyle w:val="Heading3Char"/>
                <w:b w:val="0"/>
                <w:szCs w:val="24"/>
              </w:rPr>
            </w:pPr>
            <w:r>
              <w:rPr>
                <w:szCs w:val="24"/>
              </w:rPr>
              <w:t>There are</w:t>
            </w:r>
            <w:r w:rsidR="008574D4" w:rsidRPr="00D73F6A">
              <w:rPr>
                <w:szCs w:val="24"/>
              </w:rPr>
              <w:t xml:space="preserve"> credible strategies to secure additional capital, as needed, to ensure project success and continue</w:t>
            </w:r>
            <w:r>
              <w:rPr>
                <w:szCs w:val="24"/>
              </w:rPr>
              <w:t>d</w:t>
            </w:r>
            <w:r w:rsidR="008574D4" w:rsidRPr="00D73F6A">
              <w:rPr>
                <w:szCs w:val="24"/>
              </w:rPr>
              <w:t xml:space="preserve"> operations and maintenance of the project beyond the term of the funding agreement.</w:t>
            </w:r>
          </w:p>
        </w:tc>
        <w:tc>
          <w:tcPr>
            <w:tcW w:w="1473" w:type="dxa"/>
          </w:tcPr>
          <w:p w14:paraId="1F1F7058" w14:textId="77777777" w:rsidR="008574D4" w:rsidRPr="0060634E" w:rsidRDefault="008574D4" w:rsidP="00705437">
            <w:pPr>
              <w:spacing w:before="40" w:after="40"/>
              <w:jc w:val="center"/>
              <w:rPr>
                <w:szCs w:val="24"/>
              </w:rPr>
            </w:pPr>
          </w:p>
          <w:p w14:paraId="1425A102" w14:textId="3873D80C" w:rsidR="008574D4" w:rsidRPr="0060634E" w:rsidRDefault="00BC20FA" w:rsidP="00705437">
            <w:pPr>
              <w:spacing w:before="40" w:after="40"/>
              <w:jc w:val="center"/>
              <w:rPr>
                <w:szCs w:val="24"/>
              </w:rPr>
            </w:pPr>
            <w:r>
              <w:rPr>
                <w:szCs w:val="24"/>
              </w:rPr>
              <w:t>20</w:t>
            </w:r>
          </w:p>
        </w:tc>
      </w:tr>
      <w:tr w:rsidR="0075410D" w:rsidRPr="00E91F37" w14:paraId="3F424716" w14:textId="77777777" w:rsidTr="00534AD2">
        <w:tc>
          <w:tcPr>
            <w:tcW w:w="7877" w:type="dxa"/>
          </w:tcPr>
          <w:p w14:paraId="7803E8A5" w14:textId="77777777" w:rsidR="007B13B6" w:rsidRPr="0060634E" w:rsidRDefault="007B13B6" w:rsidP="00705437">
            <w:pPr>
              <w:numPr>
                <w:ilvl w:val="0"/>
                <w:numId w:val="87"/>
              </w:numPr>
              <w:spacing w:before="40" w:after="40"/>
              <w:ind w:left="695" w:hanging="630"/>
              <w:rPr>
                <w:b/>
                <w:szCs w:val="24"/>
              </w:rPr>
            </w:pPr>
            <w:r w:rsidRPr="0060634E">
              <w:rPr>
                <w:b/>
                <w:szCs w:val="24"/>
              </w:rPr>
              <w:t>Charging Station Technology</w:t>
            </w:r>
          </w:p>
          <w:p w14:paraId="49010511" w14:textId="77777777" w:rsidR="007B13B6" w:rsidRPr="0060634E" w:rsidRDefault="007B13B6" w:rsidP="00705437">
            <w:pPr>
              <w:spacing w:before="40" w:after="40"/>
              <w:rPr>
                <w:szCs w:val="24"/>
              </w:rPr>
            </w:pPr>
            <w:r w:rsidRPr="0060634E">
              <w:rPr>
                <w:szCs w:val="24"/>
              </w:rPr>
              <w:t>Applications will be evaluated on the degree to which:</w:t>
            </w:r>
          </w:p>
          <w:p w14:paraId="472C3238" w14:textId="187943A7" w:rsidR="007B13B6" w:rsidRDefault="007B13B6" w:rsidP="00705437">
            <w:pPr>
              <w:numPr>
                <w:ilvl w:val="0"/>
                <w:numId w:val="86"/>
              </w:numPr>
              <w:spacing w:before="40" w:after="40"/>
            </w:pPr>
            <w:r>
              <w:t xml:space="preserve">The make, model, and power levels of the </w:t>
            </w:r>
            <w:r w:rsidR="13844B97">
              <w:t xml:space="preserve">proposed </w:t>
            </w:r>
            <w:r>
              <w:t>DC fast chargers being deployed and the number of ports each charger has</w:t>
            </w:r>
            <w:r w:rsidR="005240C2">
              <w:t xml:space="preserve"> are justified in terms of why</w:t>
            </w:r>
            <w:r>
              <w:t xml:space="preserve"> </w:t>
            </w:r>
            <w:r w:rsidR="005240C2">
              <w:t xml:space="preserve">they </w:t>
            </w:r>
            <w:r>
              <w:t xml:space="preserve">were chosen for the project, </w:t>
            </w:r>
            <w:r w:rsidR="00800952">
              <w:t>including any</w:t>
            </w:r>
            <w:r>
              <w:t xml:space="preserve"> innovative and/or sustainability features. </w:t>
            </w:r>
            <w:r w:rsidR="00507C02">
              <w:t xml:space="preserve">There is justification for including J3400 connector types, </w:t>
            </w:r>
            <w:r>
              <w:t>if applicable.</w:t>
            </w:r>
          </w:p>
          <w:p w14:paraId="058F6E68" w14:textId="4D45FC25" w:rsidR="007B13B6" w:rsidRPr="00771C74" w:rsidRDefault="007B13B6" w:rsidP="00705437">
            <w:pPr>
              <w:pStyle w:val="ListParagraph"/>
              <w:numPr>
                <w:ilvl w:val="0"/>
                <w:numId w:val="86"/>
              </w:numPr>
              <w:spacing w:before="40" w:after="40"/>
              <w:rPr>
                <w:szCs w:val="24"/>
              </w:rPr>
            </w:pPr>
            <w:r>
              <w:rPr>
                <w:szCs w:val="24"/>
              </w:rPr>
              <w:t xml:space="preserve">The </w:t>
            </w:r>
            <w:r w:rsidRPr="00771C74">
              <w:rPr>
                <w:szCs w:val="24"/>
              </w:rPr>
              <w:t xml:space="preserve">charging ports at each proposed EV charging station will be </w:t>
            </w:r>
            <w:r>
              <w:rPr>
                <w:szCs w:val="24"/>
              </w:rPr>
              <w:t>guaranteed to</w:t>
            </w:r>
            <w:r w:rsidRPr="00771C74">
              <w:rPr>
                <w:szCs w:val="24"/>
              </w:rPr>
              <w:t xml:space="preserve"> simultaneously supplying vehicles with at least 150 kW. </w:t>
            </w:r>
          </w:p>
          <w:p w14:paraId="2883091D" w14:textId="6A8B3A02" w:rsidR="0075410D" w:rsidRPr="0060634E" w:rsidRDefault="007B13B6" w:rsidP="00705437">
            <w:pPr>
              <w:numPr>
                <w:ilvl w:val="6"/>
                <w:numId w:val="86"/>
              </w:numPr>
              <w:spacing w:before="40" w:after="40"/>
              <w:ind w:left="720"/>
              <w:rPr>
                <w:b/>
                <w:szCs w:val="24"/>
              </w:rPr>
            </w:pPr>
            <w:r w:rsidRPr="0060634E">
              <w:rPr>
                <w:szCs w:val="24"/>
              </w:rPr>
              <w:t>The proposed EV chargers are customer-friendly, easy to use, aesthetically pleasing, secure, and accessible to all EV drivers.</w:t>
            </w:r>
          </w:p>
        </w:tc>
        <w:tc>
          <w:tcPr>
            <w:tcW w:w="1473" w:type="dxa"/>
          </w:tcPr>
          <w:p w14:paraId="74EC6D7D" w14:textId="77777777" w:rsidR="007B13B6" w:rsidRDefault="007B13B6" w:rsidP="00705437">
            <w:pPr>
              <w:spacing w:before="40" w:after="40"/>
              <w:jc w:val="center"/>
              <w:rPr>
                <w:szCs w:val="24"/>
              </w:rPr>
            </w:pPr>
          </w:p>
          <w:p w14:paraId="460169BD" w14:textId="10E70045" w:rsidR="0075410D" w:rsidRPr="0060634E" w:rsidRDefault="00007F2D" w:rsidP="00705437">
            <w:pPr>
              <w:spacing w:before="40" w:after="40"/>
              <w:jc w:val="center"/>
              <w:rPr>
                <w:szCs w:val="24"/>
              </w:rPr>
            </w:pPr>
            <w:r>
              <w:rPr>
                <w:szCs w:val="24"/>
              </w:rPr>
              <w:t>15</w:t>
            </w:r>
          </w:p>
        </w:tc>
      </w:tr>
      <w:tr w:rsidR="007B13B6" w:rsidRPr="00E91F37" w14:paraId="13A1E84B" w14:textId="77777777" w:rsidTr="00534AD2">
        <w:tc>
          <w:tcPr>
            <w:tcW w:w="7877" w:type="dxa"/>
          </w:tcPr>
          <w:p w14:paraId="2E3C27D1" w14:textId="050EDBE5" w:rsidR="007B13B6" w:rsidRPr="0060634E" w:rsidRDefault="007B13B6" w:rsidP="00705437">
            <w:pPr>
              <w:numPr>
                <w:ilvl w:val="0"/>
                <w:numId w:val="87"/>
              </w:numPr>
              <w:spacing w:before="40" w:after="40"/>
              <w:ind w:left="695" w:hanging="630"/>
              <w:rPr>
                <w:b/>
              </w:rPr>
            </w:pPr>
            <w:r w:rsidRPr="3C6DF8A6">
              <w:rPr>
                <w:b/>
              </w:rPr>
              <w:t>Operations and Maintenance</w:t>
            </w:r>
            <w:r w:rsidR="4ABFDA99" w:rsidRPr="3C6DF8A6">
              <w:rPr>
                <w:b/>
                <w:bCs/>
              </w:rPr>
              <w:t xml:space="preserve"> Plan</w:t>
            </w:r>
          </w:p>
          <w:p w14:paraId="54D050C5" w14:textId="77777777" w:rsidR="007B13B6" w:rsidRPr="0060634E" w:rsidRDefault="007B13B6" w:rsidP="00705437">
            <w:pPr>
              <w:spacing w:before="40" w:after="40"/>
              <w:rPr>
                <w:szCs w:val="24"/>
              </w:rPr>
            </w:pPr>
            <w:r w:rsidRPr="0060634E">
              <w:rPr>
                <w:szCs w:val="24"/>
              </w:rPr>
              <w:t>Applications will be evaluated on the degree to which:</w:t>
            </w:r>
          </w:p>
          <w:p w14:paraId="56B77938" w14:textId="222A0CFD" w:rsidR="007B13B6" w:rsidRPr="00D73F6A" w:rsidRDefault="007B13B6" w:rsidP="00705437">
            <w:pPr>
              <w:numPr>
                <w:ilvl w:val="0"/>
                <w:numId w:val="15"/>
              </w:numPr>
              <w:tabs>
                <w:tab w:val="num" w:pos="720"/>
              </w:tabs>
              <w:spacing w:before="40" w:after="40"/>
              <w:rPr>
                <w:szCs w:val="24"/>
              </w:rPr>
            </w:pPr>
            <w:r w:rsidRPr="00D73F6A">
              <w:rPr>
                <w:szCs w:val="24"/>
              </w:rPr>
              <w:t xml:space="preserve">The </w:t>
            </w:r>
            <w:r>
              <w:rPr>
                <w:szCs w:val="24"/>
              </w:rPr>
              <w:t>operations and maintenance (</w:t>
            </w:r>
            <w:r w:rsidRPr="00D73F6A">
              <w:rPr>
                <w:szCs w:val="24"/>
              </w:rPr>
              <w:t>O&amp;M</w:t>
            </w:r>
            <w:r>
              <w:rPr>
                <w:szCs w:val="24"/>
              </w:rPr>
              <w:t>)</w:t>
            </w:r>
            <w:r w:rsidRPr="00D73F6A">
              <w:rPr>
                <w:szCs w:val="24"/>
              </w:rPr>
              <w:t xml:space="preserve"> plan </w:t>
            </w:r>
            <w:proofErr w:type="gramStart"/>
            <w:r w:rsidRPr="00D73F6A">
              <w:rPr>
                <w:szCs w:val="24"/>
              </w:rPr>
              <w:t>demonstrates</w:t>
            </w:r>
            <w:proofErr w:type="gramEnd"/>
            <w:r w:rsidRPr="00D73F6A">
              <w:rPr>
                <w:szCs w:val="24"/>
              </w:rPr>
              <w:t xml:space="preserve"> an overall ability to achieve an average annual uptime of greater than 97</w:t>
            </w:r>
            <w:r>
              <w:rPr>
                <w:szCs w:val="24"/>
              </w:rPr>
              <w:t xml:space="preserve"> percent</w:t>
            </w:r>
            <w:r w:rsidRPr="00D73F6A">
              <w:rPr>
                <w:szCs w:val="24"/>
              </w:rPr>
              <w:t xml:space="preserve"> per port.</w:t>
            </w:r>
          </w:p>
          <w:p w14:paraId="57B24983" w14:textId="4241158F" w:rsidR="007B13B6" w:rsidRPr="00D73F6A" w:rsidRDefault="007B13B6" w:rsidP="00705437">
            <w:pPr>
              <w:numPr>
                <w:ilvl w:val="0"/>
                <w:numId w:val="15"/>
              </w:numPr>
              <w:tabs>
                <w:tab w:val="num" w:pos="720"/>
              </w:tabs>
              <w:spacing w:before="40" w:after="40"/>
              <w:rPr>
                <w:szCs w:val="24"/>
              </w:rPr>
            </w:pPr>
            <w:r w:rsidRPr="00D73F6A">
              <w:rPr>
                <w:szCs w:val="24"/>
              </w:rPr>
              <w:t>The O&amp;M plan demonstrates strategies to physically secure the site(s) effectively and limit or prevent tampering with or damage to the chargers.</w:t>
            </w:r>
          </w:p>
          <w:p w14:paraId="6DBAFD34" w14:textId="55E4EC02" w:rsidR="007B13B6" w:rsidRPr="00D73F6A" w:rsidRDefault="007B13B6" w:rsidP="00705437">
            <w:pPr>
              <w:numPr>
                <w:ilvl w:val="0"/>
                <w:numId w:val="15"/>
              </w:numPr>
              <w:tabs>
                <w:tab w:val="num" w:pos="720"/>
              </w:tabs>
              <w:spacing w:before="40" w:after="40"/>
              <w:rPr>
                <w:szCs w:val="24"/>
              </w:rPr>
            </w:pPr>
            <w:r w:rsidRPr="00D73F6A">
              <w:rPr>
                <w:szCs w:val="24"/>
              </w:rPr>
              <w:t>The O&amp;M plan outlines a strategy with timelines to conduct preventative maintenance and/or field testing of the equipment to maximize uptime.</w:t>
            </w:r>
          </w:p>
          <w:p w14:paraId="3990B332" w14:textId="4A3EF97E" w:rsidR="007B13B6" w:rsidRPr="00D73F6A" w:rsidRDefault="007B13B6" w:rsidP="00705437">
            <w:pPr>
              <w:numPr>
                <w:ilvl w:val="0"/>
                <w:numId w:val="15"/>
              </w:numPr>
              <w:tabs>
                <w:tab w:val="num" w:pos="720"/>
              </w:tabs>
              <w:spacing w:before="40" w:after="40"/>
              <w:rPr>
                <w:szCs w:val="24"/>
              </w:rPr>
            </w:pPr>
            <w:r w:rsidRPr="00D73F6A">
              <w:rPr>
                <w:szCs w:val="24"/>
              </w:rPr>
              <w:t>The O&amp;M plan outlines strategies and timelines to provide prompt attention to chargers that are not operational and demonstrates an ability to carry out repairs to maximize uptime.</w:t>
            </w:r>
          </w:p>
          <w:p w14:paraId="7F375004" w14:textId="6CF63EC6" w:rsidR="007B13B6" w:rsidRPr="00D73F6A" w:rsidRDefault="007B13B6" w:rsidP="00705437">
            <w:pPr>
              <w:numPr>
                <w:ilvl w:val="0"/>
                <w:numId w:val="15"/>
              </w:numPr>
              <w:tabs>
                <w:tab w:val="num" w:pos="720"/>
              </w:tabs>
              <w:spacing w:before="40" w:after="40"/>
              <w:rPr>
                <w:szCs w:val="24"/>
              </w:rPr>
            </w:pPr>
            <w:r w:rsidRPr="00D73F6A">
              <w:rPr>
                <w:szCs w:val="24"/>
              </w:rPr>
              <w:t>The O&amp;M plan demonstrates availability of replacement parts.</w:t>
            </w:r>
          </w:p>
          <w:p w14:paraId="080594E7" w14:textId="3DD31044" w:rsidR="007B13B6" w:rsidRPr="00D73F6A" w:rsidRDefault="007B13B6" w:rsidP="00705437">
            <w:pPr>
              <w:numPr>
                <w:ilvl w:val="0"/>
                <w:numId w:val="15"/>
              </w:numPr>
              <w:tabs>
                <w:tab w:val="num" w:pos="720"/>
              </w:tabs>
              <w:spacing w:before="40" w:after="40"/>
              <w:rPr>
                <w:szCs w:val="24"/>
              </w:rPr>
            </w:pPr>
            <w:r w:rsidRPr="00D73F6A">
              <w:rPr>
                <w:szCs w:val="24"/>
              </w:rPr>
              <w:t>The O&amp;M plan demonstrates established or planned partnerships/service level contracts with local qualified technicians.</w:t>
            </w:r>
          </w:p>
          <w:p w14:paraId="592E27AD" w14:textId="6523CE8D" w:rsidR="007B13B6" w:rsidRPr="00D73F6A" w:rsidRDefault="007B13B6" w:rsidP="00705437">
            <w:pPr>
              <w:numPr>
                <w:ilvl w:val="0"/>
                <w:numId w:val="15"/>
              </w:numPr>
              <w:tabs>
                <w:tab w:val="num" w:pos="720"/>
              </w:tabs>
              <w:spacing w:before="40" w:after="40"/>
              <w:rPr>
                <w:szCs w:val="24"/>
              </w:rPr>
            </w:pPr>
            <w:r w:rsidRPr="00D73F6A">
              <w:rPr>
                <w:szCs w:val="24"/>
              </w:rPr>
              <w:t xml:space="preserve">The warranties and/or extended warranties selected by the Applicant adequately cover the chargers and auxiliary equipment </w:t>
            </w:r>
            <w:r w:rsidRPr="00D73F6A">
              <w:rPr>
                <w:szCs w:val="24"/>
              </w:rPr>
              <w:lastRenderedPageBreak/>
              <w:t>and demonstrate an ability to enable the chargers to meet or exceed an average annual uptime of greater than 97</w:t>
            </w:r>
            <w:r>
              <w:rPr>
                <w:szCs w:val="24"/>
              </w:rPr>
              <w:t xml:space="preserve"> percent</w:t>
            </w:r>
            <w:r w:rsidRPr="00D73F6A">
              <w:rPr>
                <w:szCs w:val="24"/>
              </w:rPr>
              <w:t>.</w:t>
            </w:r>
          </w:p>
          <w:p w14:paraId="5AB4F5CE" w14:textId="29B7ECDD" w:rsidR="007B13B6" w:rsidRPr="00D73F6A" w:rsidRDefault="007B13B6" w:rsidP="00705437">
            <w:pPr>
              <w:numPr>
                <w:ilvl w:val="0"/>
                <w:numId w:val="15"/>
              </w:numPr>
              <w:tabs>
                <w:tab w:val="num" w:pos="720"/>
              </w:tabs>
              <w:spacing w:before="40" w:after="40"/>
              <w:rPr>
                <w:szCs w:val="24"/>
              </w:rPr>
            </w:pPr>
            <w:r w:rsidRPr="00D73F6A">
              <w:rPr>
                <w:szCs w:val="24"/>
              </w:rPr>
              <w:t>The O&amp;M plan demonstrates availability of adequate customer service resources to meet the customer service project requirements in Section II. B.16.</w:t>
            </w:r>
          </w:p>
          <w:p w14:paraId="6B46D77E" w14:textId="10069482" w:rsidR="007B13B6" w:rsidRPr="00D73F6A" w:rsidRDefault="007B13B6" w:rsidP="00705437">
            <w:pPr>
              <w:numPr>
                <w:ilvl w:val="0"/>
                <w:numId w:val="15"/>
              </w:numPr>
              <w:tabs>
                <w:tab w:val="num" w:pos="720"/>
              </w:tabs>
              <w:spacing w:before="40" w:after="40"/>
              <w:rPr>
                <w:szCs w:val="24"/>
              </w:rPr>
            </w:pPr>
            <w:r w:rsidRPr="00D73F6A">
              <w:rPr>
                <w:szCs w:val="24"/>
              </w:rPr>
              <w:t>The O&amp;M plan outlines the availability of site host training and describes the responsibilities of the site host in conducting O&amp;M.</w:t>
            </w:r>
          </w:p>
          <w:p w14:paraId="17C6000D" w14:textId="677BF7DF" w:rsidR="007B13B6" w:rsidRPr="00D73F6A" w:rsidRDefault="007B13B6" w:rsidP="00705437">
            <w:pPr>
              <w:numPr>
                <w:ilvl w:val="0"/>
                <w:numId w:val="15"/>
              </w:numPr>
              <w:tabs>
                <w:tab w:val="num" w:pos="720"/>
              </w:tabs>
              <w:spacing w:before="40" w:after="40"/>
            </w:pPr>
            <w:r w:rsidRPr="00D73F6A">
              <w:t>The O&amp;M plan clearly outlines who is responsible for maintaining the charging stations, including all the charging equipment, auxiliary equipment, and applicable supporting elements, such as lighting and restrooms.</w:t>
            </w:r>
          </w:p>
          <w:p w14:paraId="21FCAF31" w14:textId="1D1ABA27" w:rsidR="007B13B6" w:rsidRPr="00D73F6A" w:rsidRDefault="007B13B6" w:rsidP="00705437">
            <w:pPr>
              <w:numPr>
                <w:ilvl w:val="0"/>
                <w:numId w:val="15"/>
              </w:numPr>
              <w:spacing w:before="40" w:after="40"/>
            </w:pPr>
            <w:r w:rsidRPr="00D73F6A">
              <w:t>The O&amp;M plan clearly outlines who is responsible for payment of all operating costs, including but not limited to payment of leases, rents, royalties, licenses, fees, taxes, revenue sharing, utilities, and electric power supply for the charging equipment and applicable supporting elements, such as area lighting.</w:t>
            </w:r>
          </w:p>
          <w:p w14:paraId="44354711" w14:textId="75FA444A" w:rsidR="007B13B6" w:rsidRPr="0060634E" w:rsidRDefault="007B13B6" w:rsidP="00705437">
            <w:pPr>
              <w:numPr>
                <w:ilvl w:val="0"/>
                <w:numId w:val="15"/>
              </w:numPr>
              <w:spacing w:before="40" w:after="40"/>
              <w:rPr>
                <w:b/>
                <w:szCs w:val="24"/>
              </w:rPr>
            </w:pPr>
            <w:r w:rsidRPr="00D73F6A">
              <w:rPr>
                <w:szCs w:val="24"/>
              </w:rPr>
              <w:t xml:space="preserve">The Applicant </w:t>
            </w:r>
            <w:r>
              <w:rPr>
                <w:szCs w:val="24"/>
              </w:rPr>
              <w:t>commits to</w:t>
            </w:r>
            <w:r w:rsidRPr="00D73F6A">
              <w:rPr>
                <w:szCs w:val="24"/>
              </w:rPr>
              <w:t xml:space="preserve"> continu</w:t>
            </w:r>
            <w:r>
              <w:rPr>
                <w:szCs w:val="24"/>
              </w:rPr>
              <w:t>ing</w:t>
            </w:r>
            <w:r w:rsidRPr="00D73F6A">
              <w:rPr>
                <w:szCs w:val="24"/>
              </w:rPr>
              <w:t xml:space="preserve"> the proposed project(s) beyond the agreement term and minimum </w:t>
            </w:r>
            <w:r w:rsidRPr="0060634E">
              <w:rPr>
                <w:szCs w:val="24"/>
              </w:rPr>
              <w:t>five</w:t>
            </w:r>
            <w:r w:rsidRPr="00D73F6A">
              <w:rPr>
                <w:szCs w:val="24"/>
              </w:rPr>
              <w:t>-year data reporting period.</w:t>
            </w:r>
          </w:p>
        </w:tc>
        <w:tc>
          <w:tcPr>
            <w:tcW w:w="1473" w:type="dxa"/>
          </w:tcPr>
          <w:p w14:paraId="3BF554CC" w14:textId="77777777" w:rsidR="007B13B6" w:rsidRPr="0060634E" w:rsidRDefault="007B13B6" w:rsidP="00705437">
            <w:pPr>
              <w:spacing w:before="40" w:after="40"/>
              <w:jc w:val="center"/>
              <w:rPr>
                <w:szCs w:val="24"/>
              </w:rPr>
            </w:pPr>
          </w:p>
          <w:p w14:paraId="4AF427A6" w14:textId="4DC2EB01" w:rsidR="007B13B6" w:rsidRPr="0060634E" w:rsidRDefault="007B13B6" w:rsidP="00705437">
            <w:pPr>
              <w:spacing w:before="40" w:after="40"/>
              <w:jc w:val="center"/>
              <w:rPr>
                <w:szCs w:val="24"/>
              </w:rPr>
            </w:pPr>
            <w:r>
              <w:rPr>
                <w:szCs w:val="24"/>
              </w:rPr>
              <w:t>30</w:t>
            </w:r>
          </w:p>
        </w:tc>
      </w:tr>
      <w:tr w:rsidR="0059348C" w:rsidRPr="00E91F37" w14:paraId="73713E54" w14:textId="77777777" w:rsidTr="00534AD2">
        <w:tc>
          <w:tcPr>
            <w:tcW w:w="7877" w:type="dxa"/>
          </w:tcPr>
          <w:p w14:paraId="78CB5F32" w14:textId="77777777" w:rsidR="0059348C" w:rsidRPr="0060634E" w:rsidRDefault="0059348C" w:rsidP="00705437">
            <w:pPr>
              <w:numPr>
                <w:ilvl w:val="0"/>
                <w:numId w:val="87"/>
              </w:numPr>
              <w:spacing w:before="40" w:after="40"/>
              <w:ind w:left="695" w:hanging="630"/>
              <w:rPr>
                <w:b/>
                <w:szCs w:val="24"/>
              </w:rPr>
            </w:pPr>
            <w:r w:rsidRPr="0060634E">
              <w:rPr>
                <w:b/>
                <w:szCs w:val="24"/>
              </w:rPr>
              <w:t>Team Experience and Qualifications</w:t>
            </w:r>
          </w:p>
          <w:p w14:paraId="2D100B1C" w14:textId="77777777" w:rsidR="0059348C" w:rsidRPr="0060634E" w:rsidRDefault="0059348C" w:rsidP="00705437">
            <w:pPr>
              <w:spacing w:before="40" w:after="40"/>
              <w:rPr>
                <w:szCs w:val="24"/>
              </w:rPr>
            </w:pPr>
            <w:r w:rsidRPr="0060634E">
              <w:rPr>
                <w:szCs w:val="24"/>
              </w:rPr>
              <w:t>Applications will be evaluated on the degree to which:</w:t>
            </w:r>
          </w:p>
          <w:p w14:paraId="5B86F415" w14:textId="256439F8" w:rsidR="0059348C" w:rsidRPr="0060634E" w:rsidRDefault="54BF70E4" w:rsidP="00705437">
            <w:pPr>
              <w:numPr>
                <w:ilvl w:val="0"/>
                <w:numId w:val="9"/>
              </w:numPr>
              <w:spacing w:before="40" w:after="40"/>
            </w:pPr>
            <w:r>
              <w:t xml:space="preserve">The </w:t>
            </w:r>
            <w:r w:rsidR="0463EAF3">
              <w:t>proposed</w:t>
            </w:r>
            <w:r w:rsidR="0059348C">
              <w:t xml:space="preserve"> project team’s qualifications (including relevant expertise, experience, and skill sets) are suitable to the tasks described in the proposed Scope of Work.</w:t>
            </w:r>
          </w:p>
          <w:p w14:paraId="634EAB55" w14:textId="49C91DA1" w:rsidR="0059348C" w:rsidRPr="00D73F6A" w:rsidRDefault="0059348C" w:rsidP="00705437">
            <w:pPr>
              <w:numPr>
                <w:ilvl w:val="0"/>
                <w:numId w:val="9"/>
              </w:numPr>
              <w:spacing w:before="40" w:after="40"/>
            </w:pPr>
            <w:r>
              <w:t xml:space="preserve">The key personnel assigned to the project, including the project manager, </w:t>
            </w:r>
            <w:r w:rsidR="00933A27">
              <w:t xml:space="preserve">and their areas of responsibility </w:t>
            </w:r>
            <w:r w:rsidR="008109E1">
              <w:t>are clearly identified</w:t>
            </w:r>
            <w:r>
              <w:t>.</w:t>
            </w:r>
          </w:p>
          <w:p w14:paraId="5C0FD6AF" w14:textId="0821186F" w:rsidR="0059348C" w:rsidRPr="0060634E" w:rsidRDefault="0059348C" w:rsidP="00705437">
            <w:pPr>
              <w:numPr>
                <w:ilvl w:val="0"/>
                <w:numId w:val="9"/>
              </w:numPr>
              <w:spacing w:before="40" w:after="40"/>
              <w:rPr>
                <w:szCs w:val="24"/>
              </w:rPr>
            </w:pPr>
            <w:r w:rsidRPr="00D73F6A">
              <w:rPr>
                <w:szCs w:val="24"/>
              </w:rPr>
              <w:t xml:space="preserve">The Applicant or lead installation Subrecipient(s) from the proposed project team meet(s) </w:t>
            </w:r>
            <w:r w:rsidR="00BE364E">
              <w:rPr>
                <w:szCs w:val="24"/>
              </w:rPr>
              <w:t xml:space="preserve">or exceed(s) </w:t>
            </w:r>
            <w:r w:rsidRPr="00D73F6A">
              <w:rPr>
                <w:szCs w:val="24"/>
              </w:rPr>
              <w:t>the Experienced Contractor definition.</w:t>
            </w:r>
          </w:p>
          <w:p w14:paraId="66ABEC9C" w14:textId="4EA6259A" w:rsidR="0059348C" w:rsidRPr="00D73F6A" w:rsidRDefault="0059348C" w:rsidP="00705437">
            <w:pPr>
              <w:numPr>
                <w:ilvl w:val="0"/>
                <w:numId w:val="9"/>
              </w:numPr>
              <w:spacing w:before="40" w:after="40"/>
              <w:rPr>
                <w:szCs w:val="24"/>
              </w:rPr>
            </w:pPr>
            <w:r w:rsidRPr="00D73F6A">
              <w:rPr>
                <w:szCs w:val="24"/>
              </w:rPr>
              <w:t>The Applicant’s selected charging station network provider(s) has demonstrated experience keeping chargers in service for at least five-years or demonstrates the ability to keep the chargers in service for at least the entire required five-year operation period.</w:t>
            </w:r>
          </w:p>
          <w:p w14:paraId="6CA1123B" w14:textId="2418D45B" w:rsidR="0059348C" w:rsidRPr="00D73F6A" w:rsidRDefault="0059348C" w:rsidP="00705437">
            <w:pPr>
              <w:numPr>
                <w:ilvl w:val="0"/>
                <w:numId w:val="9"/>
              </w:numPr>
              <w:spacing w:before="40" w:after="40"/>
              <w:rPr>
                <w:szCs w:val="24"/>
              </w:rPr>
            </w:pPr>
            <w:r w:rsidRPr="00D73F6A">
              <w:rPr>
                <w:szCs w:val="24"/>
              </w:rPr>
              <w:t>The Applicant’s selected installation contractors are EVITP certified electricians</w:t>
            </w:r>
            <w:r w:rsidR="00FD74E0" w:rsidRPr="00D73F6A">
              <w:rPr>
                <w:szCs w:val="24"/>
              </w:rPr>
              <w:t>,</w:t>
            </w:r>
            <w:r w:rsidRPr="00D73F6A">
              <w:rPr>
                <w:szCs w:val="24"/>
              </w:rPr>
              <w:t xml:space="preserve"> or a plan is established to comply with the EVITP labor requirement if the installation contractors are not yet identified.</w:t>
            </w:r>
          </w:p>
          <w:p w14:paraId="7A456168" w14:textId="53941AE3" w:rsidR="0059348C" w:rsidRPr="00D73F6A" w:rsidRDefault="0059348C" w:rsidP="00705437">
            <w:pPr>
              <w:numPr>
                <w:ilvl w:val="0"/>
                <w:numId w:val="9"/>
              </w:numPr>
              <w:spacing w:before="40" w:after="40"/>
              <w:rPr>
                <w:szCs w:val="24"/>
              </w:rPr>
            </w:pPr>
            <w:r w:rsidRPr="0060634E">
              <w:rPr>
                <w:szCs w:val="24"/>
              </w:rPr>
              <w:t>The Applicant demonstrates experience with federally funded projects and/or has the ability to meet and document compliance with all the federal requirements.</w:t>
            </w:r>
          </w:p>
          <w:p w14:paraId="52B6DC46" w14:textId="4BEF791F" w:rsidR="0059348C" w:rsidRPr="00D73F6A" w:rsidRDefault="0059348C" w:rsidP="00705437">
            <w:pPr>
              <w:numPr>
                <w:ilvl w:val="0"/>
                <w:numId w:val="9"/>
              </w:numPr>
              <w:spacing w:before="40" w:after="40"/>
              <w:rPr>
                <w:szCs w:val="24"/>
              </w:rPr>
            </w:pPr>
            <w:r w:rsidRPr="00D73F6A">
              <w:rPr>
                <w:szCs w:val="24"/>
              </w:rPr>
              <w:lastRenderedPageBreak/>
              <w:t>The Applicant demonstrates experience meeting deadlines and completing milestones associated with large, complex projects, including previously successful EV charging projects.</w:t>
            </w:r>
          </w:p>
          <w:p w14:paraId="575FC5D6" w14:textId="73D84C2E" w:rsidR="0059348C" w:rsidRPr="0060634E" w:rsidRDefault="0059348C" w:rsidP="00705437">
            <w:pPr>
              <w:numPr>
                <w:ilvl w:val="0"/>
                <w:numId w:val="9"/>
              </w:numPr>
              <w:spacing w:before="40" w:after="40"/>
              <w:rPr>
                <w:b/>
                <w:szCs w:val="24"/>
              </w:rPr>
            </w:pPr>
            <w:r w:rsidRPr="00D73F6A">
              <w:rPr>
                <w:szCs w:val="24"/>
              </w:rPr>
              <w:t>Past performance on prior CEC awards or awards from other public entities has been timely and exceptional.</w:t>
            </w:r>
          </w:p>
        </w:tc>
        <w:tc>
          <w:tcPr>
            <w:tcW w:w="1473" w:type="dxa"/>
          </w:tcPr>
          <w:p w14:paraId="55F5228E" w14:textId="77777777" w:rsidR="0059348C" w:rsidRDefault="0059348C" w:rsidP="00705437">
            <w:pPr>
              <w:spacing w:before="40" w:after="40"/>
              <w:jc w:val="center"/>
              <w:rPr>
                <w:szCs w:val="24"/>
              </w:rPr>
            </w:pPr>
          </w:p>
          <w:p w14:paraId="10359A68" w14:textId="36FE544F" w:rsidR="0059348C" w:rsidRPr="0060634E" w:rsidRDefault="0059348C" w:rsidP="00705437">
            <w:pPr>
              <w:spacing w:before="40" w:after="40"/>
              <w:jc w:val="center"/>
              <w:rPr>
                <w:szCs w:val="24"/>
              </w:rPr>
            </w:pPr>
            <w:r>
              <w:rPr>
                <w:szCs w:val="24"/>
              </w:rPr>
              <w:t>20</w:t>
            </w:r>
          </w:p>
        </w:tc>
      </w:tr>
      <w:tr w:rsidR="0059348C" w:rsidRPr="00E91F37" w14:paraId="384CE98F" w14:textId="77777777" w:rsidTr="00534AD2">
        <w:trPr>
          <w:trHeight w:val="432"/>
        </w:trPr>
        <w:tc>
          <w:tcPr>
            <w:tcW w:w="7877" w:type="dxa"/>
            <w:shd w:val="clear" w:color="auto" w:fill="D9D9D9" w:themeFill="background1" w:themeFillShade="D9"/>
            <w:vAlign w:val="center"/>
          </w:tcPr>
          <w:p w14:paraId="19075998" w14:textId="77777777" w:rsidR="0059348C" w:rsidRPr="0060634E" w:rsidRDefault="0059348C" w:rsidP="00705437">
            <w:pPr>
              <w:spacing w:before="40" w:after="40"/>
              <w:jc w:val="right"/>
              <w:rPr>
                <w:b/>
                <w:szCs w:val="24"/>
                <w:highlight w:val="yellow"/>
              </w:rPr>
            </w:pPr>
            <w:r w:rsidRPr="0060634E">
              <w:rPr>
                <w:b/>
                <w:szCs w:val="24"/>
              </w:rPr>
              <w:t>Total Possible Points</w:t>
            </w:r>
          </w:p>
        </w:tc>
        <w:tc>
          <w:tcPr>
            <w:tcW w:w="1473" w:type="dxa"/>
            <w:shd w:val="clear" w:color="auto" w:fill="D9D9D9" w:themeFill="background1" w:themeFillShade="D9"/>
            <w:vAlign w:val="center"/>
          </w:tcPr>
          <w:p w14:paraId="4A04E188" w14:textId="568D484D" w:rsidR="0059348C" w:rsidRPr="00C770BB" w:rsidRDefault="00102636" w:rsidP="00705437">
            <w:pPr>
              <w:spacing w:before="40" w:after="40"/>
              <w:jc w:val="center"/>
              <w:rPr>
                <w:b/>
                <w:bCs/>
                <w:szCs w:val="24"/>
              </w:rPr>
            </w:pPr>
            <w:r w:rsidRPr="00C770BB">
              <w:rPr>
                <w:b/>
                <w:bCs/>
                <w:szCs w:val="24"/>
              </w:rPr>
              <w:t>200</w:t>
            </w:r>
          </w:p>
        </w:tc>
      </w:tr>
      <w:tr w:rsidR="0059348C" w:rsidRPr="00E91F37" w14:paraId="1B1EE52A" w14:textId="77777777" w:rsidTr="00534AD2">
        <w:trPr>
          <w:trHeight w:val="432"/>
        </w:trPr>
        <w:tc>
          <w:tcPr>
            <w:tcW w:w="7877" w:type="dxa"/>
            <w:shd w:val="clear" w:color="auto" w:fill="D9D9D9" w:themeFill="background1" w:themeFillShade="D9"/>
            <w:vAlign w:val="center"/>
          </w:tcPr>
          <w:p w14:paraId="79A8F3E7" w14:textId="77777777" w:rsidR="0059348C" w:rsidRPr="0060634E" w:rsidRDefault="0059348C" w:rsidP="00705437">
            <w:pPr>
              <w:spacing w:before="40" w:after="40"/>
              <w:jc w:val="right"/>
              <w:rPr>
                <w:b/>
                <w:szCs w:val="24"/>
                <w:highlight w:val="yellow"/>
              </w:rPr>
            </w:pPr>
            <w:r w:rsidRPr="0060634E">
              <w:rPr>
                <w:b/>
                <w:szCs w:val="24"/>
              </w:rPr>
              <w:t>Minimum Passing Score (70%)</w:t>
            </w:r>
          </w:p>
        </w:tc>
        <w:tc>
          <w:tcPr>
            <w:tcW w:w="1473" w:type="dxa"/>
            <w:shd w:val="clear" w:color="auto" w:fill="D9D9D9" w:themeFill="background1" w:themeFillShade="D9"/>
            <w:vAlign w:val="center"/>
          </w:tcPr>
          <w:p w14:paraId="61A1E6C4" w14:textId="6170AFC3" w:rsidR="0059348C" w:rsidRPr="003E3B13" w:rsidRDefault="00102636" w:rsidP="00705437">
            <w:pPr>
              <w:spacing w:before="40" w:after="40"/>
              <w:jc w:val="center"/>
              <w:rPr>
                <w:b/>
                <w:bCs/>
                <w:szCs w:val="24"/>
              </w:rPr>
            </w:pPr>
            <w:r>
              <w:rPr>
                <w:b/>
                <w:bCs/>
                <w:szCs w:val="24"/>
              </w:rPr>
              <w:t>140</w:t>
            </w:r>
          </w:p>
        </w:tc>
      </w:tr>
    </w:tbl>
    <w:p w14:paraId="51294DEF" w14:textId="5F7394E4" w:rsidR="00F03939" w:rsidRDefault="00F03939" w:rsidP="00E04486">
      <w:pPr>
        <w:rPr>
          <w:szCs w:val="22"/>
        </w:rPr>
      </w:pPr>
    </w:p>
    <w:p w14:paraId="389F9F78" w14:textId="77777777" w:rsidR="008C1D72" w:rsidRPr="00050087" w:rsidRDefault="008C1D72" w:rsidP="00164AC5">
      <w:pPr>
        <w:pStyle w:val="Heading2"/>
        <w:keepNext w:val="0"/>
        <w:numPr>
          <w:ilvl w:val="2"/>
          <w:numId w:val="85"/>
        </w:numPr>
        <w:spacing w:before="0"/>
        <w:ind w:left="720" w:hanging="720"/>
      </w:pPr>
      <w:bookmarkStart w:id="83" w:name="_Toc184829640"/>
      <w:r w:rsidRPr="00050087">
        <w:t>Tie Breakers</w:t>
      </w:r>
      <w:bookmarkEnd w:id="82"/>
      <w:bookmarkEnd w:id="83"/>
    </w:p>
    <w:p w14:paraId="5EB589AC" w14:textId="55344699" w:rsidR="008C1D72" w:rsidRPr="00E91F37" w:rsidRDefault="008C1D72" w:rsidP="00E26DE1">
      <w:pPr>
        <w:suppressAutoHyphens/>
        <w:ind w:left="720"/>
        <w:rPr>
          <w:szCs w:val="24"/>
        </w:rPr>
      </w:pPr>
      <w:r w:rsidRPr="00E91F37">
        <w:rPr>
          <w:szCs w:val="24"/>
        </w:rPr>
        <w:t xml:space="preserve">If the score for two or more applications </w:t>
      </w:r>
      <w:proofErr w:type="gramStart"/>
      <w:r w:rsidRPr="00E91F37">
        <w:rPr>
          <w:szCs w:val="24"/>
        </w:rPr>
        <w:t>are</w:t>
      </w:r>
      <w:proofErr w:type="gramEnd"/>
      <w:r w:rsidRPr="00E91F37">
        <w:rPr>
          <w:szCs w:val="24"/>
        </w:rPr>
        <w:t xml:space="preserve"> tied, the application with a higher score in the </w:t>
      </w:r>
      <w:r w:rsidR="00303316">
        <w:rPr>
          <w:szCs w:val="24"/>
        </w:rPr>
        <w:t xml:space="preserve">Project </w:t>
      </w:r>
      <w:r w:rsidR="00782CCB">
        <w:rPr>
          <w:szCs w:val="24"/>
        </w:rPr>
        <w:t>Readiness</w:t>
      </w:r>
      <w:r>
        <w:rPr>
          <w:szCs w:val="24"/>
        </w:rPr>
        <w:t xml:space="preserve"> criterion</w:t>
      </w:r>
      <w:r w:rsidRPr="00E91F37">
        <w:rPr>
          <w:szCs w:val="24"/>
        </w:rPr>
        <w:t xml:space="preserve"> will be ranked higher. If still tied, an objective </w:t>
      </w:r>
      <w:r w:rsidR="00E47E20" w:rsidRPr="00E91F37">
        <w:rPr>
          <w:szCs w:val="24"/>
        </w:rPr>
        <w:t>tiebreaker</w:t>
      </w:r>
      <w:r w:rsidRPr="00E91F37">
        <w:rPr>
          <w:szCs w:val="24"/>
        </w:rPr>
        <w:t xml:space="preserve"> (such as a random drawing) will be utilized.</w:t>
      </w:r>
    </w:p>
    <w:p w14:paraId="756F6578" w14:textId="77777777" w:rsidR="0094331C" w:rsidRPr="00050087" w:rsidRDefault="0094331C" w:rsidP="00E04486">
      <w:pPr>
        <w:rPr>
          <w:szCs w:val="22"/>
        </w:rPr>
      </w:pPr>
    </w:p>
    <w:p w14:paraId="4D94B291" w14:textId="77777777" w:rsidR="007D60E9" w:rsidRPr="00050087" w:rsidRDefault="007D60E9" w:rsidP="00E04486">
      <w:pPr>
        <w:pStyle w:val="Heading1"/>
        <w:keepNext w:val="0"/>
        <w:keepLines w:val="0"/>
        <w:spacing w:before="0" w:after="0"/>
        <w:sectPr w:rsidR="007D60E9" w:rsidRPr="00050087" w:rsidSect="007B0296">
          <w:type w:val="continuous"/>
          <w:pgSz w:w="12240" w:h="15840" w:code="1"/>
          <w:pgMar w:top="979" w:right="1440" w:bottom="1260" w:left="1440" w:header="720" w:footer="720" w:gutter="0"/>
          <w:cols w:space="720"/>
          <w:docGrid w:linePitch="326"/>
        </w:sectPr>
      </w:pPr>
      <w:bookmarkStart w:id="84" w:name="_Toc219275118"/>
      <w:bookmarkStart w:id="85" w:name="_Toc481569621"/>
      <w:bookmarkStart w:id="86" w:name="_Toc481570204"/>
    </w:p>
    <w:p w14:paraId="5C9335D2" w14:textId="77777777" w:rsidR="00082155" w:rsidRPr="00050087" w:rsidRDefault="00082155" w:rsidP="00E04486">
      <w:pPr>
        <w:pStyle w:val="Heading1"/>
        <w:keepNext w:val="0"/>
        <w:keepLines w:val="0"/>
        <w:spacing w:before="0" w:after="0"/>
      </w:pPr>
      <w:bookmarkStart w:id="87" w:name="_Toc184829641"/>
      <w:r w:rsidRPr="00050087">
        <w:lastRenderedPageBreak/>
        <w:t>V.</w:t>
      </w:r>
      <w:r w:rsidRPr="00050087">
        <w:tab/>
        <w:t>Administration</w:t>
      </w:r>
      <w:bookmarkEnd w:id="84"/>
      <w:bookmarkEnd w:id="87"/>
    </w:p>
    <w:p w14:paraId="1684AEA1" w14:textId="77777777" w:rsidR="007D60E9" w:rsidRPr="00050087" w:rsidRDefault="007D60E9" w:rsidP="00E04486">
      <w:pPr>
        <w:rPr>
          <w:szCs w:val="22"/>
        </w:rPr>
      </w:pPr>
      <w:bookmarkStart w:id="88" w:name="_Toc507398631"/>
      <w:bookmarkStart w:id="89" w:name="_Toc219275120"/>
      <w:bookmarkEnd w:id="85"/>
      <w:bookmarkEnd w:id="86"/>
    </w:p>
    <w:p w14:paraId="7B2C1B32" w14:textId="77777777" w:rsidR="00082155" w:rsidRPr="00050087" w:rsidRDefault="00082155" w:rsidP="00164AC5">
      <w:pPr>
        <w:pStyle w:val="Heading2"/>
        <w:keepNext w:val="0"/>
        <w:numPr>
          <w:ilvl w:val="0"/>
          <w:numId w:val="14"/>
        </w:numPr>
        <w:spacing w:before="0"/>
        <w:ind w:hanging="720"/>
      </w:pPr>
      <w:bookmarkStart w:id="90" w:name="_Toc184829642"/>
      <w:r w:rsidRPr="00050087">
        <w:t>Definition of Key Words</w:t>
      </w:r>
      <w:bookmarkStart w:id="91" w:name="_Toc481569622"/>
      <w:bookmarkStart w:id="92" w:name="_Toc481570205"/>
      <w:bookmarkEnd w:id="88"/>
      <w:bookmarkEnd w:id="89"/>
      <w:bookmarkEnd w:id="90"/>
    </w:p>
    <w:p w14:paraId="661C3CA8" w14:textId="7BB9194D" w:rsidR="00082155" w:rsidRPr="00E91F37" w:rsidRDefault="00082155" w:rsidP="00E26DE1">
      <w:pPr>
        <w:ind w:left="720"/>
        <w:rPr>
          <w:szCs w:val="24"/>
        </w:rPr>
      </w:pPr>
      <w:r w:rsidRPr="00E91F37">
        <w:rPr>
          <w:szCs w:val="24"/>
        </w:rPr>
        <w:t xml:space="preserve">Important definitions for this </w:t>
      </w:r>
      <w:r w:rsidR="00F66DFA" w:rsidRPr="00E91F37">
        <w:rPr>
          <w:szCs w:val="24"/>
        </w:rPr>
        <w:t>solicitation</w:t>
      </w:r>
      <w:r w:rsidRPr="00E91F37">
        <w:rPr>
          <w:szCs w:val="24"/>
        </w:rPr>
        <w:t xml:space="preserve"> are presented below:</w:t>
      </w:r>
      <w:r w:rsidR="00AB3DDD" w:rsidRPr="00E91F37">
        <w:rPr>
          <w:szCs w:val="24"/>
        </w:rPr>
        <w:t xml:space="preserve"> </w:t>
      </w:r>
    </w:p>
    <w:p w14:paraId="644FDDA8" w14:textId="77777777" w:rsidR="007D60E9" w:rsidRPr="00050087" w:rsidRDefault="007D60E9" w:rsidP="00E04486">
      <w:pPr>
        <w:rPr>
          <w:szCs w:val="22"/>
        </w:rPr>
      </w:pPr>
    </w:p>
    <w:tbl>
      <w:tblPr>
        <w:tblStyle w:val="TableGrid"/>
        <w:tblW w:w="9360" w:type="dxa"/>
        <w:tblLayout w:type="fixed"/>
        <w:tblCellMar>
          <w:top w:w="43" w:type="dxa"/>
          <w:bottom w:w="43" w:type="dxa"/>
        </w:tblCellMar>
        <w:tblLook w:val="0020" w:firstRow="1" w:lastRow="0" w:firstColumn="0" w:lastColumn="0" w:noHBand="0" w:noVBand="0"/>
        <w:tblCaption w:val="definition of key words"/>
        <w:tblDescription w:val="definitions of key words in solicitation"/>
      </w:tblPr>
      <w:tblGrid>
        <w:gridCol w:w="2430"/>
        <w:gridCol w:w="6930"/>
      </w:tblGrid>
      <w:tr w:rsidR="007D60E9" w:rsidRPr="00E91F37" w14:paraId="4534AF27" w14:textId="77777777" w:rsidTr="00EF0CE0">
        <w:trPr>
          <w:cantSplit/>
          <w:tblHeader/>
        </w:trPr>
        <w:tc>
          <w:tcPr>
            <w:tcW w:w="2430" w:type="dxa"/>
            <w:shd w:val="clear" w:color="auto" w:fill="D9D9D9" w:themeFill="background1" w:themeFillShade="D9"/>
          </w:tcPr>
          <w:p w14:paraId="66F7740F" w14:textId="77777777" w:rsidR="00082155" w:rsidRPr="00E91F37" w:rsidRDefault="00082155" w:rsidP="00E04486">
            <w:pPr>
              <w:jc w:val="center"/>
              <w:rPr>
                <w:b/>
                <w:szCs w:val="24"/>
              </w:rPr>
            </w:pPr>
            <w:r w:rsidRPr="00E91F37">
              <w:rPr>
                <w:b/>
                <w:szCs w:val="24"/>
              </w:rPr>
              <w:t>Word/Term</w:t>
            </w:r>
          </w:p>
        </w:tc>
        <w:tc>
          <w:tcPr>
            <w:tcW w:w="6930" w:type="dxa"/>
            <w:shd w:val="clear" w:color="auto" w:fill="D9D9D9" w:themeFill="background1" w:themeFillShade="D9"/>
          </w:tcPr>
          <w:p w14:paraId="3E2C5138" w14:textId="77777777" w:rsidR="00082155" w:rsidRPr="00E91F37" w:rsidRDefault="00082155" w:rsidP="00E04486">
            <w:pPr>
              <w:jc w:val="center"/>
              <w:rPr>
                <w:b/>
                <w:szCs w:val="24"/>
              </w:rPr>
            </w:pPr>
            <w:r w:rsidRPr="00E91F37">
              <w:rPr>
                <w:b/>
                <w:szCs w:val="24"/>
              </w:rPr>
              <w:t>Definition</w:t>
            </w:r>
          </w:p>
        </w:tc>
      </w:tr>
      <w:tr w:rsidR="00C9322A" w:rsidRPr="00E91F37" w14:paraId="507AE644" w14:textId="77777777" w:rsidTr="00EF0CE0">
        <w:trPr>
          <w:cantSplit/>
        </w:trPr>
        <w:tc>
          <w:tcPr>
            <w:tcW w:w="2430" w:type="dxa"/>
          </w:tcPr>
          <w:p w14:paraId="113054E5" w14:textId="77777777" w:rsidR="00C9322A" w:rsidRPr="00E91F37" w:rsidRDefault="00C9322A" w:rsidP="00E04486">
            <w:pPr>
              <w:rPr>
                <w:szCs w:val="24"/>
              </w:rPr>
            </w:pPr>
            <w:r w:rsidRPr="00E91F37">
              <w:rPr>
                <w:szCs w:val="24"/>
              </w:rPr>
              <w:t>Applicant</w:t>
            </w:r>
          </w:p>
        </w:tc>
        <w:tc>
          <w:tcPr>
            <w:tcW w:w="6930" w:type="dxa"/>
          </w:tcPr>
          <w:p w14:paraId="063593FC" w14:textId="77777777" w:rsidR="00C9322A" w:rsidRPr="00E91F37" w:rsidRDefault="00C9322A" w:rsidP="00E04486">
            <w:pPr>
              <w:rPr>
                <w:szCs w:val="24"/>
              </w:rPr>
            </w:pPr>
            <w:r w:rsidRPr="00E91F37">
              <w:rPr>
                <w:szCs w:val="24"/>
              </w:rPr>
              <w:t>Respondent to this solicitation</w:t>
            </w:r>
          </w:p>
        </w:tc>
      </w:tr>
      <w:tr w:rsidR="00C9322A" w:rsidRPr="00E91F37" w14:paraId="17C4B806" w14:textId="77777777" w:rsidTr="00EF0CE0">
        <w:trPr>
          <w:cantSplit/>
        </w:trPr>
        <w:tc>
          <w:tcPr>
            <w:tcW w:w="2430" w:type="dxa"/>
          </w:tcPr>
          <w:p w14:paraId="15E08FA1" w14:textId="77777777" w:rsidR="00C9322A" w:rsidRPr="00E91F37" w:rsidRDefault="001661BE" w:rsidP="00E04486">
            <w:pPr>
              <w:rPr>
                <w:szCs w:val="24"/>
              </w:rPr>
            </w:pPr>
            <w:r w:rsidRPr="00E91F37">
              <w:rPr>
                <w:szCs w:val="24"/>
              </w:rPr>
              <w:t>Application</w:t>
            </w:r>
          </w:p>
        </w:tc>
        <w:tc>
          <w:tcPr>
            <w:tcW w:w="6930" w:type="dxa"/>
          </w:tcPr>
          <w:p w14:paraId="62F2CD8E" w14:textId="77777777" w:rsidR="00C9322A" w:rsidRPr="00E91F37" w:rsidRDefault="00C9322A" w:rsidP="00E04486">
            <w:pPr>
              <w:rPr>
                <w:szCs w:val="24"/>
              </w:rPr>
            </w:pPr>
            <w:r w:rsidRPr="00E91F37">
              <w:rPr>
                <w:szCs w:val="24"/>
              </w:rPr>
              <w:t xml:space="preserve">Formal written response to this document from </w:t>
            </w:r>
            <w:r w:rsidR="00403F6F" w:rsidRPr="00E91F37">
              <w:rPr>
                <w:szCs w:val="24"/>
              </w:rPr>
              <w:t>applicant</w:t>
            </w:r>
          </w:p>
        </w:tc>
      </w:tr>
      <w:tr w:rsidR="00B07E65" w:rsidRPr="00E91F37" w14:paraId="0DB3438C" w14:textId="77777777" w:rsidTr="00EF0CE0">
        <w:trPr>
          <w:cantSplit/>
        </w:trPr>
        <w:tc>
          <w:tcPr>
            <w:tcW w:w="2430" w:type="dxa"/>
          </w:tcPr>
          <w:p w14:paraId="20DD44C1" w14:textId="2AC8F742" w:rsidR="00B07E65" w:rsidRPr="00E91F37" w:rsidRDefault="00B07E65" w:rsidP="00B07E65">
            <w:pPr>
              <w:rPr>
                <w:szCs w:val="24"/>
              </w:rPr>
            </w:pPr>
            <w:r w:rsidRPr="00162B26">
              <w:t>Application Programming Interface (API)</w:t>
            </w:r>
          </w:p>
        </w:tc>
        <w:tc>
          <w:tcPr>
            <w:tcW w:w="6930" w:type="dxa"/>
          </w:tcPr>
          <w:p w14:paraId="63A36053" w14:textId="7AC27511" w:rsidR="00B07E65" w:rsidRPr="00E91F37" w:rsidRDefault="00B07E65" w:rsidP="00B07E65">
            <w:pPr>
              <w:rPr>
                <w:szCs w:val="24"/>
              </w:rPr>
            </w:pPr>
            <w:r w:rsidRPr="00162B26">
              <w:t>A type of software interface that offers service to other pieces of software. An API allows two or more computer programs to communicate with each other.</w:t>
            </w:r>
          </w:p>
        </w:tc>
      </w:tr>
      <w:tr w:rsidR="00805225" w:rsidRPr="00E91F37" w14:paraId="216C5399" w14:textId="77777777" w:rsidTr="00EF0CE0">
        <w:trPr>
          <w:cantSplit/>
        </w:trPr>
        <w:tc>
          <w:tcPr>
            <w:tcW w:w="2430" w:type="dxa"/>
          </w:tcPr>
          <w:p w14:paraId="391E2652" w14:textId="460876FF" w:rsidR="00805225" w:rsidRPr="00805225" w:rsidRDefault="00805225" w:rsidP="00805225">
            <w:r w:rsidRPr="00C652B5">
              <w:rPr>
                <w:szCs w:val="24"/>
              </w:rPr>
              <w:t>BESS</w:t>
            </w:r>
          </w:p>
        </w:tc>
        <w:tc>
          <w:tcPr>
            <w:tcW w:w="6930" w:type="dxa"/>
          </w:tcPr>
          <w:p w14:paraId="54B0E5CA" w14:textId="4DC9FCB6" w:rsidR="00805225" w:rsidRPr="00162B26" w:rsidRDefault="00805225" w:rsidP="00805225">
            <w:r w:rsidRPr="00AB231E">
              <w:rPr>
                <w:szCs w:val="24"/>
              </w:rPr>
              <w:t>Battery Energy Storage System</w:t>
            </w:r>
          </w:p>
        </w:tc>
      </w:tr>
      <w:tr w:rsidR="0057278B" w:rsidRPr="00E91F37" w:rsidDel="0057278B" w14:paraId="726693EA" w14:textId="77777777" w:rsidTr="00EF0CE0">
        <w:trPr>
          <w:cantSplit/>
          <w:trHeight w:val="1125"/>
        </w:trPr>
        <w:tc>
          <w:tcPr>
            <w:tcW w:w="2430" w:type="dxa"/>
          </w:tcPr>
          <w:p w14:paraId="6C5AA064" w14:textId="56F85B73" w:rsidR="0057278B" w:rsidRPr="00C652B5" w:rsidDel="0057278B" w:rsidRDefault="0057278B" w:rsidP="0057278B">
            <w:pPr>
              <w:rPr>
                <w:szCs w:val="24"/>
              </w:rPr>
            </w:pPr>
            <w:r w:rsidRPr="00C652B5">
              <w:t>California-Designated Disadvantaged Community</w:t>
            </w:r>
            <w:r w:rsidR="006E03C9">
              <w:t xml:space="preserve"> (DAC)</w:t>
            </w:r>
          </w:p>
        </w:tc>
        <w:tc>
          <w:tcPr>
            <w:tcW w:w="6930" w:type="dxa"/>
          </w:tcPr>
          <w:p w14:paraId="6BC7FDF5" w14:textId="0126977A" w:rsidR="0057278B" w:rsidRPr="00C652B5" w:rsidDel="0057278B" w:rsidRDefault="0057278B" w:rsidP="0057278B">
            <w:pPr>
              <w:rPr>
                <w:szCs w:val="24"/>
              </w:rPr>
            </w:pPr>
            <w:r w:rsidRPr="00C652B5">
              <w:t>California Environmental Protectional Agency (CalEPA) identifies four types of geographic areas as disadvantaged: (1) census tracts receiving the highest 25% of overall scores in CalEnviroScreen 4.0; (2) census tracts lacking overall scores in CalEnviroScreen 4.0 due to data gaps, but receiving the highest 5% of CalEnviroScreen 4.0 cumulative pollution burden scores; (3) census tracts identified in the 2017 DAC designation as disadvantaged, regardless of their scores in CalEnviroScreen 4.0; (4) and areas under the control of federally</w:t>
            </w:r>
            <w:r w:rsidR="00275D2C">
              <w:t>-</w:t>
            </w:r>
            <w:r w:rsidRPr="00C652B5">
              <w:t xml:space="preserve">recognized </w:t>
            </w:r>
            <w:r w:rsidR="002B0C68">
              <w:t>t</w:t>
            </w:r>
            <w:r w:rsidRPr="00C652B5">
              <w:t>ribes.</w:t>
            </w:r>
          </w:p>
        </w:tc>
      </w:tr>
      <w:tr w:rsidR="0057278B" w:rsidRPr="00E91F37" w:rsidDel="0057278B" w14:paraId="43345F3A" w14:textId="77777777" w:rsidTr="00EF0CE0">
        <w:trPr>
          <w:cantSplit/>
          <w:trHeight w:val="1125"/>
        </w:trPr>
        <w:tc>
          <w:tcPr>
            <w:tcW w:w="2430" w:type="dxa"/>
          </w:tcPr>
          <w:p w14:paraId="0767185E" w14:textId="21F9CA5F" w:rsidR="0057278B" w:rsidRPr="00C652B5" w:rsidDel="0057278B" w:rsidRDefault="0057278B" w:rsidP="0057278B">
            <w:pPr>
              <w:rPr>
                <w:szCs w:val="24"/>
              </w:rPr>
            </w:pPr>
            <w:r w:rsidRPr="00C652B5">
              <w:t>California-Designated Low-Income Community</w:t>
            </w:r>
            <w:r w:rsidR="006E03C9">
              <w:t xml:space="preserve"> (LIC)</w:t>
            </w:r>
          </w:p>
        </w:tc>
        <w:tc>
          <w:tcPr>
            <w:tcW w:w="6930" w:type="dxa"/>
          </w:tcPr>
          <w:p w14:paraId="191E872C" w14:textId="66EAF806" w:rsidR="0057278B" w:rsidRPr="00C652B5" w:rsidDel="0057278B" w:rsidRDefault="0057278B" w:rsidP="0057278B">
            <w:pPr>
              <w:rPr>
                <w:szCs w:val="24"/>
              </w:rPr>
            </w:pPr>
            <w:r w:rsidRPr="00C652B5">
              <w:t>Census tracts with median household incomes at or below 80% of the statewide median income or with median household incomes at or below the threshold designated as low income by the Department of Housing and Community Development’s list of state income limits adopted under Section 50093.</w:t>
            </w:r>
          </w:p>
        </w:tc>
      </w:tr>
      <w:tr w:rsidR="000A0483" w:rsidRPr="00E91F37" w14:paraId="5749D828" w14:textId="77777777" w:rsidTr="00EF0CE0">
        <w:trPr>
          <w:cantSplit/>
        </w:trPr>
        <w:tc>
          <w:tcPr>
            <w:tcW w:w="2430" w:type="dxa"/>
          </w:tcPr>
          <w:p w14:paraId="4CA62E93" w14:textId="6950D74C" w:rsidR="000A0483" w:rsidRPr="00F86D68" w:rsidRDefault="000A0483" w:rsidP="008B6B58">
            <w:pPr>
              <w:rPr>
                <w:b/>
                <w:bCs/>
                <w:u w:val="single"/>
              </w:rPr>
            </w:pPr>
            <w:r>
              <w:rPr>
                <w:b/>
                <w:bCs/>
                <w:u w:val="single"/>
              </w:rPr>
              <w:t>California Native American Tribe</w:t>
            </w:r>
          </w:p>
        </w:tc>
        <w:tc>
          <w:tcPr>
            <w:tcW w:w="6930" w:type="dxa"/>
          </w:tcPr>
          <w:p w14:paraId="1E55A93A" w14:textId="13FB28DB" w:rsidR="000A0483" w:rsidRPr="00F86D68" w:rsidRDefault="00FE6C0B" w:rsidP="008B6B58">
            <w:pPr>
              <w:rPr>
                <w:b/>
                <w:bCs/>
                <w:u w:val="single"/>
              </w:rPr>
            </w:pPr>
            <w:r w:rsidRPr="00FE6C0B">
              <w:rPr>
                <w:b/>
                <w:bCs/>
                <w:u w:val="single"/>
              </w:rPr>
              <w:t>A Native American tribe located in California that is on the contact list maintained by the Native American Heritage Commission for the purposes of Chapter 905 of the Statutes of 2004.</w:t>
            </w:r>
          </w:p>
        </w:tc>
      </w:tr>
      <w:tr w:rsidR="000A58B2" w:rsidRPr="00E91F37" w14:paraId="7B3765DB" w14:textId="77777777" w:rsidTr="00EF0CE0">
        <w:trPr>
          <w:cantSplit/>
        </w:trPr>
        <w:tc>
          <w:tcPr>
            <w:tcW w:w="2430" w:type="dxa"/>
          </w:tcPr>
          <w:p w14:paraId="2274C1F1" w14:textId="085C715A" w:rsidR="000A58B2" w:rsidRPr="00F86D68" w:rsidRDefault="00F15BE1" w:rsidP="008B6B58">
            <w:pPr>
              <w:rPr>
                <w:b/>
                <w:bCs/>
                <w:u w:val="single"/>
              </w:rPr>
            </w:pPr>
            <w:r w:rsidRPr="00F86D68">
              <w:rPr>
                <w:b/>
                <w:bCs/>
                <w:u w:val="single"/>
              </w:rPr>
              <w:t>California Tribal Organization serving a California Native American Tribe</w:t>
            </w:r>
          </w:p>
        </w:tc>
        <w:tc>
          <w:tcPr>
            <w:tcW w:w="6930" w:type="dxa"/>
          </w:tcPr>
          <w:p w14:paraId="7440F657" w14:textId="5E12B555" w:rsidR="000A58B2" w:rsidRPr="00F86D68" w:rsidRDefault="00F86D68" w:rsidP="008B6B58">
            <w:pPr>
              <w:rPr>
                <w:b/>
                <w:bCs/>
                <w:u w:val="single"/>
              </w:rPr>
            </w:pPr>
            <w:r w:rsidRPr="00F86D68">
              <w:rPr>
                <w:b/>
                <w:bCs/>
                <w:u w:val="single"/>
              </w:rPr>
              <w:t>A corporation, association, or group controlled, sanctioned, or chartered by a California Native American Tribe that is subject to its laws, the laws of the State of California, or the laws of the United States.</w:t>
            </w:r>
          </w:p>
        </w:tc>
      </w:tr>
      <w:tr w:rsidR="008B6B58" w:rsidRPr="00E91F37" w14:paraId="2A6B2D9C" w14:textId="77777777" w:rsidTr="00EF0CE0">
        <w:trPr>
          <w:cantSplit/>
        </w:trPr>
        <w:tc>
          <w:tcPr>
            <w:tcW w:w="2430" w:type="dxa"/>
          </w:tcPr>
          <w:p w14:paraId="30854ECE" w14:textId="5F39F8E9" w:rsidR="008B6B58" w:rsidRPr="00C1605E" w:rsidRDefault="008B6B58" w:rsidP="008B6B58">
            <w:pPr>
              <w:rPr>
                <w:szCs w:val="24"/>
              </w:rPr>
            </w:pPr>
            <w:r w:rsidRPr="00162B26">
              <w:t>Caltrans</w:t>
            </w:r>
          </w:p>
        </w:tc>
        <w:tc>
          <w:tcPr>
            <w:tcW w:w="6930" w:type="dxa"/>
          </w:tcPr>
          <w:p w14:paraId="052D0025" w14:textId="4E0EF0B7" w:rsidR="008B6B58" w:rsidRPr="00C1605E" w:rsidRDefault="008B6B58" w:rsidP="008B6B58">
            <w:pPr>
              <w:rPr>
                <w:szCs w:val="24"/>
              </w:rPr>
            </w:pPr>
            <w:r w:rsidRPr="00162B26">
              <w:t>California Department of Transportation</w:t>
            </w:r>
          </w:p>
        </w:tc>
      </w:tr>
      <w:tr w:rsidR="00C9322A" w:rsidRPr="00E91F37" w14:paraId="604027D2" w14:textId="77777777" w:rsidTr="00EF0CE0">
        <w:trPr>
          <w:cantSplit/>
        </w:trPr>
        <w:tc>
          <w:tcPr>
            <w:tcW w:w="2430" w:type="dxa"/>
          </w:tcPr>
          <w:p w14:paraId="70D4862F" w14:textId="77777777" w:rsidR="00C9322A" w:rsidRPr="00C1605E" w:rsidRDefault="00C9322A" w:rsidP="00E04486">
            <w:pPr>
              <w:rPr>
                <w:szCs w:val="24"/>
              </w:rPr>
            </w:pPr>
            <w:r w:rsidRPr="00C1605E">
              <w:rPr>
                <w:szCs w:val="24"/>
              </w:rPr>
              <w:t>CAM</w:t>
            </w:r>
          </w:p>
        </w:tc>
        <w:tc>
          <w:tcPr>
            <w:tcW w:w="6930" w:type="dxa"/>
          </w:tcPr>
          <w:p w14:paraId="242CA845" w14:textId="77777777" w:rsidR="00C9322A" w:rsidRPr="00C1605E" w:rsidRDefault="00C9322A" w:rsidP="00E04486">
            <w:pPr>
              <w:rPr>
                <w:szCs w:val="24"/>
              </w:rPr>
            </w:pPr>
            <w:r w:rsidRPr="00C1605E">
              <w:rPr>
                <w:szCs w:val="24"/>
              </w:rPr>
              <w:t xml:space="preserve">Commission </w:t>
            </w:r>
            <w:r w:rsidR="001661BE" w:rsidRPr="00C1605E">
              <w:rPr>
                <w:szCs w:val="24"/>
              </w:rPr>
              <w:t>Agreement Manager</w:t>
            </w:r>
          </w:p>
        </w:tc>
      </w:tr>
      <w:tr w:rsidR="00C9322A" w:rsidRPr="00E91F37" w14:paraId="3B2429E7" w14:textId="77777777" w:rsidTr="00EF0CE0">
        <w:trPr>
          <w:cantSplit/>
        </w:trPr>
        <w:tc>
          <w:tcPr>
            <w:tcW w:w="2430" w:type="dxa"/>
          </w:tcPr>
          <w:p w14:paraId="18448B71" w14:textId="77777777" w:rsidR="00C9322A" w:rsidRPr="00C1605E" w:rsidRDefault="00C9322A" w:rsidP="00E04486">
            <w:pPr>
              <w:rPr>
                <w:szCs w:val="24"/>
              </w:rPr>
            </w:pPr>
            <w:r w:rsidRPr="00C1605E">
              <w:rPr>
                <w:szCs w:val="24"/>
              </w:rPr>
              <w:t>CAO</w:t>
            </w:r>
          </w:p>
        </w:tc>
        <w:tc>
          <w:tcPr>
            <w:tcW w:w="6930" w:type="dxa"/>
          </w:tcPr>
          <w:p w14:paraId="18A633F6" w14:textId="77777777" w:rsidR="00C9322A" w:rsidRPr="00C1605E" w:rsidRDefault="00C9322A" w:rsidP="00E04486">
            <w:pPr>
              <w:rPr>
                <w:szCs w:val="24"/>
              </w:rPr>
            </w:pPr>
            <w:r w:rsidRPr="00C1605E">
              <w:rPr>
                <w:szCs w:val="24"/>
              </w:rPr>
              <w:t xml:space="preserve">Commission </w:t>
            </w:r>
            <w:r w:rsidR="002D0162" w:rsidRPr="00C1605E">
              <w:rPr>
                <w:szCs w:val="24"/>
              </w:rPr>
              <w:t xml:space="preserve">Agreement </w:t>
            </w:r>
            <w:r w:rsidRPr="00C1605E">
              <w:rPr>
                <w:szCs w:val="24"/>
              </w:rPr>
              <w:t>Officer</w:t>
            </w:r>
          </w:p>
        </w:tc>
      </w:tr>
      <w:tr w:rsidR="00C9322A" w:rsidRPr="00E91F37" w14:paraId="1261F3D7" w14:textId="77777777" w:rsidTr="00EF0CE0">
        <w:trPr>
          <w:cantSplit/>
        </w:trPr>
        <w:tc>
          <w:tcPr>
            <w:tcW w:w="2430" w:type="dxa"/>
          </w:tcPr>
          <w:p w14:paraId="75684BF8" w14:textId="77777777" w:rsidR="00C9322A" w:rsidRPr="00C1605E" w:rsidRDefault="008E36A3" w:rsidP="00E04486">
            <w:pPr>
              <w:rPr>
                <w:szCs w:val="24"/>
              </w:rPr>
            </w:pPr>
            <w:r w:rsidRPr="00C1605E">
              <w:rPr>
                <w:szCs w:val="24"/>
              </w:rPr>
              <w:t>CEC</w:t>
            </w:r>
          </w:p>
        </w:tc>
        <w:tc>
          <w:tcPr>
            <w:tcW w:w="6930" w:type="dxa"/>
          </w:tcPr>
          <w:p w14:paraId="3D376D1E" w14:textId="77777777" w:rsidR="00C9322A" w:rsidRPr="00C1605E" w:rsidRDefault="00C9322A" w:rsidP="00E04486">
            <w:pPr>
              <w:rPr>
                <w:szCs w:val="24"/>
              </w:rPr>
            </w:pPr>
            <w:r w:rsidRPr="00C1605E">
              <w:rPr>
                <w:szCs w:val="24"/>
              </w:rPr>
              <w:t>Californi</w:t>
            </w:r>
            <w:r w:rsidR="00025632" w:rsidRPr="00C1605E">
              <w:rPr>
                <w:szCs w:val="24"/>
              </w:rPr>
              <w:t>a Energy Commission</w:t>
            </w:r>
          </w:p>
        </w:tc>
      </w:tr>
      <w:tr w:rsidR="00897556" w:rsidRPr="00E91F37" w14:paraId="1CDBADEF" w14:textId="77777777" w:rsidTr="00EF0CE0">
        <w:trPr>
          <w:cantSplit/>
        </w:trPr>
        <w:tc>
          <w:tcPr>
            <w:tcW w:w="2430" w:type="dxa"/>
          </w:tcPr>
          <w:p w14:paraId="6BFC5000" w14:textId="2E356FCD" w:rsidR="00897556" w:rsidRPr="00E91F37" w:rsidRDefault="00897556" w:rsidP="00897556">
            <w:pPr>
              <w:rPr>
                <w:szCs w:val="24"/>
              </w:rPr>
            </w:pPr>
            <w:r w:rsidRPr="00162B26">
              <w:t>CEQA</w:t>
            </w:r>
          </w:p>
        </w:tc>
        <w:tc>
          <w:tcPr>
            <w:tcW w:w="6930" w:type="dxa"/>
          </w:tcPr>
          <w:p w14:paraId="49960F74" w14:textId="530EE4B6" w:rsidR="00897556" w:rsidRPr="00E91F37" w:rsidRDefault="00897556" w:rsidP="00897556">
            <w:pPr>
              <w:rPr>
                <w:szCs w:val="24"/>
              </w:rPr>
            </w:pPr>
            <w:r w:rsidRPr="00162B26">
              <w:t>California Environmental Quality Act</w:t>
            </w:r>
          </w:p>
        </w:tc>
      </w:tr>
      <w:tr w:rsidR="0044377D" w:rsidRPr="00E91F37" w14:paraId="71C7E3CB" w14:textId="77777777" w:rsidTr="00EF0CE0">
        <w:trPr>
          <w:cantSplit/>
        </w:trPr>
        <w:tc>
          <w:tcPr>
            <w:tcW w:w="2430" w:type="dxa"/>
          </w:tcPr>
          <w:p w14:paraId="153A113E" w14:textId="6F084E54" w:rsidR="0044377D" w:rsidRPr="00162B26" w:rsidRDefault="0044377D" w:rsidP="005E5656">
            <w:r>
              <w:lastRenderedPageBreak/>
              <w:t>CHAdeMO</w:t>
            </w:r>
          </w:p>
        </w:tc>
        <w:tc>
          <w:tcPr>
            <w:tcW w:w="6930" w:type="dxa"/>
          </w:tcPr>
          <w:p w14:paraId="6FB444FF" w14:textId="198A75E6" w:rsidR="0044377D" w:rsidRPr="00162B26" w:rsidRDefault="0044377D" w:rsidP="005E5656">
            <w:r>
              <w:t xml:space="preserve">A charging </w:t>
            </w:r>
            <w:r w:rsidR="00B054AB">
              <w:t>port</w:t>
            </w:r>
            <w:r w:rsidR="005B6465">
              <w:t xml:space="preserve"> </w:t>
            </w:r>
            <w:r>
              <w:t xml:space="preserve">standard for fast charging of </w:t>
            </w:r>
            <w:r w:rsidR="005B6465">
              <w:t>EVs</w:t>
            </w:r>
            <w:r w:rsidR="00844C90">
              <w:t>.</w:t>
            </w:r>
          </w:p>
        </w:tc>
      </w:tr>
      <w:tr w:rsidR="005E5656" w:rsidRPr="00E91F37" w14:paraId="0097ACE1" w14:textId="77777777" w:rsidTr="00EF0CE0">
        <w:trPr>
          <w:cantSplit/>
        </w:trPr>
        <w:tc>
          <w:tcPr>
            <w:tcW w:w="2430" w:type="dxa"/>
          </w:tcPr>
          <w:p w14:paraId="13F34983" w14:textId="3F2BB49E" w:rsidR="005E5656" w:rsidRPr="00162B26" w:rsidRDefault="005E5656" w:rsidP="005E5656">
            <w:r w:rsidRPr="00162B26">
              <w:t>Charger</w:t>
            </w:r>
          </w:p>
        </w:tc>
        <w:tc>
          <w:tcPr>
            <w:tcW w:w="6930" w:type="dxa"/>
          </w:tcPr>
          <w:p w14:paraId="7757DBC9" w14:textId="0A0152B6" w:rsidR="005E5656" w:rsidRPr="00162B26" w:rsidRDefault="005E5656" w:rsidP="005E5656">
            <w:r w:rsidRPr="00162B26">
              <w:t>A device with one or more charging ports and connectors for charging EVs. Also referred to as electric vehicle supply equipment (EVSE).</w:t>
            </w:r>
          </w:p>
        </w:tc>
      </w:tr>
      <w:tr w:rsidR="005E5656" w:rsidRPr="00E91F37" w14:paraId="09DC1F7A" w14:textId="77777777" w:rsidTr="00EF0CE0">
        <w:trPr>
          <w:cantSplit/>
        </w:trPr>
        <w:tc>
          <w:tcPr>
            <w:tcW w:w="2430" w:type="dxa"/>
          </w:tcPr>
          <w:p w14:paraId="15DFD68B" w14:textId="0ABCD9EF" w:rsidR="005E5656" w:rsidRPr="00162B26" w:rsidRDefault="005E5656" w:rsidP="005E5656">
            <w:r w:rsidRPr="00162B26">
              <w:t>Charging Network</w:t>
            </w:r>
          </w:p>
        </w:tc>
        <w:tc>
          <w:tcPr>
            <w:tcW w:w="6930" w:type="dxa"/>
          </w:tcPr>
          <w:p w14:paraId="4736515C" w14:textId="6FCEBC06" w:rsidR="005E5656" w:rsidRPr="00162B26" w:rsidRDefault="005E5656" w:rsidP="005E5656">
            <w:r w:rsidRPr="00162B26">
              <w:t>A collection of chargers located on one or more property(</w:t>
            </w:r>
            <w:proofErr w:type="spellStart"/>
            <w:r w:rsidRPr="00162B26">
              <w:t>ies</w:t>
            </w:r>
            <w:proofErr w:type="spellEnd"/>
            <w:r w:rsidRPr="00162B26">
              <w:t>) that are connected via digital communications to manage the facilitation of payment, the facilitation of electrical charging, and any related data requests.</w:t>
            </w:r>
          </w:p>
        </w:tc>
      </w:tr>
      <w:tr w:rsidR="005E5656" w:rsidRPr="00E91F37" w14:paraId="4A203AF7" w14:textId="77777777" w:rsidTr="00EF0CE0">
        <w:trPr>
          <w:cantSplit/>
        </w:trPr>
        <w:tc>
          <w:tcPr>
            <w:tcW w:w="2430" w:type="dxa"/>
          </w:tcPr>
          <w:p w14:paraId="0AB1997D" w14:textId="69101CF3" w:rsidR="005E5656" w:rsidRPr="00162B26" w:rsidRDefault="005E5656" w:rsidP="005E5656">
            <w:r w:rsidRPr="00162B26">
              <w:t>Charging Network Provider</w:t>
            </w:r>
          </w:p>
        </w:tc>
        <w:tc>
          <w:tcPr>
            <w:tcW w:w="6930" w:type="dxa"/>
          </w:tcPr>
          <w:p w14:paraId="5A5A0289" w14:textId="2A339056" w:rsidR="005E5656" w:rsidRPr="00162B26" w:rsidRDefault="005E5656" w:rsidP="005E5656">
            <w:r w:rsidRPr="00162B26">
              <w:t>The entity that operates the digital communication network that remotely manages the chargers. Charging network providers may also serve as charging station operators and/or manufacture chargers.</w:t>
            </w:r>
          </w:p>
        </w:tc>
      </w:tr>
      <w:tr w:rsidR="00BC51F9" w:rsidRPr="00E91F37" w14:paraId="67D6B7F8" w14:textId="77777777" w:rsidTr="00EF0CE0">
        <w:trPr>
          <w:cantSplit/>
        </w:trPr>
        <w:tc>
          <w:tcPr>
            <w:tcW w:w="2430" w:type="dxa"/>
          </w:tcPr>
          <w:p w14:paraId="63A11B64" w14:textId="173508F7" w:rsidR="00BC51F9" w:rsidRPr="00162B26" w:rsidRDefault="00BC51F9" w:rsidP="00BC51F9">
            <w:r w:rsidRPr="00162B26">
              <w:t>Charging Port (May also be referred to as “Port”)</w:t>
            </w:r>
          </w:p>
        </w:tc>
        <w:tc>
          <w:tcPr>
            <w:tcW w:w="6930" w:type="dxa"/>
          </w:tcPr>
          <w:p w14:paraId="36A4B594" w14:textId="15EBB1CB" w:rsidR="00BC51F9" w:rsidRPr="00162B26" w:rsidRDefault="00BC51F9" w:rsidP="00BC51F9">
            <w:r w:rsidRPr="00162B26">
              <w:t>The system within a charger that charges one EV. A charging port may have multiple connectors, but it can provide power to charge only one EV through one connector at a time.</w:t>
            </w:r>
          </w:p>
        </w:tc>
      </w:tr>
      <w:tr w:rsidR="00BC51F9" w:rsidRPr="00E91F37" w14:paraId="5DC724F1" w14:textId="77777777" w:rsidTr="00EF0CE0">
        <w:trPr>
          <w:cantSplit/>
        </w:trPr>
        <w:tc>
          <w:tcPr>
            <w:tcW w:w="2430" w:type="dxa"/>
          </w:tcPr>
          <w:p w14:paraId="762203AE" w14:textId="33AE9360" w:rsidR="00BC51F9" w:rsidRPr="00162B26" w:rsidRDefault="00BC51F9" w:rsidP="00BC51F9">
            <w:r w:rsidRPr="00162B26">
              <w:t>Charging Session</w:t>
            </w:r>
          </w:p>
        </w:tc>
        <w:tc>
          <w:tcPr>
            <w:tcW w:w="6930" w:type="dxa"/>
          </w:tcPr>
          <w:p w14:paraId="11F421F3" w14:textId="4B58A9DC" w:rsidR="00BC51F9" w:rsidRPr="00162B26" w:rsidRDefault="00BC51F9" w:rsidP="00BC51F9">
            <w:r w:rsidRPr="00162B26">
              <w:t xml:space="preserve">The period after a charge </w:t>
            </w:r>
            <w:proofErr w:type="gramStart"/>
            <w:r w:rsidRPr="00162B26">
              <w:t>attempt</w:t>
            </w:r>
            <w:proofErr w:type="gramEnd"/>
            <w:r w:rsidRPr="00162B26">
              <w:t xml:space="preserve"> during which the EV is allowed to request energy. Charging sessions can be terminated by the customer, the EV, the charger, the charging station operator, or the charging network provider.</w:t>
            </w:r>
          </w:p>
        </w:tc>
      </w:tr>
      <w:tr w:rsidR="00EE393C" w:rsidRPr="00E91F37" w14:paraId="4129382E" w14:textId="77777777" w:rsidTr="00EF0CE0">
        <w:trPr>
          <w:cantSplit/>
        </w:trPr>
        <w:tc>
          <w:tcPr>
            <w:tcW w:w="2430" w:type="dxa"/>
          </w:tcPr>
          <w:p w14:paraId="1C5BFE0B" w14:textId="1788A1C6" w:rsidR="00EE393C" w:rsidRPr="00162B26" w:rsidRDefault="00EE393C" w:rsidP="00EE393C">
            <w:r w:rsidRPr="00162B26">
              <w:t>Charg</w:t>
            </w:r>
            <w:r>
              <w:t>ing Station</w:t>
            </w:r>
            <w:r w:rsidRPr="00162B26">
              <w:t xml:space="preserve"> Operator</w:t>
            </w:r>
          </w:p>
        </w:tc>
        <w:tc>
          <w:tcPr>
            <w:tcW w:w="6930" w:type="dxa"/>
          </w:tcPr>
          <w:p w14:paraId="102D9E93" w14:textId="3F9B26F7" w:rsidR="00EE393C" w:rsidRPr="00162B26" w:rsidRDefault="00EE393C" w:rsidP="00EE393C">
            <w:r w:rsidRPr="007430A5">
              <w:t>The entity that owns the chargers and supporting equipment and facilities at one or more charging stations. Although this entity may delegate responsibility for certain aspects of charging station operation and maintenance to subrecipients or vendors, this entity retains responsibility for operation and maintenance of chargers and supporting equipment and facilities. In some cases, the charging station operator and the charging network provider are the same entity.</w:t>
            </w:r>
          </w:p>
        </w:tc>
      </w:tr>
      <w:tr w:rsidR="008E149C" w:rsidRPr="00E91F37" w14:paraId="24AA0B06" w14:textId="77777777" w:rsidTr="00EF0CE0">
        <w:trPr>
          <w:cantSplit/>
        </w:trPr>
        <w:tc>
          <w:tcPr>
            <w:tcW w:w="2430" w:type="dxa"/>
          </w:tcPr>
          <w:p w14:paraId="754A405F" w14:textId="211616CE" w:rsidR="008E149C" w:rsidRPr="00162B26" w:rsidRDefault="008E149C" w:rsidP="008E149C">
            <w:r w:rsidRPr="00162B26">
              <w:t>Combined Charging System (CCS</w:t>
            </w:r>
            <w:r w:rsidR="00E320E0">
              <w:t>)</w:t>
            </w:r>
          </w:p>
        </w:tc>
        <w:tc>
          <w:tcPr>
            <w:tcW w:w="6930" w:type="dxa"/>
          </w:tcPr>
          <w:p w14:paraId="3C9469C2" w14:textId="3371DA02" w:rsidR="008E149C" w:rsidRPr="00162B26" w:rsidRDefault="008E149C" w:rsidP="008E149C">
            <w:r w:rsidRPr="00162B26">
              <w:t xml:space="preserve">A charging port standard for fast charging of </w:t>
            </w:r>
            <w:r w:rsidR="00B054AB">
              <w:t>EVs</w:t>
            </w:r>
            <w:r w:rsidRPr="00162B26">
              <w:t xml:space="preserve"> that can provide up to 350 kilowatts of power.</w:t>
            </w:r>
          </w:p>
        </w:tc>
      </w:tr>
      <w:tr w:rsidR="008E149C" w:rsidRPr="00E91F37" w14:paraId="56E84874" w14:textId="77777777" w:rsidTr="00EF0CE0">
        <w:trPr>
          <w:cantSplit/>
        </w:trPr>
        <w:tc>
          <w:tcPr>
            <w:tcW w:w="2430" w:type="dxa"/>
          </w:tcPr>
          <w:p w14:paraId="7F3A4F47" w14:textId="24CF177E" w:rsidR="008E149C" w:rsidRPr="00162B26" w:rsidRDefault="008E149C" w:rsidP="008E149C">
            <w:r w:rsidRPr="00162B26">
              <w:t>Connector</w:t>
            </w:r>
          </w:p>
        </w:tc>
        <w:tc>
          <w:tcPr>
            <w:tcW w:w="6930" w:type="dxa"/>
          </w:tcPr>
          <w:p w14:paraId="7B0055CB" w14:textId="37C51590" w:rsidR="008E149C" w:rsidRPr="00162B26" w:rsidRDefault="008E149C" w:rsidP="008E149C">
            <w:r w:rsidRPr="00162B26">
              <w:t>The device that attaches an EV to a charging port to transfer electricity.</w:t>
            </w:r>
          </w:p>
        </w:tc>
      </w:tr>
      <w:tr w:rsidR="0057278B" w:rsidRPr="00E91F37" w14:paraId="3B510747" w14:textId="77777777" w:rsidTr="00EF0CE0">
        <w:trPr>
          <w:cantSplit/>
        </w:trPr>
        <w:tc>
          <w:tcPr>
            <w:tcW w:w="2430" w:type="dxa"/>
          </w:tcPr>
          <w:p w14:paraId="76B06DFA" w14:textId="2DEBB3B4" w:rsidR="0057278B" w:rsidRPr="001B314C" w:rsidRDefault="0057278B" w:rsidP="0057278B">
            <w:r w:rsidRPr="00C652B5">
              <w:rPr>
                <w:szCs w:val="24"/>
              </w:rPr>
              <w:t>Corridor Group</w:t>
            </w:r>
          </w:p>
        </w:tc>
        <w:tc>
          <w:tcPr>
            <w:tcW w:w="6930" w:type="dxa"/>
          </w:tcPr>
          <w:p w14:paraId="6977FDD0" w14:textId="4659C254" w:rsidR="0057278B" w:rsidRPr="001B314C" w:rsidRDefault="0057278B" w:rsidP="0057278B">
            <w:r w:rsidRPr="00C652B5">
              <w:rPr>
                <w:szCs w:val="24"/>
              </w:rPr>
              <w:t>A group of one or more corridor segments</w:t>
            </w:r>
          </w:p>
        </w:tc>
      </w:tr>
      <w:tr w:rsidR="0057278B" w:rsidRPr="00E91F37" w14:paraId="18353710" w14:textId="77777777" w:rsidTr="00EF0CE0">
        <w:trPr>
          <w:cantSplit/>
        </w:trPr>
        <w:tc>
          <w:tcPr>
            <w:tcW w:w="2430" w:type="dxa"/>
          </w:tcPr>
          <w:p w14:paraId="124B3568" w14:textId="7C80E45B" w:rsidR="0057278B" w:rsidRPr="001B314C" w:rsidRDefault="0057278B" w:rsidP="0057278B">
            <w:r w:rsidRPr="00C652B5">
              <w:rPr>
                <w:szCs w:val="24"/>
              </w:rPr>
              <w:t>Corridor Segment</w:t>
            </w:r>
          </w:p>
        </w:tc>
        <w:tc>
          <w:tcPr>
            <w:tcW w:w="6930" w:type="dxa"/>
          </w:tcPr>
          <w:p w14:paraId="6A4C9D23" w14:textId="77C58113" w:rsidR="0057278B" w:rsidRPr="001B314C" w:rsidRDefault="0057278B" w:rsidP="0057278B">
            <w:r w:rsidRPr="00C652B5">
              <w:rPr>
                <w:szCs w:val="24"/>
              </w:rPr>
              <w:t>A portion of a highway corridor</w:t>
            </w:r>
          </w:p>
        </w:tc>
      </w:tr>
      <w:tr w:rsidR="00015049" w:rsidRPr="00E91F37" w14:paraId="0AD6827E" w14:textId="77777777" w:rsidTr="00EF0CE0">
        <w:trPr>
          <w:cantSplit/>
        </w:trPr>
        <w:tc>
          <w:tcPr>
            <w:tcW w:w="2430" w:type="dxa"/>
          </w:tcPr>
          <w:p w14:paraId="1120CB05" w14:textId="1ED91885" w:rsidR="00015049" w:rsidRPr="00162B26" w:rsidRDefault="00015049" w:rsidP="00015049">
            <w:r w:rsidRPr="00162B26">
              <w:t>Direct Current (DC) Fast Charger</w:t>
            </w:r>
          </w:p>
        </w:tc>
        <w:tc>
          <w:tcPr>
            <w:tcW w:w="6930" w:type="dxa"/>
          </w:tcPr>
          <w:p w14:paraId="32192CC0" w14:textId="098E6CAD" w:rsidR="00015049" w:rsidRPr="00162B26" w:rsidRDefault="00015049" w:rsidP="00015049">
            <w:r w:rsidRPr="00162B26">
              <w:t>Equipment that provides charging through a direct-current plug, typically at a rate of 50 kilowatts or higher.</w:t>
            </w:r>
          </w:p>
        </w:tc>
      </w:tr>
      <w:tr w:rsidR="0050664D" w:rsidRPr="00E91F37" w14:paraId="5D21764B" w14:textId="77777777" w:rsidTr="00EF0CE0">
        <w:trPr>
          <w:cantSplit/>
        </w:trPr>
        <w:tc>
          <w:tcPr>
            <w:tcW w:w="2430" w:type="dxa"/>
          </w:tcPr>
          <w:p w14:paraId="3782F5C7" w14:textId="05D43A06" w:rsidR="0050664D" w:rsidRPr="00162B26" w:rsidRDefault="008D146A" w:rsidP="00015049">
            <w:r>
              <w:t>Distributed Energy Resource (DER)</w:t>
            </w:r>
          </w:p>
        </w:tc>
        <w:tc>
          <w:tcPr>
            <w:tcW w:w="6930" w:type="dxa"/>
          </w:tcPr>
          <w:p w14:paraId="361BA1F8" w14:textId="190A92DC" w:rsidR="0050664D" w:rsidRPr="00162B26" w:rsidRDefault="008D146A" w:rsidP="00015049">
            <w:r>
              <w:t>Small, modular, energy generation and storage technologies that provide electric capacity or energy where it is needed.</w:t>
            </w:r>
          </w:p>
        </w:tc>
      </w:tr>
      <w:tr w:rsidR="00B5276D" w:rsidRPr="00E91F37" w14:paraId="026EC3E7" w14:textId="77777777" w:rsidTr="00EF0CE0">
        <w:trPr>
          <w:cantSplit/>
        </w:trPr>
        <w:tc>
          <w:tcPr>
            <w:tcW w:w="2430" w:type="dxa"/>
          </w:tcPr>
          <w:p w14:paraId="031E4B3F" w14:textId="214FA6FC" w:rsidR="00B5276D" w:rsidRPr="00162B26" w:rsidRDefault="00B5276D" w:rsidP="003926E2">
            <w:r>
              <w:lastRenderedPageBreak/>
              <w:t xml:space="preserve">E-76 </w:t>
            </w:r>
          </w:p>
        </w:tc>
        <w:tc>
          <w:tcPr>
            <w:tcW w:w="6930" w:type="dxa"/>
          </w:tcPr>
          <w:p w14:paraId="3C396F47" w14:textId="663A8C0E" w:rsidR="00B5276D" w:rsidRPr="00162B26" w:rsidRDefault="00D40273" w:rsidP="003926E2">
            <w:r>
              <w:t>E-76 is the f</w:t>
            </w:r>
            <w:r w:rsidR="007871D6" w:rsidRPr="007871D6">
              <w:t xml:space="preserve">ederal-aid </w:t>
            </w:r>
            <w:r w:rsidR="00670937">
              <w:t xml:space="preserve">authorization to proceed process. </w:t>
            </w:r>
            <w:r w:rsidR="002F1E70">
              <w:t>A Project Authorization</w:t>
            </w:r>
            <w:r w:rsidR="00D43E7B">
              <w:t xml:space="preserve">/Adjustment Request </w:t>
            </w:r>
            <w:r w:rsidR="0084654E">
              <w:t xml:space="preserve">Form </w:t>
            </w:r>
            <w:r w:rsidR="00D43E7B">
              <w:t>(</w:t>
            </w:r>
            <w:hyperlink r:id="rId84" w:history="1">
              <w:r w:rsidR="00D43E7B" w:rsidRPr="0056777C">
                <w:rPr>
                  <w:rStyle w:val="Hyperlink"/>
                </w:rPr>
                <w:t>DOT LAPM 3-A</w:t>
              </w:r>
            </w:hyperlink>
            <w:r w:rsidR="00FA63EA">
              <w:t xml:space="preserve">, found at </w:t>
            </w:r>
            <w:r w:rsidR="00E24154" w:rsidRPr="00E24154">
              <w:t>https://forms.dot.ca.gov/v2Forms/servlet/FormRenderer?frmid=DOTLAPM3A</w:t>
            </w:r>
            <w:r w:rsidR="00D43E7B">
              <w:t>) is used to</w:t>
            </w:r>
            <w:r w:rsidR="00D5762F">
              <w:t xml:space="preserve"> request FHWA authorization to begin reimbursable work </w:t>
            </w:r>
            <w:r w:rsidR="00E7303E">
              <w:t xml:space="preserve">for a specific </w:t>
            </w:r>
            <w:r w:rsidR="00157C36">
              <w:t xml:space="preserve">project </w:t>
            </w:r>
            <w:r w:rsidR="00E7303E">
              <w:t>phase</w:t>
            </w:r>
            <w:r w:rsidR="00157C36">
              <w:t>, such as construction</w:t>
            </w:r>
            <w:r w:rsidR="007871D6" w:rsidRPr="007871D6">
              <w:t xml:space="preserve">. </w:t>
            </w:r>
            <w:r w:rsidR="00E7303E">
              <w:t xml:space="preserve">FHWA authorization or </w:t>
            </w:r>
            <w:r w:rsidR="003E6383">
              <w:t>“E-76 approval”</w:t>
            </w:r>
            <w:r w:rsidR="007871D6" w:rsidRPr="007871D6">
              <w:t xml:space="preserve"> </w:t>
            </w:r>
            <w:r w:rsidR="002F6C5E">
              <w:t>means the request to begin work is approved</w:t>
            </w:r>
            <w:r w:rsidR="007E5167">
              <w:t xml:space="preserve"> and establishes the date </w:t>
            </w:r>
            <w:r w:rsidR="00FD4191">
              <w:t>from</w:t>
            </w:r>
            <w:r w:rsidR="007E5167">
              <w:t xml:space="preserve"> which reimbursable work may begin</w:t>
            </w:r>
            <w:r w:rsidR="007871D6" w:rsidRPr="007871D6">
              <w:t>.</w:t>
            </w:r>
            <w:r w:rsidR="00D43E7B">
              <w:t xml:space="preserve"> </w:t>
            </w:r>
          </w:p>
        </w:tc>
      </w:tr>
      <w:tr w:rsidR="003926E2" w:rsidRPr="00E91F37" w14:paraId="76789E9B" w14:textId="77777777" w:rsidTr="00EF0CE0">
        <w:trPr>
          <w:cantSplit/>
        </w:trPr>
        <w:tc>
          <w:tcPr>
            <w:tcW w:w="2430" w:type="dxa"/>
          </w:tcPr>
          <w:p w14:paraId="4452BE32" w14:textId="37EBF1D4" w:rsidR="003926E2" w:rsidRPr="00162B26" w:rsidRDefault="003926E2" w:rsidP="003926E2">
            <w:r w:rsidRPr="00162B26">
              <w:t>Electric Vehicle (EV)</w:t>
            </w:r>
          </w:p>
        </w:tc>
        <w:tc>
          <w:tcPr>
            <w:tcW w:w="6930" w:type="dxa"/>
          </w:tcPr>
          <w:p w14:paraId="35577036" w14:textId="0019716A" w:rsidR="003926E2" w:rsidRPr="00162B26" w:rsidRDefault="003926E2" w:rsidP="003926E2">
            <w:r w:rsidRPr="00162B26">
              <w:t>A motor vehicle that is either partially or fully powered on electric power received from an external power source.</w:t>
            </w:r>
            <w:r w:rsidR="00D65D04">
              <w:t xml:space="preserve"> </w:t>
            </w:r>
            <w:r w:rsidR="002432CE">
              <w:t>In the NEVI regulation, EVs do not include golf carts, electric bicycles, or other micromobility devices.</w:t>
            </w:r>
          </w:p>
        </w:tc>
      </w:tr>
      <w:tr w:rsidR="001D2264" w:rsidRPr="00E91F37" w14:paraId="525E633C" w14:textId="77777777" w:rsidTr="00EF0CE0">
        <w:trPr>
          <w:cantSplit/>
        </w:trPr>
        <w:tc>
          <w:tcPr>
            <w:tcW w:w="2430" w:type="dxa"/>
          </w:tcPr>
          <w:p w14:paraId="1BA897B9" w14:textId="0C7A3755" w:rsidR="001D2264" w:rsidRPr="001D2264" w:rsidRDefault="001D2264" w:rsidP="001D2264">
            <w:r w:rsidRPr="00C652B5">
              <w:t>Electric Vehicle Infrastructure Training Program (EVITP)</w:t>
            </w:r>
          </w:p>
        </w:tc>
        <w:tc>
          <w:tcPr>
            <w:tcW w:w="6930" w:type="dxa"/>
          </w:tcPr>
          <w:p w14:paraId="2DD152B3" w14:textId="6176251A" w:rsidR="001D2264" w:rsidRPr="001D2264" w:rsidRDefault="001D2264" w:rsidP="001D2264">
            <w:r w:rsidRPr="00C652B5">
              <w:t>The Electric Vehicle Infrastructure Training Program provides training and certification for electricians installing electric vehicle supply equipment (EVSE).</w:t>
            </w:r>
          </w:p>
        </w:tc>
      </w:tr>
      <w:tr w:rsidR="001D2264" w:rsidRPr="00E91F37" w14:paraId="7F32BB2B" w14:textId="77777777" w:rsidTr="00EF0CE0">
        <w:trPr>
          <w:cantSplit/>
        </w:trPr>
        <w:tc>
          <w:tcPr>
            <w:tcW w:w="2430" w:type="dxa"/>
          </w:tcPr>
          <w:p w14:paraId="16BEDC0C" w14:textId="47A96609" w:rsidR="001D2264" w:rsidRPr="001D2264" w:rsidRDefault="001D2264" w:rsidP="001D2264">
            <w:r w:rsidRPr="00C652B5">
              <w:t>Electric Vehicle Supply Equipment (EVSE)</w:t>
            </w:r>
          </w:p>
        </w:tc>
        <w:tc>
          <w:tcPr>
            <w:tcW w:w="6930" w:type="dxa"/>
          </w:tcPr>
          <w:p w14:paraId="330C7008" w14:textId="48BC3CEA" w:rsidR="001D2264" w:rsidRPr="001D2264" w:rsidRDefault="001D2264" w:rsidP="001D2264">
            <w:r w:rsidRPr="00C652B5">
              <w:t>A “charger” as defined.</w:t>
            </w:r>
          </w:p>
        </w:tc>
      </w:tr>
      <w:tr w:rsidR="00F825A2" w:rsidRPr="00E91F37" w14:paraId="47367583" w14:textId="77777777" w:rsidTr="00EF0CE0">
        <w:trPr>
          <w:cantSplit/>
        </w:trPr>
        <w:tc>
          <w:tcPr>
            <w:tcW w:w="2430" w:type="dxa"/>
          </w:tcPr>
          <w:p w14:paraId="5AAE8212" w14:textId="3FB5AB7E" w:rsidR="00F825A2" w:rsidRPr="00C652B5" w:rsidRDefault="00F825A2" w:rsidP="00F825A2">
            <w:r w:rsidRPr="00B9073E">
              <w:t>EV Charging Station</w:t>
            </w:r>
          </w:p>
        </w:tc>
        <w:tc>
          <w:tcPr>
            <w:tcW w:w="6930" w:type="dxa"/>
          </w:tcPr>
          <w:p w14:paraId="73C0D19D" w14:textId="3780C76F" w:rsidR="00F825A2" w:rsidRPr="00C652B5" w:rsidRDefault="00F825A2" w:rsidP="00F825A2">
            <w:r w:rsidRPr="00B9073E">
              <w:t>The area in the immediate vicinity of a group of chargers and includes the chargers, supporting equipment, parking areas adjacent to the chargers, and lanes for vehicle ingress and egress. An EV charging station could comprise only part of the property on which it is located. Multiple chargers may be associated with one EV charging station. EV charging stations may also be referred to as “Charging stations” or “Stations.”</w:t>
            </w:r>
          </w:p>
        </w:tc>
      </w:tr>
      <w:tr w:rsidR="0057278B" w:rsidRPr="00E91F37" w14:paraId="65C3CA45" w14:textId="77777777" w:rsidTr="00EF0CE0">
        <w:trPr>
          <w:cantSplit/>
        </w:trPr>
        <w:tc>
          <w:tcPr>
            <w:tcW w:w="2430" w:type="dxa"/>
          </w:tcPr>
          <w:p w14:paraId="3E0AA3C3" w14:textId="0DCEEE7B" w:rsidR="0057278B" w:rsidRPr="00806C37" w:rsidRDefault="0057278B" w:rsidP="0057278B">
            <w:r w:rsidRPr="00C652B5">
              <w:rPr>
                <w:szCs w:val="24"/>
              </w:rPr>
              <w:t>Experienced Contractor</w:t>
            </w:r>
          </w:p>
        </w:tc>
        <w:tc>
          <w:tcPr>
            <w:tcW w:w="6930" w:type="dxa"/>
          </w:tcPr>
          <w:p w14:paraId="39394974" w14:textId="71545350" w:rsidR="0057278B" w:rsidRPr="00806C37" w:rsidRDefault="0057278B" w:rsidP="0057278B">
            <w:r w:rsidRPr="00C652B5">
              <w:rPr>
                <w:bCs/>
                <w:szCs w:val="24"/>
              </w:rPr>
              <w:t xml:space="preserve">A company or organization with a proven record of accomplishment </w:t>
            </w:r>
            <w:r w:rsidR="00B36F65" w:rsidRPr="00B36F65">
              <w:rPr>
                <w:bCs/>
                <w:szCs w:val="24"/>
              </w:rPr>
              <w:t>in</w:t>
            </w:r>
            <w:r w:rsidRPr="00C652B5">
              <w:rPr>
                <w:bCs/>
                <w:szCs w:val="24"/>
              </w:rPr>
              <w:t xml:space="preserve"> overseeing the procurement, permitting, and installation of at least 20 DC fast chargers</w:t>
            </w:r>
            <w:r w:rsidR="00B36F65" w:rsidRPr="00B36F65">
              <w:rPr>
                <w:bCs/>
                <w:szCs w:val="24"/>
              </w:rPr>
              <w:t>. The company or organization must have</w:t>
            </w:r>
            <w:r w:rsidRPr="00C652B5">
              <w:rPr>
                <w:bCs/>
                <w:szCs w:val="24"/>
              </w:rPr>
              <w:t xml:space="preserve"> completed </w:t>
            </w:r>
            <w:r w:rsidR="00B36F65" w:rsidRPr="00B36F65">
              <w:rPr>
                <w:bCs/>
                <w:szCs w:val="24"/>
              </w:rPr>
              <w:t>installations at</w:t>
            </w:r>
            <w:r w:rsidRPr="00C652B5">
              <w:rPr>
                <w:bCs/>
                <w:szCs w:val="24"/>
              </w:rPr>
              <w:t xml:space="preserve"> three or more different property locations for three or more different customers since January 1, 2018.</w:t>
            </w:r>
          </w:p>
        </w:tc>
      </w:tr>
      <w:tr w:rsidR="00AA6773" w:rsidRPr="00E91F37" w14:paraId="5ED7C343" w14:textId="77777777" w:rsidTr="00EF0CE0">
        <w:trPr>
          <w:cantSplit/>
        </w:trPr>
        <w:tc>
          <w:tcPr>
            <w:tcW w:w="2430" w:type="dxa"/>
          </w:tcPr>
          <w:p w14:paraId="13DEDD87" w14:textId="0AA96EE7" w:rsidR="00AA6773" w:rsidRPr="001D2264" w:rsidRDefault="00AA6773" w:rsidP="00AA6773">
            <w:r w:rsidRPr="00162B26">
              <w:t>Federal Highway Administration (FHWA)</w:t>
            </w:r>
          </w:p>
        </w:tc>
        <w:tc>
          <w:tcPr>
            <w:tcW w:w="6930" w:type="dxa"/>
          </w:tcPr>
          <w:p w14:paraId="67E532B9" w14:textId="0AD0E337" w:rsidR="00AA6773" w:rsidRPr="001D2264" w:rsidRDefault="00AA6773" w:rsidP="00AA6773">
            <w:r w:rsidRPr="00162B26">
              <w:t>U.S. Department of Transportation, Federal Highway Administration</w:t>
            </w:r>
          </w:p>
        </w:tc>
      </w:tr>
      <w:tr w:rsidR="0E5B6AB2" w14:paraId="60F0FC60" w14:textId="77777777" w:rsidTr="00EF0CE0">
        <w:trPr>
          <w:cantSplit/>
          <w:trHeight w:val="300"/>
        </w:trPr>
        <w:tc>
          <w:tcPr>
            <w:tcW w:w="2430" w:type="dxa"/>
          </w:tcPr>
          <w:p w14:paraId="77CA320F" w14:textId="3AA045A0" w:rsidR="0251DB39" w:rsidRDefault="004C08A4" w:rsidP="0E5B6AB2">
            <w:pPr>
              <w:rPr>
                <w:szCs w:val="24"/>
              </w:rPr>
            </w:pPr>
            <w:r>
              <w:rPr>
                <w:szCs w:val="24"/>
              </w:rPr>
              <w:t>GAAP</w:t>
            </w:r>
          </w:p>
        </w:tc>
        <w:tc>
          <w:tcPr>
            <w:tcW w:w="6930" w:type="dxa"/>
          </w:tcPr>
          <w:p w14:paraId="1394A775" w14:textId="3ACE595C" w:rsidR="0251DB39" w:rsidRDefault="004C08A4" w:rsidP="0E5B6AB2">
            <w:pPr>
              <w:rPr>
                <w:szCs w:val="24"/>
              </w:rPr>
            </w:pPr>
            <w:r>
              <w:rPr>
                <w:szCs w:val="24"/>
              </w:rPr>
              <w:t>Generally Accepted Accounting Principles</w:t>
            </w:r>
          </w:p>
        </w:tc>
      </w:tr>
      <w:tr w:rsidR="0071463A" w14:paraId="24F460E6" w14:textId="77777777" w:rsidTr="00EF0CE0">
        <w:trPr>
          <w:cantSplit/>
          <w:trHeight w:val="300"/>
        </w:trPr>
        <w:tc>
          <w:tcPr>
            <w:tcW w:w="2430" w:type="dxa"/>
          </w:tcPr>
          <w:p w14:paraId="6FC7896F" w14:textId="2110570E" w:rsidR="0071463A" w:rsidRPr="0E5B6AB2" w:rsidRDefault="0071463A" w:rsidP="0071463A">
            <w:pPr>
              <w:rPr>
                <w:szCs w:val="24"/>
              </w:rPr>
            </w:pPr>
            <w:r w:rsidRPr="00162B26">
              <w:t>Hardware</w:t>
            </w:r>
          </w:p>
        </w:tc>
        <w:tc>
          <w:tcPr>
            <w:tcW w:w="6930" w:type="dxa"/>
          </w:tcPr>
          <w:p w14:paraId="54F06235" w14:textId="052580F5" w:rsidR="0071463A" w:rsidRPr="0E5B6AB2" w:rsidRDefault="0071463A" w:rsidP="0071463A">
            <w:pPr>
              <w:rPr>
                <w:szCs w:val="24"/>
              </w:rPr>
            </w:pPr>
            <w:r w:rsidRPr="00162B26">
              <w:t>The machines, wiring, and other physical components of an electronic system including onboard computers and controllers.</w:t>
            </w:r>
          </w:p>
        </w:tc>
      </w:tr>
      <w:tr w:rsidR="00897A60" w14:paraId="12B371FE" w14:textId="77777777" w:rsidTr="00EF0CE0">
        <w:trPr>
          <w:cantSplit/>
          <w:trHeight w:val="300"/>
        </w:trPr>
        <w:tc>
          <w:tcPr>
            <w:tcW w:w="2430" w:type="dxa"/>
          </w:tcPr>
          <w:p w14:paraId="4FE5AB7F" w14:textId="0AE88456" w:rsidR="00897A60" w:rsidRPr="0E5B6AB2" w:rsidRDefault="00897A60" w:rsidP="00897A60">
            <w:pPr>
              <w:rPr>
                <w:szCs w:val="24"/>
              </w:rPr>
            </w:pPr>
            <w:r w:rsidRPr="00162B26">
              <w:t>Installed</w:t>
            </w:r>
          </w:p>
        </w:tc>
        <w:tc>
          <w:tcPr>
            <w:tcW w:w="6930" w:type="dxa"/>
          </w:tcPr>
          <w:p w14:paraId="38F10E04" w14:textId="3F5042F5" w:rsidR="00897A60" w:rsidRPr="0E5B6AB2" w:rsidRDefault="00897A60" w:rsidP="00897A60">
            <w:pPr>
              <w:rPr>
                <w:szCs w:val="24"/>
              </w:rPr>
            </w:pPr>
            <w:r w:rsidRPr="00162B26">
              <w:t>Attached or placed at a location and available for use for a charging session. The date a charger is installed is the date it is first available for use for a charging session.</w:t>
            </w:r>
          </w:p>
        </w:tc>
      </w:tr>
      <w:tr w:rsidR="008A7D25" w14:paraId="4638E1B0" w14:textId="77777777" w:rsidTr="00EF0CE0">
        <w:trPr>
          <w:cantSplit/>
          <w:trHeight w:val="300"/>
        </w:trPr>
        <w:tc>
          <w:tcPr>
            <w:tcW w:w="2430" w:type="dxa"/>
          </w:tcPr>
          <w:p w14:paraId="4D1F11A7" w14:textId="75709750" w:rsidR="008A7D25" w:rsidRPr="002B2669" w:rsidRDefault="008A7D25" w:rsidP="008A7D25">
            <w:r w:rsidRPr="00D34F2C">
              <w:rPr>
                <w:szCs w:val="24"/>
              </w:rPr>
              <w:lastRenderedPageBreak/>
              <w:t>Justice40 Community</w:t>
            </w:r>
          </w:p>
        </w:tc>
        <w:tc>
          <w:tcPr>
            <w:tcW w:w="6930" w:type="dxa"/>
          </w:tcPr>
          <w:p w14:paraId="3BF5227D" w14:textId="2DEC74D9" w:rsidR="008A7D25" w:rsidRPr="002B2669" w:rsidRDefault="005224EE" w:rsidP="008A7D25">
            <w:r>
              <w:t>[</w:t>
            </w:r>
            <w:r w:rsidR="00715036" w:rsidRPr="005224EE">
              <w:rPr>
                <w:strike/>
              </w:rPr>
              <w:t>FHWA recognizes Justice40 communities as t</w:t>
            </w:r>
            <w:r>
              <w:t>]</w:t>
            </w:r>
            <w:r w:rsidR="00B845D2">
              <w:t xml:space="preserve"> </w:t>
            </w:r>
            <w:r w:rsidRPr="005224EE">
              <w:rPr>
                <w:b/>
                <w:bCs/>
                <w:u w:val="single"/>
              </w:rPr>
              <w:t>T</w:t>
            </w:r>
            <w:r w:rsidR="00715036" w:rsidRPr="005001B7">
              <w:t xml:space="preserve">he census tracts </w:t>
            </w:r>
            <w:r w:rsidR="00D34C14" w:rsidRPr="00D34C14">
              <w:rPr>
                <w:b/>
                <w:bCs/>
                <w:u w:val="single"/>
              </w:rPr>
              <w:t>shown</w:t>
            </w:r>
            <w:r w:rsidR="00555397" w:rsidRPr="00D34C14">
              <w:rPr>
                <w:b/>
                <w:bCs/>
                <w:u w:val="single"/>
              </w:rPr>
              <w:t xml:space="preserve"> as federally-designated disadvantaged communities in </w:t>
            </w:r>
            <w:hyperlink r:id="rId85" w:history="1">
              <w:r w:rsidR="00555397" w:rsidRPr="001C2D33">
                <w:rPr>
                  <w:rStyle w:val="Hyperlink"/>
                  <w:b/>
                  <w:bCs/>
                </w:rPr>
                <w:t>California’s National Electric Vehicle Infrastructure Funding Program Map</w:t>
              </w:r>
            </w:hyperlink>
            <w:r w:rsidR="00555397" w:rsidRPr="00D34C14">
              <w:rPr>
                <w:b/>
                <w:bCs/>
                <w:u w:val="single"/>
              </w:rPr>
              <w:t xml:space="preserve"> </w:t>
            </w:r>
            <w:r w:rsidR="00B845D2" w:rsidRPr="00D34C14">
              <w:rPr>
                <w:b/>
                <w:bCs/>
                <w:u w:val="single"/>
              </w:rPr>
              <w:t>at https://experience.arcgis.com/experience/135c0da4b70f4717b4664ad2e427d2bc</w:t>
            </w:r>
            <w:r w:rsidR="001C2D33">
              <w:rPr>
                <w:b/>
                <w:bCs/>
                <w:u w:val="single"/>
              </w:rPr>
              <w:t>.</w:t>
            </w:r>
            <w:r w:rsidR="00B845D2" w:rsidRPr="00B845D2">
              <w:t xml:space="preserve"> </w:t>
            </w:r>
            <w:r w:rsidR="001C2D33">
              <w:t>[</w:t>
            </w:r>
            <w:r w:rsidR="00715036" w:rsidRPr="001C2D33">
              <w:rPr>
                <w:strike/>
              </w:rPr>
              <w:t xml:space="preserve">identified as disadvantaged by the Climate and Economic Justice Screening Tool (CEJST), located at </w:t>
            </w:r>
            <w:hyperlink r:id="rId86" w:tgtFrame="_blank" w:history="1">
              <w:r w:rsidR="00715036" w:rsidRPr="001C2D33">
                <w:rPr>
                  <w:rStyle w:val="Hyperlink"/>
                  <w:strike/>
                </w:rPr>
                <w:t>https://screeningtool.geoplatform.gov/</w:t>
              </w:r>
            </w:hyperlink>
            <w:r w:rsidR="00715036" w:rsidRPr="001C2D33">
              <w:rPr>
                <w:strike/>
              </w:rPr>
              <w:t xml:space="preserve">, as well as all </w:t>
            </w:r>
            <w:r w:rsidR="002B0C68" w:rsidRPr="001C2D33">
              <w:rPr>
                <w:strike/>
              </w:rPr>
              <w:t>f</w:t>
            </w:r>
            <w:r w:rsidR="00715036" w:rsidRPr="001C2D33">
              <w:rPr>
                <w:strike/>
              </w:rPr>
              <w:t xml:space="preserve">ederally </w:t>
            </w:r>
            <w:r w:rsidR="002B0C68" w:rsidRPr="001C2D33">
              <w:rPr>
                <w:strike/>
              </w:rPr>
              <w:t>r</w:t>
            </w:r>
            <w:r w:rsidR="00715036" w:rsidRPr="001C2D33">
              <w:rPr>
                <w:strike/>
              </w:rPr>
              <w:t xml:space="preserve">ecognized </w:t>
            </w:r>
            <w:r w:rsidR="002B0C68" w:rsidRPr="001C2D33">
              <w:rPr>
                <w:strike/>
              </w:rPr>
              <w:t>t</w:t>
            </w:r>
            <w:r w:rsidR="00715036" w:rsidRPr="001C2D33">
              <w:rPr>
                <w:strike/>
              </w:rPr>
              <w:t>ribes</w:t>
            </w:r>
            <w:r w:rsidR="00715036" w:rsidRPr="003A4142">
              <w:rPr>
                <w:strike/>
              </w:rPr>
              <w:t>.</w:t>
            </w:r>
            <w:r w:rsidR="00E43EAA" w:rsidRPr="00E43EAA">
              <w:t>]</w:t>
            </w:r>
            <w:r w:rsidR="00715036" w:rsidRPr="00E43EAA">
              <w:t xml:space="preserve"> </w:t>
            </w:r>
            <w:r w:rsidR="002B2669" w:rsidRPr="00E43EAA">
              <w:t xml:space="preserve">Justice40 communities </w:t>
            </w:r>
            <w:r w:rsidR="00715036" w:rsidRPr="00E43EAA">
              <w:t>may be referred to as “</w:t>
            </w:r>
            <w:proofErr w:type="gramStart"/>
            <w:r w:rsidR="002B2669" w:rsidRPr="00E43EAA">
              <w:t>federally-designated</w:t>
            </w:r>
            <w:proofErr w:type="gramEnd"/>
            <w:r w:rsidR="002B2669" w:rsidRPr="00E43EAA">
              <w:t xml:space="preserve"> disadvantaged</w:t>
            </w:r>
            <w:r w:rsidR="00715036" w:rsidRPr="00E43EAA">
              <w:t xml:space="preserve"> communities.”</w:t>
            </w:r>
          </w:p>
        </w:tc>
      </w:tr>
      <w:tr w:rsidR="00E545C5" w14:paraId="7C48A34A" w14:textId="77777777" w:rsidTr="00EF0CE0">
        <w:trPr>
          <w:cantSplit/>
          <w:trHeight w:val="300"/>
        </w:trPr>
        <w:tc>
          <w:tcPr>
            <w:tcW w:w="2430" w:type="dxa"/>
          </w:tcPr>
          <w:p w14:paraId="62A00646" w14:textId="15299F53" w:rsidR="00E545C5" w:rsidRPr="0E5B6AB2" w:rsidRDefault="00E545C5" w:rsidP="00E545C5">
            <w:pPr>
              <w:rPr>
                <w:szCs w:val="24"/>
              </w:rPr>
            </w:pPr>
            <w:r w:rsidRPr="00162B26">
              <w:t>kW</w:t>
            </w:r>
          </w:p>
        </w:tc>
        <w:tc>
          <w:tcPr>
            <w:tcW w:w="6930" w:type="dxa"/>
          </w:tcPr>
          <w:p w14:paraId="301DA4D1" w14:textId="78D202F3" w:rsidR="00E545C5" w:rsidRPr="0E5B6AB2" w:rsidRDefault="00E545C5" w:rsidP="00E545C5">
            <w:pPr>
              <w:rPr>
                <w:szCs w:val="24"/>
              </w:rPr>
            </w:pPr>
            <w:r w:rsidRPr="00162B26">
              <w:t>Kilowatt</w:t>
            </w:r>
          </w:p>
        </w:tc>
      </w:tr>
      <w:tr w:rsidR="003931AA" w14:paraId="0B5A721B" w14:textId="77777777" w:rsidTr="00EF0CE0">
        <w:trPr>
          <w:cantSplit/>
          <w:trHeight w:val="300"/>
        </w:trPr>
        <w:tc>
          <w:tcPr>
            <w:tcW w:w="2430" w:type="dxa"/>
          </w:tcPr>
          <w:p w14:paraId="7EE22CA7" w14:textId="2BC80F47" w:rsidR="003931AA" w:rsidRPr="00162B26" w:rsidRDefault="003931AA" w:rsidP="003931AA">
            <w:r w:rsidRPr="00162B26">
              <w:t>Level 1 Charger</w:t>
            </w:r>
          </w:p>
        </w:tc>
        <w:tc>
          <w:tcPr>
            <w:tcW w:w="6930" w:type="dxa"/>
          </w:tcPr>
          <w:p w14:paraId="45D80591" w14:textId="65928BB0" w:rsidR="003931AA" w:rsidRPr="00162B26" w:rsidRDefault="003931AA" w:rsidP="003931AA">
            <w:r w:rsidRPr="00162B26">
              <w:t xml:space="preserve">A charger that operates on a circuit from 110 volts to 120 volts and transfers </w:t>
            </w:r>
            <w:r w:rsidR="004D0E7F">
              <w:t>alternating current (</w:t>
            </w:r>
            <w:r w:rsidRPr="00162B26">
              <w:t>AC</w:t>
            </w:r>
            <w:r w:rsidR="004D0E7F">
              <w:t>)</w:t>
            </w:r>
            <w:r w:rsidRPr="00162B26">
              <w:t xml:space="preserve"> electricity to a device in an EV that converts AC to direct current </w:t>
            </w:r>
            <w:r w:rsidR="00B37F9F">
              <w:t xml:space="preserve">(DC) </w:t>
            </w:r>
            <w:r w:rsidRPr="00162B26">
              <w:t>to charge an EV battery.</w:t>
            </w:r>
          </w:p>
        </w:tc>
      </w:tr>
      <w:tr w:rsidR="003931AA" w14:paraId="50A5CD75" w14:textId="77777777" w:rsidTr="00EF0CE0">
        <w:trPr>
          <w:cantSplit/>
          <w:trHeight w:val="300"/>
        </w:trPr>
        <w:tc>
          <w:tcPr>
            <w:tcW w:w="2430" w:type="dxa"/>
          </w:tcPr>
          <w:p w14:paraId="38211846" w14:textId="34FED8F5" w:rsidR="003931AA" w:rsidRPr="00162B26" w:rsidRDefault="003931AA" w:rsidP="003931AA">
            <w:r w:rsidRPr="00162B26">
              <w:t>Level 2 Charger</w:t>
            </w:r>
          </w:p>
        </w:tc>
        <w:tc>
          <w:tcPr>
            <w:tcW w:w="6930" w:type="dxa"/>
          </w:tcPr>
          <w:p w14:paraId="68AD0500" w14:textId="3B835683" w:rsidR="003931AA" w:rsidRPr="00162B26" w:rsidRDefault="003931AA" w:rsidP="003931AA">
            <w:r w:rsidRPr="00162B26">
              <w:t xml:space="preserve">A charger that operates on a circuit from 208 volts to 240 volts and transfers AC electricity to a device in an EV that converts AC to </w:t>
            </w:r>
            <w:r w:rsidR="00B37F9F">
              <w:t>DC</w:t>
            </w:r>
            <w:r w:rsidRPr="00162B26">
              <w:t xml:space="preserve"> to charge an EV battery.</w:t>
            </w:r>
          </w:p>
        </w:tc>
      </w:tr>
      <w:tr w:rsidR="008A7D25" w14:paraId="515F2BF4" w14:textId="77777777" w:rsidTr="00EF0CE0">
        <w:trPr>
          <w:cantSplit/>
          <w:trHeight w:val="300"/>
        </w:trPr>
        <w:tc>
          <w:tcPr>
            <w:tcW w:w="2430" w:type="dxa"/>
          </w:tcPr>
          <w:p w14:paraId="466BE14A" w14:textId="2EEFD5ED" w:rsidR="008A7D25" w:rsidRPr="000E445A" w:rsidRDefault="008A7D25" w:rsidP="008A7D25">
            <w:r w:rsidRPr="005001B7">
              <w:rPr>
                <w:iCs/>
                <w:szCs w:val="24"/>
              </w:rPr>
              <w:t>Maintenance</w:t>
            </w:r>
          </w:p>
        </w:tc>
        <w:tc>
          <w:tcPr>
            <w:tcW w:w="6930" w:type="dxa"/>
          </w:tcPr>
          <w:p w14:paraId="33AEBB96" w14:textId="41EEA756" w:rsidR="008A7D25" w:rsidRPr="000E445A" w:rsidRDefault="008A7D25" w:rsidP="008A7D25">
            <w:r w:rsidRPr="005001B7">
              <w:rPr>
                <w:rStyle w:val="normaltextrun"/>
                <w:iCs/>
                <w:szCs w:val="24"/>
              </w:rPr>
              <w:t>Any instance in which preventive or corrective maintenance is carried out on equipment.</w:t>
            </w:r>
          </w:p>
        </w:tc>
      </w:tr>
      <w:tr w:rsidR="00E162EB" w14:paraId="7F70B29B" w14:textId="77777777" w:rsidTr="00EF0CE0">
        <w:trPr>
          <w:cantSplit/>
          <w:trHeight w:val="300"/>
        </w:trPr>
        <w:tc>
          <w:tcPr>
            <w:tcW w:w="2430" w:type="dxa"/>
          </w:tcPr>
          <w:p w14:paraId="16AF25DD" w14:textId="2FD5F164" w:rsidR="00E162EB" w:rsidRPr="00162B26" w:rsidRDefault="00E162EB" w:rsidP="00E162EB">
            <w:r w:rsidRPr="00162B26">
              <w:t>NEPA</w:t>
            </w:r>
          </w:p>
        </w:tc>
        <w:tc>
          <w:tcPr>
            <w:tcW w:w="6930" w:type="dxa"/>
          </w:tcPr>
          <w:p w14:paraId="584C3A98" w14:textId="66797EB0" w:rsidR="00E162EB" w:rsidRPr="00162B26" w:rsidRDefault="00E162EB" w:rsidP="00E162EB">
            <w:r w:rsidRPr="00162B26">
              <w:t>National Environmental Policy Act</w:t>
            </w:r>
          </w:p>
        </w:tc>
      </w:tr>
      <w:tr w:rsidR="00E162EB" w14:paraId="62B3411B" w14:textId="77777777" w:rsidTr="00EF0CE0">
        <w:trPr>
          <w:cantSplit/>
          <w:trHeight w:val="300"/>
        </w:trPr>
        <w:tc>
          <w:tcPr>
            <w:tcW w:w="2430" w:type="dxa"/>
          </w:tcPr>
          <w:p w14:paraId="04F4C5B2" w14:textId="3D9A609F" w:rsidR="00E162EB" w:rsidRPr="00162B26" w:rsidRDefault="00E162EB" w:rsidP="00E162EB">
            <w:r w:rsidRPr="00162B26">
              <w:t>Networked</w:t>
            </w:r>
          </w:p>
        </w:tc>
        <w:tc>
          <w:tcPr>
            <w:tcW w:w="6930" w:type="dxa"/>
          </w:tcPr>
          <w:p w14:paraId="3D50E022" w14:textId="37477CE0" w:rsidR="00E162EB" w:rsidRPr="00162B26" w:rsidRDefault="00E162EB" w:rsidP="00E162EB">
            <w:r w:rsidRPr="00162B26">
              <w:t>A charger that can receive or send commands or messages remotely from or to a charging network provider or is otherwise connected to a central management system, such as by using OCPP 2.0.1, for the purposes of charger management and data reporting.</w:t>
            </w:r>
          </w:p>
        </w:tc>
      </w:tr>
      <w:tr w:rsidR="00E162EB" w14:paraId="0EEE304C" w14:textId="77777777" w:rsidTr="00EF0CE0">
        <w:trPr>
          <w:cantSplit/>
          <w:trHeight w:val="300"/>
        </w:trPr>
        <w:tc>
          <w:tcPr>
            <w:tcW w:w="2430" w:type="dxa"/>
          </w:tcPr>
          <w:p w14:paraId="125B0033" w14:textId="4C8E7DA8" w:rsidR="00E162EB" w:rsidRPr="00162B26" w:rsidRDefault="008A7D25" w:rsidP="00E162EB">
            <w:r w:rsidRPr="00162B26">
              <w:t>NEVI Formula Program</w:t>
            </w:r>
          </w:p>
        </w:tc>
        <w:tc>
          <w:tcPr>
            <w:tcW w:w="6930" w:type="dxa"/>
          </w:tcPr>
          <w:p w14:paraId="482357DA" w14:textId="1410791E" w:rsidR="00E162EB" w:rsidRPr="00162B26" w:rsidRDefault="008A7D25" w:rsidP="00E162EB">
            <w:r w:rsidRPr="00162B26">
              <w:t>National Electric Vehicle Infrastructure Formula Program</w:t>
            </w:r>
          </w:p>
        </w:tc>
      </w:tr>
      <w:tr w:rsidR="008A7D25" w14:paraId="3F291E96" w14:textId="77777777" w:rsidTr="00EF0CE0">
        <w:trPr>
          <w:cantSplit/>
          <w:trHeight w:val="300"/>
        </w:trPr>
        <w:tc>
          <w:tcPr>
            <w:tcW w:w="2430" w:type="dxa"/>
          </w:tcPr>
          <w:p w14:paraId="0E00BECE" w14:textId="11777F89" w:rsidR="008A7D25" w:rsidRPr="00162B26" w:rsidRDefault="008A7D25" w:rsidP="008A7D25">
            <w:r w:rsidRPr="00162B26">
              <w:t>NEVI Standards</w:t>
            </w:r>
          </w:p>
        </w:tc>
        <w:tc>
          <w:tcPr>
            <w:tcW w:w="6930" w:type="dxa"/>
          </w:tcPr>
          <w:p w14:paraId="4DA49D08" w14:textId="7F97B67A" w:rsidR="008A7D25" w:rsidRPr="00162B26" w:rsidRDefault="008A7D25" w:rsidP="008A7D25">
            <w:r w:rsidRPr="00162B26">
              <w:t xml:space="preserve">Refers to the National Electric Vehicle Infrastructure Standards and Requirements, Final Rule, Code of Federal Regulations Section 23, Part 680 (23 CFR 680). See </w:t>
            </w:r>
            <w:r w:rsidR="00D22ED6">
              <w:t>Section I.</w:t>
            </w:r>
            <w:r w:rsidR="00D17479">
              <w:t>P</w:t>
            </w:r>
            <w:r w:rsidR="00D22ED6">
              <w:t xml:space="preserve">. </w:t>
            </w:r>
            <w:r w:rsidRPr="00162B26">
              <w:t>Reference Documents</w:t>
            </w:r>
            <w:r w:rsidR="00D22ED6">
              <w:t xml:space="preserve"> for </w:t>
            </w:r>
            <w:r w:rsidR="00BF5249">
              <w:t>the web link</w:t>
            </w:r>
            <w:r w:rsidRPr="00162B26">
              <w:t>.</w:t>
            </w:r>
          </w:p>
        </w:tc>
      </w:tr>
      <w:tr w:rsidR="00637436" w14:paraId="7AC91B47" w14:textId="77777777" w:rsidTr="00EF0CE0">
        <w:trPr>
          <w:cantSplit/>
          <w:trHeight w:val="300"/>
        </w:trPr>
        <w:tc>
          <w:tcPr>
            <w:tcW w:w="2430" w:type="dxa"/>
          </w:tcPr>
          <w:p w14:paraId="0F60BBB9" w14:textId="12E42F31" w:rsidR="00637436" w:rsidRPr="00162B26" w:rsidRDefault="00637436" w:rsidP="008A7D25">
            <w:r>
              <w:t>Open Charge Point Interface (OCPI)</w:t>
            </w:r>
          </w:p>
        </w:tc>
        <w:tc>
          <w:tcPr>
            <w:tcW w:w="6930" w:type="dxa"/>
          </w:tcPr>
          <w:p w14:paraId="0D0E5B16" w14:textId="6A11E3D6" w:rsidR="00637436" w:rsidRPr="00162B26" w:rsidRDefault="00637436" w:rsidP="003F04E2">
            <w:r>
              <w:t xml:space="preserve">An open-source communication protocol that governs the communication </w:t>
            </w:r>
            <w:r w:rsidR="003F04E2">
              <w:t>among multiple</w:t>
            </w:r>
            <w:r w:rsidR="00FC187A">
              <w:t xml:space="preserve"> </w:t>
            </w:r>
            <w:r w:rsidR="003F04E2">
              <w:t>charging networks, other</w:t>
            </w:r>
            <w:r w:rsidR="00FC187A">
              <w:t xml:space="preserve"> </w:t>
            </w:r>
            <w:r w:rsidR="003F04E2">
              <w:t>communication networks, and software</w:t>
            </w:r>
            <w:r w:rsidR="00FC187A">
              <w:t xml:space="preserve"> </w:t>
            </w:r>
            <w:r w:rsidR="003F04E2">
              <w:t>applications to provide information and</w:t>
            </w:r>
            <w:r w:rsidR="00FC187A">
              <w:t xml:space="preserve"> </w:t>
            </w:r>
            <w:r w:rsidR="003F04E2">
              <w:t>services for EV drivers</w:t>
            </w:r>
            <w:r w:rsidR="00595ABE">
              <w:t>.</w:t>
            </w:r>
          </w:p>
        </w:tc>
      </w:tr>
      <w:tr w:rsidR="008A7D25" w14:paraId="76B60724" w14:textId="77777777" w:rsidTr="00EF0CE0">
        <w:trPr>
          <w:cantSplit/>
          <w:trHeight w:val="300"/>
        </w:trPr>
        <w:tc>
          <w:tcPr>
            <w:tcW w:w="2430" w:type="dxa"/>
          </w:tcPr>
          <w:p w14:paraId="624CAB0B" w14:textId="306454A8" w:rsidR="008A7D25" w:rsidRPr="00162B26" w:rsidRDefault="008A7D25" w:rsidP="008A7D25">
            <w:r w:rsidRPr="00162B26">
              <w:t>Open Charge Point Protocol (OCPP)</w:t>
            </w:r>
          </w:p>
        </w:tc>
        <w:tc>
          <w:tcPr>
            <w:tcW w:w="6930" w:type="dxa"/>
          </w:tcPr>
          <w:p w14:paraId="324AB2B1" w14:textId="0324E9E7" w:rsidR="008A7D25" w:rsidRPr="00162B26" w:rsidRDefault="008A7D25" w:rsidP="008A7D25">
            <w:r w:rsidRPr="00162B26">
              <w:t>An open-source communication protocol that governs the communication between chargers and the charging networks that remotely manage the chargers.</w:t>
            </w:r>
          </w:p>
        </w:tc>
      </w:tr>
      <w:tr w:rsidR="008A7D25" w14:paraId="42E312CA" w14:textId="77777777" w:rsidTr="00EF0CE0">
        <w:trPr>
          <w:cantSplit/>
          <w:trHeight w:val="300"/>
        </w:trPr>
        <w:tc>
          <w:tcPr>
            <w:tcW w:w="2430" w:type="dxa"/>
          </w:tcPr>
          <w:p w14:paraId="2CA302B4" w14:textId="3A2E054E" w:rsidR="008A7D25" w:rsidRPr="00912023" w:rsidRDefault="008A7D25" w:rsidP="008A7D25">
            <w:r w:rsidRPr="005001B7">
              <w:lastRenderedPageBreak/>
              <w:t>Operational</w:t>
            </w:r>
          </w:p>
        </w:tc>
        <w:tc>
          <w:tcPr>
            <w:tcW w:w="6930" w:type="dxa"/>
          </w:tcPr>
          <w:p w14:paraId="04AB8391" w14:textId="128E58A2" w:rsidR="008A7D25" w:rsidRPr="00912023" w:rsidRDefault="008A7D25" w:rsidP="008A7D25">
            <w:r w:rsidRPr="005001B7">
              <w:t>A charging port’s hardware and software are both online and available to use, or in use, and the charging port successfully dispenses electricity.</w:t>
            </w:r>
          </w:p>
        </w:tc>
      </w:tr>
      <w:tr w:rsidR="008A7D25" w14:paraId="0F455201" w14:textId="77777777" w:rsidTr="00EF0CE0">
        <w:trPr>
          <w:cantSplit/>
          <w:trHeight w:val="300"/>
        </w:trPr>
        <w:tc>
          <w:tcPr>
            <w:tcW w:w="2430" w:type="dxa"/>
          </w:tcPr>
          <w:p w14:paraId="53D3A72E" w14:textId="79EAFA6B" w:rsidR="008A7D25" w:rsidRPr="00162B26" w:rsidRDefault="008A7D25" w:rsidP="008A7D25">
            <w:r w:rsidRPr="00162B26">
              <w:t>Recipient</w:t>
            </w:r>
          </w:p>
        </w:tc>
        <w:tc>
          <w:tcPr>
            <w:tcW w:w="6930" w:type="dxa"/>
          </w:tcPr>
          <w:p w14:paraId="79C17F80" w14:textId="4695C438" w:rsidR="008A7D25" w:rsidRPr="00162B26" w:rsidRDefault="008A7D25" w:rsidP="008A7D25">
            <w:r w:rsidRPr="00162B26">
              <w:t>An applicant awarded a grant under a CEC solicitation. Please note that in FHWA documents, the definition of “recipient” may differ.</w:t>
            </w:r>
          </w:p>
        </w:tc>
      </w:tr>
      <w:tr w:rsidR="008A7D25" w14:paraId="6525E5C4" w14:textId="77777777" w:rsidTr="00EF0CE0">
        <w:trPr>
          <w:cantSplit/>
          <w:trHeight w:val="300"/>
        </w:trPr>
        <w:tc>
          <w:tcPr>
            <w:tcW w:w="2430" w:type="dxa"/>
          </w:tcPr>
          <w:p w14:paraId="43D37A8C" w14:textId="7A95812A" w:rsidR="008A7D25" w:rsidRPr="00162B26" w:rsidRDefault="008A7D25" w:rsidP="008A7D25">
            <w:r w:rsidRPr="00162B26">
              <w:t>SAE J3400</w:t>
            </w:r>
          </w:p>
        </w:tc>
        <w:tc>
          <w:tcPr>
            <w:tcW w:w="6930" w:type="dxa"/>
          </w:tcPr>
          <w:p w14:paraId="23112E31" w14:textId="14D93443" w:rsidR="008A7D25" w:rsidRPr="00162B26" w:rsidRDefault="008A7D25" w:rsidP="008A7D25">
            <w:r w:rsidRPr="00162B26">
              <w:t xml:space="preserve">A charging port standard for charging of </w:t>
            </w:r>
            <w:r w:rsidR="00204A8A">
              <w:t>EVs</w:t>
            </w:r>
            <w:r w:rsidR="007D3909">
              <w:t xml:space="preserve"> based on the North American Charging Standard (NACS) connector.</w:t>
            </w:r>
          </w:p>
        </w:tc>
      </w:tr>
      <w:tr w:rsidR="008A7D25" w14:paraId="27FABB27" w14:textId="77777777" w:rsidTr="00EF0CE0">
        <w:trPr>
          <w:cantSplit/>
          <w:trHeight w:val="300"/>
        </w:trPr>
        <w:tc>
          <w:tcPr>
            <w:tcW w:w="2430" w:type="dxa"/>
          </w:tcPr>
          <w:p w14:paraId="287952A9" w14:textId="2D8BA10F" w:rsidR="008A7D25" w:rsidRPr="00162B26" w:rsidRDefault="008A7D25" w:rsidP="008A7D25">
            <w:r w:rsidRPr="00162B26">
              <w:t>Small Business</w:t>
            </w:r>
          </w:p>
        </w:tc>
        <w:tc>
          <w:tcPr>
            <w:tcW w:w="6930" w:type="dxa"/>
          </w:tcPr>
          <w:p w14:paraId="1233BC87" w14:textId="24DC85A7" w:rsidR="008A7D25" w:rsidRPr="00162B26" w:rsidRDefault="008A7D25" w:rsidP="008A7D25">
            <w:pPr>
              <w:spacing w:after="160" w:line="259" w:lineRule="auto"/>
            </w:pPr>
            <w:r w:rsidRPr="00162B26">
              <w:t>Please refer to California Government Code §14837 (d)(1)(A)-(B).</w:t>
            </w:r>
          </w:p>
          <w:p w14:paraId="65D43C9D" w14:textId="3B001436" w:rsidR="008A7D25" w:rsidRPr="00162B26" w:rsidRDefault="008A7D25" w:rsidP="008A7D25">
            <w:pPr>
              <w:spacing w:after="160" w:line="259" w:lineRule="auto"/>
            </w:pPr>
            <w:r w:rsidRPr="00162B26">
              <w:t>“Small business” means an independently owned and operated business that is not dominant in its field of operation, the principal office of which is located in California, the officers of which are domiciled in California, and which, together with affiliates, has 100 or fewer employees, and average annual gross receipts of $15 million dollars or less over the previous three years, or is a manufacturer, as defined in subdivision (c), with 100 or fewer employees.</w:t>
            </w:r>
          </w:p>
          <w:p w14:paraId="5164ED91" w14:textId="0D142C78" w:rsidR="008A7D25" w:rsidRPr="00162B26" w:rsidRDefault="008A7D25" w:rsidP="008A7D25">
            <w:r w:rsidRPr="00162B26">
              <w:t>For the purposes of public works contracts, as defined in Section 1101 of the Public Contract Code, and engineering contracts, as described in Section 4525, for public works projects, awarded through competitive bids or otherwise, “small business” means an independently owned and operated business that is not dominant in its field of operation, the principal office of which is located in California, the officers of which are domiciled in California, and which, together with affiliates, has 200 or fewer employees, and average annual gross receipts of $36 million dollars or less over the previous three years.</w:t>
            </w:r>
          </w:p>
        </w:tc>
      </w:tr>
      <w:tr w:rsidR="008A7D25" w14:paraId="09DDB49C" w14:textId="77777777" w:rsidTr="00EF0CE0">
        <w:trPr>
          <w:cantSplit/>
          <w:trHeight w:val="300"/>
        </w:trPr>
        <w:tc>
          <w:tcPr>
            <w:tcW w:w="2430" w:type="dxa"/>
          </w:tcPr>
          <w:p w14:paraId="7900292B" w14:textId="59FAAAB2" w:rsidR="008A7D25" w:rsidRPr="00162B26" w:rsidRDefault="008A7D25" w:rsidP="008A7D25">
            <w:r w:rsidRPr="00162B26">
              <w:t>Software</w:t>
            </w:r>
          </w:p>
        </w:tc>
        <w:tc>
          <w:tcPr>
            <w:tcW w:w="6930" w:type="dxa"/>
          </w:tcPr>
          <w:p w14:paraId="1638533B" w14:textId="007343DD" w:rsidR="008A7D25" w:rsidRPr="00162B26" w:rsidRDefault="008A7D25" w:rsidP="008A7D25">
            <w:r w:rsidRPr="00162B26">
              <w:t>A set of instructions, data, or programs used to operate computers and execute specific tasks.</w:t>
            </w:r>
          </w:p>
        </w:tc>
      </w:tr>
      <w:tr w:rsidR="00C9322A" w:rsidRPr="00E91F37" w14:paraId="35433807" w14:textId="77777777" w:rsidTr="00EF0CE0">
        <w:trPr>
          <w:cantSplit/>
        </w:trPr>
        <w:tc>
          <w:tcPr>
            <w:tcW w:w="2430" w:type="dxa"/>
          </w:tcPr>
          <w:p w14:paraId="12454355" w14:textId="77777777" w:rsidR="00C9322A" w:rsidRPr="00E91F37" w:rsidRDefault="00C9322A" w:rsidP="00E04486">
            <w:pPr>
              <w:rPr>
                <w:szCs w:val="24"/>
              </w:rPr>
            </w:pPr>
            <w:r w:rsidRPr="00E91F37">
              <w:rPr>
                <w:szCs w:val="24"/>
              </w:rPr>
              <w:t>Solicitation</w:t>
            </w:r>
          </w:p>
        </w:tc>
        <w:tc>
          <w:tcPr>
            <w:tcW w:w="6930" w:type="dxa"/>
          </w:tcPr>
          <w:p w14:paraId="0634DE5D" w14:textId="6B5AADDC" w:rsidR="00C9322A" w:rsidRPr="00E91F37" w:rsidRDefault="003E312B" w:rsidP="00E04486">
            <w:pPr>
              <w:rPr>
                <w:szCs w:val="24"/>
              </w:rPr>
            </w:pPr>
            <w:r w:rsidRPr="00E91F37">
              <w:rPr>
                <w:szCs w:val="24"/>
              </w:rPr>
              <w:t>Grant Funding Opportunity</w:t>
            </w:r>
            <w:r w:rsidR="00C9322A" w:rsidRPr="00E91F37">
              <w:rPr>
                <w:szCs w:val="24"/>
              </w:rPr>
              <w:t>, which refers to this entire solicitation document and all its attachments and exhibits</w:t>
            </w:r>
            <w:r w:rsidR="00AC59A8">
              <w:rPr>
                <w:szCs w:val="24"/>
              </w:rPr>
              <w:t>.</w:t>
            </w:r>
          </w:p>
        </w:tc>
      </w:tr>
      <w:tr w:rsidR="00082155" w:rsidRPr="00E91F37" w14:paraId="0162F35A" w14:textId="77777777" w:rsidTr="00EF0CE0">
        <w:trPr>
          <w:cantSplit/>
        </w:trPr>
        <w:tc>
          <w:tcPr>
            <w:tcW w:w="2430" w:type="dxa"/>
          </w:tcPr>
          <w:p w14:paraId="6EC93EC1" w14:textId="77777777" w:rsidR="00082155" w:rsidRPr="00E91F37" w:rsidRDefault="00082155" w:rsidP="00E04486">
            <w:pPr>
              <w:rPr>
                <w:szCs w:val="24"/>
              </w:rPr>
            </w:pPr>
            <w:r w:rsidRPr="00E91F37">
              <w:rPr>
                <w:szCs w:val="24"/>
              </w:rPr>
              <w:t>State</w:t>
            </w:r>
          </w:p>
        </w:tc>
        <w:tc>
          <w:tcPr>
            <w:tcW w:w="6930" w:type="dxa"/>
          </w:tcPr>
          <w:p w14:paraId="397966A1" w14:textId="77777777" w:rsidR="00082155" w:rsidRPr="00E91F37" w:rsidRDefault="00082155" w:rsidP="00E04486">
            <w:pPr>
              <w:rPr>
                <w:szCs w:val="24"/>
              </w:rPr>
            </w:pPr>
            <w:r w:rsidRPr="00E91F37">
              <w:rPr>
                <w:szCs w:val="24"/>
              </w:rPr>
              <w:t>State of California</w:t>
            </w:r>
          </w:p>
        </w:tc>
      </w:tr>
      <w:tr w:rsidR="005F08A5" w:rsidRPr="00E91F37" w14:paraId="51AB69AB" w14:textId="77777777" w:rsidTr="00EF0CE0">
        <w:trPr>
          <w:cantSplit/>
        </w:trPr>
        <w:tc>
          <w:tcPr>
            <w:tcW w:w="2430" w:type="dxa"/>
          </w:tcPr>
          <w:p w14:paraId="5CEFF788" w14:textId="489D7095" w:rsidR="005F08A5" w:rsidRPr="00E91F37" w:rsidRDefault="005F08A5" w:rsidP="005F08A5">
            <w:pPr>
              <w:rPr>
                <w:szCs w:val="24"/>
              </w:rPr>
            </w:pPr>
            <w:r w:rsidRPr="00B574C2">
              <w:t xml:space="preserve">Subaward </w:t>
            </w:r>
          </w:p>
        </w:tc>
        <w:tc>
          <w:tcPr>
            <w:tcW w:w="6930" w:type="dxa"/>
          </w:tcPr>
          <w:p w14:paraId="7CF80381" w14:textId="5AF4CFA8" w:rsidR="005F08A5" w:rsidRPr="00E91F37" w:rsidRDefault="005F08A5" w:rsidP="005F08A5">
            <w:pPr>
              <w:rPr>
                <w:szCs w:val="24"/>
              </w:rPr>
            </w:pPr>
            <w:r w:rsidRPr="00B574C2">
              <w:t>For the Recipient, a subaward means all agreements it has with subrecipients and vendors. For a subrecipient, a subaward means all agreements it has with sub-subrecipients and vendors. For any lower-tiered level of sub-subrecipient, a subaward means all agreements it has with its own sub-subrecipients and vendors.</w:t>
            </w:r>
          </w:p>
        </w:tc>
      </w:tr>
      <w:tr w:rsidR="008A7D25" w:rsidRPr="00E91F37" w14:paraId="415BDAE7" w14:textId="77777777" w:rsidTr="00EF0CE0">
        <w:trPr>
          <w:cantSplit/>
        </w:trPr>
        <w:tc>
          <w:tcPr>
            <w:tcW w:w="2430" w:type="dxa"/>
          </w:tcPr>
          <w:p w14:paraId="73523D1C" w14:textId="60FF168D" w:rsidR="008A7D25" w:rsidRPr="00E91F37" w:rsidRDefault="008A7D25" w:rsidP="008A7D25">
            <w:pPr>
              <w:rPr>
                <w:szCs w:val="24"/>
              </w:rPr>
            </w:pPr>
            <w:r w:rsidRPr="00162B26">
              <w:lastRenderedPageBreak/>
              <w:t>Subrecipient</w:t>
            </w:r>
          </w:p>
        </w:tc>
        <w:tc>
          <w:tcPr>
            <w:tcW w:w="6930" w:type="dxa"/>
          </w:tcPr>
          <w:p w14:paraId="34FF4DE3" w14:textId="48C42695" w:rsidR="008A7D25" w:rsidRPr="00E91F37" w:rsidRDefault="00C05C6F" w:rsidP="008A7D25">
            <w:pPr>
              <w:rPr>
                <w:szCs w:val="24"/>
              </w:rPr>
            </w:pPr>
            <w:r>
              <w:t>A</w:t>
            </w:r>
            <w:r w:rsidR="008A7D25" w:rsidRPr="00162B26">
              <w:t xml:space="preserve">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tc>
      </w:tr>
      <w:tr w:rsidR="008A7D25" w:rsidRPr="00E91F37" w14:paraId="74825646" w14:textId="77777777" w:rsidTr="00EF0CE0">
        <w:trPr>
          <w:cantSplit/>
        </w:trPr>
        <w:tc>
          <w:tcPr>
            <w:tcW w:w="2430" w:type="dxa"/>
          </w:tcPr>
          <w:p w14:paraId="3BC4F5C8" w14:textId="247937D8" w:rsidR="008A7D25" w:rsidRPr="005001B7" w:rsidRDefault="008A7D25" w:rsidP="008A7D25">
            <w:pPr>
              <w:rPr>
                <w:szCs w:val="24"/>
              </w:rPr>
            </w:pPr>
            <w:r w:rsidRPr="005001B7">
              <w:rPr>
                <w:szCs w:val="24"/>
              </w:rPr>
              <w:t>Uptime</w:t>
            </w:r>
          </w:p>
        </w:tc>
        <w:tc>
          <w:tcPr>
            <w:tcW w:w="6930" w:type="dxa"/>
          </w:tcPr>
          <w:p w14:paraId="0E15C710" w14:textId="02F7C035" w:rsidR="008A7D25" w:rsidRPr="005001B7" w:rsidRDefault="008A7D25" w:rsidP="008A7D25">
            <w:pPr>
              <w:rPr>
                <w:szCs w:val="24"/>
              </w:rPr>
            </w:pPr>
            <w:r w:rsidRPr="005001B7">
              <w:rPr>
                <w:rStyle w:val="normaltextrun"/>
                <w:szCs w:val="24"/>
              </w:rPr>
              <w:t xml:space="preserve">The time that a charging port is online and available for use per the formula in Task 6.4 of </w:t>
            </w:r>
            <w:r w:rsidRPr="008D084E">
              <w:rPr>
                <w:rStyle w:val="normaltextrun"/>
                <w:szCs w:val="24"/>
              </w:rPr>
              <w:t>the Scope of Work (Attachment 2)</w:t>
            </w:r>
            <w:r w:rsidRPr="005001B7">
              <w:rPr>
                <w:rStyle w:val="normaltextrun"/>
                <w:szCs w:val="24"/>
              </w:rPr>
              <w:t>.</w:t>
            </w:r>
          </w:p>
        </w:tc>
      </w:tr>
      <w:tr w:rsidR="00BC1309" w:rsidRPr="00E91F37" w14:paraId="0A1DFC58" w14:textId="77777777" w:rsidTr="00EF0CE0">
        <w:trPr>
          <w:cantSplit/>
        </w:trPr>
        <w:tc>
          <w:tcPr>
            <w:tcW w:w="2430" w:type="dxa"/>
          </w:tcPr>
          <w:p w14:paraId="4BFDF29C" w14:textId="72A04EB1" w:rsidR="00BC1309" w:rsidRPr="005001B7" w:rsidRDefault="00BC1309" w:rsidP="00BC1309">
            <w:pPr>
              <w:rPr>
                <w:szCs w:val="24"/>
              </w:rPr>
            </w:pPr>
            <w:r w:rsidRPr="00620B46">
              <w:t xml:space="preserve">Vendor </w:t>
            </w:r>
          </w:p>
        </w:tc>
        <w:tc>
          <w:tcPr>
            <w:tcW w:w="6930" w:type="dxa"/>
          </w:tcPr>
          <w:p w14:paraId="6851184C" w14:textId="0AF7D850" w:rsidR="00BC1309" w:rsidRPr="005001B7" w:rsidRDefault="00BC1309" w:rsidP="00BC1309">
            <w:pPr>
              <w:rPr>
                <w:rStyle w:val="normaltextrun"/>
                <w:szCs w:val="24"/>
              </w:rPr>
            </w:pPr>
            <w:r w:rsidRPr="00620B46">
              <w:t>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4C1E7466" w14:textId="77777777" w:rsidR="007D60E9" w:rsidRPr="00050087" w:rsidRDefault="007D60E9" w:rsidP="00E04486">
      <w:pPr>
        <w:rPr>
          <w:szCs w:val="22"/>
        </w:rPr>
      </w:pPr>
      <w:bookmarkStart w:id="93" w:name="_Toc219275122"/>
      <w:bookmarkEnd w:id="91"/>
      <w:bookmarkEnd w:id="92"/>
    </w:p>
    <w:p w14:paraId="47644971" w14:textId="77777777" w:rsidR="00082155" w:rsidRPr="00050087" w:rsidRDefault="00082155" w:rsidP="00164AC5">
      <w:pPr>
        <w:pStyle w:val="Heading2"/>
        <w:keepNext w:val="0"/>
        <w:numPr>
          <w:ilvl w:val="0"/>
          <w:numId w:val="14"/>
        </w:numPr>
        <w:spacing w:before="0"/>
        <w:ind w:hanging="720"/>
      </w:pPr>
      <w:bookmarkStart w:id="94" w:name="_Toc184829643"/>
      <w:r w:rsidRPr="00050087">
        <w:t>Cost</w:t>
      </w:r>
      <w:r w:rsidR="003948B8" w:rsidRPr="00050087">
        <w:t xml:space="preserve"> of Developing </w:t>
      </w:r>
      <w:r w:rsidR="001661BE" w:rsidRPr="00050087">
        <w:t>Application</w:t>
      </w:r>
      <w:bookmarkEnd w:id="93"/>
      <w:bookmarkEnd w:id="94"/>
    </w:p>
    <w:p w14:paraId="6D6257EE" w14:textId="173826AD" w:rsidR="00082155" w:rsidRPr="00013AAD" w:rsidRDefault="00082155" w:rsidP="00E26DE1">
      <w:pPr>
        <w:ind w:left="720"/>
        <w:rPr>
          <w:szCs w:val="24"/>
        </w:rPr>
      </w:pPr>
      <w:r w:rsidRPr="00013AAD">
        <w:rPr>
          <w:szCs w:val="24"/>
        </w:rPr>
        <w:t xml:space="preserve">The </w:t>
      </w:r>
      <w:r w:rsidR="0088577B">
        <w:rPr>
          <w:szCs w:val="24"/>
        </w:rPr>
        <w:t>A</w:t>
      </w:r>
      <w:r w:rsidR="00403F6F" w:rsidRPr="00013AAD">
        <w:rPr>
          <w:szCs w:val="24"/>
        </w:rPr>
        <w:t>pplicant</w:t>
      </w:r>
      <w:r w:rsidRPr="00013AAD">
        <w:rPr>
          <w:szCs w:val="24"/>
        </w:rPr>
        <w:t xml:space="preserve"> is responsible for the cost of developing </w:t>
      </w:r>
      <w:r w:rsidR="00935AD4" w:rsidRPr="00013AAD">
        <w:rPr>
          <w:szCs w:val="24"/>
        </w:rPr>
        <w:t>an application</w:t>
      </w:r>
      <w:r w:rsidRPr="00013AAD">
        <w:rPr>
          <w:szCs w:val="24"/>
        </w:rPr>
        <w:t xml:space="preserve">, and this cost </w:t>
      </w:r>
      <w:r w:rsidR="006129B7" w:rsidRPr="00013AAD">
        <w:rPr>
          <w:szCs w:val="24"/>
        </w:rPr>
        <w:t>cannot be charged to the State.</w:t>
      </w:r>
    </w:p>
    <w:p w14:paraId="70D4242B" w14:textId="77777777" w:rsidR="007D60E9" w:rsidRPr="00050087" w:rsidRDefault="007D60E9" w:rsidP="00E04486">
      <w:pPr>
        <w:rPr>
          <w:szCs w:val="22"/>
        </w:rPr>
      </w:pPr>
    </w:p>
    <w:p w14:paraId="157C763E" w14:textId="77777777" w:rsidR="00082155" w:rsidRPr="00E32322" w:rsidRDefault="00082155" w:rsidP="00164AC5">
      <w:pPr>
        <w:pStyle w:val="Heading2"/>
        <w:keepNext w:val="0"/>
        <w:numPr>
          <w:ilvl w:val="0"/>
          <w:numId w:val="14"/>
        </w:numPr>
        <w:spacing w:before="0"/>
        <w:ind w:hanging="720"/>
      </w:pPr>
      <w:bookmarkStart w:id="95" w:name="_Toc219275123"/>
      <w:bookmarkStart w:id="96" w:name="_Toc267663318"/>
      <w:bookmarkStart w:id="97" w:name="_Toc184829644"/>
      <w:r w:rsidRPr="00E32322">
        <w:t>Confidential Information</w:t>
      </w:r>
      <w:bookmarkEnd w:id="95"/>
      <w:bookmarkEnd w:id="96"/>
      <w:bookmarkEnd w:id="97"/>
    </w:p>
    <w:p w14:paraId="01A03D29" w14:textId="35108BE9" w:rsidR="007D60E9" w:rsidRDefault="00102ECA" w:rsidP="001F635A">
      <w:pPr>
        <w:ind w:left="720"/>
        <w:rPr>
          <w:szCs w:val="24"/>
        </w:rPr>
      </w:pPr>
      <w:bookmarkStart w:id="98" w:name="_Toc219275127"/>
      <w:bookmarkStart w:id="99" w:name="_Toc219275128"/>
      <w:r w:rsidRPr="00102ECA">
        <w:rPr>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050087" w:rsidRDefault="001F635A" w:rsidP="00E04486">
      <w:pPr>
        <w:rPr>
          <w:szCs w:val="22"/>
        </w:rPr>
      </w:pPr>
    </w:p>
    <w:p w14:paraId="7B56F06F" w14:textId="77777777" w:rsidR="00127CBB" w:rsidRPr="00050087" w:rsidRDefault="00F66DFA" w:rsidP="00164AC5">
      <w:pPr>
        <w:pStyle w:val="Heading2"/>
        <w:keepNext w:val="0"/>
        <w:numPr>
          <w:ilvl w:val="0"/>
          <w:numId w:val="14"/>
        </w:numPr>
        <w:spacing w:before="0"/>
        <w:ind w:hanging="720"/>
      </w:pPr>
      <w:bookmarkStart w:id="100" w:name="_Toc184829645"/>
      <w:r w:rsidRPr="00050087">
        <w:t>Solicitation</w:t>
      </w:r>
      <w:r w:rsidR="00127CBB" w:rsidRPr="00050087">
        <w:t xml:space="preserve"> Cancellation and Amendments</w:t>
      </w:r>
      <w:bookmarkEnd w:id="98"/>
      <w:bookmarkEnd w:id="100"/>
    </w:p>
    <w:p w14:paraId="5152C869" w14:textId="72F3D054" w:rsidR="00127CBB" w:rsidRPr="00013AAD" w:rsidRDefault="00127CBB" w:rsidP="00E26DE1">
      <w:pPr>
        <w:ind w:left="720"/>
        <w:rPr>
          <w:szCs w:val="24"/>
        </w:rPr>
      </w:pPr>
      <w:r w:rsidRPr="00013AAD">
        <w:rPr>
          <w:szCs w:val="24"/>
        </w:rPr>
        <w:t xml:space="preserve">It is </w:t>
      </w:r>
      <w:r w:rsidR="008E36A3" w:rsidRPr="00013AAD">
        <w:rPr>
          <w:szCs w:val="24"/>
        </w:rPr>
        <w:t>CEC’s</w:t>
      </w:r>
      <w:r w:rsidRPr="00013AAD">
        <w:rPr>
          <w:szCs w:val="24"/>
        </w:rPr>
        <w:t xml:space="preserve"> policy </w:t>
      </w:r>
      <w:r w:rsidR="008E36A3" w:rsidRPr="00013AAD">
        <w:rPr>
          <w:szCs w:val="24"/>
        </w:rPr>
        <w:t xml:space="preserve">not </w:t>
      </w:r>
      <w:r w:rsidR="006C3B60">
        <w:rPr>
          <w:szCs w:val="24"/>
        </w:rPr>
        <w:t xml:space="preserve">to </w:t>
      </w:r>
      <w:r w:rsidRPr="00013AAD">
        <w:rPr>
          <w:szCs w:val="24"/>
        </w:rPr>
        <w:t xml:space="preserve">solicit </w:t>
      </w:r>
      <w:r w:rsidR="004B207A" w:rsidRPr="00013AAD">
        <w:rPr>
          <w:szCs w:val="24"/>
        </w:rPr>
        <w:t>application</w:t>
      </w:r>
      <w:r w:rsidRPr="00013AAD">
        <w:rPr>
          <w:szCs w:val="24"/>
        </w:rPr>
        <w:t xml:space="preserve">s unless there is a bona fide intention to award an </w:t>
      </w:r>
      <w:r w:rsidR="00287BC0" w:rsidRPr="00013AAD">
        <w:rPr>
          <w:szCs w:val="24"/>
        </w:rPr>
        <w:t>agreement</w:t>
      </w:r>
      <w:r w:rsidRPr="00013AAD">
        <w:rPr>
          <w:szCs w:val="24"/>
        </w:rPr>
        <w:t xml:space="preserve">. However, if it is in the State’s best interest, </w:t>
      </w:r>
      <w:r w:rsidR="008E36A3" w:rsidRPr="00013AAD">
        <w:rPr>
          <w:szCs w:val="24"/>
        </w:rPr>
        <w:t xml:space="preserve">CEC </w:t>
      </w:r>
      <w:r w:rsidRPr="00013AAD">
        <w:rPr>
          <w:szCs w:val="24"/>
        </w:rPr>
        <w:t>reserves the right</w:t>
      </w:r>
      <w:r w:rsidR="006C3B60">
        <w:rPr>
          <w:szCs w:val="24"/>
        </w:rPr>
        <w:t>, in addition to any other rights it has,</w:t>
      </w:r>
      <w:r w:rsidRPr="00013AAD">
        <w:rPr>
          <w:szCs w:val="24"/>
        </w:rPr>
        <w:t xml:space="preserve"> to do any of the following:</w:t>
      </w:r>
    </w:p>
    <w:p w14:paraId="6FDF53B6" w14:textId="77777777" w:rsidR="007D60E9" w:rsidRPr="00013AAD" w:rsidRDefault="007D60E9" w:rsidP="00E04486">
      <w:pPr>
        <w:rPr>
          <w:szCs w:val="24"/>
        </w:rPr>
      </w:pPr>
    </w:p>
    <w:p w14:paraId="659B58B6" w14:textId="31AD92E8" w:rsidR="00127CBB" w:rsidRPr="00013AAD" w:rsidRDefault="00127CBB" w:rsidP="001B7B49">
      <w:pPr>
        <w:numPr>
          <w:ilvl w:val="0"/>
          <w:numId w:val="5"/>
        </w:numPr>
        <w:spacing w:after="120"/>
        <w:ind w:left="1440" w:hanging="720"/>
        <w:rPr>
          <w:szCs w:val="24"/>
        </w:rPr>
      </w:pPr>
      <w:r w:rsidRPr="00013AAD">
        <w:rPr>
          <w:szCs w:val="24"/>
        </w:rPr>
        <w:t xml:space="preserve">Cancel this </w:t>
      </w:r>
      <w:r w:rsidR="00F66DFA" w:rsidRPr="00013AAD">
        <w:rPr>
          <w:szCs w:val="24"/>
        </w:rPr>
        <w:t>solicitation</w:t>
      </w:r>
      <w:r w:rsidR="006C3B60">
        <w:rPr>
          <w:szCs w:val="24"/>
        </w:rPr>
        <w:t>;</w:t>
      </w:r>
    </w:p>
    <w:p w14:paraId="13A73807" w14:textId="1CECCC97" w:rsidR="00127CBB" w:rsidRPr="00013AAD" w:rsidRDefault="00127CBB" w:rsidP="001B7B49">
      <w:pPr>
        <w:numPr>
          <w:ilvl w:val="0"/>
          <w:numId w:val="5"/>
        </w:numPr>
        <w:spacing w:after="120"/>
        <w:ind w:left="1440" w:hanging="720"/>
        <w:rPr>
          <w:szCs w:val="24"/>
        </w:rPr>
      </w:pPr>
      <w:r w:rsidRPr="00013AAD">
        <w:rPr>
          <w:szCs w:val="24"/>
        </w:rPr>
        <w:t xml:space="preserve">Revise the amount of funds available under this </w:t>
      </w:r>
      <w:r w:rsidR="00F66DFA" w:rsidRPr="00013AAD">
        <w:rPr>
          <w:szCs w:val="24"/>
        </w:rPr>
        <w:t>solicitation</w:t>
      </w:r>
      <w:r w:rsidR="006C3B60">
        <w:rPr>
          <w:szCs w:val="24"/>
        </w:rPr>
        <w:t>;</w:t>
      </w:r>
    </w:p>
    <w:p w14:paraId="111D2C54" w14:textId="4F6C1A29" w:rsidR="00127CBB" w:rsidRPr="00013AAD" w:rsidRDefault="00127CBB" w:rsidP="001B7B49">
      <w:pPr>
        <w:numPr>
          <w:ilvl w:val="0"/>
          <w:numId w:val="5"/>
        </w:numPr>
        <w:spacing w:after="120"/>
        <w:ind w:left="1440" w:hanging="720"/>
        <w:rPr>
          <w:szCs w:val="24"/>
        </w:rPr>
      </w:pPr>
      <w:r w:rsidRPr="00013AAD">
        <w:rPr>
          <w:szCs w:val="24"/>
        </w:rPr>
        <w:t xml:space="preserve">Amend this </w:t>
      </w:r>
      <w:r w:rsidR="00F66DFA" w:rsidRPr="00013AAD">
        <w:rPr>
          <w:szCs w:val="24"/>
        </w:rPr>
        <w:t>solicitation</w:t>
      </w:r>
      <w:r w:rsidRPr="00013AAD">
        <w:rPr>
          <w:szCs w:val="24"/>
        </w:rPr>
        <w:t xml:space="preserve"> as needed</w:t>
      </w:r>
      <w:r w:rsidR="006C3B60">
        <w:rPr>
          <w:szCs w:val="24"/>
        </w:rPr>
        <w:t>; and/or</w:t>
      </w:r>
    </w:p>
    <w:p w14:paraId="273A4671" w14:textId="77777777" w:rsidR="00127CBB" w:rsidRPr="00013AAD" w:rsidRDefault="00127CBB" w:rsidP="001B7B49">
      <w:pPr>
        <w:numPr>
          <w:ilvl w:val="0"/>
          <w:numId w:val="5"/>
        </w:numPr>
        <w:spacing w:after="120"/>
        <w:ind w:left="1440" w:hanging="720"/>
        <w:rPr>
          <w:szCs w:val="24"/>
        </w:rPr>
      </w:pPr>
      <w:r w:rsidRPr="00013AAD">
        <w:rPr>
          <w:szCs w:val="24"/>
        </w:rPr>
        <w:t xml:space="preserve">Reject any or all </w:t>
      </w:r>
      <w:r w:rsidR="00403F6F" w:rsidRPr="00013AAD">
        <w:rPr>
          <w:szCs w:val="24"/>
        </w:rPr>
        <w:t>application</w:t>
      </w:r>
      <w:r w:rsidRPr="00013AAD">
        <w:rPr>
          <w:szCs w:val="24"/>
        </w:rPr>
        <w:t xml:space="preserve">s received in response to this </w:t>
      </w:r>
      <w:r w:rsidR="00F66DFA" w:rsidRPr="00013AAD">
        <w:rPr>
          <w:szCs w:val="24"/>
        </w:rPr>
        <w:t>solicitation</w:t>
      </w:r>
      <w:r w:rsidR="007D60E9" w:rsidRPr="00013AAD">
        <w:rPr>
          <w:szCs w:val="24"/>
        </w:rPr>
        <w:t>.</w:t>
      </w:r>
    </w:p>
    <w:p w14:paraId="01AD322C" w14:textId="77777777" w:rsidR="007D60E9" w:rsidRPr="00013AAD" w:rsidRDefault="007D60E9" w:rsidP="00E04486">
      <w:pPr>
        <w:rPr>
          <w:szCs w:val="24"/>
        </w:rPr>
      </w:pPr>
    </w:p>
    <w:p w14:paraId="6C6A82A5" w14:textId="62F0FB52" w:rsidR="00127CBB" w:rsidRPr="00013AAD" w:rsidRDefault="00127CBB" w:rsidP="00E26DE1">
      <w:pPr>
        <w:ind w:left="720"/>
        <w:rPr>
          <w:szCs w:val="24"/>
        </w:rPr>
      </w:pPr>
      <w:r w:rsidRPr="00013AAD">
        <w:rPr>
          <w:szCs w:val="24"/>
        </w:rPr>
        <w:t xml:space="preserve">If the </w:t>
      </w:r>
      <w:r w:rsidR="00F66DFA" w:rsidRPr="00013AAD">
        <w:rPr>
          <w:szCs w:val="24"/>
        </w:rPr>
        <w:t>solicitation</w:t>
      </w:r>
      <w:r w:rsidRPr="00013AAD">
        <w:rPr>
          <w:szCs w:val="24"/>
        </w:rPr>
        <w:t xml:space="preserve"> is amended, </w:t>
      </w:r>
      <w:r w:rsidR="008E36A3" w:rsidRPr="00013AAD">
        <w:rPr>
          <w:szCs w:val="24"/>
        </w:rPr>
        <w:t>CEC</w:t>
      </w:r>
      <w:r w:rsidRPr="00013AAD">
        <w:rPr>
          <w:szCs w:val="24"/>
        </w:rPr>
        <w:t xml:space="preserve"> will post </w:t>
      </w:r>
      <w:r w:rsidR="006C3B60">
        <w:rPr>
          <w:szCs w:val="24"/>
        </w:rPr>
        <w:t xml:space="preserve">an addendum </w:t>
      </w:r>
      <w:r w:rsidRPr="00013AAD">
        <w:rPr>
          <w:szCs w:val="24"/>
        </w:rPr>
        <w:t xml:space="preserve">on </w:t>
      </w:r>
      <w:hyperlink r:id="rId87" w:tooltip="CEC's solicitation information wesbite" w:history="1">
        <w:r w:rsidR="008E36A3" w:rsidRPr="00013AAD">
          <w:rPr>
            <w:rStyle w:val="Hyperlink"/>
            <w:szCs w:val="24"/>
          </w:rPr>
          <w:t>CEC</w:t>
        </w:r>
        <w:r w:rsidRPr="00013AAD">
          <w:rPr>
            <w:rStyle w:val="Hyperlink"/>
            <w:szCs w:val="24"/>
          </w:rPr>
          <w:t xml:space="preserve">’s </w:t>
        </w:r>
        <w:r w:rsidR="00013AAD" w:rsidRPr="00013AAD">
          <w:rPr>
            <w:rStyle w:val="Hyperlink"/>
            <w:szCs w:val="24"/>
          </w:rPr>
          <w:t xml:space="preserve">solicitation information </w:t>
        </w:r>
        <w:r w:rsidR="002D0162" w:rsidRPr="00013AAD">
          <w:rPr>
            <w:rStyle w:val="Hyperlink"/>
            <w:szCs w:val="24"/>
          </w:rPr>
          <w:t>w</w:t>
        </w:r>
        <w:r w:rsidR="00025632" w:rsidRPr="00013AAD">
          <w:rPr>
            <w:rStyle w:val="Hyperlink"/>
            <w:szCs w:val="24"/>
          </w:rPr>
          <w:t>ebsite</w:t>
        </w:r>
      </w:hyperlink>
      <w:r w:rsidRPr="00013AAD">
        <w:rPr>
          <w:szCs w:val="24"/>
        </w:rPr>
        <w:t xml:space="preserve"> </w:t>
      </w:r>
      <w:r w:rsidR="002D0162" w:rsidRPr="00013AAD">
        <w:rPr>
          <w:szCs w:val="24"/>
        </w:rPr>
        <w:t xml:space="preserve">at </w:t>
      </w:r>
      <w:r w:rsidR="00013AAD" w:rsidRPr="00825DB2">
        <w:rPr>
          <w:szCs w:val="24"/>
        </w:rPr>
        <w:t>www.energy.ca.gov/</w:t>
      </w:r>
      <w:r w:rsidR="00825DB2" w:rsidRPr="00825DB2">
        <w:rPr>
          <w:szCs w:val="24"/>
        </w:rPr>
        <w:t>funding-opportunities/solicitations</w:t>
      </w:r>
      <w:r w:rsidRPr="00825DB2">
        <w:rPr>
          <w:szCs w:val="24"/>
        </w:rPr>
        <w:t>.</w:t>
      </w:r>
    </w:p>
    <w:p w14:paraId="4D22EAC8" w14:textId="77777777" w:rsidR="007D60E9" w:rsidRPr="00013AAD" w:rsidRDefault="007D60E9" w:rsidP="00E04486">
      <w:pPr>
        <w:rPr>
          <w:szCs w:val="24"/>
        </w:rPr>
      </w:pPr>
    </w:p>
    <w:p w14:paraId="4F95C85B" w14:textId="77777777" w:rsidR="00082155" w:rsidRPr="004865B8" w:rsidRDefault="00082155" w:rsidP="00164AC5">
      <w:pPr>
        <w:pStyle w:val="Heading2"/>
        <w:keepNext w:val="0"/>
        <w:numPr>
          <w:ilvl w:val="0"/>
          <w:numId w:val="14"/>
        </w:numPr>
        <w:spacing w:before="0"/>
        <w:ind w:hanging="720"/>
      </w:pPr>
      <w:bookmarkStart w:id="101" w:name="_Toc184829646"/>
      <w:r w:rsidRPr="004865B8">
        <w:t>Errors</w:t>
      </w:r>
      <w:bookmarkEnd w:id="99"/>
      <w:bookmarkEnd w:id="101"/>
    </w:p>
    <w:p w14:paraId="403432C2" w14:textId="5B95E610" w:rsidR="00082155" w:rsidRPr="00013AAD" w:rsidRDefault="00082155" w:rsidP="00E26DE1">
      <w:pPr>
        <w:ind w:left="720"/>
        <w:rPr>
          <w:szCs w:val="24"/>
        </w:rPr>
      </w:pPr>
      <w:r w:rsidRPr="00013AAD">
        <w:rPr>
          <w:szCs w:val="24"/>
        </w:rPr>
        <w:t xml:space="preserve">If </w:t>
      </w:r>
      <w:r w:rsidR="00935AD4" w:rsidRPr="00013AAD">
        <w:rPr>
          <w:szCs w:val="24"/>
        </w:rPr>
        <w:t xml:space="preserve">an </w:t>
      </w:r>
      <w:r w:rsidR="006C3B60">
        <w:rPr>
          <w:szCs w:val="24"/>
        </w:rPr>
        <w:t>A</w:t>
      </w:r>
      <w:r w:rsidR="00403F6F" w:rsidRPr="00013AAD">
        <w:rPr>
          <w:szCs w:val="24"/>
        </w:rPr>
        <w:t>pplicant</w:t>
      </w:r>
      <w:r w:rsidRPr="00013AAD">
        <w:rPr>
          <w:szCs w:val="24"/>
        </w:rPr>
        <w:t xml:space="preserve"> discovers any ambiguity, conflict, discrepancy, omission, or other </w:t>
      </w:r>
      <w:r w:rsidRPr="00C36F26">
        <w:rPr>
          <w:szCs w:val="24"/>
        </w:rPr>
        <w:t xml:space="preserve">error in the </w:t>
      </w:r>
      <w:r w:rsidR="00F66DFA" w:rsidRPr="00C36F26">
        <w:rPr>
          <w:szCs w:val="24"/>
        </w:rPr>
        <w:t>solicitation</w:t>
      </w:r>
      <w:r w:rsidR="00467A1A" w:rsidRPr="00C36F26">
        <w:rPr>
          <w:szCs w:val="24"/>
        </w:rPr>
        <w:t xml:space="preserve"> at any time prior to 5:00 p.m. of the application deadline date</w:t>
      </w:r>
      <w:r w:rsidRPr="00C36F26">
        <w:rPr>
          <w:szCs w:val="24"/>
        </w:rPr>
        <w:t xml:space="preserve">, </w:t>
      </w:r>
      <w:r w:rsidRPr="00013AAD">
        <w:rPr>
          <w:szCs w:val="24"/>
        </w:rPr>
        <w:t xml:space="preserve">the </w:t>
      </w:r>
      <w:r w:rsidR="006C3B60">
        <w:rPr>
          <w:szCs w:val="24"/>
        </w:rPr>
        <w:t>A</w:t>
      </w:r>
      <w:r w:rsidR="00403F6F" w:rsidRPr="00013AAD">
        <w:rPr>
          <w:szCs w:val="24"/>
        </w:rPr>
        <w:t>pplicant</w:t>
      </w:r>
      <w:r w:rsidRPr="00013AAD">
        <w:rPr>
          <w:szCs w:val="24"/>
        </w:rPr>
        <w:t xml:space="preserve"> </w:t>
      </w:r>
      <w:r w:rsidR="00AB62FB">
        <w:rPr>
          <w:szCs w:val="24"/>
        </w:rPr>
        <w:t>should</w:t>
      </w:r>
      <w:r w:rsidR="00AB62FB" w:rsidRPr="00013AAD">
        <w:rPr>
          <w:szCs w:val="24"/>
        </w:rPr>
        <w:t xml:space="preserve"> </w:t>
      </w:r>
      <w:r w:rsidRPr="00013AAD">
        <w:rPr>
          <w:szCs w:val="24"/>
        </w:rPr>
        <w:t xml:space="preserve">immediately notify </w:t>
      </w:r>
      <w:r w:rsidR="008E36A3" w:rsidRPr="00013AAD">
        <w:rPr>
          <w:szCs w:val="24"/>
        </w:rPr>
        <w:t>CEC</w:t>
      </w:r>
      <w:r w:rsidRPr="00013AAD">
        <w:rPr>
          <w:szCs w:val="24"/>
        </w:rPr>
        <w:t xml:space="preserve"> of </w:t>
      </w:r>
      <w:r w:rsidR="00423D58">
        <w:rPr>
          <w:szCs w:val="24"/>
        </w:rPr>
        <w:t>the</w:t>
      </w:r>
      <w:r w:rsidRPr="00013AAD">
        <w:rPr>
          <w:szCs w:val="24"/>
        </w:rPr>
        <w:t xml:space="preserve"> error in writing and request modification or clarification of the </w:t>
      </w:r>
      <w:r w:rsidR="00423D58">
        <w:rPr>
          <w:szCs w:val="24"/>
        </w:rPr>
        <w:t>solicitation</w:t>
      </w:r>
      <w:r w:rsidRPr="00013AAD">
        <w:rPr>
          <w:szCs w:val="24"/>
        </w:rPr>
        <w:t xml:space="preserve">. </w:t>
      </w:r>
      <w:r w:rsidR="00423D58">
        <w:rPr>
          <w:szCs w:val="24"/>
        </w:rPr>
        <w:t>The CEC will provide m</w:t>
      </w:r>
      <w:r w:rsidR="007D2882" w:rsidRPr="00013AAD">
        <w:rPr>
          <w:szCs w:val="24"/>
        </w:rPr>
        <w:t>odifications or c</w:t>
      </w:r>
      <w:r w:rsidRPr="00013AAD">
        <w:rPr>
          <w:szCs w:val="24"/>
        </w:rPr>
        <w:t xml:space="preserve">larifications by written notice </w:t>
      </w:r>
      <w:r w:rsidR="00176182">
        <w:rPr>
          <w:szCs w:val="24"/>
        </w:rPr>
        <w:t>to</w:t>
      </w:r>
      <w:r w:rsidRPr="00013AAD">
        <w:rPr>
          <w:szCs w:val="24"/>
        </w:rPr>
        <w:t xml:space="preserve"> all </w:t>
      </w:r>
      <w:r w:rsidR="00176182">
        <w:rPr>
          <w:szCs w:val="24"/>
        </w:rPr>
        <w:t>entities that</w:t>
      </w:r>
      <w:r w:rsidRPr="00013AAD">
        <w:rPr>
          <w:szCs w:val="24"/>
        </w:rPr>
        <w:t xml:space="preserve"> requested the </w:t>
      </w:r>
      <w:r w:rsidR="00F66DFA" w:rsidRPr="00013AAD">
        <w:rPr>
          <w:szCs w:val="24"/>
        </w:rPr>
        <w:lastRenderedPageBreak/>
        <w:t>solicitation</w:t>
      </w:r>
      <w:r w:rsidRPr="00013AAD">
        <w:rPr>
          <w:szCs w:val="24"/>
        </w:rPr>
        <w:t>, without divulging the source of the request for clarification.</w:t>
      </w:r>
      <w:r w:rsidR="00176182">
        <w:rPr>
          <w:szCs w:val="24"/>
        </w:rPr>
        <w:t xml:space="preserve"> The </w:t>
      </w:r>
      <w:r w:rsidR="008E36A3" w:rsidRPr="00013AAD">
        <w:rPr>
          <w:szCs w:val="24"/>
        </w:rPr>
        <w:t>CEC</w:t>
      </w:r>
      <w:r w:rsidRPr="00013AAD">
        <w:rPr>
          <w:szCs w:val="24"/>
        </w:rPr>
        <w:t xml:space="preserve"> shall not be responsible for failure to correct errors.</w:t>
      </w:r>
    </w:p>
    <w:p w14:paraId="2D8C254D" w14:textId="77777777" w:rsidR="007D60E9" w:rsidRPr="00050087" w:rsidRDefault="007D60E9" w:rsidP="00E04486">
      <w:pPr>
        <w:rPr>
          <w:szCs w:val="22"/>
        </w:rPr>
      </w:pPr>
    </w:p>
    <w:p w14:paraId="747FD93B" w14:textId="20A7ECE6" w:rsidR="00082155" w:rsidRPr="00050087" w:rsidRDefault="00B94C7C" w:rsidP="00164AC5">
      <w:pPr>
        <w:pStyle w:val="Heading2"/>
        <w:keepNext w:val="0"/>
        <w:numPr>
          <w:ilvl w:val="0"/>
          <w:numId w:val="14"/>
        </w:numPr>
        <w:spacing w:before="0"/>
        <w:ind w:hanging="720"/>
      </w:pPr>
      <w:bookmarkStart w:id="102" w:name="_Toc217726138"/>
      <w:bookmarkStart w:id="103" w:name="_Toc219275131"/>
      <w:bookmarkStart w:id="104" w:name="_Toc184829647"/>
      <w:r w:rsidRPr="00050087">
        <w:t xml:space="preserve">Modifying or </w:t>
      </w:r>
      <w:r w:rsidR="00772D78">
        <w:rPr>
          <w:lang w:val="en-US"/>
        </w:rPr>
        <w:t>Recalling an</w:t>
      </w:r>
      <w:r w:rsidR="00082155" w:rsidRPr="00050087">
        <w:t xml:space="preserve"> </w:t>
      </w:r>
      <w:r w:rsidR="001661BE" w:rsidRPr="00050087">
        <w:t>Application</w:t>
      </w:r>
      <w:bookmarkEnd w:id="102"/>
      <w:bookmarkEnd w:id="103"/>
      <w:bookmarkEnd w:id="104"/>
    </w:p>
    <w:p w14:paraId="67BD999A" w14:textId="4AAADC9E" w:rsidR="00082155" w:rsidRPr="00013AAD" w:rsidRDefault="00935AD4" w:rsidP="00E26DE1">
      <w:pPr>
        <w:ind w:left="720"/>
        <w:rPr>
          <w:szCs w:val="24"/>
        </w:rPr>
      </w:pPr>
      <w:r w:rsidRPr="6C5429BA">
        <w:rPr>
          <w:szCs w:val="24"/>
        </w:rPr>
        <w:t xml:space="preserve">An </w:t>
      </w:r>
      <w:r w:rsidR="00176182" w:rsidRPr="6C5429BA">
        <w:rPr>
          <w:szCs w:val="24"/>
        </w:rPr>
        <w:t>A</w:t>
      </w:r>
      <w:r w:rsidR="00403F6F" w:rsidRPr="6C5429BA">
        <w:rPr>
          <w:szCs w:val="24"/>
        </w:rPr>
        <w:t>pplicant</w:t>
      </w:r>
      <w:r w:rsidR="00082155" w:rsidRPr="6C5429BA">
        <w:rPr>
          <w:szCs w:val="24"/>
        </w:rPr>
        <w:t xml:space="preserve"> may </w:t>
      </w:r>
      <w:r w:rsidR="007A6FB4" w:rsidRPr="6C5429BA">
        <w:rPr>
          <w:szCs w:val="24"/>
        </w:rPr>
        <w:t>recall</w:t>
      </w:r>
      <w:r w:rsidR="00082155" w:rsidRPr="6C5429BA">
        <w:rPr>
          <w:szCs w:val="24"/>
        </w:rPr>
        <w:t xml:space="preserve"> or modify a submitted </w:t>
      </w:r>
      <w:r w:rsidR="00403F6F" w:rsidRPr="6C5429BA">
        <w:rPr>
          <w:szCs w:val="24"/>
        </w:rPr>
        <w:t>application</w:t>
      </w:r>
      <w:r w:rsidR="00082155" w:rsidRPr="6C5429BA">
        <w:rPr>
          <w:szCs w:val="24"/>
        </w:rPr>
        <w:t xml:space="preserve"> </w:t>
      </w:r>
      <w:r w:rsidR="007A6FB4" w:rsidRPr="6C5429BA">
        <w:rPr>
          <w:szCs w:val="24"/>
        </w:rPr>
        <w:t xml:space="preserve">within ECAMS </w:t>
      </w:r>
      <w:r w:rsidR="00082155" w:rsidRPr="6C5429BA">
        <w:rPr>
          <w:szCs w:val="24"/>
        </w:rPr>
        <w:t xml:space="preserve">before </w:t>
      </w:r>
      <w:r w:rsidR="009156DD" w:rsidRPr="6C5429BA">
        <w:rPr>
          <w:szCs w:val="24"/>
        </w:rPr>
        <w:t xml:space="preserve">the deadline to submit </w:t>
      </w:r>
      <w:r w:rsidR="00D11F0F" w:rsidRPr="6C5429BA">
        <w:rPr>
          <w:szCs w:val="24"/>
        </w:rPr>
        <w:t>application</w:t>
      </w:r>
      <w:r w:rsidR="009156DD" w:rsidRPr="6C5429BA">
        <w:rPr>
          <w:szCs w:val="24"/>
        </w:rPr>
        <w:t>s</w:t>
      </w:r>
      <w:r w:rsidR="00082155" w:rsidRPr="6C5429BA">
        <w:rPr>
          <w:szCs w:val="24"/>
        </w:rPr>
        <w:t xml:space="preserve">. </w:t>
      </w:r>
      <w:r w:rsidR="001661BE" w:rsidRPr="6C5429BA">
        <w:rPr>
          <w:szCs w:val="24"/>
        </w:rPr>
        <w:t>Application</w:t>
      </w:r>
      <w:r w:rsidR="00082155" w:rsidRPr="6C5429BA">
        <w:rPr>
          <w:szCs w:val="24"/>
        </w:rPr>
        <w:t>s cannot be changed after that date and time. A</w:t>
      </w:r>
      <w:r w:rsidR="003721A4" w:rsidRPr="6C5429BA">
        <w:rPr>
          <w:szCs w:val="24"/>
        </w:rPr>
        <w:t>n</w:t>
      </w:r>
      <w:r w:rsidR="00082155" w:rsidRPr="6C5429BA">
        <w:rPr>
          <w:szCs w:val="24"/>
        </w:rPr>
        <w:t xml:space="preserve"> </w:t>
      </w:r>
      <w:r w:rsidR="00403F6F" w:rsidRPr="6C5429BA">
        <w:rPr>
          <w:szCs w:val="24"/>
        </w:rPr>
        <w:t>application</w:t>
      </w:r>
      <w:r w:rsidR="00082155" w:rsidRPr="6C5429BA">
        <w:rPr>
          <w:szCs w:val="24"/>
        </w:rPr>
        <w:t xml:space="preserve"> cannot be “timed” to expire on a specific date. For example, a statement such as the following is non-responsive to the </w:t>
      </w:r>
      <w:r w:rsidR="00F66DFA" w:rsidRPr="6C5429BA">
        <w:rPr>
          <w:szCs w:val="24"/>
        </w:rPr>
        <w:t>solicitation</w:t>
      </w:r>
      <w:r w:rsidR="00E47E20" w:rsidRPr="6C5429BA">
        <w:rPr>
          <w:szCs w:val="24"/>
        </w:rPr>
        <w:t>: “</w:t>
      </w:r>
      <w:r w:rsidR="00082155" w:rsidRPr="6C5429BA">
        <w:rPr>
          <w:szCs w:val="24"/>
        </w:rPr>
        <w:t xml:space="preserve">This </w:t>
      </w:r>
      <w:r w:rsidR="00D11F0F" w:rsidRPr="6C5429BA">
        <w:rPr>
          <w:szCs w:val="24"/>
        </w:rPr>
        <w:t>application</w:t>
      </w:r>
      <w:r w:rsidR="00082155" w:rsidRPr="6C5429BA">
        <w:rPr>
          <w:szCs w:val="24"/>
        </w:rPr>
        <w:t xml:space="preserve"> and the cost estimate are valid for 60 days.”</w:t>
      </w:r>
    </w:p>
    <w:p w14:paraId="6FBA9BCF" w14:textId="77777777" w:rsidR="007D60E9" w:rsidRPr="00013AAD" w:rsidRDefault="007D60E9" w:rsidP="00E04486">
      <w:pPr>
        <w:rPr>
          <w:szCs w:val="24"/>
        </w:rPr>
      </w:pPr>
    </w:p>
    <w:p w14:paraId="64F83F7F" w14:textId="77777777" w:rsidR="00082155" w:rsidRPr="00050087" w:rsidRDefault="00B94C7C" w:rsidP="00164AC5">
      <w:pPr>
        <w:pStyle w:val="Heading2"/>
        <w:keepNext w:val="0"/>
        <w:numPr>
          <w:ilvl w:val="0"/>
          <w:numId w:val="14"/>
        </w:numPr>
        <w:spacing w:before="0"/>
        <w:ind w:hanging="720"/>
      </w:pPr>
      <w:bookmarkStart w:id="105" w:name="_Toc218497730"/>
      <w:bookmarkStart w:id="106" w:name="_Toc219275132"/>
      <w:bookmarkStart w:id="107" w:name="_Toc184829648"/>
      <w:r w:rsidRPr="00050087">
        <w:t>Immaterial Defect</w:t>
      </w:r>
      <w:bookmarkEnd w:id="105"/>
      <w:bookmarkEnd w:id="106"/>
      <w:bookmarkEnd w:id="107"/>
    </w:p>
    <w:p w14:paraId="22A8C92D" w14:textId="51134FDF" w:rsidR="00B94C7C" w:rsidRPr="00013AAD" w:rsidRDefault="00176182" w:rsidP="00E26DE1">
      <w:pPr>
        <w:ind w:left="720"/>
        <w:rPr>
          <w:szCs w:val="24"/>
        </w:rPr>
      </w:pPr>
      <w:r>
        <w:rPr>
          <w:szCs w:val="24"/>
        </w:rPr>
        <w:t xml:space="preserve">The </w:t>
      </w:r>
      <w:r w:rsidR="008E36A3" w:rsidRPr="00013AAD">
        <w:rPr>
          <w:szCs w:val="24"/>
        </w:rPr>
        <w:t>CEC</w:t>
      </w:r>
      <w:r w:rsidR="00B94C7C" w:rsidRPr="00013AAD">
        <w:rPr>
          <w:szCs w:val="24"/>
        </w:rPr>
        <w:t xml:space="preserve"> may waive any immaterial defect or deviation contained in </w:t>
      </w:r>
      <w:r w:rsidR="00935AD4" w:rsidRPr="00013AAD">
        <w:rPr>
          <w:szCs w:val="24"/>
        </w:rPr>
        <w:t xml:space="preserve">an </w:t>
      </w:r>
      <w:r w:rsidR="00E84832">
        <w:rPr>
          <w:szCs w:val="24"/>
        </w:rPr>
        <w:t>A</w:t>
      </w:r>
      <w:r w:rsidR="00403F6F" w:rsidRPr="00013AAD">
        <w:rPr>
          <w:szCs w:val="24"/>
        </w:rPr>
        <w:t>pplicant</w:t>
      </w:r>
      <w:r w:rsidR="00B94C7C" w:rsidRPr="00013AAD">
        <w:rPr>
          <w:szCs w:val="24"/>
        </w:rPr>
        <w:t xml:space="preserve">’s </w:t>
      </w:r>
      <w:r w:rsidR="00D11F0F" w:rsidRPr="00013AAD">
        <w:rPr>
          <w:szCs w:val="24"/>
        </w:rPr>
        <w:t>application</w:t>
      </w:r>
      <w:r w:rsidR="00B94C7C" w:rsidRPr="00013AAD">
        <w:rPr>
          <w:szCs w:val="24"/>
        </w:rPr>
        <w:t>.</w:t>
      </w:r>
      <w:r>
        <w:rPr>
          <w:szCs w:val="24"/>
        </w:rPr>
        <w:t xml:space="preserve"> </w:t>
      </w:r>
      <w:r w:rsidR="008E36A3" w:rsidRPr="00013AAD">
        <w:rPr>
          <w:szCs w:val="24"/>
        </w:rPr>
        <w:t>CEC</w:t>
      </w:r>
      <w:r w:rsidR="00B94C7C" w:rsidRPr="00013AAD">
        <w:rPr>
          <w:szCs w:val="24"/>
        </w:rPr>
        <w:t xml:space="preserve">’s waiver shall in no way modify the </w:t>
      </w:r>
      <w:r w:rsidR="00D11F0F" w:rsidRPr="00013AAD">
        <w:rPr>
          <w:szCs w:val="24"/>
        </w:rPr>
        <w:t>application</w:t>
      </w:r>
      <w:r w:rsidR="00B94C7C" w:rsidRPr="00013AAD">
        <w:rPr>
          <w:szCs w:val="24"/>
        </w:rPr>
        <w:t xml:space="preserve"> or excuse </w:t>
      </w:r>
      <w:r w:rsidR="00A8773C">
        <w:rPr>
          <w:szCs w:val="24"/>
        </w:rPr>
        <w:t>an</w:t>
      </w:r>
      <w:r w:rsidR="00B94C7C" w:rsidRPr="00013AAD">
        <w:rPr>
          <w:szCs w:val="24"/>
        </w:rPr>
        <w:t xml:space="preserve"> </w:t>
      </w:r>
      <w:r w:rsidR="00A8773C">
        <w:rPr>
          <w:szCs w:val="24"/>
        </w:rPr>
        <w:t>A</w:t>
      </w:r>
      <w:r w:rsidR="00403F6F" w:rsidRPr="00013AAD">
        <w:rPr>
          <w:szCs w:val="24"/>
        </w:rPr>
        <w:t>pplicant</w:t>
      </w:r>
      <w:r w:rsidR="00A8773C">
        <w:rPr>
          <w:szCs w:val="24"/>
        </w:rPr>
        <w:t xml:space="preserve"> proposed for funding</w:t>
      </w:r>
      <w:r w:rsidR="00B94C7C" w:rsidRPr="00013AAD">
        <w:rPr>
          <w:szCs w:val="24"/>
        </w:rPr>
        <w:t xml:space="preserve"> from full compliance</w:t>
      </w:r>
      <w:r w:rsidR="00A8773C">
        <w:rPr>
          <w:szCs w:val="24"/>
        </w:rPr>
        <w:t xml:space="preserve"> with solicitation requirements</w:t>
      </w:r>
      <w:r w:rsidR="00B94C7C" w:rsidRPr="00013AAD">
        <w:rPr>
          <w:szCs w:val="24"/>
        </w:rPr>
        <w:t>.</w:t>
      </w:r>
    </w:p>
    <w:p w14:paraId="403A7540" w14:textId="77777777" w:rsidR="007D60E9" w:rsidRPr="00013AAD" w:rsidRDefault="007D60E9" w:rsidP="00E04486">
      <w:pPr>
        <w:rPr>
          <w:szCs w:val="24"/>
        </w:rPr>
      </w:pPr>
    </w:p>
    <w:p w14:paraId="27A955C6" w14:textId="240393DA" w:rsidR="004B5B14" w:rsidRDefault="004B5B14" w:rsidP="00164AC5">
      <w:pPr>
        <w:pStyle w:val="Heading2"/>
        <w:keepNext w:val="0"/>
        <w:numPr>
          <w:ilvl w:val="0"/>
          <w:numId w:val="14"/>
        </w:numPr>
        <w:spacing w:before="0"/>
        <w:ind w:hanging="720"/>
        <w:rPr>
          <w:lang w:val="en-US"/>
        </w:rPr>
      </w:pPr>
      <w:bookmarkStart w:id="108" w:name="_Toc184829649"/>
      <w:bookmarkStart w:id="109" w:name="_Toc507398646"/>
      <w:bookmarkStart w:id="110" w:name="_Toc217726139"/>
      <w:bookmarkStart w:id="111" w:name="_Toc219275133"/>
      <w:r>
        <w:rPr>
          <w:lang w:val="en-US"/>
        </w:rPr>
        <w:t>Opportunity to Cure Administrative Errors</w:t>
      </w:r>
      <w:bookmarkEnd w:id="108"/>
    </w:p>
    <w:p w14:paraId="59BDA372" w14:textId="5882B4F3" w:rsidR="002175C8" w:rsidRPr="002175C8" w:rsidRDefault="002175C8" w:rsidP="002175C8">
      <w:pPr>
        <w:ind w:left="720"/>
        <w:rPr>
          <w:szCs w:val="24"/>
        </w:rPr>
      </w:pPr>
      <w:r w:rsidRPr="002175C8">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A0FB263" w14:textId="77777777" w:rsidR="00C461A6" w:rsidRDefault="00C461A6" w:rsidP="002175C8">
      <w:pPr>
        <w:ind w:left="720"/>
        <w:rPr>
          <w:szCs w:val="24"/>
        </w:rPr>
      </w:pPr>
    </w:p>
    <w:p w14:paraId="5B3438D5" w14:textId="69CC34BA" w:rsidR="002175C8" w:rsidRPr="002175C8" w:rsidRDefault="002175C8" w:rsidP="002175C8">
      <w:pPr>
        <w:ind w:left="720"/>
        <w:rPr>
          <w:szCs w:val="24"/>
        </w:rPr>
      </w:pPr>
      <w:r w:rsidRPr="002175C8">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1566A76F" w:rsidR="002175C8" w:rsidRPr="002175C8" w:rsidRDefault="002175C8" w:rsidP="001B7B49">
      <w:pPr>
        <w:numPr>
          <w:ilvl w:val="0"/>
          <w:numId w:val="30"/>
        </w:numPr>
        <w:spacing w:before="120"/>
        <w:ind w:hanging="720"/>
        <w:rPr>
          <w:szCs w:val="24"/>
        </w:rPr>
      </w:pPr>
      <w:r w:rsidRPr="002175C8">
        <w:rPr>
          <w:szCs w:val="24"/>
        </w:rPr>
        <w:t>Scanning and submitting every other page in a document instead of every page.</w:t>
      </w:r>
    </w:p>
    <w:p w14:paraId="15BA27CC" w14:textId="3CD56195" w:rsidR="002175C8" w:rsidRPr="002175C8" w:rsidRDefault="002175C8" w:rsidP="001B7B49">
      <w:pPr>
        <w:numPr>
          <w:ilvl w:val="0"/>
          <w:numId w:val="30"/>
        </w:numPr>
        <w:spacing w:before="120"/>
        <w:ind w:hanging="720"/>
        <w:rPr>
          <w:szCs w:val="24"/>
        </w:rPr>
      </w:pPr>
      <w:r w:rsidRPr="002175C8">
        <w:rPr>
          <w:szCs w:val="24"/>
        </w:rPr>
        <w:t>Submitting the wrong document.</w:t>
      </w:r>
    </w:p>
    <w:p w14:paraId="2195753C" w14:textId="361920FD" w:rsidR="002175C8" w:rsidRPr="002175C8" w:rsidRDefault="002175C8" w:rsidP="001B7B49">
      <w:pPr>
        <w:numPr>
          <w:ilvl w:val="0"/>
          <w:numId w:val="30"/>
        </w:numPr>
        <w:spacing w:before="120"/>
        <w:ind w:hanging="720"/>
        <w:rPr>
          <w:szCs w:val="24"/>
        </w:rPr>
      </w:pPr>
      <w:r w:rsidRPr="002175C8">
        <w:rPr>
          <w:szCs w:val="24"/>
        </w:rPr>
        <w:t>Leaving out a document.</w:t>
      </w:r>
    </w:p>
    <w:p w14:paraId="74D31C23" w14:textId="77777777" w:rsidR="00C461A6" w:rsidRDefault="00C461A6" w:rsidP="002175C8">
      <w:pPr>
        <w:ind w:left="720"/>
        <w:rPr>
          <w:szCs w:val="24"/>
        </w:rPr>
      </w:pPr>
    </w:p>
    <w:p w14:paraId="7DBF3424" w14:textId="35F205A9" w:rsidR="002175C8" w:rsidRPr="002175C8" w:rsidRDefault="002175C8" w:rsidP="002175C8">
      <w:pPr>
        <w:ind w:left="720"/>
        <w:rPr>
          <w:szCs w:val="24"/>
        </w:rPr>
      </w:pPr>
      <w:r w:rsidRPr="002175C8">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w:t>
      </w:r>
    </w:p>
    <w:p w14:paraId="67873517" w14:textId="77777777" w:rsidR="00C461A6" w:rsidRDefault="00C461A6" w:rsidP="002175C8">
      <w:pPr>
        <w:ind w:left="720"/>
        <w:rPr>
          <w:szCs w:val="24"/>
        </w:rPr>
      </w:pPr>
    </w:p>
    <w:p w14:paraId="2B4055DF" w14:textId="72D712BB" w:rsidR="002175C8" w:rsidRPr="002175C8" w:rsidRDefault="002175C8" w:rsidP="002175C8">
      <w:pPr>
        <w:ind w:left="720"/>
        <w:rPr>
          <w:szCs w:val="24"/>
        </w:rPr>
      </w:pPr>
      <w:r w:rsidRPr="002175C8">
        <w:rPr>
          <w:szCs w:val="24"/>
        </w:rPr>
        <w:t xml:space="preserve">If an administrative error has been identified and communicated to the Commission Agreement Officer, the CEC may, but is not required to, allow the Applicant a period of time to provide the missing materials. Reasons why the </w:t>
      </w:r>
      <w:r w:rsidRPr="002175C8">
        <w:rPr>
          <w:szCs w:val="24"/>
        </w:rPr>
        <w:lastRenderedPageBreak/>
        <w:t>CEC might NOT allow an Applicant to fix an administrative error include, but are not limited to:</w:t>
      </w:r>
    </w:p>
    <w:p w14:paraId="5E2B0B2D" w14:textId="0D69D2DE" w:rsidR="002175C8" w:rsidRPr="002175C8" w:rsidRDefault="002175C8" w:rsidP="001B7B49">
      <w:pPr>
        <w:numPr>
          <w:ilvl w:val="0"/>
          <w:numId w:val="31"/>
        </w:numPr>
        <w:spacing w:before="120" w:line="259" w:lineRule="auto"/>
        <w:ind w:left="1440" w:hanging="720"/>
        <w:rPr>
          <w:szCs w:val="22"/>
        </w:rPr>
      </w:pPr>
      <w:r w:rsidRPr="5019FDC5">
        <w:rPr>
          <w:szCs w:val="24"/>
        </w:rPr>
        <w:t>The funds have a deadline that does not allow time to fix the error.</w:t>
      </w:r>
    </w:p>
    <w:p w14:paraId="34589BE8" w14:textId="4EABE67F" w:rsidR="002175C8" w:rsidRPr="002175C8" w:rsidRDefault="002175C8" w:rsidP="001B7B49">
      <w:pPr>
        <w:numPr>
          <w:ilvl w:val="0"/>
          <w:numId w:val="31"/>
        </w:numPr>
        <w:spacing w:before="120" w:line="259" w:lineRule="auto"/>
        <w:ind w:left="1440" w:hanging="720"/>
        <w:rPr>
          <w:szCs w:val="22"/>
        </w:rPr>
      </w:pPr>
      <w:r w:rsidRPr="5019FDC5">
        <w:rPr>
          <w:szCs w:val="24"/>
        </w:rPr>
        <w:t>The application has been screened out or does not receive a passing score for reasons unrelated to the administrative error, making irrelevant any efforts to fix the error.</w:t>
      </w:r>
    </w:p>
    <w:p w14:paraId="4661F5F6" w14:textId="423B0238" w:rsidR="002175C8" w:rsidRPr="00DA055E" w:rsidRDefault="002175C8" w:rsidP="001B7B49">
      <w:pPr>
        <w:numPr>
          <w:ilvl w:val="0"/>
          <w:numId w:val="31"/>
        </w:numPr>
        <w:spacing w:before="120" w:line="259" w:lineRule="auto"/>
        <w:ind w:left="1440" w:hanging="720"/>
        <w:rPr>
          <w:szCs w:val="22"/>
        </w:rPr>
      </w:pPr>
      <w:r w:rsidRPr="5019FDC5">
        <w:rPr>
          <w:szCs w:val="24"/>
        </w:rPr>
        <w:t>The Applicant brings the error to the CEC’s attention too late in the solicitation process (e.g., after awards have been approved at a Business Meeting).</w:t>
      </w:r>
    </w:p>
    <w:p w14:paraId="1985F33B" w14:textId="77777777" w:rsidR="001B7B49" w:rsidRDefault="001B7B49" w:rsidP="002175C8">
      <w:pPr>
        <w:ind w:left="720"/>
        <w:rPr>
          <w:szCs w:val="24"/>
        </w:rPr>
      </w:pPr>
    </w:p>
    <w:p w14:paraId="3725C0AD" w14:textId="6B16FACB" w:rsidR="002175C8" w:rsidRPr="002175C8" w:rsidRDefault="002175C8" w:rsidP="002175C8">
      <w:pPr>
        <w:ind w:left="720"/>
        <w:rPr>
          <w:szCs w:val="24"/>
        </w:rPr>
      </w:pPr>
      <w:r w:rsidRPr="60D49439">
        <w:rPr>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w:t>
      </w:r>
      <w:r w:rsidR="002367F7">
        <w:rPr>
          <w:szCs w:val="24"/>
        </w:rPr>
        <w:t xml:space="preserve"> </w:t>
      </w:r>
      <w:r w:rsidRPr="60D49439">
        <w:rPr>
          <w:szCs w:val="24"/>
        </w:rPr>
        <w:t>Reasonable efforts will be made to confirm receipt of the notice, but actual notice cannot be guaranteed</w:t>
      </w:r>
      <w:r w:rsidR="00E160CC" w:rsidRPr="60D49439">
        <w:rPr>
          <w:szCs w:val="24"/>
        </w:rPr>
        <w:t>,</w:t>
      </w:r>
      <w:r w:rsidRPr="60D49439">
        <w:rPr>
          <w:szCs w:val="24"/>
        </w:rPr>
        <w:t xml:space="preserve"> and the obligation is on the Applicant to ensure the proper contact(s) are listed and available to respond.</w:t>
      </w:r>
      <w:r w:rsidR="00253583">
        <w:rPr>
          <w:szCs w:val="24"/>
        </w:rPr>
        <w:t xml:space="preserve"> </w:t>
      </w:r>
      <w:r w:rsidRPr="60D49439">
        <w:rPr>
          <w:szCs w:val="24"/>
        </w:rPr>
        <w:t xml:space="preserve">The Evaluation Committee will not consider any </w:t>
      </w:r>
      <w:r w:rsidR="6E6FA8EE" w:rsidRPr="60D49439">
        <w:rPr>
          <w:szCs w:val="24"/>
        </w:rPr>
        <w:t>materials</w:t>
      </w:r>
      <w:r w:rsidRPr="60D49439">
        <w:rPr>
          <w:szCs w:val="24"/>
        </w:rPr>
        <w:t xml:space="preserve"> submitted after the deadline.</w:t>
      </w:r>
    </w:p>
    <w:p w14:paraId="70BFFE8F" w14:textId="77777777" w:rsidR="00C461A6" w:rsidRDefault="00C461A6" w:rsidP="002175C8">
      <w:pPr>
        <w:ind w:left="720"/>
        <w:rPr>
          <w:szCs w:val="24"/>
        </w:rPr>
      </w:pPr>
    </w:p>
    <w:p w14:paraId="3E5D6C50" w14:textId="1E73E219" w:rsidR="002175C8" w:rsidRPr="002175C8" w:rsidRDefault="002175C8" w:rsidP="002175C8">
      <w:pPr>
        <w:ind w:left="720"/>
        <w:rPr>
          <w:szCs w:val="24"/>
        </w:rPr>
      </w:pPr>
      <w:r w:rsidRPr="002175C8">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p>
    <w:p w14:paraId="469093D7" w14:textId="77777777" w:rsidR="00C461A6" w:rsidRDefault="00C461A6" w:rsidP="002175C8">
      <w:pPr>
        <w:ind w:left="720"/>
        <w:rPr>
          <w:szCs w:val="24"/>
        </w:rPr>
      </w:pPr>
    </w:p>
    <w:p w14:paraId="21110D22" w14:textId="5220BB5B" w:rsidR="002175C8" w:rsidRPr="002175C8" w:rsidRDefault="002175C8" w:rsidP="002175C8">
      <w:pPr>
        <w:ind w:left="720"/>
        <w:rPr>
          <w:szCs w:val="24"/>
        </w:rPr>
      </w:pPr>
      <w:r w:rsidRPr="002175C8">
        <w:rPr>
          <w:szCs w:val="24"/>
        </w:rPr>
        <w:t>Applicants must include the following certification along with the materials it submits to fix an administrative error and must explain why the materials were not provided due to an inadvertent administrative error:</w:t>
      </w:r>
    </w:p>
    <w:p w14:paraId="15E6E3BC" w14:textId="77777777" w:rsidR="00C461A6" w:rsidRDefault="00C461A6" w:rsidP="002175C8">
      <w:pPr>
        <w:ind w:left="720"/>
        <w:rPr>
          <w:szCs w:val="24"/>
        </w:rPr>
      </w:pPr>
    </w:p>
    <w:p w14:paraId="2631A38D" w14:textId="691B40F3" w:rsidR="002175C8" w:rsidRPr="002175C8" w:rsidRDefault="002175C8" w:rsidP="002175C8">
      <w:pPr>
        <w:ind w:left="720"/>
        <w:rPr>
          <w:szCs w:val="24"/>
        </w:rPr>
      </w:pPr>
      <w:r w:rsidRPr="002175C8">
        <w:rPr>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4DA60DB7" w14:textId="77777777" w:rsidR="00C461A6" w:rsidRDefault="00C461A6" w:rsidP="002175C8">
      <w:pPr>
        <w:ind w:left="720"/>
        <w:rPr>
          <w:szCs w:val="24"/>
        </w:rPr>
      </w:pPr>
    </w:p>
    <w:p w14:paraId="51E4BB60" w14:textId="35BA2890" w:rsidR="004B5B14" w:rsidRPr="002175C8" w:rsidRDefault="002175C8" w:rsidP="002175C8">
      <w:pPr>
        <w:ind w:left="720"/>
        <w:rPr>
          <w:szCs w:val="24"/>
        </w:rPr>
      </w:pPr>
      <w:r w:rsidRPr="002175C8">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p>
    <w:p w14:paraId="56EB0197" w14:textId="77777777" w:rsidR="00C461A6" w:rsidRPr="002175C8" w:rsidRDefault="00C461A6" w:rsidP="002175C8">
      <w:pPr>
        <w:ind w:left="720"/>
        <w:rPr>
          <w:szCs w:val="24"/>
        </w:rPr>
      </w:pPr>
    </w:p>
    <w:p w14:paraId="1DB0F10B" w14:textId="68F55ACD" w:rsidR="00082155" w:rsidRPr="00050087" w:rsidRDefault="00082155" w:rsidP="00164AC5">
      <w:pPr>
        <w:pStyle w:val="Heading2"/>
        <w:keepNext w:val="0"/>
        <w:numPr>
          <w:ilvl w:val="0"/>
          <w:numId w:val="14"/>
        </w:numPr>
        <w:spacing w:before="0"/>
        <w:ind w:hanging="720"/>
      </w:pPr>
      <w:bookmarkStart w:id="112" w:name="_Toc184829650"/>
      <w:r w:rsidRPr="00050087">
        <w:t xml:space="preserve">Disposition of </w:t>
      </w:r>
      <w:r w:rsidR="00D11F0F" w:rsidRPr="00050087">
        <w:t>Applicant</w:t>
      </w:r>
      <w:r w:rsidRPr="00050087">
        <w:t>’s Documents</w:t>
      </w:r>
      <w:bookmarkEnd w:id="109"/>
      <w:bookmarkEnd w:id="110"/>
      <w:bookmarkEnd w:id="111"/>
      <w:bookmarkEnd w:id="112"/>
    </w:p>
    <w:p w14:paraId="281BEFD7" w14:textId="59EF9211" w:rsidR="00082155" w:rsidRPr="00013AAD" w:rsidRDefault="00E630B0" w:rsidP="00E26DE1">
      <w:pPr>
        <w:ind w:left="720"/>
        <w:rPr>
          <w:szCs w:val="24"/>
        </w:rPr>
      </w:pPr>
      <w:r w:rsidRPr="00013AAD">
        <w:rPr>
          <w:szCs w:val="24"/>
        </w:rPr>
        <w:t xml:space="preserve">The entire evaluation process from receipt of </w:t>
      </w:r>
      <w:r w:rsidR="00403F6F" w:rsidRPr="00013AAD">
        <w:rPr>
          <w:szCs w:val="24"/>
        </w:rPr>
        <w:t>application</w:t>
      </w:r>
      <w:r w:rsidRPr="00013AAD">
        <w:rPr>
          <w:szCs w:val="24"/>
        </w:rPr>
        <w:t xml:space="preserve">s up to the posting of the Notice of Proposed Award is confidential. </w:t>
      </w:r>
      <w:r w:rsidR="00082155" w:rsidRPr="00013AAD">
        <w:rPr>
          <w:szCs w:val="24"/>
        </w:rPr>
        <w:t>On the Notice of Proposed Award</w:t>
      </w:r>
      <w:r w:rsidR="00B94C7C" w:rsidRPr="00013AAD">
        <w:rPr>
          <w:szCs w:val="24"/>
        </w:rPr>
        <w:t xml:space="preserve"> posting</w:t>
      </w:r>
      <w:r w:rsidR="00082155" w:rsidRPr="00013AAD">
        <w:rPr>
          <w:szCs w:val="24"/>
        </w:rPr>
        <w:t xml:space="preserve"> date</w:t>
      </w:r>
      <w:r w:rsidRPr="00013AAD">
        <w:rPr>
          <w:szCs w:val="24"/>
        </w:rPr>
        <w:t>, or date of solicitation cancellation,</w:t>
      </w:r>
      <w:r w:rsidR="00082155" w:rsidRPr="00013AAD">
        <w:rPr>
          <w:szCs w:val="24"/>
        </w:rPr>
        <w:t xml:space="preserve"> all</w:t>
      </w:r>
      <w:r w:rsidR="00B94C7C" w:rsidRPr="00013AAD">
        <w:rPr>
          <w:szCs w:val="24"/>
        </w:rPr>
        <w:t xml:space="preserve"> </w:t>
      </w:r>
      <w:r w:rsidR="00D11F0F" w:rsidRPr="00013AAD">
        <w:rPr>
          <w:szCs w:val="24"/>
        </w:rPr>
        <w:t>application</w:t>
      </w:r>
      <w:r w:rsidR="00B94C7C" w:rsidRPr="00013AAD">
        <w:rPr>
          <w:szCs w:val="24"/>
        </w:rPr>
        <w:t>s and related material</w:t>
      </w:r>
      <w:r w:rsidR="00082155" w:rsidRPr="00013AAD">
        <w:rPr>
          <w:szCs w:val="24"/>
        </w:rPr>
        <w:t xml:space="preserve"> submitted in response to this </w:t>
      </w:r>
      <w:r w:rsidR="00F66DFA" w:rsidRPr="00013AAD">
        <w:rPr>
          <w:szCs w:val="24"/>
        </w:rPr>
        <w:t>solicitation</w:t>
      </w:r>
      <w:r w:rsidR="00082155" w:rsidRPr="00013AAD">
        <w:rPr>
          <w:szCs w:val="24"/>
        </w:rPr>
        <w:t xml:space="preserve"> become a part of the </w:t>
      </w:r>
      <w:r w:rsidR="00B94C7C" w:rsidRPr="00013AAD">
        <w:rPr>
          <w:szCs w:val="24"/>
        </w:rPr>
        <w:t xml:space="preserve">property of the State and </w:t>
      </w:r>
      <w:r w:rsidR="00082155" w:rsidRPr="00013AAD">
        <w:rPr>
          <w:szCs w:val="24"/>
        </w:rPr>
        <w:t>public record.</w:t>
      </w:r>
    </w:p>
    <w:p w14:paraId="52CCD176" w14:textId="77777777" w:rsidR="007D60E9" w:rsidRPr="00013AAD" w:rsidRDefault="007D60E9" w:rsidP="00E04486">
      <w:pPr>
        <w:rPr>
          <w:szCs w:val="24"/>
        </w:rPr>
      </w:pPr>
    </w:p>
    <w:p w14:paraId="168C8B37" w14:textId="77777777" w:rsidR="00082155" w:rsidRPr="00050087" w:rsidRDefault="00D11F0F" w:rsidP="00164AC5">
      <w:pPr>
        <w:pStyle w:val="Heading2"/>
        <w:keepNext w:val="0"/>
        <w:numPr>
          <w:ilvl w:val="0"/>
          <w:numId w:val="14"/>
        </w:numPr>
        <w:spacing w:before="0"/>
        <w:ind w:hanging="720"/>
      </w:pPr>
      <w:bookmarkStart w:id="113" w:name="_Toc507398650"/>
      <w:bookmarkStart w:id="114" w:name="_Toc217726141"/>
      <w:bookmarkStart w:id="115" w:name="_Toc219275134"/>
      <w:bookmarkStart w:id="116" w:name="_Toc184829651"/>
      <w:r w:rsidRPr="00050087">
        <w:lastRenderedPageBreak/>
        <w:t>Applicant</w:t>
      </w:r>
      <w:r w:rsidR="00082155" w:rsidRPr="00050087">
        <w:t>s’ Admonishment</w:t>
      </w:r>
      <w:bookmarkEnd w:id="113"/>
      <w:bookmarkEnd w:id="114"/>
      <w:bookmarkEnd w:id="115"/>
      <w:bookmarkEnd w:id="116"/>
    </w:p>
    <w:p w14:paraId="28C56D50" w14:textId="0F1F81DC" w:rsidR="00082155" w:rsidRPr="00013AAD" w:rsidRDefault="00082155" w:rsidP="00E26DE1">
      <w:pPr>
        <w:ind w:left="720"/>
        <w:rPr>
          <w:szCs w:val="24"/>
        </w:rPr>
      </w:pPr>
      <w:r w:rsidRPr="00013AAD">
        <w:rPr>
          <w:szCs w:val="24"/>
        </w:rPr>
        <w:t xml:space="preserve">This </w:t>
      </w:r>
      <w:r w:rsidR="00F66DFA" w:rsidRPr="00013AAD">
        <w:rPr>
          <w:szCs w:val="24"/>
        </w:rPr>
        <w:t>solicitation</w:t>
      </w:r>
      <w:r w:rsidRPr="00013AAD">
        <w:rPr>
          <w:szCs w:val="24"/>
        </w:rPr>
        <w:t xml:space="preserve"> contains the instructions governing the requirements for a firm quotation to be submitted by interested </w:t>
      </w:r>
      <w:r w:rsidR="00A8773C">
        <w:rPr>
          <w:szCs w:val="24"/>
        </w:rPr>
        <w:t>A</w:t>
      </w:r>
      <w:r w:rsidR="00403F6F" w:rsidRPr="00013AAD">
        <w:rPr>
          <w:szCs w:val="24"/>
        </w:rPr>
        <w:t>pplicant</w:t>
      </w:r>
      <w:r w:rsidRPr="00013AAD">
        <w:rPr>
          <w:szCs w:val="24"/>
        </w:rPr>
        <w:t xml:space="preserve">s, the format in which the technical information is to be submitted, the material to be included, the requirements which must be met to be eligible for consideration, and </w:t>
      </w:r>
      <w:r w:rsidR="00403F6F" w:rsidRPr="00013AAD">
        <w:rPr>
          <w:szCs w:val="24"/>
        </w:rPr>
        <w:t>applicant</w:t>
      </w:r>
      <w:r w:rsidRPr="00013AAD">
        <w:rPr>
          <w:szCs w:val="24"/>
        </w:rPr>
        <w:t xml:space="preserve"> responsibilities. </w:t>
      </w:r>
      <w:r w:rsidR="00D11F0F" w:rsidRPr="00013AAD">
        <w:rPr>
          <w:szCs w:val="24"/>
        </w:rPr>
        <w:t>Applicant</w:t>
      </w:r>
      <w:r w:rsidRPr="00013AAD">
        <w:rPr>
          <w:szCs w:val="24"/>
        </w:rPr>
        <w:t xml:space="preserve">s </w:t>
      </w:r>
      <w:r w:rsidR="000F7A7C">
        <w:rPr>
          <w:szCs w:val="24"/>
        </w:rPr>
        <w:t>are responsible for</w:t>
      </w:r>
      <w:r w:rsidRPr="00013AAD">
        <w:rPr>
          <w:szCs w:val="24"/>
        </w:rPr>
        <w:t xml:space="preserve"> carefully read</w:t>
      </w:r>
      <w:r w:rsidR="000F7A7C">
        <w:rPr>
          <w:szCs w:val="24"/>
        </w:rPr>
        <w:t>ing</w:t>
      </w:r>
      <w:r w:rsidRPr="00013AAD">
        <w:rPr>
          <w:szCs w:val="24"/>
        </w:rPr>
        <w:t xml:space="preserve"> the entire </w:t>
      </w:r>
      <w:r w:rsidR="00F66DFA" w:rsidRPr="00013AAD">
        <w:rPr>
          <w:szCs w:val="24"/>
        </w:rPr>
        <w:t>solicitation</w:t>
      </w:r>
      <w:r w:rsidRPr="00013AAD">
        <w:rPr>
          <w:szCs w:val="24"/>
        </w:rPr>
        <w:t>, ask</w:t>
      </w:r>
      <w:r w:rsidR="000F7A7C">
        <w:rPr>
          <w:szCs w:val="24"/>
        </w:rPr>
        <w:t>ing</w:t>
      </w:r>
      <w:r w:rsidRPr="00013AAD">
        <w:rPr>
          <w:szCs w:val="24"/>
        </w:rPr>
        <w:t xml:space="preserve"> appropriate questions in a timely manner, submit</w:t>
      </w:r>
      <w:r w:rsidR="000F7A7C">
        <w:rPr>
          <w:szCs w:val="24"/>
        </w:rPr>
        <w:t>ting</w:t>
      </w:r>
      <w:r w:rsidRPr="00013AAD">
        <w:rPr>
          <w:szCs w:val="24"/>
        </w:rPr>
        <w:t xml:space="preserve"> all required responses in a complete manner by the required date and time, </w:t>
      </w:r>
      <w:r w:rsidR="00177F17" w:rsidRPr="00013AAD">
        <w:rPr>
          <w:szCs w:val="24"/>
        </w:rPr>
        <w:t xml:space="preserve">and </w:t>
      </w:r>
      <w:r w:rsidRPr="00013AAD">
        <w:rPr>
          <w:szCs w:val="24"/>
        </w:rPr>
        <w:t>mak</w:t>
      </w:r>
      <w:r w:rsidR="000F7A7C">
        <w:rPr>
          <w:szCs w:val="24"/>
        </w:rPr>
        <w:t>ing</w:t>
      </w:r>
      <w:r w:rsidRPr="00013AAD">
        <w:rPr>
          <w:szCs w:val="24"/>
        </w:rPr>
        <w:t xml:space="preserve"> sure that all procedures and requirements of the </w:t>
      </w:r>
      <w:r w:rsidR="00F66DFA" w:rsidRPr="00013AAD">
        <w:rPr>
          <w:szCs w:val="24"/>
        </w:rPr>
        <w:t>solicitation</w:t>
      </w:r>
      <w:r w:rsidRPr="00013AAD">
        <w:rPr>
          <w:szCs w:val="24"/>
        </w:rPr>
        <w:t xml:space="preserve"> are follo</w:t>
      </w:r>
      <w:r w:rsidR="00177F17" w:rsidRPr="00013AAD">
        <w:rPr>
          <w:szCs w:val="24"/>
        </w:rPr>
        <w:t>wed and appropriately addressed.</w:t>
      </w:r>
    </w:p>
    <w:p w14:paraId="38FF4F9C" w14:textId="77777777" w:rsidR="007D60E9" w:rsidRPr="00013AAD" w:rsidRDefault="007D60E9" w:rsidP="00E04486">
      <w:pPr>
        <w:rPr>
          <w:szCs w:val="24"/>
        </w:rPr>
      </w:pPr>
    </w:p>
    <w:p w14:paraId="359DDA55" w14:textId="77777777" w:rsidR="007D2882" w:rsidRPr="00050087" w:rsidRDefault="007D60E9" w:rsidP="00164AC5">
      <w:pPr>
        <w:pStyle w:val="Heading2"/>
        <w:keepNext w:val="0"/>
        <w:numPr>
          <w:ilvl w:val="0"/>
          <w:numId w:val="14"/>
        </w:numPr>
        <w:spacing w:before="0"/>
        <w:ind w:hanging="720"/>
      </w:pPr>
      <w:bookmarkStart w:id="117" w:name="_Toc507398642"/>
      <w:bookmarkStart w:id="118" w:name="_Toc217726137"/>
      <w:bookmarkStart w:id="119" w:name="_Toc219275137"/>
      <w:bookmarkStart w:id="120" w:name="_Toc184829652"/>
      <w:r w:rsidRPr="00050087">
        <w:t>A</w:t>
      </w:r>
      <w:r w:rsidR="00287BC0" w:rsidRPr="00050087">
        <w:t>greement</w:t>
      </w:r>
      <w:r w:rsidR="007D2882" w:rsidRPr="00050087">
        <w:t xml:space="preserve"> Requirement</w:t>
      </w:r>
      <w:bookmarkEnd w:id="117"/>
      <w:bookmarkEnd w:id="118"/>
      <w:bookmarkEnd w:id="119"/>
      <w:r w:rsidR="00F92CDD" w:rsidRPr="00050087">
        <w:t>s</w:t>
      </w:r>
      <w:bookmarkEnd w:id="120"/>
    </w:p>
    <w:p w14:paraId="49F041E5" w14:textId="76BC9E30" w:rsidR="00FB3EA0" w:rsidRPr="00050087" w:rsidRDefault="007D2882" w:rsidP="00FB3EA0">
      <w:pPr>
        <w:ind w:left="720"/>
      </w:pPr>
      <w:r>
        <w:t xml:space="preserve">The content of this </w:t>
      </w:r>
      <w:r w:rsidR="00F66DFA">
        <w:t>solicitation</w:t>
      </w:r>
      <w:r>
        <w:t xml:space="preserve"> shall be incorporated by reference into the final </w:t>
      </w:r>
      <w:r w:rsidR="00F24939">
        <w:t>agreement</w:t>
      </w:r>
      <w:r>
        <w:t xml:space="preserve">. </w:t>
      </w:r>
      <w:r w:rsidR="00FB3EA0">
        <w:t xml:space="preserve">See the </w:t>
      </w:r>
      <w:r w:rsidR="00C56C5A">
        <w:t xml:space="preserve">sample agreement </w:t>
      </w:r>
      <w:r w:rsidR="00FB3EA0">
        <w:t xml:space="preserve">terms and conditions </w:t>
      </w:r>
      <w:r w:rsidR="000F51A1">
        <w:t>(Attachments 16</w:t>
      </w:r>
      <w:r w:rsidR="006F339B">
        <w:t xml:space="preserve"> and 17, and the </w:t>
      </w:r>
      <w:hyperlink r:id="rId88" w:history="1">
        <w:r w:rsidR="00072505" w:rsidRPr="0082182D">
          <w:rPr>
            <w:rStyle w:val="Hyperlink"/>
          </w:rPr>
          <w:t xml:space="preserve">Insolvency, Bankruptcy, or Receivership </w:t>
        </w:r>
        <w:r w:rsidR="001E0987">
          <w:rPr>
            <w:rStyle w:val="Hyperlink"/>
          </w:rPr>
          <w:t>t</w:t>
        </w:r>
        <w:r w:rsidR="00072505" w:rsidRPr="0082182D">
          <w:rPr>
            <w:rStyle w:val="Hyperlink"/>
          </w:rPr>
          <w:t xml:space="preserve">erms and </w:t>
        </w:r>
        <w:r w:rsidR="001E0987">
          <w:rPr>
            <w:rStyle w:val="Hyperlink"/>
          </w:rPr>
          <w:t>c</w:t>
        </w:r>
        <w:r w:rsidR="00072505" w:rsidRPr="0082182D">
          <w:rPr>
            <w:rStyle w:val="Hyperlink"/>
          </w:rPr>
          <w:t>onditions</w:t>
        </w:r>
      </w:hyperlink>
      <w:r w:rsidR="00072505">
        <w:t xml:space="preserve"> found at </w:t>
      </w:r>
      <w:r w:rsidR="0082182D" w:rsidRPr="0082182D">
        <w:t>https://www.energy.ca.gov/sites/default/files/2024-12/Special_Terms_and_Conditions_Bankruptcy_ada.pdf</w:t>
      </w:r>
      <w:r w:rsidR="0082182D">
        <w:t>)</w:t>
      </w:r>
      <w:r w:rsidR="000F51A1">
        <w:t xml:space="preserve"> </w:t>
      </w:r>
      <w:r w:rsidR="00DB6CC7">
        <w:t>included in this solicitation.</w:t>
      </w:r>
      <w:r w:rsidR="0099746F">
        <w:t xml:space="preserve"> </w:t>
      </w:r>
      <w:r w:rsidR="00F25397" w:rsidRPr="00ED4B38">
        <w:rPr>
          <w:b/>
          <w:bCs/>
          <w:u w:val="single"/>
        </w:rPr>
        <w:t>Final agreements with Recipients that a</w:t>
      </w:r>
      <w:r w:rsidR="000A33D4" w:rsidRPr="00ED4B38">
        <w:rPr>
          <w:b/>
          <w:bCs/>
          <w:u w:val="single"/>
        </w:rPr>
        <w:t>re</w:t>
      </w:r>
      <w:r w:rsidR="001122B5" w:rsidRPr="00ED4B38">
        <w:rPr>
          <w:b/>
          <w:bCs/>
          <w:u w:val="single"/>
        </w:rPr>
        <w:t xml:space="preserve"> a </w:t>
      </w:r>
      <w:r w:rsidR="0099746F" w:rsidRPr="00ED4B38">
        <w:rPr>
          <w:b/>
          <w:bCs/>
          <w:u w:val="single"/>
        </w:rPr>
        <w:t>California</w:t>
      </w:r>
      <w:r w:rsidR="0099746F" w:rsidRPr="00F86D68">
        <w:rPr>
          <w:b/>
          <w:bCs/>
          <w:u w:val="single"/>
        </w:rPr>
        <w:t xml:space="preserve"> Tribal Organization serving a California Native American Tribe</w:t>
      </w:r>
      <w:r w:rsidR="00C83E3C">
        <w:rPr>
          <w:b/>
          <w:bCs/>
          <w:u w:val="single"/>
        </w:rPr>
        <w:t xml:space="preserve"> </w:t>
      </w:r>
      <w:r w:rsidR="00F25397">
        <w:rPr>
          <w:b/>
          <w:bCs/>
          <w:u w:val="single"/>
        </w:rPr>
        <w:t xml:space="preserve">shall also have </w:t>
      </w:r>
      <w:r w:rsidR="00F25397" w:rsidRPr="00F25397">
        <w:rPr>
          <w:b/>
          <w:bCs/>
          <w:u w:val="single"/>
        </w:rPr>
        <w:t xml:space="preserve">the </w:t>
      </w:r>
      <w:r w:rsidR="002E18FB" w:rsidRPr="002E18FB">
        <w:rPr>
          <w:b/>
          <w:bCs/>
          <w:u w:val="single"/>
        </w:rPr>
        <w:t>Special Terms and Conditions for California Tribal Organizations serving California Native American Tribes with Sovereign Immunity (Attachment 18)</w:t>
      </w:r>
      <w:r w:rsidR="00ED4B38" w:rsidRPr="002E18FB">
        <w:rPr>
          <w:b/>
          <w:bCs/>
          <w:u w:val="single"/>
        </w:rPr>
        <w:t>.</w:t>
      </w:r>
    </w:p>
    <w:p w14:paraId="0480DBB9" w14:textId="77777777" w:rsidR="007D60E9" w:rsidRPr="00013AAD" w:rsidRDefault="007D60E9" w:rsidP="00E26DE1">
      <w:pPr>
        <w:ind w:left="720"/>
        <w:rPr>
          <w:szCs w:val="24"/>
        </w:rPr>
      </w:pPr>
    </w:p>
    <w:p w14:paraId="5E7A0340" w14:textId="658935BC" w:rsidR="002C6011" w:rsidRPr="00013AAD" w:rsidRDefault="008E36A3" w:rsidP="00E26DE1">
      <w:pPr>
        <w:ind w:left="720"/>
        <w:rPr>
          <w:szCs w:val="24"/>
        </w:rPr>
      </w:pPr>
      <w:r w:rsidRPr="00013AAD">
        <w:rPr>
          <w:szCs w:val="24"/>
        </w:rPr>
        <w:t>CEC</w:t>
      </w:r>
      <w:r w:rsidR="002C6011" w:rsidRPr="00013AAD">
        <w:rPr>
          <w:szCs w:val="24"/>
        </w:rPr>
        <w:t xml:space="preserve"> reserves the right to negotiate with </w:t>
      </w:r>
      <w:r w:rsidR="000F7A7C">
        <w:rPr>
          <w:szCs w:val="24"/>
        </w:rPr>
        <w:t>A</w:t>
      </w:r>
      <w:r w:rsidR="00403F6F" w:rsidRPr="00013AAD">
        <w:rPr>
          <w:szCs w:val="24"/>
        </w:rPr>
        <w:t>pplicant</w:t>
      </w:r>
      <w:r w:rsidR="002C6011" w:rsidRPr="00013AAD">
        <w:rPr>
          <w:szCs w:val="24"/>
        </w:rPr>
        <w:t xml:space="preserve">s to modify the project scope, the level of funding, or both. If </w:t>
      </w:r>
      <w:r w:rsidRPr="00013AAD">
        <w:rPr>
          <w:szCs w:val="24"/>
        </w:rPr>
        <w:t>CEC</w:t>
      </w:r>
      <w:r w:rsidR="002C6011" w:rsidRPr="00013AAD">
        <w:rPr>
          <w:szCs w:val="24"/>
        </w:rPr>
        <w:t xml:space="preserve"> is unable to successfully negotiate and execute a funding agreement with an </w:t>
      </w:r>
      <w:r w:rsidR="000F7A7C">
        <w:rPr>
          <w:szCs w:val="24"/>
        </w:rPr>
        <w:t>A</w:t>
      </w:r>
      <w:r w:rsidR="00403F6F" w:rsidRPr="00013AAD">
        <w:rPr>
          <w:szCs w:val="24"/>
        </w:rPr>
        <w:t>pplicant</w:t>
      </w:r>
      <w:r w:rsidR="002C6011" w:rsidRPr="00013AAD">
        <w:rPr>
          <w:szCs w:val="24"/>
        </w:rPr>
        <w:t xml:space="preserve">, </w:t>
      </w:r>
      <w:r w:rsidRPr="00013AAD">
        <w:rPr>
          <w:szCs w:val="24"/>
        </w:rPr>
        <w:t>CEC</w:t>
      </w:r>
      <w:r w:rsidR="002C6011" w:rsidRPr="00013AAD">
        <w:rPr>
          <w:szCs w:val="24"/>
        </w:rPr>
        <w:t>, at its sole discretion, reserves the right to cancel the pending award and fund the next highest ranked eligible project.</w:t>
      </w:r>
    </w:p>
    <w:p w14:paraId="09DB8D30" w14:textId="77777777" w:rsidR="007D60E9" w:rsidRPr="00013AAD" w:rsidRDefault="007D60E9" w:rsidP="00E26DE1">
      <w:pPr>
        <w:ind w:left="720"/>
        <w:rPr>
          <w:szCs w:val="24"/>
        </w:rPr>
      </w:pPr>
    </w:p>
    <w:p w14:paraId="31049CFF" w14:textId="5F72DC6D" w:rsidR="000242F3" w:rsidRDefault="0054472C" w:rsidP="00E26DE1">
      <w:pPr>
        <w:ind w:left="720"/>
      </w:pPr>
      <w:r>
        <w:t>If proposed for an award, the CEC reserves the right to request information it deems appropriate to evaluate the financial condition of a proposed awardee pr</w:t>
      </w:r>
      <w:r w:rsidR="00D63D40">
        <w:t>ior to approval of a grant award. If CEC, in its sole discretion, determines that a proposed awardee’s financial condition may materially impact its ability to complete the proposed project, CEC reserves the right to cancel the proposed award.</w:t>
      </w:r>
    </w:p>
    <w:p w14:paraId="59A55CAE" w14:textId="77777777" w:rsidR="000242F3" w:rsidRDefault="000242F3" w:rsidP="00E26DE1">
      <w:pPr>
        <w:ind w:left="720"/>
        <w:rPr>
          <w:szCs w:val="24"/>
        </w:rPr>
      </w:pPr>
    </w:p>
    <w:p w14:paraId="46C4233C" w14:textId="64D7E2B2" w:rsidR="005F08B4" w:rsidRDefault="008E36A3" w:rsidP="00E26DE1">
      <w:pPr>
        <w:ind w:left="720"/>
        <w:rPr>
          <w:szCs w:val="24"/>
        </w:rPr>
      </w:pPr>
      <w:r w:rsidRPr="00013AAD">
        <w:rPr>
          <w:szCs w:val="24"/>
        </w:rPr>
        <w:t>CEC</w:t>
      </w:r>
      <w:r w:rsidR="005F08B4" w:rsidRPr="00013AAD">
        <w:rPr>
          <w:szCs w:val="24"/>
        </w:rPr>
        <w:t xml:space="preserve"> must formally approve all proposed grant awards. </w:t>
      </w:r>
      <w:r w:rsidR="001F1370">
        <w:rPr>
          <w:szCs w:val="24"/>
        </w:rPr>
        <w:t>Grant agreements</w:t>
      </w:r>
      <w:r w:rsidR="001F1370" w:rsidRPr="00013AAD">
        <w:rPr>
          <w:szCs w:val="24"/>
        </w:rPr>
        <w:t xml:space="preserve"> </w:t>
      </w:r>
      <w:r w:rsidR="005F08B4" w:rsidRPr="00013AAD">
        <w:rPr>
          <w:szCs w:val="24"/>
        </w:rPr>
        <w:t>must be scheduled and considered at a</w:t>
      </w:r>
      <w:r w:rsidRPr="00013AAD">
        <w:rPr>
          <w:szCs w:val="24"/>
        </w:rPr>
        <w:t xml:space="preserve"> CEC </w:t>
      </w:r>
      <w:r w:rsidR="005F08B4" w:rsidRPr="00013AAD">
        <w:rPr>
          <w:szCs w:val="24"/>
        </w:rPr>
        <w:t xml:space="preserve">Business Meeting for approval by the </w:t>
      </w:r>
      <w:r w:rsidR="000F7A7C">
        <w:rPr>
          <w:szCs w:val="24"/>
        </w:rPr>
        <w:t>CEC</w:t>
      </w:r>
      <w:r w:rsidR="005F08B4" w:rsidRPr="00013AAD">
        <w:rPr>
          <w:szCs w:val="24"/>
        </w:rPr>
        <w:t>.</w:t>
      </w:r>
    </w:p>
    <w:p w14:paraId="7968DF90" w14:textId="32C9F079" w:rsidR="007D60E9" w:rsidRPr="00013AAD" w:rsidRDefault="007D60E9" w:rsidP="00660AFD">
      <w:pPr>
        <w:rPr>
          <w:i/>
          <w:szCs w:val="24"/>
        </w:rPr>
      </w:pPr>
    </w:p>
    <w:p w14:paraId="47559BEF" w14:textId="420B4D3F" w:rsidR="002C6011" w:rsidRPr="00013AAD" w:rsidRDefault="004F0477" w:rsidP="00E26DE1">
      <w:pPr>
        <w:ind w:left="720"/>
      </w:pPr>
      <w:r>
        <w:t>CEC</w:t>
      </w:r>
      <w:r w:rsidR="002C6011">
        <w:t xml:space="preserve"> will send the approved </w:t>
      </w:r>
      <w:r w:rsidR="00287BC0">
        <w:t>agreement</w:t>
      </w:r>
      <w:r w:rsidR="002C6011">
        <w:t xml:space="preserve">, including the </w:t>
      </w:r>
      <w:r w:rsidR="00E20230">
        <w:t>NEVI</w:t>
      </w:r>
      <w:r w:rsidR="002C6011">
        <w:t xml:space="preserve"> </w:t>
      </w:r>
      <w:r w:rsidR="0066563A">
        <w:t>t</w:t>
      </w:r>
      <w:r w:rsidR="002C6011">
        <w:t xml:space="preserve">erms and </w:t>
      </w:r>
      <w:r w:rsidR="0066563A">
        <w:t>c</w:t>
      </w:r>
      <w:r w:rsidR="002C6011">
        <w:t>onditions</w:t>
      </w:r>
      <w:r w:rsidR="00144AC6">
        <w:t xml:space="preserve"> (Attachment 16)</w:t>
      </w:r>
      <w:r w:rsidR="598EC4BC">
        <w:t>,</w:t>
      </w:r>
      <w:r w:rsidR="00491C7C">
        <w:t xml:space="preserve"> </w:t>
      </w:r>
      <w:r w:rsidR="00AF5B4A">
        <w:t>Special Federal Award terms and conditions</w:t>
      </w:r>
      <w:r w:rsidR="00144AC6">
        <w:t xml:space="preserve"> (Attachment 17)</w:t>
      </w:r>
      <w:r w:rsidR="00AF5B4A">
        <w:t xml:space="preserve">, </w:t>
      </w:r>
      <w:r w:rsidR="0022405B">
        <w:t xml:space="preserve">the </w:t>
      </w:r>
      <w:r w:rsidR="00144AC6" w:rsidRPr="00144AC6">
        <w:t xml:space="preserve">Insolvency, Bankruptcy, or Receivership </w:t>
      </w:r>
      <w:r w:rsidR="00B9736E">
        <w:t>t</w:t>
      </w:r>
      <w:r w:rsidR="00144AC6" w:rsidRPr="00144AC6">
        <w:t xml:space="preserve">erms and </w:t>
      </w:r>
      <w:r w:rsidR="00B9736E">
        <w:t>c</w:t>
      </w:r>
      <w:r w:rsidR="00144AC6" w:rsidRPr="00144AC6">
        <w:t xml:space="preserve">onditions found at </w:t>
      </w:r>
      <w:hyperlink r:id="rId89" w:history="1">
        <w:r w:rsidR="00144AC6" w:rsidRPr="00B9736E">
          <w:rPr>
            <w:rStyle w:val="Hyperlink"/>
          </w:rPr>
          <w:t>https://www.energy.ca.gov/sites/default/files/2024-12/Special_Terms_and_Conditions_Bankruptcy_ada.pdf</w:t>
        </w:r>
      </w:hyperlink>
      <w:r w:rsidR="00B9736E">
        <w:t>)</w:t>
      </w:r>
      <w:r w:rsidR="0022405B">
        <w:t xml:space="preserve">, </w:t>
      </w:r>
      <w:r w:rsidR="002C6011">
        <w:t xml:space="preserve">and any additional terms and conditions, </w:t>
      </w:r>
      <w:r w:rsidR="00324DE6" w:rsidRPr="00324DE6">
        <w:rPr>
          <w:b/>
          <w:bCs/>
          <w:u w:val="single"/>
        </w:rPr>
        <w:t>such as</w:t>
      </w:r>
      <w:r w:rsidR="00324DE6" w:rsidRPr="00822534">
        <w:rPr>
          <w:b/>
          <w:bCs/>
          <w:u w:val="single"/>
        </w:rPr>
        <w:t xml:space="preserve"> </w:t>
      </w:r>
      <w:r w:rsidR="00D747E8">
        <w:rPr>
          <w:b/>
          <w:bCs/>
          <w:u w:val="single"/>
        </w:rPr>
        <w:t>Attachment 18</w:t>
      </w:r>
      <w:r w:rsidR="00324DE6">
        <w:rPr>
          <w:b/>
          <w:bCs/>
          <w:u w:val="single"/>
        </w:rPr>
        <w:t xml:space="preserve">, </w:t>
      </w:r>
      <w:r w:rsidR="002C6011">
        <w:t xml:space="preserve">to the grant recipient for review, approval, and signature. Once the grant recipient signs, </w:t>
      </w:r>
      <w:r>
        <w:t>CEC</w:t>
      </w:r>
      <w:r w:rsidR="002C6011">
        <w:t xml:space="preserve"> will fully execute the </w:t>
      </w:r>
      <w:r w:rsidR="00287BC0">
        <w:t>agreement</w:t>
      </w:r>
      <w:r w:rsidR="002C6011">
        <w:t xml:space="preserve">. Recipients are approved to begin the project only after full </w:t>
      </w:r>
      <w:r w:rsidR="002C6011">
        <w:lastRenderedPageBreak/>
        <w:t xml:space="preserve">execution of the </w:t>
      </w:r>
      <w:r w:rsidR="00287BC0">
        <w:t>agreement</w:t>
      </w:r>
      <w:r w:rsidR="00A02CB2">
        <w:t>, including any authorizations needed from the FHWA</w:t>
      </w:r>
      <w:r w:rsidR="002C6011">
        <w:t>.</w:t>
      </w:r>
    </w:p>
    <w:p w14:paraId="3A4C0D25" w14:textId="77777777" w:rsidR="007D60E9" w:rsidRPr="00013AAD" w:rsidRDefault="007D60E9" w:rsidP="00E04486">
      <w:pPr>
        <w:rPr>
          <w:szCs w:val="24"/>
        </w:rPr>
      </w:pPr>
    </w:p>
    <w:p w14:paraId="12A11ECF" w14:textId="77777777" w:rsidR="00936E17" w:rsidRPr="00050087" w:rsidRDefault="00936E17" w:rsidP="00164AC5">
      <w:pPr>
        <w:pStyle w:val="Heading2"/>
        <w:keepNext w:val="0"/>
        <w:numPr>
          <w:ilvl w:val="0"/>
          <w:numId w:val="14"/>
        </w:numPr>
        <w:spacing w:before="0"/>
        <w:ind w:hanging="720"/>
      </w:pPr>
      <w:bookmarkStart w:id="121" w:name="_Toc184829653"/>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21"/>
    </w:p>
    <w:p w14:paraId="4A27A0EC" w14:textId="76B3BD4D" w:rsidR="00936E17" w:rsidRPr="00013AAD" w:rsidRDefault="00936E17" w:rsidP="00E26DE1">
      <w:pPr>
        <w:ind w:left="720"/>
        <w:rPr>
          <w:szCs w:val="24"/>
        </w:rPr>
      </w:pPr>
      <w:r w:rsidRPr="00013AAD">
        <w:rPr>
          <w:szCs w:val="24"/>
        </w:rPr>
        <w:t xml:space="preserve">No agreement between </w:t>
      </w:r>
      <w:r w:rsidR="004F0477" w:rsidRPr="00013AAD">
        <w:rPr>
          <w:szCs w:val="24"/>
        </w:rPr>
        <w:t>CEC</w:t>
      </w:r>
      <w:r w:rsidRPr="00013AAD">
        <w:rPr>
          <w:szCs w:val="24"/>
        </w:rPr>
        <w:t xml:space="preserve"> and </w:t>
      </w:r>
      <w:r w:rsidR="000E5C24">
        <w:rPr>
          <w:szCs w:val="24"/>
        </w:rPr>
        <w:t>an</w:t>
      </w:r>
      <w:r w:rsidRPr="00013AAD">
        <w:rPr>
          <w:szCs w:val="24"/>
        </w:rPr>
        <w:t xml:space="preserve"> </w:t>
      </w:r>
      <w:r w:rsidR="00C77E3F">
        <w:rPr>
          <w:szCs w:val="24"/>
        </w:rPr>
        <w:t>A</w:t>
      </w:r>
      <w:r w:rsidR="00403F6F" w:rsidRPr="00013AAD">
        <w:rPr>
          <w:szCs w:val="24"/>
        </w:rPr>
        <w:t>pplicant</w:t>
      </w:r>
      <w:r w:rsidRPr="00013AAD">
        <w:rPr>
          <w:szCs w:val="24"/>
        </w:rPr>
        <w:t xml:space="preserve"> is in effect until the </w:t>
      </w:r>
      <w:r w:rsidR="00F24939" w:rsidRPr="00013AAD">
        <w:rPr>
          <w:szCs w:val="24"/>
        </w:rPr>
        <w:t>agreement</w:t>
      </w:r>
      <w:r w:rsidRPr="00013AAD">
        <w:rPr>
          <w:szCs w:val="24"/>
        </w:rPr>
        <w:t xml:space="preserve"> is approved at </w:t>
      </w:r>
      <w:r w:rsidR="004F0477" w:rsidRPr="00013AAD">
        <w:rPr>
          <w:szCs w:val="24"/>
        </w:rPr>
        <w:t>a CEC</w:t>
      </w:r>
      <w:r w:rsidRPr="00013AAD">
        <w:rPr>
          <w:szCs w:val="24"/>
        </w:rPr>
        <w:t xml:space="preserve"> Business </w:t>
      </w:r>
      <w:proofErr w:type="gramStart"/>
      <w:r w:rsidRPr="00013AAD">
        <w:rPr>
          <w:szCs w:val="24"/>
        </w:rPr>
        <w:t>Meeting, and</w:t>
      </w:r>
      <w:proofErr w:type="gramEnd"/>
      <w:r w:rsidRPr="00013AAD">
        <w:rPr>
          <w:szCs w:val="24"/>
        </w:rPr>
        <w:t xml:space="preserve"> </w:t>
      </w:r>
      <w:r w:rsidR="00302A05" w:rsidRPr="00013AAD">
        <w:rPr>
          <w:szCs w:val="24"/>
        </w:rPr>
        <w:t>signed</w:t>
      </w:r>
      <w:r w:rsidRPr="00013AAD">
        <w:rPr>
          <w:szCs w:val="24"/>
        </w:rPr>
        <w:t xml:space="preserve"> by</w:t>
      </w:r>
      <w:r w:rsidR="000E5C24">
        <w:rPr>
          <w:szCs w:val="24"/>
        </w:rPr>
        <w:t xml:space="preserve"> both the grant recipient and</w:t>
      </w:r>
      <w:r w:rsidRPr="00013AAD">
        <w:rPr>
          <w:szCs w:val="24"/>
        </w:rPr>
        <w:t xml:space="preserve"> the </w:t>
      </w:r>
      <w:r w:rsidR="004F0477" w:rsidRPr="00013AAD">
        <w:rPr>
          <w:szCs w:val="24"/>
        </w:rPr>
        <w:t>CEC</w:t>
      </w:r>
      <w:r w:rsidR="007D60E9" w:rsidRPr="00013AAD">
        <w:rPr>
          <w:szCs w:val="24"/>
        </w:rPr>
        <w:t>.</w:t>
      </w:r>
    </w:p>
    <w:p w14:paraId="6D5560A3" w14:textId="77777777" w:rsidR="007D60E9" w:rsidRPr="00013AAD" w:rsidRDefault="007D60E9" w:rsidP="00E26DE1">
      <w:pPr>
        <w:ind w:left="720"/>
        <w:rPr>
          <w:szCs w:val="24"/>
        </w:rPr>
      </w:pPr>
    </w:p>
    <w:p w14:paraId="7F69446C" w14:textId="77777777" w:rsidR="00262C9C" w:rsidRPr="00013AAD" w:rsidRDefault="004F0477" w:rsidP="00E26DE1">
      <w:pPr>
        <w:ind w:left="720"/>
        <w:rPr>
          <w:szCs w:val="24"/>
        </w:rPr>
      </w:pPr>
      <w:r w:rsidRPr="00013AAD">
        <w:rPr>
          <w:szCs w:val="24"/>
        </w:rPr>
        <w:t>CEC</w:t>
      </w:r>
      <w:r w:rsidR="00262C9C" w:rsidRPr="00013AAD">
        <w:rPr>
          <w:szCs w:val="24"/>
        </w:rPr>
        <w:t xml:space="preserve"> reserves the right to modify the award documents prior to executing the </w:t>
      </w:r>
      <w:r w:rsidR="00287BC0" w:rsidRPr="00013AAD">
        <w:rPr>
          <w:szCs w:val="24"/>
        </w:rPr>
        <w:t>agreement</w:t>
      </w:r>
      <w:r w:rsidR="00262C9C" w:rsidRPr="00013AAD">
        <w:rPr>
          <w:szCs w:val="24"/>
        </w:rPr>
        <w:t>.</w:t>
      </w:r>
    </w:p>
    <w:p w14:paraId="0472E324" w14:textId="22A879FC" w:rsidR="00393BF4" w:rsidRDefault="00393BF4">
      <w:pPr>
        <w:rPr>
          <w:szCs w:val="22"/>
        </w:rPr>
      </w:pPr>
    </w:p>
    <w:p w14:paraId="649D9633" w14:textId="77777777" w:rsidR="00202941" w:rsidRDefault="00202941" w:rsidP="00164AC5">
      <w:pPr>
        <w:pStyle w:val="Heading2"/>
        <w:keepNext w:val="0"/>
        <w:numPr>
          <w:ilvl w:val="0"/>
          <w:numId w:val="14"/>
        </w:numPr>
        <w:spacing w:before="0"/>
        <w:ind w:hanging="720"/>
        <w:rPr>
          <w:lang w:val="en-US"/>
        </w:rPr>
      </w:pPr>
      <w:bookmarkStart w:id="122" w:name="_Toc184829654"/>
      <w:r>
        <w:rPr>
          <w:lang w:val="en-US"/>
        </w:rPr>
        <w:t>Executive Order N-6-22 – Russia Sanctions</w:t>
      </w:r>
      <w:bookmarkEnd w:id="122"/>
    </w:p>
    <w:p w14:paraId="0C980A88" w14:textId="04226989" w:rsidR="00202941" w:rsidRPr="00202941" w:rsidRDefault="00202941" w:rsidP="00202941">
      <w:pPr>
        <w:ind w:left="720"/>
        <w:rPr>
          <w:szCs w:val="24"/>
        </w:rPr>
      </w:pPr>
      <w:r w:rsidRPr="0D4216A8">
        <w:rPr>
          <w:szCs w:val="24"/>
        </w:rPr>
        <w:t>On March 4, 2022, Governor Gavin Newsom issued Executive Order N-6-22 (the</w:t>
      </w:r>
      <w:r w:rsidR="2F7F140B" w:rsidRPr="0D4216A8">
        <w:rPr>
          <w:szCs w:val="24"/>
        </w:rPr>
        <w:t xml:space="preserve"> </w:t>
      </w:r>
      <w:r w:rsidRPr="0D4216A8">
        <w:rPr>
          <w:szCs w:val="24"/>
        </w:rPr>
        <w:t>EO) regarding Economic Sanctions against Russia and Russian entities and</w:t>
      </w:r>
      <w:r>
        <w:br/>
      </w:r>
      <w:r w:rsidRPr="0D4216A8">
        <w:rPr>
          <w:szCs w:val="24"/>
        </w:rPr>
        <w:t>individuals. “Economic Sanctions” refers to sanctions imposed by the U.S.</w:t>
      </w:r>
      <w:r>
        <w:br/>
      </w:r>
      <w:r w:rsidRPr="0D4216A8">
        <w:rPr>
          <w:szCs w:val="24"/>
        </w:rPr>
        <w:t>government in response to Russia’s actions in Ukraine, as well as any sanctions</w:t>
      </w:r>
      <w:r>
        <w:br/>
      </w:r>
      <w:r w:rsidRPr="0D4216A8">
        <w:rPr>
          <w:szCs w:val="24"/>
        </w:rPr>
        <w:t>imposed under state law. By submitting a bid or proposal, Applicant represents</w:t>
      </w:r>
      <w:r>
        <w:br/>
      </w:r>
      <w:r w:rsidRPr="0D4216A8">
        <w:rPr>
          <w:szCs w:val="24"/>
        </w:rPr>
        <w:t>that it is not a target of Economic Sanctions. Should the State determine</w:t>
      </w:r>
      <w:r>
        <w:br/>
      </w:r>
      <w:r w:rsidRPr="0D4216A8">
        <w:rPr>
          <w:szCs w:val="24"/>
        </w:rPr>
        <w:t>Applicant is a target of Economic Sanctions or is conducting prohibited</w:t>
      </w:r>
      <w:r>
        <w:br/>
      </w:r>
      <w:r w:rsidRPr="0D4216A8">
        <w:rPr>
          <w:szCs w:val="24"/>
        </w:rPr>
        <w:t>transactions with sanctioned individuals or entities, that shall be grounds for</w:t>
      </w:r>
      <w:r>
        <w:br/>
      </w:r>
      <w:r w:rsidRPr="0D4216A8">
        <w:rPr>
          <w:szCs w:val="24"/>
        </w:rPr>
        <w:t>rejection of the Applicant’s bid/proposal any time prior to agreement execution, or, if determined after agreement execution, shall be grounds for termination by the State.</w:t>
      </w:r>
    </w:p>
    <w:p w14:paraId="29CE263C" w14:textId="77777777" w:rsidR="00202941" w:rsidRPr="00202941" w:rsidRDefault="00202941" w:rsidP="00202941">
      <w:pPr>
        <w:ind w:left="720"/>
        <w:rPr>
          <w:szCs w:val="24"/>
        </w:rPr>
      </w:pPr>
    </w:p>
    <w:sectPr w:rsidR="00202941" w:rsidRPr="00202941"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E2ED" w14:textId="77777777" w:rsidR="00CF23A6" w:rsidRDefault="00CF23A6">
      <w:r>
        <w:separator/>
      </w:r>
    </w:p>
  </w:endnote>
  <w:endnote w:type="continuationSeparator" w:id="0">
    <w:p w14:paraId="443B8232" w14:textId="77777777" w:rsidR="00CF23A6" w:rsidRDefault="00CF23A6">
      <w:r>
        <w:continuationSeparator/>
      </w:r>
    </w:p>
  </w:endnote>
  <w:endnote w:type="continuationNotice" w:id="1">
    <w:p w14:paraId="74DB118D" w14:textId="77777777" w:rsidR="00CF23A6" w:rsidRDefault="00CF2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9311" w14:textId="77777777" w:rsidR="008F33EB" w:rsidRPr="00222EC3" w:rsidRDefault="008F33EB" w:rsidP="00A41D8A">
    <w:pPr>
      <w:pStyle w:val="Footer"/>
      <w:tabs>
        <w:tab w:val="clear" w:pos="8640"/>
        <w:tab w:val="right" w:pos="9360"/>
      </w:tabs>
      <w:rPr>
        <w:sz w:val="20"/>
      </w:rPr>
    </w:pPr>
  </w:p>
  <w:p w14:paraId="122A4E21" w14:textId="00EAF23F" w:rsidR="00A41D8A" w:rsidRPr="00677FAD" w:rsidRDefault="00EA075C" w:rsidP="00A41D8A">
    <w:pPr>
      <w:pStyle w:val="Footer"/>
      <w:tabs>
        <w:tab w:val="clear" w:pos="8640"/>
        <w:tab w:val="right" w:pos="9360"/>
      </w:tabs>
      <w:rPr>
        <w:sz w:val="20"/>
      </w:rPr>
    </w:pPr>
    <w:r>
      <w:rPr>
        <w:b/>
        <w:bCs/>
        <w:sz w:val="20"/>
        <w:u w:val="single"/>
      </w:rPr>
      <w:t>March</w:t>
    </w:r>
    <w:r w:rsidR="00DB0EDF" w:rsidRPr="00DB0EDF">
      <w:rPr>
        <w:b/>
        <w:bCs/>
        <w:sz w:val="20"/>
        <w:u w:val="single"/>
      </w:rPr>
      <w:t xml:space="preserve"> 2025</w:t>
    </w:r>
    <w:r w:rsidR="00DB0EDF">
      <w:rPr>
        <w:sz w:val="20"/>
      </w:rPr>
      <w:t xml:space="preserve"> [</w:t>
    </w:r>
    <w:r w:rsidR="00BF3F9C" w:rsidRPr="00DB0EDF">
      <w:rPr>
        <w:strike/>
        <w:sz w:val="20"/>
      </w:rPr>
      <w:t>December</w:t>
    </w:r>
    <w:r w:rsidR="004E6CBB" w:rsidRPr="00DB0EDF">
      <w:rPr>
        <w:strike/>
        <w:sz w:val="20"/>
      </w:rPr>
      <w:t xml:space="preserve"> 2024</w:t>
    </w:r>
    <w:r w:rsidR="00DB0EDF">
      <w:rPr>
        <w:sz w:val="20"/>
      </w:rPr>
      <w:t>]</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A41D8A">
      <w:rPr>
        <w:sz w:val="20"/>
      </w:rPr>
      <w:t>GFO-24</w:t>
    </w:r>
    <w:r w:rsidR="00A41D8A" w:rsidRPr="006B3820">
      <w:rPr>
        <w:sz w:val="20"/>
      </w:rPr>
      <w:t>-</w:t>
    </w:r>
    <w:r w:rsidR="006B3820" w:rsidRPr="006B3820">
      <w:rPr>
        <w:sz w:val="20"/>
      </w:rPr>
      <w:t>606</w:t>
    </w:r>
    <w:r w:rsidR="00740353" w:rsidRPr="001A5A03">
      <w:rPr>
        <w:b/>
        <w:bCs/>
        <w:sz w:val="20"/>
        <w:u w:val="single"/>
      </w:rPr>
      <w:t>-0</w:t>
    </w:r>
    <w:r w:rsidR="00DB0EDF" w:rsidRPr="001A5A03">
      <w:rPr>
        <w:b/>
        <w:bCs/>
        <w:sz w:val="20"/>
        <w:u w:val="single"/>
      </w:rPr>
      <w:t>1</w:t>
    </w:r>
  </w:p>
  <w:p w14:paraId="02A8E0B9" w14:textId="5A7D1DCB" w:rsidR="0045255C" w:rsidRDefault="004E6CBB" w:rsidP="00A41D8A">
    <w:pPr>
      <w:pStyle w:val="Footer"/>
      <w:tabs>
        <w:tab w:val="clear" w:pos="4320"/>
        <w:tab w:val="clear" w:pos="8640"/>
        <w:tab w:val="center" w:pos="4680"/>
        <w:tab w:val="right" w:pos="9360"/>
      </w:tabs>
      <w:jc w:val="right"/>
      <w:rPr>
        <w:noProof/>
        <w:sz w:val="20"/>
      </w:rPr>
    </w:pPr>
    <w:r w:rsidRPr="00BC132D">
      <w:rPr>
        <w:bCs/>
        <w:sz w:val="20"/>
      </w:rPr>
      <w:t>California’s NEVI</w:t>
    </w:r>
    <w:r w:rsidR="00BC132D" w:rsidRPr="00BC132D">
      <w:rPr>
        <w:bCs/>
        <w:sz w:val="20"/>
      </w:rPr>
      <w:t xml:space="preserve"> Formula Program</w:t>
    </w:r>
    <w:r w:rsidR="00A41D8A">
      <w:rPr>
        <w:bCs/>
        <w:sz w:val="20"/>
      </w:rPr>
      <w:t xml:space="preserve"> </w:t>
    </w:r>
    <w:r w:rsidR="00BC132D">
      <w:rPr>
        <w:bCs/>
        <w:sz w:val="20"/>
      </w:rPr>
      <w:t>Solicitation 2</w:t>
    </w:r>
  </w:p>
  <w:p w14:paraId="23C1BC5A" w14:textId="77777777" w:rsidR="0045255C" w:rsidRPr="00F43D27" w:rsidRDefault="0045255C" w:rsidP="00BB0E4C">
    <w:pPr>
      <w:pStyle w:val="Footer"/>
      <w:tabs>
        <w:tab w:val="clear" w:pos="4320"/>
        <w:tab w:val="clear" w:pos="8640"/>
        <w:tab w:val="center" w:pos="4680"/>
        <w:tab w:val="right" w:pos="9360"/>
      </w:tabs>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25B6" w14:textId="77777777" w:rsidR="009230A0" w:rsidRDefault="009230A0" w:rsidP="00943F5C">
    <w:pPr>
      <w:pStyle w:val="Footer"/>
      <w:tabs>
        <w:tab w:val="clear" w:pos="4320"/>
        <w:tab w:val="clear" w:pos="8640"/>
        <w:tab w:val="center" w:pos="4680"/>
        <w:tab w:val="right" w:pos="9360"/>
      </w:tabs>
      <w:jc w:val="right"/>
      <w:rPr>
        <w:bCs/>
        <w:sz w:val="20"/>
      </w:rPr>
    </w:pPr>
  </w:p>
  <w:p w14:paraId="6B3541AD" w14:textId="572CE854" w:rsidR="00051A54" w:rsidRPr="00F43D27" w:rsidRDefault="002A1A2B" w:rsidP="00943F5C">
    <w:pPr>
      <w:pStyle w:val="Footer"/>
      <w:tabs>
        <w:tab w:val="clear" w:pos="4320"/>
        <w:tab w:val="clear" w:pos="8640"/>
        <w:tab w:val="center" w:pos="4680"/>
        <w:tab w:val="right" w:pos="9360"/>
      </w:tabs>
      <w:jc w:val="right"/>
      <w:rPr>
        <w:sz w:val="20"/>
      </w:rPr>
    </w:pPr>
    <w:r>
      <w:rPr>
        <w:b/>
        <w:sz w:val="20"/>
        <w:u w:val="single"/>
      </w:rPr>
      <w:t>March</w:t>
    </w:r>
    <w:r w:rsidR="00A32B41" w:rsidRPr="00A32B41">
      <w:rPr>
        <w:b/>
        <w:sz w:val="20"/>
        <w:u w:val="single"/>
      </w:rPr>
      <w:t xml:space="preserve"> 2025</w:t>
    </w:r>
    <w:r w:rsidR="00A32B41">
      <w:rPr>
        <w:bCs/>
        <w:sz w:val="20"/>
      </w:rPr>
      <w:t xml:space="preserve"> [</w:t>
    </w:r>
    <w:r w:rsidR="00F573AA" w:rsidRPr="00A32B41">
      <w:rPr>
        <w:bCs/>
        <w:strike/>
        <w:sz w:val="20"/>
      </w:rPr>
      <w:t>December</w:t>
    </w:r>
    <w:r w:rsidR="0011285E" w:rsidRPr="00A32B41">
      <w:rPr>
        <w:bCs/>
        <w:strike/>
        <w:sz w:val="20"/>
      </w:rPr>
      <w:t xml:space="preserve"> 2024</w:t>
    </w:r>
    <w:r w:rsidR="00A32B41">
      <w:rPr>
        <w:bCs/>
        <w:sz w:val="20"/>
      </w:rPr>
      <w:t>]</w:t>
    </w:r>
    <w:r w:rsidR="00103594" w:rsidRPr="009230A0">
      <w:rPr>
        <w:bCs/>
        <w:sz w:val="20"/>
      </w:rPr>
      <w:ptab w:relativeTo="margin" w:alignment="center" w:leader="none"/>
    </w:r>
    <w:r w:rsidR="0011285E" w:rsidRPr="009230A0">
      <w:rPr>
        <w:sz w:val="20"/>
      </w:rPr>
      <w:t>Page</w:t>
    </w:r>
    <w:r w:rsidR="0011285E" w:rsidRPr="00677FAD">
      <w:rPr>
        <w:sz w:val="20"/>
      </w:rPr>
      <w:t xml:space="preserve"> </w:t>
    </w:r>
    <w:r w:rsidR="0011285E" w:rsidRPr="00677FAD">
      <w:rPr>
        <w:b/>
        <w:sz w:val="20"/>
      </w:rPr>
      <w:fldChar w:fldCharType="begin"/>
    </w:r>
    <w:r w:rsidR="0011285E" w:rsidRPr="00677FAD">
      <w:rPr>
        <w:b/>
        <w:sz w:val="20"/>
      </w:rPr>
      <w:instrText xml:space="preserve"> PAGE  \* Arabic  \* MERGEFORMAT </w:instrText>
    </w:r>
    <w:r w:rsidR="0011285E" w:rsidRPr="00677FAD">
      <w:rPr>
        <w:b/>
        <w:sz w:val="20"/>
      </w:rPr>
      <w:fldChar w:fldCharType="separate"/>
    </w:r>
    <w:r w:rsidR="0011285E">
      <w:rPr>
        <w:b/>
        <w:sz w:val="20"/>
      </w:rPr>
      <w:t>14</w:t>
    </w:r>
    <w:r w:rsidR="0011285E" w:rsidRPr="00677FAD">
      <w:rPr>
        <w:b/>
        <w:sz w:val="20"/>
      </w:rPr>
      <w:fldChar w:fldCharType="end"/>
    </w:r>
    <w:r w:rsidR="0011285E" w:rsidRPr="00677FAD">
      <w:rPr>
        <w:sz w:val="20"/>
      </w:rPr>
      <w:t xml:space="preserve"> of </w:t>
    </w:r>
    <w:r w:rsidR="0011285E" w:rsidRPr="00677FAD">
      <w:rPr>
        <w:b/>
        <w:sz w:val="20"/>
      </w:rPr>
      <w:fldChar w:fldCharType="begin"/>
    </w:r>
    <w:r w:rsidR="0011285E" w:rsidRPr="00677FAD">
      <w:rPr>
        <w:b/>
        <w:sz w:val="20"/>
      </w:rPr>
      <w:instrText xml:space="preserve"> NUMPAGES  \* Arabic  \* MERGEFORMAT </w:instrText>
    </w:r>
    <w:r w:rsidR="0011285E" w:rsidRPr="00677FAD">
      <w:rPr>
        <w:b/>
        <w:sz w:val="20"/>
      </w:rPr>
      <w:fldChar w:fldCharType="separate"/>
    </w:r>
    <w:r w:rsidR="0011285E">
      <w:rPr>
        <w:b/>
        <w:sz w:val="20"/>
      </w:rPr>
      <w:t>77</w:t>
    </w:r>
    <w:r w:rsidR="0011285E" w:rsidRPr="00677FAD">
      <w:rPr>
        <w:b/>
        <w:sz w:val="20"/>
      </w:rPr>
      <w:fldChar w:fldCharType="end"/>
    </w:r>
    <w:r w:rsidR="00103594" w:rsidRPr="00103594">
      <w:rPr>
        <w:bCs/>
        <w:sz w:val="20"/>
      </w:rPr>
      <w:ptab w:relativeTo="margin" w:alignment="right" w:leader="none"/>
    </w:r>
    <w:r w:rsidR="0011285E">
      <w:rPr>
        <w:bCs/>
        <w:sz w:val="20"/>
      </w:rPr>
      <w:t>GFO-24-</w:t>
    </w:r>
    <w:r w:rsidR="00F573AA">
      <w:rPr>
        <w:bCs/>
        <w:sz w:val="20"/>
      </w:rPr>
      <w:t>606</w:t>
    </w:r>
    <w:r w:rsidR="00A32B41" w:rsidRPr="00A32B41">
      <w:rPr>
        <w:b/>
        <w:sz w:val="20"/>
        <w:u w:val="single"/>
      </w:rPr>
      <w:t>-01</w:t>
    </w:r>
    <w:r w:rsidR="00D04141">
      <w:rPr>
        <w:bCs/>
        <w:sz w:val="20"/>
      </w:rPr>
      <w:br/>
    </w:r>
    <w:r w:rsidR="002345E7">
      <w:rPr>
        <w:bCs/>
        <w:sz w:val="20"/>
      </w:rPr>
      <w:t xml:space="preserve">California’s NEVI </w:t>
    </w:r>
    <w:r w:rsidR="000B57B1">
      <w:rPr>
        <w:bCs/>
        <w:sz w:val="20"/>
      </w:rPr>
      <w:t xml:space="preserve">Formula Program </w:t>
    </w:r>
    <w:r w:rsidR="002345E7">
      <w:rPr>
        <w:bCs/>
        <w:sz w:val="20"/>
      </w:rPr>
      <w:t>Solicitation</w:t>
    </w:r>
    <w:r w:rsidR="006010BA">
      <w:rPr>
        <w:bCs/>
        <w:sz w:val="20"/>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98EB" w14:textId="77777777" w:rsidR="00CF23A6" w:rsidRDefault="00CF23A6">
      <w:r>
        <w:separator/>
      </w:r>
    </w:p>
  </w:footnote>
  <w:footnote w:type="continuationSeparator" w:id="0">
    <w:p w14:paraId="69A51C7F" w14:textId="77777777" w:rsidR="00CF23A6" w:rsidRDefault="00CF23A6">
      <w:r>
        <w:continuationSeparator/>
      </w:r>
    </w:p>
  </w:footnote>
  <w:footnote w:type="continuationNotice" w:id="1">
    <w:p w14:paraId="711C77B8" w14:textId="77777777" w:rsidR="00CF23A6" w:rsidRDefault="00CF23A6"/>
  </w:footnote>
  <w:footnote w:id="2">
    <w:p w14:paraId="66222C30" w14:textId="1B5871E0" w:rsidR="004B6506" w:rsidRDefault="00176A37" w:rsidP="004B6506">
      <w:pPr>
        <w:pStyle w:val="FootnoteText"/>
      </w:pPr>
      <w:r>
        <w:t>[</w:t>
      </w:r>
      <w:r w:rsidR="004B6506" w:rsidRPr="00176A37">
        <w:rPr>
          <w:rStyle w:val="FootnoteReference"/>
          <w:strike/>
          <w:vertAlign w:val="baseline"/>
        </w:rPr>
        <w:footnoteRef/>
      </w:r>
      <w:r w:rsidR="004B6506" w:rsidRPr="00176A37">
        <w:rPr>
          <w:strike/>
        </w:rPr>
        <w:t xml:space="preserve"> The White House. February 15, 2023. </w:t>
      </w:r>
      <w:hyperlink r:id="rId1" w:history="1">
        <w:r w:rsidR="004B6506" w:rsidRPr="00176A37">
          <w:rPr>
            <w:rStyle w:val="Hyperlink"/>
            <w:strike/>
          </w:rPr>
          <w:t>Fact Sheet: Biden-Harris Administration Announces New Standards and Major Progress for a Made-in-America National Network of Electric Vehicle Chargers</w:t>
        </w:r>
      </w:hyperlink>
      <w:r w:rsidR="004B6506" w:rsidRPr="00176A37">
        <w:rPr>
          <w:strike/>
        </w:rPr>
        <w:t>. https://www.whitehouse.gov/briefing-room/statements-releases/2023/02/15/fact-sheet-biden-harris-administration-announces-new-standards-and-major-progress-for-a-made-in-america-national-network-of-electric-vehicle-chargers/.</w:t>
      </w:r>
      <w:r w:rsidRPr="00B175D6">
        <w:t>]</w:t>
      </w:r>
    </w:p>
  </w:footnote>
  <w:footnote w:id="3">
    <w:p w14:paraId="7A3B16F6" w14:textId="51E26129" w:rsidR="00573D97" w:rsidRPr="00132536" w:rsidRDefault="00573D97">
      <w:pPr>
        <w:pStyle w:val="FootnoteText"/>
        <w:rPr>
          <w:b/>
          <w:bCs/>
          <w:u w:val="single"/>
        </w:rPr>
      </w:pPr>
      <w:r w:rsidRPr="00132536">
        <w:rPr>
          <w:rStyle w:val="FootnoteReference"/>
          <w:b/>
          <w:bCs/>
          <w:u w:val="single"/>
          <w:vertAlign w:val="baseline"/>
        </w:rPr>
        <w:footnoteRef/>
      </w:r>
      <w:r w:rsidRPr="00132536">
        <w:rPr>
          <w:b/>
          <w:bCs/>
          <w:u w:val="single"/>
        </w:rPr>
        <w:t xml:space="preserve"> </w:t>
      </w:r>
      <w:r w:rsidR="00967065" w:rsidRPr="00132536">
        <w:rPr>
          <w:b/>
          <w:bCs/>
          <w:u w:val="single"/>
        </w:rPr>
        <w:t xml:space="preserve">Federal Highway Administration. </w:t>
      </w:r>
      <w:r w:rsidR="00896C6F" w:rsidRPr="00132536">
        <w:rPr>
          <w:b/>
          <w:bCs/>
          <w:u w:val="single"/>
        </w:rPr>
        <w:t xml:space="preserve">February 6, 2025. </w:t>
      </w:r>
      <w:r w:rsidR="00967065" w:rsidRPr="00132536">
        <w:rPr>
          <w:b/>
          <w:bCs/>
          <w:u w:val="single"/>
        </w:rPr>
        <w:t>Memo “</w:t>
      </w:r>
      <w:hyperlink r:id="rId2" w:history="1">
        <w:r w:rsidR="00967065" w:rsidRPr="00132536">
          <w:rPr>
            <w:rStyle w:val="Hyperlink"/>
            <w:b/>
            <w:bCs/>
          </w:rPr>
          <w:t>Suspending Approval of State Electric Vehicle Infrastructure Deployment Plans</w:t>
        </w:r>
        <w:r w:rsidR="00896C6F" w:rsidRPr="00132536">
          <w:rPr>
            <w:rStyle w:val="Hyperlink"/>
            <w:b/>
            <w:bCs/>
          </w:rPr>
          <w:t>.</w:t>
        </w:r>
      </w:hyperlink>
      <w:r w:rsidR="00896C6F" w:rsidRPr="00132536">
        <w:rPr>
          <w:b/>
          <w:bCs/>
          <w:u w:val="single"/>
        </w:rPr>
        <w:t xml:space="preserve">” </w:t>
      </w:r>
      <w:r w:rsidR="00132536" w:rsidRPr="00132536">
        <w:rPr>
          <w:b/>
          <w:bCs/>
          <w:u w:val="single"/>
        </w:rPr>
        <w:t>https://www.fhwa.dot.gov/environment/nevi/resources/state-plan-approval-suspension.pdf.</w:t>
      </w:r>
    </w:p>
  </w:footnote>
  <w:footnote w:id="4">
    <w:p w14:paraId="2F31194F" w14:textId="77777777" w:rsidR="000D6125" w:rsidRPr="00AC1FC6" w:rsidRDefault="000D6125" w:rsidP="000D6125">
      <w:pPr>
        <w:pStyle w:val="FootnoteText"/>
        <w:rPr>
          <w:b/>
          <w:bCs/>
          <w:u w:val="single"/>
        </w:rPr>
      </w:pPr>
      <w:r w:rsidRPr="00AC1FC6">
        <w:rPr>
          <w:rStyle w:val="FootnoteReference"/>
          <w:b/>
          <w:bCs/>
          <w:u w:val="single"/>
          <w:vertAlign w:val="baseline"/>
        </w:rPr>
        <w:footnoteRef/>
      </w:r>
      <w:r w:rsidRPr="00AC1FC6">
        <w:rPr>
          <w:b/>
          <w:bCs/>
          <w:u w:val="single"/>
        </w:rPr>
        <w:t xml:space="preserve"> The White House. January 20, 2025. </w:t>
      </w:r>
      <w:hyperlink r:id="rId3" w:history="1">
        <w:r w:rsidRPr="00AC1FC6">
          <w:rPr>
            <w:rStyle w:val="Hyperlink"/>
            <w:b/>
            <w:bCs/>
          </w:rPr>
          <w:t>Initial Rescissions of Harmful Executive Orders and Actions</w:t>
        </w:r>
      </w:hyperlink>
      <w:r w:rsidRPr="00AC1FC6">
        <w:rPr>
          <w:b/>
          <w:bCs/>
          <w:u w:val="single"/>
        </w:rPr>
        <w:t>. https://www.whitehouse.gov/presidential-actions/2025/01/initial-rescissions-of-harmful-executive-orders-and-actions/.</w:t>
      </w:r>
    </w:p>
  </w:footnote>
  <w:footnote w:id="5">
    <w:p w14:paraId="794F8950" w14:textId="7CAB24F7" w:rsidR="0020390B" w:rsidRPr="005A092B" w:rsidRDefault="005A092B">
      <w:pPr>
        <w:pStyle w:val="FootnoteText"/>
        <w:rPr>
          <w:strike/>
        </w:rPr>
      </w:pPr>
      <w:r w:rsidRPr="005A092B">
        <w:t>[</w:t>
      </w:r>
      <w:r w:rsidR="0020390B" w:rsidRPr="005A092B">
        <w:rPr>
          <w:rStyle w:val="FootnoteReference"/>
          <w:strike/>
          <w:vertAlign w:val="baseline"/>
        </w:rPr>
        <w:footnoteRef/>
      </w:r>
      <w:r w:rsidR="0020390B" w:rsidRPr="005A092B">
        <w:rPr>
          <w:strike/>
        </w:rPr>
        <w:t xml:space="preserve"> </w:t>
      </w:r>
      <w:r w:rsidR="009E1663" w:rsidRPr="005A092B">
        <w:rPr>
          <w:strike/>
        </w:rPr>
        <w:t xml:space="preserve">U.S. Department of Transportation, Federal Highway Administration. </w:t>
      </w:r>
      <w:hyperlink r:id="rId4" w:history="1">
        <w:r w:rsidR="009E1663" w:rsidRPr="005A092B">
          <w:rPr>
            <w:rStyle w:val="Hyperlink"/>
            <w:strike/>
          </w:rPr>
          <w:t>National Electric Vehicle Infrastructure (NEVI) Formula Program Guidance</w:t>
        </w:r>
      </w:hyperlink>
      <w:r w:rsidR="009E1663" w:rsidRPr="005A092B">
        <w:rPr>
          <w:strike/>
        </w:rPr>
        <w:t xml:space="preserve">. </w:t>
      </w:r>
      <w:r w:rsidR="00885E53" w:rsidRPr="005A092B">
        <w:rPr>
          <w:strike/>
        </w:rPr>
        <w:t>See Section IV, Project Eligibility Provisions.</w:t>
      </w:r>
      <w:r w:rsidR="00E3023C" w:rsidRPr="005A092B">
        <w:rPr>
          <w:strike/>
        </w:rPr>
        <w:t xml:space="preserve"> </w:t>
      </w:r>
      <w:r w:rsidR="009E1663" w:rsidRPr="005A092B">
        <w:rPr>
          <w:strike/>
        </w:rPr>
        <w:t>https://www.fhwa.dot.gov/environment/nevi/formula_prog_guid/90d_nevi_formula_program_guidance.pdf.</w:t>
      </w:r>
      <w:r w:rsidR="003018F4" w:rsidRPr="003018F4">
        <w:t>]</w:t>
      </w:r>
    </w:p>
  </w:footnote>
  <w:footnote w:id="6">
    <w:p w14:paraId="01804C7F" w14:textId="18442ECE" w:rsidR="00AD06F6" w:rsidRDefault="003018F4">
      <w:pPr>
        <w:pStyle w:val="FootnoteText"/>
      </w:pPr>
      <w:r w:rsidRPr="003018F4">
        <w:t>[</w:t>
      </w:r>
      <w:r w:rsidR="00AD06F6" w:rsidRPr="005A092B">
        <w:rPr>
          <w:rStyle w:val="FootnoteReference"/>
          <w:strike/>
          <w:vertAlign w:val="baseline"/>
        </w:rPr>
        <w:footnoteRef/>
      </w:r>
      <w:r w:rsidR="00AD06F6" w:rsidRPr="005A092B">
        <w:rPr>
          <w:strike/>
        </w:rPr>
        <w:t xml:space="preserve"> </w:t>
      </w:r>
      <w:hyperlink r:id="rId5" w:history="1">
        <w:r w:rsidR="007F1EA6" w:rsidRPr="005A092B">
          <w:rPr>
            <w:rStyle w:val="Hyperlink"/>
            <w:strike/>
          </w:rPr>
          <w:t>Ibid</w:t>
        </w:r>
      </w:hyperlink>
      <w:r w:rsidR="00BC1F8C" w:rsidRPr="005A092B">
        <w:rPr>
          <w:strike/>
        </w:rPr>
        <w:t>,</w:t>
      </w:r>
      <w:r w:rsidR="00AD06F6" w:rsidRPr="005A092B">
        <w:rPr>
          <w:strike/>
        </w:rPr>
        <w:t xml:space="preserve"> page 23, footnote 31: https://www.fhwa.dot.gov/environment/nevi/formula_prog_guid/90d_nevi_formula_program_guidance.pdf</w:t>
      </w:r>
      <w:r w:rsidR="00BC1F8C" w:rsidRPr="005A092B">
        <w:rPr>
          <w:strike/>
        </w:rPr>
        <w:t>.</w:t>
      </w:r>
      <w:r w:rsidR="005A092B" w:rsidRPr="005A092B">
        <w:t>]</w:t>
      </w:r>
    </w:p>
  </w:footnote>
  <w:footnote w:id="7">
    <w:p w14:paraId="2DF0F6F4" w14:textId="1FED1274" w:rsidR="003D3B75" w:rsidRPr="002742A3" w:rsidRDefault="003D3B75" w:rsidP="003D3B75">
      <w:pPr>
        <w:rPr>
          <w:rFonts w:ascii="Segoe UI" w:hAnsi="Segoe UI" w:cs="Segoe UI"/>
          <w:color w:val="333333"/>
          <w:sz w:val="20"/>
          <w:shd w:val="clear" w:color="auto" w:fill="FFFFFF"/>
        </w:rPr>
      </w:pPr>
      <w:r w:rsidRPr="002742A3">
        <w:rPr>
          <w:rStyle w:val="FootnoteReference"/>
          <w:sz w:val="20"/>
          <w:vertAlign w:val="baseline"/>
        </w:rPr>
        <w:footnoteRef/>
      </w:r>
      <w:r w:rsidRPr="002742A3">
        <w:rPr>
          <w:sz w:val="20"/>
        </w:rPr>
        <w:t xml:space="preserve"> </w:t>
      </w:r>
      <w:hyperlink r:id="rId6" w:history="1">
        <w:r w:rsidR="00D4721A" w:rsidRPr="008D6522">
          <w:rPr>
            <w:rStyle w:val="Hyperlink"/>
            <w:sz w:val="20"/>
          </w:rPr>
          <w:t>National Electric Vehicle Infrastructure Standards and Requirements</w:t>
        </w:r>
      </w:hyperlink>
      <w:r w:rsidR="008D6522">
        <w:rPr>
          <w:sz w:val="20"/>
        </w:rPr>
        <w:t>.</w:t>
      </w:r>
      <w:r w:rsidRPr="002742A3">
        <w:rPr>
          <w:sz w:val="20"/>
        </w:rPr>
        <w:t xml:space="preserve"> </w:t>
      </w:r>
      <w:r w:rsidRPr="008D6522">
        <w:rPr>
          <w:sz w:val="20"/>
        </w:rPr>
        <w:t>https://www.federalregister.gov/documents/2023/02/28/2023-03500/national-electric-vehicle-infrastructure-standards-and-requirements</w:t>
      </w:r>
      <w:r w:rsidR="008D6522">
        <w:rPr>
          <w:rStyle w:val="Hyperlink"/>
          <w:sz w:val="20"/>
        </w:rPr>
        <w:t>.</w:t>
      </w:r>
      <w:r w:rsidRPr="002742A3">
        <w:rPr>
          <w:sz w:val="20"/>
        </w:rPr>
        <w:t xml:space="preserve"> </w:t>
      </w:r>
    </w:p>
  </w:footnote>
  <w:footnote w:id="8">
    <w:p w14:paraId="078A04F5" w14:textId="77777777" w:rsidR="00BD029B" w:rsidRPr="004865B8" w:rsidRDefault="00BD029B" w:rsidP="00BD029B">
      <w:pPr>
        <w:pStyle w:val="FootnoteText"/>
      </w:pPr>
      <w:r w:rsidRPr="00B9044B">
        <w:rPr>
          <w:rStyle w:val="FootnoteReference"/>
          <w:vertAlign w:val="baseline"/>
        </w:rPr>
        <w:footnoteRef/>
      </w:r>
      <w:r>
        <w:t xml:space="preserve"> Caltrans. </w:t>
      </w:r>
      <w:hyperlink r:id="rId7" w:history="1">
        <w:r w:rsidRPr="00B61839">
          <w:rPr>
            <w:rStyle w:val="Hyperlink"/>
          </w:rPr>
          <w:t>California Manual on Uniform Traffic Control Devices</w:t>
        </w:r>
      </w:hyperlink>
      <w:r>
        <w:t xml:space="preserve">. </w:t>
      </w:r>
      <w:r w:rsidRPr="00B30CFC">
        <w:t>https://dot.ca.gov/programs/safety-programs/camutcd</w:t>
      </w:r>
      <w:r>
        <w:t>.</w:t>
      </w:r>
    </w:p>
  </w:footnote>
  <w:footnote w:id="9">
    <w:p w14:paraId="54ECCE5E" w14:textId="77777777" w:rsidR="00BD029B" w:rsidRDefault="00BD029B" w:rsidP="00BD029B">
      <w:pPr>
        <w:pStyle w:val="FootnoteText"/>
      </w:pPr>
      <w:r w:rsidRPr="00B9044B">
        <w:rPr>
          <w:rStyle w:val="FootnoteReference"/>
          <w:vertAlign w:val="baseline"/>
        </w:rPr>
        <w:footnoteRef/>
      </w:r>
      <w:r w:rsidRPr="004865B8">
        <w:t xml:space="preserve"> A directional sign displayed, usually with an arrow panel, off the freeway system to advise motorists where to turn </w:t>
      </w:r>
      <w:r w:rsidRPr="004865B8">
        <w:t>en route to a</w:t>
      </w:r>
      <w:r>
        <w:t xml:space="preserve"> destination.</w:t>
      </w:r>
    </w:p>
  </w:footnote>
  <w:footnote w:id="10">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936"/>
    <w:multiLevelType w:val="hybridMultilevel"/>
    <w:tmpl w:val="8248A76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30CA2D4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24A2"/>
    <w:multiLevelType w:val="hybridMultilevel"/>
    <w:tmpl w:val="0262CE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FD1F5D"/>
    <w:multiLevelType w:val="hybridMultilevel"/>
    <w:tmpl w:val="A02E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8158E"/>
    <w:multiLevelType w:val="singleLevel"/>
    <w:tmpl w:val="17EC227A"/>
    <w:styleLink w:val="StyleNumberedLeft25Hanging075"/>
    <w:lvl w:ilvl="0">
      <w:start w:val="1"/>
      <w:numFmt w:val="upperLetter"/>
      <w:lvlText w:val="%1."/>
      <w:lvlJc w:val="left"/>
      <w:pPr>
        <w:tabs>
          <w:tab w:val="num" w:pos="720"/>
        </w:tabs>
        <w:ind w:left="720" w:hanging="720"/>
      </w:pPr>
    </w:lvl>
  </w:abstractNum>
  <w:abstractNum w:abstractNumId="4" w15:restartNumberingAfterBreak="0">
    <w:nsid w:val="05606E70"/>
    <w:multiLevelType w:val="singleLevel"/>
    <w:tmpl w:val="17EC227A"/>
    <w:styleLink w:val="StyleNumbered11ptLeft025Hanging05"/>
    <w:lvl w:ilvl="0">
      <w:start w:val="1"/>
      <w:numFmt w:val="upperLetter"/>
      <w:pStyle w:val="Heading4"/>
      <w:lvlText w:val="%1."/>
      <w:lvlJc w:val="left"/>
      <w:pPr>
        <w:tabs>
          <w:tab w:val="num" w:pos="720"/>
        </w:tabs>
        <w:ind w:left="720" w:hanging="720"/>
      </w:pPr>
    </w:lvl>
  </w:abstractNum>
  <w:abstractNum w:abstractNumId="5" w15:restartNumberingAfterBreak="0">
    <w:nsid w:val="0AF87422"/>
    <w:multiLevelType w:val="hybridMultilevel"/>
    <w:tmpl w:val="36B08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720" w:hanging="360"/>
      </w:p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83"/>
    <w:multiLevelType w:val="multilevel"/>
    <w:tmpl w:val="1C621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162138F"/>
    <w:multiLevelType w:val="hybridMultilevel"/>
    <w:tmpl w:val="07EC2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3A7EF0"/>
    <w:multiLevelType w:val="hybridMultilevel"/>
    <w:tmpl w:val="09E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2208E"/>
    <w:multiLevelType w:val="hybridMultilevel"/>
    <w:tmpl w:val="541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27D07"/>
    <w:multiLevelType w:val="hybridMultilevel"/>
    <w:tmpl w:val="762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4" w15:restartNumberingAfterBreak="0">
    <w:nsid w:val="19544EEA"/>
    <w:multiLevelType w:val="hybridMultilevel"/>
    <w:tmpl w:val="7D32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45415"/>
    <w:multiLevelType w:val="hybridMultilevel"/>
    <w:tmpl w:val="33521DFE"/>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C2C0824"/>
    <w:multiLevelType w:val="hybridMultilevel"/>
    <w:tmpl w:val="83B0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23F1D"/>
    <w:multiLevelType w:val="hybridMultilevel"/>
    <w:tmpl w:val="FDA2B4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D33688F"/>
    <w:multiLevelType w:val="hybridMultilevel"/>
    <w:tmpl w:val="22D82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35198"/>
    <w:multiLevelType w:val="hybridMultilevel"/>
    <w:tmpl w:val="0694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22" w15:restartNumberingAfterBreak="0">
    <w:nsid w:val="236D512E"/>
    <w:multiLevelType w:val="hybridMultilevel"/>
    <w:tmpl w:val="A73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074EFD"/>
    <w:multiLevelType w:val="hybridMultilevel"/>
    <w:tmpl w:val="10F00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126627"/>
    <w:multiLevelType w:val="hybridMultilevel"/>
    <w:tmpl w:val="686A32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9F67ACA"/>
    <w:multiLevelType w:val="hybridMultilevel"/>
    <w:tmpl w:val="91A6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536987"/>
    <w:multiLevelType w:val="hybridMultilevel"/>
    <w:tmpl w:val="5FF2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E50290"/>
    <w:multiLevelType w:val="hybridMultilevel"/>
    <w:tmpl w:val="9ADECC76"/>
    <w:lvl w:ilvl="0" w:tplc="0409000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CC005C8">
      <w:start w:val="3"/>
      <w:numFmt w:val="bullet"/>
      <w:lvlText w:val="•"/>
      <w:lvlJc w:val="left"/>
      <w:pPr>
        <w:ind w:left="4860" w:hanging="720"/>
      </w:pPr>
      <w:rPr>
        <w:rFonts w:ascii="Tahoma" w:eastAsia="Times New Roman" w:hAnsi="Tahoma" w:cs="Tahoma"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054DCC"/>
    <w:multiLevelType w:val="hybridMultilevel"/>
    <w:tmpl w:val="A80A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19A0C1E"/>
    <w:multiLevelType w:val="hybridMultilevel"/>
    <w:tmpl w:val="05A2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7C01DB"/>
    <w:multiLevelType w:val="hybridMultilevel"/>
    <w:tmpl w:val="B92C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0C1B77"/>
    <w:multiLevelType w:val="hybridMultilevel"/>
    <w:tmpl w:val="705C0F2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251239"/>
    <w:multiLevelType w:val="hybridMultilevel"/>
    <w:tmpl w:val="7C1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466FE"/>
    <w:multiLevelType w:val="hybridMultilevel"/>
    <w:tmpl w:val="E494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57B5F4"/>
    <w:multiLevelType w:val="hybridMultilevel"/>
    <w:tmpl w:val="FFFFFFFF"/>
    <w:lvl w:ilvl="0" w:tplc="6C963C0C">
      <w:start w:val="1"/>
      <w:numFmt w:val="bullet"/>
      <w:lvlText w:val=""/>
      <w:lvlJc w:val="left"/>
      <w:pPr>
        <w:ind w:left="720" w:hanging="360"/>
      </w:pPr>
      <w:rPr>
        <w:rFonts w:ascii="Symbol" w:hAnsi="Symbol" w:hint="default"/>
      </w:rPr>
    </w:lvl>
    <w:lvl w:ilvl="1" w:tplc="03201D02">
      <w:start w:val="1"/>
      <w:numFmt w:val="bullet"/>
      <w:lvlText w:val="·"/>
      <w:lvlJc w:val="left"/>
      <w:pPr>
        <w:ind w:left="1440" w:hanging="360"/>
      </w:pPr>
      <w:rPr>
        <w:rFonts w:ascii="Symbol" w:hAnsi="Symbol" w:hint="default"/>
      </w:rPr>
    </w:lvl>
    <w:lvl w:ilvl="2" w:tplc="1BB8A436">
      <w:start w:val="1"/>
      <w:numFmt w:val="bullet"/>
      <w:lvlText w:val=""/>
      <w:lvlJc w:val="left"/>
      <w:pPr>
        <w:ind w:left="2160" w:hanging="360"/>
      </w:pPr>
      <w:rPr>
        <w:rFonts w:ascii="Wingdings" w:hAnsi="Wingdings" w:hint="default"/>
      </w:rPr>
    </w:lvl>
    <w:lvl w:ilvl="3" w:tplc="34C018FE">
      <w:start w:val="1"/>
      <w:numFmt w:val="bullet"/>
      <w:lvlText w:val=""/>
      <w:lvlJc w:val="left"/>
      <w:pPr>
        <w:ind w:left="2880" w:hanging="360"/>
      </w:pPr>
      <w:rPr>
        <w:rFonts w:ascii="Symbol" w:hAnsi="Symbol" w:hint="default"/>
      </w:rPr>
    </w:lvl>
    <w:lvl w:ilvl="4" w:tplc="2F3670CA">
      <w:start w:val="1"/>
      <w:numFmt w:val="bullet"/>
      <w:lvlText w:val="o"/>
      <w:lvlJc w:val="left"/>
      <w:pPr>
        <w:ind w:left="3600" w:hanging="360"/>
      </w:pPr>
      <w:rPr>
        <w:rFonts w:ascii="Courier New" w:hAnsi="Courier New" w:hint="default"/>
      </w:rPr>
    </w:lvl>
    <w:lvl w:ilvl="5" w:tplc="69348420">
      <w:start w:val="1"/>
      <w:numFmt w:val="bullet"/>
      <w:lvlText w:val=""/>
      <w:lvlJc w:val="left"/>
      <w:pPr>
        <w:ind w:left="4320" w:hanging="360"/>
      </w:pPr>
      <w:rPr>
        <w:rFonts w:ascii="Wingdings" w:hAnsi="Wingdings" w:hint="default"/>
      </w:rPr>
    </w:lvl>
    <w:lvl w:ilvl="6" w:tplc="263A0BCC">
      <w:start w:val="1"/>
      <w:numFmt w:val="bullet"/>
      <w:lvlText w:val=""/>
      <w:lvlJc w:val="left"/>
      <w:pPr>
        <w:ind w:left="5040" w:hanging="360"/>
      </w:pPr>
      <w:rPr>
        <w:rFonts w:ascii="Symbol" w:hAnsi="Symbol" w:hint="default"/>
      </w:rPr>
    </w:lvl>
    <w:lvl w:ilvl="7" w:tplc="0EF42C5C">
      <w:start w:val="1"/>
      <w:numFmt w:val="bullet"/>
      <w:lvlText w:val="o"/>
      <w:lvlJc w:val="left"/>
      <w:pPr>
        <w:ind w:left="5760" w:hanging="360"/>
      </w:pPr>
      <w:rPr>
        <w:rFonts w:ascii="Courier New" w:hAnsi="Courier New" w:hint="default"/>
      </w:rPr>
    </w:lvl>
    <w:lvl w:ilvl="8" w:tplc="48C2B43E">
      <w:start w:val="1"/>
      <w:numFmt w:val="bullet"/>
      <w:lvlText w:val=""/>
      <w:lvlJc w:val="left"/>
      <w:pPr>
        <w:ind w:left="6480" w:hanging="360"/>
      </w:pPr>
      <w:rPr>
        <w:rFonts w:ascii="Wingdings" w:hAnsi="Wingdings" w:hint="default"/>
      </w:rPr>
    </w:lvl>
  </w:abstractNum>
  <w:abstractNum w:abstractNumId="40"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41" w15:restartNumberingAfterBreak="0">
    <w:nsid w:val="36DB2BEC"/>
    <w:multiLevelType w:val="hybridMultilevel"/>
    <w:tmpl w:val="F6F6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EF214C"/>
    <w:multiLevelType w:val="hybridMultilevel"/>
    <w:tmpl w:val="5E7C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493BB9"/>
    <w:multiLevelType w:val="hybridMultilevel"/>
    <w:tmpl w:val="BDA0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46" w15:restartNumberingAfterBreak="0">
    <w:nsid w:val="3D7C6BB1"/>
    <w:multiLevelType w:val="multilevel"/>
    <w:tmpl w:val="AB3CBF76"/>
    <w:lvl w:ilvl="0">
      <w:start w:val="1"/>
      <w:numFmt w:val="lowerLetter"/>
      <w:lvlText w:val="%1."/>
      <w:lvlJc w:val="left"/>
      <w:pPr>
        <w:ind w:left="1080" w:hanging="360"/>
      </w:pPr>
      <w:rPr>
        <w:rFonts w:ascii="Arial" w:hAnsi="Arial" w:cs="Arial" w:hint="default"/>
        <w:b w:val="0"/>
        <w:i w:val="0"/>
        <w:iCs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D83065E"/>
    <w:multiLevelType w:val="hybridMultilevel"/>
    <w:tmpl w:val="DFB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3F66A0"/>
    <w:multiLevelType w:val="hybridMultilevel"/>
    <w:tmpl w:val="A984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B20077"/>
    <w:multiLevelType w:val="hybridMultilevel"/>
    <w:tmpl w:val="010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6429B4"/>
    <w:multiLevelType w:val="hybridMultilevel"/>
    <w:tmpl w:val="45E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4622EE8"/>
    <w:multiLevelType w:val="hybridMultilevel"/>
    <w:tmpl w:val="60AE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9B3984"/>
    <w:multiLevelType w:val="hybridMultilevel"/>
    <w:tmpl w:val="5FD8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9F5CC1"/>
    <w:multiLevelType w:val="hybridMultilevel"/>
    <w:tmpl w:val="585EA5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495334AA"/>
    <w:multiLevelType w:val="hybridMultilevel"/>
    <w:tmpl w:val="5DB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CD124B"/>
    <w:multiLevelType w:val="hybridMultilevel"/>
    <w:tmpl w:val="8248A76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C4C492B"/>
    <w:multiLevelType w:val="hybridMultilevel"/>
    <w:tmpl w:val="91DE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87252C"/>
    <w:multiLevelType w:val="hybridMultilevel"/>
    <w:tmpl w:val="98E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C44760"/>
    <w:multiLevelType w:val="hybridMultilevel"/>
    <w:tmpl w:val="D1843A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4D5A334F"/>
    <w:multiLevelType w:val="multilevel"/>
    <w:tmpl w:val="DD58114A"/>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4DD07B0A"/>
    <w:multiLevelType w:val="hybridMultilevel"/>
    <w:tmpl w:val="0EDE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F528A9"/>
    <w:multiLevelType w:val="hybridMultilevel"/>
    <w:tmpl w:val="1D2217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5" w15:restartNumberingAfterBreak="0">
    <w:nsid w:val="50AC2179"/>
    <w:multiLevelType w:val="hybridMultilevel"/>
    <w:tmpl w:val="BFC8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031C47"/>
    <w:multiLevelType w:val="hybridMultilevel"/>
    <w:tmpl w:val="0D66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7B6F0D"/>
    <w:multiLevelType w:val="hybridMultilevel"/>
    <w:tmpl w:val="3ACCF3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548C4891"/>
    <w:multiLevelType w:val="hybridMultilevel"/>
    <w:tmpl w:val="9E0EE5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548C54A8"/>
    <w:multiLevelType w:val="hybridMultilevel"/>
    <w:tmpl w:val="E40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E26006"/>
    <w:multiLevelType w:val="hybridMultilevel"/>
    <w:tmpl w:val="352081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1"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D822EA"/>
    <w:multiLevelType w:val="multilevel"/>
    <w:tmpl w:val="FF108E98"/>
    <w:styleLink w:val="RFP2"/>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5" w15:restartNumberingAfterBreak="0">
    <w:nsid w:val="61FF3B7E"/>
    <w:multiLevelType w:val="hybridMultilevel"/>
    <w:tmpl w:val="84A2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4A00C5"/>
    <w:multiLevelType w:val="hybridMultilevel"/>
    <w:tmpl w:val="4E4E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9229F"/>
    <w:multiLevelType w:val="hybridMultilevel"/>
    <w:tmpl w:val="BF8C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65802B00"/>
    <w:multiLevelType w:val="hybridMultilevel"/>
    <w:tmpl w:val="C5201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2666FF"/>
    <w:multiLevelType w:val="hybridMultilevel"/>
    <w:tmpl w:val="2BF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107945"/>
    <w:multiLevelType w:val="multilevel"/>
    <w:tmpl w:val="EBE4128C"/>
    <w:styleLink w:val="RFP"/>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CF541B1"/>
    <w:multiLevelType w:val="hybridMultilevel"/>
    <w:tmpl w:val="D692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071719D"/>
    <w:multiLevelType w:val="hybridMultilevel"/>
    <w:tmpl w:val="E732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AB0C10"/>
    <w:multiLevelType w:val="hybridMultilevel"/>
    <w:tmpl w:val="B9B4B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F">
      <w:start w:val="1"/>
      <w:numFmt w:val="decimal"/>
      <w:lvlText w:val="%7."/>
      <w:lvlJc w:val="left"/>
      <w:pPr>
        <w:ind w:left="2880" w:hanging="360"/>
      </w:p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824559"/>
    <w:multiLevelType w:val="hybridMultilevel"/>
    <w:tmpl w:val="3716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92" w15:restartNumberingAfterBreak="0">
    <w:nsid w:val="7C5651E6"/>
    <w:multiLevelType w:val="hybridMultilevel"/>
    <w:tmpl w:val="3C088D3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94553493">
    <w:abstractNumId w:val="4"/>
  </w:num>
  <w:num w:numId="2" w16cid:durableId="2122607636">
    <w:abstractNumId w:val="3"/>
  </w:num>
  <w:num w:numId="3" w16cid:durableId="1998533545">
    <w:abstractNumId w:val="83"/>
  </w:num>
  <w:num w:numId="4" w16cid:durableId="1928027955">
    <w:abstractNumId w:val="74"/>
  </w:num>
  <w:num w:numId="5" w16cid:durableId="101536201">
    <w:abstractNumId w:val="89"/>
  </w:num>
  <w:num w:numId="6" w16cid:durableId="314337568">
    <w:abstractNumId w:val="11"/>
  </w:num>
  <w:num w:numId="7" w16cid:durableId="1432821712">
    <w:abstractNumId w:val="73"/>
  </w:num>
  <w:num w:numId="8" w16cid:durableId="1154683687">
    <w:abstractNumId w:val="32"/>
  </w:num>
  <w:num w:numId="9" w16cid:durableId="1073508607">
    <w:abstractNumId w:val="41"/>
  </w:num>
  <w:num w:numId="10" w16cid:durableId="1148785204">
    <w:abstractNumId w:val="31"/>
  </w:num>
  <w:num w:numId="11" w16cid:durableId="179007202">
    <w:abstractNumId w:val="71"/>
  </w:num>
  <w:num w:numId="12" w16cid:durableId="1198589554">
    <w:abstractNumId w:val="49"/>
  </w:num>
  <w:num w:numId="13" w16cid:durableId="777069656">
    <w:abstractNumId w:val="36"/>
  </w:num>
  <w:num w:numId="14" w16cid:durableId="1011835622">
    <w:abstractNumId w:val="43"/>
  </w:num>
  <w:num w:numId="15" w16cid:durableId="850022999">
    <w:abstractNumId w:val="42"/>
  </w:num>
  <w:num w:numId="16" w16cid:durableId="36125900">
    <w:abstractNumId w:val="78"/>
  </w:num>
  <w:num w:numId="17" w16cid:durableId="2126579679">
    <w:abstractNumId w:val="7"/>
  </w:num>
  <w:num w:numId="18" w16cid:durableId="1432624357">
    <w:abstractNumId w:val="6"/>
  </w:num>
  <w:num w:numId="19" w16cid:durableId="215514059">
    <w:abstractNumId w:val="72"/>
  </w:num>
  <w:num w:numId="20" w16cid:durableId="1985813045">
    <w:abstractNumId w:val="58"/>
  </w:num>
  <w:num w:numId="21" w16cid:durableId="1006205520">
    <w:abstractNumId w:val="52"/>
  </w:num>
  <w:num w:numId="22" w16cid:durableId="1379158843">
    <w:abstractNumId w:val="46"/>
  </w:num>
  <w:num w:numId="23" w16cid:durableId="142282475">
    <w:abstractNumId w:val="85"/>
  </w:num>
  <w:num w:numId="24" w16cid:durableId="2009555090">
    <w:abstractNumId w:val="79"/>
  </w:num>
  <w:num w:numId="25" w16cid:durableId="1656445594">
    <w:abstractNumId w:val="40"/>
  </w:num>
  <w:num w:numId="26" w16cid:durableId="361325984">
    <w:abstractNumId w:val="91"/>
  </w:num>
  <w:num w:numId="27" w16cid:durableId="22365530">
    <w:abstractNumId w:val="81"/>
  </w:num>
  <w:num w:numId="28" w16cid:durableId="1292710732">
    <w:abstractNumId w:val="0"/>
  </w:num>
  <w:num w:numId="29" w16cid:durableId="1812212499">
    <w:abstractNumId w:val="87"/>
  </w:num>
  <w:num w:numId="30" w16cid:durableId="338000197">
    <w:abstractNumId w:val="20"/>
  </w:num>
  <w:num w:numId="31" w16cid:durableId="1105728220">
    <w:abstractNumId w:val="26"/>
  </w:num>
  <w:num w:numId="32" w16cid:durableId="940066995">
    <w:abstractNumId w:val="25"/>
  </w:num>
  <w:num w:numId="33" w16cid:durableId="515273076">
    <w:abstractNumId w:val="21"/>
  </w:num>
  <w:num w:numId="34" w16cid:durableId="1738287604">
    <w:abstractNumId w:val="45"/>
  </w:num>
  <w:num w:numId="35" w16cid:durableId="658579094">
    <w:abstractNumId w:val="13"/>
  </w:num>
  <w:num w:numId="36" w16cid:durableId="718431095">
    <w:abstractNumId w:val="22"/>
  </w:num>
  <w:num w:numId="37" w16cid:durableId="310251045">
    <w:abstractNumId w:val="29"/>
  </w:num>
  <w:num w:numId="38" w16cid:durableId="1609506603">
    <w:abstractNumId w:val="23"/>
  </w:num>
  <w:num w:numId="39" w16cid:durableId="1729962663">
    <w:abstractNumId w:val="5"/>
  </w:num>
  <w:num w:numId="40" w16cid:durableId="1013651592">
    <w:abstractNumId w:val="64"/>
  </w:num>
  <w:num w:numId="41" w16cid:durableId="1569261754">
    <w:abstractNumId w:val="1"/>
  </w:num>
  <w:num w:numId="42" w16cid:durableId="1415005222">
    <w:abstractNumId w:val="35"/>
  </w:num>
  <w:num w:numId="43" w16cid:durableId="365718340">
    <w:abstractNumId w:val="68"/>
  </w:num>
  <w:num w:numId="44" w16cid:durableId="1253203628">
    <w:abstractNumId w:val="55"/>
  </w:num>
  <w:num w:numId="45" w16cid:durableId="432214782">
    <w:abstractNumId w:val="61"/>
  </w:num>
  <w:num w:numId="46" w16cid:durableId="793594284">
    <w:abstractNumId w:val="12"/>
  </w:num>
  <w:num w:numId="47" w16cid:durableId="1538539882">
    <w:abstractNumId w:val="47"/>
  </w:num>
  <w:num w:numId="48" w16cid:durableId="675768799">
    <w:abstractNumId w:val="63"/>
  </w:num>
  <w:num w:numId="49" w16cid:durableId="782457646">
    <w:abstractNumId w:val="53"/>
  </w:num>
  <w:num w:numId="50" w16cid:durableId="1889956332">
    <w:abstractNumId w:val="28"/>
  </w:num>
  <w:num w:numId="51" w16cid:durableId="646594171">
    <w:abstractNumId w:val="34"/>
  </w:num>
  <w:num w:numId="52" w16cid:durableId="586309831">
    <w:abstractNumId w:val="84"/>
  </w:num>
  <w:num w:numId="53" w16cid:durableId="618605304">
    <w:abstractNumId w:val="30"/>
  </w:num>
  <w:num w:numId="54" w16cid:durableId="740635124">
    <w:abstractNumId w:val="9"/>
  </w:num>
  <w:num w:numId="55" w16cid:durableId="553389539">
    <w:abstractNumId w:val="76"/>
  </w:num>
  <w:num w:numId="56" w16cid:durableId="1582249762">
    <w:abstractNumId w:val="50"/>
  </w:num>
  <w:num w:numId="57" w16cid:durableId="1051999465">
    <w:abstractNumId w:val="90"/>
  </w:num>
  <w:num w:numId="58" w16cid:durableId="974529912">
    <w:abstractNumId w:val="10"/>
  </w:num>
  <w:num w:numId="59" w16cid:durableId="159124455">
    <w:abstractNumId w:val="59"/>
  </w:num>
  <w:num w:numId="60" w16cid:durableId="1826511205">
    <w:abstractNumId w:val="48"/>
  </w:num>
  <w:num w:numId="61" w16cid:durableId="1346788271">
    <w:abstractNumId w:val="19"/>
  </w:num>
  <w:num w:numId="62" w16cid:durableId="1725133755">
    <w:abstractNumId w:val="16"/>
  </w:num>
  <w:num w:numId="63" w16cid:durableId="259608772">
    <w:abstractNumId w:val="54"/>
  </w:num>
  <w:num w:numId="64" w16cid:durableId="1873223951">
    <w:abstractNumId w:val="2"/>
  </w:num>
  <w:num w:numId="65" w16cid:durableId="1734549771">
    <w:abstractNumId w:val="77"/>
  </w:num>
  <w:num w:numId="66" w16cid:durableId="1352300399">
    <w:abstractNumId w:val="38"/>
  </w:num>
  <w:num w:numId="67" w16cid:durableId="829058106">
    <w:abstractNumId w:val="56"/>
  </w:num>
  <w:num w:numId="68" w16cid:durableId="1857232271">
    <w:abstractNumId w:val="33"/>
  </w:num>
  <w:num w:numId="69" w16cid:durableId="671685908">
    <w:abstractNumId w:val="37"/>
  </w:num>
  <w:num w:numId="70" w16cid:durableId="1198666954">
    <w:abstractNumId w:val="69"/>
  </w:num>
  <w:num w:numId="71" w16cid:durableId="1251427047">
    <w:abstractNumId w:val="65"/>
  </w:num>
  <w:num w:numId="72" w16cid:durableId="837116629">
    <w:abstractNumId w:val="60"/>
  </w:num>
  <w:num w:numId="73" w16cid:durableId="1616980733">
    <w:abstractNumId w:val="82"/>
  </w:num>
  <w:num w:numId="74" w16cid:durableId="1213813219">
    <w:abstractNumId w:val="27"/>
  </w:num>
  <w:num w:numId="75" w16cid:durableId="1075935440">
    <w:abstractNumId w:val="14"/>
  </w:num>
  <w:num w:numId="76" w16cid:durableId="1714117513">
    <w:abstractNumId w:val="75"/>
  </w:num>
  <w:num w:numId="77" w16cid:durableId="238835235">
    <w:abstractNumId w:val="51"/>
  </w:num>
  <w:num w:numId="78" w16cid:durableId="1912232611">
    <w:abstractNumId w:val="86"/>
  </w:num>
  <w:num w:numId="79" w16cid:durableId="703289358">
    <w:abstractNumId w:val="66"/>
  </w:num>
  <w:num w:numId="80" w16cid:durableId="217860449">
    <w:abstractNumId w:val="39"/>
  </w:num>
  <w:num w:numId="81" w16cid:durableId="1997490523">
    <w:abstractNumId w:val="88"/>
  </w:num>
  <w:num w:numId="82" w16cid:durableId="1115632098">
    <w:abstractNumId w:val="17"/>
  </w:num>
  <w:num w:numId="83" w16cid:durableId="1877111123">
    <w:abstractNumId w:val="67"/>
  </w:num>
  <w:num w:numId="84" w16cid:durableId="717053905">
    <w:abstractNumId w:val="8"/>
  </w:num>
  <w:num w:numId="85" w16cid:durableId="1876038877">
    <w:abstractNumId w:val="15"/>
  </w:num>
  <w:num w:numId="86" w16cid:durableId="1243566420">
    <w:abstractNumId w:val="44"/>
  </w:num>
  <w:num w:numId="87" w16cid:durableId="1881936575">
    <w:abstractNumId w:val="57"/>
  </w:num>
  <w:num w:numId="88" w16cid:durableId="278417736">
    <w:abstractNumId w:val="62"/>
  </w:num>
  <w:num w:numId="89" w16cid:durableId="1770663554">
    <w:abstractNumId w:val="80"/>
  </w:num>
  <w:num w:numId="90" w16cid:durableId="1090931618">
    <w:abstractNumId w:val="70"/>
  </w:num>
  <w:num w:numId="91" w16cid:durableId="1243760228">
    <w:abstractNumId w:val="18"/>
  </w:num>
  <w:num w:numId="92" w16cid:durableId="1920089588">
    <w:abstractNumId w:val="24"/>
  </w:num>
  <w:num w:numId="93" w16cid:durableId="177669391">
    <w:abstractNumId w:val="9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700"/>
    <w:rsid w:val="0000082A"/>
    <w:rsid w:val="00000A55"/>
    <w:rsid w:val="00000C0B"/>
    <w:rsid w:val="00000D2D"/>
    <w:rsid w:val="000019A4"/>
    <w:rsid w:val="00001C60"/>
    <w:rsid w:val="00001E88"/>
    <w:rsid w:val="000026DD"/>
    <w:rsid w:val="00002A82"/>
    <w:rsid w:val="00002AC2"/>
    <w:rsid w:val="00003501"/>
    <w:rsid w:val="000037F0"/>
    <w:rsid w:val="00003BC0"/>
    <w:rsid w:val="00004497"/>
    <w:rsid w:val="00004CB7"/>
    <w:rsid w:val="00004F7C"/>
    <w:rsid w:val="000051BB"/>
    <w:rsid w:val="00005372"/>
    <w:rsid w:val="00005393"/>
    <w:rsid w:val="00005822"/>
    <w:rsid w:val="00005A8F"/>
    <w:rsid w:val="00005B83"/>
    <w:rsid w:val="00005E4F"/>
    <w:rsid w:val="00005E7A"/>
    <w:rsid w:val="00006CC8"/>
    <w:rsid w:val="0000779E"/>
    <w:rsid w:val="00007B63"/>
    <w:rsid w:val="00007F2D"/>
    <w:rsid w:val="00010355"/>
    <w:rsid w:val="00010759"/>
    <w:rsid w:val="00010F21"/>
    <w:rsid w:val="00010F37"/>
    <w:rsid w:val="00010FC4"/>
    <w:rsid w:val="000114E5"/>
    <w:rsid w:val="0001176C"/>
    <w:rsid w:val="00011CA8"/>
    <w:rsid w:val="00012286"/>
    <w:rsid w:val="000124A3"/>
    <w:rsid w:val="00013025"/>
    <w:rsid w:val="00013057"/>
    <w:rsid w:val="0001353F"/>
    <w:rsid w:val="00013AAD"/>
    <w:rsid w:val="00013F33"/>
    <w:rsid w:val="0001413A"/>
    <w:rsid w:val="0001469A"/>
    <w:rsid w:val="000146FF"/>
    <w:rsid w:val="000149E1"/>
    <w:rsid w:val="00014FA5"/>
    <w:rsid w:val="00015049"/>
    <w:rsid w:val="00015313"/>
    <w:rsid w:val="0001576F"/>
    <w:rsid w:val="0001599A"/>
    <w:rsid w:val="00015D50"/>
    <w:rsid w:val="000160AE"/>
    <w:rsid w:val="000160C1"/>
    <w:rsid w:val="0001613D"/>
    <w:rsid w:val="000162FD"/>
    <w:rsid w:val="00016303"/>
    <w:rsid w:val="000167C7"/>
    <w:rsid w:val="0001750D"/>
    <w:rsid w:val="00017556"/>
    <w:rsid w:val="000175F7"/>
    <w:rsid w:val="00017BF5"/>
    <w:rsid w:val="00017E19"/>
    <w:rsid w:val="00020361"/>
    <w:rsid w:val="00020377"/>
    <w:rsid w:val="000205F0"/>
    <w:rsid w:val="00020CCA"/>
    <w:rsid w:val="00020DA2"/>
    <w:rsid w:val="000210B3"/>
    <w:rsid w:val="000214B6"/>
    <w:rsid w:val="000217FE"/>
    <w:rsid w:val="00022012"/>
    <w:rsid w:val="000224E8"/>
    <w:rsid w:val="00022635"/>
    <w:rsid w:val="000226C0"/>
    <w:rsid w:val="000228CC"/>
    <w:rsid w:val="00022914"/>
    <w:rsid w:val="00022DC9"/>
    <w:rsid w:val="0002334D"/>
    <w:rsid w:val="0002347F"/>
    <w:rsid w:val="0002352F"/>
    <w:rsid w:val="0002354C"/>
    <w:rsid w:val="000235DE"/>
    <w:rsid w:val="00023752"/>
    <w:rsid w:val="00023BBE"/>
    <w:rsid w:val="000241C8"/>
    <w:rsid w:val="000242F3"/>
    <w:rsid w:val="00025632"/>
    <w:rsid w:val="00025DD0"/>
    <w:rsid w:val="000260D8"/>
    <w:rsid w:val="0002662C"/>
    <w:rsid w:val="00026CA3"/>
    <w:rsid w:val="00026CA4"/>
    <w:rsid w:val="0002734A"/>
    <w:rsid w:val="000276F2"/>
    <w:rsid w:val="00027CDD"/>
    <w:rsid w:val="00027D38"/>
    <w:rsid w:val="00030213"/>
    <w:rsid w:val="000305B0"/>
    <w:rsid w:val="00030617"/>
    <w:rsid w:val="0003180D"/>
    <w:rsid w:val="0003286E"/>
    <w:rsid w:val="00032F16"/>
    <w:rsid w:val="00032F46"/>
    <w:rsid w:val="00032FFD"/>
    <w:rsid w:val="0003304E"/>
    <w:rsid w:val="0003305D"/>
    <w:rsid w:val="000336F0"/>
    <w:rsid w:val="00033B34"/>
    <w:rsid w:val="00034151"/>
    <w:rsid w:val="000343E4"/>
    <w:rsid w:val="00034740"/>
    <w:rsid w:val="000347EC"/>
    <w:rsid w:val="00034AD4"/>
    <w:rsid w:val="00035928"/>
    <w:rsid w:val="000359EB"/>
    <w:rsid w:val="00035D62"/>
    <w:rsid w:val="00036645"/>
    <w:rsid w:val="00036D74"/>
    <w:rsid w:val="00036FBB"/>
    <w:rsid w:val="00037199"/>
    <w:rsid w:val="000378EE"/>
    <w:rsid w:val="0004055B"/>
    <w:rsid w:val="00040B75"/>
    <w:rsid w:val="0004113E"/>
    <w:rsid w:val="0004180B"/>
    <w:rsid w:val="00041EEA"/>
    <w:rsid w:val="000420BE"/>
    <w:rsid w:val="00042256"/>
    <w:rsid w:val="000425D8"/>
    <w:rsid w:val="00042630"/>
    <w:rsid w:val="00042E1F"/>
    <w:rsid w:val="00042FF6"/>
    <w:rsid w:val="00043070"/>
    <w:rsid w:val="00043115"/>
    <w:rsid w:val="00043379"/>
    <w:rsid w:val="000437FA"/>
    <w:rsid w:val="00043C79"/>
    <w:rsid w:val="00043CC6"/>
    <w:rsid w:val="000445E0"/>
    <w:rsid w:val="000447F1"/>
    <w:rsid w:val="00045081"/>
    <w:rsid w:val="000453D3"/>
    <w:rsid w:val="000453FB"/>
    <w:rsid w:val="0004546A"/>
    <w:rsid w:val="00045720"/>
    <w:rsid w:val="0004574C"/>
    <w:rsid w:val="00045B5C"/>
    <w:rsid w:val="00045BCA"/>
    <w:rsid w:val="00045C44"/>
    <w:rsid w:val="00045DBA"/>
    <w:rsid w:val="00045F2B"/>
    <w:rsid w:val="00046121"/>
    <w:rsid w:val="00046242"/>
    <w:rsid w:val="00046983"/>
    <w:rsid w:val="00046CAD"/>
    <w:rsid w:val="00046D73"/>
    <w:rsid w:val="0004772F"/>
    <w:rsid w:val="00047A8C"/>
    <w:rsid w:val="00047E93"/>
    <w:rsid w:val="00050087"/>
    <w:rsid w:val="00050A62"/>
    <w:rsid w:val="00051017"/>
    <w:rsid w:val="00051140"/>
    <w:rsid w:val="000518CF"/>
    <w:rsid w:val="00051A54"/>
    <w:rsid w:val="00051DE4"/>
    <w:rsid w:val="00052193"/>
    <w:rsid w:val="00052932"/>
    <w:rsid w:val="00052A64"/>
    <w:rsid w:val="00052B4F"/>
    <w:rsid w:val="00052F7C"/>
    <w:rsid w:val="0005326E"/>
    <w:rsid w:val="0005351C"/>
    <w:rsid w:val="000546B0"/>
    <w:rsid w:val="00054A70"/>
    <w:rsid w:val="00054CB1"/>
    <w:rsid w:val="000551C8"/>
    <w:rsid w:val="00055531"/>
    <w:rsid w:val="00055690"/>
    <w:rsid w:val="000559D2"/>
    <w:rsid w:val="00055A6C"/>
    <w:rsid w:val="00055BF4"/>
    <w:rsid w:val="00055C1B"/>
    <w:rsid w:val="000560A1"/>
    <w:rsid w:val="000565FF"/>
    <w:rsid w:val="00057209"/>
    <w:rsid w:val="00057527"/>
    <w:rsid w:val="000576AE"/>
    <w:rsid w:val="00057768"/>
    <w:rsid w:val="00060107"/>
    <w:rsid w:val="0006074D"/>
    <w:rsid w:val="00060A41"/>
    <w:rsid w:val="00060C4A"/>
    <w:rsid w:val="00060E2C"/>
    <w:rsid w:val="00061760"/>
    <w:rsid w:val="00061B76"/>
    <w:rsid w:val="00061D0F"/>
    <w:rsid w:val="0006222E"/>
    <w:rsid w:val="0006256F"/>
    <w:rsid w:val="00063FD9"/>
    <w:rsid w:val="000640B0"/>
    <w:rsid w:val="000640F9"/>
    <w:rsid w:val="000644C1"/>
    <w:rsid w:val="00064C4A"/>
    <w:rsid w:val="00064E2E"/>
    <w:rsid w:val="00065492"/>
    <w:rsid w:val="0006549E"/>
    <w:rsid w:val="000658E9"/>
    <w:rsid w:val="0006647E"/>
    <w:rsid w:val="000669BF"/>
    <w:rsid w:val="00066A6E"/>
    <w:rsid w:val="00066B36"/>
    <w:rsid w:val="00066B42"/>
    <w:rsid w:val="00066FDB"/>
    <w:rsid w:val="00067092"/>
    <w:rsid w:val="00067971"/>
    <w:rsid w:val="000709AE"/>
    <w:rsid w:val="00070D19"/>
    <w:rsid w:val="00070D3B"/>
    <w:rsid w:val="00070D84"/>
    <w:rsid w:val="00070EEF"/>
    <w:rsid w:val="0007102B"/>
    <w:rsid w:val="0007164C"/>
    <w:rsid w:val="0007189A"/>
    <w:rsid w:val="00071C7F"/>
    <w:rsid w:val="00071E30"/>
    <w:rsid w:val="00072505"/>
    <w:rsid w:val="00072901"/>
    <w:rsid w:val="00072BAB"/>
    <w:rsid w:val="000731C4"/>
    <w:rsid w:val="00073440"/>
    <w:rsid w:val="0007374C"/>
    <w:rsid w:val="00073A9A"/>
    <w:rsid w:val="00073C0E"/>
    <w:rsid w:val="00073F84"/>
    <w:rsid w:val="000748A5"/>
    <w:rsid w:val="00074D05"/>
    <w:rsid w:val="00074EE0"/>
    <w:rsid w:val="0007570D"/>
    <w:rsid w:val="00075E5E"/>
    <w:rsid w:val="00075F68"/>
    <w:rsid w:val="000765FF"/>
    <w:rsid w:val="00076A26"/>
    <w:rsid w:val="0007705F"/>
    <w:rsid w:val="000775B2"/>
    <w:rsid w:val="00077653"/>
    <w:rsid w:val="00077954"/>
    <w:rsid w:val="000803F9"/>
    <w:rsid w:val="00080422"/>
    <w:rsid w:val="00080984"/>
    <w:rsid w:val="00080BC6"/>
    <w:rsid w:val="00080DE2"/>
    <w:rsid w:val="00081177"/>
    <w:rsid w:val="0008122A"/>
    <w:rsid w:val="000813C6"/>
    <w:rsid w:val="00081451"/>
    <w:rsid w:val="00081807"/>
    <w:rsid w:val="00082155"/>
    <w:rsid w:val="00082467"/>
    <w:rsid w:val="00082E4C"/>
    <w:rsid w:val="00082F2F"/>
    <w:rsid w:val="0008315E"/>
    <w:rsid w:val="000831B3"/>
    <w:rsid w:val="00083382"/>
    <w:rsid w:val="00083413"/>
    <w:rsid w:val="0008347B"/>
    <w:rsid w:val="00083522"/>
    <w:rsid w:val="000836F2"/>
    <w:rsid w:val="000837BD"/>
    <w:rsid w:val="00083B58"/>
    <w:rsid w:val="00083D0F"/>
    <w:rsid w:val="00083DB4"/>
    <w:rsid w:val="0008427D"/>
    <w:rsid w:val="000844B5"/>
    <w:rsid w:val="00084CAD"/>
    <w:rsid w:val="00084DA1"/>
    <w:rsid w:val="00085407"/>
    <w:rsid w:val="0008573D"/>
    <w:rsid w:val="00085B79"/>
    <w:rsid w:val="00085E1F"/>
    <w:rsid w:val="00086769"/>
    <w:rsid w:val="00086B49"/>
    <w:rsid w:val="00086D23"/>
    <w:rsid w:val="00086FAA"/>
    <w:rsid w:val="00087630"/>
    <w:rsid w:val="00087843"/>
    <w:rsid w:val="000879F6"/>
    <w:rsid w:val="00087D64"/>
    <w:rsid w:val="00087F65"/>
    <w:rsid w:val="0009026F"/>
    <w:rsid w:val="00090404"/>
    <w:rsid w:val="00091272"/>
    <w:rsid w:val="000915D3"/>
    <w:rsid w:val="00091A93"/>
    <w:rsid w:val="00091C78"/>
    <w:rsid w:val="0009235A"/>
    <w:rsid w:val="00092637"/>
    <w:rsid w:val="00092694"/>
    <w:rsid w:val="000927AD"/>
    <w:rsid w:val="00092D7A"/>
    <w:rsid w:val="000933FC"/>
    <w:rsid w:val="000935AF"/>
    <w:rsid w:val="00093E01"/>
    <w:rsid w:val="00093F42"/>
    <w:rsid w:val="000940F4"/>
    <w:rsid w:val="00094296"/>
    <w:rsid w:val="000944CC"/>
    <w:rsid w:val="000944EF"/>
    <w:rsid w:val="00094713"/>
    <w:rsid w:val="000948AB"/>
    <w:rsid w:val="00094934"/>
    <w:rsid w:val="00095222"/>
    <w:rsid w:val="000954DB"/>
    <w:rsid w:val="00095833"/>
    <w:rsid w:val="00095C8F"/>
    <w:rsid w:val="00095D51"/>
    <w:rsid w:val="00096065"/>
    <w:rsid w:val="000965C0"/>
    <w:rsid w:val="0009660F"/>
    <w:rsid w:val="000974E7"/>
    <w:rsid w:val="00097673"/>
    <w:rsid w:val="00097C1A"/>
    <w:rsid w:val="00097CB1"/>
    <w:rsid w:val="000A0008"/>
    <w:rsid w:val="000A0197"/>
    <w:rsid w:val="000A0483"/>
    <w:rsid w:val="000A0862"/>
    <w:rsid w:val="000A1085"/>
    <w:rsid w:val="000A1154"/>
    <w:rsid w:val="000A1509"/>
    <w:rsid w:val="000A159A"/>
    <w:rsid w:val="000A1CD6"/>
    <w:rsid w:val="000A2055"/>
    <w:rsid w:val="000A2690"/>
    <w:rsid w:val="000A274B"/>
    <w:rsid w:val="000A33D4"/>
    <w:rsid w:val="000A348D"/>
    <w:rsid w:val="000A3707"/>
    <w:rsid w:val="000A38A7"/>
    <w:rsid w:val="000A3908"/>
    <w:rsid w:val="000A3A25"/>
    <w:rsid w:val="000A3F2A"/>
    <w:rsid w:val="000A44AA"/>
    <w:rsid w:val="000A455C"/>
    <w:rsid w:val="000A58B2"/>
    <w:rsid w:val="000A5AC5"/>
    <w:rsid w:val="000A60CF"/>
    <w:rsid w:val="000A624F"/>
    <w:rsid w:val="000A6711"/>
    <w:rsid w:val="000A673A"/>
    <w:rsid w:val="000A67D8"/>
    <w:rsid w:val="000A69BA"/>
    <w:rsid w:val="000A6D44"/>
    <w:rsid w:val="000A73DF"/>
    <w:rsid w:val="000A7541"/>
    <w:rsid w:val="000A79A4"/>
    <w:rsid w:val="000A7C94"/>
    <w:rsid w:val="000B074C"/>
    <w:rsid w:val="000B0C83"/>
    <w:rsid w:val="000B1727"/>
    <w:rsid w:val="000B1D3F"/>
    <w:rsid w:val="000B204D"/>
    <w:rsid w:val="000B23F6"/>
    <w:rsid w:val="000B2632"/>
    <w:rsid w:val="000B27B9"/>
    <w:rsid w:val="000B2933"/>
    <w:rsid w:val="000B2DDD"/>
    <w:rsid w:val="000B3033"/>
    <w:rsid w:val="000B30F0"/>
    <w:rsid w:val="000B3316"/>
    <w:rsid w:val="000B3631"/>
    <w:rsid w:val="000B4034"/>
    <w:rsid w:val="000B4154"/>
    <w:rsid w:val="000B4487"/>
    <w:rsid w:val="000B4664"/>
    <w:rsid w:val="000B48B0"/>
    <w:rsid w:val="000B4BE7"/>
    <w:rsid w:val="000B4E24"/>
    <w:rsid w:val="000B4F0A"/>
    <w:rsid w:val="000B5629"/>
    <w:rsid w:val="000B5635"/>
    <w:rsid w:val="000B564C"/>
    <w:rsid w:val="000B57B1"/>
    <w:rsid w:val="000B5A69"/>
    <w:rsid w:val="000B5AF4"/>
    <w:rsid w:val="000B5BE4"/>
    <w:rsid w:val="000B611B"/>
    <w:rsid w:val="000B65BA"/>
    <w:rsid w:val="000B694F"/>
    <w:rsid w:val="000B7B13"/>
    <w:rsid w:val="000B7CF7"/>
    <w:rsid w:val="000B7F5B"/>
    <w:rsid w:val="000B7F86"/>
    <w:rsid w:val="000C0301"/>
    <w:rsid w:val="000C03D4"/>
    <w:rsid w:val="000C062F"/>
    <w:rsid w:val="000C0641"/>
    <w:rsid w:val="000C0E5F"/>
    <w:rsid w:val="000C0F67"/>
    <w:rsid w:val="000C11A5"/>
    <w:rsid w:val="000C189B"/>
    <w:rsid w:val="000C1C43"/>
    <w:rsid w:val="000C1CDC"/>
    <w:rsid w:val="000C1EE4"/>
    <w:rsid w:val="000C2644"/>
    <w:rsid w:val="000C2BC6"/>
    <w:rsid w:val="000C30D4"/>
    <w:rsid w:val="000C3AA3"/>
    <w:rsid w:val="000C3FE4"/>
    <w:rsid w:val="000C42DF"/>
    <w:rsid w:val="000C4392"/>
    <w:rsid w:val="000C45E2"/>
    <w:rsid w:val="000C4A52"/>
    <w:rsid w:val="000C4B31"/>
    <w:rsid w:val="000C4D8C"/>
    <w:rsid w:val="000C4F14"/>
    <w:rsid w:val="000C505A"/>
    <w:rsid w:val="000C5650"/>
    <w:rsid w:val="000C635D"/>
    <w:rsid w:val="000C6548"/>
    <w:rsid w:val="000C66B2"/>
    <w:rsid w:val="000C6B71"/>
    <w:rsid w:val="000C6FF7"/>
    <w:rsid w:val="000C756D"/>
    <w:rsid w:val="000C7728"/>
    <w:rsid w:val="000C7A9B"/>
    <w:rsid w:val="000D0664"/>
    <w:rsid w:val="000D08C5"/>
    <w:rsid w:val="000D0EA9"/>
    <w:rsid w:val="000D1060"/>
    <w:rsid w:val="000D1430"/>
    <w:rsid w:val="000D15E6"/>
    <w:rsid w:val="000D16BB"/>
    <w:rsid w:val="000D18EC"/>
    <w:rsid w:val="000D1DB6"/>
    <w:rsid w:val="000D1EA5"/>
    <w:rsid w:val="000D20B4"/>
    <w:rsid w:val="000D22CA"/>
    <w:rsid w:val="000D232E"/>
    <w:rsid w:val="000D233B"/>
    <w:rsid w:val="000D2A75"/>
    <w:rsid w:val="000D2E7E"/>
    <w:rsid w:val="000D37B9"/>
    <w:rsid w:val="000D38C0"/>
    <w:rsid w:val="000D39AB"/>
    <w:rsid w:val="000D45AB"/>
    <w:rsid w:val="000D4912"/>
    <w:rsid w:val="000D5B82"/>
    <w:rsid w:val="000D5BC2"/>
    <w:rsid w:val="000D5F50"/>
    <w:rsid w:val="000D6125"/>
    <w:rsid w:val="000D6447"/>
    <w:rsid w:val="000D655A"/>
    <w:rsid w:val="000D6987"/>
    <w:rsid w:val="000D6B50"/>
    <w:rsid w:val="000D6E18"/>
    <w:rsid w:val="000D6E57"/>
    <w:rsid w:val="000D6FFE"/>
    <w:rsid w:val="000D733C"/>
    <w:rsid w:val="000D76EE"/>
    <w:rsid w:val="000D7787"/>
    <w:rsid w:val="000D7890"/>
    <w:rsid w:val="000E06A5"/>
    <w:rsid w:val="000E0917"/>
    <w:rsid w:val="000E0C1E"/>
    <w:rsid w:val="000E0F52"/>
    <w:rsid w:val="000E0F79"/>
    <w:rsid w:val="000E11B1"/>
    <w:rsid w:val="000E1943"/>
    <w:rsid w:val="000E29EB"/>
    <w:rsid w:val="000E33D3"/>
    <w:rsid w:val="000E357B"/>
    <w:rsid w:val="000E3594"/>
    <w:rsid w:val="000E3795"/>
    <w:rsid w:val="000E38B8"/>
    <w:rsid w:val="000E3986"/>
    <w:rsid w:val="000E3A3B"/>
    <w:rsid w:val="000E3DBD"/>
    <w:rsid w:val="000E445A"/>
    <w:rsid w:val="000E494D"/>
    <w:rsid w:val="000E51E0"/>
    <w:rsid w:val="000E56CF"/>
    <w:rsid w:val="000E56FE"/>
    <w:rsid w:val="000E5C24"/>
    <w:rsid w:val="000E5CC3"/>
    <w:rsid w:val="000E5FE5"/>
    <w:rsid w:val="000E61F2"/>
    <w:rsid w:val="000E6BBA"/>
    <w:rsid w:val="000E71F8"/>
    <w:rsid w:val="000E7380"/>
    <w:rsid w:val="000F03BE"/>
    <w:rsid w:val="000F046A"/>
    <w:rsid w:val="000F0C7E"/>
    <w:rsid w:val="000F0F1F"/>
    <w:rsid w:val="000F0F53"/>
    <w:rsid w:val="000F114F"/>
    <w:rsid w:val="000F1866"/>
    <w:rsid w:val="000F1B05"/>
    <w:rsid w:val="000F1DA6"/>
    <w:rsid w:val="000F1F7F"/>
    <w:rsid w:val="000F2301"/>
    <w:rsid w:val="000F30F9"/>
    <w:rsid w:val="000F3505"/>
    <w:rsid w:val="000F3E94"/>
    <w:rsid w:val="000F43C0"/>
    <w:rsid w:val="000F4531"/>
    <w:rsid w:val="000F45C2"/>
    <w:rsid w:val="000F4A5E"/>
    <w:rsid w:val="000F4ED8"/>
    <w:rsid w:val="000F51A1"/>
    <w:rsid w:val="000F5397"/>
    <w:rsid w:val="000F5461"/>
    <w:rsid w:val="000F5B86"/>
    <w:rsid w:val="000F6217"/>
    <w:rsid w:val="000F69B1"/>
    <w:rsid w:val="000F6F76"/>
    <w:rsid w:val="000F72DA"/>
    <w:rsid w:val="000F7A7C"/>
    <w:rsid w:val="000F7C3F"/>
    <w:rsid w:val="0010018C"/>
    <w:rsid w:val="001008BD"/>
    <w:rsid w:val="0010098E"/>
    <w:rsid w:val="00100A3C"/>
    <w:rsid w:val="00100D72"/>
    <w:rsid w:val="00102297"/>
    <w:rsid w:val="00102561"/>
    <w:rsid w:val="00102636"/>
    <w:rsid w:val="00102ECA"/>
    <w:rsid w:val="001030D9"/>
    <w:rsid w:val="0010323B"/>
    <w:rsid w:val="00103594"/>
    <w:rsid w:val="00103D26"/>
    <w:rsid w:val="00103E4F"/>
    <w:rsid w:val="0010438E"/>
    <w:rsid w:val="0010453C"/>
    <w:rsid w:val="0010457F"/>
    <w:rsid w:val="00105009"/>
    <w:rsid w:val="00105704"/>
    <w:rsid w:val="00105B4F"/>
    <w:rsid w:val="0010602F"/>
    <w:rsid w:val="00106942"/>
    <w:rsid w:val="001071C5"/>
    <w:rsid w:val="001072C7"/>
    <w:rsid w:val="00107852"/>
    <w:rsid w:val="00107877"/>
    <w:rsid w:val="0010797B"/>
    <w:rsid w:val="00107EC3"/>
    <w:rsid w:val="001104BC"/>
    <w:rsid w:val="001105E7"/>
    <w:rsid w:val="00110A2D"/>
    <w:rsid w:val="00110DC2"/>
    <w:rsid w:val="001114BC"/>
    <w:rsid w:val="00111BE7"/>
    <w:rsid w:val="00111CB5"/>
    <w:rsid w:val="00112155"/>
    <w:rsid w:val="001122B5"/>
    <w:rsid w:val="0011285E"/>
    <w:rsid w:val="0011297E"/>
    <w:rsid w:val="00112B74"/>
    <w:rsid w:val="00113DB2"/>
    <w:rsid w:val="00114408"/>
    <w:rsid w:val="00114576"/>
    <w:rsid w:val="00114D44"/>
    <w:rsid w:val="00114E16"/>
    <w:rsid w:val="00114F11"/>
    <w:rsid w:val="0011551C"/>
    <w:rsid w:val="00115B34"/>
    <w:rsid w:val="001164EA"/>
    <w:rsid w:val="00116619"/>
    <w:rsid w:val="00116778"/>
    <w:rsid w:val="00116C65"/>
    <w:rsid w:val="00116F2D"/>
    <w:rsid w:val="001172B5"/>
    <w:rsid w:val="001177A4"/>
    <w:rsid w:val="001178BC"/>
    <w:rsid w:val="001202A1"/>
    <w:rsid w:val="001205BA"/>
    <w:rsid w:val="00120DBC"/>
    <w:rsid w:val="00121096"/>
    <w:rsid w:val="0012153F"/>
    <w:rsid w:val="00122E35"/>
    <w:rsid w:val="001230B6"/>
    <w:rsid w:val="001232B2"/>
    <w:rsid w:val="00123480"/>
    <w:rsid w:val="0012457E"/>
    <w:rsid w:val="00125F8E"/>
    <w:rsid w:val="00126580"/>
    <w:rsid w:val="00127CBB"/>
    <w:rsid w:val="00130247"/>
    <w:rsid w:val="001302C9"/>
    <w:rsid w:val="0013044D"/>
    <w:rsid w:val="00130870"/>
    <w:rsid w:val="00130F7C"/>
    <w:rsid w:val="00131AB7"/>
    <w:rsid w:val="00131CA0"/>
    <w:rsid w:val="001322DD"/>
    <w:rsid w:val="00132536"/>
    <w:rsid w:val="001328F5"/>
    <w:rsid w:val="00132AAA"/>
    <w:rsid w:val="00132E8E"/>
    <w:rsid w:val="00132EDF"/>
    <w:rsid w:val="00133560"/>
    <w:rsid w:val="00133E26"/>
    <w:rsid w:val="0013400A"/>
    <w:rsid w:val="00134304"/>
    <w:rsid w:val="00134A0C"/>
    <w:rsid w:val="00135055"/>
    <w:rsid w:val="00135524"/>
    <w:rsid w:val="00135E89"/>
    <w:rsid w:val="001360F7"/>
    <w:rsid w:val="0013676A"/>
    <w:rsid w:val="001369BE"/>
    <w:rsid w:val="00136A9E"/>
    <w:rsid w:val="00136C09"/>
    <w:rsid w:val="00137180"/>
    <w:rsid w:val="00137541"/>
    <w:rsid w:val="00137B6F"/>
    <w:rsid w:val="00137C27"/>
    <w:rsid w:val="00137FE7"/>
    <w:rsid w:val="00140982"/>
    <w:rsid w:val="00140DEF"/>
    <w:rsid w:val="00140E0A"/>
    <w:rsid w:val="00141390"/>
    <w:rsid w:val="001415AD"/>
    <w:rsid w:val="00141AF0"/>
    <w:rsid w:val="00141D03"/>
    <w:rsid w:val="0014200C"/>
    <w:rsid w:val="00142194"/>
    <w:rsid w:val="00142322"/>
    <w:rsid w:val="0014237C"/>
    <w:rsid w:val="00142867"/>
    <w:rsid w:val="001436EF"/>
    <w:rsid w:val="00143719"/>
    <w:rsid w:val="00143A39"/>
    <w:rsid w:val="00143C98"/>
    <w:rsid w:val="00143D79"/>
    <w:rsid w:val="00144033"/>
    <w:rsid w:val="00144399"/>
    <w:rsid w:val="0014482F"/>
    <w:rsid w:val="00144AC6"/>
    <w:rsid w:val="00144BE3"/>
    <w:rsid w:val="00144BF4"/>
    <w:rsid w:val="00145C72"/>
    <w:rsid w:val="00145F2F"/>
    <w:rsid w:val="00146716"/>
    <w:rsid w:val="00146A04"/>
    <w:rsid w:val="001474EE"/>
    <w:rsid w:val="001475FA"/>
    <w:rsid w:val="0014789A"/>
    <w:rsid w:val="00147C72"/>
    <w:rsid w:val="00147F75"/>
    <w:rsid w:val="0015063E"/>
    <w:rsid w:val="00150875"/>
    <w:rsid w:val="00150B82"/>
    <w:rsid w:val="00150BF6"/>
    <w:rsid w:val="00150FE0"/>
    <w:rsid w:val="0015107F"/>
    <w:rsid w:val="0015167B"/>
    <w:rsid w:val="00151D00"/>
    <w:rsid w:val="00152E45"/>
    <w:rsid w:val="0015330B"/>
    <w:rsid w:val="0015393F"/>
    <w:rsid w:val="00153B38"/>
    <w:rsid w:val="00153BD5"/>
    <w:rsid w:val="001545A4"/>
    <w:rsid w:val="001545BC"/>
    <w:rsid w:val="001547F9"/>
    <w:rsid w:val="00154B1A"/>
    <w:rsid w:val="00154E36"/>
    <w:rsid w:val="00154F6C"/>
    <w:rsid w:val="001550A4"/>
    <w:rsid w:val="0015531C"/>
    <w:rsid w:val="00155370"/>
    <w:rsid w:val="0015598B"/>
    <w:rsid w:val="00155A5C"/>
    <w:rsid w:val="00155FB8"/>
    <w:rsid w:val="0015653F"/>
    <w:rsid w:val="00156864"/>
    <w:rsid w:val="00157977"/>
    <w:rsid w:val="001579B9"/>
    <w:rsid w:val="00157A6C"/>
    <w:rsid w:val="00157B02"/>
    <w:rsid w:val="00157C36"/>
    <w:rsid w:val="00157DE9"/>
    <w:rsid w:val="00157E14"/>
    <w:rsid w:val="001604F2"/>
    <w:rsid w:val="0016101B"/>
    <w:rsid w:val="00161B04"/>
    <w:rsid w:val="00161D55"/>
    <w:rsid w:val="00161DFB"/>
    <w:rsid w:val="00162032"/>
    <w:rsid w:val="0016243A"/>
    <w:rsid w:val="00162F07"/>
    <w:rsid w:val="001644FE"/>
    <w:rsid w:val="001646C6"/>
    <w:rsid w:val="00164AC5"/>
    <w:rsid w:val="001650BA"/>
    <w:rsid w:val="001659E9"/>
    <w:rsid w:val="00165D55"/>
    <w:rsid w:val="001661BE"/>
    <w:rsid w:val="00166504"/>
    <w:rsid w:val="0016662D"/>
    <w:rsid w:val="001669A3"/>
    <w:rsid w:val="00166F57"/>
    <w:rsid w:val="00167114"/>
    <w:rsid w:val="0016722B"/>
    <w:rsid w:val="001672C0"/>
    <w:rsid w:val="00167811"/>
    <w:rsid w:val="00170908"/>
    <w:rsid w:val="00170D77"/>
    <w:rsid w:val="00171074"/>
    <w:rsid w:val="00171B3B"/>
    <w:rsid w:val="00171D24"/>
    <w:rsid w:val="00171DF3"/>
    <w:rsid w:val="00172025"/>
    <w:rsid w:val="00172027"/>
    <w:rsid w:val="001721AD"/>
    <w:rsid w:val="0017284D"/>
    <w:rsid w:val="00172A1D"/>
    <w:rsid w:val="00172A87"/>
    <w:rsid w:val="00172EE5"/>
    <w:rsid w:val="00172F6F"/>
    <w:rsid w:val="00173639"/>
    <w:rsid w:val="00173C2E"/>
    <w:rsid w:val="00174DB4"/>
    <w:rsid w:val="00174DDB"/>
    <w:rsid w:val="00174EC1"/>
    <w:rsid w:val="00175218"/>
    <w:rsid w:val="00175C48"/>
    <w:rsid w:val="00175D88"/>
    <w:rsid w:val="00175DF2"/>
    <w:rsid w:val="00176089"/>
    <w:rsid w:val="00176182"/>
    <w:rsid w:val="00176A37"/>
    <w:rsid w:val="00176FDA"/>
    <w:rsid w:val="00177701"/>
    <w:rsid w:val="001779FF"/>
    <w:rsid w:val="00177F17"/>
    <w:rsid w:val="001803AD"/>
    <w:rsid w:val="001807AB"/>
    <w:rsid w:val="00180D5A"/>
    <w:rsid w:val="00181269"/>
    <w:rsid w:val="001818D6"/>
    <w:rsid w:val="00181F67"/>
    <w:rsid w:val="001822A5"/>
    <w:rsid w:val="0018230F"/>
    <w:rsid w:val="00182EEB"/>
    <w:rsid w:val="00183018"/>
    <w:rsid w:val="00183579"/>
    <w:rsid w:val="001836B1"/>
    <w:rsid w:val="001843EA"/>
    <w:rsid w:val="00184DE6"/>
    <w:rsid w:val="00185020"/>
    <w:rsid w:val="001850A8"/>
    <w:rsid w:val="001855DD"/>
    <w:rsid w:val="0018577B"/>
    <w:rsid w:val="00185947"/>
    <w:rsid w:val="00185A10"/>
    <w:rsid w:val="00185A55"/>
    <w:rsid w:val="0018610D"/>
    <w:rsid w:val="00186587"/>
    <w:rsid w:val="001865B2"/>
    <w:rsid w:val="001868CC"/>
    <w:rsid w:val="001869EB"/>
    <w:rsid w:val="00186A4D"/>
    <w:rsid w:val="00186A8B"/>
    <w:rsid w:val="0018702D"/>
    <w:rsid w:val="00187CC9"/>
    <w:rsid w:val="001904EB"/>
    <w:rsid w:val="0019072A"/>
    <w:rsid w:val="001907BF"/>
    <w:rsid w:val="001907F9"/>
    <w:rsid w:val="001908BB"/>
    <w:rsid w:val="0019090F"/>
    <w:rsid w:val="00190DE7"/>
    <w:rsid w:val="00191D4A"/>
    <w:rsid w:val="00191F29"/>
    <w:rsid w:val="0019283F"/>
    <w:rsid w:val="00192C8F"/>
    <w:rsid w:val="00193CE8"/>
    <w:rsid w:val="00193F75"/>
    <w:rsid w:val="001940BF"/>
    <w:rsid w:val="0019444B"/>
    <w:rsid w:val="001952AC"/>
    <w:rsid w:val="0019560F"/>
    <w:rsid w:val="00195B63"/>
    <w:rsid w:val="00196443"/>
    <w:rsid w:val="0019662E"/>
    <w:rsid w:val="00197191"/>
    <w:rsid w:val="001973A5"/>
    <w:rsid w:val="001975C2"/>
    <w:rsid w:val="001A0375"/>
    <w:rsid w:val="001A0376"/>
    <w:rsid w:val="001A04FE"/>
    <w:rsid w:val="001A0634"/>
    <w:rsid w:val="001A071B"/>
    <w:rsid w:val="001A0CB1"/>
    <w:rsid w:val="001A1823"/>
    <w:rsid w:val="001A1D0D"/>
    <w:rsid w:val="001A21F4"/>
    <w:rsid w:val="001A2201"/>
    <w:rsid w:val="001A2486"/>
    <w:rsid w:val="001A2DB8"/>
    <w:rsid w:val="001A4D06"/>
    <w:rsid w:val="001A4D0A"/>
    <w:rsid w:val="001A4F8A"/>
    <w:rsid w:val="001A575E"/>
    <w:rsid w:val="001A5A03"/>
    <w:rsid w:val="001A6061"/>
    <w:rsid w:val="001A6AB5"/>
    <w:rsid w:val="001A6D2D"/>
    <w:rsid w:val="001A6E9B"/>
    <w:rsid w:val="001A73B9"/>
    <w:rsid w:val="001A77DE"/>
    <w:rsid w:val="001A781F"/>
    <w:rsid w:val="001A786B"/>
    <w:rsid w:val="001A7F81"/>
    <w:rsid w:val="001B01AC"/>
    <w:rsid w:val="001B042C"/>
    <w:rsid w:val="001B04A7"/>
    <w:rsid w:val="001B0B8F"/>
    <w:rsid w:val="001B0DEB"/>
    <w:rsid w:val="001B1622"/>
    <w:rsid w:val="001B1AA5"/>
    <w:rsid w:val="001B1B70"/>
    <w:rsid w:val="001B1C48"/>
    <w:rsid w:val="001B1CB8"/>
    <w:rsid w:val="001B1FE4"/>
    <w:rsid w:val="001B22F9"/>
    <w:rsid w:val="001B2493"/>
    <w:rsid w:val="001B314C"/>
    <w:rsid w:val="001B340B"/>
    <w:rsid w:val="001B375F"/>
    <w:rsid w:val="001B3914"/>
    <w:rsid w:val="001B3ADD"/>
    <w:rsid w:val="001B4006"/>
    <w:rsid w:val="001B40E4"/>
    <w:rsid w:val="001B45DF"/>
    <w:rsid w:val="001B47C6"/>
    <w:rsid w:val="001B4C5A"/>
    <w:rsid w:val="001B518B"/>
    <w:rsid w:val="001B5CE7"/>
    <w:rsid w:val="001B5DB6"/>
    <w:rsid w:val="001B64D0"/>
    <w:rsid w:val="001B65B5"/>
    <w:rsid w:val="001B68B7"/>
    <w:rsid w:val="001B68E3"/>
    <w:rsid w:val="001B71D3"/>
    <w:rsid w:val="001B776D"/>
    <w:rsid w:val="001B7875"/>
    <w:rsid w:val="001B7B49"/>
    <w:rsid w:val="001B7E5E"/>
    <w:rsid w:val="001B7E69"/>
    <w:rsid w:val="001C051E"/>
    <w:rsid w:val="001C091D"/>
    <w:rsid w:val="001C175D"/>
    <w:rsid w:val="001C19FE"/>
    <w:rsid w:val="001C1C6A"/>
    <w:rsid w:val="001C1DD7"/>
    <w:rsid w:val="001C1FCF"/>
    <w:rsid w:val="001C23B2"/>
    <w:rsid w:val="001C265D"/>
    <w:rsid w:val="001C2A8D"/>
    <w:rsid w:val="001C2D33"/>
    <w:rsid w:val="001C3CB3"/>
    <w:rsid w:val="001C3EFA"/>
    <w:rsid w:val="001C4405"/>
    <w:rsid w:val="001C4434"/>
    <w:rsid w:val="001C4BCD"/>
    <w:rsid w:val="001C54CC"/>
    <w:rsid w:val="001C55CF"/>
    <w:rsid w:val="001C56C6"/>
    <w:rsid w:val="001C593B"/>
    <w:rsid w:val="001C5D0A"/>
    <w:rsid w:val="001C618D"/>
    <w:rsid w:val="001C6315"/>
    <w:rsid w:val="001C7C65"/>
    <w:rsid w:val="001C7D0E"/>
    <w:rsid w:val="001C7F0A"/>
    <w:rsid w:val="001C7F19"/>
    <w:rsid w:val="001D0058"/>
    <w:rsid w:val="001D01AB"/>
    <w:rsid w:val="001D03A8"/>
    <w:rsid w:val="001D0637"/>
    <w:rsid w:val="001D0A6D"/>
    <w:rsid w:val="001D0B7D"/>
    <w:rsid w:val="001D0E48"/>
    <w:rsid w:val="001D1029"/>
    <w:rsid w:val="001D122F"/>
    <w:rsid w:val="001D13F6"/>
    <w:rsid w:val="001D1839"/>
    <w:rsid w:val="001D1DD5"/>
    <w:rsid w:val="001D1F70"/>
    <w:rsid w:val="001D2264"/>
    <w:rsid w:val="001D2903"/>
    <w:rsid w:val="001D30EF"/>
    <w:rsid w:val="001D3518"/>
    <w:rsid w:val="001D3567"/>
    <w:rsid w:val="001D35EC"/>
    <w:rsid w:val="001D37B6"/>
    <w:rsid w:val="001D38A8"/>
    <w:rsid w:val="001D4836"/>
    <w:rsid w:val="001D49F2"/>
    <w:rsid w:val="001D4DC4"/>
    <w:rsid w:val="001D4FB4"/>
    <w:rsid w:val="001D5325"/>
    <w:rsid w:val="001D589E"/>
    <w:rsid w:val="001D5C20"/>
    <w:rsid w:val="001D5E51"/>
    <w:rsid w:val="001D6202"/>
    <w:rsid w:val="001D6FDE"/>
    <w:rsid w:val="001D718F"/>
    <w:rsid w:val="001D7283"/>
    <w:rsid w:val="001D761F"/>
    <w:rsid w:val="001E00C9"/>
    <w:rsid w:val="001E05C6"/>
    <w:rsid w:val="001E0861"/>
    <w:rsid w:val="001E0987"/>
    <w:rsid w:val="001E0ADA"/>
    <w:rsid w:val="001E0C19"/>
    <w:rsid w:val="001E1065"/>
    <w:rsid w:val="001E1C8C"/>
    <w:rsid w:val="001E3021"/>
    <w:rsid w:val="001E30A6"/>
    <w:rsid w:val="001E339A"/>
    <w:rsid w:val="001E48B9"/>
    <w:rsid w:val="001E53CF"/>
    <w:rsid w:val="001E5AE9"/>
    <w:rsid w:val="001E5BAF"/>
    <w:rsid w:val="001E6031"/>
    <w:rsid w:val="001E603F"/>
    <w:rsid w:val="001E6396"/>
    <w:rsid w:val="001E6594"/>
    <w:rsid w:val="001E667C"/>
    <w:rsid w:val="001E6A3C"/>
    <w:rsid w:val="001E6A83"/>
    <w:rsid w:val="001E6AC0"/>
    <w:rsid w:val="001E6BF2"/>
    <w:rsid w:val="001E6DFB"/>
    <w:rsid w:val="001E6EC3"/>
    <w:rsid w:val="001E707B"/>
    <w:rsid w:val="001E7277"/>
    <w:rsid w:val="001F0122"/>
    <w:rsid w:val="001F06E1"/>
    <w:rsid w:val="001F0780"/>
    <w:rsid w:val="001F0DF3"/>
    <w:rsid w:val="001F11FA"/>
    <w:rsid w:val="001F130D"/>
    <w:rsid w:val="001F1370"/>
    <w:rsid w:val="001F1845"/>
    <w:rsid w:val="001F1882"/>
    <w:rsid w:val="001F1CA6"/>
    <w:rsid w:val="001F1D1B"/>
    <w:rsid w:val="001F295F"/>
    <w:rsid w:val="001F2A8B"/>
    <w:rsid w:val="001F2B2D"/>
    <w:rsid w:val="001F305A"/>
    <w:rsid w:val="001F3319"/>
    <w:rsid w:val="001F3FE3"/>
    <w:rsid w:val="001F4134"/>
    <w:rsid w:val="001F47B5"/>
    <w:rsid w:val="001F4ECD"/>
    <w:rsid w:val="001F5340"/>
    <w:rsid w:val="001F5A7A"/>
    <w:rsid w:val="001F5B22"/>
    <w:rsid w:val="001F60C9"/>
    <w:rsid w:val="001F60E4"/>
    <w:rsid w:val="001F635A"/>
    <w:rsid w:val="001F6B65"/>
    <w:rsid w:val="001F6FF0"/>
    <w:rsid w:val="001F7274"/>
    <w:rsid w:val="001F7581"/>
    <w:rsid w:val="001F78CA"/>
    <w:rsid w:val="001F7CA3"/>
    <w:rsid w:val="001F7D84"/>
    <w:rsid w:val="00200C28"/>
    <w:rsid w:val="002012DA"/>
    <w:rsid w:val="002014A4"/>
    <w:rsid w:val="002018D3"/>
    <w:rsid w:val="00201D80"/>
    <w:rsid w:val="00202941"/>
    <w:rsid w:val="0020299E"/>
    <w:rsid w:val="002031B7"/>
    <w:rsid w:val="0020390B"/>
    <w:rsid w:val="00204158"/>
    <w:rsid w:val="00204840"/>
    <w:rsid w:val="002048B1"/>
    <w:rsid w:val="00204A8A"/>
    <w:rsid w:val="00204E9A"/>
    <w:rsid w:val="00205388"/>
    <w:rsid w:val="002057F0"/>
    <w:rsid w:val="00206796"/>
    <w:rsid w:val="0020695F"/>
    <w:rsid w:val="00206CCA"/>
    <w:rsid w:val="00207941"/>
    <w:rsid w:val="00207C6C"/>
    <w:rsid w:val="0021004E"/>
    <w:rsid w:val="00210780"/>
    <w:rsid w:val="002109AD"/>
    <w:rsid w:val="00210E36"/>
    <w:rsid w:val="00210E4C"/>
    <w:rsid w:val="0021157C"/>
    <w:rsid w:val="00211E87"/>
    <w:rsid w:val="00212015"/>
    <w:rsid w:val="00212EB3"/>
    <w:rsid w:val="00212F06"/>
    <w:rsid w:val="0021344D"/>
    <w:rsid w:val="00213484"/>
    <w:rsid w:val="0021412A"/>
    <w:rsid w:val="002141FD"/>
    <w:rsid w:val="002142C9"/>
    <w:rsid w:val="002149C5"/>
    <w:rsid w:val="002151A5"/>
    <w:rsid w:val="00215C15"/>
    <w:rsid w:val="00216206"/>
    <w:rsid w:val="002169DA"/>
    <w:rsid w:val="00216F84"/>
    <w:rsid w:val="00217320"/>
    <w:rsid w:val="002175C8"/>
    <w:rsid w:val="002176D4"/>
    <w:rsid w:val="002178CE"/>
    <w:rsid w:val="0022003A"/>
    <w:rsid w:val="00220436"/>
    <w:rsid w:val="002205DE"/>
    <w:rsid w:val="00220885"/>
    <w:rsid w:val="00220AB4"/>
    <w:rsid w:val="00221B31"/>
    <w:rsid w:val="002224EB"/>
    <w:rsid w:val="00222545"/>
    <w:rsid w:val="002225BE"/>
    <w:rsid w:val="002226FB"/>
    <w:rsid w:val="00222CF7"/>
    <w:rsid w:val="00222E36"/>
    <w:rsid w:val="00222EC3"/>
    <w:rsid w:val="0022317F"/>
    <w:rsid w:val="00223C28"/>
    <w:rsid w:val="00223C3C"/>
    <w:rsid w:val="0022405B"/>
    <w:rsid w:val="0022464C"/>
    <w:rsid w:val="00224787"/>
    <w:rsid w:val="002249A7"/>
    <w:rsid w:val="00224ABD"/>
    <w:rsid w:val="00224F36"/>
    <w:rsid w:val="00225149"/>
    <w:rsid w:val="00225301"/>
    <w:rsid w:val="00225BFD"/>
    <w:rsid w:val="002266CE"/>
    <w:rsid w:val="00226A7F"/>
    <w:rsid w:val="00226ADA"/>
    <w:rsid w:val="00226E42"/>
    <w:rsid w:val="00227B92"/>
    <w:rsid w:val="00227BA7"/>
    <w:rsid w:val="0023008D"/>
    <w:rsid w:val="00230630"/>
    <w:rsid w:val="00230B69"/>
    <w:rsid w:val="00230C2F"/>
    <w:rsid w:val="00230DA1"/>
    <w:rsid w:val="0023103E"/>
    <w:rsid w:val="002312E2"/>
    <w:rsid w:val="002312E9"/>
    <w:rsid w:val="00231447"/>
    <w:rsid w:val="002317FD"/>
    <w:rsid w:val="00231D7D"/>
    <w:rsid w:val="002326C4"/>
    <w:rsid w:val="00232886"/>
    <w:rsid w:val="00232AEC"/>
    <w:rsid w:val="00233089"/>
    <w:rsid w:val="002331C4"/>
    <w:rsid w:val="002334D2"/>
    <w:rsid w:val="00233761"/>
    <w:rsid w:val="002342C0"/>
    <w:rsid w:val="002345E7"/>
    <w:rsid w:val="0023492A"/>
    <w:rsid w:val="00234AA0"/>
    <w:rsid w:val="00235078"/>
    <w:rsid w:val="002353E5"/>
    <w:rsid w:val="00235404"/>
    <w:rsid w:val="00235903"/>
    <w:rsid w:val="002365E5"/>
    <w:rsid w:val="002367F7"/>
    <w:rsid w:val="00236CA0"/>
    <w:rsid w:val="00236D70"/>
    <w:rsid w:val="002379C2"/>
    <w:rsid w:val="00237D37"/>
    <w:rsid w:val="00237DAF"/>
    <w:rsid w:val="00237F9D"/>
    <w:rsid w:val="00240032"/>
    <w:rsid w:val="00240AAC"/>
    <w:rsid w:val="00240B82"/>
    <w:rsid w:val="00240D96"/>
    <w:rsid w:val="002418E4"/>
    <w:rsid w:val="00242179"/>
    <w:rsid w:val="00242182"/>
    <w:rsid w:val="0024225A"/>
    <w:rsid w:val="00242A0D"/>
    <w:rsid w:val="00242A81"/>
    <w:rsid w:val="00242E3E"/>
    <w:rsid w:val="002430D9"/>
    <w:rsid w:val="0024328E"/>
    <w:rsid w:val="002432CE"/>
    <w:rsid w:val="0024362F"/>
    <w:rsid w:val="00243A06"/>
    <w:rsid w:val="0024448A"/>
    <w:rsid w:val="002444BF"/>
    <w:rsid w:val="002448E1"/>
    <w:rsid w:val="0024536C"/>
    <w:rsid w:val="00245530"/>
    <w:rsid w:val="00245D82"/>
    <w:rsid w:val="00246020"/>
    <w:rsid w:val="002467BE"/>
    <w:rsid w:val="00246D50"/>
    <w:rsid w:val="00246F11"/>
    <w:rsid w:val="002470B3"/>
    <w:rsid w:val="00247177"/>
    <w:rsid w:val="00247346"/>
    <w:rsid w:val="00247416"/>
    <w:rsid w:val="0024765C"/>
    <w:rsid w:val="002476AA"/>
    <w:rsid w:val="0025014A"/>
    <w:rsid w:val="0025054F"/>
    <w:rsid w:val="002508BC"/>
    <w:rsid w:val="002514C1"/>
    <w:rsid w:val="00251C69"/>
    <w:rsid w:val="00251E03"/>
    <w:rsid w:val="00251EF5"/>
    <w:rsid w:val="00251F52"/>
    <w:rsid w:val="00252450"/>
    <w:rsid w:val="00252A09"/>
    <w:rsid w:val="002530EC"/>
    <w:rsid w:val="00253167"/>
    <w:rsid w:val="00253583"/>
    <w:rsid w:val="002537D6"/>
    <w:rsid w:val="00253A5E"/>
    <w:rsid w:val="00253AB7"/>
    <w:rsid w:val="00253C8F"/>
    <w:rsid w:val="00253CA8"/>
    <w:rsid w:val="00254313"/>
    <w:rsid w:val="00254443"/>
    <w:rsid w:val="0025465C"/>
    <w:rsid w:val="002547AE"/>
    <w:rsid w:val="00254972"/>
    <w:rsid w:val="00254C4B"/>
    <w:rsid w:val="00254E00"/>
    <w:rsid w:val="00255117"/>
    <w:rsid w:val="00255331"/>
    <w:rsid w:val="0025537D"/>
    <w:rsid w:val="002556EA"/>
    <w:rsid w:val="00255722"/>
    <w:rsid w:val="002557C2"/>
    <w:rsid w:val="00255D1D"/>
    <w:rsid w:val="00255EF9"/>
    <w:rsid w:val="0025667C"/>
    <w:rsid w:val="00257A7B"/>
    <w:rsid w:val="00260454"/>
    <w:rsid w:val="002607D2"/>
    <w:rsid w:val="002608FA"/>
    <w:rsid w:val="00260EC5"/>
    <w:rsid w:val="002612CE"/>
    <w:rsid w:val="00261674"/>
    <w:rsid w:val="002617B0"/>
    <w:rsid w:val="002618A7"/>
    <w:rsid w:val="0026200E"/>
    <w:rsid w:val="002620F5"/>
    <w:rsid w:val="00262215"/>
    <w:rsid w:val="0026234A"/>
    <w:rsid w:val="00262BC8"/>
    <w:rsid w:val="00262C9C"/>
    <w:rsid w:val="00263521"/>
    <w:rsid w:val="0026352C"/>
    <w:rsid w:val="002638DF"/>
    <w:rsid w:val="0026398C"/>
    <w:rsid w:val="002639F3"/>
    <w:rsid w:val="00263C1D"/>
    <w:rsid w:val="00264A99"/>
    <w:rsid w:val="00264D16"/>
    <w:rsid w:val="00265033"/>
    <w:rsid w:val="002651D6"/>
    <w:rsid w:val="0026624D"/>
    <w:rsid w:val="00266B83"/>
    <w:rsid w:val="00266E89"/>
    <w:rsid w:val="0026719B"/>
    <w:rsid w:val="00267245"/>
    <w:rsid w:val="002676F3"/>
    <w:rsid w:val="0026777F"/>
    <w:rsid w:val="002677F6"/>
    <w:rsid w:val="002704BB"/>
    <w:rsid w:val="00270B2A"/>
    <w:rsid w:val="00270F38"/>
    <w:rsid w:val="00271D64"/>
    <w:rsid w:val="00271DEF"/>
    <w:rsid w:val="00272544"/>
    <w:rsid w:val="002725EE"/>
    <w:rsid w:val="00272844"/>
    <w:rsid w:val="00272C33"/>
    <w:rsid w:val="00272E49"/>
    <w:rsid w:val="00273377"/>
    <w:rsid w:val="002742A3"/>
    <w:rsid w:val="00274B52"/>
    <w:rsid w:val="00274E40"/>
    <w:rsid w:val="0027509B"/>
    <w:rsid w:val="0027572C"/>
    <w:rsid w:val="00275D2C"/>
    <w:rsid w:val="00275DBE"/>
    <w:rsid w:val="00276391"/>
    <w:rsid w:val="002766A6"/>
    <w:rsid w:val="00276BB7"/>
    <w:rsid w:val="00276CCA"/>
    <w:rsid w:val="00276E93"/>
    <w:rsid w:val="00277389"/>
    <w:rsid w:val="002773C8"/>
    <w:rsid w:val="002774C5"/>
    <w:rsid w:val="0027795B"/>
    <w:rsid w:val="002800B0"/>
    <w:rsid w:val="00280636"/>
    <w:rsid w:val="00280DBC"/>
    <w:rsid w:val="002811F9"/>
    <w:rsid w:val="00281346"/>
    <w:rsid w:val="00282066"/>
    <w:rsid w:val="002820C1"/>
    <w:rsid w:val="002824B9"/>
    <w:rsid w:val="002831E9"/>
    <w:rsid w:val="00283369"/>
    <w:rsid w:val="002834A1"/>
    <w:rsid w:val="00283861"/>
    <w:rsid w:val="002838EE"/>
    <w:rsid w:val="00283BA9"/>
    <w:rsid w:val="00283F87"/>
    <w:rsid w:val="00283FBA"/>
    <w:rsid w:val="002840D5"/>
    <w:rsid w:val="00284377"/>
    <w:rsid w:val="00284578"/>
    <w:rsid w:val="00284A49"/>
    <w:rsid w:val="00284B72"/>
    <w:rsid w:val="00285467"/>
    <w:rsid w:val="002857FB"/>
    <w:rsid w:val="00285ACE"/>
    <w:rsid w:val="00285F1F"/>
    <w:rsid w:val="002874F6"/>
    <w:rsid w:val="00287BC0"/>
    <w:rsid w:val="00287C81"/>
    <w:rsid w:val="00287D1C"/>
    <w:rsid w:val="00290CD9"/>
    <w:rsid w:val="00290E99"/>
    <w:rsid w:val="00291DD8"/>
    <w:rsid w:val="00291E61"/>
    <w:rsid w:val="0029209B"/>
    <w:rsid w:val="002920F3"/>
    <w:rsid w:val="0029273E"/>
    <w:rsid w:val="00292974"/>
    <w:rsid w:val="00292A4A"/>
    <w:rsid w:val="00292B81"/>
    <w:rsid w:val="00292BC3"/>
    <w:rsid w:val="00292C4F"/>
    <w:rsid w:val="00293302"/>
    <w:rsid w:val="00293804"/>
    <w:rsid w:val="00293A1D"/>
    <w:rsid w:val="00293CF1"/>
    <w:rsid w:val="00293ED5"/>
    <w:rsid w:val="00294143"/>
    <w:rsid w:val="00294880"/>
    <w:rsid w:val="00294965"/>
    <w:rsid w:val="00294AC3"/>
    <w:rsid w:val="00295563"/>
    <w:rsid w:val="002955B5"/>
    <w:rsid w:val="00295EAA"/>
    <w:rsid w:val="00295F1E"/>
    <w:rsid w:val="00296C7A"/>
    <w:rsid w:val="00297089"/>
    <w:rsid w:val="002970D5"/>
    <w:rsid w:val="002974F2"/>
    <w:rsid w:val="00297DE2"/>
    <w:rsid w:val="002A0405"/>
    <w:rsid w:val="002A04AB"/>
    <w:rsid w:val="002A0AFB"/>
    <w:rsid w:val="002A0B51"/>
    <w:rsid w:val="002A1478"/>
    <w:rsid w:val="002A1A2B"/>
    <w:rsid w:val="002A1E2E"/>
    <w:rsid w:val="002A204B"/>
    <w:rsid w:val="002A267F"/>
    <w:rsid w:val="002A27D7"/>
    <w:rsid w:val="002A2FCB"/>
    <w:rsid w:val="002A3420"/>
    <w:rsid w:val="002A3517"/>
    <w:rsid w:val="002A3B21"/>
    <w:rsid w:val="002A4129"/>
    <w:rsid w:val="002A4456"/>
    <w:rsid w:val="002A45CA"/>
    <w:rsid w:val="002A4DDF"/>
    <w:rsid w:val="002A4EE6"/>
    <w:rsid w:val="002A52E3"/>
    <w:rsid w:val="002A55FA"/>
    <w:rsid w:val="002A5F06"/>
    <w:rsid w:val="002A604A"/>
    <w:rsid w:val="002A66D6"/>
    <w:rsid w:val="002A6AB6"/>
    <w:rsid w:val="002A6C4D"/>
    <w:rsid w:val="002A6CE9"/>
    <w:rsid w:val="002A6D26"/>
    <w:rsid w:val="002A6E9B"/>
    <w:rsid w:val="002A71D5"/>
    <w:rsid w:val="002A7A5F"/>
    <w:rsid w:val="002B051C"/>
    <w:rsid w:val="002B05CB"/>
    <w:rsid w:val="002B06F4"/>
    <w:rsid w:val="002B0B6E"/>
    <w:rsid w:val="002B0C36"/>
    <w:rsid w:val="002B0C68"/>
    <w:rsid w:val="002B14B2"/>
    <w:rsid w:val="002B1595"/>
    <w:rsid w:val="002B1767"/>
    <w:rsid w:val="002B18A4"/>
    <w:rsid w:val="002B2669"/>
    <w:rsid w:val="002B2E66"/>
    <w:rsid w:val="002B30F0"/>
    <w:rsid w:val="002B3120"/>
    <w:rsid w:val="002B3154"/>
    <w:rsid w:val="002B333D"/>
    <w:rsid w:val="002B385C"/>
    <w:rsid w:val="002B3C72"/>
    <w:rsid w:val="002B3E4F"/>
    <w:rsid w:val="002B4304"/>
    <w:rsid w:val="002B45E3"/>
    <w:rsid w:val="002B484D"/>
    <w:rsid w:val="002B57DD"/>
    <w:rsid w:val="002B5801"/>
    <w:rsid w:val="002B5834"/>
    <w:rsid w:val="002B630E"/>
    <w:rsid w:val="002B6351"/>
    <w:rsid w:val="002B635A"/>
    <w:rsid w:val="002B6EFB"/>
    <w:rsid w:val="002B777B"/>
    <w:rsid w:val="002B7B03"/>
    <w:rsid w:val="002B7DEB"/>
    <w:rsid w:val="002C0446"/>
    <w:rsid w:val="002C0BF2"/>
    <w:rsid w:val="002C12A3"/>
    <w:rsid w:val="002C1EA8"/>
    <w:rsid w:val="002C225E"/>
    <w:rsid w:val="002C27BC"/>
    <w:rsid w:val="002C284C"/>
    <w:rsid w:val="002C2AB0"/>
    <w:rsid w:val="002C2F96"/>
    <w:rsid w:val="002C34C3"/>
    <w:rsid w:val="002C37F8"/>
    <w:rsid w:val="002C49D1"/>
    <w:rsid w:val="002C49D7"/>
    <w:rsid w:val="002C4B17"/>
    <w:rsid w:val="002C4D71"/>
    <w:rsid w:val="002C5696"/>
    <w:rsid w:val="002C5736"/>
    <w:rsid w:val="002C5CC0"/>
    <w:rsid w:val="002C5D2B"/>
    <w:rsid w:val="002C5E98"/>
    <w:rsid w:val="002C5F0D"/>
    <w:rsid w:val="002C6011"/>
    <w:rsid w:val="002C616A"/>
    <w:rsid w:val="002C6776"/>
    <w:rsid w:val="002C6E13"/>
    <w:rsid w:val="002C7064"/>
    <w:rsid w:val="002C7669"/>
    <w:rsid w:val="002C7CC6"/>
    <w:rsid w:val="002D0162"/>
    <w:rsid w:val="002D040F"/>
    <w:rsid w:val="002D051F"/>
    <w:rsid w:val="002D08D1"/>
    <w:rsid w:val="002D0B9F"/>
    <w:rsid w:val="002D10A6"/>
    <w:rsid w:val="002D12EF"/>
    <w:rsid w:val="002D1AE2"/>
    <w:rsid w:val="002D1FAE"/>
    <w:rsid w:val="002D2322"/>
    <w:rsid w:val="002D2390"/>
    <w:rsid w:val="002D26EE"/>
    <w:rsid w:val="002D27DE"/>
    <w:rsid w:val="002D2BA1"/>
    <w:rsid w:val="002D2C2C"/>
    <w:rsid w:val="002D2E9A"/>
    <w:rsid w:val="002D3723"/>
    <w:rsid w:val="002D38A7"/>
    <w:rsid w:val="002D4597"/>
    <w:rsid w:val="002D46AA"/>
    <w:rsid w:val="002D4769"/>
    <w:rsid w:val="002D4871"/>
    <w:rsid w:val="002D4B72"/>
    <w:rsid w:val="002D4F62"/>
    <w:rsid w:val="002D5085"/>
    <w:rsid w:val="002D5734"/>
    <w:rsid w:val="002D5B3F"/>
    <w:rsid w:val="002D5CE3"/>
    <w:rsid w:val="002D5E3F"/>
    <w:rsid w:val="002D5F08"/>
    <w:rsid w:val="002D67FD"/>
    <w:rsid w:val="002D6872"/>
    <w:rsid w:val="002D71D2"/>
    <w:rsid w:val="002D7223"/>
    <w:rsid w:val="002D752A"/>
    <w:rsid w:val="002D78BC"/>
    <w:rsid w:val="002D7944"/>
    <w:rsid w:val="002D79BE"/>
    <w:rsid w:val="002D7F79"/>
    <w:rsid w:val="002E016E"/>
    <w:rsid w:val="002E0B0D"/>
    <w:rsid w:val="002E1019"/>
    <w:rsid w:val="002E114B"/>
    <w:rsid w:val="002E11F4"/>
    <w:rsid w:val="002E1376"/>
    <w:rsid w:val="002E174F"/>
    <w:rsid w:val="002E18FB"/>
    <w:rsid w:val="002E19BC"/>
    <w:rsid w:val="002E3506"/>
    <w:rsid w:val="002E36B0"/>
    <w:rsid w:val="002E3750"/>
    <w:rsid w:val="002E3AB4"/>
    <w:rsid w:val="002E3C45"/>
    <w:rsid w:val="002E3D29"/>
    <w:rsid w:val="002E403E"/>
    <w:rsid w:val="002E4888"/>
    <w:rsid w:val="002E4A06"/>
    <w:rsid w:val="002E5076"/>
    <w:rsid w:val="002E528A"/>
    <w:rsid w:val="002E539F"/>
    <w:rsid w:val="002E5429"/>
    <w:rsid w:val="002E572A"/>
    <w:rsid w:val="002E6097"/>
    <w:rsid w:val="002E65A3"/>
    <w:rsid w:val="002E6784"/>
    <w:rsid w:val="002E694D"/>
    <w:rsid w:val="002E6A73"/>
    <w:rsid w:val="002E6B3D"/>
    <w:rsid w:val="002E73AB"/>
    <w:rsid w:val="002E7669"/>
    <w:rsid w:val="002E77A1"/>
    <w:rsid w:val="002E7AA8"/>
    <w:rsid w:val="002E7FF1"/>
    <w:rsid w:val="002F015D"/>
    <w:rsid w:val="002F0A53"/>
    <w:rsid w:val="002F0EBD"/>
    <w:rsid w:val="002F1104"/>
    <w:rsid w:val="002F1163"/>
    <w:rsid w:val="002F1698"/>
    <w:rsid w:val="002F1859"/>
    <w:rsid w:val="002F18FF"/>
    <w:rsid w:val="002F1E70"/>
    <w:rsid w:val="002F23A3"/>
    <w:rsid w:val="002F27B4"/>
    <w:rsid w:val="002F2801"/>
    <w:rsid w:val="002F280F"/>
    <w:rsid w:val="002F282A"/>
    <w:rsid w:val="002F2873"/>
    <w:rsid w:val="002F29F4"/>
    <w:rsid w:val="002F2A37"/>
    <w:rsid w:val="002F35F7"/>
    <w:rsid w:val="002F3A35"/>
    <w:rsid w:val="002F3D70"/>
    <w:rsid w:val="002F41E3"/>
    <w:rsid w:val="002F45B0"/>
    <w:rsid w:val="002F4C0B"/>
    <w:rsid w:val="002F4DD0"/>
    <w:rsid w:val="002F5422"/>
    <w:rsid w:val="002F542A"/>
    <w:rsid w:val="002F5603"/>
    <w:rsid w:val="002F5C3C"/>
    <w:rsid w:val="002F6344"/>
    <w:rsid w:val="002F643F"/>
    <w:rsid w:val="002F64C4"/>
    <w:rsid w:val="002F66BF"/>
    <w:rsid w:val="002F68ED"/>
    <w:rsid w:val="002F695D"/>
    <w:rsid w:val="002F6A8D"/>
    <w:rsid w:val="002F6C5E"/>
    <w:rsid w:val="002F7025"/>
    <w:rsid w:val="002F78EF"/>
    <w:rsid w:val="002F7A0A"/>
    <w:rsid w:val="002F7A7C"/>
    <w:rsid w:val="002F7B04"/>
    <w:rsid w:val="002F7BC3"/>
    <w:rsid w:val="002F7C76"/>
    <w:rsid w:val="00300009"/>
    <w:rsid w:val="003001BF"/>
    <w:rsid w:val="003004F2"/>
    <w:rsid w:val="00300B16"/>
    <w:rsid w:val="00300B2F"/>
    <w:rsid w:val="00300C54"/>
    <w:rsid w:val="003018F4"/>
    <w:rsid w:val="003021FF"/>
    <w:rsid w:val="003022DA"/>
    <w:rsid w:val="00302404"/>
    <w:rsid w:val="00302487"/>
    <w:rsid w:val="003024AC"/>
    <w:rsid w:val="00302A05"/>
    <w:rsid w:val="00302B79"/>
    <w:rsid w:val="00302CDC"/>
    <w:rsid w:val="00302E1A"/>
    <w:rsid w:val="0030313B"/>
    <w:rsid w:val="00303316"/>
    <w:rsid w:val="0030349C"/>
    <w:rsid w:val="003035B3"/>
    <w:rsid w:val="003036CF"/>
    <w:rsid w:val="0030395F"/>
    <w:rsid w:val="00303C84"/>
    <w:rsid w:val="00303E59"/>
    <w:rsid w:val="00304041"/>
    <w:rsid w:val="00304BA1"/>
    <w:rsid w:val="00304D58"/>
    <w:rsid w:val="00304D8B"/>
    <w:rsid w:val="00304E03"/>
    <w:rsid w:val="00304FF7"/>
    <w:rsid w:val="003050FE"/>
    <w:rsid w:val="00305DFB"/>
    <w:rsid w:val="003062F9"/>
    <w:rsid w:val="003064BF"/>
    <w:rsid w:val="003069F4"/>
    <w:rsid w:val="0030789E"/>
    <w:rsid w:val="003078B8"/>
    <w:rsid w:val="003078F1"/>
    <w:rsid w:val="0030793D"/>
    <w:rsid w:val="00307FCC"/>
    <w:rsid w:val="003103B8"/>
    <w:rsid w:val="00310C7B"/>
    <w:rsid w:val="00310D28"/>
    <w:rsid w:val="00311ACD"/>
    <w:rsid w:val="00311D09"/>
    <w:rsid w:val="00311E88"/>
    <w:rsid w:val="00312463"/>
    <w:rsid w:val="00312552"/>
    <w:rsid w:val="00312940"/>
    <w:rsid w:val="00312AC1"/>
    <w:rsid w:val="00313071"/>
    <w:rsid w:val="00314202"/>
    <w:rsid w:val="00314972"/>
    <w:rsid w:val="003153F5"/>
    <w:rsid w:val="00315539"/>
    <w:rsid w:val="00315821"/>
    <w:rsid w:val="00315AC7"/>
    <w:rsid w:val="00315AFC"/>
    <w:rsid w:val="00316019"/>
    <w:rsid w:val="0031633B"/>
    <w:rsid w:val="00316C5E"/>
    <w:rsid w:val="00316C61"/>
    <w:rsid w:val="00317038"/>
    <w:rsid w:val="00317543"/>
    <w:rsid w:val="0031756F"/>
    <w:rsid w:val="00317AF7"/>
    <w:rsid w:val="0032076A"/>
    <w:rsid w:val="00320795"/>
    <w:rsid w:val="00320A32"/>
    <w:rsid w:val="00320F64"/>
    <w:rsid w:val="00321074"/>
    <w:rsid w:val="003213A7"/>
    <w:rsid w:val="00321567"/>
    <w:rsid w:val="003217C7"/>
    <w:rsid w:val="0032199C"/>
    <w:rsid w:val="00321A99"/>
    <w:rsid w:val="00321B87"/>
    <w:rsid w:val="00321BEF"/>
    <w:rsid w:val="003223A6"/>
    <w:rsid w:val="00322533"/>
    <w:rsid w:val="00322978"/>
    <w:rsid w:val="00322D18"/>
    <w:rsid w:val="00322EA3"/>
    <w:rsid w:val="00322EBE"/>
    <w:rsid w:val="00323317"/>
    <w:rsid w:val="00323EA3"/>
    <w:rsid w:val="00323F52"/>
    <w:rsid w:val="00324080"/>
    <w:rsid w:val="00324554"/>
    <w:rsid w:val="0032468C"/>
    <w:rsid w:val="00324855"/>
    <w:rsid w:val="003248C8"/>
    <w:rsid w:val="00324BED"/>
    <w:rsid w:val="00324D33"/>
    <w:rsid w:val="00324DE6"/>
    <w:rsid w:val="0032513A"/>
    <w:rsid w:val="00325180"/>
    <w:rsid w:val="003252BE"/>
    <w:rsid w:val="00325509"/>
    <w:rsid w:val="00325791"/>
    <w:rsid w:val="00325A88"/>
    <w:rsid w:val="00325BB0"/>
    <w:rsid w:val="003263D6"/>
    <w:rsid w:val="00326889"/>
    <w:rsid w:val="00326C9B"/>
    <w:rsid w:val="00326EDA"/>
    <w:rsid w:val="003270ED"/>
    <w:rsid w:val="00327659"/>
    <w:rsid w:val="00327B42"/>
    <w:rsid w:val="0033036E"/>
    <w:rsid w:val="003312B7"/>
    <w:rsid w:val="00331671"/>
    <w:rsid w:val="00331799"/>
    <w:rsid w:val="003317B7"/>
    <w:rsid w:val="00331CAB"/>
    <w:rsid w:val="00331D33"/>
    <w:rsid w:val="00331DD7"/>
    <w:rsid w:val="00331E7E"/>
    <w:rsid w:val="003320A0"/>
    <w:rsid w:val="003323C4"/>
    <w:rsid w:val="003323CC"/>
    <w:rsid w:val="00332617"/>
    <w:rsid w:val="00332F60"/>
    <w:rsid w:val="003331CD"/>
    <w:rsid w:val="00333238"/>
    <w:rsid w:val="00334411"/>
    <w:rsid w:val="00334A79"/>
    <w:rsid w:val="00334B45"/>
    <w:rsid w:val="0033547C"/>
    <w:rsid w:val="00335F2F"/>
    <w:rsid w:val="00336406"/>
    <w:rsid w:val="0033640A"/>
    <w:rsid w:val="003366FA"/>
    <w:rsid w:val="00336D0E"/>
    <w:rsid w:val="00336D85"/>
    <w:rsid w:val="003374CA"/>
    <w:rsid w:val="003378D6"/>
    <w:rsid w:val="00337D1D"/>
    <w:rsid w:val="003416B7"/>
    <w:rsid w:val="00341872"/>
    <w:rsid w:val="0034276E"/>
    <w:rsid w:val="0034287C"/>
    <w:rsid w:val="00343C11"/>
    <w:rsid w:val="00343E74"/>
    <w:rsid w:val="00343E98"/>
    <w:rsid w:val="00344440"/>
    <w:rsid w:val="0034552D"/>
    <w:rsid w:val="00346006"/>
    <w:rsid w:val="003466FF"/>
    <w:rsid w:val="0034677B"/>
    <w:rsid w:val="00346816"/>
    <w:rsid w:val="003469C3"/>
    <w:rsid w:val="00346A70"/>
    <w:rsid w:val="00346CEF"/>
    <w:rsid w:val="00347954"/>
    <w:rsid w:val="00347AA3"/>
    <w:rsid w:val="00347D8C"/>
    <w:rsid w:val="00347FAD"/>
    <w:rsid w:val="00350752"/>
    <w:rsid w:val="003508AF"/>
    <w:rsid w:val="003508D2"/>
    <w:rsid w:val="003508F9"/>
    <w:rsid w:val="00350C01"/>
    <w:rsid w:val="00350D97"/>
    <w:rsid w:val="00350FF2"/>
    <w:rsid w:val="0035119F"/>
    <w:rsid w:val="00351C76"/>
    <w:rsid w:val="003527F8"/>
    <w:rsid w:val="00352C8B"/>
    <w:rsid w:val="00352E68"/>
    <w:rsid w:val="0035315E"/>
    <w:rsid w:val="00353396"/>
    <w:rsid w:val="0035369F"/>
    <w:rsid w:val="00353930"/>
    <w:rsid w:val="00353956"/>
    <w:rsid w:val="003539B5"/>
    <w:rsid w:val="00353AAA"/>
    <w:rsid w:val="00353D0F"/>
    <w:rsid w:val="00353D76"/>
    <w:rsid w:val="003540A2"/>
    <w:rsid w:val="00354311"/>
    <w:rsid w:val="00354898"/>
    <w:rsid w:val="00354A31"/>
    <w:rsid w:val="00354E59"/>
    <w:rsid w:val="0035505B"/>
    <w:rsid w:val="00355159"/>
    <w:rsid w:val="0035525F"/>
    <w:rsid w:val="003557A3"/>
    <w:rsid w:val="00355CAF"/>
    <w:rsid w:val="00355F6A"/>
    <w:rsid w:val="003563D9"/>
    <w:rsid w:val="003563F0"/>
    <w:rsid w:val="003564D7"/>
    <w:rsid w:val="00356D38"/>
    <w:rsid w:val="00356D6D"/>
    <w:rsid w:val="00356DD8"/>
    <w:rsid w:val="00357204"/>
    <w:rsid w:val="0035733A"/>
    <w:rsid w:val="00357C8F"/>
    <w:rsid w:val="00357EE4"/>
    <w:rsid w:val="00357F17"/>
    <w:rsid w:val="00360008"/>
    <w:rsid w:val="00360123"/>
    <w:rsid w:val="00360182"/>
    <w:rsid w:val="00360302"/>
    <w:rsid w:val="003604D8"/>
    <w:rsid w:val="003609BC"/>
    <w:rsid w:val="00360B39"/>
    <w:rsid w:val="00360E29"/>
    <w:rsid w:val="00360EF5"/>
    <w:rsid w:val="00361881"/>
    <w:rsid w:val="00361B2E"/>
    <w:rsid w:val="00361E08"/>
    <w:rsid w:val="0036222B"/>
    <w:rsid w:val="00362380"/>
    <w:rsid w:val="00362459"/>
    <w:rsid w:val="00362B3E"/>
    <w:rsid w:val="00363134"/>
    <w:rsid w:val="003633FC"/>
    <w:rsid w:val="00363403"/>
    <w:rsid w:val="0036348D"/>
    <w:rsid w:val="00363BC0"/>
    <w:rsid w:val="00363EC9"/>
    <w:rsid w:val="00363F9A"/>
    <w:rsid w:val="0036409F"/>
    <w:rsid w:val="00364400"/>
    <w:rsid w:val="00364467"/>
    <w:rsid w:val="0036547A"/>
    <w:rsid w:val="0036588D"/>
    <w:rsid w:val="00365A54"/>
    <w:rsid w:val="00365EAD"/>
    <w:rsid w:val="00366432"/>
    <w:rsid w:val="00366500"/>
    <w:rsid w:val="00366AB0"/>
    <w:rsid w:val="00366F83"/>
    <w:rsid w:val="00367279"/>
    <w:rsid w:val="00367528"/>
    <w:rsid w:val="003677FF"/>
    <w:rsid w:val="00367A8C"/>
    <w:rsid w:val="00367FEE"/>
    <w:rsid w:val="003701AC"/>
    <w:rsid w:val="0037049F"/>
    <w:rsid w:val="003704DD"/>
    <w:rsid w:val="00370656"/>
    <w:rsid w:val="00370A3C"/>
    <w:rsid w:val="00370CBE"/>
    <w:rsid w:val="00371261"/>
    <w:rsid w:val="003715CC"/>
    <w:rsid w:val="00371DD6"/>
    <w:rsid w:val="003721A4"/>
    <w:rsid w:val="003721CE"/>
    <w:rsid w:val="00372376"/>
    <w:rsid w:val="003728B2"/>
    <w:rsid w:val="00372F02"/>
    <w:rsid w:val="00373228"/>
    <w:rsid w:val="0037335D"/>
    <w:rsid w:val="00373360"/>
    <w:rsid w:val="003733C2"/>
    <w:rsid w:val="0037379F"/>
    <w:rsid w:val="0037474B"/>
    <w:rsid w:val="00374C7C"/>
    <w:rsid w:val="00374DE3"/>
    <w:rsid w:val="00374EF8"/>
    <w:rsid w:val="00374FB4"/>
    <w:rsid w:val="00375288"/>
    <w:rsid w:val="0037532B"/>
    <w:rsid w:val="0037555C"/>
    <w:rsid w:val="0037556A"/>
    <w:rsid w:val="00375D7B"/>
    <w:rsid w:val="00375E7E"/>
    <w:rsid w:val="00375FAC"/>
    <w:rsid w:val="00376884"/>
    <w:rsid w:val="003774ED"/>
    <w:rsid w:val="00377626"/>
    <w:rsid w:val="0037768E"/>
    <w:rsid w:val="00377BB7"/>
    <w:rsid w:val="00377ECC"/>
    <w:rsid w:val="003804E9"/>
    <w:rsid w:val="00380AAC"/>
    <w:rsid w:val="00380C25"/>
    <w:rsid w:val="00380FDB"/>
    <w:rsid w:val="0038136A"/>
    <w:rsid w:val="0038176F"/>
    <w:rsid w:val="00381C11"/>
    <w:rsid w:val="00381D96"/>
    <w:rsid w:val="00381E3B"/>
    <w:rsid w:val="00381ED7"/>
    <w:rsid w:val="0038220E"/>
    <w:rsid w:val="003823DD"/>
    <w:rsid w:val="0038242B"/>
    <w:rsid w:val="003824A2"/>
    <w:rsid w:val="00382B89"/>
    <w:rsid w:val="0038348B"/>
    <w:rsid w:val="003837AD"/>
    <w:rsid w:val="0038395A"/>
    <w:rsid w:val="00383A0D"/>
    <w:rsid w:val="003845ED"/>
    <w:rsid w:val="003846D8"/>
    <w:rsid w:val="003847DE"/>
    <w:rsid w:val="0038482C"/>
    <w:rsid w:val="003848ED"/>
    <w:rsid w:val="00384C2F"/>
    <w:rsid w:val="00384C7C"/>
    <w:rsid w:val="00384CD5"/>
    <w:rsid w:val="00384F1B"/>
    <w:rsid w:val="00385549"/>
    <w:rsid w:val="0038599E"/>
    <w:rsid w:val="00385B4F"/>
    <w:rsid w:val="00385C35"/>
    <w:rsid w:val="00385D99"/>
    <w:rsid w:val="00385F44"/>
    <w:rsid w:val="0038608B"/>
    <w:rsid w:val="003867A2"/>
    <w:rsid w:val="003867B9"/>
    <w:rsid w:val="00387496"/>
    <w:rsid w:val="003875D7"/>
    <w:rsid w:val="0038782A"/>
    <w:rsid w:val="00387BCE"/>
    <w:rsid w:val="00387EA7"/>
    <w:rsid w:val="003900E2"/>
    <w:rsid w:val="003907F2"/>
    <w:rsid w:val="00390932"/>
    <w:rsid w:val="00390B17"/>
    <w:rsid w:val="00390F06"/>
    <w:rsid w:val="00391A0B"/>
    <w:rsid w:val="00391CCF"/>
    <w:rsid w:val="00391CF3"/>
    <w:rsid w:val="0039211A"/>
    <w:rsid w:val="0039219B"/>
    <w:rsid w:val="003922A6"/>
    <w:rsid w:val="00392319"/>
    <w:rsid w:val="003926E2"/>
    <w:rsid w:val="00392999"/>
    <w:rsid w:val="00392B6E"/>
    <w:rsid w:val="00392DBE"/>
    <w:rsid w:val="003931AA"/>
    <w:rsid w:val="0039337A"/>
    <w:rsid w:val="003936E7"/>
    <w:rsid w:val="003938B5"/>
    <w:rsid w:val="00393A74"/>
    <w:rsid w:val="00393BB2"/>
    <w:rsid w:val="00393BF4"/>
    <w:rsid w:val="00393DA6"/>
    <w:rsid w:val="00393FD9"/>
    <w:rsid w:val="003942AF"/>
    <w:rsid w:val="0039437D"/>
    <w:rsid w:val="003943DB"/>
    <w:rsid w:val="003948B8"/>
    <w:rsid w:val="00394D27"/>
    <w:rsid w:val="003950BE"/>
    <w:rsid w:val="00395CB9"/>
    <w:rsid w:val="00395F1B"/>
    <w:rsid w:val="003961DA"/>
    <w:rsid w:val="0039641A"/>
    <w:rsid w:val="003968D4"/>
    <w:rsid w:val="00396C2D"/>
    <w:rsid w:val="003972A7"/>
    <w:rsid w:val="00397559"/>
    <w:rsid w:val="00397852"/>
    <w:rsid w:val="003A0078"/>
    <w:rsid w:val="003A0121"/>
    <w:rsid w:val="003A0160"/>
    <w:rsid w:val="003A05B6"/>
    <w:rsid w:val="003A0AC3"/>
    <w:rsid w:val="003A0DAF"/>
    <w:rsid w:val="003A0DDC"/>
    <w:rsid w:val="003A19AB"/>
    <w:rsid w:val="003A1FF5"/>
    <w:rsid w:val="003A2031"/>
    <w:rsid w:val="003A2977"/>
    <w:rsid w:val="003A30E3"/>
    <w:rsid w:val="003A34B2"/>
    <w:rsid w:val="003A3688"/>
    <w:rsid w:val="003A40CC"/>
    <w:rsid w:val="003A40D6"/>
    <w:rsid w:val="003A4142"/>
    <w:rsid w:val="003A4DC6"/>
    <w:rsid w:val="003A4DD8"/>
    <w:rsid w:val="003A4E24"/>
    <w:rsid w:val="003A4E66"/>
    <w:rsid w:val="003A5C57"/>
    <w:rsid w:val="003A5CB2"/>
    <w:rsid w:val="003A5F47"/>
    <w:rsid w:val="003A62F7"/>
    <w:rsid w:val="003A6BE0"/>
    <w:rsid w:val="003A74CF"/>
    <w:rsid w:val="003A75E1"/>
    <w:rsid w:val="003A77B7"/>
    <w:rsid w:val="003A78BE"/>
    <w:rsid w:val="003A7990"/>
    <w:rsid w:val="003B004B"/>
    <w:rsid w:val="003B02CA"/>
    <w:rsid w:val="003B02E8"/>
    <w:rsid w:val="003B126B"/>
    <w:rsid w:val="003B18C3"/>
    <w:rsid w:val="003B1CDD"/>
    <w:rsid w:val="003B1D28"/>
    <w:rsid w:val="003B1DB0"/>
    <w:rsid w:val="003B3114"/>
    <w:rsid w:val="003B3137"/>
    <w:rsid w:val="003B331A"/>
    <w:rsid w:val="003B3948"/>
    <w:rsid w:val="003B3B3C"/>
    <w:rsid w:val="003B3C72"/>
    <w:rsid w:val="003B3CE1"/>
    <w:rsid w:val="003B3DE6"/>
    <w:rsid w:val="003B3E6D"/>
    <w:rsid w:val="003B4101"/>
    <w:rsid w:val="003B4163"/>
    <w:rsid w:val="003B4363"/>
    <w:rsid w:val="003B4478"/>
    <w:rsid w:val="003B4691"/>
    <w:rsid w:val="003B51F3"/>
    <w:rsid w:val="003B5234"/>
    <w:rsid w:val="003B59E6"/>
    <w:rsid w:val="003B5C03"/>
    <w:rsid w:val="003B5C45"/>
    <w:rsid w:val="003B5D13"/>
    <w:rsid w:val="003B7088"/>
    <w:rsid w:val="003B747A"/>
    <w:rsid w:val="003B75BD"/>
    <w:rsid w:val="003C00AF"/>
    <w:rsid w:val="003C0178"/>
    <w:rsid w:val="003C0483"/>
    <w:rsid w:val="003C05E6"/>
    <w:rsid w:val="003C0CDC"/>
    <w:rsid w:val="003C1903"/>
    <w:rsid w:val="003C227B"/>
    <w:rsid w:val="003C23A3"/>
    <w:rsid w:val="003C2885"/>
    <w:rsid w:val="003C2E4E"/>
    <w:rsid w:val="003C2F2B"/>
    <w:rsid w:val="003C32BD"/>
    <w:rsid w:val="003C3841"/>
    <w:rsid w:val="003C3EB5"/>
    <w:rsid w:val="003C430F"/>
    <w:rsid w:val="003C4467"/>
    <w:rsid w:val="003C4638"/>
    <w:rsid w:val="003C48E2"/>
    <w:rsid w:val="003C51C3"/>
    <w:rsid w:val="003C534A"/>
    <w:rsid w:val="003C56DF"/>
    <w:rsid w:val="003C574B"/>
    <w:rsid w:val="003C5AB4"/>
    <w:rsid w:val="003C6B90"/>
    <w:rsid w:val="003C705E"/>
    <w:rsid w:val="003C726A"/>
    <w:rsid w:val="003C73EF"/>
    <w:rsid w:val="003C77D9"/>
    <w:rsid w:val="003C78A0"/>
    <w:rsid w:val="003C78CA"/>
    <w:rsid w:val="003C7A3C"/>
    <w:rsid w:val="003D013B"/>
    <w:rsid w:val="003D01D1"/>
    <w:rsid w:val="003D04E0"/>
    <w:rsid w:val="003D122A"/>
    <w:rsid w:val="003D1490"/>
    <w:rsid w:val="003D1C2B"/>
    <w:rsid w:val="003D1DD2"/>
    <w:rsid w:val="003D1F18"/>
    <w:rsid w:val="003D1F98"/>
    <w:rsid w:val="003D2119"/>
    <w:rsid w:val="003D2267"/>
    <w:rsid w:val="003D24E4"/>
    <w:rsid w:val="003D270C"/>
    <w:rsid w:val="003D27A4"/>
    <w:rsid w:val="003D2A05"/>
    <w:rsid w:val="003D2AD8"/>
    <w:rsid w:val="003D2B8F"/>
    <w:rsid w:val="003D2F5F"/>
    <w:rsid w:val="003D352A"/>
    <w:rsid w:val="003D3B75"/>
    <w:rsid w:val="003D4274"/>
    <w:rsid w:val="003D42C3"/>
    <w:rsid w:val="003D4357"/>
    <w:rsid w:val="003D486D"/>
    <w:rsid w:val="003D4C26"/>
    <w:rsid w:val="003D4C6D"/>
    <w:rsid w:val="003D4FD8"/>
    <w:rsid w:val="003D51AC"/>
    <w:rsid w:val="003D54E4"/>
    <w:rsid w:val="003D5549"/>
    <w:rsid w:val="003D579E"/>
    <w:rsid w:val="003D5A0F"/>
    <w:rsid w:val="003D5A59"/>
    <w:rsid w:val="003D73AD"/>
    <w:rsid w:val="003D78AE"/>
    <w:rsid w:val="003D7A50"/>
    <w:rsid w:val="003E0392"/>
    <w:rsid w:val="003E04F2"/>
    <w:rsid w:val="003E0787"/>
    <w:rsid w:val="003E0A5B"/>
    <w:rsid w:val="003E151F"/>
    <w:rsid w:val="003E312B"/>
    <w:rsid w:val="003E3A2F"/>
    <w:rsid w:val="003E3B13"/>
    <w:rsid w:val="003E3E5C"/>
    <w:rsid w:val="003E4186"/>
    <w:rsid w:val="003E4292"/>
    <w:rsid w:val="003E4524"/>
    <w:rsid w:val="003E4819"/>
    <w:rsid w:val="003E4B3F"/>
    <w:rsid w:val="003E4CED"/>
    <w:rsid w:val="003E4E5B"/>
    <w:rsid w:val="003E53EB"/>
    <w:rsid w:val="003E5C62"/>
    <w:rsid w:val="003E6383"/>
    <w:rsid w:val="003E64DE"/>
    <w:rsid w:val="003E66CA"/>
    <w:rsid w:val="003E676A"/>
    <w:rsid w:val="003E74EC"/>
    <w:rsid w:val="003E75FD"/>
    <w:rsid w:val="003E7EE1"/>
    <w:rsid w:val="003E7F52"/>
    <w:rsid w:val="003E7F82"/>
    <w:rsid w:val="003F04E2"/>
    <w:rsid w:val="003F06DA"/>
    <w:rsid w:val="003F1458"/>
    <w:rsid w:val="003F1550"/>
    <w:rsid w:val="003F157A"/>
    <w:rsid w:val="003F1E0E"/>
    <w:rsid w:val="003F23FD"/>
    <w:rsid w:val="003F2696"/>
    <w:rsid w:val="003F26B9"/>
    <w:rsid w:val="003F2D35"/>
    <w:rsid w:val="003F3178"/>
    <w:rsid w:val="003F337D"/>
    <w:rsid w:val="003F3E78"/>
    <w:rsid w:val="003F4503"/>
    <w:rsid w:val="003F45AB"/>
    <w:rsid w:val="003F4A5D"/>
    <w:rsid w:val="003F4DCA"/>
    <w:rsid w:val="003F61FC"/>
    <w:rsid w:val="003F681E"/>
    <w:rsid w:val="003F6900"/>
    <w:rsid w:val="003F69D4"/>
    <w:rsid w:val="003F6C16"/>
    <w:rsid w:val="003F7152"/>
    <w:rsid w:val="003F7482"/>
    <w:rsid w:val="003F766D"/>
    <w:rsid w:val="003F76B4"/>
    <w:rsid w:val="003F7704"/>
    <w:rsid w:val="003F77C6"/>
    <w:rsid w:val="003F7D4D"/>
    <w:rsid w:val="003F7FA7"/>
    <w:rsid w:val="00400213"/>
    <w:rsid w:val="0040021A"/>
    <w:rsid w:val="00400245"/>
    <w:rsid w:val="00400AA0"/>
    <w:rsid w:val="00401395"/>
    <w:rsid w:val="00401D15"/>
    <w:rsid w:val="00401D23"/>
    <w:rsid w:val="00402449"/>
    <w:rsid w:val="00402BC4"/>
    <w:rsid w:val="00402E0D"/>
    <w:rsid w:val="004030B7"/>
    <w:rsid w:val="00403F31"/>
    <w:rsid w:val="00403F6F"/>
    <w:rsid w:val="00404668"/>
    <w:rsid w:val="00404A9C"/>
    <w:rsid w:val="00404ACE"/>
    <w:rsid w:val="00404C17"/>
    <w:rsid w:val="00404FE5"/>
    <w:rsid w:val="004053ED"/>
    <w:rsid w:val="004058C3"/>
    <w:rsid w:val="00405CFF"/>
    <w:rsid w:val="004061E1"/>
    <w:rsid w:val="004064BC"/>
    <w:rsid w:val="00406544"/>
    <w:rsid w:val="004068E4"/>
    <w:rsid w:val="00406DEE"/>
    <w:rsid w:val="00406F28"/>
    <w:rsid w:val="00406F74"/>
    <w:rsid w:val="00407531"/>
    <w:rsid w:val="00407783"/>
    <w:rsid w:val="004100B5"/>
    <w:rsid w:val="004108E7"/>
    <w:rsid w:val="00410A81"/>
    <w:rsid w:val="00410B3B"/>
    <w:rsid w:val="00410DF6"/>
    <w:rsid w:val="00411196"/>
    <w:rsid w:val="00411243"/>
    <w:rsid w:val="00411281"/>
    <w:rsid w:val="004115AE"/>
    <w:rsid w:val="004115E2"/>
    <w:rsid w:val="004115FD"/>
    <w:rsid w:val="004118B3"/>
    <w:rsid w:val="004119C9"/>
    <w:rsid w:val="00411CF1"/>
    <w:rsid w:val="00411DAA"/>
    <w:rsid w:val="004126D2"/>
    <w:rsid w:val="004126DE"/>
    <w:rsid w:val="0041290D"/>
    <w:rsid w:val="00412DA6"/>
    <w:rsid w:val="0041390F"/>
    <w:rsid w:val="00414203"/>
    <w:rsid w:val="00414576"/>
    <w:rsid w:val="004147CB"/>
    <w:rsid w:val="0041497C"/>
    <w:rsid w:val="00414D93"/>
    <w:rsid w:val="00414DC3"/>
    <w:rsid w:val="004158AF"/>
    <w:rsid w:val="00415B58"/>
    <w:rsid w:val="004161E3"/>
    <w:rsid w:val="00416C5D"/>
    <w:rsid w:val="00416E5D"/>
    <w:rsid w:val="00417C37"/>
    <w:rsid w:val="00417D28"/>
    <w:rsid w:val="0042061F"/>
    <w:rsid w:val="0042138D"/>
    <w:rsid w:val="00421417"/>
    <w:rsid w:val="004219F6"/>
    <w:rsid w:val="00422067"/>
    <w:rsid w:val="0042231F"/>
    <w:rsid w:val="00422348"/>
    <w:rsid w:val="004227D8"/>
    <w:rsid w:val="00422C2A"/>
    <w:rsid w:val="00423199"/>
    <w:rsid w:val="00423395"/>
    <w:rsid w:val="00423780"/>
    <w:rsid w:val="00423D58"/>
    <w:rsid w:val="004249C7"/>
    <w:rsid w:val="00424CE2"/>
    <w:rsid w:val="004250DA"/>
    <w:rsid w:val="0042617B"/>
    <w:rsid w:val="004264A2"/>
    <w:rsid w:val="004269F6"/>
    <w:rsid w:val="00426D1E"/>
    <w:rsid w:val="004270CC"/>
    <w:rsid w:val="004270EF"/>
    <w:rsid w:val="004272D7"/>
    <w:rsid w:val="0042771B"/>
    <w:rsid w:val="004277D1"/>
    <w:rsid w:val="00427DC5"/>
    <w:rsid w:val="004302BF"/>
    <w:rsid w:val="00430568"/>
    <w:rsid w:val="00430638"/>
    <w:rsid w:val="004307AB"/>
    <w:rsid w:val="00430C82"/>
    <w:rsid w:val="00431143"/>
    <w:rsid w:val="00431534"/>
    <w:rsid w:val="0043154F"/>
    <w:rsid w:val="004315DA"/>
    <w:rsid w:val="00431B2E"/>
    <w:rsid w:val="00431EF1"/>
    <w:rsid w:val="0043254E"/>
    <w:rsid w:val="00432616"/>
    <w:rsid w:val="00432A3B"/>
    <w:rsid w:val="0043301F"/>
    <w:rsid w:val="004332FC"/>
    <w:rsid w:val="004334CD"/>
    <w:rsid w:val="004334EE"/>
    <w:rsid w:val="00433844"/>
    <w:rsid w:val="00433A1B"/>
    <w:rsid w:val="00434314"/>
    <w:rsid w:val="00434ADE"/>
    <w:rsid w:val="00434F31"/>
    <w:rsid w:val="0043500A"/>
    <w:rsid w:val="004354E3"/>
    <w:rsid w:val="00435684"/>
    <w:rsid w:val="00435941"/>
    <w:rsid w:val="00435DA0"/>
    <w:rsid w:val="00435EA1"/>
    <w:rsid w:val="00436358"/>
    <w:rsid w:val="00436524"/>
    <w:rsid w:val="0043681F"/>
    <w:rsid w:val="004372AB"/>
    <w:rsid w:val="004373A6"/>
    <w:rsid w:val="004376DF"/>
    <w:rsid w:val="00437C19"/>
    <w:rsid w:val="00440599"/>
    <w:rsid w:val="00440983"/>
    <w:rsid w:val="004409A6"/>
    <w:rsid w:val="00440E0B"/>
    <w:rsid w:val="004413BE"/>
    <w:rsid w:val="004414F7"/>
    <w:rsid w:val="0044177F"/>
    <w:rsid w:val="00441B3D"/>
    <w:rsid w:val="00441BCB"/>
    <w:rsid w:val="00441FE3"/>
    <w:rsid w:val="00442009"/>
    <w:rsid w:val="00442C29"/>
    <w:rsid w:val="00443367"/>
    <w:rsid w:val="004433DC"/>
    <w:rsid w:val="004434E1"/>
    <w:rsid w:val="0044351F"/>
    <w:rsid w:val="004435EE"/>
    <w:rsid w:val="0044377D"/>
    <w:rsid w:val="004443A6"/>
    <w:rsid w:val="004444C2"/>
    <w:rsid w:val="004446BF"/>
    <w:rsid w:val="00444B38"/>
    <w:rsid w:val="00445031"/>
    <w:rsid w:val="00445321"/>
    <w:rsid w:val="004456B9"/>
    <w:rsid w:val="0044598A"/>
    <w:rsid w:val="00445A8A"/>
    <w:rsid w:val="00445D39"/>
    <w:rsid w:val="00445E8A"/>
    <w:rsid w:val="00446553"/>
    <w:rsid w:val="00446ADB"/>
    <w:rsid w:val="00446EC0"/>
    <w:rsid w:val="0044741F"/>
    <w:rsid w:val="00447FF1"/>
    <w:rsid w:val="004503FC"/>
    <w:rsid w:val="004504D2"/>
    <w:rsid w:val="00450568"/>
    <w:rsid w:val="00450D78"/>
    <w:rsid w:val="004516DC"/>
    <w:rsid w:val="004520E4"/>
    <w:rsid w:val="0045216D"/>
    <w:rsid w:val="0045255C"/>
    <w:rsid w:val="0045266D"/>
    <w:rsid w:val="00453593"/>
    <w:rsid w:val="0045370E"/>
    <w:rsid w:val="00453B29"/>
    <w:rsid w:val="0045403C"/>
    <w:rsid w:val="00454308"/>
    <w:rsid w:val="00454531"/>
    <w:rsid w:val="004545CD"/>
    <w:rsid w:val="004546C9"/>
    <w:rsid w:val="00454ACE"/>
    <w:rsid w:val="00454E1A"/>
    <w:rsid w:val="00454FB3"/>
    <w:rsid w:val="00455D3A"/>
    <w:rsid w:val="00455F99"/>
    <w:rsid w:val="004569D7"/>
    <w:rsid w:val="00456F70"/>
    <w:rsid w:val="0045714C"/>
    <w:rsid w:val="00457B25"/>
    <w:rsid w:val="00457EDB"/>
    <w:rsid w:val="004602ED"/>
    <w:rsid w:val="00460517"/>
    <w:rsid w:val="004611F6"/>
    <w:rsid w:val="0046134E"/>
    <w:rsid w:val="004618ED"/>
    <w:rsid w:val="00461BE0"/>
    <w:rsid w:val="00461C7C"/>
    <w:rsid w:val="00461D57"/>
    <w:rsid w:val="004624AD"/>
    <w:rsid w:val="00462BA2"/>
    <w:rsid w:val="0046364B"/>
    <w:rsid w:val="004636D3"/>
    <w:rsid w:val="00463795"/>
    <w:rsid w:val="00463BD3"/>
    <w:rsid w:val="00463D28"/>
    <w:rsid w:val="00463E17"/>
    <w:rsid w:val="00463FD3"/>
    <w:rsid w:val="004641C2"/>
    <w:rsid w:val="00464FF7"/>
    <w:rsid w:val="0046501D"/>
    <w:rsid w:val="004652FF"/>
    <w:rsid w:val="00465641"/>
    <w:rsid w:val="004656CB"/>
    <w:rsid w:val="0046598C"/>
    <w:rsid w:val="00465BD8"/>
    <w:rsid w:val="004662CE"/>
    <w:rsid w:val="004667B2"/>
    <w:rsid w:val="0046688B"/>
    <w:rsid w:val="00466C2A"/>
    <w:rsid w:val="00466DA4"/>
    <w:rsid w:val="004677F6"/>
    <w:rsid w:val="00467A1A"/>
    <w:rsid w:val="00467EED"/>
    <w:rsid w:val="00467F55"/>
    <w:rsid w:val="00470137"/>
    <w:rsid w:val="004702FD"/>
    <w:rsid w:val="0047043E"/>
    <w:rsid w:val="0047074E"/>
    <w:rsid w:val="004708B8"/>
    <w:rsid w:val="004710B3"/>
    <w:rsid w:val="00471148"/>
    <w:rsid w:val="004719CB"/>
    <w:rsid w:val="00471A8C"/>
    <w:rsid w:val="004729EA"/>
    <w:rsid w:val="00472C4F"/>
    <w:rsid w:val="00472DF8"/>
    <w:rsid w:val="00473061"/>
    <w:rsid w:val="0047320D"/>
    <w:rsid w:val="00473271"/>
    <w:rsid w:val="004732BD"/>
    <w:rsid w:val="0047338F"/>
    <w:rsid w:val="00473A4F"/>
    <w:rsid w:val="00473A88"/>
    <w:rsid w:val="00473B95"/>
    <w:rsid w:val="00473CA0"/>
    <w:rsid w:val="00474883"/>
    <w:rsid w:val="00474B3B"/>
    <w:rsid w:val="004750CC"/>
    <w:rsid w:val="00475A21"/>
    <w:rsid w:val="00475A2B"/>
    <w:rsid w:val="00475BD7"/>
    <w:rsid w:val="00475F0E"/>
    <w:rsid w:val="00476233"/>
    <w:rsid w:val="0047637F"/>
    <w:rsid w:val="0047685D"/>
    <w:rsid w:val="00476F11"/>
    <w:rsid w:val="0047766D"/>
    <w:rsid w:val="0047790A"/>
    <w:rsid w:val="00477C46"/>
    <w:rsid w:val="004800FF"/>
    <w:rsid w:val="004801AD"/>
    <w:rsid w:val="0048060C"/>
    <w:rsid w:val="004810EA"/>
    <w:rsid w:val="004818C2"/>
    <w:rsid w:val="004819BC"/>
    <w:rsid w:val="00482050"/>
    <w:rsid w:val="00482186"/>
    <w:rsid w:val="00482287"/>
    <w:rsid w:val="00482C15"/>
    <w:rsid w:val="00482D64"/>
    <w:rsid w:val="00483B74"/>
    <w:rsid w:val="0048426E"/>
    <w:rsid w:val="00484CC1"/>
    <w:rsid w:val="00484F71"/>
    <w:rsid w:val="004852AF"/>
    <w:rsid w:val="0048537C"/>
    <w:rsid w:val="0048537F"/>
    <w:rsid w:val="0048567A"/>
    <w:rsid w:val="00485728"/>
    <w:rsid w:val="00485941"/>
    <w:rsid w:val="00485D63"/>
    <w:rsid w:val="004860F3"/>
    <w:rsid w:val="00486345"/>
    <w:rsid w:val="004865B8"/>
    <w:rsid w:val="004867C6"/>
    <w:rsid w:val="00486A94"/>
    <w:rsid w:val="00486BF1"/>
    <w:rsid w:val="004873AC"/>
    <w:rsid w:val="00487508"/>
    <w:rsid w:val="00487961"/>
    <w:rsid w:val="00490962"/>
    <w:rsid w:val="00490CF4"/>
    <w:rsid w:val="0049100A"/>
    <w:rsid w:val="00491172"/>
    <w:rsid w:val="00491466"/>
    <w:rsid w:val="00491918"/>
    <w:rsid w:val="00491C7C"/>
    <w:rsid w:val="0049200E"/>
    <w:rsid w:val="00492275"/>
    <w:rsid w:val="00492949"/>
    <w:rsid w:val="00492BC5"/>
    <w:rsid w:val="00492C14"/>
    <w:rsid w:val="00492C4E"/>
    <w:rsid w:val="004945E9"/>
    <w:rsid w:val="0049470C"/>
    <w:rsid w:val="00494B83"/>
    <w:rsid w:val="0049513F"/>
    <w:rsid w:val="00495242"/>
    <w:rsid w:val="004954A2"/>
    <w:rsid w:val="0049574C"/>
    <w:rsid w:val="00496410"/>
    <w:rsid w:val="00496A47"/>
    <w:rsid w:val="0049766F"/>
    <w:rsid w:val="0049785F"/>
    <w:rsid w:val="00497945"/>
    <w:rsid w:val="004979AB"/>
    <w:rsid w:val="00497B64"/>
    <w:rsid w:val="004A0068"/>
    <w:rsid w:val="004A0264"/>
    <w:rsid w:val="004A043F"/>
    <w:rsid w:val="004A0508"/>
    <w:rsid w:val="004A0850"/>
    <w:rsid w:val="004A0F6A"/>
    <w:rsid w:val="004A1075"/>
    <w:rsid w:val="004A16A5"/>
    <w:rsid w:val="004A17D2"/>
    <w:rsid w:val="004A1C47"/>
    <w:rsid w:val="004A1F44"/>
    <w:rsid w:val="004A2098"/>
    <w:rsid w:val="004A220E"/>
    <w:rsid w:val="004A243B"/>
    <w:rsid w:val="004A2761"/>
    <w:rsid w:val="004A30ED"/>
    <w:rsid w:val="004A329C"/>
    <w:rsid w:val="004A37A2"/>
    <w:rsid w:val="004A37DB"/>
    <w:rsid w:val="004A3FB4"/>
    <w:rsid w:val="004A4349"/>
    <w:rsid w:val="004A443B"/>
    <w:rsid w:val="004A4654"/>
    <w:rsid w:val="004A484D"/>
    <w:rsid w:val="004A4ABE"/>
    <w:rsid w:val="004A4C2F"/>
    <w:rsid w:val="004A4D7D"/>
    <w:rsid w:val="004A52FC"/>
    <w:rsid w:val="004A5783"/>
    <w:rsid w:val="004A5A7E"/>
    <w:rsid w:val="004A5B95"/>
    <w:rsid w:val="004A5BF7"/>
    <w:rsid w:val="004A5D4A"/>
    <w:rsid w:val="004A5FF8"/>
    <w:rsid w:val="004A6200"/>
    <w:rsid w:val="004A6704"/>
    <w:rsid w:val="004A69D5"/>
    <w:rsid w:val="004A6D78"/>
    <w:rsid w:val="004A7415"/>
    <w:rsid w:val="004A7800"/>
    <w:rsid w:val="004B068F"/>
    <w:rsid w:val="004B0C7E"/>
    <w:rsid w:val="004B1475"/>
    <w:rsid w:val="004B1A22"/>
    <w:rsid w:val="004B1C4B"/>
    <w:rsid w:val="004B1CA0"/>
    <w:rsid w:val="004B207A"/>
    <w:rsid w:val="004B2833"/>
    <w:rsid w:val="004B3061"/>
    <w:rsid w:val="004B3328"/>
    <w:rsid w:val="004B33A0"/>
    <w:rsid w:val="004B34FE"/>
    <w:rsid w:val="004B3A97"/>
    <w:rsid w:val="004B3BA7"/>
    <w:rsid w:val="004B45D4"/>
    <w:rsid w:val="004B4BDF"/>
    <w:rsid w:val="004B50EA"/>
    <w:rsid w:val="004B51AE"/>
    <w:rsid w:val="004B5211"/>
    <w:rsid w:val="004B5563"/>
    <w:rsid w:val="004B5748"/>
    <w:rsid w:val="004B581C"/>
    <w:rsid w:val="004B5843"/>
    <w:rsid w:val="004B59EB"/>
    <w:rsid w:val="004B5B14"/>
    <w:rsid w:val="004B5FD3"/>
    <w:rsid w:val="004B6292"/>
    <w:rsid w:val="004B646D"/>
    <w:rsid w:val="004B6506"/>
    <w:rsid w:val="004B658F"/>
    <w:rsid w:val="004B66AD"/>
    <w:rsid w:val="004B6C8F"/>
    <w:rsid w:val="004B6EC1"/>
    <w:rsid w:val="004B708E"/>
    <w:rsid w:val="004B74A8"/>
    <w:rsid w:val="004B77E3"/>
    <w:rsid w:val="004B787C"/>
    <w:rsid w:val="004B7D9C"/>
    <w:rsid w:val="004B7E67"/>
    <w:rsid w:val="004C0197"/>
    <w:rsid w:val="004C0464"/>
    <w:rsid w:val="004C089A"/>
    <w:rsid w:val="004C08A4"/>
    <w:rsid w:val="004C0CD0"/>
    <w:rsid w:val="004C0D65"/>
    <w:rsid w:val="004C0DC7"/>
    <w:rsid w:val="004C15C2"/>
    <w:rsid w:val="004C1A58"/>
    <w:rsid w:val="004C1AAA"/>
    <w:rsid w:val="004C205A"/>
    <w:rsid w:val="004C22C7"/>
    <w:rsid w:val="004C2457"/>
    <w:rsid w:val="004C28C2"/>
    <w:rsid w:val="004C293D"/>
    <w:rsid w:val="004C2BD1"/>
    <w:rsid w:val="004C2C29"/>
    <w:rsid w:val="004C3019"/>
    <w:rsid w:val="004C304B"/>
    <w:rsid w:val="004C33F5"/>
    <w:rsid w:val="004C3605"/>
    <w:rsid w:val="004C402C"/>
    <w:rsid w:val="004C47F8"/>
    <w:rsid w:val="004C4836"/>
    <w:rsid w:val="004C4AD6"/>
    <w:rsid w:val="004C5595"/>
    <w:rsid w:val="004C579A"/>
    <w:rsid w:val="004C606E"/>
    <w:rsid w:val="004C6342"/>
    <w:rsid w:val="004C63A8"/>
    <w:rsid w:val="004C6A79"/>
    <w:rsid w:val="004C6CE6"/>
    <w:rsid w:val="004C6DC5"/>
    <w:rsid w:val="004C7027"/>
    <w:rsid w:val="004C7488"/>
    <w:rsid w:val="004C7627"/>
    <w:rsid w:val="004C77E8"/>
    <w:rsid w:val="004C7A9C"/>
    <w:rsid w:val="004C7C63"/>
    <w:rsid w:val="004C7D8B"/>
    <w:rsid w:val="004D0169"/>
    <w:rsid w:val="004D0466"/>
    <w:rsid w:val="004D0E7F"/>
    <w:rsid w:val="004D10C8"/>
    <w:rsid w:val="004D1109"/>
    <w:rsid w:val="004D14B0"/>
    <w:rsid w:val="004D15B2"/>
    <w:rsid w:val="004D1E6B"/>
    <w:rsid w:val="004D287A"/>
    <w:rsid w:val="004D2E12"/>
    <w:rsid w:val="004D30F7"/>
    <w:rsid w:val="004D45A1"/>
    <w:rsid w:val="004D465F"/>
    <w:rsid w:val="004D46C1"/>
    <w:rsid w:val="004D500E"/>
    <w:rsid w:val="004D553A"/>
    <w:rsid w:val="004D57A4"/>
    <w:rsid w:val="004D5854"/>
    <w:rsid w:val="004D59C1"/>
    <w:rsid w:val="004D5D90"/>
    <w:rsid w:val="004D5F1C"/>
    <w:rsid w:val="004D5F62"/>
    <w:rsid w:val="004D5FA4"/>
    <w:rsid w:val="004D63B8"/>
    <w:rsid w:val="004D6C79"/>
    <w:rsid w:val="004D6F3F"/>
    <w:rsid w:val="004D714C"/>
    <w:rsid w:val="004D7DE7"/>
    <w:rsid w:val="004E01D8"/>
    <w:rsid w:val="004E0C12"/>
    <w:rsid w:val="004E0EF0"/>
    <w:rsid w:val="004E1229"/>
    <w:rsid w:val="004E12B5"/>
    <w:rsid w:val="004E14A9"/>
    <w:rsid w:val="004E14CC"/>
    <w:rsid w:val="004E252B"/>
    <w:rsid w:val="004E2ABD"/>
    <w:rsid w:val="004E3C5A"/>
    <w:rsid w:val="004E3CD8"/>
    <w:rsid w:val="004E3E88"/>
    <w:rsid w:val="004E3FE5"/>
    <w:rsid w:val="004E4035"/>
    <w:rsid w:val="004E4ED0"/>
    <w:rsid w:val="004E51B4"/>
    <w:rsid w:val="004E5267"/>
    <w:rsid w:val="004E527C"/>
    <w:rsid w:val="004E53F4"/>
    <w:rsid w:val="004E555B"/>
    <w:rsid w:val="004E595F"/>
    <w:rsid w:val="004E5A03"/>
    <w:rsid w:val="004E5C98"/>
    <w:rsid w:val="004E63FB"/>
    <w:rsid w:val="004E67F0"/>
    <w:rsid w:val="004E692F"/>
    <w:rsid w:val="004E6B9D"/>
    <w:rsid w:val="004E6CBB"/>
    <w:rsid w:val="004E6E17"/>
    <w:rsid w:val="004E6E44"/>
    <w:rsid w:val="004E75F2"/>
    <w:rsid w:val="004E793B"/>
    <w:rsid w:val="004E7B2A"/>
    <w:rsid w:val="004E7E40"/>
    <w:rsid w:val="004F0477"/>
    <w:rsid w:val="004F07B6"/>
    <w:rsid w:val="004F13CA"/>
    <w:rsid w:val="004F157F"/>
    <w:rsid w:val="004F1C46"/>
    <w:rsid w:val="004F1D8A"/>
    <w:rsid w:val="004F2103"/>
    <w:rsid w:val="004F223D"/>
    <w:rsid w:val="004F251C"/>
    <w:rsid w:val="004F2F73"/>
    <w:rsid w:val="004F378E"/>
    <w:rsid w:val="004F4403"/>
    <w:rsid w:val="004F47AB"/>
    <w:rsid w:val="004F4855"/>
    <w:rsid w:val="004F4957"/>
    <w:rsid w:val="004F49CA"/>
    <w:rsid w:val="004F4BA9"/>
    <w:rsid w:val="004F4D54"/>
    <w:rsid w:val="004F5358"/>
    <w:rsid w:val="004F5375"/>
    <w:rsid w:val="004F56DD"/>
    <w:rsid w:val="004F5B15"/>
    <w:rsid w:val="004F5D22"/>
    <w:rsid w:val="004F613D"/>
    <w:rsid w:val="004F667A"/>
    <w:rsid w:val="004F6A6A"/>
    <w:rsid w:val="004F739A"/>
    <w:rsid w:val="004F7719"/>
    <w:rsid w:val="004F79AA"/>
    <w:rsid w:val="005001B7"/>
    <w:rsid w:val="005008CD"/>
    <w:rsid w:val="00500B18"/>
    <w:rsid w:val="005016F3"/>
    <w:rsid w:val="0050189F"/>
    <w:rsid w:val="00501982"/>
    <w:rsid w:val="00501CA5"/>
    <w:rsid w:val="00501DFB"/>
    <w:rsid w:val="00501E7B"/>
    <w:rsid w:val="00502591"/>
    <w:rsid w:val="00502CA2"/>
    <w:rsid w:val="00502FFC"/>
    <w:rsid w:val="00503005"/>
    <w:rsid w:val="0050307F"/>
    <w:rsid w:val="00503089"/>
    <w:rsid w:val="005032D0"/>
    <w:rsid w:val="00503600"/>
    <w:rsid w:val="005039EB"/>
    <w:rsid w:val="00503BC8"/>
    <w:rsid w:val="00503F96"/>
    <w:rsid w:val="00504168"/>
    <w:rsid w:val="00504924"/>
    <w:rsid w:val="00504C5F"/>
    <w:rsid w:val="005054CB"/>
    <w:rsid w:val="0050578C"/>
    <w:rsid w:val="0050592B"/>
    <w:rsid w:val="0050617A"/>
    <w:rsid w:val="0050664D"/>
    <w:rsid w:val="00506CC8"/>
    <w:rsid w:val="00507156"/>
    <w:rsid w:val="00507240"/>
    <w:rsid w:val="005074DB"/>
    <w:rsid w:val="00507995"/>
    <w:rsid w:val="00507A6D"/>
    <w:rsid w:val="00507C02"/>
    <w:rsid w:val="00507D3E"/>
    <w:rsid w:val="005105C1"/>
    <w:rsid w:val="005109B1"/>
    <w:rsid w:val="00510DFA"/>
    <w:rsid w:val="0051118B"/>
    <w:rsid w:val="005119AA"/>
    <w:rsid w:val="00511C57"/>
    <w:rsid w:val="00511D65"/>
    <w:rsid w:val="005123F8"/>
    <w:rsid w:val="00512653"/>
    <w:rsid w:val="0051269D"/>
    <w:rsid w:val="0051273F"/>
    <w:rsid w:val="005128D4"/>
    <w:rsid w:val="00512B67"/>
    <w:rsid w:val="00513487"/>
    <w:rsid w:val="00513B3D"/>
    <w:rsid w:val="00513B67"/>
    <w:rsid w:val="00513EC6"/>
    <w:rsid w:val="005142DB"/>
    <w:rsid w:val="00514E5A"/>
    <w:rsid w:val="005156EF"/>
    <w:rsid w:val="0051585F"/>
    <w:rsid w:val="00515B35"/>
    <w:rsid w:val="00515B42"/>
    <w:rsid w:val="0051660F"/>
    <w:rsid w:val="00516D4D"/>
    <w:rsid w:val="00516FB7"/>
    <w:rsid w:val="005200D2"/>
    <w:rsid w:val="005205E7"/>
    <w:rsid w:val="00520710"/>
    <w:rsid w:val="00520A3E"/>
    <w:rsid w:val="0052104B"/>
    <w:rsid w:val="00521697"/>
    <w:rsid w:val="005216E6"/>
    <w:rsid w:val="005219C4"/>
    <w:rsid w:val="00521F8C"/>
    <w:rsid w:val="005220D2"/>
    <w:rsid w:val="005221EF"/>
    <w:rsid w:val="005224EE"/>
    <w:rsid w:val="00522AAC"/>
    <w:rsid w:val="00522C85"/>
    <w:rsid w:val="0052318E"/>
    <w:rsid w:val="005240C2"/>
    <w:rsid w:val="005244D9"/>
    <w:rsid w:val="0052462B"/>
    <w:rsid w:val="005247D1"/>
    <w:rsid w:val="00525265"/>
    <w:rsid w:val="00525466"/>
    <w:rsid w:val="0052572B"/>
    <w:rsid w:val="005257E4"/>
    <w:rsid w:val="00525B6D"/>
    <w:rsid w:val="005260A9"/>
    <w:rsid w:val="005261D0"/>
    <w:rsid w:val="005264D4"/>
    <w:rsid w:val="005266B4"/>
    <w:rsid w:val="00526E04"/>
    <w:rsid w:val="00526FE5"/>
    <w:rsid w:val="0052700E"/>
    <w:rsid w:val="0052701F"/>
    <w:rsid w:val="00527691"/>
    <w:rsid w:val="00527887"/>
    <w:rsid w:val="00527F28"/>
    <w:rsid w:val="005301B8"/>
    <w:rsid w:val="00530B52"/>
    <w:rsid w:val="00530CBD"/>
    <w:rsid w:val="00530E80"/>
    <w:rsid w:val="00531266"/>
    <w:rsid w:val="005313B1"/>
    <w:rsid w:val="0053199F"/>
    <w:rsid w:val="00531E46"/>
    <w:rsid w:val="00532CBD"/>
    <w:rsid w:val="0053391C"/>
    <w:rsid w:val="00533980"/>
    <w:rsid w:val="00533EFC"/>
    <w:rsid w:val="005344AE"/>
    <w:rsid w:val="0053487C"/>
    <w:rsid w:val="00534AD2"/>
    <w:rsid w:val="00534F93"/>
    <w:rsid w:val="005353BC"/>
    <w:rsid w:val="005355D0"/>
    <w:rsid w:val="00535C9F"/>
    <w:rsid w:val="00535EFC"/>
    <w:rsid w:val="00536304"/>
    <w:rsid w:val="00536963"/>
    <w:rsid w:val="00537025"/>
    <w:rsid w:val="005370C5"/>
    <w:rsid w:val="0053711E"/>
    <w:rsid w:val="005371C3"/>
    <w:rsid w:val="005371E9"/>
    <w:rsid w:val="00537386"/>
    <w:rsid w:val="00537466"/>
    <w:rsid w:val="0053768D"/>
    <w:rsid w:val="005376CD"/>
    <w:rsid w:val="00537DAD"/>
    <w:rsid w:val="00540131"/>
    <w:rsid w:val="00540423"/>
    <w:rsid w:val="00540955"/>
    <w:rsid w:val="00540D66"/>
    <w:rsid w:val="00542314"/>
    <w:rsid w:val="005424B2"/>
    <w:rsid w:val="005426CC"/>
    <w:rsid w:val="00542D38"/>
    <w:rsid w:val="0054317C"/>
    <w:rsid w:val="005434BD"/>
    <w:rsid w:val="00543547"/>
    <w:rsid w:val="00544019"/>
    <w:rsid w:val="00544166"/>
    <w:rsid w:val="0054472C"/>
    <w:rsid w:val="00544BA8"/>
    <w:rsid w:val="00544F28"/>
    <w:rsid w:val="00544F42"/>
    <w:rsid w:val="00544FCC"/>
    <w:rsid w:val="00545318"/>
    <w:rsid w:val="00545411"/>
    <w:rsid w:val="00545AB9"/>
    <w:rsid w:val="00545B61"/>
    <w:rsid w:val="00545B69"/>
    <w:rsid w:val="00545E9F"/>
    <w:rsid w:val="0054660D"/>
    <w:rsid w:val="00546889"/>
    <w:rsid w:val="005477DF"/>
    <w:rsid w:val="00547906"/>
    <w:rsid w:val="00547D8B"/>
    <w:rsid w:val="00550461"/>
    <w:rsid w:val="005508AA"/>
    <w:rsid w:val="005509C0"/>
    <w:rsid w:val="00550CCB"/>
    <w:rsid w:val="005519F8"/>
    <w:rsid w:val="00551B34"/>
    <w:rsid w:val="00551E77"/>
    <w:rsid w:val="0055293C"/>
    <w:rsid w:val="0055353F"/>
    <w:rsid w:val="0055386F"/>
    <w:rsid w:val="0055416A"/>
    <w:rsid w:val="0055479A"/>
    <w:rsid w:val="00554BC5"/>
    <w:rsid w:val="00555397"/>
    <w:rsid w:val="00555A21"/>
    <w:rsid w:val="00556274"/>
    <w:rsid w:val="00556633"/>
    <w:rsid w:val="00556785"/>
    <w:rsid w:val="00556B28"/>
    <w:rsid w:val="00556D17"/>
    <w:rsid w:val="00557302"/>
    <w:rsid w:val="00557589"/>
    <w:rsid w:val="00557987"/>
    <w:rsid w:val="00557B11"/>
    <w:rsid w:val="00557B47"/>
    <w:rsid w:val="0056014C"/>
    <w:rsid w:val="0056063C"/>
    <w:rsid w:val="0056080D"/>
    <w:rsid w:val="0056087C"/>
    <w:rsid w:val="00560884"/>
    <w:rsid w:val="00560E94"/>
    <w:rsid w:val="00560F3C"/>
    <w:rsid w:val="005612BE"/>
    <w:rsid w:val="00561F4A"/>
    <w:rsid w:val="00562554"/>
    <w:rsid w:val="0056292F"/>
    <w:rsid w:val="00563100"/>
    <w:rsid w:val="0056351B"/>
    <w:rsid w:val="005636AB"/>
    <w:rsid w:val="00563C12"/>
    <w:rsid w:val="005642F8"/>
    <w:rsid w:val="00564E3E"/>
    <w:rsid w:val="00564FF7"/>
    <w:rsid w:val="0056512E"/>
    <w:rsid w:val="0056578C"/>
    <w:rsid w:val="00565ABB"/>
    <w:rsid w:val="00565EEB"/>
    <w:rsid w:val="005663A5"/>
    <w:rsid w:val="005665D0"/>
    <w:rsid w:val="005668F7"/>
    <w:rsid w:val="00566B8C"/>
    <w:rsid w:val="005675AE"/>
    <w:rsid w:val="00567744"/>
    <w:rsid w:val="0056777C"/>
    <w:rsid w:val="005677B9"/>
    <w:rsid w:val="0056799F"/>
    <w:rsid w:val="00567BBA"/>
    <w:rsid w:val="00567D52"/>
    <w:rsid w:val="00570947"/>
    <w:rsid w:val="00571182"/>
    <w:rsid w:val="00571247"/>
    <w:rsid w:val="005719B8"/>
    <w:rsid w:val="00571C01"/>
    <w:rsid w:val="00571F38"/>
    <w:rsid w:val="005722B4"/>
    <w:rsid w:val="00572469"/>
    <w:rsid w:val="00572478"/>
    <w:rsid w:val="005724E8"/>
    <w:rsid w:val="00572515"/>
    <w:rsid w:val="0057278B"/>
    <w:rsid w:val="00572C66"/>
    <w:rsid w:val="00572CFE"/>
    <w:rsid w:val="00572DA8"/>
    <w:rsid w:val="00572E61"/>
    <w:rsid w:val="00572F3A"/>
    <w:rsid w:val="0057335B"/>
    <w:rsid w:val="00573721"/>
    <w:rsid w:val="00573D54"/>
    <w:rsid w:val="00573D97"/>
    <w:rsid w:val="00573E1E"/>
    <w:rsid w:val="00573FC1"/>
    <w:rsid w:val="005754B5"/>
    <w:rsid w:val="0057698C"/>
    <w:rsid w:val="00576B36"/>
    <w:rsid w:val="005774F4"/>
    <w:rsid w:val="00577BD9"/>
    <w:rsid w:val="00577D18"/>
    <w:rsid w:val="00577D6E"/>
    <w:rsid w:val="00577F45"/>
    <w:rsid w:val="0058041E"/>
    <w:rsid w:val="00580627"/>
    <w:rsid w:val="005812B9"/>
    <w:rsid w:val="00581502"/>
    <w:rsid w:val="0058186C"/>
    <w:rsid w:val="00581F4E"/>
    <w:rsid w:val="00582195"/>
    <w:rsid w:val="005822B9"/>
    <w:rsid w:val="005822F2"/>
    <w:rsid w:val="0058245B"/>
    <w:rsid w:val="00582735"/>
    <w:rsid w:val="00582A62"/>
    <w:rsid w:val="00583AB0"/>
    <w:rsid w:val="00583BD7"/>
    <w:rsid w:val="00583E80"/>
    <w:rsid w:val="005846A4"/>
    <w:rsid w:val="00584728"/>
    <w:rsid w:val="0058518A"/>
    <w:rsid w:val="005852D2"/>
    <w:rsid w:val="0058538A"/>
    <w:rsid w:val="005854EA"/>
    <w:rsid w:val="00585776"/>
    <w:rsid w:val="0058645F"/>
    <w:rsid w:val="00586601"/>
    <w:rsid w:val="0058699C"/>
    <w:rsid w:val="00586BE0"/>
    <w:rsid w:val="00586FC2"/>
    <w:rsid w:val="00587806"/>
    <w:rsid w:val="005878AE"/>
    <w:rsid w:val="00587A83"/>
    <w:rsid w:val="005900B7"/>
    <w:rsid w:val="00590448"/>
    <w:rsid w:val="00590734"/>
    <w:rsid w:val="00591502"/>
    <w:rsid w:val="005915D3"/>
    <w:rsid w:val="00591632"/>
    <w:rsid w:val="00591CD5"/>
    <w:rsid w:val="005922B5"/>
    <w:rsid w:val="00592331"/>
    <w:rsid w:val="00592D35"/>
    <w:rsid w:val="00593464"/>
    <w:rsid w:val="0059348C"/>
    <w:rsid w:val="005936F1"/>
    <w:rsid w:val="00593770"/>
    <w:rsid w:val="00593CBA"/>
    <w:rsid w:val="00593DDB"/>
    <w:rsid w:val="0059472E"/>
    <w:rsid w:val="00594800"/>
    <w:rsid w:val="00594822"/>
    <w:rsid w:val="00594B56"/>
    <w:rsid w:val="00594DCC"/>
    <w:rsid w:val="00595484"/>
    <w:rsid w:val="00595ABE"/>
    <w:rsid w:val="00595B05"/>
    <w:rsid w:val="00595D8B"/>
    <w:rsid w:val="005965C5"/>
    <w:rsid w:val="005966A5"/>
    <w:rsid w:val="00596B96"/>
    <w:rsid w:val="00596EFA"/>
    <w:rsid w:val="00597FB1"/>
    <w:rsid w:val="005A03C7"/>
    <w:rsid w:val="005A0557"/>
    <w:rsid w:val="005A081A"/>
    <w:rsid w:val="005A092B"/>
    <w:rsid w:val="005A1992"/>
    <w:rsid w:val="005A1F00"/>
    <w:rsid w:val="005A212F"/>
    <w:rsid w:val="005A218D"/>
    <w:rsid w:val="005A220D"/>
    <w:rsid w:val="005A240F"/>
    <w:rsid w:val="005A2615"/>
    <w:rsid w:val="005A285F"/>
    <w:rsid w:val="005A2D9B"/>
    <w:rsid w:val="005A2F73"/>
    <w:rsid w:val="005A37AB"/>
    <w:rsid w:val="005A3841"/>
    <w:rsid w:val="005A3908"/>
    <w:rsid w:val="005A3C87"/>
    <w:rsid w:val="005A4118"/>
    <w:rsid w:val="005A43D8"/>
    <w:rsid w:val="005A44BA"/>
    <w:rsid w:val="005A4564"/>
    <w:rsid w:val="005A45CF"/>
    <w:rsid w:val="005A49F3"/>
    <w:rsid w:val="005A4B8E"/>
    <w:rsid w:val="005A502A"/>
    <w:rsid w:val="005A51E0"/>
    <w:rsid w:val="005A5416"/>
    <w:rsid w:val="005A571E"/>
    <w:rsid w:val="005A5922"/>
    <w:rsid w:val="005A5BD5"/>
    <w:rsid w:val="005A5C19"/>
    <w:rsid w:val="005A6387"/>
    <w:rsid w:val="005A6622"/>
    <w:rsid w:val="005A66DD"/>
    <w:rsid w:val="005A6D49"/>
    <w:rsid w:val="005A6E9A"/>
    <w:rsid w:val="005A73B2"/>
    <w:rsid w:val="005A7644"/>
    <w:rsid w:val="005A76DA"/>
    <w:rsid w:val="005A7B8E"/>
    <w:rsid w:val="005B03B7"/>
    <w:rsid w:val="005B0BBF"/>
    <w:rsid w:val="005B119D"/>
    <w:rsid w:val="005B176F"/>
    <w:rsid w:val="005B1812"/>
    <w:rsid w:val="005B1A19"/>
    <w:rsid w:val="005B1A2D"/>
    <w:rsid w:val="005B1FCB"/>
    <w:rsid w:val="005B27B2"/>
    <w:rsid w:val="005B2AA6"/>
    <w:rsid w:val="005B40BA"/>
    <w:rsid w:val="005B43B2"/>
    <w:rsid w:val="005B47BB"/>
    <w:rsid w:val="005B4A8A"/>
    <w:rsid w:val="005B4D35"/>
    <w:rsid w:val="005B4EEF"/>
    <w:rsid w:val="005B5E2A"/>
    <w:rsid w:val="005B6154"/>
    <w:rsid w:val="005B6465"/>
    <w:rsid w:val="005B69B7"/>
    <w:rsid w:val="005B6F08"/>
    <w:rsid w:val="005B6FA8"/>
    <w:rsid w:val="005B70A3"/>
    <w:rsid w:val="005B70C9"/>
    <w:rsid w:val="005B7391"/>
    <w:rsid w:val="005B739E"/>
    <w:rsid w:val="005B73A0"/>
    <w:rsid w:val="005B74F0"/>
    <w:rsid w:val="005B7536"/>
    <w:rsid w:val="005B76E5"/>
    <w:rsid w:val="005B7978"/>
    <w:rsid w:val="005B7AFA"/>
    <w:rsid w:val="005B7C1E"/>
    <w:rsid w:val="005B7CE0"/>
    <w:rsid w:val="005B7DB3"/>
    <w:rsid w:val="005C031F"/>
    <w:rsid w:val="005C06DA"/>
    <w:rsid w:val="005C089B"/>
    <w:rsid w:val="005C13B9"/>
    <w:rsid w:val="005C1491"/>
    <w:rsid w:val="005C16AB"/>
    <w:rsid w:val="005C1A46"/>
    <w:rsid w:val="005C2017"/>
    <w:rsid w:val="005C2C4F"/>
    <w:rsid w:val="005C2C6E"/>
    <w:rsid w:val="005C34BD"/>
    <w:rsid w:val="005C3D58"/>
    <w:rsid w:val="005C3FC8"/>
    <w:rsid w:val="005C4166"/>
    <w:rsid w:val="005C490F"/>
    <w:rsid w:val="005C4989"/>
    <w:rsid w:val="005C5C6F"/>
    <w:rsid w:val="005C61CE"/>
    <w:rsid w:val="005C61DC"/>
    <w:rsid w:val="005C6634"/>
    <w:rsid w:val="005C6D68"/>
    <w:rsid w:val="005C7605"/>
    <w:rsid w:val="005D0508"/>
    <w:rsid w:val="005D0C39"/>
    <w:rsid w:val="005D15D4"/>
    <w:rsid w:val="005D1BBE"/>
    <w:rsid w:val="005D2083"/>
    <w:rsid w:val="005D2E67"/>
    <w:rsid w:val="005D3079"/>
    <w:rsid w:val="005D309E"/>
    <w:rsid w:val="005D3C55"/>
    <w:rsid w:val="005D40BC"/>
    <w:rsid w:val="005D40CF"/>
    <w:rsid w:val="005D4107"/>
    <w:rsid w:val="005D4E08"/>
    <w:rsid w:val="005D51E7"/>
    <w:rsid w:val="005D5531"/>
    <w:rsid w:val="005D55A7"/>
    <w:rsid w:val="005D5963"/>
    <w:rsid w:val="005D599E"/>
    <w:rsid w:val="005D59C5"/>
    <w:rsid w:val="005D767F"/>
    <w:rsid w:val="005D7844"/>
    <w:rsid w:val="005D7B36"/>
    <w:rsid w:val="005D7D5F"/>
    <w:rsid w:val="005E07B5"/>
    <w:rsid w:val="005E1735"/>
    <w:rsid w:val="005E1802"/>
    <w:rsid w:val="005E1B7F"/>
    <w:rsid w:val="005E1F0E"/>
    <w:rsid w:val="005E1F5F"/>
    <w:rsid w:val="005E2732"/>
    <w:rsid w:val="005E298D"/>
    <w:rsid w:val="005E2F64"/>
    <w:rsid w:val="005E316A"/>
    <w:rsid w:val="005E3249"/>
    <w:rsid w:val="005E355E"/>
    <w:rsid w:val="005E3E98"/>
    <w:rsid w:val="005E428B"/>
    <w:rsid w:val="005E4996"/>
    <w:rsid w:val="005E50CE"/>
    <w:rsid w:val="005E52DA"/>
    <w:rsid w:val="005E552A"/>
    <w:rsid w:val="005E5656"/>
    <w:rsid w:val="005E5911"/>
    <w:rsid w:val="005E5E26"/>
    <w:rsid w:val="005E60C1"/>
    <w:rsid w:val="005E65C3"/>
    <w:rsid w:val="005E7393"/>
    <w:rsid w:val="005E7CA9"/>
    <w:rsid w:val="005F0444"/>
    <w:rsid w:val="005F0511"/>
    <w:rsid w:val="005F08A5"/>
    <w:rsid w:val="005F08B4"/>
    <w:rsid w:val="005F0A88"/>
    <w:rsid w:val="005F0BBB"/>
    <w:rsid w:val="005F10C4"/>
    <w:rsid w:val="005F1FC3"/>
    <w:rsid w:val="005F1FE2"/>
    <w:rsid w:val="005F203D"/>
    <w:rsid w:val="005F2A8F"/>
    <w:rsid w:val="005F2AA3"/>
    <w:rsid w:val="005F2F22"/>
    <w:rsid w:val="005F3023"/>
    <w:rsid w:val="005F3024"/>
    <w:rsid w:val="005F322C"/>
    <w:rsid w:val="005F3789"/>
    <w:rsid w:val="005F4471"/>
    <w:rsid w:val="005F483A"/>
    <w:rsid w:val="005F5221"/>
    <w:rsid w:val="005F52F4"/>
    <w:rsid w:val="005F56C9"/>
    <w:rsid w:val="005F5ADF"/>
    <w:rsid w:val="005F645C"/>
    <w:rsid w:val="005F74FC"/>
    <w:rsid w:val="005F7812"/>
    <w:rsid w:val="005F7AFB"/>
    <w:rsid w:val="005F7F65"/>
    <w:rsid w:val="0060015E"/>
    <w:rsid w:val="0060031D"/>
    <w:rsid w:val="00600775"/>
    <w:rsid w:val="006008E8"/>
    <w:rsid w:val="00600BA5"/>
    <w:rsid w:val="006010BA"/>
    <w:rsid w:val="006011D0"/>
    <w:rsid w:val="006013C8"/>
    <w:rsid w:val="00601570"/>
    <w:rsid w:val="006019F3"/>
    <w:rsid w:val="00602073"/>
    <w:rsid w:val="00602102"/>
    <w:rsid w:val="00602133"/>
    <w:rsid w:val="006021E9"/>
    <w:rsid w:val="00602857"/>
    <w:rsid w:val="00602BE7"/>
    <w:rsid w:val="00603DE1"/>
    <w:rsid w:val="00603FAC"/>
    <w:rsid w:val="0060454F"/>
    <w:rsid w:val="0060469A"/>
    <w:rsid w:val="00605413"/>
    <w:rsid w:val="006056E2"/>
    <w:rsid w:val="006058BD"/>
    <w:rsid w:val="006059BA"/>
    <w:rsid w:val="0060634E"/>
    <w:rsid w:val="00606478"/>
    <w:rsid w:val="006067DE"/>
    <w:rsid w:val="00606D36"/>
    <w:rsid w:val="006072D1"/>
    <w:rsid w:val="006075B0"/>
    <w:rsid w:val="00607667"/>
    <w:rsid w:val="00607A57"/>
    <w:rsid w:val="00607AEF"/>
    <w:rsid w:val="00607F7A"/>
    <w:rsid w:val="00610470"/>
    <w:rsid w:val="00610508"/>
    <w:rsid w:val="00610542"/>
    <w:rsid w:val="006107DC"/>
    <w:rsid w:val="00610BEE"/>
    <w:rsid w:val="00611055"/>
    <w:rsid w:val="0061108A"/>
    <w:rsid w:val="006112F4"/>
    <w:rsid w:val="00611B64"/>
    <w:rsid w:val="00611F4D"/>
    <w:rsid w:val="006121A8"/>
    <w:rsid w:val="006126A4"/>
    <w:rsid w:val="006126E0"/>
    <w:rsid w:val="006129B7"/>
    <w:rsid w:val="00612A58"/>
    <w:rsid w:val="00612B0A"/>
    <w:rsid w:val="00612B2E"/>
    <w:rsid w:val="00612DE9"/>
    <w:rsid w:val="00612E99"/>
    <w:rsid w:val="006130DD"/>
    <w:rsid w:val="00613147"/>
    <w:rsid w:val="00613383"/>
    <w:rsid w:val="006134BD"/>
    <w:rsid w:val="00613BBE"/>
    <w:rsid w:val="0061437F"/>
    <w:rsid w:val="006150FE"/>
    <w:rsid w:val="00615A38"/>
    <w:rsid w:val="00615F92"/>
    <w:rsid w:val="00616173"/>
    <w:rsid w:val="006163D1"/>
    <w:rsid w:val="00616894"/>
    <w:rsid w:val="00617840"/>
    <w:rsid w:val="00617B72"/>
    <w:rsid w:val="00620A63"/>
    <w:rsid w:val="00620D57"/>
    <w:rsid w:val="006216AD"/>
    <w:rsid w:val="00621C6D"/>
    <w:rsid w:val="006220D2"/>
    <w:rsid w:val="00622259"/>
    <w:rsid w:val="00622341"/>
    <w:rsid w:val="00622376"/>
    <w:rsid w:val="006227ED"/>
    <w:rsid w:val="00622B5A"/>
    <w:rsid w:val="00622C03"/>
    <w:rsid w:val="00623078"/>
    <w:rsid w:val="00623182"/>
    <w:rsid w:val="006234B1"/>
    <w:rsid w:val="006234F3"/>
    <w:rsid w:val="0062467E"/>
    <w:rsid w:val="006246CC"/>
    <w:rsid w:val="0062504D"/>
    <w:rsid w:val="00625537"/>
    <w:rsid w:val="006257C6"/>
    <w:rsid w:val="00625A34"/>
    <w:rsid w:val="00625C88"/>
    <w:rsid w:val="00625E3A"/>
    <w:rsid w:val="00625EFC"/>
    <w:rsid w:val="006264B8"/>
    <w:rsid w:val="0062656C"/>
    <w:rsid w:val="0062678F"/>
    <w:rsid w:val="00626B32"/>
    <w:rsid w:val="0062784F"/>
    <w:rsid w:val="006279AF"/>
    <w:rsid w:val="00630089"/>
    <w:rsid w:val="006300A9"/>
    <w:rsid w:val="006305A6"/>
    <w:rsid w:val="00630634"/>
    <w:rsid w:val="00630BB2"/>
    <w:rsid w:val="00630E82"/>
    <w:rsid w:val="0063151A"/>
    <w:rsid w:val="00631AB1"/>
    <w:rsid w:val="00631AD7"/>
    <w:rsid w:val="00631D61"/>
    <w:rsid w:val="00631DE7"/>
    <w:rsid w:val="00631F46"/>
    <w:rsid w:val="00632389"/>
    <w:rsid w:val="006325AD"/>
    <w:rsid w:val="0063281D"/>
    <w:rsid w:val="0063294A"/>
    <w:rsid w:val="00632BA3"/>
    <w:rsid w:val="00632FAB"/>
    <w:rsid w:val="0063321E"/>
    <w:rsid w:val="0063322B"/>
    <w:rsid w:val="0063327D"/>
    <w:rsid w:val="00633976"/>
    <w:rsid w:val="006340D5"/>
    <w:rsid w:val="006340E1"/>
    <w:rsid w:val="00634482"/>
    <w:rsid w:val="006347E7"/>
    <w:rsid w:val="0063482E"/>
    <w:rsid w:val="00634914"/>
    <w:rsid w:val="00634D75"/>
    <w:rsid w:val="00634FA3"/>
    <w:rsid w:val="00635A82"/>
    <w:rsid w:val="006363F7"/>
    <w:rsid w:val="006364C3"/>
    <w:rsid w:val="00636732"/>
    <w:rsid w:val="0063682F"/>
    <w:rsid w:val="00637436"/>
    <w:rsid w:val="0063773C"/>
    <w:rsid w:val="00637FD9"/>
    <w:rsid w:val="0064026A"/>
    <w:rsid w:val="006405DD"/>
    <w:rsid w:val="00640C4C"/>
    <w:rsid w:val="00640FC8"/>
    <w:rsid w:val="006412F9"/>
    <w:rsid w:val="006419A4"/>
    <w:rsid w:val="00641B12"/>
    <w:rsid w:val="0064261B"/>
    <w:rsid w:val="00642623"/>
    <w:rsid w:val="00642D78"/>
    <w:rsid w:val="00642D96"/>
    <w:rsid w:val="00642E4F"/>
    <w:rsid w:val="00642FB3"/>
    <w:rsid w:val="00643441"/>
    <w:rsid w:val="00643E17"/>
    <w:rsid w:val="0064466F"/>
    <w:rsid w:val="006446AC"/>
    <w:rsid w:val="00644881"/>
    <w:rsid w:val="00644D9C"/>
    <w:rsid w:val="00645092"/>
    <w:rsid w:val="00645E73"/>
    <w:rsid w:val="00646628"/>
    <w:rsid w:val="006468EE"/>
    <w:rsid w:val="006471F7"/>
    <w:rsid w:val="00647279"/>
    <w:rsid w:val="006477EB"/>
    <w:rsid w:val="006478C7"/>
    <w:rsid w:val="00650275"/>
    <w:rsid w:val="0065060F"/>
    <w:rsid w:val="006507B7"/>
    <w:rsid w:val="00650966"/>
    <w:rsid w:val="00650B32"/>
    <w:rsid w:val="00651728"/>
    <w:rsid w:val="006518F7"/>
    <w:rsid w:val="00651A5F"/>
    <w:rsid w:val="00651E4F"/>
    <w:rsid w:val="006520B8"/>
    <w:rsid w:val="006522E0"/>
    <w:rsid w:val="00652342"/>
    <w:rsid w:val="00652361"/>
    <w:rsid w:val="006523A4"/>
    <w:rsid w:val="006525E0"/>
    <w:rsid w:val="00652B22"/>
    <w:rsid w:val="006532C6"/>
    <w:rsid w:val="0065370C"/>
    <w:rsid w:val="006539B7"/>
    <w:rsid w:val="006539DD"/>
    <w:rsid w:val="00653B82"/>
    <w:rsid w:val="00653EAC"/>
    <w:rsid w:val="006548C5"/>
    <w:rsid w:val="006549C1"/>
    <w:rsid w:val="00654F7A"/>
    <w:rsid w:val="00655483"/>
    <w:rsid w:val="0065580B"/>
    <w:rsid w:val="00655AE0"/>
    <w:rsid w:val="00655D46"/>
    <w:rsid w:val="00656162"/>
    <w:rsid w:val="00656CC2"/>
    <w:rsid w:val="00656CF6"/>
    <w:rsid w:val="00657365"/>
    <w:rsid w:val="006578A9"/>
    <w:rsid w:val="00657A78"/>
    <w:rsid w:val="00657C42"/>
    <w:rsid w:val="00657DB6"/>
    <w:rsid w:val="00657EFD"/>
    <w:rsid w:val="0066001A"/>
    <w:rsid w:val="00660A7C"/>
    <w:rsid w:val="00660AFD"/>
    <w:rsid w:val="00660C24"/>
    <w:rsid w:val="00660F37"/>
    <w:rsid w:val="00661C78"/>
    <w:rsid w:val="00661D6A"/>
    <w:rsid w:val="00661EB3"/>
    <w:rsid w:val="00661F53"/>
    <w:rsid w:val="0066221F"/>
    <w:rsid w:val="00662825"/>
    <w:rsid w:val="00662C1D"/>
    <w:rsid w:val="00662DF8"/>
    <w:rsid w:val="00662FF3"/>
    <w:rsid w:val="006630D1"/>
    <w:rsid w:val="00663119"/>
    <w:rsid w:val="0066314F"/>
    <w:rsid w:val="006633FF"/>
    <w:rsid w:val="006635ED"/>
    <w:rsid w:val="00663D2F"/>
    <w:rsid w:val="006646E8"/>
    <w:rsid w:val="006647D9"/>
    <w:rsid w:val="006648D8"/>
    <w:rsid w:val="00665604"/>
    <w:rsid w:val="0066563A"/>
    <w:rsid w:val="00665A95"/>
    <w:rsid w:val="00665DE7"/>
    <w:rsid w:val="00665E47"/>
    <w:rsid w:val="00666369"/>
    <w:rsid w:val="0066657F"/>
    <w:rsid w:val="006668A9"/>
    <w:rsid w:val="006668E7"/>
    <w:rsid w:val="00667265"/>
    <w:rsid w:val="0066755A"/>
    <w:rsid w:val="00667B3F"/>
    <w:rsid w:val="00667C4F"/>
    <w:rsid w:val="0067013B"/>
    <w:rsid w:val="00670222"/>
    <w:rsid w:val="00670937"/>
    <w:rsid w:val="00670A22"/>
    <w:rsid w:val="00670F85"/>
    <w:rsid w:val="006712B4"/>
    <w:rsid w:val="006714AE"/>
    <w:rsid w:val="0067151C"/>
    <w:rsid w:val="00671734"/>
    <w:rsid w:val="00671A62"/>
    <w:rsid w:val="00671D87"/>
    <w:rsid w:val="006720B2"/>
    <w:rsid w:val="0067229A"/>
    <w:rsid w:val="006728C0"/>
    <w:rsid w:val="0067308E"/>
    <w:rsid w:val="0067343D"/>
    <w:rsid w:val="006747E3"/>
    <w:rsid w:val="00674940"/>
    <w:rsid w:val="0067495B"/>
    <w:rsid w:val="00675481"/>
    <w:rsid w:val="0067561C"/>
    <w:rsid w:val="006756E7"/>
    <w:rsid w:val="006758C2"/>
    <w:rsid w:val="00675E88"/>
    <w:rsid w:val="006767FA"/>
    <w:rsid w:val="006768DF"/>
    <w:rsid w:val="0067719D"/>
    <w:rsid w:val="00677BE9"/>
    <w:rsid w:val="00677F36"/>
    <w:rsid w:val="00677FAD"/>
    <w:rsid w:val="0068042F"/>
    <w:rsid w:val="00680599"/>
    <w:rsid w:val="0068059A"/>
    <w:rsid w:val="006805F6"/>
    <w:rsid w:val="00680A61"/>
    <w:rsid w:val="00680AC6"/>
    <w:rsid w:val="00680DD4"/>
    <w:rsid w:val="00680F1F"/>
    <w:rsid w:val="00680F7B"/>
    <w:rsid w:val="00681203"/>
    <w:rsid w:val="006814A8"/>
    <w:rsid w:val="006815CF"/>
    <w:rsid w:val="006816CC"/>
    <w:rsid w:val="0068172D"/>
    <w:rsid w:val="00681D10"/>
    <w:rsid w:val="0068202B"/>
    <w:rsid w:val="006823E8"/>
    <w:rsid w:val="00682ACE"/>
    <w:rsid w:val="00682CE5"/>
    <w:rsid w:val="00683877"/>
    <w:rsid w:val="006838E0"/>
    <w:rsid w:val="00683C00"/>
    <w:rsid w:val="00683F2A"/>
    <w:rsid w:val="006840C0"/>
    <w:rsid w:val="00684AB8"/>
    <w:rsid w:val="00684E5D"/>
    <w:rsid w:val="0068511A"/>
    <w:rsid w:val="00685797"/>
    <w:rsid w:val="006860AF"/>
    <w:rsid w:val="00686166"/>
    <w:rsid w:val="006861DB"/>
    <w:rsid w:val="00686412"/>
    <w:rsid w:val="0068716A"/>
    <w:rsid w:val="0068735D"/>
    <w:rsid w:val="00687837"/>
    <w:rsid w:val="006901AD"/>
    <w:rsid w:val="00690361"/>
    <w:rsid w:val="006904B5"/>
    <w:rsid w:val="00690630"/>
    <w:rsid w:val="00690C1A"/>
    <w:rsid w:val="00690E32"/>
    <w:rsid w:val="00690EDD"/>
    <w:rsid w:val="00690EF4"/>
    <w:rsid w:val="00690FC8"/>
    <w:rsid w:val="0069163E"/>
    <w:rsid w:val="00691784"/>
    <w:rsid w:val="00691EFA"/>
    <w:rsid w:val="006927ED"/>
    <w:rsid w:val="00693211"/>
    <w:rsid w:val="0069351B"/>
    <w:rsid w:val="0069355B"/>
    <w:rsid w:val="00693866"/>
    <w:rsid w:val="00693C48"/>
    <w:rsid w:val="00693D98"/>
    <w:rsid w:val="006942FF"/>
    <w:rsid w:val="00694549"/>
    <w:rsid w:val="00694A4D"/>
    <w:rsid w:val="0069512C"/>
    <w:rsid w:val="006956E4"/>
    <w:rsid w:val="00695FDC"/>
    <w:rsid w:val="006964C5"/>
    <w:rsid w:val="00696702"/>
    <w:rsid w:val="00696B10"/>
    <w:rsid w:val="00696E38"/>
    <w:rsid w:val="00697112"/>
    <w:rsid w:val="00697197"/>
    <w:rsid w:val="006979F6"/>
    <w:rsid w:val="00697BBF"/>
    <w:rsid w:val="00697D60"/>
    <w:rsid w:val="006A0331"/>
    <w:rsid w:val="006A0583"/>
    <w:rsid w:val="006A05DF"/>
    <w:rsid w:val="006A075B"/>
    <w:rsid w:val="006A1138"/>
    <w:rsid w:val="006A16D2"/>
    <w:rsid w:val="006A1A9A"/>
    <w:rsid w:val="006A1BE6"/>
    <w:rsid w:val="006A1DF8"/>
    <w:rsid w:val="006A2204"/>
    <w:rsid w:val="006A2945"/>
    <w:rsid w:val="006A3023"/>
    <w:rsid w:val="006A305D"/>
    <w:rsid w:val="006A3400"/>
    <w:rsid w:val="006A39FB"/>
    <w:rsid w:val="006A3A2D"/>
    <w:rsid w:val="006A3BE9"/>
    <w:rsid w:val="006A3D65"/>
    <w:rsid w:val="006A3F3E"/>
    <w:rsid w:val="006A4CFE"/>
    <w:rsid w:val="006A4D5A"/>
    <w:rsid w:val="006A51F0"/>
    <w:rsid w:val="006A52B0"/>
    <w:rsid w:val="006A535C"/>
    <w:rsid w:val="006A5F21"/>
    <w:rsid w:val="006A61C9"/>
    <w:rsid w:val="006A629A"/>
    <w:rsid w:val="006A68D2"/>
    <w:rsid w:val="006A68FC"/>
    <w:rsid w:val="006A6B72"/>
    <w:rsid w:val="006A6B9F"/>
    <w:rsid w:val="006A6E55"/>
    <w:rsid w:val="006A7094"/>
    <w:rsid w:val="006A7459"/>
    <w:rsid w:val="006A76C2"/>
    <w:rsid w:val="006A7EE2"/>
    <w:rsid w:val="006A7F08"/>
    <w:rsid w:val="006A7F70"/>
    <w:rsid w:val="006B04E7"/>
    <w:rsid w:val="006B0603"/>
    <w:rsid w:val="006B16A7"/>
    <w:rsid w:val="006B192F"/>
    <w:rsid w:val="006B1B6D"/>
    <w:rsid w:val="006B1B9F"/>
    <w:rsid w:val="006B1D77"/>
    <w:rsid w:val="006B21A0"/>
    <w:rsid w:val="006B2A5B"/>
    <w:rsid w:val="006B3210"/>
    <w:rsid w:val="006B33A0"/>
    <w:rsid w:val="006B36A0"/>
    <w:rsid w:val="006B3820"/>
    <w:rsid w:val="006B3CAB"/>
    <w:rsid w:val="006B46EF"/>
    <w:rsid w:val="006B50FD"/>
    <w:rsid w:val="006B5277"/>
    <w:rsid w:val="006B5C69"/>
    <w:rsid w:val="006B649F"/>
    <w:rsid w:val="006B66BE"/>
    <w:rsid w:val="006B67F9"/>
    <w:rsid w:val="006B68DE"/>
    <w:rsid w:val="006B693C"/>
    <w:rsid w:val="006B693E"/>
    <w:rsid w:val="006B6FE0"/>
    <w:rsid w:val="006B762B"/>
    <w:rsid w:val="006B7671"/>
    <w:rsid w:val="006B7D2E"/>
    <w:rsid w:val="006B7FB8"/>
    <w:rsid w:val="006C00AF"/>
    <w:rsid w:val="006C00B3"/>
    <w:rsid w:val="006C0294"/>
    <w:rsid w:val="006C0F21"/>
    <w:rsid w:val="006C1638"/>
    <w:rsid w:val="006C1DFE"/>
    <w:rsid w:val="006C2263"/>
    <w:rsid w:val="006C2ADB"/>
    <w:rsid w:val="006C3B60"/>
    <w:rsid w:val="006C3F62"/>
    <w:rsid w:val="006C428D"/>
    <w:rsid w:val="006C4AC7"/>
    <w:rsid w:val="006C4F2E"/>
    <w:rsid w:val="006C4FA4"/>
    <w:rsid w:val="006C4FCF"/>
    <w:rsid w:val="006C4FD3"/>
    <w:rsid w:val="006C514F"/>
    <w:rsid w:val="006C5319"/>
    <w:rsid w:val="006C547D"/>
    <w:rsid w:val="006C5B6E"/>
    <w:rsid w:val="006C5B7A"/>
    <w:rsid w:val="006C6191"/>
    <w:rsid w:val="006C61E9"/>
    <w:rsid w:val="006C680B"/>
    <w:rsid w:val="006C7B41"/>
    <w:rsid w:val="006C7E21"/>
    <w:rsid w:val="006D0C49"/>
    <w:rsid w:val="006D10A4"/>
    <w:rsid w:val="006D132D"/>
    <w:rsid w:val="006D186D"/>
    <w:rsid w:val="006D193B"/>
    <w:rsid w:val="006D284A"/>
    <w:rsid w:val="006D29CA"/>
    <w:rsid w:val="006D2F51"/>
    <w:rsid w:val="006D397D"/>
    <w:rsid w:val="006D3D67"/>
    <w:rsid w:val="006D3FA3"/>
    <w:rsid w:val="006D4B82"/>
    <w:rsid w:val="006D4C19"/>
    <w:rsid w:val="006D4D3E"/>
    <w:rsid w:val="006D4EE4"/>
    <w:rsid w:val="006D4FFB"/>
    <w:rsid w:val="006D5106"/>
    <w:rsid w:val="006D551D"/>
    <w:rsid w:val="006D5611"/>
    <w:rsid w:val="006D598F"/>
    <w:rsid w:val="006D5A91"/>
    <w:rsid w:val="006D5C2F"/>
    <w:rsid w:val="006D5E15"/>
    <w:rsid w:val="006D613E"/>
    <w:rsid w:val="006D64EF"/>
    <w:rsid w:val="006D64F9"/>
    <w:rsid w:val="006D6824"/>
    <w:rsid w:val="006D75DF"/>
    <w:rsid w:val="006D7C1B"/>
    <w:rsid w:val="006E03C9"/>
    <w:rsid w:val="006E0420"/>
    <w:rsid w:val="006E07D5"/>
    <w:rsid w:val="006E08F1"/>
    <w:rsid w:val="006E0A94"/>
    <w:rsid w:val="006E11D7"/>
    <w:rsid w:val="006E1736"/>
    <w:rsid w:val="006E19F7"/>
    <w:rsid w:val="006E1A26"/>
    <w:rsid w:val="006E1E33"/>
    <w:rsid w:val="006E23C3"/>
    <w:rsid w:val="006E2672"/>
    <w:rsid w:val="006E283F"/>
    <w:rsid w:val="006E2981"/>
    <w:rsid w:val="006E2D34"/>
    <w:rsid w:val="006E32A8"/>
    <w:rsid w:val="006E331A"/>
    <w:rsid w:val="006E3D98"/>
    <w:rsid w:val="006E4073"/>
    <w:rsid w:val="006E4517"/>
    <w:rsid w:val="006E452C"/>
    <w:rsid w:val="006E4DDD"/>
    <w:rsid w:val="006E5167"/>
    <w:rsid w:val="006E5358"/>
    <w:rsid w:val="006E5382"/>
    <w:rsid w:val="006E5937"/>
    <w:rsid w:val="006E6808"/>
    <w:rsid w:val="006E7078"/>
    <w:rsid w:val="006E7880"/>
    <w:rsid w:val="006E7C81"/>
    <w:rsid w:val="006E7D4A"/>
    <w:rsid w:val="006E7D6B"/>
    <w:rsid w:val="006E7EF2"/>
    <w:rsid w:val="006F0947"/>
    <w:rsid w:val="006F0DB4"/>
    <w:rsid w:val="006F0F3F"/>
    <w:rsid w:val="006F12DC"/>
    <w:rsid w:val="006F1304"/>
    <w:rsid w:val="006F1B28"/>
    <w:rsid w:val="006F1E5A"/>
    <w:rsid w:val="006F2092"/>
    <w:rsid w:val="006F21CE"/>
    <w:rsid w:val="006F2333"/>
    <w:rsid w:val="006F2456"/>
    <w:rsid w:val="006F25AC"/>
    <w:rsid w:val="006F2F34"/>
    <w:rsid w:val="006F3081"/>
    <w:rsid w:val="006F334A"/>
    <w:rsid w:val="006F339B"/>
    <w:rsid w:val="006F350A"/>
    <w:rsid w:val="006F3897"/>
    <w:rsid w:val="006F3BC8"/>
    <w:rsid w:val="006F3DE1"/>
    <w:rsid w:val="006F410A"/>
    <w:rsid w:val="006F4DE5"/>
    <w:rsid w:val="006F517B"/>
    <w:rsid w:val="006F53C5"/>
    <w:rsid w:val="006F547E"/>
    <w:rsid w:val="006F5876"/>
    <w:rsid w:val="006F5AD5"/>
    <w:rsid w:val="006F6118"/>
    <w:rsid w:val="006F617C"/>
    <w:rsid w:val="006F6513"/>
    <w:rsid w:val="006F6C71"/>
    <w:rsid w:val="006F73DC"/>
    <w:rsid w:val="006F7408"/>
    <w:rsid w:val="006F796A"/>
    <w:rsid w:val="006F7D38"/>
    <w:rsid w:val="006FE476"/>
    <w:rsid w:val="007008DB"/>
    <w:rsid w:val="00700A27"/>
    <w:rsid w:val="00700B65"/>
    <w:rsid w:val="007010D6"/>
    <w:rsid w:val="00701999"/>
    <w:rsid w:val="0070201C"/>
    <w:rsid w:val="00702187"/>
    <w:rsid w:val="007021A3"/>
    <w:rsid w:val="0070228D"/>
    <w:rsid w:val="0070233B"/>
    <w:rsid w:val="00702A1B"/>
    <w:rsid w:val="00702E2A"/>
    <w:rsid w:val="00702EC2"/>
    <w:rsid w:val="007030E4"/>
    <w:rsid w:val="007032D3"/>
    <w:rsid w:val="007041A2"/>
    <w:rsid w:val="00704413"/>
    <w:rsid w:val="007048B9"/>
    <w:rsid w:val="00704D50"/>
    <w:rsid w:val="00705437"/>
    <w:rsid w:val="00705703"/>
    <w:rsid w:val="007059C0"/>
    <w:rsid w:val="007070F5"/>
    <w:rsid w:val="0070724B"/>
    <w:rsid w:val="007078D4"/>
    <w:rsid w:val="0070790F"/>
    <w:rsid w:val="00707B31"/>
    <w:rsid w:val="00707EAF"/>
    <w:rsid w:val="00707F57"/>
    <w:rsid w:val="00710036"/>
    <w:rsid w:val="00710048"/>
    <w:rsid w:val="007103C7"/>
    <w:rsid w:val="0071083E"/>
    <w:rsid w:val="00710F6D"/>
    <w:rsid w:val="007112D1"/>
    <w:rsid w:val="00711D00"/>
    <w:rsid w:val="0071265C"/>
    <w:rsid w:val="00712AF8"/>
    <w:rsid w:val="00713365"/>
    <w:rsid w:val="00713504"/>
    <w:rsid w:val="007138E1"/>
    <w:rsid w:val="00713B46"/>
    <w:rsid w:val="00714459"/>
    <w:rsid w:val="00714563"/>
    <w:rsid w:val="0071463A"/>
    <w:rsid w:val="0071474E"/>
    <w:rsid w:val="0071488C"/>
    <w:rsid w:val="007148CC"/>
    <w:rsid w:val="00714953"/>
    <w:rsid w:val="00714981"/>
    <w:rsid w:val="00715036"/>
    <w:rsid w:val="00715C05"/>
    <w:rsid w:val="0071614C"/>
    <w:rsid w:val="0071628C"/>
    <w:rsid w:val="007162EC"/>
    <w:rsid w:val="0071643C"/>
    <w:rsid w:val="007164DD"/>
    <w:rsid w:val="0071682E"/>
    <w:rsid w:val="00716BD4"/>
    <w:rsid w:val="007170F0"/>
    <w:rsid w:val="00717C10"/>
    <w:rsid w:val="007202F7"/>
    <w:rsid w:val="00720623"/>
    <w:rsid w:val="00720626"/>
    <w:rsid w:val="007206FB"/>
    <w:rsid w:val="00720767"/>
    <w:rsid w:val="00720D1E"/>
    <w:rsid w:val="007210BB"/>
    <w:rsid w:val="0072128C"/>
    <w:rsid w:val="00721504"/>
    <w:rsid w:val="0072183F"/>
    <w:rsid w:val="00721A60"/>
    <w:rsid w:val="007224D0"/>
    <w:rsid w:val="00722FE5"/>
    <w:rsid w:val="0072304B"/>
    <w:rsid w:val="00723486"/>
    <w:rsid w:val="007236F4"/>
    <w:rsid w:val="00723BCA"/>
    <w:rsid w:val="007250E9"/>
    <w:rsid w:val="0072521B"/>
    <w:rsid w:val="007252F1"/>
    <w:rsid w:val="0072535B"/>
    <w:rsid w:val="0072547C"/>
    <w:rsid w:val="00725C16"/>
    <w:rsid w:val="007260DC"/>
    <w:rsid w:val="00726187"/>
    <w:rsid w:val="00726430"/>
    <w:rsid w:val="007268F3"/>
    <w:rsid w:val="0072712A"/>
    <w:rsid w:val="00727856"/>
    <w:rsid w:val="00727E59"/>
    <w:rsid w:val="00727ED8"/>
    <w:rsid w:val="007300E2"/>
    <w:rsid w:val="007309E7"/>
    <w:rsid w:val="00730B42"/>
    <w:rsid w:val="00730BF1"/>
    <w:rsid w:val="00730F77"/>
    <w:rsid w:val="007319BA"/>
    <w:rsid w:val="00732212"/>
    <w:rsid w:val="007323DD"/>
    <w:rsid w:val="007325F6"/>
    <w:rsid w:val="00732657"/>
    <w:rsid w:val="00732659"/>
    <w:rsid w:val="00732DA8"/>
    <w:rsid w:val="007333F0"/>
    <w:rsid w:val="00733655"/>
    <w:rsid w:val="00733C21"/>
    <w:rsid w:val="0073414B"/>
    <w:rsid w:val="00734205"/>
    <w:rsid w:val="00734517"/>
    <w:rsid w:val="00734C65"/>
    <w:rsid w:val="0073512E"/>
    <w:rsid w:val="0073533A"/>
    <w:rsid w:val="007358E0"/>
    <w:rsid w:val="00735E25"/>
    <w:rsid w:val="0073620F"/>
    <w:rsid w:val="0073644E"/>
    <w:rsid w:val="0073681C"/>
    <w:rsid w:val="00736D68"/>
    <w:rsid w:val="00737A6E"/>
    <w:rsid w:val="00737D9E"/>
    <w:rsid w:val="00740119"/>
    <w:rsid w:val="00740334"/>
    <w:rsid w:val="00740353"/>
    <w:rsid w:val="007403DB"/>
    <w:rsid w:val="00740677"/>
    <w:rsid w:val="00740AF2"/>
    <w:rsid w:val="00740BE9"/>
    <w:rsid w:val="00740DD3"/>
    <w:rsid w:val="00741117"/>
    <w:rsid w:val="0074171F"/>
    <w:rsid w:val="00741749"/>
    <w:rsid w:val="007417BF"/>
    <w:rsid w:val="00741BD8"/>
    <w:rsid w:val="00741BEE"/>
    <w:rsid w:val="00741DF6"/>
    <w:rsid w:val="00741E48"/>
    <w:rsid w:val="00742201"/>
    <w:rsid w:val="00742350"/>
    <w:rsid w:val="00742EDD"/>
    <w:rsid w:val="007430A5"/>
    <w:rsid w:val="0074313B"/>
    <w:rsid w:val="0074366F"/>
    <w:rsid w:val="0074406E"/>
    <w:rsid w:val="00744BDF"/>
    <w:rsid w:val="00744C48"/>
    <w:rsid w:val="00744F00"/>
    <w:rsid w:val="00745405"/>
    <w:rsid w:val="0074561D"/>
    <w:rsid w:val="00745AA8"/>
    <w:rsid w:val="00745E86"/>
    <w:rsid w:val="00746AED"/>
    <w:rsid w:val="00746CFD"/>
    <w:rsid w:val="00746F0D"/>
    <w:rsid w:val="007472A3"/>
    <w:rsid w:val="007474F2"/>
    <w:rsid w:val="00747765"/>
    <w:rsid w:val="00747E36"/>
    <w:rsid w:val="00747E60"/>
    <w:rsid w:val="00750F98"/>
    <w:rsid w:val="00751783"/>
    <w:rsid w:val="007520B1"/>
    <w:rsid w:val="00752346"/>
    <w:rsid w:val="0075273A"/>
    <w:rsid w:val="007528DF"/>
    <w:rsid w:val="007529F7"/>
    <w:rsid w:val="00752A4E"/>
    <w:rsid w:val="00752AA2"/>
    <w:rsid w:val="00752BAE"/>
    <w:rsid w:val="0075326C"/>
    <w:rsid w:val="00753306"/>
    <w:rsid w:val="00753A44"/>
    <w:rsid w:val="00753A7A"/>
    <w:rsid w:val="00753B7C"/>
    <w:rsid w:val="00753EF0"/>
    <w:rsid w:val="0075410D"/>
    <w:rsid w:val="00754240"/>
    <w:rsid w:val="007544CB"/>
    <w:rsid w:val="00755969"/>
    <w:rsid w:val="007559DA"/>
    <w:rsid w:val="00755AFE"/>
    <w:rsid w:val="00755B72"/>
    <w:rsid w:val="00755C8F"/>
    <w:rsid w:val="00755CB5"/>
    <w:rsid w:val="00755ECA"/>
    <w:rsid w:val="0075613F"/>
    <w:rsid w:val="007568DA"/>
    <w:rsid w:val="00756BC2"/>
    <w:rsid w:val="007573B9"/>
    <w:rsid w:val="0075790B"/>
    <w:rsid w:val="00757DEC"/>
    <w:rsid w:val="00760A13"/>
    <w:rsid w:val="00760D6D"/>
    <w:rsid w:val="00760DBE"/>
    <w:rsid w:val="00761B04"/>
    <w:rsid w:val="0076205B"/>
    <w:rsid w:val="007620D9"/>
    <w:rsid w:val="007625BD"/>
    <w:rsid w:val="007628DA"/>
    <w:rsid w:val="00762B71"/>
    <w:rsid w:val="00762DB5"/>
    <w:rsid w:val="00762EBC"/>
    <w:rsid w:val="00763A22"/>
    <w:rsid w:val="00764231"/>
    <w:rsid w:val="007649B4"/>
    <w:rsid w:val="00764B35"/>
    <w:rsid w:val="007650E3"/>
    <w:rsid w:val="007651F7"/>
    <w:rsid w:val="00765825"/>
    <w:rsid w:val="00765C8B"/>
    <w:rsid w:val="00765CAA"/>
    <w:rsid w:val="0076621B"/>
    <w:rsid w:val="007666B1"/>
    <w:rsid w:val="0076726E"/>
    <w:rsid w:val="00767454"/>
    <w:rsid w:val="0077139F"/>
    <w:rsid w:val="00771C74"/>
    <w:rsid w:val="007724B6"/>
    <w:rsid w:val="00772D4E"/>
    <w:rsid w:val="00772D78"/>
    <w:rsid w:val="00773044"/>
    <w:rsid w:val="0077403A"/>
    <w:rsid w:val="007744B4"/>
    <w:rsid w:val="0077453D"/>
    <w:rsid w:val="00774698"/>
    <w:rsid w:val="00774BDD"/>
    <w:rsid w:val="007755BA"/>
    <w:rsid w:val="00775A9D"/>
    <w:rsid w:val="00775BC8"/>
    <w:rsid w:val="00775C1B"/>
    <w:rsid w:val="00775E5F"/>
    <w:rsid w:val="00776B07"/>
    <w:rsid w:val="00776CD3"/>
    <w:rsid w:val="00777395"/>
    <w:rsid w:val="007774AE"/>
    <w:rsid w:val="00777B31"/>
    <w:rsid w:val="00777D2C"/>
    <w:rsid w:val="0077F43C"/>
    <w:rsid w:val="00780178"/>
    <w:rsid w:val="007809F3"/>
    <w:rsid w:val="00780B33"/>
    <w:rsid w:val="00781048"/>
    <w:rsid w:val="0078122B"/>
    <w:rsid w:val="007813ED"/>
    <w:rsid w:val="00781E87"/>
    <w:rsid w:val="00782787"/>
    <w:rsid w:val="00782819"/>
    <w:rsid w:val="00782A0C"/>
    <w:rsid w:val="00782CCB"/>
    <w:rsid w:val="00782F89"/>
    <w:rsid w:val="007838D0"/>
    <w:rsid w:val="00783F5F"/>
    <w:rsid w:val="00784256"/>
    <w:rsid w:val="00784AD9"/>
    <w:rsid w:val="007854CF"/>
    <w:rsid w:val="00785C2D"/>
    <w:rsid w:val="00785D5B"/>
    <w:rsid w:val="00785D7A"/>
    <w:rsid w:val="00786B1A"/>
    <w:rsid w:val="007871D6"/>
    <w:rsid w:val="00787332"/>
    <w:rsid w:val="007878B2"/>
    <w:rsid w:val="007878D4"/>
    <w:rsid w:val="00787E91"/>
    <w:rsid w:val="00790BD4"/>
    <w:rsid w:val="00790D4E"/>
    <w:rsid w:val="0079112F"/>
    <w:rsid w:val="00791A3B"/>
    <w:rsid w:val="00791B21"/>
    <w:rsid w:val="00791D47"/>
    <w:rsid w:val="0079265D"/>
    <w:rsid w:val="00792DFB"/>
    <w:rsid w:val="00793AD7"/>
    <w:rsid w:val="00793C5D"/>
    <w:rsid w:val="00793DA0"/>
    <w:rsid w:val="00793DC5"/>
    <w:rsid w:val="00793EFB"/>
    <w:rsid w:val="00794349"/>
    <w:rsid w:val="007949F7"/>
    <w:rsid w:val="00794B88"/>
    <w:rsid w:val="00794DD7"/>
    <w:rsid w:val="007951F3"/>
    <w:rsid w:val="00795275"/>
    <w:rsid w:val="00796424"/>
    <w:rsid w:val="00796894"/>
    <w:rsid w:val="00796A3C"/>
    <w:rsid w:val="00796D7C"/>
    <w:rsid w:val="00796E50"/>
    <w:rsid w:val="00796F46"/>
    <w:rsid w:val="00797596"/>
    <w:rsid w:val="007979A1"/>
    <w:rsid w:val="007A0038"/>
    <w:rsid w:val="007A02F7"/>
    <w:rsid w:val="007A0345"/>
    <w:rsid w:val="007A0632"/>
    <w:rsid w:val="007A0912"/>
    <w:rsid w:val="007A0AAB"/>
    <w:rsid w:val="007A1248"/>
    <w:rsid w:val="007A1CD2"/>
    <w:rsid w:val="007A1F61"/>
    <w:rsid w:val="007A207C"/>
    <w:rsid w:val="007A276D"/>
    <w:rsid w:val="007A284C"/>
    <w:rsid w:val="007A29C5"/>
    <w:rsid w:val="007A2FE3"/>
    <w:rsid w:val="007A369A"/>
    <w:rsid w:val="007A390B"/>
    <w:rsid w:val="007A3FBB"/>
    <w:rsid w:val="007A43D9"/>
    <w:rsid w:val="007A48AC"/>
    <w:rsid w:val="007A4BFC"/>
    <w:rsid w:val="007A4E02"/>
    <w:rsid w:val="007A4E87"/>
    <w:rsid w:val="007A4F2C"/>
    <w:rsid w:val="007A5053"/>
    <w:rsid w:val="007A5754"/>
    <w:rsid w:val="007A5C5C"/>
    <w:rsid w:val="007A5F18"/>
    <w:rsid w:val="007A5FFE"/>
    <w:rsid w:val="007A6474"/>
    <w:rsid w:val="007A6E7B"/>
    <w:rsid w:val="007A6FB4"/>
    <w:rsid w:val="007A72A7"/>
    <w:rsid w:val="007B0296"/>
    <w:rsid w:val="007B02B5"/>
    <w:rsid w:val="007B05C1"/>
    <w:rsid w:val="007B06EE"/>
    <w:rsid w:val="007B0EC0"/>
    <w:rsid w:val="007B13B6"/>
    <w:rsid w:val="007B1622"/>
    <w:rsid w:val="007B1C21"/>
    <w:rsid w:val="007B268D"/>
    <w:rsid w:val="007B2755"/>
    <w:rsid w:val="007B28B3"/>
    <w:rsid w:val="007B3B02"/>
    <w:rsid w:val="007B3C7D"/>
    <w:rsid w:val="007B3FB6"/>
    <w:rsid w:val="007B44E4"/>
    <w:rsid w:val="007B49D5"/>
    <w:rsid w:val="007B49EC"/>
    <w:rsid w:val="007B5A00"/>
    <w:rsid w:val="007B5F0C"/>
    <w:rsid w:val="007B5F34"/>
    <w:rsid w:val="007B63F1"/>
    <w:rsid w:val="007B66CC"/>
    <w:rsid w:val="007B67D6"/>
    <w:rsid w:val="007B6987"/>
    <w:rsid w:val="007B6D8D"/>
    <w:rsid w:val="007B6DD6"/>
    <w:rsid w:val="007B70D6"/>
    <w:rsid w:val="007B74EE"/>
    <w:rsid w:val="007B79C9"/>
    <w:rsid w:val="007C076F"/>
    <w:rsid w:val="007C08F2"/>
    <w:rsid w:val="007C0C03"/>
    <w:rsid w:val="007C126C"/>
    <w:rsid w:val="007C1ACE"/>
    <w:rsid w:val="007C1E4F"/>
    <w:rsid w:val="007C20D8"/>
    <w:rsid w:val="007C260C"/>
    <w:rsid w:val="007C28E7"/>
    <w:rsid w:val="007C2E74"/>
    <w:rsid w:val="007C3166"/>
    <w:rsid w:val="007C3236"/>
    <w:rsid w:val="007C323D"/>
    <w:rsid w:val="007C375A"/>
    <w:rsid w:val="007C42C6"/>
    <w:rsid w:val="007C46BE"/>
    <w:rsid w:val="007C5C73"/>
    <w:rsid w:val="007C66C8"/>
    <w:rsid w:val="007C68F6"/>
    <w:rsid w:val="007C6C86"/>
    <w:rsid w:val="007C6E4B"/>
    <w:rsid w:val="007C6ED9"/>
    <w:rsid w:val="007C6FD6"/>
    <w:rsid w:val="007C75E8"/>
    <w:rsid w:val="007C7706"/>
    <w:rsid w:val="007C79E9"/>
    <w:rsid w:val="007C7AC9"/>
    <w:rsid w:val="007C7E4C"/>
    <w:rsid w:val="007C7EBA"/>
    <w:rsid w:val="007D1602"/>
    <w:rsid w:val="007D163B"/>
    <w:rsid w:val="007D178F"/>
    <w:rsid w:val="007D18CE"/>
    <w:rsid w:val="007D1920"/>
    <w:rsid w:val="007D1958"/>
    <w:rsid w:val="007D1B18"/>
    <w:rsid w:val="007D1EDF"/>
    <w:rsid w:val="007D2022"/>
    <w:rsid w:val="007D23DD"/>
    <w:rsid w:val="007D2737"/>
    <w:rsid w:val="007D2882"/>
    <w:rsid w:val="007D2C15"/>
    <w:rsid w:val="007D2D4B"/>
    <w:rsid w:val="007D2FE6"/>
    <w:rsid w:val="007D30BF"/>
    <w:rsid w:val="007D3909"/>
    <w:rsid w:val="007D3A02"/>
    <w:rsid w:val="007D3F86"/>
    <w:rsid w:val="007D535E"/>
    <w:rsid w:val="007D553F"/>
    <w:rsid w:val="007D5F93"/>
    <w:rsid w:val="007D60E9"/>
    <w:rsid w:val="007D7162"/>
    <w:rsid w:val="007D7268"/>
    <w:rsid w:val="007D7E75"/>
    <w:rsid w:val="007D7FE5"/>
    <w:rsid w:val="007E0010"/>
    <w:rsid w:val="007E0314"/>
    <w:rsid w:val="007E0C0B"/>
    <w:rsid w:val="007E1035"/>
    <w:rsid w:val="007E116D"/>
    <w:rsid w:val="007E1DF1"/>
    <w:rsid w:val="007E2346"/>
    <w:rsid w:val="007E34AE"/>
    <w:rsid w:val="007E36AF"/>
    <w:rsid w:val="007E3EAA"/>
    <w:rsid w:val="007E42F1"/>
    <w:rsid w:val="007E4415"/>
    <w:rsid w:val="007E46FE"/>
    <w:rsid w:val="007E485D"/>
    <w:rsid w:val="007E4CF1"/>
    <w:rsid w:val="007E5167"/>
    <w:rsid w:val="007E5174"/>
    <w:rsid w:val="007E517E"/>
    <w:rsid w:val="007E52D1"/>
    <w:rsid w:val="007E619F"/>
    <w:rsid w:val="007E638D"/>
    <w:rsid w:val="007E65EC"/>
    <w:rsid w:val="007E677D"/>
    <w:rsid w:val="007E69C5"/>
    <w:rsid w:val="007E766A"/>
    <w:rsid w:val="007E7CEB"/>
    <w:rsid w:val="007F030E"/>
    <w:rsid w:val="007F0690"/>
    <w:rsid w:val="007F101E"/>
    <w:rsid w:val="007F121F"/>
    <w:rsid w:val="007F17DD"/>
    <w:rsid w:val="007F1B1D"/>
    <w:rsid w:val="007F1C9C"/>
    <w:rsid w:val="007F1D3B"/>
    <w:rsid w:val="007F1EA6"/>
    <w:rsid w:val="007F2049"/>
    <w:rsid w:val="007F31DC"/>
    <w:rsid w:val="007F353B"/>
    <w:rsid w:val="007F40B9"/>
    <w:rsid w:val="007F43F3"/>
    <w:rsid w:val="007F4484"/>
    <w:rsid w:val="007F46F0"/>
    <w:rsid w:val="007F4928"/>
    <w:rsid w:val="007F5234"/>
    <w:rsid w:val="007F56BD"/>
    <w:rsid w:val="007F583A"/>
    <w:rsid w:val="007F5A15"/>
    <w:rsid w:val="007F5B86"/>
    <w:rsid w:val="007F5F09"/>
    <w:rsid w:val="007F604F"/>
    <w:rsid w:val="007F6364"/>
    <w:rsid w:val="007F6961"/>
    <w:rsid w:val="007F7146"/>
    <w:rsid w:val="007F7C85"/>
    <w:rsid w:val="00800330"/>
    <w:rsid w:val="00800621"/>
    <w:rsid w:val="008008DF"/>
    <w:rsid w:val="00800952"/>
    <w:rsid w:val="00800AE2"/>
    <w:rsid w:val="00801081"/>
    <w:rsid w:val="008016C7"/>
    <w:rsid w:val="00801842"/>
    <w:rsid w:val="008019FC"/>
    <w:rsid w:val="00801F61"/>
    <w:rsid w:val="00801FA9"/>
    <w:rsid w:val="00802182"/>
    <w:rsid w:val="008023F8"/>
    <w:rsid w:val="00802802"/>
    <w:rsid w:val="00802975"/>
    <w:rsid w:val="00802AE0"/>
    <w:rsid w:val="00803097"/>
    <w:rsid w:val="008037A8"/>
    <w:rsid w:val="00803B10"/>
    <w:rsid w:val="0080452D"/>
    <w:rsid w:val="00805225"/>
    <w:rsid w:val="00805690"/>
    <w:rsid w:val="00805C2A"/>
    <w:rsid w:val="00805DBD"/>
    <w:rsid w:val="00805E56"/>
    <w:rsid w:val="00806138"/>
    <w:rsid w:val="00806AAE"/>
    <w:rsid w:val="00806C37"/>
    <w:rsid w:val="00807C07"/>
    <w:rsid w:val="00807D64"/>
    <w:rsid w:val="00810186"/>
    <w:rsid w:val="008101B3"/>
    <w:rsid w:val="008109E1"/>
    <w:rsid w:val="00810F45"/>
    <w:rsid w:val="00811E81"/>
    <w:rsid w:val="00811F01"/>
    <w:rsid w:val="008121A0"/>
    <w:rsid w:val="008134A6"/>
    <w:rsid w:val="0081380F"/>
    <w:rsid w:val="008138B7"/>
    <w:rsid w:val="00813B66"/>
    <w:rsid w:val="00814874"/>
    <w:rsid w:val="00814B26"/>
    <w:rsid w:val="00814D14"/>
    <w:rsid w:val="00814E3A"/>
    <w:rsid w:val="00815355"/>
    <w:rsid w:val="00815648"/>
    <w:rsid w:val="00815BB1"/>
    <w:rsid w:val="00815DA3"/>
    <w:rsid w:val="00816391"/>
    <w:rsid w:val="008169D6"/>
    <w:rsid w:val="00816E1B"/>
    <w:rsid w:val="00816EC0"/>
    <w:rsid w:val="00816F16"/>
    <w:rsid w:val="00817918"/>
    <w:rsid w:val="00817FA4"/>
    <w:rsid w:val="0082043E"/>
    <w:rsid w:val="00820530"/>
    <w:rsid w:val="0082061C"/>
    <w:rsid w:val="00820D31"/>
    <w:rsid w:val="00820D44"/>
    <w:rsid w:val="008210E3"/>
    <w:rsid w:val="0082138E"/>
    <w:rsid w:val="008213BE"/>
    <w:rsid w:val="00821512"/>
    <w:rsid w:val="0082182D"/>
    <w:rsid w:val="0082191D"/>
    <w:rsid w:val="00821A06"/>
    <w:rsid w:val="00821F3A"/>
    <w:rsid w:val="00822534"/>
    <w:rsid w:val="00822833"/>
    <w:rsid w:val="0082349E"/>
    <w:rsid w:val="00823537"/>
    <w:rsid w:val="00823A18"/>
    <w:rsid w:val="00823BE2"/>
    <w:rsid w:val="00823DA8"/>
    <w:rsid w:val="00824178"/>
    <w:rsid w:val="008244DE"/>
    <w:rsid w:val="008249A6"/>
    <w:rsid w:val="00824C41"/>
    <w:rsid w:val="00824D87"/>
    <w:rsid w:val="00824DE2"/>
    <w:rsid w:val="00824E2B"/>
    <w:rsid w:val="00825048"/>
    <w:rsid w:val="00825312"/>
    <w:rsid w:val="008253C1"/>
    <w:rsid w:val="00825C52"/>
    <w:rsid w:val="00825DB2"/>
    <w:rsid w:val="00825DB8"/>
    <w:rsid w:val="00825FBC"/>
    <w:rsid w:val="00826003"/>
    <w:rsid w:val="008260FC"/>
    <w:rsid w:val="0082620B"/>
    <w:rsid w:val="00826ACD"/>
    <w:rsid w:val="00826E6F"/>
    <w:rsid w:val="00826E81"/>
    <w:rsid w:val="00826F21"/>
    <w:rsid w:val="00827584"/>
    <w:rsid w:val="00827665"/>
    <w:rsid w:val="0083017B"/>
    <w:rsid w:val="00830391"/>
    <w:rsid w:val="0083059B"/>
    <w:rsid w:val="008305F6"/>
    <w:rsid w:val="008317C4"/>
    <w:rsid w:val="008318D7"/>
    <w:rsid w:val="0083220F"/>
    <w:rsid w:val="0083227B"/>
    <w:rsid w:val="00832461"/>
    <w:rsid w:val="008325E8"/>
    <w:rsid w:val="00833050"/>
    <w:rsid w:val="008335C0"/>
    <w:rsid w:val="008336C7"/>
    <w:rsid w:val="008337BD"/>
    <w:rsid w:val="00833882"/>
    <w:rsid w:val="00833B15"/>
    <w:rsid w:val="00834062"/>
    <w:rsid w:val="008342E0"/>
    <w:rsid w:val="0083451E"/>
    <w:rsid w:val="00834622"/>
    <w:rsid w:val="008358A0"/>
    <w:rsid w:val="008358E7"/>
    <w:rsid w:val="008362CA"/>
    <w:rsid w:val="00836591"/>
    <w:rsid w:val="008365EF"/>
    <w:rsid w:val="00836860"/>
    <w:rsid w:val="00836861"/>
    <w:rsid w:val="00837BF3"/>
    <w:rsid w:val="00837F7A"/>
    <w:rsid w:val="008400A0"/>
    <w:rsid w:val="00840576"/>
    <w:rsid w:val="0084091E"/>
    <w:rsid w:val="00840B16"/>
    <w:rsid w:val="00840B84"/>
    <w:rsid w:val="00840D3C"/>
    <w:rsid w:val="008414BF"/>
    <w:rsid w:val="00841E5A"/>
    <w:rsid w:val="00841FBB"/>
    <w:rsid w:val="00842800"/>
    <w:rsid w:val="00842A60"/>
    <w:rsid w:val="00842A61"/>
    <w:rsid w:val="00842F0C"/>
    <w:rsid w:val="00843331"/>
    <w:rsid w:val="00843415"/>
    <w:rsid w:val="0084357D"/>
    <w:rsid w:val="00844A2C"/>
    <w:rsid w:val="00844B60"/>
    <w:rsid w:val="00844C90"/>
    <w:rsid w:val="00845E5F"/>
    <w:rsid w:val="0084641D"/>
    <w:rsid w:val="0084654E"/>
    <w:rsid w:val="00846A5C"/>
    <w:rsid w:val="00846F21"/>
    <w:rsid w:val="008479D3"/>
    <w:rsid w:val="00847EA3"/>
    <w:rsid w:val="00847F33"/>
    <w:rsid w:val="008500DD"/>
    <w:rsid w:val="00850291"/>
    <w:rsid w:val="00850528"/>
    <w:rsid w:val="008505D6"/>
    <w:rsid w:val="00850978"/>
    <w:rsid w:val="00850C20"/>
    <w:rsid w:val="0085100D"/>
    <w:rsid w:val="00851468"/>
    <w:rsid w:val="00851FDA"/>
    <w:rsid w:val="008520CB"/>
    <w:rsid w:val="00852686"/>
    <w:rsid w:val="00852A7D"/>
    <w:rsid w:val="00852BEC"/>
    <w:rsid w:val="00853BB1"/>
    <w:rsid w:val="00853F73"/>
    <w:rsid w:val="0085411F"/>
    <w:rsid w:val="00854B9E"/>
    <w:rsid w:val="0085566A"/>
    <w:rsid w:val="008556EB"/>
    <w:rsid w:val="0085595F"/>
    <w:rsid w:val="008559F0"/>
    <w:rsid w:val="00855A05"/>
    <w:rsid w:val="00855E87"/>
    <w:rsid w:val="00855EED"/>
    <w:rsid w:val="008564B8"/>
    <w:rsid w:val="00856871"/>
    <w:rsid w:val="00856BB1"/>
    <w:rsid w:val="00856C83"/>
    <w:rsid w:val="00856F18"/>
    <w:rsid w:val="00856FEF"/>
    <w:rsid w:val="00857231"/>
    <w:rsid w:val="008573CB"/>
    <w:rsid w:val="008574D4"/>
    <w:rsid w:val="00857FEC"/>
    <w:rsid w:val="00860462"/>
    <w:rsid w:val="00860656"/>
    <w:rsid w:val="00860670"/>
    <w:rsid w:val="008609EE"/>
    <w:rsid w:val="00860A4E"/>
    <w:rsid w:val="00860E2A"/>
    <w:rsid w:val="00860F78"/>
    <w:rsid w:val="008617E2"/>
    <w:rsid w:val="00861C0B"/>
    <w:rsid w:val="00862190"/>
    <w:rsid w:val="00862211"/>
    <w:rsid w:val="00862238"/>
    <w:rsid w:val="0086322D"/>
    <w:rsid w:val="008635C3"/>
    <w:rsid w:val="008637DC"/>
    <w:rsid w:val="00863A1F"/>
    <w:rsid w:val="00863CF7"/>
    <w:rsid w:val="00863D61"/>
    <w:rsid w:val="00864273"/>
    <w:rsid w:val="008648BB"/>
    <w:rsid w:val="00864B1E"/>
    <w:rsid w:val="00865083"/>
    <w:rsid w:val="00865148"/>
    <w:rsid w:val="008653C0"/>
    <w:rsid w:val="0086560B"/>
    <w:rsid w:val="00865A80"/>
    <w:rsid w:val="00865EB7"/>
    <w:rsid w:val="00866393"/>
    <w:rsid w:val="0086642E"/>
    <w:rsid w:val="00866824"/>
    <w:rsid w:val="00866D97"/>
    <w:rsid w:val="00867450"/>
    <w:rsid w:val="0086762D"/>
    <w:rsid w:val="0087024E"/>
    <w:rsid w:val="0087060B"/>
    <w:rsid w:val="008707C0"/>
    <w:rsid w:val="00870AFB"/>
    <w:rsid w:val="00870D95"/>
    <w:rsid w:val="00870E07"/>
    <w:rsid w:val="008717BD"/>
    <w:rsid w:val="0087181F"/>
    <w:rsid w:val="00871BC7"/>
    <w:rsid w:val="0087211E"/>
    <w:rsid w:val="00872340"/>
    <w:rsid w:val="0087316A"/>
    <w:rsid w:val="00873231"/>
    <w:rsid w:val="00873CE9"/>
    <w:rsid w:val="00873D8E"/>
    <w:rsid w:val="00874359"/>
    <w:rsid w:val="0087480A"/>
    <w:rsid w:val="00874F14"/>
    <w:rsid w:val="0087516A"/>
    <w:rsid w:val="008753D0"/>
    <w:rsid w:val="00875434"/>
    <w:rsid w:val="0087587D"/>
    <w:rsid w:val="008760F0"/>
    <w:rsid w:val="0087725A"/>
    <w:rsid w:val="008774EB"/>
    <w:rsid w:val="00877A6C"/>
    <w:rsid w:val="00877B58"/>
    <w:rsid w:val="00880709"/>
    <w:rsid w:val="0088076F"/>
    <w:rsid w:val="00880E4C"/>
    <w:rsid w:val="0088130D"/>
    <w:rsid w:val="008813D4"/>
    <w:rsid w:val="00881603"/>
    <w:rsid w:val="00881964"/>
    <w:rsid w:val="00881E9A"/>
    <w:rsid w:val="008824F2"/>
    <w:rsid w:val="00882572"/>
    <w:rsid w:val="008826C3"/>
    <w:rsid w:val="00882E0B"/>
    <w:rsid w:val="00882FD5"/>
    <w:rsid w:val="00883062"/>
    <w:rsid w:val="0088327B"/>
    <w:rsid w:val="008836B8"/>
    <w:rsid w:val="00883911"/>
    <w:rsid w:val="00883AFC"/>
    <w:rsid w:val="00883CE1"/>
    <w:rsid w:val="0088414A"/>
    <w:rsid w:val="00884B34"/>
    <w:rsid w:val="0088568C"/>
    <w:rsid w:val="0088577B"/>
    <w:rsid w:val="00885E4A"/>
    <w:rsid w:val="00885E53"/>
    <w:rsid w:val="00886979"/>
    <w:rsid w:val="00886B3C"/>
    <w:rsid w:val="00887585"/>
    <w:rsid w:val="0088771E"/>
    <w:rsid w:val="0088779A"/>
    <w:rsid w:val="00887B03"/>
    <w:rsid w:val="00887C76"/>
    <w:rsid w:val="00891031"/>
    <w:rsid w:val="00891112"/>
    <w:rsid w:val="0089144F"/>
    <w:rsid w:val="00892A82"/>
    <w:rsid w:val="008931FB"/>
    <w:rsid w:val="008932FC"/>
    <w:rsid w:val="0089336B"/>
    <w:rsid w:val="008935C3"/>
    <w:rsid w:val="0089377D"/>
    <w:rsid w:val="008939EE"/>
    <w:rsid w:val="00893B9A"/>
    <w:rsid w:val="0089541E"/>
    <w:rsid w:val="00895431"/>
    <w:rsid w:val="00895A34"/>
    <w:rsid w:val="00895CB3"/>
    <w:rsid w:val="00895E0F"/>
    <w:rsid w:val="00895E59"/>
    <w:rsid w:val="00896817"/>
    <w:rsid w:val="00896829"/>
    <w:rsid w:val="008968FE"/>
    <w:rsid w:val="00896937"/>
    <w:rsid w:val="00896C6F"/>
    <w:rsid w:val="00896D96"/>
    <w:rsid w:val="0089719D"/>
    <w:rsid w:val="00897217"/>
    <w:rsid w:val="00897291"/>
    <w:rsid w:val="008972A6"/>
    <w:rsid w:val="00897314"/>
    <w:rsid w:val="0089752A"/>
    <w:rsid w:val="00897556"/>
    <w:rsid w:val="008975F3"/>
    <w:rsid w:val="00897943"/>
    <w:rsid w:val="00897A60"/>
    <w:rsid w:val="00897D45"/>
    <w:rsid w:val="008A00B1"/>
    <w:rsid w:val="008A00B8"/>
    <w:rsid w:val="008A09DC"/>
    <w:rsid w:val="008A12D1"/>
    <w:rsid w:val="008A1A32"/>
    <w:rsid w:val="008A2E6F"/>
    <w:rsid w:val="008A35D7"/>
    <w:rsid w:val="008A3942"/>
    <w:rsid w:val="008A3F1D"/>
    <w:rsid w:val="008A3F42"/>
    <w:rsid w:val="008A4130"/>
    <w:rsid w:val="008A466D"/>
    <w:rsid w:val="008A49F3"/>
    <w:rsid w:val="008A5162"/>
    <w:rsid w:val="008A5171"/>
    <w:rsid w:val="008A539F"/>
    <w:rsid w:val="008A5A03"/>
    <w:rsid w:val="008A5BD1"/>
    <w:rsid w:val="008A5D34"/>
    <w:rsid w:val="008A5E41"/>
    <w:rsid w:val="008A6234"/>
    <w:rsid w:val="008A6570"/>
    <w:rsid w:val="008A667B"/>
    <w:rsid w:val="008A66A7"/>
    <w:rsid w:val="008A6C5B"/>
    <w:rsid w:val="008A6DB3"/>
    <w:rsid w:val="008A7648"/>
    <w:rsid w:val="008A78A4"/>
    <w:rsid w:val="008A79CB"/>
    <w:rsid w:val="008A79CF"/>
    <w:rsid w:val="008A7CE2"/>
    <w:rsid w:val="008A7D25"/>
    <w:rsid w:val="008A7DDB"/>
    <w:rsid w:val="008B0025"/>
    <w:rsid w:val="008B04B9"/>
    <w:rsid w:val="008B066E"/>
    <w:rsid w:val="008B12B9"/>
    <w:rsid w:val="008B17A9"/>
    <w:rsid w:val="008B1BA6"/>
    <w:rsid w:val="008B2164"/>
    <w:rsid w:val="008B22BA"/>
    <w:rsid w:val="008B2361"/>
    <w:rsid w:val="008B34A1"/>
    <w:rsid w:val="008B401A"/>
    <w:rsid w:val="008B41E2"/>
    <w:rsid w:val="008B4D34"/>
    <w:rsid w:val="008B4E5B"/>
    <w:rsid w:val="008B56D1"/>
    <w:rsid w:val="008B5D54"/>
    <w:rsid w:val="008B5F0A"/>
    <w:rsid w:val="008B6464"/>
    <w:rsid w:val="008B6870"/>
    <w:rsid w:val="008B69EC"/>
    <w:rsid w:val="008B6A02"/>
    <w:rsid w:val="008B6B58"/>
    <w:rsid w:val="008B72D7"/>
    <w:rsid w:val="008B7537"/>
    <w:rsid w:val="008B7A11"/>
    <w:rsid w:val="008B7FEB"/>
    <w:rsid w:val="008C0294"/>
    <w:rsid w:val="008C0593"/>
    <w:rsid w:val="008C0F36"/>
    <w:rsid w:val="008C11B0"/>
    <w:rsid w:val="008C132F"/>
    <w:rsid w:val="008C1D72"/>
    <w:rsid w:val="008C21B8"/>
    <w:rsid w:val="008C2473"/>
    <w:rsid w:val="008C2668"/>
    <w:rsid w:val="008C2BC8"/>
    <w:rsid w:val="008C2F53"/>
    <w:rsid w:val="008C3A61"/>
    <w:rsid w:val="008C3FCD"/>
    <w:rsid w:val="008C461F"/>
    <w:rsid w:val="008C49C8"/>
    <w:rsid w:val="008C4B47"/>
    <w:rsid w:val="008C5471"/>
    <w:rsid w:val="008C582E"/>
    <w:rsid w:val="008C5FEE"/>
    <w:rsid w:val="008C65F2"/>
    <w:rsid w:val="008C67A5"/>
    <w:rsid w:val="008C693E"/>
    <w:rsid w:val="008C6B13"/>
    <w:rsid w:val="008C6C1C"/>
    <w:rsid w:val="008C6F11"/>
    <w:rsid w:val="008C77B6"/>
    <w:rsid w:val="008C7A88"/>
    <w:rsid w:val="008C7B2E"/>
    <w:rsid w:val="008C7F51"/>
    <w:rsid w:val="008D043B"/>
    <w:rsid w:val="008D04A5"/>
    <w:rsid w:val="008D0573"/>
    <w:rsid w:val="008D084E"/>
    <w:rsid w:val="008D0D33"/>
    <w:rsid w:val="008D11E8"/>
    <w:rsid w:val="008D146A"/>
    <w:rsid w:val="008D20BF"/>
    <w:rsid w:val="008D2283"/>
    <w:rsid w:val="008D22AC"/>
    <w:rsid w:val="008D273F"/>
    <w:rsid w:val="008D2DF4"/>
    <w:rsid w:val="008D3956"/>
    <w:rsid w:val="008D3FAC"/>
    <w:rsid w:val="008D5AF0"/>
    <w:rsid w:val="008D6129"/>
    <w:rsid w:val="008D64F2"/>
    <w:rsid w:val="008D6522"/>
    <w:rsid w:val="008D7063"/>
    <w:rsid w:val="008D7091"/>
    <w:rsid w:val="008D71C6"/>
    <w:rsid w:val="008D7288"/>
    <w:rsid w:val="008D72E1"/>
    <w:rsid w:val="008D7620"/>
    <w:rsid w:val="008D78C9"/>
    <w:rsid w:val="008D7EED"/>
    <w:rsid w:val="008E0304"/>
    <w:rsid w:val="008E05FE"/>
    <w:rsid w:val="008E09BA"/>
    <w:rsid w:val="008E0E40"/>
    <w:rsid w:val="008E143E"/>
    <w:rsid w:val="008E149C"/>
    <w:rsid w:val="008E1904"/>
    <w:rsid w:val="008E2227"/>
    <w:rsid w:val="008E2254"/>
    <w:rsid w:val="008E24CE"/>
    <w:rsid w:val="008E27BE"/>
    <w:rsid w:val="008E2C9F"/>
    <w:rsid w:val="008E3385"/>
    <w:rsid w:val="008E36A3"/>
    <w:rsid w:val="008E397D"/>
    <w:rsid w:val="008E3A7D"/>
    <w:rsid w:val="008E3BEB"/>
    <w:rsid w:val="008E3BF7"/>
    <w:rsid w:val="008E3D48"/>
    <w:rsid w:val="008E409B"/>
    <w:rsid w:val="008E410C"/>
    <w:rsid w:val="008E448F"/>
    <w:rsid w:val="008E46A9"/>
    <w:rsid w:val="008E4B4C"/>
    <w:rsid w:val="008E4D5B"/>
    <w:rsid w:val="008E542B"/>
    <w:rsid w:val="008E55C5"/>
    <w:rsid w:val="008E575E"/>
    <w:rsid w:val="008E5CCB"/>
    <w:rsid w:val="008E665E"/>
    <w:rsid w:val="008E6CCC"/>
    <w:rsid w:val="008E6FEF"/>
    <w:rsid w:val="008E715F"/>
    <w:rsid w:val="008E731C"/>
    <w:rsid w:val="008E75A7"/>
    <w:rsid w:val="008E7640"/>
    <w:rsid w:val="008E7A1A"/>
    <w:rsid w:val="008F0137"/>
    <w:rsid w:val="008F06A6"/>
    <w:rsid w:val="008F0A29"/>
    <w:rsid w:val="008F0C31"/>
    <w:rsid w:val="008F0DC2"/>
    <w:rsid w:val="008F0E0A"/>
    <w:rsid w:val="008F0E12"/>
    <w:rsid w:val="008F11C0"/>
    <w:rsid w:val="008F2066"/>
    <w:rsid w:val="008F3057"/>
    <w:rsid w:val="008F32ED"/>
    <w:rsid w:val="008F33EB"/>
    <w:rsid w:val="008F3F69"/>
    <w:rsid w:val="008F4089"/>
    <w:rsid w:val="008F4645"/>
    <w:rsid w:val="008F46E2"/>
    <w:rsid w:val="008F495E"/>
    <w:rsid w:val="008F4A8D"/>
    <w:rsid w:val="008F4BAD"/>
    <w:rsid w:val="008F4CD9"/>
    <w:rsid w:val="008F4EAD"/>
    <w:rsid w:val="008F4FAF"/>
    <w:rsid w:val="008F511C"/>
    <w:rsid w:val="008F5166"/>
    <w:rsid w:val="008F5376"/>
    <w:rsid w:val="008F539C"/>
    <w:rsid w:val="008F540E"/>
    <w:rsid w:val="008F59D5"/>
    <w:rsid w:val="008F5DB5"/>
    <w:rsid w:val="008F5DEF"/>
    <w:rsid w:val="008F65DC"/>
    <w:rsid w:val="008F66B7"/>
    <w:rsid w:val="008F6809"/>
    <w:rsid w:val="008F6DC2"/>
    <w:rsid w:val="008F6E46"/>
    <w:rsid w:val="008F72F0"/>
    <w:rsid w:val="008F76F2"/>
    <w:rsid w:val="008F7946"/>
    <w:rsid w:val="008F7C29"/>
    <w:rsid w:val="009003CC"/>
    <w:rsid w:val="009007CC"/>
    <w:rsid w:val="00900932"/>
    <w:rsid w:val="009009F9"/>
    <w:rsid w:val="00900BAE"/>
    <w:rsid w:val="009012CF"/>
    <w:rsid w:val="009012F7"/>
    <w:rsid w:val="00901329"/>
    <w:rsid w:val="0090178A"/>
    <w:rsid w:val="00901865"/>
    <w:rsid w:val="009019D6"/>
    <w:rsid w:val="00901A24"/>
    <w:rsid w:val="00901BC8"/>
    <w:rsid w:val="00902068"/>
    <w:rsid w:val="0090248B"/>
    <w:rsid w:val="009025CC"/>
    <w:rsid w:val="0090283B"/>
    <w:rsid w:val="00902A78"/>
    <w:rsid w:val="00903273"/>
    <w:rsid w:val="0090361C"/>
    <w:rsid w:val="00903C21"/>
    <w:rsid w:val="0090509A"/>
    <w:rsid w:val="00905331"/>
    <w:rsid w:val="009054E0"/>
    <w:rsid w:val="00905A58"/>
    <w:rsid w:val="00905C5F"/>
    <w:rsid w:val="00905FD8"/>
    <w:rsid w:val="00906305"/>
    <w:rsid w:val="009064EE"/>
    <w:rsid w:val="00906911"/>
    <w:rsid w:val="009069C0"/>
    <w:rsid w:val="00906E74"/>
    <w:rsid w:val="009074A9"/>
    <w:rsid w:val="00907560"/>
    <w:rsid w:val="00907AF8"/>
    <w:rsid w:val="00907CE6"/>
    <w:rsid w:val="00910641"/>
    <w:rsid w:val="00910D22"/>
    <w:rsid w:val="00910F65"/>
    <w:rsid w:val="0091128E"/>
    <w:rsid w:val="00911644"/>
    <w:rsid w:val="00911710"/>
    <w:rsid w:val="00911D0C"/>
    <w:rsid w:val="00912023"/>
    <w:rsid w:val="00912770"/>
    <w:rsid w:val="00912A25"/>
    <w:rsid w:val="00912C7F"/>
    <w:rsid w:val="009130FE"/>
    <w:rsid w:val="009132EA"/>
    <w:rsid w:val="009139E8"/>
    <w:rsid w:val="009142DD"/>
    <w:rsid w:val="0091439E"/>
    <w:rsid w:val="00914405"/>
    <w:rsid w:val="009147EC"/>
    <w:rsid w:val="00914B45"/>
    <w:rsid w:val="009151B8"/>
    <w:rsid w:val="009154F4"/>
    <w:rsid w:val="00915600"/>
    <w:rsid w:val="00915693"/>
    <w:rsid w:val="009156DD"/>
    <w:rsid w:val="009162A4"/>
    <w:rsid w:val="00916620"/>
    <w:rsid w:val="00917176"/>
    <w:rsid w:val="009172F0"/>
    <w:rsid w:val="00917335"/>
    <w:rsid w:val="0091742E"/>
    <w:rsid w:val="00917672"/>
    <w:rsid w:val="00917712"/>
    <w:rsid w:val="00920118"/>
    <w:rsid w:val="009201BB"/>
    <w:rsid w:val="0092066B"/>
    <w:rsid w:val="00920A4B"/>
    <w:rsid w:val="00920D46"/>
    <w:rsid w:val="00920DB9"/>
    <w:rsid w:val="0092124C"/>
    <w:rsid w:val="009217A0"/>
    <w:rsid w:val="00921ADC"/>
    <w:rsid w:val="00921EEC"/>
    <w:rsid w:val="009222F0"/>
    <w:rsid w:val="009224F0"/>
    <w:rsid w:val="00922962"/>
    <w:rsid w:val="009230A0"/>
    <w:rsid w:val="009234BF"/>
    <w:rsid w:val="00923AF5"/>
    <w:rsid w:val="00923CDC"/>
    <w:rsid w:val="00923EC5"/>
    <w:rsid w:val="00924146"/>
    <w:rsid w:val="009242D8"/>
    <w:rsid w:val="009246D6"/>
    <w:rsid w:val="009246E1"/>
    <w:rsid w:val="0092485C"/>
    <w:rsid w:val="00924CB5"/>
    <w:rsid w:val="0092522E"/>
    <w:rsid w:val="0092582B"/>
    <w:rsid w:val="009260BD"/>
    <w:rsid w:val="009264F9"/>
    <w:rsid w:val="00926525"/>
    <w:rsid w:val="0092663F"/>
    <w:rsid w:val="00926758"/>
    <w:rsid w:val="009268B6"/>
    <w:rsid w:val="00926BE8"/>
    <w:rsid w:val="00926E45"/>
    <w:rsid w:val="009273AD"/>
    <w:rsid w:val="009273DD"/>
    <w:rsid w:val="00927455"/>
    <w:rsid w:val="009274C6"/>
    <w:rsid w:val="009303EA"/>
    <w:rsid w:val="00930CAA"/>
    <w:rsid w:val="00930F30"/>
    <w:rsid w:val="00930FC5"/>
    <w:rsid w:val="009311DA"/>
    <w:rsid w:val="00931B64"/>
    <w:rsid w:val="00931C15"/>
    <w:rsid w:val="00931DFE"/>
    <w:rsid w:val="00932B37"/>
    <w:rsid w:val="00932E36"/>
    <w:rsid w:val="009331F0"/>
    <w:rsid w:val="009332F3"/>
    <w:rsid w:val="00933A27"/>
    <w:rsid w:val="00933A6A"/>
    <w:rsid w:val="00934CE9"/>
    <w:rsid w:val="0093597C"/>
    <w:rsid w:val="00935AD4"/>
    <w:rsid w:val="009360AA"/>
    <w:rsid w:val="0093651E"/>
    <w:rsid w:val="00936A97"/>
    <w:rsid w:val="00936AFB"/>
    <w:rsid w:val="00936E17"/>
    <w:rsid w:val="00936E7A"/>
    <w:rsid w:val="009371C5"/>
    <w:rsid w:val="00937515"/>
    <w:rsid w:val="0093767F"/>
    <w:rsid w:val="00937EA9"/>
    <w:rsid w:val="00940CF1"/>
    <w:rsid w:val="00940E9A"/>
    <w:rsid w:val="00941365"/>
    <w:rsid w:val="00941643"/>
    <w:rsid w:val="00941B7F"/>
    <w:rsid w:val="009421AE"/>
    <w:rsid w:val="009422B9"/>
    <w:rsid w:val="00942659"/>
    <w:rsid w:val="0094273D"/>
    <w:rsid w:val="00942D94"/>
    <w:rsid w:val="00942E0F"/>
    <w:rsid w:val="00943014"/>
    <w:rsid w:val="0094307A"/>
    <w:rsid w:val="0094331C"/>
    <w:rsid w:val="00943DB7"/>
    <w:rsid w:val="00943F5C"/>
    <w:rsid w:val="0094415B"/>
    <w:rsid w:val="009443C2"/>
    <w:rsid w:val="00944B6B"/>
    <w:rsid w:val="009454CA"/>
    <w:rsid w:val="00945D94"/>
    <w:rsid w:val="00945E09"/>
    <w:rsid w:val="0094615F"/>
    <w:rsid w:val="0094665D"/>
    <w:rsid w:val="009467EE"/>
    <w:rsid w:val="009469C5"/>
    <w:rsid w:val="00946C01"/>
    <w:rsid w:val="009473E7"/>
    <w:rsid w:val="0094757C"/>
    <w:rsid w:val="009478FA"/>
    <w:rsid w:val="009507BC"/>
    <w:rsid w:val="00950AB7"/>
    <w:rsid w:val="00951CCA"/>
    <w:rsid w:val="00951F26"/>
    <w:rsid w:val="009522D3"/>
    <w:rsid w:val="009526F7"/>
    <w:rsid w:val="00952FBF"/>
    <w:rsid w:val="0095327E"/>
    <w:rsid w:val="00953ACB"/>
    <w:rsid w:val="00953C9F"/>
    <w:rsid w:val="00953CF5"/>
    <w:rsid w:val="00953D6D"/>
    <w:rsid w:val="00953E09"/>
    <w:rsid w:val="00954339"/>
    <w:rsid w:val="009543F6"/>
    <w:rsid w:val="009545C3"/>
    <w:rsid w:val="00954D87"/>
    <w:rsid w:val="0095546F"/>
    <w:rsid w:val="009556B2"/>
    <w:rsid w:val="00955845"/>
    <w:rsid w:val="009558DA"/>
    <w:rsid w:val="009567E1"/>
    <w:rsid w:val="00956A4C"/>
    <w:rsid w:val="00956AB4"/>
    <w:rsid w:val="00957922"/>
    <w:rsid w:val="0095792E"/>
    <w:rsid w:val="00960008"/>
    <w:rsid w:val="00960513"/>
    <w:rsid w:val="00960A45"/>
    <w:rsid w:val="009611A4"/>
    <w:rsid w:val="00961655"/>
    <w:rsid w:val="00961AA5"/>
    <w:rsid w:val="00961AD1"/>
    <w:rsid w:val="00961BD8"/>
    <w:rsid w:val="00961D05"/>
    <w:rsid w:val="00961D79"/>
    <w:rsid w:val="00961E01"/>
    <w:rsid w:val="00961ED8"/>
    <w:rsid w:val="00962595"/>
    <w:rsid w:val="009627EA"/>
    <w:rsid w:val="009629DE"/>
    <w:rsid w:val="00962C76"/>
    <w:rsid w:val="00962F78"/>
    <w:rsid w:val="0096302D"/>
    <w:rsid w:val="00963435"/>
    <w:rsid w:val="00963821"/>
    <w:rsid w:val="00963A3D"/>
    <w:rsid w:val="00963ACB"/>
    <w:rsid w:val="00963B93"/>
    <w:rsid w:val="00963C14"/>
    <w:rsid w:val="00963DDA"/>
    <w:rsid w:val="00963F45"/>
    <w:rsid w:val="009640E7"/>
    <w:rsid w:val="00964903"/>
    <w:rsid w:val="0096494B"/>
    <w:rsid w:val="00964AC2"/>
    <w:rsid w:val="00964C7D"/>
    <w:rsid w:val="00964CA9"/>
    <w:rsid w:val="00964E4D"/>
    <w:rsid w:val="009659CC"/>
    <w:rsid w:val="00967065"/>
    <w:rsid w:val="009672F0"/>
    <w:rsid w:val="00967533"/>
    <w:rsid w:val="009675C5"/>
    <w:rsid w:val="00967668"/>
    <w:rsid w:val="00967908"/>
    <w:rsid w:val="00967F58"/>
    <w:rsid w:val="00970BE6"/>
    <w:rsid w:val="00971079"/>
    <w:rsid w:val="00971152"/>
    <w:rsid w:val="009711BC"/>
    <w:rsid w:val="00971988"/>
    <w:rsid w:val="009719B6"/>
    <w:rsid w:val="009719ED"/>
    <w:rsid w:val="00971CDB"/>
    <w:rsid w:val="0097251F"/>
    <w:rsid w:val="0097260F"/>
    <w:rsid w:val="00973941"/>
    <w:rsid w:val="00973C0D"/>
    <w:rsid w:val="0097432B"/>
    <w:rsid w:val="009744D3"/>
    <w:rsid w:val="009747B7"/>
    <w:rsid w:val="00975214"/>
    <w:rsid w:val="0097533D"/>
    <w:rsid w:val="0097564F"/>
    <w:rsid w:val="0097584C"/>
    <w:rsid w:val="0097613A"/>
    <w:rsid w:val="00976144"/>
    <w:rsid w:val="00976AB2"/>
    <w:rsid w:val="00976C5C"/>
    <w:rsid w:val="00976CA0"/>
    <w:rsid w:val="00976D44"/>
    <w:rsid w:val="009771CB"/>
    <w:rsid w:val="009778C1"/>
    <w:rsid w:val="009779CB"/>
    <w:rsid w:val="00977C06"/>
    <w:rsid w:val="00977DE8"/>
    <w:rsid w:val="00977F28"/>
    <w:rsid w:val="009803C3"/>
    <w:rsid w:val="009804D4"/>
    <w:rsid w:val="00980673"/>
    <w:rsid w:val="009806F3"/>
    <w:rsid w:val="0098099D"/>
    <w:rsid w:val="00982298"/>
    <w:rsid w:val="00983444"/>
    <w:rsid w:val="0098347C"/>
    <w:rsid w:val="00983626"/>
    <w:rsid w:val="009836E4"/>
    <w:rsid w:val="00983E0A"/>
    <w:rsid w:val="00983F92"/>
    <w:rsid w:val="009842E7"/>
    <w:rsid w:val="00984A1A"/>
    <w:rsid w:val="00984D74"/>
    <w:rsid w:val="00984F76"/>
    <w:rsid w:val="0098519F"/>
    <w:rsid w:val="00985645"/>
    <w:rsid w:val="00985B42"/>
    <w:rsid w:val="00985BDD"/>
    <w:rsid w:val="009864B7"/>
    <w:rsid w:val="00986580"/>
    <w:rsid w:val="00986A0A"/>
    <w:rsid w:val="00986A96"/>
    <w:rsid w:val="009876E0"/>
    <w:rsid w:val="00987D6E"/>
    <w:rsid w:val="00990492"/>
    <w:rsid w:val="00990D2B"/>
    <w:rsid w:val="009915DC"/>
    <w:rsid w:val="009917A7"/>
    <w:rsid w:val="00991B2F"/>
    <w:rsid w:val="00991D5D"/>
    <w:rsid w:val="009921DD"/>
    <w:rsid w:val="00992A96"/>
    <w:rsid w:val="009930E3"/>
    <w:rsid w:val="00993CAD"/>
    <w:rsid w:val="00993F72"/>
    <w:rsid w:val="00993F8A"/>
    <w:rsid w:val="009945C8"/>
    <w:rsid w:val="00994FCE"/>
    <w:rsid w:val="00995251"/>
    <w:rsid w:val="0099527A"/>
    <w:rsid w:val="0099568B"/>
    <w:rsid w:val="0099631A"/>
    <w:rsid w:val="00996FC8"/>
    <w:rsid w:val="00997001"/>
    <w:rsid w:val="00997368"/>
    <w:rsid w:val="0099746F"/>
    <w:rsid w:val="009974B7"/>
    <w:rsid w:val="009975AD"/>
    <w:rsid w:val="009979C5"/>
    <w:rsid w:val="009A0437"/>
    <w:rsid w:val="009A0910"/>
    <w:rsid w:val="009A0BA3"/>
    <w:rsid w:val="009A0EF3"/>
    <w:rsid w:val="009A1676"/>
    <w:rsid w:val="009A184F"/>
    <w:rsid w:val="009A2AFF"/>
    <w:rsid w:val="009A2F74"/>
    <w:rsid w:val="009A31B7"/>
    <w:rsid w:val="009A340C"/>
    <w:rsid w:val="009A356F"/>
    <w:rsid w:val="009A3DD2"/>
    <w:rsid w:val="009A4B4D"/>
    <w:rsid w:val="009A4C64"/>
    <w:rsid w:val="009A4D7F"/>
    <w:rsid w:val="009A56AB"/>
    <w:rsid w:val="009A5811"/>
    <w:rsid w:val="009A5B19"/>
    <w:rsid w:val="009A5C50"/>
    <w:rsid w:val="009A5D76"/>
    <w:rsid w:val="009A5FC2"/>
    <w:rsid w:val="009A6A48"/>
    <w:rsid w:val="009A6B24"/>
    <w:rsid w:val="009A6BDF"/>
    <w:rsid w:val="009A6C56"/>
    <w:rsid w:val="009A6DD8"/>
    <w:rsid w:val="009A6DE2"/>
    <w:rsid w:val="009A6F9A"/>
    <w:rsid w:val="009A75D7"/>
    <w:rsid w:val="009A78DA"/>
    <w:rsid w:val="009A7CCF"/>
    <w:rsid w:val="009A7E67"/>
    <w:rsid w:val="009B083A"/>
    <w:rsid w:val="009B0D72"/>
    <w:rsid w:val="009B0F02"/>
    <w:rsid w:val="009B13FF"/>
    <w:rsid w:val="009B14F5"/>
    <w:rsid w:val="009B1581"/>
    <w:rsid w:val="009B15B3"/>
    <w:rsid w:val="009B184F"/>
    <w:rsid w:val="009B18CF"/>
    <w:rsid w:val="009B196D"/>
    <w:rsid w:val="009B1E70"/>
    <w:rsid w:val="009B299D"/>
    <w:rsid w:val="009B2C9B"/>
    <w:rsid w:val="009B32F3"/>
    <w:rsid w:val="009B3618"/>
    <w:rsid w:val="009B376E"/>
    <w:rsid w:val="009B37B9"/>
    <w:rsid w:val="009B37BE"/>
    <w:rsid w:val="009B38AE"/>
    <w:rsid w:val="009B39F7"/>
    <w:rsid w:val="009B3A91"/>
    <w:rsid w:val="009B3EA0"/>
    <w:rsid w:val="009B449A"/>
    <w:rsid w:val="009B4EC6"/>
    <w:rsid w:val="009B547E"/>
    <w:rsid w:val="009B5844"/>
    <w:rsid w:val="009B5845"/>
    <w:rsid w:val="009B5B23"/>
    <w:rsid w:val="009B5B8D"/>
    <w:rsid w:val="009B5F5A"/>
    <w:rsid w:val="009B6534"/>
    <w:rsid w:val="009B675D"/>
    <w:rsid w:val="009B680F"/>
    <w:rsid w:val="009B68C8"/>
    <w:rsid w:val="009B6DA9"/>
    <w:rsid w:val="009B6ED4"/>
    <w:rsid w:val="009B6FCF"/>
    <w:rsid w:val="009B7C17"/>
    <w:rsid w:val="009B7F13"/>
    <w:rsid w:val="009C0216"/>
    <w:rsid w:val="009C0757"/>
    <w:rsid w:val="009C0929"/>
    <w:rsid w:val="009C1461"/>
    <w:rsid w:val="009C1830"/>
    <w:rsid w:val="009C18D9"/>
    <w:rsid w:val="009C1A14"/>
    <w:rsid w:val="009C1DAF"/>
    <w:rsid w:val="009C2866"/>
    <w:rsid w:val="009C28F2"/>
    <w:rsid w:val="009C2BE4"/>
    <w:rsid w:val="009C3678"/>
    <w:rsid w:val="009C36C1"/>
    <w:rsid w:val="009C39E0"/>
    <w:rsid w:val="009C3E9A"/>
    <w:rsid w:val="009C414B"/>
    <w:rsid w:val="009C518A"/>
    <w:rsid w:val="009C5300"/>
    <w:rsid w:val="009C54D5"/>
    <w:rsid w:val="009C5827"/>
    <w:rsid w:val="009C5F9C"/>
    <w:rsid w:val="009C64AF"/>
    <w:rsid w:val="009C6534"/>
    <w:rsid w:val="009C6632"/>
    <w:rsid w:val="009C69C0"/>
    <w:rsid w:val="009C6B69"/>
    <w:rsid w:val="009C6C09"/>
    <w:rsid w:val="009C6E20"/>
    <w:rsid w:val="009C6F10"/>
    <w:rsid w:val="009C701E"/>
    <w:rsid w:val="009C732B"/>
    <w:rsid w:val="009C7538"/>
    <w:rsid w:val="009C75A3"/>
    <w:rsid w:val="009C75C5"/>
    <w:rsid w:val="009C75E1"/>
    <w:rsid w:val="009C7CA4"/>
    <w:rsid w:val="009D0944"/>
    <w:rsid w:val="009D0AB8"/>
    <w:rsid w:val="009D12B7"/>
    <w:rsid w:val="009D134F"/>
    <w:rsid w:val="009D14E0"/>
    <w:rsid w:val="009D1ED0"/>
    <w:rsid w:val="009D2893"/>
    <w:rsid w:val="009D2B0D"/>
    <w:rsid w:val="009D3159"/>
    <w:rsid w:val="009D34B0"/>
    <w:rsid w:val="009D39A7"/>
    <w:rsid w:val="009D3A3D"/>
    <w:rsid w:val="009D3A9D"/>
    <w:rsid w:val="009D3E2E"/>
    <w:rsid w:val="009D3F16"/>
    <w:rsid w:val="009D466C"/>
    <w:rsid w:val="009D46E7"/>
    <w:rsid w:val="009D4A83"/>
    <w:rsid w:val="009D4B1D"/>
    <w:rsid w:val="009D4CB6"/>
    <w:rsid w:val="009D512D"/>
    <w:rsid w:val="009D51DF"/>
    <w:rsid w:val="009D5616"/>
    <w:rsid w:val="009D56C1"/>
    <w:rsid w:val="009D5784"/>
    <w:rsid w:val="009D57BB"/>
    <w:rsid w:val="009D5AF6"/>
    <w:rsid w:val="009D5C88"/>
    <w:rsid w:val="009D6069"/>
    <w:rsid w:val="009D6165"/>
    <w:rsid w:val="009D62A7"/>
    <w:rsid w:val="009D6DD9"/>
    <w:rsid w:val="009D6F86"/>
    <w:rsid w:val="009D711B"/>
    <w:rsid w:val="009D7498"/>
    <w:rsid w:val="009D754C"/>
    <w:rsid w:val="009E0889"/>
    <w:rsid w:val="009E0B33"/>
    <w:rsid w:val="009E0CBB"/>
    <w:rsid w:val="009E0CF9"/>
    <w:rsid w:val="009E1575"/>
    <w:rsid w:val="009E1663"/>
    <w:rsid w:val="009E19E5"/>
    <w:rsid w:val="009E1B40"/>
    <w:rsid w:val="009E1E19"/>
    <w:rsid w:val="009E25BA"/>
    <w:rsid w:val="009E3411"/>
    <w:rsid w:val="009E3868"/>
    <w:rsid w:val="009E3BFB"/>
    <w:rsid w:val="009E3C02"/>
    <w:rsid w:val="009E411E"/>
    <w:rsid w:val="009E4359"/>
    <w:rsid w:val="009E4B5E"/>
    <w:rsid w:val="009E5735"/>
    <w:rsid w:val="009E5A9C"/>
    <w:rsid w:val="009E6404"/>
    <w:rsid w:val="009E699E"/>
    <w:rsid w:val="009E6CE7"/>
    <w:rsid w:val="009E6D0B"/>
    <w:rsid w:val="009E7092"/>
    <w:rsid w:val="009E776E"/>
    <w:rsid w:val="009E79ED"/>
    <w:rsid w:val="009E7EA5"/>
    <w:rsid w:val="009E7F0D"/>
    <w:rsid w:val="009F015C"/>
    <w:rsid w:val="009F04B8"/>
    <w:rsid w:val="009F059B"/>
    <w:rsid w:val="009F0653"/>
    <w:rsid w:val="009F068A"/>
    <w:rsid w:val="009F083C"/>
    <w:rsid w:val="009F1A46"/>
    <w:rsid w:val="009F24ED"/>
    <w:rsid w:val="009F2949"/>
    <w:rsid w:val="009F2AC5"/>
    <w:rsid w:val="009F2CD3"/>
    <w:rsid w:val="009F3130"/>
    <w:rsid w:val="009F32AC"/>
    <w:rsid w:val="009F33FE"/>
    <w:rsid w:val="009F3534"/>
    <w:rsid w:val="009F3D11"/>
    <w:rsid w:val="009F438D"/>
    <w:rsid w:val="009F43DB"/>
    <w:rsid w:val="009F4675"/>
    <w:rsid w:val="009F4AA6"/>
    <w:rsid w:val="009F4B51"/>
    <w:rsid w:val="009F4CA1"/>
    <w:rsid w:val="009F4FA8"/>
    <w:rsid w:val="009F5320"/>
    <w:rsid w:val="009F5C04"/>
    <w:rsid w:val="009F5F9C"/>
    <w:rsid w:val="009F6054"/>
    <w:rsid w:val="009F6110"/>
    <w:rsid w:val="009F6392"/>
    <w:rsid w:val="009F6B1D"/>
    <w:rsid w:val="009F6C0E"/>
    <w:rsid w:val="009F7046"/>
    <w:rsid w:val="009F7B95"/>
    <w:rsid w:val="009F7F6A"/>
    <w:rsid w:val="00A00308"/>
    <w:rsid w:val="00A007DC"/>
    <w:rsid w:val="00A00D36"/>
    <w:rsid w:val="00A0138B"/>
    <w:rsid w:val="00A01398"/>
    <w:rsid w:val="00A0158B"/>
    <w:rsid w:val="00A01793"/>
    <w:rsid w:val="00A01F5B"/>
    <w:rsid w:val="00A02071"/>
    <w:rsid w:val="00A024EB"/>
    <w:rsid w:val="00A02CB2"/>
    <w:rsid w:val="00A02F6C"/>
    <w:rsid w:val="00A0327F"/>
    <w:rsid w:val="00A03702"/>
    <w:rsid w:val="00A03849"/>
    <w:rsid w:val="00A039D2"/>
    <w:rsid w:val="00A044C9"/>
    <w:rsid w:val="00A04C53"/>
    <w:rsid w:val="00A04E73"/>
    <w:rsid w:val="00A04F13"/>
    <w:rsid w:val="00A057A1"/>
    <w:rsid w:val="00A05AD7"/>
    <w:rsid w:val="00A05B25"/>
    <w:rsid w:val="00A06185"/>
    <w:rsid w:val="00A063A4"/>
    <w:rsid w:val="00A066A8"/>
    <w:rsid w:val="00A06798"/>
    <w:rsid w:val="00A07089"/>
    <w:rsid w:val="00A0741E"/>
    <w:rsid w:val="00A074ED"/>
    <w:rsid w:val="00A100EB"/>
    <w:rsid w:val="00A10448"/>
    <w:rsid w:val="00A106A6"/>
    <w:rsid w:val="00A10AE2"/>
    <w:rsid w:val="00A10BC3"/>
    <w:rsid w:val="00A10CEC"/>
    <w:rsid w:val="00A10CFA"/>
    <w:rsid w:val="00A10F4C"/>
    <w:rsid w:val="00A11084"/>
    <w:rsid w:val="00A111F5"/>
    <w:rsid w:val="00A115A5"/>
    <w:rsid w:val="00A117A2"/>
    <w:rsid w:val="00A11988"/>
    <w:rsid w:val="00A1214D"/>
    <w:rsid w:val="00A1342A"/>
    <w:rsid w:val="00A134A9"/>
    <w:rsid w:val="00A13628"/>
    <w:rsid w:val="00A137EB"/>
    <w:rsid w:val="00A13A04"/>
    <w:rsid w:val="00A13A74"/>
    <w:rsid w:val="00A149F1"/>
    <w:rsid w:val="00A14A1F"/>
    <w:rsid w:val="00A155A2"/>
    <w:rsid w:val="00A156B4"/>
    <w:rsid w:val="00A1582C"/>
    <w:rsid w:val="00A15C07"/>
    <w:rsid w:val="00A15F7A"/>
    <w:rsid w:val="00A16246"/>
    <w:rsid w:val="00A1636F"/>
    <w:rsid w:val="00A1690F"/>
    <w:rsid w:val="00A172E6"/>
    <w:rsid w:val="00A173C3"/>
    <w:rsid w:val="00A17427"/>
    <w:rsid w:val="00A17754"/>
    <w:rsid w:val="00A17989"/>
    <w:rsid w:val="00A17BD4"/>
    <w:rsid w:val="00A17D4F"/>
    <w:rsid w:val="00A17EC1"/>
    <w:rsid w:val="00A20894"/>
    <w:rsid w:val="00A209C5"/>
    <w:rsid w:val="00A20A35"/>
    <w:rsid w:val="00A20CB2"/>
    <w:rsid w:val="00A2134A"/>
    <w:rsid w:val="00A21992"/>
    <w:rsid w:val="00A219C4"/>
    <w:rsid w:val="00A21C2F"/>
    <w:rsid w:val="00A21D47"/>
    <w:rsid w:val="00A21DFD"/>
    <w:rsid w:val="00A224CC"/>
    <w:rsid w:val="00A229E2"/>
    <w:rsid w:val="00A22A3C"/>
    <w:rsid w:val="00A23294"/>
    <w:rsid w:val="00A23486"/>
    <w:rsid w:val="00A235CA"/>
    <w:rsid w:val="00A23A75"/>
    <w:rsid w:val="00A23D7F"/>
    <w:rsid w:val="00A2424A"/>
    <w:rsid w:val="00A24354"/>
    <w:rsid w:val="00A24677"/>
    <w:rsid w:val="00A2520C"/>
    <w:rsid w:val="00A254B6"/>
    <w:rsid w:val="00A25666"/>
    <w:rsid w:val="00A25E64"/>
    <w:rsid w:val="00A26005"/>
    <w:rsid w:val="00A26210"/>
    <w:rsid w:val="00A26896"/>
    <w:rsid w:val="00A26B33"/>
    <w:rsid w:val="00A27352"/>
    <w:rsid w:val="00A279EE"/>
    <w:rsid w:val="00A27A9D"/>
    <w:rsid w:val="00A27FEB"/>
    <w:rsid w:val="00A302F2"/>
    <w:rsid w:val="00A308EB"/>
    <w:rsid w:val="00A30AD8"/>
    <w:rsid w:val="00A30B3A"/>
    <w:rsid w:val="00A30E79"/>
    <w:rsid w:val="00A30EC8"/>
    <w:rsid w:val="00A31192"/>
    <w:rsid w:val="00A31586"/>
    <w:rsid w:val="00A31658"/>
    <w:rsid w:val="00A32193"/>
    <w:rsid w:val="00A321EA"/>
    <w:rsid w:val="00A32B41"/>
    <w:rsid w:val="00A33A6C"/>
    <w:rsid w:val="00A34612"/>
    <w:rsid w:val="00A34619"/>
    <w:rsid w:val="00A3466B"/>
    <w:rsid w:val="00A3476C"/>
    <w:rsid w:val="00A34FFF"/>
    <w:rsid w:val="00A356DA"/>
    <w:rsid w:val="00A356FC"/>
    <w:rsid w:val="00A3571F"/>
    <w:rsid w:val="00A358D5"/>
    <w:rsid w:val="00A35A4B"/>
    <w:rsid w:val="00A35AB7"/>
    <w:rsid w:val="00A35D82"/>
    <w:rsid w:val="00A367F1"/>
    <w:rsid w:val="00A37AD6"/>
    <w:rsid w:val="00A40687"/>
    <w:rsid w:val="00A40748"/>
    <w:rsid w:val="00A40E01"/>
    <w:rsid w:val="00A40F44"/>
    <w:rsid w:val="00A411DD"/>
    <w:rsid w:val="00A4124B"/>
    <w:rsid w:val="00A412FB"/>
    <w:rsid w:val="00A41462"/>
    <w:rsid w:val="00A4149C"/>
    <w:rsid w:val="00A41541"/>
    <w:rsid w:val="00A4178D"/>
    <w:rsid w:val="00A41979"/>
    <w:rsid w:val="00A41D8A"/>
    <w:rsid w:val="00A41EC0"/>
    <w:rsid w:val="00A4240B"/>
    <w:rsid w:val="00A42B18"/>
    <w:rsid w:val="00A42C05"/>
    <w:rsid w:val="00A4304E"/>
    <w:rsid w:val="00A4358C"/>
    <w:rsid w:val="00A43951"/>
    <w:rsid w:val="00A43C13"/>
    <w:rsid w:val="00A43F82"/>
    <w:rsid w:val="00A442EC"/>
    <w:rsid w:val="00A44CBE"/>
    <w:rsid w:val="00A44CDB"/>
    <w:rsid w:val="00A4532D"/>
    <w:rsid w:val="00A454A9"/>
    <w:rsid w:val="00A45A4A"/>
    <w:rsid w:val="00A45F92"/>
    <w:rsid w:val="00A46051"/>
    <w:rsid w:val="00A464AE"/>
    <w:rsid w:val="00A4663F"/>
    <w:rsid w:val="00A467CA"/>
    <w:rsid w:val="00A47519"/>
    <w:rsid w:val="00A479A3"/>
    <w:rsid w:val="00A5003B"/>
    <w:rsid w:val="00A50496"/>
    <w:rsid w:val="00A50B17"/>
    <w:rsid w:val="00A510A9"/>
    <w:rsid w:val="00A5168F"/>
    <w:rsid w:val="00A51988"/>
    <w:rsid w:val="00A51A21"/>
    <w:rsid w:val="00A52126"/>
    <w:rsid w:val="00A5270D"/>
    <w:rsid w:val="00A52AC4"/>
    <w:rsid w:val="00A52B1A"/>
    <w:rsid w:val="00A52C0D"/>
    <w:rsid w:val="00A52C9D"/>
    <w:rsid w:val="00A530BC"/>
    <w:rsid w:val="00A533C3"/>
    <w:rsid w:val="00A539FC"/>
    <w:rsid w:val="00A53A72"/>
    <w:rsid w:val="00A53D28"/>
    <w:rsid w:val="00A53DD8"/>
    <w:rsid w:val="00A54064"/>
    <w:rsid w:val="00A543B1"/>
    <w:rsid w:val="00A54D1A"/>
    <w:rsid w:val="00A54E08"/>
    <w:rsid w:val="00A55021"/>
    <w:rsid w:val="00A550DC"/>
    <w:rsid w:val="00A558FC"/>
    <w:rsid w:val="00A55DB8"/>
    <w:rsid w:val="00A56738"/>
    <w:rsid w:val="00A568E1"/>
    <w:rsid w:val="00A56E9C"/>
    <w:rsid w:val="00A60087"/>
    <w:rsid w:val="00A60181"/>
    <w:rsid w:val="00A60731"/>
    <w:rsid w:val="00A6114F"/>
    <w:rsid w:val="00A61356"/>
    <w:rsid w:val="00A61AFE"/>
    <w:rsid w:val="00A62198"/>
    <w:rsid w:val="00A623A9"/>
    <w:rsid w:val="00A626B5"/>
    <w:rsid w:val="00A62C6E"/>
    <w:rsid w:val="00A62EEE"/>
    <w:rsid w:val="00A635BD"/>
    <w:rsid w:val="00A63654"/>
    <w:rsid w:val="00A638E1"/>
    <w:rsid w:val="00A63C1F"/>
    <w:rsid w:val="00A64111"/>
    <w:rsid w:val="00A6420F"/>
    <w:rsid w:val="00A64AE0"/>
    <w:rsid w:val="00A64B8C"/>
    <w:rsid w:val="00A64BB2"/>
    <w:rsid w:val="00A64BE1"/>
    <w:rsid w:val="00A64D6E"/>
    <w:rsid w:val="00A64F3F"/>
    <w:rsid w:val="00A6553D"/>
    <w:rsid w:val="00A6567C"/>
    <w:rsid w:val="00A66054"/>
    <w:rsid w:val="00A661E7"/>
    <w:rsid w:val="00A66461"/>
    <w:rsid w:val="00A66D6D"/>
    <w:rsid w:val="00A678DA"/>
    <w:rsid w:val="00A67BE9"/>
    <w:rsid w:val="00A67D6C"/>
    <w:rsid w:val="00A701BE"/>
    <w:rsid w:val="00A70530"/>
    <w:rsid w:val="00A706BE"/>
    <w:rsid w:val="00A70736"/>
    <w:rsid w:val="00A70A31"/>
    <w:rsid w:val="00A70D6A"/>
    <w:rsid w:val="00A70EC1"/>
    <w:rsid w:val="00A711BF"/>
    <w:rsid w:val="00A71483"/>
    <w:rsid w:val="00A714C7"/>
    <w:rsid w:val="00A71B02"/>
    <w:rsid w:val="00A71E6F"/>
    <w:rsid w:val="00A71E8A"/>
    <w:rsid w:val="00A7251D"/>
    <w:rsid w:val="00A726F7"/>
    <w:rsid w:val="00A72914"/>
    <w:rsid w:val="00A734CA"/>
    <w:rsid w:val="00A748B8"/>
    <w:rsid w:val="00A74B03"/>
    <w:rsid w:val="00A74D0E"/>
    <w:rsid w:val="00A751A3"/>
    <w:rsid w:val="00A756D1"/>
    <w:rsid w:val="00A75718"/>
    <w:rsid w:val="00A75AD6"/>
    <w:rsid w:val="00A75B91"/>
    <w:rsid w:val="00A75D8C"/>
    <w:rsid w:val="00A7634E"/>
    <w:rsid w:val="00A76811"/>
    <w:rsid w:val="00A76B0E"/>
    <w:rsid w:val="00A76B6E"/>
    <w:rsid w:val="00A7717B"/>
    <w:rsid w:val="00A773DE"/>
    <w:rsid w:val="00A7750E"/>
    <w:rsid w:val="00A778F3"/>
    <w:rsid w:val="00A77AE2"/>
    <w:rsid w:val="00A77AE8"/>
    <w:rsid w:val="00A77B00"/>
    <w:rsid w:val="00A77BDD"/>
    <w:rsid w:val="00A77C00"/>
    <w:rsid w:val="00A77C40"/>
    <w:rsid w:val="00A8019B"/>
    <w:rsid w:val="00A80E53"/>
    <w:rsid w:val="00A8119B"/>
    <w:rsid w:val="00A8121F"/>
    <w:rsid w:val="00A81C50"/>
    <w:rsid w:val="00A82526"/>
    <w:rsid w:val="00A833FA"/>
    <w:rsid w:val="00A840B8"/>
    <w:rsid w:val="00A8465B"/>
    <w:rsid w:val="00A8490D"/>
    <w:rsid w:val="00A84AF7"/>
    <w:rsid w:val="00A84BBD"/>
    <w:rsid w:val="00A84D32"/>
    <w:rsid w:val="00A84E31"/>
    <w:rsid w:val="00A853BA"/>
    <w:rsid w:val="00A8551B"/>
    <w:rsid w:val="00A855D1"/>
    <w:rsid w:val="00A85763"/>
    <w:rsid w:val="00A85BED"/>
    <w:rsid w:val="00A863CD"/>
    <w:rsid w:val="00A86451"/>
    <w:rsid w:val="00A86561"/>
    <w:rsid w:val="00A86B50"/>
    <w:rsid w:val="00A86BDA"/>
    <w:rsid w:val="00A870A9"/>
    <w:rsid w:val="00A872FB"/>
    <w:rsid w:val="00A8762A"/>
    <w:rsid w:val="00A8773C"/>
    <w:rsid w:val="00A87AED"/>
    <w:rsid w:val="00A87E23"/>
    <w:rsid w:val="00A87FAC"/>
    <w:rsid w:val="00A90845"/>
    <w:rsid w:val="00A90913"/>
    <w:rsid w:val="00A91667"/>
    <w:rsid w:val="00A917D9"/>
    <w:rsid w:val="00A91AB1"/>
    <w:rsid w:val="00A91B19"/>
    <w:rsid w:val="00A91B4E"/>
    <w:rsid w:val="00A91C61"/>
    <w:rsid w:val="00A92001"/>
    <w:rsid w:val="00A92384"/>
    <w:rsid w:val="00A9250E"/>
    <w:rsid w:val="00A929A1"/>
    <w:rsid w:val="00A92E58"/>
    <w:rsid w:val="00A93263"/>
    <w:rsid w:val="00A938D5"/>
    <w:rsid w:val="00A93A8C"/>
    <w:rsid w:val="00A93D84"/>
    <w:rsid w:val="00A943BB"/>
    <w:rsid w:val="00A946B7"/>
    <w:rsid w:val="00A949B5"/>
    <w:rsid w:val="00A94A2A"/>
    <w:rsid w:val="00A94A36"/>
    <w:rsid w:val="00A94DAE"/>
    <w:rsid w:val="00A95003"/>
    <w:rsid w:val="00A95132"/>
    <w:rsid w:val="00A952BB"/>
    <w:rsid w:val="00A9551B"/>
    <w:rsid w:val="00A9598A"/>
    <w:rsid w:val="00A9618F"/>
    <w:rsid w:val="00A96A6D"/>
    <w:rsid w:val="00A96F11"/>
    <w:rsid w:val="00A976A2"/>
    <w:rsid w:val="00AA04CA"/>
    <w:rsid w:val="00AA0711"/>
    <w:rsid w:val="00AA0C9D"/>
    <w:rsid w:val="00AA116A"/>
    <w:rsid w:val="00AA122D"/>
    <w:rsid w:val="00AA18A9"/>
    <w:rsid w:val="00AA18FA"/>
    <w:rsid w:val="00AA1E86"/>
    <w:rsid w:val="00AA2475"/>
    <w:rsid w:val="00AA2836"/>
    <w:rsid w:val="00AA2F85"/>
    <w:rsid w:val="00AA326E"/>
    <w:rsid w:val="00AA39A4"/>
    <w:rsid w:val="00AA3FCE"/>
    <w:rsid w:val="00AA44A7"/>
    <w:rsid w:val="00AA4A3F"/>
    <w:rsid w:val="00AA4AF8"/>
    <w:rsid w:val="00AA509C"/>
    <w:rsid w:val="00AA551B"/>
    <w:rsid w:val="00AA5874"/>
    <w:rsid w:val="00AA629B"/>
    <w:rsid w:val="00AA6556"/>
    <w:rsid w:val="00AA65BE"/>
    <w:rsid w:val="00AA6773"/>
    <w:rsid w:val="00AA69D3"/>
    <w:rsid w:val="00AA6BBA"/>
    <w:rsid w:val="00AA6D24"/>
    <w:rsid w:val="00AA6D34"/>
    <w:rsid w:val="00AA71E6"/>
    <w:rsid w:val="00AA77E5"/>
    <w:rsid w:val="00AA7A7F"/>
    <w:rsid w:val="00AA7EDE"/>
    <w:rsid w:val="00AB00AD"/>
    <w:rsid w:val="00AB02BC"/>
    <w:rsid w:val="00AB0951"/>
    <w:rsid w:val="00AB13EB"/>
    <w:rsid w:val="00AB1582"/>
    <w:rsid w:val="00AB1712"/>
    <w:rsid w:val="00AB231E"/>
    <w:rsid w:val="00AB2DCB"/>
    <w:rsid w:val="00AB308F"/>
    <w:rsid w:val="00AB3463"/>
    <w:rsid w:val="00AB351E"/>
    <w:rsid w:val="00AB35BD"/>
    <w:rsid w:val="00AB366F"/>
    <w:rsid w:val="00AB3677"/>
    <w:rsid w:val="00AB3715"/>
    <w:rsid w:val="00AB37A7"/>
    <w:rsid w:val="00AB3CF9"/>
    <w:rsid w:val="00AB3DDD"/>
    <w:rsid w:val="00AB40C9"/>
    <w:rsid w:val="00AB4159"/>
    <w:rsid w:val="00AB444A"/>
    <w:rsid w:val="00AB4B0D"/>
    <w:rsid w:val="00AB4E8C"/>
    <w:rsid w:val="00AB5AE2"/>
    <w:rsid w:val="00AB5DC5"/>
    <w:rsid w:val="00AB62FB"/>
    <w:rsid w:val="00AB63DB"/>
    <w:rsid w:val="00AB6523"/>
    <w:rsid w:val="00AB6634"/>
    <w:rsid w:val="00AB6702"/>
    <w:rsid w:val="00AB68B5"/>
    <w:rsid w:val="00AB6E7A"/>
    <w:rsid w:val="00AB6EB0"/>
    <w:rsid w:val="00AB75CC"/>
    <w:rsid w:val="00AB7A29"/>
    <w:rsid w:val="00AB7D76"/>
    <w:rsid w:val="00AB7D95"/>
    <w:rsid w:val="00AB7E86"/>
    <w:rsid w:val="00AC0506"/>
    <w:rsid w:val="00AC0549"/>
    <w:rsid w:val="00AC05FE"/>
    <w:rsid w:val="00AC0A08"/>
    <w:rsid w:val="00AC0C46"/>
    <w:rsid w:val="00AC0DDD"/>
    <w:rsid w:val="00AC13C7"/>
    <w:rsid w:val="00AC14F2"/>
    <w:rsid w:val="00AC1635"/>
    <w:rsid w:val="00AC1DB3"/>
    <w:rsid w:val="00AC1FC6"/>
    <w:rsid w:val="00AC2482"/>
    <w:rsid w:val="00AC2682"/>
    <w:rsid w:val="00AC2721"/>
    <w:rsid w:val="00AC275B"/>
    <w:rsid w:val="00AC2B40"/>
    <w:rsid w:val="00AC2FB4"/>
    <w:rsid w:val="00AC403F"/>
    <w:rsid w:val="00AC449B"/>
    <w:rsid w:val="00AC47B4"/>
    <w:rsid w:val="00AC47C4"/>
    <w:rsid w:val="00AC4804"/>
    <w:rsid w:val="00AC493C"/>
    <w:rsid w:val="00AC4C39"/>
    <w:rsid w:val="00AC50E2"/>
    <w:rsid w:val="00AC52AF"/>
    <w:rsid w:val="00AC56AC"/>
    <w:rsid w:val="00AC5700"/>
    <w:rsid w:val="00AC59A8"/>
    <w:rsid w:val="00AC5E66"/>
    <w:rsid w:val="00AC6304"/>
    <w:rsid w:val="00AC6608"/>
    <w:rsid w:val="00AC6FD4"/>
    <w:rsid w:val="00AC746D"/>
    <w:rsid w:val="00AC747B"/>
    <w:rsid w:val="00AC7BFA"/>
    <w:rsid w:val="00AC7CBF"/>
    <w:rsid w:val="00AD006E"/>
    <w:rsid w:val="00AD06F6"/>
    <w:rsid w:val="00AD07C5"/>
    <w:rsid w:val="00AD15B4"/>
    <w:rsid w:val="00AD176E"/>
    <w:rsid w:val="00AD17F9"/>
    <w:rsid w:val="00AD1853"/>
    <w:rsid w:val="00AD23B5"/>
    <w:rsid w:val="00AD2B0D"/>
    <w:rsid w:val="00AD377B"/>
    <w:rsid w:val="00AD42A2"/>
    <w:rsid w:val="00AD42B2"/>
    <w:rsid w:val="00AD449B"/>
    <w:rsid w:val="00AD47C1"/>
    <w:rsid w:val="00AD4AF9"/>
    <w:rsid w:val="00AD4BF3"/>
    <w:rsid w:val="00AD4C6D"/>
    <w:rsid w:val="00AD50A1"/>
    <w:rsid w:val="00AD52B5"/>
    <w:rsid w:val="00AD553F"/>
    <w:rsid w:val="00AD591E"/>
    <w:rsid w:val="00AD5F17"/>
    <w:rsid w:val="00AD60D9"/>
    <w:rsid w:val="00AD675F"/>
    <w:rsid w:val="00AD6B99"/>
    <w:rsid w:val="00AD6CFB"/>
    <w:rsid w:val="00AD7240"/>
    <w:rsid w:val="00AD743C"/>
    <w:rsid w:val="00AE0653"/>
    <w:rsid w:val="00AE0AB3"/>
    <w:rsid w:val="00AE0F75"/>
    <w:rsid w:val="00AE0F87"/>
    <w:rsid w:val="00AE119B"/>
    <w:rsid w:val="00AE14D7"/>
    <w:rsid w:val="00AE1A20"/>
    <w:rsid w:val="00AE20E5"/>
    <w:rsid w:val="00AE2537"/>
    <w:rsid w:val="00AE270D"/>
    <w:rsid w:val="00AE2AE1"/>
    <w:rsid w:val="00AE30A1"/>
    <w:rsid w:val="00AE319D"/>
    <w:rsid w:val="00AE349B"/>
    <w:rsid w:val="00AE3973"/>
    <w:rsid w:val="00AE3F21"/>
    <w:rsid w:val="00AE41B0"/>
    <w:rsid w:val="00AE41FF"/>
    <w:rsid w:val="00AE4296"/>
    <w:rsid w:val="00AE4508"/>
    <w:rsid w:val="00AE4567"/>
    <w:rsid w:val="00AE49B5"/>
    <w:rsid w:val="00AE4A95"/>
    <w:rsid w:val="00AE4E3A"/>
    <w:rsid w:val="00AE7415"/>
    <w:rsid w:val="00AE7523"/>
    <w:rsid w:val="00AE7766"/>
    <w:rsid w:val="00AE795E"/>
    <w:rsid w:val="00AE7AFA"/>
    <w:rsid w:val="00AE7BBC"/>
    <w:rsid w:val="00AE7D4F"/>
    <w:rsid w:val="00AE7D84"/>
    <w:rsid w:val="00AE7F89"/>
    <w:rsid w:val="00AF088B"/>
    <w:rsid w:val="00AF088C"/>
    <w:rsid w:val="00AF0938"/>
    <w:rsid w:val="00AF0BC5"/>
    <w:rsid w:val="00AF119F"/>
    <w:rsid w:val="00AF1669"/>
    <w:rsid w:val="00AF16FC"/>
    <w:rsid w:val="00AF1EA0"/>
    <w:rsid w:val="00AF2165"/>
    <w:rsid w:val="00AF2207"/>
    <w:rsid w:val="00AF24E4"/>
    <w:rsid w:val="00AF25F1"/>
    <w:rsid w:val="00AF298C"/>
    <w:rsid w:val="00AF3517"/>
    <w:rsid w:val="00AF3748"/>
    <w:rsid w:val="00AF39F4"/>
    <w:rsid w:val="00AF43DA"/>
    <w:rsid w:val="00AF45A7"/>
    <w:rsid w:val="00AF47B3"/>
    <w:rsid w:val="00AF4E97"/>
    <w:rsid w:val="00AF52B5"/>
    <w:rsid w:val="00AF5446"/>
    <w:rsid w:val="00AF5823"/>
    <w:rsid w:val="00AF5B4A"/>
    <w:rsid w:val="00AF5BEC"/>
    <w:rsid w:val="00AF5C48"/>
    <w:rsid w:val="00AF5CCA"/>
    <w:rsid w:val="00AF5D6C"/>
    <w:rsid w:val="00AF5D9C"/>
    <w:rsid w:val="00AF68FF"/>
    <w:rsid w:val="00AF6F17"/>
    <w:rsid w:val="00AF70B0"/>
    <w:rsid w:val="00AF7517"/>
    <w:rsid w:val="00AF78E9"/>
    <w:rsid w:val="00AF78EE"/>
    <w:rsid w:val="00AF7967"/>
    <w:rsid w:val="00AF7B89"/>
    <w:rsid w:val="00AF7E86"/>
    <w:rsid w:val="00AF7FE0"/>
    <w:rsid w:val="00B00B5E"/>
    <w:rsid w:val="00B00F71"/>
    <w:rsid w:val="00B01719"/>
    <w:rsid w:val="00B02165"/>
    <w:rsid w:val="00B027A7"/>
    <w:rsid w:val="00B02921"/>
    <w:rsid w:val="00B02E3C"/>
    <w:rsid w:val="00B04293"/>
    <w:rsid w:val="00B0436B"/>
    <w:rsid w:val="00B047AD"/>
    <w:rsid w:val="00B04B5E"/>
    <w:rsid w:val="00B05347"/>
    <w:rsid w:val="00B054AB"/>
    <w:rsid w:val="00B05E1D"/>
    <w:rsid w:val="00B06AE8"/>
    <w:rsid w:val="00B06FCC"/>
    <w:rsid w:val="00B07611"/>
    <w:rsid w:val="00B07622"/>
    <w:rsid w:val="00B07650"/>
    <w:rsid w:val="00B07E65"/>
    <w:rsid w:val="00B1041D"/>
    <w:rsid w:val="00B1094E"/>
    <w:rsid w:val="00B10977"/>
    <w:rsid w:val="00B1177E"/>
    <w:rsid w:val="00B11A1F"/>
    <w:rsid w:val="00B11F85"/>
    <w:rsid w:val="00B120C3"/>
    <w:rsid w:val="00B12535"/>
    <w:rsid w:val="00B126A8"/>
    <w:rsid w:val="00B1272B"/>
    <w:rsid w:val="00B127D7"/>
    <w:rsid w:val="00B12D8F"/>
    <w:rsid w:val="00B130FF"/>
    <w:rsid w:val="00B1356D"/>
    <w:rsid w:val="00B1394C"/>
    <w:rsid w:val="00B13C1D"/>
    <w:rsid w:val="00B13E7F"/>
    <w:rsid w:val="00B13F85"/>
    <w:rsid w:val="00B1414C"/>
    <w:rsid w:val="00B14306"/>
    <w:rsid w:val="00B14899"/>
    <w:rsid w:val="00B15347"/>
    <w:rsid w:val="00B1570D"/>
    <w:rsid w:val="00B15D25"/>
    <w:rsid w:val="00B16234"/>
    <w:rsid w:val="00B1656A"/>
    <w:rsid w:val="00B168C5"/>
    <w:rsid w:val="00B16C25"/>
    <w:rsid w:val="00B17588"/>
    <w:rsid w:val="00B175D6"/>
    <w:rsid w:val="00B1775B"/>
    <w:rsid w:val="00B17775"/>
    <w:rsid w:val="00B177D8"/>
    <w:rsid w:val="00B17879"/>
    <w:rsid w:val="00B17938"/>
    <w:rsid w:val="00B17D52"/>
    <w:rsid w:val="00B200AB"/>
    <w:rsid w:val="00B20436"/>
    <w:rsid w:val="00B20670"/>
    <w:rsid w:val="00B20800"/>
    <w:rsid w:val="00B20919"/>
    <w:rsid w:val="00B20929"/>
    <w:rsid w:val="00B20C74"/>
    <w:rsid w:val="00B216A6"/>
    <w:rsid w:val="00B22B23"/>
    <w:rsid w:val="00B22D66"/>
    <w:rsid w:val="00B22E5E"/>
    <w:rsid w:val="00B2300F"/>
    <w:rsid w:val="00B23213"/>
    <w:rsid w:val="00B23296"/>
    <w:rsid w:val="00B24172"/>
    <w:rsid w:val="00B242AA"/>
    <w:rsid w:val="00B24ACA"/>
    <w:rsid w:val="00B25008"/>
    <w:rsid w:val="00B2515F"/>
    <w:rsid w:val="00B25565"/>
    <w:rsid w:val="00B2594E"/>
    <w:rsid w:val="00B25AFD"/>
    <w:rsid w:val="00B25CAB"/>
    <w:rsid w:val="00B25F02"/>
    <w:rsid w:val="00B260A6"/>
    <w:rsid w:val="00B2667D"/>
    <w:rsid w:val="00B274A9"/>
    <w:rsid w:val="00B27ABE"/>
    <w:rsid w:val="00B27B96"/>
    <w:rsid w:val="00B27DC0"/>
    <w:rsid w:val="00B30019"/>
    <w:rsid w:val="00B30618"/>
    <w:rsid w:val="00B310A4"/>
    <w:rsid w:val="00B313AC"/>
    <w:rsid w:val="00B31596"/>
    <w:rsid w:val="00B31BEB"/>
    <w:rsid w:val="00B326D0"/>
    <w:rsid w:val="00B329C1"/>
    <w:rsid w:val="00B32B31"/>
    <w:rsid w:val="00B32E5E"/>
    <w:rsid w:val="00B33037"/>
    <w:rsid w:val="00B331B0"/>
    <w:rsid w:val="00B332F3"/>
    <w:rsid w:val="00B340DF"/>
    <w:rsid w:val="00B34452"/>
    <w:rsid w:val="00B346A9"/>
    <w:rsid w:val="00B34989"/>
    <w:rsid w:val="00B35606"/>
    <w:rsid w:val="00B357C5"/>
    <w:rsid w:val="00B3614A"/>
    <w:rsid w:val="00B36295"/>
    <w:rsid w:val="00B3664F"/>
    <w:rsid w:val="00B3674F"/>
    <w:rsid w:val="00B36F65"/>
    <w:rsid w:val="00B3714B"/>
    <w:rsid w:val="00B374BD"/>
    <w:rsid w:val="00B374F1"/>
    <w:rsid w:val="00B375ED"/>
    <w:rsid w:val="00B375FC"/>
    <w:rsid w:val="00B377A1"/>
    <w:rsid w:val="00B378C9"/>
    <w:rsid w:val="00B37BA4"/>
    <w:rsid w:val="00B37F9F"/>
    <w:rsid w:val="00B40155"/>
    <w:rsid w:val="00B406A3"/>
    <w:rsid w:val="00B407EF"/>
    <w:rsid w:val="00B408CE"/>
    <w:rsid w:val="00B419C1"/>
    <w:rsid w:val="00B419EB"/>
    <w:rsid w:val="00B42269"/>
    <w:rsid w:val="00B42DE9"/>
    <w:rsid w:val="00B42E40"/>
    <w:rsid w:val="00B4354F"/>
    <w:rsid w:val="00B43C3C"/>
    <w:rsid w:val="00B43EFB"/>
    <w:rsid w:val="00B44BC3"/>
    <w:rsid w:val="00B45338"/>
    <w:rsid w:val="00B45A30"/>
    <w:rsid w:val="00B45D04"/>
    <w:rsid w:val="00B4621E"/>
    <w:rsid w:val="00B464A8"/>
    <w:rsid w:val="00B46666"/>
    <w:rsid w:val="00B466EF"/>
    <w:rsid w:val="00B46C1F"/>
    <w:rsid w:val="00B46E11"/>
    <w:rsid w:val="00B46E85"/>
    <w:rsid w:val="00B4746D"/>
    <w:rsid w:val="00B4767C"/>
    <w:rsid w:val="00B4767E"/>
    <w:rsid w:val="00B47808"/>
    <w:rsid w:val="00B47909"/>
    <w:rsid w:val="00B50149"/>
    <w:rsid w:val="00B50430"/>
    <w:rsid w:val="00B506A0"/>
    <w:rsid w:val="00B507E7"/>
    <w:rsid w:val="00B50AD8"/>
    <w:rsid w:val="00B50BF2"/>
    <w:rsid w:val="00B510FE"/>
    <w:rsid w:val="00B51227"/>
    <w:rsid w:val="00B516AA"/>
    <w:rsid w:val="00B516F9"/>
    <w:rsid w:val="00B51BA6"/>
    <w:rsid w:val="00B51FE1"/>
    <w:rsid w:val="00B526E8"/>
    <w:rsid w:val="00B52730"/>
    <w:rsid w:val="00B5276D"/>
    <w:rsid w:val="00B527F2"/>
    <w:rsid w:val="00B5286F"/>
    <w:rsid w:val="00B5287F"/>
    <w:rsid w:val="00B52AEF"/>
    <w:rsid w:val="00B52D83"/>
    <w:rsid w:val="00B52EF9"/>
    <w:rsid w:val="00B52F43"/>
    <w:rsid w:val="00B5302F"/>
    <w:rsid w:val="00B5309C"/>
    <w:rsid w:val="00B53430"/>
    <w:rsid w:val="00B536AB"/>
    <w:rsid w:val="00B53A39"/>
    <w:rsid w:val="00B53D3A"/>
    <w:rsid w:val="00B54165"/>
    <w:rsid w:val="00B5449D"/>
    <w:rsid w:val="00B54673"/>
    <w:rsid w:val="00B54928"/>
    <w:rsid w:val="00B54EBC"/>
    <w:rsid w:val="00B55568"/>
    <w:rsid w:val="00B55646"/>
    <w:rsid w:val="00B5570E"/>
    <w:rsid w:val="00B558DC"/>
    <w:rsid w:val="00B55D36"/>
    <w:rsid w:val="00B56160"/>
    <w:rsid w:val="00B56788"/>
    <w:rsid w:val="00B56A7E"/>
    <w:rsid w:val="00B57584"/>
    <w:rsid w:val="00B5797B"/>
    <w:rsid w:val="00B57BB1"/>
    <w:rsid w:val="00B600AB"/>
    <w:rsid w:val="00B6051B"/>
    <w:rsid w:val="00B60CB1"/>
    <w:rsid w:val="00B61507"/>
    <w:rsid w:val="00B61BCF"/>
    <w:rsid w:val="00B61D89"/>
    <w:rsid w:val="00B61FA9"/>
    <w:rsid w:val="00B6215A"/>
    <w:rsid w:val="00B62273"/>
    <w:rsid w:val="00B62501"/>
    <w:rsid w:val="00B629CA"/>
    <w:rsid w:val="00B63304"/>
    <w:rsid w:val="00B634FD"/>
    <w:rsid w:val="00B63E06"/>
    <w:rsid w:val="00B63F43"/>
    <w:rsid w:val="00B64061"/>
    <w:rsid w:val="00B64125"/>
    <w:rsid w:val="00B64A02"/>
    <w:rsid w:val="00B65018"/>
    <w:rsid w:val="00B6516A"/>
    <w:rsid w:val="00B653E7"/>
    <w:rsid w:val="00B6566D"/>
    <w:rsid w:val="00B65A64"/>
    <w:rsid w:val="00B662AF"/>
    <w:rsid w:val="00B6668B"/>
    <w:rsid w:val="00B66856"/>
    <w:rsid w:val="00B669D4"/>
    <w:rsid w:val="00B66CA2"/>
    <w:rsid w:val="00B67090"/>
    <w:rsid w:val="00B670A0"/>
    <w:rsid w:val="00B670FB"/>
    <w:rsid w:val="00B67261"/>
    <w:rsid w:val="00B67C5E"/>
    <w:rsid w:val="00B70592"/>
    <w:rsid w:val="00B707C5"/>
    <w:rsid w:val="00B708C5"/>
    <w:rsid w:val="00B71B89"/>
    <w:rsid w:val="00B71C32"/>
    <w:rsid w:val="00B7242B"/>
    <w:rsid w:val="00B7254B"/>
    <w:rsid w:val="00B72B3C"/>
    <w:rsid w:val="00B73254"/>
    <w:rsid w:val="00B73A69"/>
    <w:rsid w:val="00B73CA1"/>
    <w:rsid w:val="00B740BB"/>
    <w:rsid w:val="00B74C7E"/>
    <w:rsid w:val="00B74FA9"/>
    <w:rsid w:val="00B7535C"/>
    <w:rsid w:val="00B75BD7"/>
    <w:rsid w:val="00B75ECE"/>
    <w:rsid w:val="00B76001"/>
    <w:rsid w:val="00B76564"/>
    <w:rsid w:val="00B76B17"/>
    <w:rsid w:val="00B76B72"/>
    <w:rsid w:val="00B774EB"/>
    <w:rsid w:val="00B7777B"/>
    <w:rsid w:val="00B77841"/>
    <w:rsid w:val="00B77945"/>
    <w:rsid w:val="00B80079"/>
    <w:rsid w:val="00B800EE"/>
    <w:rsid w:val="00B8036E"/>
    <w:rsid w:val="00B803A8"/>
    <w:rsid w:val="00B80688"/>
    <w:rsid w:val="00B818AA"/>
    <w:rsid w:val="00B82287"/>
    <w:rsid w:val="00B8240E"/>
    <w:rsid w:val="00B824F3"/>
    <w:rsid w:val="00B824FF"/>
    <w:rsid w:val="00B82610"/>
    <w:rsid w:val="00B827D5"/>
    <w:rsid w:val="00B82960"/>
    <w:rsid w:val="00B829F5"/>
    <w:rsid w:val="00B82E54"/>
    <w:rsid w:val="00B83390"/>
    <w:rsid w:val="00B834C4"/>
    <w:rsid w:val="00B83736"/>
    <w:rsid w:val="00B83C4F"/>
    <w:rsid w:val="00B83EFA"/>
    <w:rsid w:val="00B840CF"/>
    <w:rsid w:val="00B8450A"/>
    <w:rsid w:val="00B8451D"/>
    <w:rsid w:val="00B845D2"/>
    <w:rsid w:val="00B84628"/>
    <w:rsid w:val="00B84631"/>
    <w:rsid w:val="00B846DD"/>
    <w:rsid w:val="00B84737"/>
    <w:rsid w:val="00B851DC"/>
    <w:rsid w:val="00B85676"/>
    <w:rsid w:val="00B85DC5"/>
    <w:rsid w:val="00B85ED4"/>
    <w:rsid w:val="00B865F6"/>
    <w:rsid w:val="00B868D8"/>
    <w:rsid w:val="00B87450"/>
    <w:rsid w:val="00B878BF"/>
    <w:rsid w:val="00B9066F"/>
    <w:rsid w:val="00B90B00"/>
    <w:rsid w:val="00B90E32"/>
    <w:rsid w:val="00B91AE6"/>
    <w:rsid w:val="00B91C8F"/>
    <w:rsid w:val="00B921FA"/>
    <w:rsid w:val="00B9245F"/>
    <w:rsid w:val="00B9261D"/>
    <w:rsid w:val="00B92F1F"/>
    <w:rsid w:val="00B930A1"/>
    <w:rsid w:val="00B9321C"/>
    <w:rsid w:val="00B93374"/>
    <w:rsid w:val="00B93728"/>
    <w:rsid w:val="00B93871"/>
    <w:rsid w:val="00B940D8"/>
    <w:rsid w:val="00B94824"/>
    <w:rsid w:val="00B94859"/>
    <w:rsid w:val="00B9486D"/>
    <w:rsid w:val="00B9494A"/>
    <w:rsid w:val="00B94B42"/>
    <w:rsid w:val="00B94C7C"/>
    <w:rsid w:val="00B95171"/>
    <w:rsid w:val="00B952E3"/>
    <w:rsid w:val="00B957E9"/>
    <w:rsid w:val="00B95CFF"/>
    <w:rsid w:val="00B95F66"/>
    <w:rsid w:val="00B962FD"/>
    <w:rsid w:val="00B9674D"/>
    <w:rsid w:val="00B96E56"/>
    <w:rsid w:val="00B96F70"/>
    <w:rsid w:val="00B9725A"/>
    <w:rsid w:val="00B97275"/>
    <w:rsid w:val="00B9736E"/>
    <w:rsid w:val="00B97F82"/>
    <w:rsid w:val="00BA0522"/>
    <w:rsid w:val="00BA156B"/>
    <w:rsid w:val="00BA1707"/>
    <w:rsid w:val="00BA1EF2"/>
    <w:rsid w:val="00BA288B"/>
    <w:rsid w:val="00BA297B"/>
    <w:rsid w:val="00BA298C"/>
    <w:rsid w:val="00BA2B60"/>
    <w:rsid w:val="00BA2B91"/>
    <w:rsid w:val="00BA2C28"/>
    <w:rsid w:val="00BA2D1E"/>
    <w:rsid w:val="00BA2F34"/>
    <w:rsid w:val="00BA3666"/>
    <w:rsid w:val="00BA3E84"/>
    <w:rsid w:val="00BA43F8"/>
    <w:rsid w:val="00BA4563"/>
    <w:rsid w:val="00BA5013"/>
    <w:rsid w:val="00BA52F9"/>
    <w:rsid w:val="00BA584C"/>
    <w:rsid w:val="00BA5A6B"/>
    <w:rsid w:val="00BA5CBE"/>
    <w:rsid w:val="00BA6025"/>
    <w:rsid w:val="00BA6305"/>
    <w:rsid w:val="00BA6A25"/>
    <w:rsid w:val="00BA7552"/>
    <w:rsid w:val="00BA767A"/>
    <w:rsid w:val="00BA77AD"/>
    <w:rsid w:val="00BA7A02"/>
    <w:rsid w:val="00BA7BB3"/>
    <w:rsid w:val="00BB03BC"/>
    <w:rsid w:val="00BB0E4C"/>
    <w:rsid w:val="00BB12EF"/>
    <w:rsid w:val="00BB184E"/>
    <w:rsid w:val="00BB18F9"/>
    <w:rsid w:val="00BB19D1"/>
    <w:rsid w:val="00BB19F6"/>
    <w:rsid w:val="00BB1B15"/>
    <w:rsid w:val="00BB2169"/>
    <w:rsid w:val="00BB25CE"/>
    <w:rsid w:val="00BB270A"/>
    <w:rsid w:val="00BB2A68"/>
    <w:rsid w:val="00BB2AEA"/>
    <w:rsid w:val="00BB2B49"/>
    <w:rsid w:val="00BB3298"/>
    <w:rsid w:val="00BB32AD"/>
    <w:rsid w:val="00BB36EF"/>
    <w:rsid w:val="00BB3CDE"/>
    <w:rsid w:val="00BB45E0"/>
    <w:rsid w:val="00BB4BAE"/>
    <w:rsid w:val="00BB4F28"/>
    <w:rsid w:val="00BB51EF"/>
    <w:rsid w:val="00BB55A9"/>
    <w:rsid w:val="00BB5922"/>
    <w:rsid w:val="00BB5EFF"/>
    <w:rsid w:val="00BB6248"/>
    <w:rsid w:val="00BB6560"/>
    <w:rsid w:val="00BB69EA"/>
    <w:rsid w:val="00BB6B05"/>
    <w:rsid w:val="00BB6F2B"/>
    <w:rsid w:val="00BB70E4"/>
    <w:rsid w:val="00BB7AFF"/>
    <w:rsid w:val="00BB7C78"/>
    <w:rsid w:val="00BB7FCD"/>
    <w:rsid w:val="00BC0090"/>
    <w:rsid w:val="00BC00F0"/>
    <w:rsid w:val="00BC058C"/>
    <w:rsid w:val="00BC08E8"/>
    <w:rsid w:val="00BC0B12"/>
    <w:rsid w:val="00BC1309"/>
    <w:rsid w:val="00BC132D"/>
    <w:rsid w:val="00BC151C"/>
    <w:rsid w:val="00BC1993"/>
    <w:rsid w:val="00BC1B2D"/>
    <w:rsid w:val="00BC1F8C"/>
    <w:rsid w:val="00BC20FA"/>
    <w:rsid w:val="00BC244B"/>
    <w:rsid w:val="00BC26A0"/>
    <w:rsid w:val="00BC2833"/>
    <w:rsid w:val="00BC3429"/>
    <w:rsid w:val="00BC35CB"/>
    <w:rsid w:val="00BC3A17"/>
    <w:rsid w:val="00BC3A9E"/>
    <w:rsid w:val="00BC3DAC"/>
    <w:rsid w:val="00BC4439"/>
    <w:rsid w:val="00BC474A"/>
    <w:rsid w:val="00BC4DC8"/>
    <w:rsid w:val="00BC51F9"/>
    <w:rsid w:val="00BC536E"/>
    <w:rsid w:val="00BC5DBB"/>
    <w:rsid w:val="00BC5E88"/>
    <w:rsid w:val="00BC6010"/>
    <w:rsid w:val="00BC63B4"/>
    <w:rsid w:val="00BC6732"/>
    <w:rsid w:val="00BC6847"/>
    <w:rsid w:val="00BC6DA8"/>
    <w:rsid w:val="00BC72C4"/>
    <w:rsid w:val="00BC756A"/>
    <w:rsid w:val="00BC7C34"/>
    <w:rsid w:val="00BD029B"/>
    <w:rsid w:val="00BD0F12"/>
    <w:rsid w:val="00BD113A"/>
    <w:rsid w:val="00BD114E"/>
    <w:rsid w:val="00BD182D"/>
    <w:rsid w:val="00BD1CD2"/>
    <w:rsid w:val="00BD1E6A"/>
    <w:rsid w:val="00BD21FD"/>
    <w:rsid w:val="00BD2B8F"/>
    <w:rsid w:val="00BD2EAF"/>
    <w:rsid w:val="00BD3867"/>
    <w:rsid w:val="00BD388C"/>
    <w:rsid w:val="00BD39F6"/>
    <w:rsid w:val="00BD413D"/>
    <w:rsid w:val="00BD426E"/>
    <w:rsid w:val="00BD4832"/>
    <w:rsid w:val="00BD4BAD"/>
    <w:rsid w:val="00BD4C26"/>
    <w:rsid w:val="00BD5179"/>
    <w:rsid w:val="00BD55AD"/>
    <w:rsid w:val="00BD5A56"/>
    <w:rsid w:val="00BD5B60"/>
    <w:rsid w:val="00BD6098"/>
    <w:rsid w:val="00BD610D"/>
    <w:rsid w:val="00BD611D"/>
    <w:rsid w:val="00BD665D"/>
    <w:rsid w:val="00BD6A2B"/>
    <w:rsid w:val="00BD6B55"/>
    <w:rsid w:val="00BD7B26"/>
    <w:rsid w:val="00BD7FBD"/>
    <w:rsid w:val="00BE0520"/>
    <w:rsid w:val="00BE09FC"/>
    <w:rsid w:val="00BE0CFA"/>
    <w:rsid w:val="00BE0DC9"/>
    <w:rsid w:val="00BE23BC"/>
    <w:rsid w:val="00BE2414"/>
    <w:rsid w:val="00BE2445"/>
    <w:rsid w:val="00BE27D8"/>
    <w:rsid w:val="00BE2EF0"/>
    <w:rsid w:val="00BE32BD"/>
    <w:rsid w:val="00BE364E"/>
    <w:rsid w:val="00BE3A2B"/>
    <w:rsid w:val="00BE412C"/>
    <w:rsid w:val="00BE42DB"/>
    <w:rsid w:val="00BE44AB"/>
    <w:rsid w:val="00BE46C3"/>
    <w:rsid w:val="00BE491D"/>
    <w:rsid w:val="00BE4990"/>
    <w:rsid w:val="00BE4A92"/>
    <w:rsid w:val="00BE5217"/>
    <w:rsid w:val="00BE543C"/>
    <w:rsid w:val="00BE553E"/>
    <w:rsid w:val="00BE5B5E"/>
    <w:rsid w:val="00BE5F14"/>
    <w:rsid w:val="00BE6380"/>
    <w:rsid w:val="00BE63E6"/>
    <w:rsid w:val="00BE6701"/>
    <w:rsid w:val="00BE6925"/>
    <w:rsid w:val="00BE6F60"/>
    <w:rsid w:val="00BE724A"/>
    <w:rsid w:val="00BE7734"/>
    <w:rsid w:val="00BE7768"/>
    <w:rsid w:val="00BE790A"/>
    <w:rsid w:val="00BE7B1F"/>
    <w:rsid w:val="00BE7C69"/>
    <w:rsid w:val="00BF077E"/>
    <w:rsid w:val="00BF0D8A"/>
    <w:rsid w:val="00BF0F3D"/>
    <w:rsid w:val="00BF1012"/>
    <w:rsid w:val="00BF140A"/>
    <w:rsid w:val="00BF18DC"/>
    <w:rsid w:val="00BF1D78"/>
    <w:rsid w:val="00BF262E"/>
    <w:rsid w:val="00BF2CD4"/>
    <w:rsid w:val="00BF2D52"/>
    <w:rsid w:val="00BF3448"/>
    <w:rsid w:val="00BF3465"/>
    <w:rsid w:val="00BF3F9C"/>
    <w:rsid w:val="00BF41C8"/>
    <w:rsid w:val="00BF42E7"/>
    <w:rsid w:val="00BF44D1"/>
    <w:rsid w:val="00BF4623"/>
    <w:rsid w:val="00BF4849"/>
    <w:rsid w:val="00BF48B5"/>
    <w:rsid w:val="00BF4E09"/>
    <w:rsid w:val="00BF4E9E"/>
    <w:rsid w:val="00BF4F8A"/>
    <w:rsid w:val="00BF511E"/>
    <w:rsid w:val="00BF5249"/>
    <w:rsid w:val="00BF5430"/>
    <w:rsid w:val="00BF5833"/>
    <w:rsid w:val="00BF60B9"/>
    <w:rsid w:val="00BF6405"/>
    <w:rsid w:val="00BF6D4B"/>
    <w:rsid w:val="00BF7132"/>
    <w:rsid w:val="00BF71A0"/>
    <w:rsid w:val="00BF721E"/>
    <w:rsid w:val="00BF728F"/>
    <w:rsid w:val="00BF72C3"/>
    <w:rsid w:val="00BF772F"/>
    <w:rsid w:val="00BF78B3"/>
    <w:rsid w:val="00BF7DDC"/>
    <w:rsid w:val="00BF7E90"/>
    <w:rsid w:val="00BF7EC7"/>
    <w:rsid w:val="00C000B8"/>
    <w:rsid w:val="00C00164"/>
    <w:rsid w:val="00C00344"/>
    <w:rsid w:val="00C0061C"/>
    <w:rsid w:val="00C00CCF"/>
    <w:rsid w:val="00C00D87"/>
    <w:rsid w:val="00C01406"/>
    <w:rsid w:val="00C015D1"/>
    <w:rsid w:val="00C01C14"/>
    <w:rsid w:val="00C01C46"/>
    <w:rsid w:val="00C01D65"/>
    <w:rsid w:val="00C01DB9"/>
    <w:rsid w:val="00C0212E"/>
    <w:rsid w:val="00C02330"/>
    <w:rsid w:val="00C023DC"/>
    <w:rsid w:val="00C02783"/>
    <w:rsid w:val="00C02A24"/>
    <w:rsid w:val="00C02CFA"/>
    <w:rsid w:val="00C031A8"/>
    <w:rsid w:val="00C03209"/>
    <w:rsid w:val="00C0379D"/>
    <w:rsid w:val="00C03C14"/>
    <w:rsid w:val="00C03D30"/>
    <w:rsid w:val="00C03F4A"/>
    <w:rsid w:val="00C04020"/>
    <w:rsid w:val="00C04063"/>
    <w:rsid w:val="00C0431A"/>
    <w:rsid w:val="00C05154"/>
    <w:rsid w:val="00C055BE"/>
    <w:rsid w:val="00C05C6F"/>
    <w:rsid w:val="00C061E7"/>
    <w:rsid w:val="00C10845"/>
    <w:rsid w:val="00C10C85"/>
    <w:rsid w:val="00C10E5A"/>
    <w:rsid w:val="00C10FFE"/>
    <w:rsid w:val="00C118E4"/>
    <w:rsid w:val="00C1224F"/>
    <w:rsid w:val="00C1286C"/>
    <w:rsid w:val="00C129BB"/>
    <w:rsid w:val="00C129F9"/>
    <w:rsid w:val="00C142F7"/>
    <w:rsid w:val="00C14A93"/>
    <w:rsid w:val="00C14E6D"/>
    <w:rsid w:val="00C150DC"/>
    <w:rsid w:val="00C15A4A"/>
    <w:rsid w:val="00C15EE8"/>
    <w:rsid w:val="00C1605E"/>
    <w:rsid w:val="00C162B6"/>
    <w:rsid w:val="00C1665B"/>
    <w:rsid w:val="00C1666C"/>
    <w:rsid w:val="00C16709"/>
    <w:rsid w:val="00C169DB"/>
    <w:rsid w:val="00C16ACA"/>
    <w:rsid w:val="00C16BC3"/>
    <w:rsid w:val="00C171DC"/>
    <w:rsid w:val="00C1765B"/>
    <w:rsid w:val="00C1781F"/>
    <w:rsid w:val="00C17A81"/>
    <w:rsid w:val="00C17B91"/>
    <w:rsid w:val="00C202F7"/>
    <w:rsid w:val="00C20338"/>
    <w:rsid w:val="00C2039E"/>
    <w:rsid w:val="00C2069E"/>
    <w:rsid w:val="00C213E3"/>
    <w:rsid w:val="00C217D8"/>
    <w:rsid w:val="00C2187B"/>
    <w:rsid w:val="00C21E1D"/>
    <w:rsid w:val="00C21FFB"/>
    <w:rsid w:val="00C22755"/>
    <w:rsid w:val="00C22773"/>
    <w:rsid w:val="00C22EBF"/>
    <w:rsid w:val="00C22F4D"/>
    <w:rsid w:val="00C23238"/>
    <w:rsid w:val="00C232CC"/>
    <w:rsid w:val="00C232F5"/>
    <w:rsid w:val="00C23451"/>
    <w:rsid w:val="00C23EEA"/>
    <w:rsid w:val="00C23FF9"/>
    <w:rsid w:val="00C24521"/>
    <w:rsid w:val="00C24768"/>
    <w:rsid w:val="00C248BA"/>
    <w:rsid w:val="00C262D9"/>
    <w:rsid w:val="00C2666B"/>
    <w:rsid w:val="00C27316"/>
    <w:rsid w:val="00C275CE"/>
    <w:rsid w:val="00C30102"/>
    <w:rsid w:val="00C309B8"/>
    <w:rsid w:val="00C30B30"/>
    <w:rsid w:val="00C3177D"/>
    <w:rsid w:val="00C31B4A"/>
    <w:rsid w:val="00C31DF0"/>
    <w:rsid w:val="00C31EFB"/>
    <w:rsid w:val="00C322D7"/>
    <w:rsid w:val="00C323D5"/>
    <w:rsid w:val="00C326CA"/>
    <w:rsid w:val="00C33135"/>
    <w:rsid w:val="00C3353D"/>
    <w:rsid w:val="00C337ED"/>
    <w:rsid w:val="00C3390D"/>
    <w:rsid w:val="00C341B5"/>
    <w:rsid w:val="00C3441E"/>
    <w:rsid w:val="00C34615"/>
    <w:rsid w:val="00C3532A"/>
    <w:rsid w:val="00C358D4"/>
    <w:rsid w:val="00C35C2E"/>
    <w:rsid w:val="00C363E4"/>
    <w:rsid w:val="00C364BF"/>
    <w:rsid w:val="00C364FD"/>
    <w:rsid w:val="00C366B0"/>
    <w:rsid w:val="00C368B7"/>
    <w:rsid w:val="00C36B0F"/>
    <w:rsid w:val="00C36F11"/>
    <w:rsid w:val="00C36F26"/>
    <w:rsid w:val="00C376A8"/>
    <w:rsid w:val="00C377C9"/>
    <w:rsid w:val="00C3792B"/>
    <w:rsid w:val="00C37A9F"/>
    <w:rsid w:val="00C37FC2"/>
    <w:rsid w:val="00C40387"/>
    <w:rsid w:val="00C40776"/>
    <w:rsid w:val="00C408AB"/>
    <w:rsid w:val="00C40C1E"/>
    <w:rsid w:val="00C40CD2"/>
    <w:rsid w:val="00C40E6C"/>
    <w:rsid w:val="00C41291"/>
    <w:rsid w:val="00C4134A"/>
    <w:rsid w:val="00C41748"/>
    <w:rsid w:val="00C4179F"/>
    <w:rsid w:val="00C417F9"/>
    <w:rsid w:val="00C4206C"/>
    <w:rsid w:val="00C42245"/>
    <w:rsid w:val="00C42485"/>
    <w:rsid w:val="00C4276F"/>
    <w:rsid w:val="00C42CE4"/>
    <w:rsid w:val="00C43118"/>
    <w:rsid w:val="00C43C89"/>
    <w:rsid w:val="00C43DB4"/>
    <w:rsid w:val="00C43EA4"/>
    <w:rsid w:val="00C43FBB"/>
    <w:rsid w:val="00C44970"/>
    <w:rsid w:val="00C44C5A"/>
    <w:rsid w:val="00C44E12"/>
    <w:rsid w:val="00C45780"/>
    <w:rsid w:val="00C45837"/>
    <w:rsid w:val="00C45D47"/>
    <w:rsid w:val="00C45F45"/>
    <w:rsid w:val="00C461A6"/>
    <w:rsid w:val="00C462D8"/>
    <w:rsid w:val="00C4638E"/>
    <w:rsid w:val="00C468BC"/>
    <w:rsid w:val="00C46A95"/>
    <w:rsid w:val="00C46D56"/>
    <w:rsid w:val="00C46FA8"/>
    <w:rsid w:val="00C470EB"/>
    <w:rsid w:val="00C473F1"/>
    <w:rsid w:val="00C47484"/>
    <w:rsid w:val="00C4796B"/>
    <w:rsid w:val="00C47AF3"/>
    <w:rsid w:val="00C50163"/>
    <w:rsid w:val="00C50166"/>
    <w:rsid w:val="00C501C0"/>
    <w:rsid w:val="00C501D1"/>
    <w:rsid w:val="00C50664"/>
    <w:rsid w:val="00C508DC"/>
    <w:rsid w:val="00C50A4A"/>
    <w:rsid w:val="00C50B10"/>
    <w:rsid w:val="00C51077"/>
    <w:rsid w:val="00C5133B"/>
    <w:rsid w:val="00C5140E"/>
    <w:rsid w:val="00C5144A"/>
    <w:rsid w:val="00C519DD"/>
    <w:rsid w:val="00C51BC3"/>
    <w:rsid w:val="00C51D75"/>
    <w:rsid w:val="00C52549"/>
    <w:rsid w:val="00C52987"/>
    <w:rsid w:val="00C52A47"/>
    <w:rsid w:val="00C52C52"/>
    <w:rsid w:val="00C52FF9"/>
    <w:rsid w:val="00C5372C"/>
    <w:rsid w:val="00C538DA"/>
    <w:rsid w:val="00C539FD"/>
    <w:rsid w:val="00C53D7A"/>
    <w:rsid w:val="00C53DCD"/>
    <w:rsid w:val="00C53E30"/>
    <w:rsid w:val="00C544C7"/>
    <w:rsid w:val="00C546A0"/>
    <w:rsid w:val="00C54F49"/>
    <w:rsid w:val="00C54F84"/>
    <w:rsid w:val="00C54FB4"/>
    <w:rsid w:val="00C55947"/>
    <w:rsid w:val="00C55DCA"/>
    <w:rsid w:val="00C56630"/>
    <w:rsid w:val="00C56631"/>
    <w:rsid w:val="00C56720"/>
    <w:rsid w:val="00C56AF5"/>
    <w:rsid w:val="00C56C5A"/>
    <w:rsid w:val="00C56FE2"/>
    <w:rsid w:val="00C571E0"/>
    <w:rsid w:val="00C57C86"/>
    <w:rsid w:val="00C6000F"/>
    <w:rsid w:val="00C60D9B"/>
    <w:rsid w:val="00C60E4F"/>
    <w:rsid w:val="00C61353"/>
    <w:rsid w:val="00C61413"/>
    <w:rsid w:val="00C6158A"/>
    <w:rsid w:val="00C61888"/>
    <w:rsid w:val="00C61A5E"/>
    <w:rsid w:val="00C61C8A"/>
    <w:rsid w:val="00C62A3E"/>
    <w:rsid w:val="00C63AB9"/>
    <w:rsid w:val="00C63B3D"/>
    <w:rsid w:val="00C63D19"/>
    <w:rsid w:val="00C64113"/>
    <w:rsid w:val="00C643C3"/>
    <w:rsid w:val="00C652B5"/>
    <w:rsid w:val="00C653A2"/>
    <w:rsid w:val="00C65533"/>
    <w:rsid w:val="00C65E0C"/>
    <w:rsid w:val="00C65E96"/>
    <w:rsid w:val="00C66C36"/>
    <w:rsid w:val="00C66DBA"/>
    <w:rsid w:val="00C672DF"/>
    <w:rsid w:val="00C701AC"/>
    <w:rsid w:val="00C70AC7"/>
    <w:rsid w:val="00C71124"/>
    <w:rsid w:val="00C71DBF"/>
    <w:rsid w:val="00C7233E"/>
    <w:rsid w:val="00C72353"/>
    <w:rsid w:val="00C72366"/>
    <w:rsid w:val="00C727A8"/>
    <w:rsid w:val="00C72C0E"/>
    <w:rsid w:val="00C72C99"/>
    <w:rsid w:val="00C72DA6"/>
    <w:rsid w:val="00C736A0"/>
    <w:rsid w:val="00C73848"/>
    <w:rsid w:val="00C73E38"/>
    <w:rsid w:val="00C73F8E"/>
    <w:rsid w:val="00C74064"/>
    <w:rsid w:val="00C74234"/>
    <w:rsid w:val="00C748C6"/>
    <w:rsid w:val="00C74CCB"/>
    <w:rsid w:val="00C75894"/>
    <w:rsid w:val="00C75959"/>
    <w:rsid w:val="00C768EF"/>
    <w:rsid w:val="00C7697C"/>
    <w:rsid w:val="00C76BD8"/>
    <w:rsid w:val="00C770BB"/>
    <w:rsid w:val="00C770C9"/>
    <w:rsid w:val="00C773E5"/>
    <w:rsid w:val="00C779C9"/>
    <w:rsid w:val="00C77BE7"/>
    <w:rsid w:val="00C77E3F"/>
    <w:rsid w:val="00C8004F"/>
    <w:rsid w:val="00C805DC"/>
    <w:rsid w:val="00C80840"/>
    <w:rsid w:val="00C8120A"/>
    <w:rsid w:val="00C826AD"/>
    <w:rsid w:val="00C83145"/>
    <w:rsid w:val="00C83173"/>
    <w:rsid w:val="00C831E3"/>
    <w:rsid w:val="00C83361"/>
    <w:rsid w:val="00C8360B"/>
    <w:rsid w:val="00C83C6A"/>
    <w:rsid w:val="00C83E3C"/>
    <w:rsid w:val="00C83ED0"/>
    <w:rsid w:val="00C84348"/>
    <w:rsid w:val="00C8470C"/>
    <w:rsid w:val="00C849E9"/>
    <w:rsid w:val="00C84CD9"/>
    <w:rsid w:val="00C84D63"/>
    <w:rsid w:val="00C855DE"/>
    <w:rsid w:val="00C8572B"/>
    <w:rsid w:val="00C85AB5"/>
    <w:rsid w:val="00C85B47"/>
    <w:rsid w:val="00C85D7F"/>
    <w:rsid w:val="00C860AC"/>
    <w:rsid w:val="00C861DF"/>
    <w:rsid w:val="00C86D73"/>
    <w:rsid w:val="00C8716D"/>
    <w:rsid w:val="00C87D65"/>
    <w:rsid w:val="00C901C3"/>
    <w:rsid w:val="00C904DF"/>
    <w:rsid w:val="00C90519"/>
    <w:rsid w:val="00C909DF"/>
    <w:rsid w:val="00C90B71"/>
    <w:rsid w:val="00C90DC6"/>
    <w:rsid w:val="00C90DC8"/>
    <w:rsid w:val="00C90ED1"/>
    <w:rsid w:val="00C9102B"/>
    <w:rsid w:val="00C912E5"/>
    <w:rsid w:val="00C9134B"/>
    <w:rsid w:val="00C915C9"/>
    <w:rsid w:val="00C91735"/>
    <w:rsid w:val="00C91A4D"/>
    <w:rsid w:val="00C91CA8"/>
    <w:rsid w:val="00C91E9C"/>
    <w:rsid w:val="00C92145"/>
    <w:rsid w:val="00C92A73"/>
    <w:rsid w:val="00C92CA8"/>
    <w:rsid w:val="00C93208"/>
    <w:rsid w:val="00C9322A"/>
    <w:rsid w:val="00C932AC"/>
    <w:rsid w:val="00C93335"/>
    <w:rsid w:val="00C934F3"/>
    <w:rsid w:val="00C93699"/>
    <w:rsid w:val="00C93FE6"/>
    <w:rsid w:val="00C9443D"/>
    <w:rsid w:val="00C9483B"/>
    <w:rsid w:val="00C94D11"/>
    <w:rsid w:val="00C94FCC"/>
    <w:rsid w:val="00C953FC"/>
    <w:rsid w:val="00C95DB7"/>
    <w:rsid w:val="00C95ECC"/>
    <w:rsid w:val="00C96061"/>
    <w:rsid w:val="00C96829"/>
    <w:rsid w:val="00C96BA9"/>
    <w:rsid w:val="00C9704F"/>
    <w:rsid w:val="00C974D1"/>
    <w:rsid w:val="00C974D6"/>
    <w:rsid w:val="00C97A93"/>
    <w:rsid w:val="00C97BE2"/>
    <w:rsid w:val="00CA0065"/>
    <w:rsid w:val="00CA0343"/>
    <w:rsid w:val="00CA0F63"/>
    <w:rsid w:val="00CA0FB3"/>
    <w:rsid w:val="00CA10AC"/>
    <w:rsid w:val="00CA14D6"/>
    <w:rsid w:val="00CA1509"/>
    <w:rsid w:val="00CA2012"/>
    <w:rsid w:val="00CA2228"/>
    <w:rsid w:val="00CA2785"/>
    <w:rsid w:val="00CA29DB"/>
    <w:rsid w:val="00CA2F76"/>
    <w:rsid w:val="00CA2F78"/>
    <w:rsid w:val="00CA3004"/>
    <w:rsid w:val="00CA340F"/>
    <w:rsid w:val="00CA3805"/>
    <w:rsid w:val="00CA40B7"/>
    <w:rsid w:val="00CA40CA"/>
    <w:rsid w:val="00CA416E"/>
    <w:rsid w:val="00CA4FF1"/>
    <w:rsid w:val="00CA503C"/>
    <w:rsid w:val="00CA53C4"/>
    <w:rsid w:val="00CA569F"/>
    <w:rsid w:val="00CA5CF9"/>
    <w:rsid w:val="00CA5DD3"/>
    <w:rsid w:val="00CA5FAA"/>
    <w:rsid w:val="00CA6529"/>
    <w:rsid w:val="00CA6D48"/>
    <w:rsid w:val="00CA713C"/>
    <w:rsid w:val="00CA7415"/>
    <w:rsid w:val="00CA7B49"/>
    <w:rsid w:val="00CA7F40"/>
    <w:rsid w:val="00CB028E"/>
    <w:rsid w:val="00CB04EE"/>
    <w:rsid w:val="00CB0702"/>
    <w:rsid w:val="00CB071E"/>
    <w:rsid w:val="00CB0E10"/>
    <w:rsid w:val="00CB1056"/>
    <w:rsid w:val="00CB10DB"/>
    <w:rsid w:val="00CB1895"/>
    <w:rsid w:val="00CB1D76"/>
    <w:rsid w:val="00CB1E7E"/>
    <w:rsid w:val="00CB209A"/>
    <w:rsid w:val="00CB2364"/>
    <w:rsid w:val="00CB24F5"/>
    <w:rsid w:val="00CB2580"/>
    <w:rsid w:val="00CB3256"/>
    <w:rsid w:val="00CB32A2"/>
    <w:rsid w:val="00CB3565"/>
    <w:rsid w:val="00CB36E1"/>
    <w:rsid w:val="00CB3718"/>
    <w:rsid w:val="00CB3ACC"/>
    <w:rsid w:val="00CB3BA6"/>
    <w:rsid w:val="00CB3CCF"/>
    <w:rsid w:val="00CB4070"/>
    <w:rsid w:val="00CB4541"/>
    <w:rsid w:val="00CB4E50"/>
    <w:rsid w:val="00CB4F12"/>
    <w:rsid w:val="00CB51BA"/>
    <w:rsid w:val="00CB520A"/>
    <w:rsid w:val="00CB5877"/>
    <w:rsid w:val="00CB5A29"/>
    <w:rsid w:val="00CB5D41"/>
    <w:rsid w:val="00CB6125"/>
    <w:rsid w:val="00CB66BE"/>
    <w:rsid w:val="00CB6796"/>
    <w:rsid w:val="00CB6A04"/>
    <w:rsid w:val="00CB6C6A"/>
    <w:rsid w:val="00CB6EC6"/>
    <w:rsid w:val="00CB6EFE"/>
    <w:rsid w:val="00CB70C3"/>
    <w:rsid w:val="00CB76AA"/>
    <w:rsid w:val="00CB7AEE"/>
    <w:rsid w:val="00CC0187"/>
    <w:rsid w:val="00CC0235"/>
    <w:rsid w:val="00CC0310"/>
    <w:rsid w:val="00CC05D6"/>
    <w:rsid w:val="00CC0873"/>
    <w:rsid w:val="00CC0C49"/>
    <w:rsid w:val="00CC1917"/>
    <w:rsid w:val="00CC1BA8"/>
    <w:rsid w:val="00CC1F70"/>
    <w:rsid w:val="00CC231C"/>
    <w:rsid w:val="00CC2368"/>
    <w:rsid w:val="00CC30B1"/>
    <w:rsid w:val="00CC321E"/>
    <w:rsid w:val="00CC3667"/>
    <w:rsid w:val="00CC395D"/>
    <w:rsid w:val="00CC3964"/>
    <w:rsid w:val="00CC3EF5"/>
    <w:rsid w:val="00CC4698"/>
    <w:rsid w:val="00CC4C65"/>
    <w:rsid w:val="00CC4FCF"/>
    <w:rsid w:val="00CC51B3"/>
    <w:rsid w:val="00CC5DEA"/>
    <w:rsid w:val="00CC61AC"/>
    <w:rsid w:val="00CC650C"/>
    <w:rsid w:val="00CC6770"/>
    <w:rsid w:val="00CC6AB6"/>
    <w:rsid w:val="00CC76FE"/>
    <w:rsid w:val="00CC7BEC"/>
    <w:rsid w:val="00CD04D3"/>
    <w:rsid w:val="00CD0C23"/>
    <w:rsid w:val="00CD1074"/>
    <w:rsid w:val="00CD1098"/>
    <w:rsid w:val="00CD1106"/>
    <w:rsid w:val="00CD11AB"/>
    <w:rsid w:val="00CD1E9D"/>
    <w:rsid w:val="00CD2945"/>
    <w:rsid w:val="00CD30E4"/>
    <w:rsid w:val="00CD334B"/>
    <w:rsid w:val="00CD3846"/>
    <w:rsid w:val="00CD39F9"/>
    <w:rsid w:val="00CD3FFD"/>
    <w:rsid w:val="00CD4412"/>
    <w:rsid w:val="00CD45C9"/>
    <w:rsid w:val="00CD48BB"/>
    <w:rsid w:val="00CD49BE"/>
    <w:rsid w:val="00CD4BD1"/>
    <w:rsid w:val="00CD4E88"/>
    <w:rsid w:val="00CD4F8C"/>
    <w:rsid w:val="00CD53A2"/>
    <w:rsid w:val="00CD53E0"/>
    <w:rsid w:val="00CD5449"/>
    <w:rsid w:val="00CD5B76"/>
    <w:rsid w:val="00CD5D42"/>
    <w:rsid w:val="00CD61BF"/>
    <w:rsid w:val="00CD6682"/>
    <w:rsid w:val="00CD6914"/>
    <w:rsid w:val="00CD6B65"/>
    <w:rsid w:val="00CD77B4"/>
    <w:rsid w:val="00CE02F8"/>
    <w:rsid w:val="00CE060F"/>
    <w:rsid w:val="00CE0B75"/>
    <w:rsid w:val="00CE1857"/>
    <w:rsid w:val="00CE1AB2"/>
    <w:rsid w:val="00CE21FD"/>
    <w:rsid w:val="00CE254D"/>
    <w:rsid w:val="00CE2A59"/>
    <w:rsid w:val="00CE2B7A"/>
    <w:rsid w:val="00CE2C8A"/>
    <w:rsid w:val="00CE31D9"/>
    <w:rsid w:val="00CE32D7"/>
    <w:rsid w:val="00CE34C4"/>
    <w:rsid w:val="00CE37F1"/>
    <w:rsid w:val="00CE3DEE"/>
    <w:rsid w:val="00CE40E0"/>
    <w:rsid w:val="00CE4C67"/>
    <w:rsid w:val="00CE4EBB"/>
    <w:rsid w:val="00CE576C"/>
    <w:rsid w:val="00CE5AAF"/>
    <w:rsid w:val="00CE5EEC"/>
    <w:rsid w:val="00CE614D"/>
    <w:rsid w:val="00CE63AF"/>
    <w:rsid w:val="00CE643E"/>
    <w:rsid w:val="00CE661E"/>
    <w:rsid w:val="00CE7148"/>
    <w:rsid w:val="00CE72FA"/>
    <w:rsid w:val="00CE7325"/>
    <w:rsid w:val="00CE7E03"/>
    <w:rsid w:val="00CE7EB0"/>
    <w:rsid w:val="00CF010A"/>
    <w:rsid w:val="00CF03B9"/>
    <w:rsid w:val="00CF05E6"/>
    <w:rsid w:val="00CF068A"/>
    <w:rsid w:val="00CF0F33"/>
    <w:rsid w:val="00CF124F"/>
    <w:rsid w:val="00CF12FD"/>
    <w:rsid w:val="00CF16E7"/>
    <w:rsid w:val="00CF1B19"/>
    <w:rsid w:val="00CF1E2E"/>
    <w:rsid w:val="00CF2016"/>
    <w:rsid w:val="00CF23A6"/>
    <w:rsid w:val="00CF28F5"/>
    <w:rsid w:val="00CF3470"/>
    <w:rsid w:val="00CF3789"/>
    <w:rsid w:val="00CF3875"/>
    <w:rsid w:val="00CF393D"/>
    <w:rsid w:val="00CF44D5"/>
    <w:rsid w:val="00CF4C2B"/>
    <w:rsid w:val="00CF4CF5"/>
    <w:rsid w:val="00CF4E2F"/>
    <w:rsid w:val="00CF570B"/>
    <w:rsid w:val="00CF5DB4"/>
    <w:rsid w:val="00CF65D6"/>
    <w:rsid w:val="00CF6A64"/>
    <w:rsid w:val="00CF6DC0"/>
    <w:rsid w:val="00CF6EB9"/>
    <w:rsid w:val="00CF72B9"/>
    <w:rsid w:val="00CF753E"/>
    <w:rsid w:val="00CF79B0"/>
    <w:rsid w:val="00CF7EF1"/>
    <w:rsid w:val="00D001C1"/>
    <w:rsid w:val="00D0064C"/>
    <w:rsid w:val="00D00669"/>
    <w:rsid w:val="00D00C45"/>
    <w:rsid w:val="00D00CB6"/>
    <w:rsid w:val="00D00D1C"/>
    <w:rsid w:val="00D00E83"/>
    <w:rsid w:val="00D00F8C"/>
    <w:rsid w:val="00D01205"/>
    <w:rsid w:val="00D013C2"/>
    <w:rsid w:val="00D013E2"/>
    <w:rsid w:val="00D014EA"/>
    <w:rsid w:val="00D01CEC"/>
    <w:rsid w:val="00D01F03"/>
    <w:rsid w:val="00D025A7"/>
    <w:rsid w:val="00D025B8"/>
    <w:rsid w:val="00D02D86"/>
    <w:rsid w:val="00D03281"/>
    <w:rsid w:val="00D03570"/>
    <w:rsid w:val="00D03824"/>
    <w:rsid w:val="00D0386A"/>
    <w:rsid w:val="00D03871"/>
    <w:rsid w:val="00D03930"/>
    <w:rsid w:val="00D03A85"/>
    <w:rsid w:val="00D03ABC"/>
    <w:rsid w:val="00D03E36"/>
    <w:rsid w:val="00D04141"/>
    <w:rsid w:val="00D0438E"/>
    <w:rsid w:val="00D04644"/>
    <w:rsid w:val="00D04B6C"/>
    <w:rsid w:val="00D04ECC"/>
    <w:rsid w:val="00D056D3"/>
    <w:rsid w:val="00D0588E"/>
    <w:rsid w:val="00D05B5A"/>
    <w:rsid w:val="00D0600D"/>
    <w:rsid w:val="00D063A3"/>
    <w:rsid w:val="00D06B19"/>
    <w:rsid w:val="00D06EFE"/>
    <w:rsid w:val="00D07127"/>
    <w:rsid w:val="00D077F5"/>
    <w:rsid w:val="00D07800"/>
    <w:rsid w:val="00D07982"/>
    <w:rsid w:val="00D07F4F"/>
    <w:rsid w:val="00D10859"/>
    <w:rsid w:val="00D1093D"/>
    <w:rsid w:val="00D10A13"/>
    <w:rsid w:val="00D10C34"/>
    <w:rsid w:val="00D10E36"/>
    <w:rsid w:val="00D1109E"/>
    <w:rsid w:val="00D116E0"/>
    <w:rsid w:val="00D11934"/>
    <w:rsid w:val="00D11BF0"/>
    <w:rsid w:val="00D11E27"/>
    <w:rsid w:val="00D11F08"/>
    <w:rsid w:val="00D11F0F"/>
    <w:rsid w:val="00D11F61"/>
    <w:rsid w:val="00D11FBB"/>
    <w:rsid w:val="00D12421"/>
    <w:rsid w:val="00D1246C"/>
    <w:rsid w:val="00D12679"/>
    <w:rsid w:val="00D12A0B"/>
    <w:rsid w:val="00D12A10"/>
    <w:rsid w:val="00D12DBF"/>
    <w:rsid w:val="00D13419"/>
    <w:rsid w:val="00D13A8F"/>
    <w:rsid w:val="00D13AD1"/>
    <w:rsid w:val="00D13EF8"/>
    <w:rsid w:val="00D1430B"/>
    <w:rsid w:val="00D144CA"/>
    <w:rsid w:val="00D1451B"/>
    <w:rsid w:val="00D14982"/>
    <w:rsid w:val="00D14D36"/>
    <w:rsid w:val="00D14D92"/>
    <w:rsid w:val="00D15800"/>
    <w:rsid w:val="00D159E4"/>
    <w:rsid w:val="00D15BFD"/>
    <w:rsid w:val="00D168A1"/>
    <w:rsid w:val="00D16ABB"/>
    <w:rsid w:val="00D16FD4"/>
    <w:rsid w:val="00D1726C"/>
    <w:rsid w:val="00D17479"/>
    <w:rsid w:val="00D20261"/>
    <w:rsid w:val="00D20509"/>
    <w:rsid w:val="00D207EE"/>
    <w:rsid w:val="00D20B67"/>
    <w:rsid w:val="00D2128F"/>
    <w:rsid w:val="00D21571"/>
    <w:rsid w:val="00D21B94"/>
    <w:rsid w:val="00D21C24"/>
    <w:rsid w:val="00D22326"/>
    <w:rsid w:val="00D22AC7"/>
    <w:rsid w:val="00D22B32"/>
    <w:rsid w:val="00D22CD0"/>
    <w:rsid w:val="00D22ED6"/>
    <w:rsid w:val="00D22F45"/>
    <w:rsid w:val="00D22FE5"/>
    <w:rsid w:val="00D230B5"/>
    <w:rsid w:val="00D2370F"/>
    <w:rsid w:val="00D23CBC"/>
    <w:rsid w:val="00D24381"/>
    <w:rsid w:val="00D244C4"/>
    <w:rsid w:val="00D246BE"/>
    <w:rsid w:val="00D24EC3"/>
    <w:rsid w:val="00D25045"/>
    <w:rsid w:val="00D252FD"/>
    <w:rsid w:val="00D25BD8"/>
    <w:rsid w:val="00D25C56"/>
    <w:rsid w:val="00D26413"/>
    <w:rsid w:val="00D26CCD"/>
    <w:rsid w:val="00D26CE4"/>
    <w:rsid w:val="00D26E55"/>
    <w:rsid w:val="00D26F4C"/>
    <w:rsid w:val="00D271EB"/>
    <w:rsid w:val="00D27247"/>
    <w:rsid w:val="00D27A0B"/>
    <w:rsid w:val="00D27A3A"/>
    <w:rsid w:val="00D27CCD"/>
    <w:rsid w:val="00D30266"/>
    <w:rsid w:val="00D30DC5"/>
    <w:rsid w:val="00D312E3"/>
    <w:rsid w:val="00D319D4"/>
    <w:rsid w:val="00D32156"/>
    <w:rsid w:val="00D324C2"/>
    <w:rsid w:val="00D3259A"/>
    <w:rsid w:val="00D32A3F"/>
    <w:rsid w:val="00D333D6"/>
    <w:rsid w:val="00D3356B"/>
    <w:rsid w:val="00D335DD"/>
    <w:rsid w:val="00D33DB5"/>
    <w:rsid w:val="00D347D2"/>
    <w:rsid w:val="00D34B6A"/>
    <w:rsid w:val="00D34C06"/>
    <w:rsid w:val="00D34C14"/>
    <w:rsid w:val="00D34F2C"/>
    <w:rsid w:val="00D3532A"/>
    <w:rsid w:val="00D3586B"/>
    <w:rsid w:val="00D35A14"/>
    <w:rsid w:val="00D35ACE"/>
    <w:rsid w:val="00D35B69"/>
    <w:rsid w:val="00D35F93"/>
    <w:rsid w:val="00D36679"/>
    <w:rsid w:val="00D36A4A"/>
    <w:rsid w:val="00D36C6C"/>
    <w:rsid w:val="00D377BF"/>
    <w:rsid w:val="00D378D5"/>
    <w:rsid w:val="00D37B3F"/>
    <w:rsid w:val="00D37F36"/>
    <w:rsid w:val="00D40273"/>
    <w:rsid w:val="00D405B6"/>
    <w:rsid w:val="00D4082D"/>
    <w:rsid w:val="00D408E4"/>
    <w:rsid w:val="00D40CAF"/>
    <w:rsid w:val="00D4118A"/>
    <w:rsid w:val="00D412CB"/>
    <w:rsid w:val="00D41354"/>
    <w:rsid w:val="00D41787"/>
    <w:rsid w:val="00D41789"/>
    <w:rsid w:val="00D417A5"/>
    <w:rsid w:val="00D418C2"/>
    <w:rsid w:val="00D41C44"/>
    <w:rsid w:val="00D4251E"/>
    <w:rsid w:val="00D429A8"/>
    <w:rsid w:val="00D42A22"/>
    <w:rsid w:val="00D42E50"/>
    <w:rsid w:val="00D434F4"/>
    <w:rsid w:val="00D4377A"/>
    <w:rsid w:val="00D43920"/>
    <w:rsid w:val="00D43E7B"/>
    <w:rsid w:val="00D44D7B"/>
    <w:rsid w:val="00D44FBB"/>
    <w:rsid w:val="00D4517C"/>
    <w:rsid w:val="00D4580C"/>
    <w:rsid w:val="00D4590E"/>
    <w:rsid w:val="00D46439"/>
    <w:rsid w:val="00D46549"/>
    <w:rsid w:val="00D466BF"/>
    <w:rsid w:val="00D46E15"/>
    <w:rsid w:val="00D4721A"/>
    <w:rsid w:val="00D47374"/>
    <w:rsid w:val="00D47448"/>
    <w:rsid w:val="00D47BC0"/>
    <w:rsid w:val="00D47CD0"/>
    <w:rsid w:val="00D47D2A"/>
    <w:rsid w:val="00D47EB4"/>
    <w:rsid w:val="00D501B5"/>
    <w:rsid w:val="00D5072A"/>
    <w:rsid w:val="00D50C5D"/>
    <w:rsid w:val="00D50D93"/>
    <w:rsid w:val="00D50FD0"/>
    <w:rsid w:val="00D51081"/>
    <w:rsid w:val="00D5132B"/>
    <w:rsid w:val="00D51AEC"/>
    <w:rsid w:val="00D51D8B"/>
    <w:rsid w:val="00D51DDB"/>
    <w:rsid w:val="00D5248A"/>
    <w:rsid w:val="00D52C1C"/>
    <w:rsid w:val="00D533ED"/>
    <w:rsid w:val="00D534E6"/>
    <w:rsid w:val="00D5352D"/>
    <w:rsid w:val="00D53DF3"/>
    <w:rsid w:val="00D53F9E"/>
    <w:rsid w:val="00D54218"/>
    <w:rsid w:val="00D54306"/>
    <w:rsid w:val="00D545D4"/>
    <w:rsid w:val="00D54999"/>
    <w:rsid w:val="00D54BE7"/>
    <w:rsid w:val="00D54D55"/>
    <w:rsid w:val="00D55207"/>
    <w:rsid w:val="00D5524E"/>
    <w:rsid w:val="00D5530A"/>
    <w:rsid w:val="00D55B7E"/>
    <w:rsid w:val="00D55FD7"/>
    <w:rsid w:val="00D562E3"/>
    <w:rsid w:val="00D56483"/>
    <w:rsid w:val="00D564BC"/>
    <w:rsid w:val="00D565BE"/>
    <w:rsid w:val="00D56681"/>
    <w:rsid w:val="00D56AC9"/>
    <w:rsid w:val="00D56E50"/>
    <w:rsid w:val="00D570A1"/>
    <w:rsid w:val="00D5762F"/>
    <w:rsid w:val="00D60042"/>
    <w:rsid w:val="00D6022D"/>
    <w:rsid w:val="00D60F9A"/>
    <w:rsid w:val="00D61072"/>
    <w:rsid w:val="00D61451"/>
    <w:rsid w:val="00D61608"/>
    <w:rsid w:val="00D61808"/>
    <w:rsid w:val="00D61C50"/>
    <w:rsid w:val="00D61C65"/>
    <w:rsid w:val="00D61F0B"/>
    <w:rsid w:val="00D6204D"/>
    <w:rsid w:val="00D620EE"/>
    <w:rsid w:val="00D6287F"/>
    <w:rsid w:val="00D62972"/>
    <w:rsid w:val="00D62CA2"/>
    <w:rsid w:val="00D62D7A"/>
    <w:rsid w:val="00D62EA3"/>
    <w:rsid w:val="00D6321F"/>
    <w:rsid w:val="00D63637"/>
    <w:rsid w:val="00D63726"/>
    <w:rsid w:val="00D63BE7"/>
    <w:rsid w:val="00D63D40"/>
    <w:rsid w:val="00D642F4"/>
    <w:rsid w:val="00D6437F"/>
    <w:rsid w:val="00D648E5"/>
    <w:rsid w:val="00D64F84"/>
    <w:rsid w:val="00D65143"/>
    <w:rsid w:val="00D651BF"/>
    <w:rsid w:val="00D65679"/>
    <w:rsid w:val="00D657C7"/>
    <w:rsid w:val="00D65958"/>
    <w:rsid w:val="00D659A3"/>
    <w:rsid w:val="00D65D04"/>
    <w:rsid w:val="00D65DA6"/>
    <w:rsid w:val="00D66497"/>
    <w:rsid w:val="00D66DA1"/>
    <w:rsid w:val="00D67179"/>
    <w:rsid w:val="00D6721E"/>
    <w:rsid w:val="00D6784C"/>
    <w:rsid w:val="00D704D5"/>
    <w:rsid w:val="00D70B0F"/>
    <w:rsid w:val="00D70D99"/>
    <w:rsid w:val="00D70EFA"/>
    <w:rsid w:val="00D71655"/>
    <w:rsid w:val="00D71801"/>
    <w:rsid w:val="00D71957"/>
    <w:rsid w:val="00D71AAD"/>
    <w:rsid w:val="00D71EC7"/>
    <w:rsid w:val="00D72732"/>
    <w:rsid w:val="00D73098"/>
    <w:rsid w:val="00D735E6"/>
    <w:rsid w:val="00D73AA7"/>
    <w:rsid w:val="00D73F6A"/>
    <w:rsid w:val="00D73FE9"/>
    <w:rsid w:val="00D745DD"/>
    <w:rsid w:val="00D747E8"/>
    <w:rsid w:val="00D74E10"/>
    <w:rsid w:val="00D74ED4"/>
    <w:rsid w:val="00D750D7"/>
    <w:rsid w:val="00D75634"/>
    <w:rsid w:val="00D75AB5"/>
    <w:rsid w:val="00D75C33"/>
    <w:rsid w:val="00D75DCA"/>
    <w:rsid w:val="00D762DE"/>
    <w:rsid w:val="00D7635D"/>
    <w:rsid w:val="00D765BE"/>
    <w:rsid w:val="00D7670F"/>
    <w:rsid w:val="00D769AB"/>
    <w:rsid w:val="00D7729E"/>
    <w:rsid w:val="00D7755D"/>
    <w:rsid w:val="00D77A70"/>
    <w:rsid w:val="00D77A7C"/>
    <w:rsid w:val="00D77B13"/>
    <w:rsid w:val="00D77B27"/>
    <w:rsid w:val="00D807BD"/>
    <w:rsid w:val="00D80950"/>
    <w:rsid w:val="00D80CBC"/>
    <w:rsid w:val="00D81A3A"/>
    <w:rsid w:val="00D81EDD"/>
    <w:rsid w:val="00D81F79"/>
    <w:rsid w:val="00D82320"/>
    <w:rsid w:val="00D82519"/>
    <w:rsid w:val="00D8251D"/>
    <w:rsid w:val="00D82B2C"/>
    <w:rsid w:val="00D82BA7"/>
    <w:rsid w:val="00D82C56"/>
    <w:rsid w:val="00D82E92"/>
    <w:rsid w:val="00D8302D"/>
    <w:rsid w:val="00D838D5"/>
    <w:rsid w:val="00D83C85"/>
    <w:rsid w:val="00D83D91"/>
    <w:rsid w:val="00D83FD7"/>
    <w:rsid w:val="00D840B9"/>
    <w:rsid w:val="00D842F7"/>
    <w:rsid w:val="00D8450D"/>
    <w:rsid w:val="00D84E27"/>
    <w:rsid w:val="00D85AF7"/>
    <w:rsid w:val="00D85CC0"/>
    <w:rsid w:val="00D866BA"/>
    <w:rsid w:val="00D86790"/>
    <w:rsid w:val="00D86B59"/>
    <w:rsid w:val="00D86BF9"/>
    <w:rsid w:val="00D86E29"/>
    <w:rsid w:val="00D86EF8"/>
    <w:rsid w:val="00D87179"/>
    <w:rsid w:val="00D874C1"/>
    <w:rsid w:val="00D8796D"/>
    <w:rsid w:val="00D87AB0"/>
    <w:rsid w:val="00D87BD2"/>
    <w:rsid w:val="00D87CAC"/>
    <w:rsid w:val="00D87DA2"/>
    <w:rsid w:val="00D90E22"/>
    <w:rsid w:val="00D91221"/>
    <w:rsid w:val="00D91736"/>
    <w:rsid w:val="00D9183B"/>
    <w:rsid w:val="00D91AF3"/>
    <w:rsid w:val="00D91D2D"/>
    <w:rsid w:val="00D91DDC"/>
    <w:rsid w:val="00D91E20"/>
    <w:rsid w:val="00D9270E"/>
    <w:rsid w:val="00D92F1F"/>
    <w:rsid w:val="00D934E3"/>
    <w:rsid w:val="00D93589"/>
    <w:rsid w:val="00D93C9E"/>
    <w:rsid w:val="00D94A0C"/>
    <w:rsid w:val="00D94CC2"/>
    <w:rsid w:val="00D94EAB"/>
    <w:rsid w:val="00D955E5"/>
    <w:rsid w:val="00D956E0"/>
    <w:rsid w:val="00D95C15"/>
    <w:rsid w:val="00D95C54"/>
    <w:rsid w:val="00D95C5D"/>
    <w:rsid w:val="00D96FE0"/>
    <w:rsid w:val="00D97446"/>
    <w:rsid w:val="00D9760E"/>
    <w:rsid w:val="00DA055E"/>
    <w:rsid w:val="00DA0C85"/>
    <w:rsid w:val="00DA0DB1"/>
    <w:rsid w:val="00DA0F42"/>
    <w:rsid w:val="00DA1061"/>
    <w:rsid w:val="00DA1272"/>
    <w:rsid w:val="00DA20CA"/>
    <w:rsid w:val="00DA23F1"/>
    <w:rsid w:val="00DA2490"/>
    <w:rsid w:val="00DA2F05"/>
    <w:rsid w:val="00DA31FF"/>
    <w:rsid w:val="00DA34D2"/>
    <w:rsid w:val="00DA3547"/>
    <w:rsid w:val="00DA366B"/>
    <w:rsid w:val="00DA3962"/>
    <w:rsid w:val="00DA3B30"/>
    <w:rsid w:val="00DA4B8A"/>
    <w:rsid w:val="00DA4C16"/>
    <w:rsid w:val="00DA4D36"/>
    <w:rsid w:val="00DA4DF8"/>
    <w:rsid w:val="00DA4ECF"/>
    <w:rsid w:val="00DA4EE5"/>
    <w:rsid w:val="00DA504F"/>
    <w:rsid w:val="00DA5181"/>
    <w:rsid w:val="00DA5BA1"/>
    <w:rsid w:val="00DA6008"/>
    <w:rsid w:val="00DA6753"/>
    <w:rsid w:val="00DA6CFA"/>
    <w:rsid w:val="00DA6E71"/>
    <w:rsid w:val="00DA6EF9"/>
    <w:rsid w:val="00DA77EF"/>
    <w:rsid w:val="00DA798F"/>
    <w:rsid w:val="00DB0301"/>
    <w:rsid w:val="00DB07BF"/>
    <w:rsid w:val="00DB0BEE"/>
    <w:rsid w:val="00DB0CA0"/>
    <w:rsid w:val="00DB0DDE"/>
    <w:rsid w:val="00DB0EDF"/>
    <w:rsid w:val="00DB168F"/>
    <w:rsid w:val="00DB1981"/>
    <w:rsid w:val="00DB19AF"/>
    <w:rsid w:val="00DB24BE"/>
    <w:rsid w:val="00DB28B6"/>
    <w:rsid w:val="00DB34CB"/>
    <w:rsid w:val="00DB3D64"/>
    <w:rsid w:val="00DB3DDE"/>
    <w:rsid w:val="00DB44A6"/>
    <w:rsid w:val="00DB47D8"/>
    <w:rsid w:val="00DB4A3E"/>
    <w:rsid w:val="00DB4D1B"/>
    <w:rsid w:val="00DB4E33"/>
    <w:rsid w:val="00DB4FF9"/>
    <w:rsid w:val="00DB50BF"/>
    <w:rsid w:val="00DB54A4"/>
    <w:rsid w:val="00DB5B04"/>
    <w:rsid w:val="00DB61B3"/>
    <w:rsid w:val="00DB631F"/>
    <w:rsid w:val="00DB655B"/>
    <w:rsid w:val="00DB6794"/>
    <w:rsid w:val="00DB6803"/>
    <w:rsid w:val="00DB6998"/>
    <w:rsid w:val="00DB6CC7"/>
    <w:rsid w:val="00DB6D6A"/>
    <w:rsid w:val="00DB7080"/>
    <w:rsid w:val="00DB73F2"/>
    <w:rsid w:val="00DB76C3"/>
    <w:rsid w:val="00DB7B2C"/>
    <w:rsid w:val="00DB7BAA"/>
    <w:rsid w:val="00DC00BC"/>
    <w:rsid w:val="00DC058F"/>
    <w:rsid w:val="00DC063E"/>
    <w:rsid w:val="00DC06BE"/>
    <w:rsid w:val="00DC089C"/>
    <w:rsid w:val="00DC0C14"/>
    <w:rsid w:val="00DC1114"/>
    <w:rsid w:val="00DC171F"/>
    <w:rsid w:val="00DC1C99"/>
    <w:rsid w:val="00DC1EC2"/>
    <w:rsid w:val="00DC207D"/>
    <w:rsid w:val="00DC244E"/>
    <w:rsid w:val="00DC27D0"/>
    <w:rsid w:val="00DC2853"/>
    <w:rsid w:val="00DC337D"/>
    <w:rsid w:val="00DC3D60"/>
    <w:rsid w:val="00DC467C"/>
    <w:rsid w:val="00DC4A00"/>
    <w:rsid w:val="00DC4DB6"/>
    <w:rsid w:val="00DC4E89"/>
    <w:rsid w:val="00DC555B"/>
    <w:rsid w:val="00DC61A0"/>
    <w:rsid w:val="00DC61B2"/>
    <w:rsid w:val="00DC682E"/>
    <w:rsid w:val="00DC68D8"/>
    <w:rsid w:val="00DC69A6"/>
    <w:rsid w:val="00DC6EDA"/>
    <w:rsid w:val="00DC71FC"/>
    <w:rsid w:val="00DC726A"/>
    <w:rsid w:val="00DC72D6"/>
    <w:rsid w:val="00DC7373"/>
    <w:rsid w:val="00DC7515"/>
    <w:rsid w:val="00DC7645"/>
    <w:rsid w:val="00DD0247"/>
    <w:rsid w:val="00DD0855"/>
    <w:rsid w:val="00DD0973"/>
    <w:rsid w:val="00DD0C3F"/>
    <w:rsid w:val="00DD120E"/>
    <w:rsid w:val="00DD13B3"/>
    <w:rsid w:val="00DD165F"/>
    <w:rsid w:val="00DD1965"/>
    <w:rsid w:val="00DD1B54"/>
    <w:rsid w:val="00DD201C"/>
    <w:rsid w:val="00DD20C7"/>
    <w:rsid w:val="00DD215B"/>
    <w:rsid w:val="00DD250B"/>
    <w:rsid w:val="00DD260D"/>
    <w:rsid w:val="00DD2620"/>
    <w:rsid w:val="00DD27A1"/>
    <w:rsid w:val="00DD2F1C"/>
    <w:rsid w:val="00DD3173"/>
    <w:rsid w:val="00DD335C"/>
    <w:rsid w:val="00DD3E64"/>
    <w:rsid w:val="00DD57E3"/>
    <w:rsid w:val="00DD5C7A"/>
    <w:rsid w:val="00DD5F50"/>
    <w:rsid w:val="00DD62BA"/>
    <w:rsid w:val="00DD6412"/>
    <w:rsid w:val="00DD65EA"/>
    <w:rsid w:val="00DD6B5B"/>
    <w:rsid w:val="00DD71B6"/>
    <w:rsid w:val="00DD7B78"/>
    <w:rsid w:val="00DD7C1F"/>
    <w:rsid w:val="00DD7ED7"/>
    <w:rsid w:val="00DD7F1B"/>
    <w:rsid w:val="00DD7F91"/>
    <w:rsid w:val="00DE01F5"/>
    <w:rsid w:val="00DE03C6"/>
    <w:rsid w:val="00DE0F7F"/>
    <w:rsid w:val="00DE1945"/>
    <w:rsid w:val="00DE1C78"/>
    <w:rsid w:val="00DE1D58"/>
    <w:rsid w:val="00DE20FF"/>
    <w:rsid w:val="00DE2A88"/>
    <w:rsid w:val="00DE2B7D"/>
    <w:rsid w:val="00DE2E8B"/>
    <w:rsid w:val="00DE3309"/>
    <w:rsid w:val="00DE402A"/>
    <w:rsid w:val="00DE40D0"/>
    <w:rsid w:val="00DE41D1"/>
    <w:rsid w:val="00DE4CFE"/>
    <w:rsid w:val="00DE4EC9"/>
    <w:rsid w:val="00DE4EF8"/>
    <w:rsid w:val="00DE5708"/>
    <w:rsid w:val="00DE5E85"/>
    <w:rsid w:val="00DE6170"/>
    <w:rsid w:val="00DE61EA"/>
    <w:rsid w:val="00DE63E3"/>
    <w:rsid w:val="00DE6401"/>
    <w:rsid w:val="00DE6462"/>
    <w:rsid w:val="00DE65C4"/>
    <w:rsid w:val="00DE6867"/>
    <w:rsid w:val="00DE6E0E"/>
    <w:rsid w:val="00DE729E"/>
    <w:rsid w:val="00DE74B6"/>
    <w:rsid w:val="00DE7965"/>
    <w:rsid w:val="00DE7D5B"/>
    <w:rsid w:val="00DF05C9"/>
    <w:rsid w:val="00DF05D6"/>
    <w:rsid w:val="00DF06B1"/>
    <w:rsid w:val="00DF08B7"/>
    <w:rsid w:val="00DF1542"/>
    <w:rsid w:val="00DF1F1A"/>
    <w:rsid w:val="00DF2002"/>
    <w:rsid w:val="00DF2152"/>
    <w:rsid w:val="00DF21F9"/>
    <w:rsid w:val="00DF23F3"/>
    <w:rsid w:val="00DF25EF"/>
    <w:rsid w:val="00DF2A13"/>
    <w:rsid w:val="00DF2FFA"/>
    <w:rsid w:val="00DF3A15"/>
    <w:rsid w:val="00DF3AD2"/>
    <w:rsid w:val="00DF3BA6"/>
    <w:rsid w:val="00DF3CAB"/>
    <w:rsid w:val="00DF3CD3"/>
    <w:rsid w:val="00DF4626"/>
    <w:rsid w:val="00DF4C06"/>
    <w:rsid w:val="00DF4C54"/>
    <w:rsid w:val="00DF5A67"/>
    <w:rsid w:val="00DF730A"/>
    <w:rsid w:val="00DF7A44"/>
    <w:rsid w:val="00DF7BFA"/>
    <w:rsid w:val="00DF7D02"/>
    <w:rsid w:val="00E00486"/>
    <w:rsid w:val="00E00647"/>
    <w:rsid w:val="00E009B4"/>
    <w:rsid w:val="00E00C82"/>
    <w:rsid w:val="00E01316"/>
    <w:rsid w:val="00E01319"/>
    <w:rsid w:val="00E01835"/>
    <w:rsid w:val="00E01AAA"/>
    <w:rsid w:val="00E01E17"/>
    <w:rsid w:val="00E01EC4"/>
    <w:rsid w:val="00E01F5B"/>
    <w:rsid w:val="00E0213F"/>
    <w:rsid w:val="00E021B7"/>
    <w:rsid w:val="00E021ED"/>
    <w:rsid w:val="00E02617"/>
    <w:rsid w:val="00E02DB4"/>
    <w:rsid w:val="00E02F94"/>
    <w:rsid w:val="00E03283"/>
    <w:rsid w:val="00E03974"/>
    <w:rsid w:val="00E03A60"/>
    <w:rsid w:val="00E03A69"/>
    <w:rsid w:val="00E03F79"/>
    <w:rsid w:val="00E03FE2"/>
    <w:rsid w:val="00E04423"/>
    <w:rsid w:val="00E04486"/>
    <w:rsid w:val="00E04A23"/>
    <w:rsid w:val="00E04E5B"/>
    <w:rsid w:val="00E05167"/>
    <w:rsid w:val="00E05766"/>
    <w:rsid w:val="00E05B56"/>
    <w:rsid w:val="00E05E55"/>
    <w:rsid w:val="00E05FDC"/>
    <w:rsid w:val="00E060BD"/>
    <w:rsid w:val="00E0770E"/>
    <w:rsid w:val="00E07747"/>
    <w:rsid w:val="00E1004E"/>
    <w:rsid w:val="00E100D2"/>
    <w:rsid w:val="00E101FB"/>
    <w:rsid w:val="00E105A8"/>
    <w:rsid w:val="00E106C4"/>
    <w:rsid w:val="00E10785"/>
    <w:rsid w:val="00E108B3"/>
    <w:rsid w:val="00E108C8"/>
    <w:rsid w:val="00E10954"/>
    <w:rsid w:val="00E10D50"/>
    <w:rsid w:val="00E10D82"/>
    <w:rsid w:val="00E10EBF"/>
    <w:rsid w:val="00E111EA"/>
    <w:rsid w:val="00E11703"/>
    <w:rsid w:val="00E120EB"/>
    <w:rsid w:val="00E12706"/>
    <w:rsid w:val="00E135ED"/>
    <w:rsid w:val="00E13629"/>
    <w:rsid w:val="00E13922"/>
    <w:rsid w:val="00E13957"/>
    <w:rsid w:val="00E13FB6"/>
    <w:rsid w:val="00E14AAC"/>
    <w:rsid w:val="00E14DCC"/>
    <w:rsid w:val="00E14EEF"/>
    <w:rsid w:val="00E15857"/>
    <w:rsid w:val="00E15D57"/>
    <w:rsid w:val="00E15FFD"/>
    <w:rsid w:val="00E160CC"/>
    <w:rsid w:val="00E162EB"/>
    <w:rsid w:val="00E16BD4"/>
    <w:rsid w:val="00E16F38"/>
    <w:rsid w:val="00E16FD9"/>
    <w:rsid w:val="00E17147"/>
    <w:rsid w:val="00E172C5"/>
    <w:rsid w:val="00E17301"/>
    <w:rsid w:val="00E173E4"/>
    <w:rsid w:val="00E174A0"/>
    <w:rsid w:val="00E17605"/>
    <w:rsid w:val="00E20230"/>
    <w:rsid w:val="00E20418"/>
    <w:rsid w:val="00E209F4"/>
    <w:rsid w:val="00E20BA5"/>
    <w:rsid w:val="00E20E14"/>
    <w:rsid w:val="00E20F18"/>
    <w:rsid w:val="00E20FF1"/>
    <w:rsid w:val="00E212CD"/>
    <w:rsid w:val="00E2164D"/>
    <w:rsid w:val="00E21929"/>
    <w:rsid w:val="00E21B77"/>
    <w:rsid w:val="00E21BC8"/>
    <w:rsid w:val="00E21C03"/>
    <w:rsid w:val="00E224E3"/>
    <w:rsid w:val="00E22953"/>
    <w:rsid w:val="00E2316A"/>
    <w:rsid w:val="00E23309"/>
    <w:rsid w:val="00E23925"/>
    <w:rsid w:val="00E239BE"/>
    <w:rsid w:val="00E23A54"/>
    <w:rsid w:val="00E24154"/>
    <w:rsid w:val="00E24293"/>
    <w:rsid w:val="00E24CE9"/>
    <w:rsid w:val="00E2506F"/>
    <w:rsid w:val="00E25362"/>
    <w:rsid w:val="00E254A6"/>
    <w:rsid w:val="00E25C55"/>
    <w:rsid w:val="00E25F59"/>
    <w:rsid w:val="00E26A8E"/>
    <w:rsid w:val="00E26DE1"/>
    <w:rsid w:val="00E26EA5"/>
    <w:rsid w:val="00E270D8"/>
    <w:rsid w:val="00E27560"/>
    <w:rsid w:val="00E277FA"/>
    <w:rsid w:val="00E2797E"/>
    <w:rsid w:val="00E3023C"/>
    <w:rsid w:val="00E3056E"/>
    <w:rsid w:val="00E306EB"/>
    <w:rsid w:val="00E30D43"/>
    <w:rsid w:val="00E3113B"/>
    <w:rsid w:val="00E31232"/>
    <w:rsid w:val="00E3189F"/>
    <w:rsid w:val="00E31A5E"/>
    <w:rsid w:val="00E31FDB"/>
    <w:rsid w:val="00E320E0"/>
    <w:rsid w:val="00E32322"/>
    <w:rsid w:val="00E32363"/>
    <w:rsid w:val="00E3264D"/>
    <w:rsid w:val="00E32BAD"/>
    <w:rsid w:val="00E32E11"/>
    <w:rsid w:val="00E337D2"/>
    <w:rsid w:val="00E339AA"/>
    <w:rsid w:val="00E33C02"/>
    <w:rsid w:val="00E33C8E"/>
    <w:rsid w:val="00E33E66"/>
    <w:rsid w:val="00E34263"/>
    <w:rsid w:val="00E343DA"/>
    <w:rsid w:val="00E34474"/>
    <w:rsid w:val="00E34A44"/>
    <w:rsid w:val="00E34DEA"/>
    <w:rsid w:val="00E34E90"/>
    <w:rsid w:val="00E35297"/>
    <w:rsid w:val="00E35312"/>
    <w:rsid w:val="00E353AC"/>
    <w:rsid w:val="00E353FD"/>
    <w:rsid w:val="00E35669"/>
    <w:rsid w:val="00E35D63"/>
    <w:rsid w:val="00E35FCC"/>
    <w:rsid w:val="00E3671E"/>
    <w:rsid w:val="00E3690C"/>
    <w:rsid w:val="00E36B91"/>
    <w:rsid w:val="00E36C51"/>
    <w:rsid w:val="00E36D3D"/>
    <w:rsid w:val="00E36D9F"/>
    <w:rsid w:val="00E36DBC"/>
    <w:rsid w:val="00E36DE3"/>
    <w:rsid w:val="00E37054"/>
    <w:rsid w:val="00E379C9"/>
    <w:rsid w:val="00E379F6"/>
    <w:rsid w:val="00E37C91"/>
    <w:rsid w:val="00E40A50"/>
    <w:rsid w:val="00E412AC"/>
    <w:rsid w:val="00E414D9"/>
    <w:rsid w:val="00E41975"/>
    <w:rsid w:val="00E41B14"/>
    <w:rsid w:val="00E41EA0"/>
    <w:rsid w:val="00E42A20"/>
    <w:rsid w:val="00E43D48"/>
    <w:rsid w:val="00E43EAA"/>
    <w:rsid w:val="00E44181"/>
    <w:rsid w:val="00E441A0"/>
    <w:rsid w:val="00E44283"/>
    <w:rsid w:val="00E44496"/>
    <w:rsid w:val="00E44525"/>
    <w:rsid w:val="00E44670"/>
    <w:rsid w:val="00E448D7"/>
    <w:rsid w:val="00E44C36"/>
    <w:rsid w:val="00E44FE1"/>
    <w:rsid w:val="00E451A9"/>
    <w:rsid w:val="00E4536E"/>
    <w:rsid w:val="00E45518"/>
    <w:rsid w:val="00E459E0"/>
    <w:rsid w:val="00E45DF8"/>
    <w:rsid w:val="00E45E4B"/>
    <w:rsid w:val="00E45FB4"/>
    <w:rsid w:val="00E46AF8"/>
    <w:rsid w:val="00E46FAB"/>
    <w:rsid w:val="00E470C7"/>
    <w:rsid w:val="00E4765A"/>
    <w:rsid w:val="00E47DF2"/>
    <w:rsid w:val="00E47E20"/>
    <w:rsid w:val="00E5038E"/>
    <w:rsid w:val="00E51F0C"/>
    <w:rsid w:val="00E51F32"/>
    <w:rsid w:val="00E52116"/>
    <w:rsid w:val="00E5213E"/>
    <w:rsid w:val="00E52E93"/>
    <w:rsid w:val="00E52EFC"/>
    <w:rsid w:val="00E5341B"/>
    <w:rsid w:val="00E53DC1"/>
    <w:rsid w:val="00E545C5"/>
    <w:rsid w:val="00E54846"/>
    <w:rsid w:val="00E549B2"/>
    <w:rsid w:val="00E549F9"/>
    <w:rsid w:val="00E54A03"/>
    <w:rsid w:val="00E54A89"/>
    <w:rsid w:val="00E55413"/>
    <w:rsid w:val="00E559D6"/>
    <w:rsid w:val="00E55F1D"/>
    <w:rsid w:val="00E56010"/>
    <w:rsid w:val="00E560B1"/>
    <w:rsid w:val="00E56142"/>
    <w:rsid w:val="00E567A4"/>
    <w:rsid w:val="00E57023"/>
    <w:rsid w:val="00E5741C"/>
    <w:rsid w:val="00E57459"/>
    <w:rsid w:val="00E57697"/>
    <w:rsid w:val="00E57727"/>
    <w:rsid w:val="00E57BE2"/>
    <w:rsid w:val="00E57D5E"/>
    <w:rsid w:val="00E6051D"/>
    <w:rsid w:val="00E6065D"/>
    <w:rsid w:val="00E6162C"/>
    <w:rsid w:val="00E6169D"/>
    <w:rsid w:val="00E617F7"/>
    <w:rsid w:val="00E61E7E"/>
    <w:rsid w:val="00E61F30"/>
    <w:rsid w:val="00E622B5"/>
    <w:rsid w:val="00E622C6"/>
    <w:rsid w:val="00E62A27"/>
    <w:rsid w:val="00E62CF6"/>
    <w:rsid w:val="00E62DFE"/>
    <w:rsid w:val="00E62E2A"/>
    <w:rsid w:val="00E630B0"/>
    <w:rsid w:val="00E639DB"/>
    <w:rsid w:val="00E63D36"/>
    <w:rsid w:val="00E63F6B"/>
    <w:rsid w:val="00E64978"/>
    <w:rsid w:val="00E6497F"/>
    <w:rsid w:val="00E649C7"/>
    <w:rsid w:val="00E64E2F"/>
    <w:rsid w:val="00E64F1D"/>
    <w:rsid w:val="00E64F54"/>
    <w:rsid w:val="00E658E0"/>
    <w:rsid w:val="00E65D42"/>
    <w:rsid w:val="00E65E98"/>
    <w:rsid w:val="00E6612E"/>
    <w:rsid w:val="00E665DC"/>
    <w:rsid w:val="00E66707"/>
    <w:rsid w:val="00E6672B"/>
    <w:rsid w:val="00E66BCE"/>
    <w:rsid w:val="00E6713B"/>
    <w:rsid w:val="00E6750C"/>
    <w:rsid w:val="00E67928"/>
    <w:rsid w:val="00E67A23"/>
    <w:rsid w:val="00E67C4D"/>
    <w:rsid w:val="00E67DD3"/>
    <w:rsid w:val="00E67EBE"/>
    <w:rsid w:val="00E7072B"/>
    <w:rsid w:val="00E710F4"/>
    <w:rsid w:val="00E71214"/>
    <w:rsid w:val="00E7126A"/>
    <w:rsid w:val="00E71C77"/>
    <w:rsid w:val="00E71DC6"/>
    <w:rsid w:val="00E7209D"/>
    <w:rsid w:val="00E7228B"/>
    <w:rsid w:val="00E7245F"/>
    <w:rsid w:val="00E72671"/>
    <w:rsid w:val="00E72DD3"/>
    <w:rsid w:val="00E7303E"/>
    <w:rsid w:val="00E73FBE"/>
    <w:rsid w:val="00E74079"/>
    <w:rsid w:val="00E74343"/>
    <w:rsid w:val="00E74646"/>
    <w:rsid w:val="00E74D3F"/>
    <w:rsid w:val="00E74FC1"/>
    <w:rsid w:val="00E75082"/>
    <w:rsid w:val="00E75242"/>
    <w:rsid w:val="00E75313"/>
    <w:rsid w:val="00E754DD"/>
    <w:rsid w:val="00E75760"/>
    <w:rsid w:val="00E75F65"/>
    <w:rsid w:val="00E7719C"/>
    <w:rsid w:val="00E77292"/>
    <w:rsid w:val="00E776A6"/>
    <w:rsid w:val="00E7794B"/>
    <w:rsid w:val="00E77C0C"/>
    <w:rsid w:val="00E8037E"/>
    <w:rsid w:val="00E80643"/>
    <w:rsid w:val="00E80A23"/>
    <w:rsid w:val="00E80D55"/>
    <w:rsid w:val="00E81007"/>
    <w:rsid w:val="00E81958"/>
    <w:rsid w:val="00E81A5D"/>
    <w:rsid w:val="00E81DA1"/>
    <w:rsid w:val="00E82069"/>
    <w:rsid w:val="00E82218"/>
    <w:rsid w:val="00E8261F"/>
    <w:rsid w:val="00E82831"/>
    <w:rsid w:val="00E82F90"/>
    <w:rsid w:val="00E833D7"/>
    <w:rsid w:val="00E83E27"/>
    <w:rsid w:val="00E83F01"/>
    <w:rsid w:val="00E83F4B"/>
    <w:rsid w:val="00E846F7"/>
    <w:rsid w:val="00E84832"/>
    <w:rsid w:val="00E8496E"/>
    <w:rsid w:val="00E85526"/>
    <w:rsid w:val="00E8563A"/>
    <w:rsid w:val="00E85CA7"/>
    <w:rsid w:val="00E85EC5"/>
    <w:rsid w:val="00E86211"/>
    <w:rsid w:val="00E86337"/>
    <w:rsid w:val="00E86B1F"/>
    <w:rsid w:val="00E87337"/>
    <w:rsid w:val="00E8738F"/>
    <w:rsid w:val="00E878D8"/>
    <w:rsid w:val="00E87A16"/>
    <w:rsid w:val="00E87F28"/>
    <w:rsid w:val="00E9008C"/>
    <w:rsid w:val="00E90654"/>
    <w:rsid w:val="00E90731"/>
    <w:rsid w:val="00E90736"/>
    <w:rsid w:val="00E9093C"/>
    <w:rsid w:val="00E90F09"/>
    <w:rsid w:val="00E91969"/>
    <w:rsid w:val="00E91F37"/>
    <w:rsid w:val="00E92350"/>
    <w:rsid w:val="00E92353"/>
    <w:rsid w:val="00E924C0"/>
    <w:rsid w:val="00E926D1"/>
    <w:rsid w:val="00E92927"/>
    <w:rsid w:val="00E941AD"/>
    <w:rsid w:val="00E944DB"/>
    <w:rsid w:val="00E94616"/>
    <w:rsid w:val="00E94C5D"/>
    <w:rsid w:val="00E950D4"/>
    <w:rsid w:val="00E9529A"/>
    <w:rsid w:val="00E95673"/>
    <w:rsid w:val="00E96493"/>
    <w:rsid w:val="00E96789"/>
    <w:rsid w:val="00E96B7F"/>
    <w:rsid w:val="00E9729F"/>
    <w:rsid w:val="00E97F34"/>
    <w:rsid w:val="00EA00CC"/>
    <w:rsid w:val="00EA0151"/>
    <w:rsid w:val="00EA01F0"/>
    <w:rsid w:val="00EA06C8"/>
    <w:rsid w:val="00EA075C"/>
    <w:rsid w:val="00EA08F8"/>
    <w:rsid w:val="00EA122D"/>
    <w:rsid w:val="00EA1277"/>
    <w:rsid w:val="00EA12DD"/>
    <w:rsid w:val="00EA1525"/>
    <w:rsid w:val="00EA1C7D"/>
    <w:rsid w:val="00EA275E"/>
    <w:rsid w:val="00EA2C78"/>
    <w:rsid w:val="00EA377A"/>
    <w:rsid w:val="00EA3B6F"/>
    <w:rsid w:val="00EA3E5F"/>
    <w:rsid w:val="00EA4010"/>
    <w:rsid w:val="00EA40A7"/>
    <w:rsid w:val="00EA4A9D"/>
    <w:rsid w:val="00EA506C"/>
    <w:rsid w:val="00EA51F5"/>
    <w:rsid w:val="00EA52A4"/>
    <w:rsid w:val="00EA542B"/>
    <w:rsid w:val="00EA6542"/>
    <w:rsid w:val="00EA6837"/>
    <w:rsid w:val="00EA70EE"/>
    <w:rsid w:val="00EA768E"/>
    <w:rsid w:val="00EA76C1"/>
    <w:rsid w:val="00EB0368"/>
    <w:rsid w:val="00EB07DF"/>
    <w:rsid w:val="00EB0970"/>
    <w:rsid w:val="00EB0D6B"/>
    <w:rsid w:val="00EB0ECB"/>
    <w:rsid w:val="00EB16C7"/>
    <w:rsid w:val="00EB1E9B"/>
    <w:rsid w:val="00EB2549"/>
    <w:rsid w:val="00EB278D"/>
    <w:rsid w:val="00EB2868"/>
    <w:rsid w:val="00EB32DE"/>
    <w:rsid w:val="00EB3649"/>
    <w:rsid w:val="00EB41F2"/>
    <w:rsid w:val="00EB47D6"/>
    <w:rsid w:val="00EB4A3F"/>
    <w:rsid w:val="00EB4CC8"/>
    <w:rsid w:val="00EB4E1E"/>
    <w:rsid w:val="00EB4E7D"/>
    <w:rsid w:val="00EB539B"/>
    <w:rsid w:val="00EB53C0"/>
    <w:rsid w:val="00EB620E"/>
    <w:rsid w:val="00EB6345"/>
    <w:rsid w:val="00EB69FC"/>
    <w:rsid w:val="00EB6B08"/>
    <w:rsid w:val="00EB6C92"/>
    <w:rsid w:val="00EB7B87"/>
    <w:rsid w:val="00EB7C89"/>
    <w:rsid w:val="00EB7DCA"/>
    <w:rsid w:val="00EB7F7C"/>
    <w:rsid w:val="00EC0349"/>
    <w:rsid w:val="00EC0424"/>
    <w:rsid w:val="00EC0555"/>
    <w:rsid w:val="00EC112E"/>
    <w:rsid w:val="00EC1353"/>
    <w:rsid w:val="00EC1661"/>
    <w:rsid w:val="00EC16F3"/>
    <w:rsid w:val="00EC1FDE"/>
    <w:rsid w:val="00EC21DE"/>
    <w:rsid w:val="00EC2709"/>
    <w:rsid w:val="00EC2AD5"/>
    <w:rsid w:val="00EC2E08"/>
    <w:rsid w:val="00EC2F14"/>
    <w:rsid w:val="00EC3D95"/>
    <w:rsid w:val="00EC4D21"/>
    <w:rsid w:val="00EC537E"/>
    <w:rsid w:val="00EC568D"/>
    <w:rsid w:val="00EC5753"/>
    <w:rsid w:val="00EC579F"/>
    <w:rsid w:val="00EC5A89"/>
    <w:rsid w:val="00EC6218"/>
    <w:rsid w:val="00EC6285"/>
    <w:rsid w:val="00EC64EB"/>
    <w:rsid w:val="00EC7AEB"/>
    <w:rsid w:val="00EC7DC3"/>
    <w:rsid w:val="00EC7FB2"/>
    <w:rsid w:val="00ED003F"/>
    <w:rsid w:val="00ED0181"/>
    <w:rsid w:val="00ED01E3"/>
    <w:rsid w:val="00ED01E8"/>
    <w:rsid w:val="00ED04ED"/>
    <w:rsid w:val="00ED0BBF"/>
    <w:rsid w:val="00ED0CD7"/>
    <w:rsid w:val="00ED1289"/>
    <w:rsid w:val="00ED1332"/>
    <w:rsid w:val="00ED1472"/>
    <w:rsid w:val="00ED1C30"/>
    <w:rsid w:val="00ED1CE3"/>
    <w:rsid w:val="00ED2442"/>
    <w:rsid w:val="00ED276C"/>
    <w:rsid w:val="00ED2894"/>
    <w:rsid w:val="00ED28A6"/>
    <w:rsid w:val="00ED2A9D"/>
    <w:rsid w:val="00ED2B4E"/>
    <w:rsid w:val="00ED2BC8"/>
    <w:rsid w:val="00ED2C8E"/>
    <w:rsid w:val="00ED36CF"/>
    <w:rsid w:val="00ED4247"/>
    <w:rsid w:val="00ED42CE"/>
    <w:rsid w:val="00ED4B38"/>
    <w:rsid w:val="00ED4E4B"/>
    <w:rsid w:val="00ED536C"/>
    <w:rsid w:val="00ED5B64"/>
    <w:rsid w:val="00ED5CF3"/>
    <w:rsid w:val="00ED631E"/>
    <w:rsid w:val="00ED6F46"/>
    <w:rsid w:val="00ED6F5F"/>
    <w:rsid w:val="00ED73D5"/>
    <w:rsid w:val="00EE001B"/>
    <w:rsid w:val="00EE00EF"/>
    <w:rsid w:val="00EE02E4"/>
    <w:rsid w:val="00EE05CB"/>
    <w:rsid w:val="00EE06A7"/>
    <w:rsid w:val="00EE0D38"/>
    <w:rsid w:val="00EE0E85"/>
    <w:rsid w:val="00EE102B"/>
    <w:rsid w:val="00EE10B1"/>
    <w:rsid w:val="00EE10F4"/>
    <w:rsid w:val="00EE152D"/>
    <w:rsid w:val="00EE203E"/>
    <w:rsid w:val="00EE2109"/>
    <w:rsid w:val="00EE2262"/>
    <w:rsid w:val="00EE2777"/>
    <w:rsid w:val="00EE2A2F"/>
    <w:rsid w:val="00EE2C04"/>
    <w:rsid w:val="00EE2C0C"/>
    <w:rsid w:val="00EE3414"/>
    <w:rsid w:val="00EE393C"/>
    <w:rsid w:val="00EE432E"/>
    <w:rsid w:val="00EE4BE4"/>
    <w:rsid w:val="00EE4FD2"/>
    <w:rsid w:val="00EE5B9D"/>
    <w:rsid w:val="00EE61DF"/>
    <w:rsid w:val="00EE65DB"/>
    <w:rsid w:val="00EE6C4C"/>
    <w:rsid w:val="00EE70BC"/>
    <w:rsid w:val="00EE77E2"/>
    <w:rsid w:val="00EF055B"/>
    <w:rsid w:val="00EF0CE0"/>
    <w:rsid w:val="00EF0DEE"/>
    <w:rsid w:val="00EF1ACE"/>
    <w:rsid w:val="00EF1BC0"/>
    <w:rsid w:val="00EF1D26"/>
    <w:rsid w:val="00EF20E5"/>
    <w:rsid w:val="00EF2190"/>
    <w:rsid w:val="00EF22FC"/>
    <w:rsid w:val="00EF2409"/>
    <w:rsid w:val="00EF27FA"/>
    <w:rsid w:val="00EF29B6"/>
    <w:rsid w:val="00EF2F23"/>
    <w:rsid w:val="00EF313E"/>
    <w:rsid w:val="00EF3229"/>
    <w:rsid w:val="00EF35DE"/>
    <w:rsid w:val="00EF35FA"/>
    <w:rsid w:val="00EF399F"/>
    <w:rsid w:val="00EF39E3"/>
    <w:rsid w:val="00EF3EE7"/>
    <w:rsid w:val="00EF4134"/>
    <w:rsid w:val="00EF4189"/>
    <w:rsid w:val="00EF437E"/>
    <w:rsid w:val="00EF44EC"/>
    <w:rsid w:val="00EF46DD"/>
    <w:rsid w:val="00EF5339"/>
    <w:rsid w:val="00EF5635"/>
    <w:rsid w:val="00EF5B03"/>
    <w:rsid w:val="00EF5D6F"/>
    <w:rsid w:val="00EF5DE0"/>
    <w:rsid w:val="00EF633A"/>
    <w:rsid w:val="00EF649F"/>
    <w:rsid w:val="00EF64F5"/>
    <w:rsid w:val="00EF65D9"/>
    <w:rsid w:val="00EF6720"/>
    <w:rsid w:val="00EF6B4C"/>
    <w:rsid w:val="00EF77E1"/>
    <w:rsid w:val="00EF7969"/>
    <w:rsid w:val="00EF7C16"/>
    <w:rsid w:val="00EF7C89"/>
    <w:rsid w:val="00F0078A"/>
    <w:rsid w:val="00F0089E"/>
    <w:rsid w:val="00F0117E"/>
    <w:rsid w:val="00F014E8"/>
    <w:rsid w:val="00F0180D"/>
    <w:rsid w:val="00F021BB"/>
    <w:rsid w:val="00F03086"/>
    <w:rsid w:val="00F034F0"/>
    <w:rsid w:val="00F0358C"/>
    <w:rsid w:val="00F03939"/>
    <w:rsid w:val="00F03A15"/>
    <w:rsid w:val="00F03A93"/>
    <w:rsid w:val="00F03B28"/>
    <w:rsid w:val="00F0449A"/>
    <w:rsid w:val="00F0476D"/>
    <w:rsid w:val="00F048B0"/>
    <w:rsid w:val="00F04D7E"/>
    <w:rsid w:val="00F04EA8"/>
    <w:rsid w:val="00F04F51"/>
    <w:rsid w:val="00F05025"/>
    <w:rsid w:val="00F05975"/>
    <w:rsid w:val="00F05FAA"/>
    <w:rsid w:val="00F06602"/>
    <w:rsid w:val="00F06C7D"/>
    <w:rsid w:val="00F07185"/>
    <w:rsid w:val="00F07D12"/>
    <w:rsid w:val="00F1001F"/>
    <w:rsid w:val="00F10064"/>
    <w:rsid w:val="00F10740"/>
    <w:rsid w:val="00F10F2C"/>
    <w:rsid w:val="00F115CE"/>
    <w:rsid w:val="00F1161F"/>
    <w:rsid w:val="00F116FF"/>
    <w:rsid w:val="00F118F2"/>
    <w:rsid w:val="00F11C3A"/>
    <w:rsid w:val="00F11E6E"/>
    <w:rsid w:val="00F125B1"/>
    <w:rsid w:val="00F12671"/>
    <w:rsid w:val="00F13643"/>
    <w:rsid w:val="00F136DA"/>
    <w:rsid w:val="00F13B0B"/>
    <w:rsid w:val="00F13C76"/>
    <w:rsid w:val="00F1425C"/>
    <w:rsid w:val="00F1438E"/>
    <w:rsid w:val="00F14552"/>
    <w:rsid w:val="00F1463D"/>
    <w:rsid w:val="00F147C3"/>
    <w:rsid w:val="00F14C10"/>
    <w:rsid w:val="00F14DBD"/>
    <w:rsid w:val="00F14E6F"/>
    <w:rsid w:val="00F150AC"/>
    <w:rsid w:val="00F156D7"/>
    <w:rsid w:val="00F15BE1"/>
    <w:rsid w:val="00F1616D"/>
    <w:rsid w:val="00F1618E"/>
    <w:rsid w:val="00F163E9"/>
    <w:rsid w:val="00F16889"/>
    <w:rsid w:val="00F16D5C"/>
    <w:rsid w:val="00F1740C"/>
    <w:rsid w:val="00F178ED"/>
    <w:rsid w:val="00F17B80"/>
    <w:rsid w:val="00F20B69"/>
    <w:rsid w:val="00F20BEF"/>
    <w:rsid w:val="00F20CAE"/>
    <w:rsid w:val="00F21C84"/>
    <w:rsid w:val="00F21E09"/>
    <w:rsid w:val="00F21E84"/>
    <w:rsid w:val="00F21EF7"/>
    <w:rsid w:val="00F22090"/>
    <w:rsid w:val="00F22367"/>
    <w:rsid w:val="00F22534"/>
    <w:rsid w:val="00F22EBC"/>
    <w:rsid w:val="00F23006"/>
    <w:rsid w:val="00F23206"/>
    <w:rsid w:val="00F23338"/>
    <w:rsid w:val="00F23CB0"/>
    <w:rsid w:val="00F2422D"/>
    <w:rsid w:val="00F24402"/>
    <w:rsid w:val="00F2475D"/>
    <w:rsid w:val="00F24939"/>
    <w:rsid w:val="00F24B5F"/>
    <w:rsid w:val="00F24E3E"/>
    <w:rsid w:val="00F2523A"/>
    <w:rsid w:val="00F25397"/>
    <w:rsid w:val="00F256D3"/>
    <w:rsid w:val="00F25BF9"/>
    <w:rsid w:val="00F25FF0"/>
    <w:rsid w:val="00F2610C"/>
    <w:rsid w:val="00F26403"/>
    <w:rsid w:val="00F273B2"/>
    <w:rsid w:val="00F27563"/>
    <w:rsid w:val="00F27615"/>
    <w:rsid w:val="00F279C8"/>
    <w:rsid w:val="00F27E45"/>
    <w:rsid w:val="00F30264"/>
    <w:rsid w:val="00F31BCC"/>
    <w:rsid w:val="00F31BDB"/>
    <w:rsid w:val="00F3230D"/>
    <w:rsid w:val="00F32B5E"/>
    <w:rsid w:val="00F33052"/>
    <w:rsid w:val="00F332D4"/>
    <w:rsid w:val="00F3341E"/>
    <w:rsid w:val="00F33A7E"/>
    <w:rsid w:val="00F33E58"/>
    <w:rsid w:val="00F34B68"/>
    <w:rsid w:val="00F34E6B"/>
    <w:rsid w:val="00F3509C"/>
    <w:rsid w:val="00F350F2"/>
    <w:rsid w:val="00F352E9"/>
    <w:rsid w:val="00F3537F"/>
    <w:rsid w:val="00F353DF"/>
    <w:rsid w:val="00F355D7"/>
    <w:rsid w:val="00F3592E"/>
    <w:rsid w:val="00F35B74"/>
    <w:rsid w:val="00F35C2B"/>
    <w:rsid w:val="00F35FB8"/>
    <w:rsid w:val="00F3660C"/>
    <w:rsid w:val="00F373E4"/>
    <w:rsid w:val="00F378CB"/>
    <w:rsid w:val="00F37C96"/>
    <w:rsid w:val="00F40BF2"/>
    <w:rsid w:val="00F40C3A"/>
    <w:rsid w:val="00F40C9A"/>
    <w:rsid w:val="00F41073"/>
    <w:rsid w:val="00F41106"/>
    <w:rsid w:val="00F413E7"/>
    <w:rsid w:val="00F4174F"/>
    <w:rsid w:val="00F4204A"/>
    <w:rsid w:val="00F42C87"/>
    <w:rsid w:val="00F42CAF"/>
    <w:rsid w:val="00F43D14"/>
    <w:rsid w:val="00F43D27"/>
    <w:rsid w:val="00F448B8"/>
    <w:rsid w:val="00F44DF6"/>
    <w:rsid w:val="00F461A1"/>
    <w:rsid w:val="00F464E6"/>
    <w:rsid w:val="00F46EA0"/>
    <w:rsid w:val="00F47359"/>
    <w:rsid w:val="00F474D8"/>
    <w:rsid w:val="00F476FB"/>
    <w:rsid w:val="00F47920"/>
    <w:rsid w:val="00F47C5D"/>
    <w:rsid w:val="00F47FA2"/>
    <w:rsid w:val="00F50181"/>
    <w:rsid w:val="00F5026F"/>
    <w:rsid w:val="00F50DF5"/>
    <w:rsid w:val="00F51737"/>
    <w:rsid w:val="00F51BC8"/>
    <w:rsid w:val="00F53645"/>
    <w:rsid w:val="00F538F7"/>
    <w:rsid w:val="00F53F39"/>
    <w:rsid w:val="00F540F2"/>
    <w:rsid w:val="00F54328"/>
    <w:rsid w:val="00F543A5"/>
    <w:rsid w:val="00F5449B"/>
    <w:rsid w:val="00F544E0"/>
    <w:rsid w:val="00F546BE"/>
    <w:rsid w:val="00F5481B"/>
    <w:rsid w:val="00F549AE"/>
    <w:rsid w:val="00F54DAC"/>
    <w:rsid w:val="00F54F94"/>
    <w:rsid w:val="00F55739"/>
    <w:rsid w:val="00F5583F"/>
    <w:rsid w:val="00F558AC"/>
    <w:rsid w:val="00F5590B"/>
    <w:rsid w:val="00F55E61"/>
    <w:rsid w:val="00F565AA"/>
    <w:rsid w:val="00F5666B"/>
    <w:rsid w:val="00F56B73"/>
    <w:rsid w:val="00F56BA9"/>
    <w:rsid w:val="00F56DA6"/>
    <w:rsid w:val="00F573AA"/>
    <w:rsid w:val="00F57475"/>
    <w:rsid w:val="00F57726"/>
    <w:rsid w:val="00F579F8"/>
    <w:rsid w:val="00F57A6E"/>
    <w:rsid w:val="00F57EEE"/>
    <w:rsid w:val="00F60297"/>
    <w:rsid w:val="00F60629"/>
    <w:rsid w:val="00F606D0"/>
    <w:rsid w:val="00F60908"/>
    <w:rsid w:val="00F60A76"/>
    <w:rsid w:val="00F60AC4"/>
    <w:rsid w:val="00F60CC7"/>
    <w:rsid w:val="00F60E7D"/>
    <w:rsid w:val="00F61847"/>
    <w:rsid w:val="00F61AA6"/>
    <w:rsid w:val="00F62934"/>
    <w:rsid w:val="00F62C17"/>
    <w:rsid w:val="00F62D8E"/>
    <w:rsid w:val="00F63004"/>
    <w:rsid w:val="00F63258"/>
    <w:rsid w:val="00F634C0"/>
    <w:rsid w:val="00F63593"/>
    <w:rsid w:val="00F63703"/>
    <w:rsid w:val="00F638D5"/>
    <w:rsid w:val="00F63A6C"/>
    <w:rsid w:val="00F63CCC"/>
    <w:rsid w:val="00F64340"/>
    <w:rsid w:val="00F65120"/>
    <w:rsid w:val="00F657B1"/>
    <w:rsid w:val="00F65BB8"/>
    <w:rsid w:val="00F66334"/>
    <w:rsid w:val="00F663A3"/>
    <w:rsid w:val="00F6644A"/>
    <w:rsid w:val="00F66AEC"/>
    <w:rsid w:val="00F66DFA"/>
    <w:rsid w:val="00F66EA5"/>
    <w:rsid w:val="00F6737B"/>
    <w:rsid w:val="00F67CE3"/>
    <w:rsid w:val="00F67DF7"/>
    <w:rsid w:val="00F67EB8"/>
    <w:rsid w:val="00F7096D"/>
    <w:rsid w:val="00F70A74"/>
    <w:rsid w:val="00F70FD8"/>
    <w:rsid w:val="00F71668"/>
    <w:rsid w:val="00F727A8"/>
    <w:rsid w:val="00F72B75"/>
    <w:rsid w:val="00F72CFC"/>
    <w:rsid w:val="00F732AD"/>
    <w:rsid w:val="00F73326"/>
    <w:rsid w:val="00F73407"/>
    <w:rsid w:val="00F73AD0"/>
    <w:rsid w:val="00F73B33"/>
    <w:rsid w:val="00F743D7"/>
    <w:rsid w:val="00F74759"/>
    <w:rsid w:val="00F747E6"/>
    <w:rsid w:val="00F74CBB"/>
    <w:rsid w:val="00F751B9"/>
    <w:rsid w:val="00F75603"/>
    <w:rsid w:val="00F76E43"/>
    <w:rsid w:val="00F76E7C"/>
    <w:rsid w:val="00F770C9"/>
    <w:rsid w:val="00F77586"/>
    <w:rsid w:val="00F7772A"/>
    <w:rsid w:val="00F77877"/>
    <w:rsid w:val="00F779D6"/>
    <w:rsid w:val="00F77C11"/>
    <w:rsid w:val="00F77E44"/>
    <w:rsid w:val="00F802DA"/>
    <w:rsid w:val="00F802EA"/>
    <w:rsid w:val="00F80534"/>
    <w:rsid w:val="00F8064C"/>
    <w:rsid w:val="00F807AE"/>
    <w:rsid w:val="00F81468"/>
    <w:rsid w:val="00F81563"/>
    <w:rsid w:val="00F819B9"/>
    <w:rsid w:val="00F81DEB"/>
    <w:rsid w:val="00F82389"/>
    <w:rsid w:val="00F82430"/>
    <w:rsid w:val="00F825A2"/>
    <w:rsid w:val="00F82774"/>
    <w:rsid w:val="00F82EBD"/>
    <w:rsid w:val="00F83030"/>
    <w:rsid w:val="00F832BC"/>
    <w:rsid w:val="00F834CF"/>
    <w:rsid w:val="00F83543"/>
    <w:rsid w:val="00F83761"/>
    <w:rsid w:val="00F85027"/>
    <w:rsid w:val="00F8550A"/>
    <w:rsid w:val="00F85529"/>
    <w:rsid w:val="00F85BCE"/>
    <w:rsid w:val="00F85C80"/>
    <w:rsid w:val="00F85D33"/>
    <w:rsid w:val="00F85ECF"/>
    <w:rsid w:val="00F85FFE"/>
    <w:rsid w:val="00F8617A"/>
    <w:rsid w:val="00F86324"/>
    <w:rsid w:val="00F86D68"/>
    <w:rsid w:val="00F86DF8"/>
    <w:rsid w:val="00F86F32"/>
    <w:rsid w:val="00F86F4C"/>
    <w:rsid w:val="00F8754B"/>
    <w:rsid w:val="00F87743"/>
    <w:rsid w:val="00F877C6"/>
    <w:rsid w:val="00F87852"/>
    <w:rsid w:val="00F87B9D"/>
    <w:rsid w:val="00F87D66"/>
    <w:rsid w:val="00F87E4F"/>
    <w:rsid w:val="00F87F2B"/>
    <w:rsid w:val="00F90456"/>
    <w:rsid w:val="00F9074A"/>
    <w:rsid w:val="00F90A9D"/>
    <w:rsid w:val="00F90EBD"/>
    <w:rsid w:val="00F91068"/>
    <w:rsid w:val="00F91549"/>
    <w:rsid w:val="00F92CDD"/>
    <w:rsid w:val="00F92F4A"/>
    <w:rsid w:val="00F930AD"/>
    <w:rsid w:val="00F930FD"/>
    <w:rsid w:val="00F936BE"/>
    <w:rsid w:val="00F9370D"/>
    <w:rsid w:val="00F9382F"/>
    <w:rsid w:val="00F938E0"/>
    <w:rsid w:val="00F93A08"/>
    <w:rsid w:val="00F93F30"/>
    <w:rsid w:val="00F942B8"/>
    <w:rsid w:val="00F944BF"/>
    <w:rsid w:val="00F94D91"/>
    <w:rsid w:val="00F95356"/>
    <w:rsid w:val="00F95456"/>
    <w:rsid w:val="00F9583D"/>
    <w:rsid w:val="00F9586E"/>
    <w:rsid w:val="00F95965"/>
    <w:rsid w:val="00F95AE5"/>
    <w:rsid w:val="00F95FB3"/>
    <w:rsid w:val="00F965EF"/>
    <w:rsid w:val="00F96605"/>
    <w:rsid w:val="00F971B8"/>
    <w:rsid w:val="00F971E7"/>
    <w:rsid w:val="00F97324"/>
    <w:rsid w:val="00F975D8"/>
    <w:rsid w:val="00F97CF5"/>
    <w:rsid w:val="00F97D7F"/>
    <w:rsid w:val="00FA0318"/>
    <w:rsid w:val="00FA0889"/>
    <w:rsid w:val="00FA1606"/>
    <w:rsid w:val="00FA1968"/>
    <w:rsid w:val="00FA1B10"/>
    <w:rsid w:val="00FA1C33"/>
    <w:rsid w:val="00FA1E19"/>
    <w:rsid w:val="00FA2274"/>
    <w:rsid w:val="00FA236E"/>
    <w:rsid w:val="00FA2BF7"/>
    <w:rsid w:val="00FA3368"/>
    <w:rsid w:val="00FA34B2"/>
    <w:rsid w:val="00FA367C"/>
    <w:rsid w:val="00FA3A23"/>
    <w:rsid w:val="00FA41AE"/>
    <w:rsid w:val="00FA4456"/>
    <w:rsid w:val="00FA4668"/>
    <w:rsid w:val="00FA46E5"/>
    <w:rsid w:val="00FA4A11"/>
    <w:rsid w:val="00FA4EA1"/>
    <w:rsid w:val="00FA4ECE"/>
    <w:rsid w:val="00FA5D5F"/>
    <w:rsid w:val="00FA5E85"/>
    <w:rsid w:val="00FA63EA"/>
    <w:rsid w:val="00FA66DA"/>
    <w:rsid w:val="00FA66F3"/>
    <w:rsid w:val="00FA6843"/>
    <w:rsid w:val="00FA7A8A"/>
    <w:rsid w:val="00FA7D29"/>
    <w:rsid w:val="00FB00BD"/>
    <w:rsid w:val="00FB040F"/>
    <w:rsid w:val="00FB0905"/>
    <w:rsid w:val="00FB0B76"/>
    <w:rsid w:val="00FB0D83"/>
    <w:rsid w:val="00FB1246"/>
    <w:rsid w:val="00FB1346"/>
    <w:rsid w:val="00FB19F4"/>
    <w:rsid w:val="00FB1A06"/>
    <w:rsid w:val="00FB252E"/>
    <w:rsid w:val="00FB2AD7"/>
    <w:rsid w:val="00FB2E56"/>
    <w:rsid w:val="00FB31FB"/>
    <w:rsid w:val="00FB3766"/>
    <w:rsid w:val="00FB386A"/>
    <w:rsid w:val="00FB38E1"/>
    <w:rsid w:val="00FB3952"/>
    <w:rsid w:val="00FB3B18"/>
    <w:rsid w:val="00FB3CE5"/>
    <w:rsid w:val="00FB3EA0"/>
    <w:rsid w:val="00FB3F69"/>
    <w:rsid w:val="00FB4145"/>
    <w:rsid w:val="00FB43C7"/>
    <w:rsid w:val="00FB4477"/>
    <w:rsid w:val="00FB453E"/>
    <w:rsid w:val="00FB46C4"/>
    <w:rsid w:val="00FB4819"/>
    <w:rsid w:val="00FB5E57"/>
    <w:rsid w:val="00FB5F13"/>
    <w:rsid w:val="00FB69A1"/>
    <w:rsid w:val="00FB6DEA"/>
    <w:rsid w:val="00FB6EAE"/>
    <w:rsid w:val="00FB76A4"/>
    <w:rsid w:val="00FB7B3E"/>
    <w:rsid w:val="00FB7C59"/>
    <w:rsid w:val="00FC019F"/>
    <w:rsid w:val="00FC01C7"/>
    <w:rsid w:val="00FC0608"/>
    <w:rsid w:val="00FC0841"/>
    <w:rsid w:val="00FC0B96"/>
    <w:rsid w:val="00FC0CB4"/>
    <w:rsid w:val="00FC0CFF"/>
    <w:rsid w:val="00FC0FEA"/>
    <w:rsid w:val="00FC15CF"/>
    <w:rsid w:val="00FC187A"/>
    <w:rsid w:val="00FC1BA3"/>
    <w:rsid w:val="00FC1E34"/>
    <w:rsid w:val="00FC1F66"/>
    <w:rsid w:val="00FC248F"/>
    <w:rsid w:val="00FC29D0"/>
    <w:rsid w:val="00FC2DC5"/>
    <w:rsid w:val="00FC301B"/>
    <w:rsid w:val="00FC3821"/>
    <w:rsid w:val="00FC4220"/>
    <w:rsid w:val="00FC4CDF"/>
    <w:rsid w:val="00FC4E29"/>
    <w:rsid w:val="00FC5229"/>
    <w:rsid w:val="00FC5600"/>
    <w:rsid w:val="00FC599A"/>
    <w:rsid w:val="00FC5F0D"/>
    <w:rsid w:val="00FC66A2"/>
    <w:rsid w:val="00FC6B8F"/>
    <w:rsid w:val="00FC715F"/>
    <w:rsid w:val="00FC7923"/>
    <w:rsid w:val="00FC7DA6"/>
    <w:rsid w:val="00FC7DAD"/>
    <w:rsid w:val="00FD06BF"/>
    <w:rsid w:val="00FD06D9"/>
    <w:rsid w:val="00FD0C2A"/>
    <w:rsid w:val="00FD0C9E"/>
    <w:rsid w:val="00FD0E94"/>
    <w:rsid w:val="00FD0EC5"/>
    <w:rsid w:val="00FD183A"/>
    <w:rsid w:val="00FD1A5A"/>
    <w:rsid w:val="00FD1C89"/>
    <w:rsid w:val="00FD1DC5"/>
    <w:rsid w:val="00FD21FA"/>
    <w:rsid w:val="00FD22D0"/>
    <w:rsid w:val="00FD2866"/>
    <w:rsid w:val="00FD28FB"/>
    <w:rsid w:val="00FD2A22"/>
    <w:rsid w:val="00FD2AF5"/>
    <w:rsid w:val="00FD331C"/>
    <w:rsid w:val="00FD331F"/>
    <w:rsid w:val="00FD3A22"/>
    <w:rsid w:val="00FD4191"/>
    <w:rsid w:val="00FD43D1"/>
    <w:rsid w:val="00FD49AE"/>
    <w:rsid w:val="00FD56EE"/>
    <w:rsid w:val="00FD590E"/>
    <w:rsid w:val="00FD5A0A"/>
    <w:rsid w:val="00FD5F1D"/>
    <w:rsid w:val="00FD5F8F"/>
    <w:rsid w:val="00FD6557"/>
    <w:rsid w:val="00FD658C"/>
    <w:rsid w:val="00FD6BCD"/>
    <w:rsid w:val="00FD71A1"/>
    <w:rsid w:val="00FD74E0"/>
    <w:rsid w:val="00FD7A0B"/>
    <w:rsid w:val="00FE097D"/>
    <w:rsid w:val="00FE0B09"/>
    <w:rsid w:val="00FE0DC3"/>
    <w:rsid w:val="00FE0F42"/>
    <w:rsid w:val="00FE146F"/>
    <w:rsid w:val="00FE1682"/>
    <w:rsid w:val="00FE1916"/>
    <w:rsid w:val="00FE1B2C"/>
    <w:rsid w:val="00FE1D71"/>
    <w:rsid w:val="00FE22A1"/>
    <w:rsid w:val="00FE22A3"/>
    <w:rsid w:val="00FE2358"/>
    <w:rsid w:val="00FE25E3"/>
    <w:rsid w:val="00FE282F"/>
    <w:rsid w:val="00FE28DA"/>
    <w:rsid w:val="00FE2E26"/>
    <w:rsid w:val="00FE3081"/>
    <w:rsid w:val="00FE3BE4"/>
    <w:rsid w:val="00FE3EFC"/>
    <w:rsid w:val="00FE406C"/>
    <w:rsid w:val="00FE44DC"/>
    <w:rsid w:val="00FE4593"/>
    <w:rsid w:val="00FE486D"/>
    <w:rsid w:val="00FE573B"/>
    <w:rsid w:val="00FE5DA9"/>
    <w:rsid w:val="00FE5F31"/>
    <w:rsid w:val="00FE5F78"/>
    <w:rsid w:val="00FE5FBC"/>
    <w:rsid w:val="00FE6A42"/>
    <w:rsid w:val="00FE6B2D"/>
    <w:rsid w:val="00FE6B48"/>
    <w:rsid w:val="00FE6C0B"/>
    <w:rsid w:val="00FE731C"/>
    <w:rsid w:val="00FE79B1"/>
    <w:rsid w:val="00FE7CFD"/>
    <w:rsid w:val="00FE7DA2"/>
    <w:rsid w:val="00FE7F1E"/>
    <w:rsid w:val="00FE7FFA"/>
    <w:rsid w:val="00FF0734"/>
    <w:rsid w:val="00FF1004"/>
    <w:rsid w:val="00FF12FF"/>
    <w:rsid w:val="00FF1369"/>
    <w:rsid w:val="00FF13D2"/>
    <w:rsid w:val="00FF1534"/>
    <w:rsid w:val="00FF1786"/>
    <w:rsid w:val="00FF1BF2"/>
    <w:rsid w:val="00FF1CE2"/>
    <w:rsid w:val="00FF1F94"/>
    <w:rsid w:val="00FF1FF4"/>
    <w:rsid w:val="00FF2475"/>
    <w:rsid w:val="00FF27CB"/>
    <w:rsid w:val="00FF2A21"/>
    <w:rsid w:val="00FF2CED"/>
    <w:rsid w:val="00FF2E0A"/>
    <w:rsid w:val="00FF2EDC"/>
    <w:rsid w:val="00FF335E"/>
    <w:rsid w:val="00FF3717"/>
    <w:rsid w:val="00FF3CED"/>
    <w:rsid w:val="00FF3CFB"/>
    <w:rsid w:val="00FF40CB"/>
    <w:rsid w:val="00FF4E8A"/>
    <w:rsid w:val="00FF5343"/>
    <w:rsid w:val="00FF5646"/>
    <w:rsid w:val="00FF5763"/>
    <w:rsid w:val="00FF5D5A"/>
    <w:rsid w:val="00FF6ADE"/>
    <w:rsid w:val="00FF7034"/>
    <w:rsid w:val="00FF705C"/>
    <w:rsid w:val="00FF72F6"/>
    <w:rsid w:val="00FF76F5"/>
    <w:rsid w:val="00FF7C7B"/>
    <w:rsid w:val="01435B59"/>
    <w:rsid w:val="01547F3A"/>
    <w:rsid w:val="01985948"/>
    <w:rsid w:val="019A44CD"/>
    <w:rsid w:val="01A3E2C7"/>
    <w:rsid w:val="01B453E3"/>
    <w:rsid w:val="01CD6F92"/>
    <w:rsid w:val="01FCC3B2"/>
    <w:rsid w:val="0251DB39"/>
    <w:rsid w:val="02813A49"/>
    <w:rsid w:val="029649A6"/>
    <w:rsid w:val="02B4CA06"/>
    <w:rsid w:val="02CFAD5D"/>
    <w:rsid w:val="02D460F8"/>
    <w:rsid w:val="02E980C3"/>
    <w:rsid w:val="031245C1"/>
    <w:rsid w:val="0328F64F"/>
    <w:rsid w:val="0353DF7F"/>
    <w:rsid w:val="035A0051"/>
    <w:rsid w:val="035CDF74"/>
    <w:rsid w:val="035F2E26"/>
    <w:rsid w:val="0377746C"/>
    <w:rsid w:val="03B6725B"/>
    <w:rsid w:val="03CDE253"/>
    <w:rsid w:val="03CE386A"/>
    <w:rsid w:val="04093A71"/>
    <w:rsid w:val="043CAFB3"/>
    <w:rsid w:val="044167AD"/>
    <w:rsid w:val="04526A8C"/>
    <w:rsid w:val="045641E8"/>
    <w:rsid w:val="045B89DF"/>
    <w:rsid w:val="0463EAF3"/>
    <w:rsid w:val="04991C40"/>
    <w:rsid w:val="04ACA070"/>
    <w:rsid w:val="0522C8DC"/>
    <w:rsid w:val="054D635D"/>
    <w:rsid w:val="056E22CC"/>
    <w:rsid w:val="056E395D"/>
    <w:rsid w:val="0599AEC2"/>
    <w:rsid w:val="05A3D6CF"/>
    <w:rsid w:val="05B6D2B7"/>
    <w:rsid w:val="05C5F747"/>
    <w:rsid w:val="05C8D854"/>
    <w:rsid w:val="06305EF2"/>
    <w:rsid w:val="0633B667"/>
    <w:rsid w:val="06373D28"/>
    <w:rsid w:val="063C0141"/>
    <w:rsid w:val="0672CBC7"/>
    <w:rsid w:val="067CEF8B"/>
    <w:rsid w:val="0682DA0E"/>
    <w:rsid w:val="06865C39"/>
    <w:rsid w:val="068A4736"/>
    <w:rsid w:val="069FEFCB"/>
    <w:rsid w:val="06A27402"/>
    <w:rsid w:val="072B9932"/>
    <w:rsid w:val="0736C348"/>
    <w:rsid w:val="0757CB26"/>
    <w:rsid w:val="078196F8"/>
    <w:rsid w:val="079028AF"/>
    <w:rsid w:val="07E20DB3"/>
    <w:rsid w:val="0803E577"/>
    <w:rsid w:val="08261797"/>
    <w:rsid w:val="082AB5A7"/>
    <w:rsid w:val="083DDC05"/>
    <w:rsid w:val="08A9E775"/>
    <w:rsid w:val="08B77D6C"/>
    <w:rsid w:val="08EB6834"/>
    <w:rsid w:val="0912F91A"/>
    <w:rsid w:val="091ED779"/>
    <w:rsid w:val="09231E95"/>
    <w:rsid w:val="098BC254"/>
    <w:rsid w:val="09AAC887"/>
    <w:rsid w:val="09B8EF02"/>
    <w:rsid w:val="09D375BF"/>
    <w:rsid w:val="09F43806"/>
    <w:rsid w:val="0A28F95E"/>
    <w:rsid w:val="0A3882E4"/>
    <w:rsid w:val="0A38E5DE"/>
    <w:rsid w:val="0AA3EAE8"/>
    <w:rsid w:val="0AAAC764"/>
    <w:rsid w:val="0B04941D"/>
    <w:rsid w:val="0B059747"/>
    <w:rsid w:val="0B0F112B"/>
    <w:rsid w:val="0B20EDE5"/>
    <w:rsid w:val="0B28AAF3"/>
    <w:rsid w:val="0B296F9F"/>
    <w:rsid w:val="0B2F876E"/>
    <w:rsid w:val="0B33D0DE"/>
    <w:rsid w:val="0B4150E6"/>
    <w:rsid w:val="0B5845C0"/>
    <w:rsid w:val="0B8DE742"/>
    <w:rsid w:val="0BA2C8D3"/>
    <w:rsid w:val="0C628352"/>
    <w:rsid w:val="0C6E4993"/>
    <w:rsid w:val="0C874C45"/>
    <w:rsid w:val="0C899787"/>
    <w:rsid w:val="0C90E02F"/>
    <w:rsid w:val="0CDA786A"/>
    <w:rsid w:val="0D0AD4E3"/>
    <w:rsid w:val="0D12DA2C"/>
    <w:rsid w:val="0D15C551"/>
    <w:rsid w:val="0D2780D8"/>
    <w:rsid w:val="0D4216A8"/>
    <w:rsid w:val="0D5EEECE"/>
    <w:rsid w:val="0D640EAD"/>
    <w:rsid w:val="0D6A2EB1"/>
    <w:rsid w:val="0D90FBEE"/>
    <w:rsid w:val="0DA5CBF5"/>
    <w:rsid w:val="0DBB788C"/>
    <w:rsid w:val="0DE4F76E"/>
    <w:rsid w:val="0DF6E751"/>
    <w:rsid w:val="0DFF6A33"/>
    <w:rsid w:val="0E30FEB9"/>
    <w:rsid w:val="0E5B6AB2"/>
    <w:rsid w:val="0E5D792D"/>
    <w:rsid w:val="0E708B98"/>
    <w:rsid w:val="0E762C2D"/>
    <w:rsid w:val="0EC3B2BF"/>
    <w:rsid w:val="0EDD4EFF"/>
    <w:rsid w:val="0EE00D0D"/>
    <w:rsid w:val="0EE11D08"/>
    <w:rsid w:val="0EFC3AD5"/>
    <w:rsid w:val="0EFD4E83"/>
    <w:rsid w:val="0F0FEC12"/>
    <w:rsid w:val="0F1F60C7"/>
    <w:rsid w:val="0F2096E8"/>
    <w:rsid w:val="0F5D2E0C"/>
    <w:rsid w:val="0F821237"/>
    <w:rsid w:val="0F9433F6"/>
    <w:rsid w:val="0FD26309"/>
    <w:rsid w:val="0FDB563A"/>
    <w:rsid w:val="0FEFFC0E"/>
    <w:rsid w:val="10113170"/>
    <w:rsid w:val="101EB4DA"/>
    <w:rsid w:val="1021BC25"/>
    <w:rsid w:val="104DC8BC"/>
    <w:rsid w:val="10F5015F"/>
    <w:rsid w:val="10F57DBA"/>
    <w:rsid w:val="1100B3D1"/>
    <w:rsid w:val="111352C7"/>
    <w:rsid w:val="11370AF5"/>
    <w:rsid w:val="1149278A"/>
    <w:rsid w:val="11AD4A7C"/>
    <w:rsid w:val="11EBF6F5"/>
    <w:rsid w:val="11FBFDD4"/>
    <w:rsid w:val="127799FB"/>
    <w:rsid w:val="12D6E55A"/>
    <w:rsid w:val="12E1FF1A"/>
    <w:rsid w:val="12E294CE"/>
    <w:rsid w:val="12E60EE2"/>
    <w:rsid w:val="12F0C7EA"/>
    <w:rsid w:val="12F6ABC9"/>
    <w:rsid w:val="1324D7FA"/>
    <w:rsid w:val="132D26F6"/>
    <w:rsid w:val="133DA63F"/>
    <w:rsid w:val="137710E9"/>
    <w:rsid w:val="137FB73D"/>
    <w:rsid w:val="13844B97"/>
    <w:rsid w:val="138F6C72"/>
    <w:rsid w:val="13947FD5"/>
    <w:rsid w:val="13B6AE60"/>
    <w:rsid w:val="13F8AF7C"/>
    <w:rsid w:val="14081179"/>
    <w:rsid w:val="146AEDE7"/>
    <w:rsid w:val="14A1BF03"/>
    <w:rsid w:val="14AB9156"/>
    <w:rsid w:val="14CEE108"/>
    <w:rsid w:val="1508C7DF"/>
    <w:rsid w:val="152C7B1A"/>
    <w:rsid w:val="152ED09E"/>
    <w:rsid w:val="154601FA"/>
    <w:rsid w:val="1554F074"/>
    <w:rsid w:val="1578FB91"/>
    <w:rsid w:val="15C7B9CC"/>
    <w:rsid w:val="15DCFF4B"/>
    <w:rsid w:val="15E1C28A"/>
    <w:rsid w:val="164A10E7"/>
    <w:rsid w:val="16808A39"/>
    <w:rsid w:val="16812C4E"/>
    <w:rsid w:val="1683E9C6"/>
    <w:rsid w:val="169C4974"/>
    <w:rsid w:val="16A0062A"/>
    <w:rsid w:val="16AC129A"/>
    <w:rsid w:val="16BE4716"/>
    <w:rsid w:val="16D28444"/>
    <w:rsid w:val="1711E582"/>
    <w:rsid w:val="1739ED89"/>
    <w:rsid w:val="175D9BCA"/>
    <w:rsid w:val="17627091"/>
    <w:rsid w:val="177BD6AE"/>
    <w:rsid w:val="17A651A8"/>
    <w:rsid w:val="17F23A0E"/>
    <w:rsid w:val="17FBE489"/>
    <w:rsid w:val="1800FC8A"/>
    <w:rsid w:val="1821BFFE"/>
    <w:rsid w:val="182AB817"/>
    <w:rsid w:val="18385946"/>
    <w:rsid w:val="1841B62E"/>
    <w:rsid w:val="185225C3"/>
    <w:rsid w:val="18698369"/>
    <w:rsid w:val="188FB1BC"/>
    <w:rsid w:val="18945A28"/>
    <w:rsid w:val="1895A1B3"/>
    <w:rsid w:val="189A1DE3"/>
    <w:rsid w:val="18A2B34D"/>
    <w:rsid w:val="18A79E6F"/>
    <w:rsid w:val="18D09342"/>
    <w:rsid w:val="18F8A53D"/>
    <w:rsid w:val="18F985C3"/>
    <w:rsid w:val="1903CFCA"/>
    <w:rsid w:val="191BFB48"/>
    <w:rsid w:val="19413706"/>
    <w:rsid w:val="194A4D91"/>
    <w:rsid w:val="194E221B"/>
    <w:rsid w:val="1985E4D9"/>
    <w:rsid w:val="19FCD50E"/>
    <w:rsid w:val="1A23B158"/>
    <w:rsid w:val="1A6342F2"/>
    <w:rsid w:val="1A70D244"/>
    <w:rsid w:val="1A8EC1F0"/>
    <w:rsid w:val="1A8F83F8"/>
    <w:rsid w:val="1AFBC716"/>
    <w:rsid w:val="1B2CF32C"/>
    <w:rsid w:val="1B69F1E6"/>
    <w:rsid w:val="1B74E2EF"/>
    <w:rsid w:val="1B8801E8"/>
    <w:rsid w:val="1B910719"/>
    <w:rsid w:val="1B915144"/>
    <w:rsid w:val="1BA82469"/>
    <w:rsid w:val="1BB20B85"/>
    <w:rsid w:val="1BB58485"/>
    <w:rsid w:val="1BB6EB61"/>
    <w:rsid w:val="1BE1C51C"/>
    <w:rsid w:val="1BF37386"/>
    <w:rsid w:val="1C137203"/>
    <w:rsid w:val="1C2F3766"/>
    <w:rsid w:val="1C3890FB"/>
    <w:rsid w:val="1C41E4D4"/>
    <w:rsid w:val="1C5E01DE"/>
    <w:rsid w:val="1CD18A5E"/>
    <w:rsid w:val="1CDF0910"/>
    <w:rsid w:val="1CFEC838"/>
    <w:rsid w:val="1D24DD7A"/>
    <w:rsid w:val="1D27EB70"/>
    <w:rsid w:val="1D85D79C"/>
    <w:rsid w:val="1DFF60C0"/>
    <w:rsid w:val="1E3DB4EE"/>
    <w:rsid w:val="1E3E9527"/>
    <w:rsid w:val="1E670F66"/>
    <w:rsid w:val="1E74B7F7"/>
    <w:rsid w:val="1E9942AF"/>
    <w:rsid w:val="1EA0D931"/>
    <w:rsid w:val="1EB594FF"/>
    <w:rsid w:val="1EEA9895"/>
    <w:rsid w:val="1F945F13"/>
    <w:rsid w:val="1FE369E7"/>
    <w:rsid w:val="2000F433"/>
    <w:rsid w:val="2001D48E"/>
    <w:rsid w:val="2035DB25"/>
    <w:rsid w:val="2068B82E"/>
    <w:rsid w:val="2093DB8E"/>
    <w:rsid w:val="20BC4985"/>
    <w:rsid w:val="20E10759"/>
    <w:rsid w:val="213A95FA"/>
    <w:rsid w:val="214F972C"/>
    <w:rsid w:val="215F36FC"/>
    <w:rsid w:val="216BAB83"/>
    <w:rsid w:val="216E9C53"/>
    <w:rsid w:val="217A2F63"/>
    <w:rsid w:val="21822B41"/>
    <w:rsid w:val="218685D6"/>
    <w:rsid w:val="2195347F"/>
    <w:rsid w:val="21CE2AED"/>
    <w:rsid w:val="21E1C3A7"/>
    <w:rsid w:val="21EA2754"/>
    <w:rsid w:val="21F98EE8"/>
    <w:rsid w:val="224B07A5"/>
    <w:rsid w:val="22530671"/>
    <w:rsid w:val="2286CED1"/>
    <w:rsid w:val="2290FEB5"/>
    <w:rsid w:val="22987615"/>
    <w:rsid w:val="22B3D576"/>
    <w:rsid w:val="23098161"/>
    <w:rsid w:val="231F27DD"/>
    <w:rsid w:val="231F95E0"/>
    <w:rsid w:val="23223C4A"/>
    <w:rsid w:val="236782CD"/>
    <w:rsid w:val="237A802F"/>
    <w:rsid w:val="2398336B"/>
    <w:rsid w:val="23A28B05"/>
    <w:rsid w:val="23B7881B"/>
    <w:rsid w:val="23C9FB06"/>
    <w:rsid w:val="23D0C858"/>
    <w:rsid w:val="240153AD"/>
    <w:rsid w:val="240A4FBB"/>
    <w:rsid w:val="24189327"/>
    <w:rsid w:val="2425615C"/>
    <w:rsid w:val="242C9D27"/>
    <w:rsid w:val="2435A651"/>
    <w:rsid w:val="2442115F"/>
    <w:rsid w:val="2454E376"/>
    <w:rsid w:val="2465F5B9"/>
    <w:rsid w:val="2476638F"/>
    <w:rsid w:val="24B6BAAA"/>
    <w:rsid w:val="24BB7E28"/>
    <w:rsid w:val="24C90622"/>
    <w:rsid w:val="24DD298E"/>
    <w:rsid w:val="251E955D"/>
    <w:rsid w:val="252DAD93"/>
    <w:rsid w:val="25327F79"/>
    <w:rsid w:val="255405BF"/>
    <w:rsid w:val="255F6A17"/>
    <w:rsid w:val="2564A644"/>
    <w:rsid w:val="25669101"/>
    <w:rsid w:val="257F51AC"/>
    <w:rsid w:val="25A54928"/>
    <w:rsid w:val="25C2BCED"/>
    <w:rsid w:val="25D22A84"/>
    <w:rsid w:val="25F8C6CE"/>
    <w:rsid w:val="26067CFC"/>
    <w:rsid w:val="260C4F71"/>
    <w:rsid w:val="260EB2A7"/>
    <w:rsid w:val="261256A7"/>
    <w:rsid w:val="262C4003"/>
    <w:rsid w:val="2637CF7A"/>
    <w:rsid w:val="264754B4"/>
    <w:rsid w:val="266079EB"/>
    <w:rsid w:val="26FAD3ED"/>
    <w:rsid w:val="272828ED"/>
    <w:rsid w:val="2753546F"/>
    <w:rsid w:val="2769D179"/>
    <w:rsid w:val="27C0671F"/>
    <w:rsid w:val="27F39D42"/>
    <w:rsid w:val="27FB2761"/>
    <w:rsid w:val="2804C8B5"/>
    <w:rsid w:val="282B657E"/>
    <w:rsid w:val="282F40FC"/>
    <w:rsid w:val="2842A904"/>
    <w:rsid w:val="285CA575"/>
    <w:rsid w:val="2896E0DB"/>
    <w:rsid w:val="289E5FFF"/>
    <w:rsid w:val="28B2B15B"/>
    <w:rsid w:val="28D76335"/>
    <w:rsid w:val="2915ECD9"/>
    <w:rsid w:val="2917E6B6"/>
    <w:rsid w:val="296EF29D"/>
    <w:rsid w:val="29809242"/>
    <w:rsid w:val="29D92F9C"/>
    <w:rsid w:val="29E8A6F8"/>
    <w:rsid w:val="2A50CB0F"/>
    <w:rsid w:val="2A6E41DB"/>
    <w:rsid w:val="2A6F5AD6"/>
    <w:rsid w:val="2AC216EE"/>
    <w:rsid w:val="2AD117D6"/>
    <w:rsid w:val="2AD65DC4"/>
    <w:rsid w:val="2AF77056"/>
    <w:rsid w:val="2B10A55B"/>
    <w:rsid w:val="2B32E87C"/>
    <w:rsid w:val="2B5BE297"/>
    <w:rsid w:val="2B601347"/>
    <w:rsid w:val="2B64AA17"/>
    <w:rsid w:val="2B6A64BD"/>
    <w:rsid w:val="2BA9D046"/>
    <w:rsid w:val="2C433B39"/>
    <w:rsid w:val="2C5556B6"/>
    <w:rsid w:val="2D727C35"/>
    <w:rsid w:val="2DB305EE"/>
    <w:rsid w:val="2DB78457"/>
    <w:rsid w:val="2DBF33A9"/>
    <w:rsid w:val="2DD57051"/>
    <w:rsid w:val="2DF35876"/>
    <w:rsid w:val="2DF566BE"/>
    <w:rsid w:val="2E030496"/>
    <w:rsid w:val="2E14F887"/>
    <w:rsid w:val="2E19FB71"/>
    <w:rsid w:val="2E1B0840"/>
    <w:rsid w:val="2E356704"/>
    <w:rsid w:val="2E610A14"/>
    <w:rsid w:val="2E72355F"/>
    <w:rsid w:val="2EAE435D"/>
    <w:rsid w:val="2EBD591C"/>
    <w:rsid w:val="2ED08CA3"/>
    <w:rsid w:val="2F08C9A8"/>
    <w:rsid w:val="2F28B828"/>
    <w:rsid w:val="2F3AEE47"/>
    <w:rsid w:val="2F7F140B"/>
    <w:rsid w:val="2F98FA2C"/>
    <w:rsid w:val="2FB9C159"/>
    <w:rsid w:val="2FF7387B"/>
    <w:rsid w:val="2FFD0D17"/>
    <w:rsid w:val="306DD4D7"/>
    <w:rsid w:val="309EF71A"/>
    <w:rsid w:val="309FEEB9"/>
    <w:rsid w:val="30A954E5"/>
    <w:rsid w:val="3120A6A2"/>
    <w:rsid w:val="318C8B0D"/>
    <w:rsid w:val="31C1A80E"/>
    <w:rsid w:val="31F6B29F"/>
    <w:rsid w:val="31F8225B"/>
    <w:rsid w:val="31FE7CCF"/>
    <w:rsid w:val="32504F5C"/>
    <w:rsid w:val="32516B5C"/>
    <w:rsid w:val="32658A0E"/>
    <w:rsid w:val="3291D623"/>
    <w:rsid w:val="3298A3A8"/>
    <w:rsid w:val="32C872F8"/>
    <w:rsid w:val="330999D2"/>
    <w:rsid w:val="332A953A"/>
    <w:rsid w:val="3330869A"/>
    <w:rsid w:val="3342165A"/>
    <w:rsid w:val="335303A5"/>
    <w:rsid w:val="3367230C"/>
    <w:rsid w:val="337520E4"/>
    <w:rsid w:val="33A3DB6E"/>
    <w:rsid w:val="33C09523"/>
    <w:rsid w:val="33EDDAF7"/>
    <w:rsid w:val="3432ACE2"/>
    <w:rsid w:val="3463F1FE"/>
    <w:rsid w:val="34A93C49"/>
    <w:rsid w:val="34C201D3"/>
    <w:rsid w:val="35181EA9"/>
    <w:rsid w:val="353DF0B9"/>
    <w:rsid w:val="35489691"/>
    <w:rsid w:val="35753AE9"/>
    <w:rsid w:val="35DD885F"/>
    <w:rsid w:val="360F1246"/>
    <w:rsid w:val="3673B454"/>
    <w:rsid w:val="3685DADB"/>
    <w:rsid w:val="36E84872"/>
    <w:rsid w:val="36F6ED8F"/>
    <w:rsid w:val="3701E700"/>
    <w:rsid w:val="370BA0B8"/>
    <w:rsid w:val="372A182B"/>
    <w:rsid w:val="374ADA3E"/>
    <w:rsid w:val="37705B9E"/>
    <w:rsid w:val="37D0F2D4"/>
    <w:rsid w:val="38576C65"/>
    <w:rsid w:val="3874F332"/>
    <w:rsid w:val="3882B55A"/>
    <w:rsid w:val="389348A9"/>
    <w:rsid w:val="38A950CB"/>
    <w:rsid w:val="38AF8BE1"/>
    <w:rsid w:val="38BA8674"/>
    <w:rsid w:val="396AC8C4"/>
    <w:rsid w:val="3980A0CC"/>
    <w:rsid w:val="399B4DE6"/>
    <w:rsid w:val="39A2DE4F"/>
    <w:rsid w:val="39A767EF"/>
    <w:rsid w:val="39FDD60C"/>
    <w:rsid w:val="3A2FD6A7"/>
    <w:rsid w:val="3A364E8B"/>
    <w:rsid w:val="3A399C41"/>
    <w:rsid w:val="3A40C28C"/>
    <w:rsid w:val="3A43DC84"/>
    <w:rsid w:val="3A746AC1"/>
    <w:rsid w:val="3A9D2689"/>
    <w:rsid w:val="3AC482E5"/>
    <w:rsid w:val="3AD8F392"/>
    <w:rsid w:val="3AE989D6"/>
    <w:rsid w:val="3AF1D273"/>
    <w:rsid w:val="3B3072E7"/>
    <w:rsid w:val="3B4E3998"/>
    <w:rsid w:val="3B5C944F"/>
    <w:rsid w:val="3B72D18F"/>
    <w:rsid w:val="3B88D454"/>
    <w:rsid w:val="3BA16483"/>
    <w:rsid w:val="3BBED340"/>
    <w:rsid w:val="3BDE1FA9"/>
    <w:rsid w:val="3C07D671"/>
    <w:rsid w:val="3C232265"/>
    <w:rsid w:val="3C4E2D21"/>
    <w:rsid w:val="3C68C02E"/>
    <w:rsid w:val="3C6DF8A6"/>
    <w:rsid w:val="3C8D297D"/>
    <w:rsid w:val="3CA758DB"/>
    <w:rsid w:val="3D0E12F4"/>
    <w:rsid w:val="3D0EA1F0"/>
    <w:rsid w:val="3D247A1F"/>
    <w:rsid w:val="3D29EAC4"/>
    <w:rsid w:val="3D2B07F6"/>
    <w:rsid w:val="3D361918"/>
    <w:rsid w:val="3D39B80B"/>
    <w:rsid w:val="3D3B08D0"/>
    <w:rsid w:val="3D5A9435"/>
    <w:rsid w:val="3DC1C91A"/>
    <w:rsid w:val="3DC3C045"/>
    <w:rsid w:val="3DC9F0DA"/>
    <w:rsid w:val="3E067CE4"/>
    <w:rsid w:val="3E1402B1"/>
    <w:rsid w:val="3E671731"/>
    <w:rsid w:val="3E8AA1CF"/>
    <w:rsid w:val="3E93E9CC"/>
    <w:rsid w:val="3EA0962A"/>
    <w:rsid w:val="3EA37C13"/>
    <w:rsid w:val="3EBBF79E"/>
    <w:rsid w:val="3EC101FD"/>
    <w:rsid w:val="3EC119DD"/>
    <w:rsid w:val="3ECC960B"/>
    <w:rsid w:val="3F164595"/>
    <w:rsid w:val="3F2482D9"/>
    <w:rsid w:val="3F25693C"/>
    <w:rsid w:val="3F29916E"/>
    <w:rsid w:val="3F5E7A40"/>
    <w:rsid w:val="3F704C8C"/>
    <w:rsid w:val="3F80D057"/>
    <w:rsid w:val="3FB8DDE5"/>
    <w:rsid w:val="3FE82E9F"/>
    <w:rsid w:val="4076CFB5"/>
    <w:rsid w:val="4093B6AA"/>
    <w:rsid w:val="40A61557"/>
    <w:rsid w:val="40CCAD51"/>
    <w:rsid w:val="40FE9986"/>
    <w:rsid w:val="411559AA"/>
    <w:rsid w:val="413070C6"/>
    <w:rsid w:val="414E8187"/>
    <w:rsid w:val="4182CBA8"/>
    <w:rsid w:val="41962BB8"/>
    <w:rsid w:val="41B3B5AB"/>
    <w:rsid w:val="41C3E9EB"/>
    <w:rsid w:val="41F59C4C"/>
    <w:rsid w:val="42020F39"/>
    <w:rsid w:val="42169A78"/>
    <w:rsid w:val="422282C0"/>
    <w:rsid w:val="4241BF92"/>
    <w:rsid w:val="428B1171"/>
    <w:rsid w:val="42AE00F2"/>
    <w:rsid w:val="42B92CAE"/>
    <w:rsid w:val="42D8C4FA"/>
    <w:rsid w:val="42EB8875"/>
    <w:rsid w:val="43948DA9"/>
    <w:rsid w:val="439DCF35"/>
    <w:rsid w:val="43D89A0D"/>
    <w:rsid w:val="43E24FEF"/>
    <w:rsid w:val="43F055DD"/>
    <w:rsid w:val="44285F7E"/>
    <w:rsid w:val="4462C167"/>
    <w:rsid w:val="44A1A881"/>
    <w:rsid w:val="44E5165E"/>
    <w:rsid w:val="450DF05A"/>
    <w:rsid w:val="4514C79E"/>
    <w:rsid w:val="45550C18"/>
    <w:rsid w:val="457BBFC6"/>
    <w:rsid w:val="4597C409"/>
    <w:rsid w:val="45A1A68F"/>
    <w:rsid w:val="46A0B0C8"/>
    <w:rsid w:val="46C4F610"/>
    <w:rsid w:val="46CE9941"/>
    <w:rsid w:val="46F389B4"/>
    <w:rsid w:val="471530B5"/>
    <w:rsid w:val="475352F7"/>
    <w:rsid w:val="47BB34A7"/>
    <w:rsid w:val="47C3A236"/>
    <w:rsid w:val="47D0B6A8"/>
    <w:rsid w:val="47DBE4FF"/>
    <w:rsid w:val="480B4BA6"/>
    <w:rsid w:val="482C9C1D"/>
    <w:rsid w:val="483759FD"/>
    <w:rsid w:val="484C9E8D"/>
    <w:rsid w:val="488F8134"/>
    <w:rsid w:val="4891FE4A"/>
    <w:rsid w:val="48954594"/>
    <w:rsid w:val="489A38CD"/>
    <w:rsid w:val="48A81918"/>
    <w:rsid w:val="48BAE931"/>
    <w:rsid w:val="48CED528"/>
    <w:rsid w:val="48DB92CC"/>
    <w:rsid w:val="48E4625C"/>
    <w:rsid w:val="48EC1203"/>
    <w:rsid w:val="490ADB56"/>
    <w:rsid w:val="492B5184"/>
    <w:rsid w:val="4956FFA9"/>
    <w:rsid w:val="495729AD"/>
    <w:rsid w:val="495FB26A"/>
    <w:rsid w:val="499DF241"/>
    <w:rsid w:val="49BD5DB3"/>
    <w:rsid w:val="49CA41F1"/>
    <w:rsid w:val="49FCE371"/>
    <w:rsid w:val="4A08AA1D"/>
    <w:rsid w:val="4A1941C1"/>
    <w:rsid w:val="4A2DF477"/>
    <w:rsid w:val="4A3EDE57"/>
    <w:rsid w:val="4A65E698"/>
    <w:rsid w:val="4A70C6B6"/>
    <w:rsid w:val="4A752B8D"/>
    <w:rsid w:val="4AB9A2FF"/>
    <w:rsid w:val="4ABA0EBA"/>
    <w:rsid w:val="4ABFDA99"/>
    <w:rsid w:val="4AD797FA"/>
    <w:rsid w:val="4B0D0871"/>
    <w:rsid w:val="4B217075"/>
    <w:rsid w:val="4B32CF7A"/>
    <w:rsid w:val="4B36828F"/>
    <w:rsid w:val="4B69FD75"/>
    <w:rsid w:val="4B795D5A"/>
    <w:rsid w:val="4B9AA893"/>
    <w:rsid w:val="4B9FFE91"/>
    <w:rsid w:val="4BC62D7E"/>
    <w:rsid w:val="4BCC6609"/>
    <w:rsid w:val="4BD4253D"/>
    <w:rsid w:val="4BDD1D6C"/>
    <w:rsid w:val="4BEA4FFC"/>
    <w:rsid w:val="4C03802A"/>
    <w:rsid w:val="4C06DBBD"/>
    <w:rsid w:val="4C3E689F"/>
    <w:rsid w:val="4C9328C8"/>
    <w:rsid w:val="4CDDA0A3"/>
    <w:rsid w:val="4D0DCD59"/>
    <w:rsid w:val="4D325E0C"/>
    <w:rsid w:val="4D6DB4BC"/>
    <w:rsid w:val="4D825A71"/>
    <w:rsid w:val="4D922785"/>
    <w:rsid w:val="4D9F1AA1"/>
    <w:rsid w:val="4DA6CF0D"/>
    <w:rsid w:val="4DB7D2E4"/>
    <w:rsid w:val="4DD2FA99"/>
    <w:rsid w:val="4DD50A44"/>
    <w:rsid w:val="4DEB50B7"/>
    <w:rsid w:val="4E405700"/>
    <w:rsid w:val="4E78352C"/>
    <w:rsid w:val="4F021C10"/>
    <w:rsid w:val="4F0845E2"/>
    <w:rsid w:val="4F1FF3C1"/>
    <w:rsid w:val="4F4563BA"/>
    <w:rsid w:val="4F51D0DC"/>
    <w:rsid w:val="4F97AF72"/>
    <w:rsid w:val="4FE02D83"/>
    <w:rsid w:val="4FF273FB"/>
    <w:rsid w:val="4FF685EF"/>
    <w:rsid w:val="4FF9480F"/>
    <w:rsid w:val="5019FDC5"/>
    <w:rsid w:val="501CDD68"/>
    <w:rsid w:val="50340379"/>
    <w:rsid w:val="50355ECB"/>
    <w:rsid w:val="50495E84"/>
    <w:rsid w:val="5058E40C"/>
    <w:rsid w:val="505BC2B0"/>
    <w:rsid w:val="50803EC0"/>
    <w:rsid w:val="5093261C"/>
    <w:rsid w:val="50AA6DA3"/>
    <w:rsid w:val="50C8654D"/>
    <w:rsid w:val="50D5AEA7"/>
    <w:rsid w:val="50F15465"/>
    <w:rsid w:val="50FFB18B"/>
    <w:rsid w:val="5103B393"/>
    <w:rsid w:val="51066754"/>
    <w:rsid w:val="513D83E7"/>
    <w:rsid w:val="517D5FE5"/>
    <w:rsid w:val="51850EB1"/>
    <w:rsid w:val="519FDAEA"/>
    <w:rsid w:val="51A8E381"/>
    <w:rsid w:val="51C28DE3"/>
    <w:rsid w:val="51E8FF33"/>
    <w:rsid w:val="5223C6BC"/>
    <w:rsid w:val="52519EE3"/>
    <w:rsid w:val="525D61A3"/>
    <w:rsid w:val="526A4A93"/>
    <w:rsid w:val="52997F1E"/>
    <w:rsid w:val="52ACF6AA"/>
    <w:rsid w:val="52E76ACD"/>
    <w:rsid w:val="52FD2018"/>
    <w:rsid w:val="53327DF2"/>
    <w:rsid w:val="5372CAEB"/>
    <w:rsid w:val="538372E0"/>
    <w:rsid w:val="5388E289"/>
    <w:rsid w:val="53B3E354"/>
    <w:rsid w:val="53E08EAF"/>
    <w:rsid w:val="53E2ABB7"/>
    <w:rsid w:val="53FBA143"/>
    <w:rsid w:val="540FA687"/>
    <w:rsid w:val="542D9A5F"/>
    <w:rsid w:val="547CBA67"/>
    <w:rsid w:val="5484C8E4"/>
    <w:rsid w:val="54BCAE4C"/>
    <w:rsid w:val="54BF70E4"/>
    <w:rsid w:val="54C4F15A"/>
    <w:rsid w:val="54CE4E53"/>
    <w:rsid w:val="54EED609"/>
    <w:rsid w:val="54F49761"/>
    <w:rsid w:val="54F82811"/>
    <w:rsid w:val="550C40C5"/>
    <w:rsid w:val="5562238A"/>
    <w:rsid w:val="55A3FDE9"/>
    <w:rsid w:val="55E0376E"/>
    <w:rsid w:val="561A0D66"/>
    <w:rsid w:val="566A1EB4"/>
    <w:rsid w:val="5688B5D9"/>
    <w:rsid w:val="569B08F8"/>
    <w:rsid w:val="569E0307"/>
    <w:rsid w:val="56B57478"/>
    <w:rsid w:val="56DBBFA8"/>
    <w:rsid w:val="5723586D"/>
    <w:rsid w:val="575D0CEF"/>
    <w:rsid w:val="5787E600"/>
    <w:rsid w:val="57A2066E"/>
    <w:rsid w:val="57B8F4D2"/>
    <w:rsid w:val="57CFD19F"/>
    <w:rsid w:val="57D0FE91"/>
    <w:rsid w:val="58617257"/>
    <w:rsid w:val="5868E9F4"/>
    <w:rsid w:val="586B9B21"/>
    <w:rsid w:val="588CDC09"/>
    <w:rsid w:val="58B69789"/>
    <w:rsid w:val="58E5DC43"/>
    <w:rsid w:val="590F37BB"/>
    <w:rsid w:val="591B2D90"/>
    <w:rsid w:val="592342E8"/>
    <w:rsid w:val="59383393"/>
    <w:rsid w:val="595CF618"/>
    <w:rsid w:val="5963A4B3"/>
    <w:rsid w:val="598EC4BC"/>
    <w:rsid w:val="59A977CA"/>
    <w:rsid w:val="59BF61A2"/>
    <w:rsid w:val="5A0B5604"/>
    <w:rsid w:val="5A1CC9E3"/>
    <w:rsid w:val="5A58DDA7"/>
    <w:rsid w:val="5A64025C"/>
    <w:rsid w:val="5A6E3EFD"/>
    <w:rsid w:val="5A935A99"/>
    <w:rsid w:val="5AC09460"/>
    <w:rsid w:val="5AC29F5D"/>
    <w:rsid w:val="5ACF8B93"/>
    <w:rsid w:val="5AE8EBC1"/>
    <w:rsid w:val="5AEE9E05"/>
    <w:rsid w:val="5B05EBCE"/>
    <w:rsid w:val="5B267D2E"/>
    <w:rsid w:val="5B3EA657"/>
    <w:rsid w:val="5B553F69"/>
    <w:rsid w:val="5B89D773"/>
    <w:rsid w:val="5B9F4DF2"/>
    <w:rsid w:val="5BB27C1A"/>
    <w:rsid w:val="5BB310C7"/>
    <w:rsid w:val="5BE1BE9D"/>
    <w:rsid w:val="5C784064"/>
    <w:rsid w:val="5CD0C427"/>
    <w:rsid w:val="5CDA76B8"/>
    <w:rsid w:val="5CF2D40F"/>
    <w:rsid w:val="5D74F7F1"/>
    <w:rsid w:val="5D7AC32D"/>
    <w:rsid w:val="5D7D0C09"/>
    <w:rsid w:val="5DB219DD"/>
    <w:rsid w:val="5DB5DEED"/>
    <w:rsid w:val="5DC93F62"/>
    <w:rsid w:val="5DCCE6B1"/>
    <w:rsid w:val="5E2D068C"/>
    <w:rsid w:val="5E4ED547"/>
    <w:rsid w:val="5E65D444"/>
    <w:rsid w:val="5E7FF848"/>
    <w:rsid w:val="5E871B84"/>
    <w:rsid w:val="5E8CD51F"/>
    <w:rsid w:val="5EA8E361"/>
    <w:rsid w:val="5EB2210E"/>
    <w:rsid w:val="5ECDE499"/>
    <w:rsid w:val="5ED75F21"/>
    <w:rsid w:val="5EDC8612"/>
    <w:rsid w:val="5EF81200"/>
    <w:rsid w:val="5F150271"/>
    <w:rsid w:val="5F263C3C"/>
    <w:rsid w:val="5F35F8A3"/>
    <w:rsid w:val="5F5A29F1"/>
    <w:rsid w:val="5F8CE780"/>
    <w:rsid w:val="5FA51FF3"/>
    <w:rsid w:val="5FB8A563"/>
    <w:rsid w:val="5FC12BB1"/>
    <w:rsid w:val="5FC1F590"/>
    <w:rsid w:val="5FC35AB4"/>
    <w:rsid w:val="5FD6678B"/>
    <w:rsid w:val="60000316"/>
    <w:rsid w:val="601051F5"/>
    <w:rsid w:val="603E3E80"/>
    <w:rsid w:val="605DAC0D"/>
    <w:rsid w:val="6060599A"/>
    <w:rsid w:val="60735CCF"/>
    <w:rsid w:val="608ABDC3"/>
    <w:rsid w:val="60B2525F"/>
    <w:rsid w:val="60C81F2B"/>
    <w:rsid w:val="60D49439"/>
    <w:rsid w:val="60EE9686"/>
    <w:rsid w:val="60F91E25"/>
    <w:rsid w:val="60FEAC45"/>
    <w:rsid w:val="610973D7"/>
    <w:rsid w:val="613AA939"/>
    <w:rsid w:val="61788717"/>
    <w:rsid w:val="617FD05B"/>
    <w:rsid w:val="61A927DA"/>
    <w:rsid w:val="61AE92D7"/>
    <w:rsid w:val="61CAB540"/>
    <w:rsid w:val="61EE08C8"/>
    <w:rsid w:val="6216627D"/>
    <w:rsid w:val="621DEBBE"/>
    <w:rsid w:val="623AC6F6"/>
    <w:rsid w:val="6243D6C3"/>
    <w:rsid w:val="62474F18"/>
    <w:rsid w:val="626B0E50"/>
    <w:rsid w:val="62779C3A"/>
    <w:rsid w:val="62A30D60"/>
    <w:rsid w:val="62C3EA02"/>
    <w:rsid w:val="62FFBE46"/>
    <w:rsid w:val="630A0499"/>
    <w:rsid w:val="63410B2C"/>
    <w:rsid w:val="63476308"/>
    <w:rsid w:val="638A2C68"/>
    <w:rsid w:val="63A809EC"/>
    <w:rsid w:val="63CAAA10"/>
    <w:rsid w:val="63D2415E"/>
    <w:rsid w:val="63DAB265"/>
    <w:rsid w:val="63DF90DF"/>
    <w:rsid w:val="63E3ACFA"/>
    <w:rsid w:val="63F7D1EE"/>
    <w:rsid w:val="63FEF5AC"/>
    <w:rsid w:val="645B694A"/>
    <w:rsid w:val="6467243B"/>
    <w:rsid w:val="648E067D"/>
    <w:rsid w:val="64915B62"/>
    <w:rsid w:val="649A0401"/>
    <w:rsid w:val="64C83602"/>
    <w:rsid w:val="64E596F1"/>
    <w:rsid w:val="6581986F"/>
    <w:rsid w:val="6597F344"/>
    <w:rsid w:val="65A35871"/>
    <w:rsid w:val="65AEE051"/>
    <w:rsid w:val="65EECBE4"/>
    <w:rsid w:val="6635DD21"/>
    <w:rsid w:val="663A6C3D"/>
    <w:rsid w:val="6654CE0C"/>
    <w:rsid w:val="6657B268"/>
    <w:rsid w:val="665CAD10"/>
    <w:rsid w:val="66A1776F"/>
    <w:rsid w:val="66B52B49"/>
    <w:rsid w:val="66BA98D4"/>
    <w:rsid w:val="66EC86B9"/>
    <w:rsid w:val="67358FB0"/>
    <w:rsid w:val="67395D6B"/>
    <w:rsid w:val="67888CAA"/>
    <w:rsid w:val="67984407"/>
    <w:rsid w:val="67B4CE38"/>
    <w:rsid w:val="67C9D345"/>
    <w:rsid w:val="67F1986D"/>
    <w:rsid w:val="6855C2BB"/>
    <w:rsid w:val="687E7EEC"/>
    <w:rsid w:val="68AB6576"/>
    <w:rsid w:val="68BA08B3"/>
    <w:rsid w:val="68BDCB7D"/>
    <w:rsid w:val="68D852EB"/>
    <w:rsid w:val="6939CE35"/>
    <w:rsid w:val="696A8C41"/>
    <w:rsid w:val="6978092C"/>
    <w:rsid w:val="699ABCDC"/>
    <w:rsid w:val="69D8198B"/>
    <w:rsid w:val="69DA67BE"/>
    <w:rsid w:val="6A3C4B36"/>
    <w:rsid w:val="6A5AB40E"/>
    <w:rsid w:val="6A7233BD"/>
    <w:rsid w:val="6AA4472B"/>
    <w:rsid w:val="6AAC677B"/>
    <w:rsid w:val="6AD4C23D"/>
    <w:rsid w:val="6AE4DB35"/>
    <w:rsid w:val="6B5BE854"/>
    <w:rsid w:val="6B72B2A6"/>
    <w:rsid w:val="6B78BF8A"/>
    <w:rsid w:val="6B8C97C8"/>
    <w:rsid w:val="6BB16745"/>
    <w:rsid w:val="6BC4B504"/>
    <w:rsid w:val="6BFE1514"/>
    <w:rsid w:val="6C073E25"/>
    <w:rsid w:val="6C5429BA"/>
    <w:rsid w:val="6C73737F"/>
    <w:rsid w:val="6C79F370"/>
    <w:rsid w:val="6C98E6AC"/>
    <w:rsid w:val="6C99BDE9"/>
    <w:rsid w:val="6CD0D230"/>
    <w:rsid w:val="6CE709A3"/>
    <w:rsid w:val="6D142DAC"/>
    <w:rsid w:val="6D1CE517"/>
    <w:rsid w:val="6D3BC80C"/>
    <w:rsid w:val="6D40BD15"/>
    <w:rsid w:val="6D6DDA15"/>
    <w:rsid w:val="6D8CC2FF"/>
    <w:rsid w:val="6D95FCBC"/>
    <w:rsid w:val="6D9A4408"/>
    <w:rsid w:val="6DA65C34"/>
    <w:rsid w:val="6DA70CCE"/>
    <w:rsid w:val="6DAACFCC"/>
    <w:rsid w:val="6DAD45FF"/>
    <w:rsid w:val="6DF86161"/>
    <w:rsid w:val="6E03C3AD"/>
    <w:rsid w:val="6E426E1A"/>
    <w:rsid w:val="6E473055"/>
    <w:rsid w:val="6E6FA8EE"/>
    <w:rsid w:val="6E7A4C5D"/>
    <w:rsid w:val="6E814BEA"/>
    <w:rsid w:val="6EAE4CE1"/>
    <w:rsid w:val="6EAED5B8"/>
    <w:rsid w:val="6EC8910A"/>
    <w:rsid w:val="6ED10453"/>
    <w:rsid w:val="6ED2BE18"/>
    <w:rsid w:val="6EE06163"/>
    <w:rsid w:val="6F377A10"/>
    <w:rsid w:val="6F69A5A8"/>
    <w:rsid w:val="6F75DDB2"/>
    <w:rsid w:val="6F97D2D2"/>
    <w:rsid w:val="6F9B04C0"/>
    <w:rsid w:val="6FA1F5F9"/>
    <w:rsid w:val="7002A26C"/>
    <w:rsid w:val="701A213E"/>
    <w:rsid w:val="701E3A6A"/>
    <w:rsid w:val="704842B3"/>
    <w:rsid w:val="704DB7A0"/>
    <w:rsid w:val="7085223B"/>
    <w:rsid w:val="70AEE09F"/>
    <w:rsid w:val="70BAD692"/>
    <w:rsid w:val="70BED096"/>
    <w:rsid w:val="70BF2937"/>
    <w:rsid w:val="70CFB197"/>
    <w:rsid w:val="70E995ED"/>
    <w:rsid w:val="710936BA"/>
    <w:rsid w:val="7133E0DA"/>
    <w:rsid w:val="7150767D"/>
    <w:rsid w:val="71565C7D"/>
    <w:rsid w:val="71643BB3"/>
    <w:rsid w:val="71925F2D"/>
    <w:rsid w:val="71B675A7"/>
    <w:rsid w:val="71BAC781"/>
    <w:rsid w:val="72257588"/>
    <w:rsid w:val="722EDE36"/>
    <w:rsid w:val="723DCFEC"/>
    <w:rsid w:val="72669DDB"/>
    <w:rsid w:val="72A40D67"/>
    <w:rsid w:val="72D428D7"/>
    <w:rsid w:val="72DA9D30"/>
    <w:rsid w:val="72DBB372"/>
    <w:rsid w:val="72DEF1B2"/>
    <w:rsid w:val="72EB0698"/>
    <w:rsid w:val="72F0F457"/>
    <w:rsid w:val="732B4CF2"/>
    <w:rsid w:val="73544C99"/>
    <w:rsid w:val="737643A2"/>
    <w:rsid w:val="73A7172B"/>
    <w:rsid w:val="73E26746"/>
    <w:rsid w:val="743F0766"/>
    <w:rsid w:val="744CEF20"/>
    <w:rsid w:val="74539EF9"/>
    <w:rsid w:val="7485A194"/>
    <w:rsid w:val="74AB3976"/>
    <w:rsid w:val="74C4FA5E"/>
    <w:rsid w:val="74D3B033"/>
    <w:rsid w:val="74E75D31"/>
    <w:rsid w:val="74F67167"/>
    <w:rsid w:val="75201B92"/>
    <w:rsid w:val="754D2D45"/>
    <w:rsid w:val="75537664"/>
    <w:rsid w:val="75BFC063"/>
    <w:rsid w:val="75D86940"/>
    <w:rsid w:val="7609EA08"/>
    <w:rsid w:val="76132539"/>
    <w:rsid w:val="762396CD"/>
    <w:rsid w:val="7646202A"/>
    <w:rsid w:val="766C35E5"/>
    <w:rsid w:val="768DE03E"/>
    <w:rsid w:val="76939705"/>
    <w:rsid w:val="76F77298"/>
    <w:rsid w:val="7723B69A"/>
    <w:rsid w:val="77410A1C"/>
    <w:rsid w:val="776EF894"/>
    <w:rsid w:val="77841E50"/>
    <w:rsid w:val="77D12A5E"/>
    <w:rsid w:val="77D34312"/>
    <w:rsid w:val="77D6F6AD"/>
    <w:rsid w:val="78112E08"/>
    <w:rsid w:val="78281F0F"/>
    <w:rsid w:val="7830B68B"/>
    <w:rsid w:val="783D7931"/>
    <w:rsid w:val="784422AB"/>
    <w:rsid w:val="787BDEF0"/>
    <w:rsid w:val="78D7D798"/>
    <w:rsid w:val="790725EA"/>
    <w:rsid w:val="7968EB5E"/>
    <w:rsid w:val="796AB8D3"/>
    <w:rsid w:val="79947804"/>
    <w:rsid w:val="79A5900C"/>
    <w:rsid w:val="79BD8F31"/>
    <w:rsid w:val="79C12CDD"/>
    <w:rsid w:val="79C5E266"/>
    <w:rsid w:val="79CCAAB6"/>
    <w:rsid w:val="79CF450E"/>
    <w:rsid w:val="79E6C1EE"/>
    <w:rsid w:val="79EA8E5D"/>
    <w:rsid w:val="79EBAA7E"/>
    <w:rsid w:val="7A213E07"/>
    <w:rsid w:val="7A2BA982"/>
    <w:rsid w:val="7A2FE31F"/>
    <w:rsid w:val="7A6F68A2"/>
    <w:rsid w:val="7ABFA582"/>
    <w:rsid w:val="7AE55531"/>
    <w:rsid w:val="7AE621AA"/>
    <w:rsid w:val="7AFF20D3"/>
    <w:rsid w:val="7B3416AF"/>
    <w:rsid w:val="7B423E85"/>
    <w:rsid w:val="7B460524"/>
    <w:rsid w:val="7B5FBFD1"/>
    <w:rsid w:val="7B6B7811"/>
    <w:rsid w:val="7B8F260E"/>
    <w:rsid w:val="7B929D6B"/>
    <w:rsid w:val="7BB80D3F"/>
    <w:rsid w:val="7BBE3369"/>
    <w:rsid w:val="7BD6B12B"/>
    <w:rsid w:val="7BE345B1"/>
    <w:rsid w:val="7BEB6A9C"/>
    <w:rsid w:val="7C775012"/>
    <w:rsid w:val="7C80806C"/>
    <w:rsid w:val="7C940D81"/>
    <w:rsid w:val="7CA34AAA"/>
    <w:rsid w:val="7CBAE7F2"/>
    <w:rsid w:val="7CFEE888"/>
    <w:rsid w:val="7D71F491"/>
    <w:rsid w:val="7D8182DC"/>
    <w:rsid w:val="7D8D87F6"/>
    <w:rsid w:val="7DC37940"/>
    <w:rsid w:val="7DC8B07D"/>
    <w:rsid w:val="7DDA424A"/>
    <w:rsid w:val="7DDAD4F8"/>
    <w:rsid w:val="7DE5E42D"/>
    <w:rsid w:val="7DFD0B05"/>
    <w:rsid w:val="7E083535"/>
    <w:rsid w:val="7E30E0B7"/>
    <w:rsid w:val="7E3B6D51"/>
    <w:rsid w:val="7E522E60"/>
    <w:rsid w:val="7E60C906"/>
    <w:rsid w:val="7E627030"/>
    <w:rsid w:val="7E768F09"/>
    <w:rsid w:val="7E8EA8C1"/>
    <w:rsid w:val="7E906345"/>
    <w:rsid w:val="7E924332"/>
    <w:rsid w:val="7EAEB763"/>
    <w:rsid w:val="7EB9EA51"/>
    <w:rsid w:val="7EE740BE"/>
    <w:rsid w:val="7EEAB786"/>
    <w:rsid w:val="7F402D20"/>
    <w:rsid w:val="7F4AF4A6"/>
    <w:rsid w:val="7F5D0A5B"/>
    <w:rsid w:val="7F964BB1"/>
    <w:rsid w:val="7F9D28A6"/>
    <w:rsid w:val="7F9D8760"/>
    <w:rsid w:val="7FA218AD"/>
    <w:rsid w:val="7FC57EA6"/>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1E8EFC89-077B-4203-AB47-E4B45770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C4"/>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pPr>
    <w:rPr>
      <w:b/>
      <w:bCs/>
      <w:caps/>
    </w:rPr>
  </w:style>
  <w:style w:type="paragraph" w:styleId="TOC3">
    <w:name w:val="toc 3"/>
    <w:basedOn w:val="Normal"/>
    <w:next w:val="Normal"/>
    <w:autoRedefine/>
    <w:uiPriority w:val="39"/>
    <w:rsid w:val="002E6A73"/>
    <w:pPr>
      <w:tabs>
        <w:tab w:val="right" w:leader="dot" w:pos="9350"/>
      </w:tabs>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rsid w:val="00AB308F"/>
    <w:pPr>
      <w:jc w:val="center"/>
    </w:pPr>
    <w:rPr>
      <w:b/>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1"/>
      </w:numPr>
    </w:pPr>
  </w:style>
  <w:style w:type="numbering" w:customStyle="1" w:styleId="StyleNumberedLeft25Hanging075">
    <w:name w:val="Style Numbered Left: .25&quot; Hanging:  0.75&quot;"/>
    <w:basedOn w:val="NoList"/>
    <w:rsid w:val="008479D3"/>
    <w:pPr>
      <w:numPr>
        <w:numId w:val="2"/>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3"/>
      </w:numPr>
    </w:pPr>
  </w:style>
  <w:style w:type="numbering" w:customStyle="1" w:styleId="RFP2">
    <w:name w:val="RFP2"/>
    <w:rsid w:val="00765CAA"/>
    <w:pPr>
      <w:numPr>
        <w:numId w:val="4"/>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865A80"/>
    <w:pPr>
      <w:spacing w:after="120"/>
      <w:jc w:val="center"/>
    </w:pPr>
    <w:rPr>
      <w:b/>
      <w:bCs/>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29"/>
      </w:numPr>
      <w:jc w:val="both"/>
    </w:pPr>
    <w:rPr>
      <w:b/>
      <w:szCs w:val="22"/>
    </w:rPr>
  </w:style>
  <w:style w:type="character" w:customStyle="1" w:styleId="HeadingNew1Char">
    <w:name w:val="Heading_New1 Char"/>
    <w:basedOn w:val="DefaultParagraphFont"/>
    <w:link w:val="HeadingNew1"/>
    <w:rsid w:val="00A20A35"/>
    <w:rPr>
      <w:b/>
      <w:sz w:val="24"/>
      <w:szCs w:val="22"/>
    </w:rPr>
  </w:style>
  <w:style w:type="paragraph" w:customStyle="1" w:styleId="xxmsonormal">
    <w:name w:val="x_xmsonormal"/>
    <w:basedOn w:val="Normal"/>
    <w:rsid w:val="00094713"/>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37194140">
      <w:bodyDiv w:val="1"/>
      <w:marLeft w:val="0"/>
      <w:marRight w:val="0"/>
      <w:marTop w:val="0"/>
      <w:marBottom w:val="0"/>
      <w:divBdr>
        <w:top w:val="none" w:sz="0" w:space="0" w:color="auto"/>
        <w:left w:val="none" w:sz="0" w:space="0" w:color="auto"/>
        <w:bottom w:val="none" w:sz="0" w:space="0" w:color="auto"/>
        <w:right w:val="none" w:sz="0" w:space="0" w:color="auto"/>
      </w:divBdr>
      <w:divsChild>
        <w:div w:id="60761406">
          <w:marLeft w:val="0"/>
          <w:marRight w:val="0"/>
          <w:marTop w:val="0"/>
          <w:marBottom w:val="0"/>
          <w:divBdr>
            <w:top w:val="none" w:sz="0" w:space="0" w:color="auto"/>
            <w:left w:val="none" w:sz="0" w:space="0" w:color="auto"/>
            <w:bottom w:val="none" w:sz="0" w:space="0" w:color="auto"/>
            <w:right w:val="none" w:sz="0" w:space="0" w:color="auto"/>
          </w:divBdr>
        </w:div>
        <w:div w:id="92019054">
          <w:marLeft w:val="0"/>
          <w:marRight w:val="0"/>
          <w:marTop w:val="0"/>
          <w:marBottom w:val="0"/>
          <w:divBdr>
            <w:top w:val="none" w:sz="0" w:space="0" w:color="auto"/>
            <w:left w:val="none" w:sz="0" w:space="0" w:color="auto"/>
            <w:bottom w:val="none" w:sz="0" w:space="0" w:color="auto"/>
            <w:right w:val="none" w:sz="0" w:space="0" w:color="auto"/>
          </w:divBdr>
        </w:div>
        <w:div w:id="166211038">
          <w:marLeft w:val="0"/>
          <w:marRight w:val="0"/>
          <w:marTop w:val="0"/>
          <w:marBottom w:val="0"/>
          <w:divBdr>
            <w:top w:val="none" w:sz="0" w:space="0" w:color="auto"/>
            <w:left w:val="none" w:sz="0" w:space="0" w:color="auto"/>
            <w:bottom w:val="none" w:sz="0" w:space="0" w:color="auto"/>
            <w:right w:val="none" w:sz="0" w:space="0" w:color="auto"/>
          </w:divBdr>
        </w:div>
        <w:div w:id="245115383">
          <w:marLeft w:val="0"/>
          <w:marRight w:val="0"/>
          <w:marTop w:val="0"/>
          <w:marBottom w:val="0"/>
          <w:divBdr>
            <w:top w:val="none" w:sz="0" w:space="0" w:color="auto"/>
            <w:left w:val="none" w:sz="0" w:space="0" w:color="auto"/>
            <w:bottom w:val="none" w:sz="0" w:space="0" w:color="auto"/>
            <w:right w:val="none" w:sz="0" w:space="0" w:color="auto"/>
          </w:divBdr>
        </w:div>
        <w:div w:id="567308923">
          <w:marLeft w:val="0"/>
          <w:marRight w:val="0"/>
          <w:marTop w:val="0"/>
          <w:marBottom w:val="0"/>
          <w:divBdr>
            <w:top w:val="none" w:sz="0" w:space="0" w:color="auto"/>
            <w:left w:val="none" w:sz="0" w:space="0" w:color="auto"/>
            <w:bottom w:val="none" w:sz="0" w:space="0" w:color="auto"/>
            <w:right w:val="none" w:sz="0" w:space="0" w:color="auto"/>
          </w:divBdr>
        </w:div>
        <w:div w:id="748383800">
          <w:marLeft w:val="0"/>
          <w:marRight w:val="0"/>
          <w:marTop w:val="0"/>
          <w:marBottom w:val="0"/>
          <w:divBdr>
            <w:top w:val="none" w:sz="0" w:space="0" w:color="auto"/>
            <w:left w:val="none" w:sz="0" w:space="0" w:color="auto"/>
            <w:bottom w:val="none" w:sz="0" w:space="0" w:color="auto"/>
            <w:right w:val="none" w:sz="0" w:space="0" w:color="auto"/>
          </w:divBdr>
        </w:div>
        <w:div w:id="829371896">
          <w:marLeft w:val="0"/>
          <w:marRight w:val="0"/>
          <w:marTop w:val="0"/>
          <w:marBottom w:val="0"/>
          <w:divBdr>
            <w:top w:val="none" w:sz="0" w:space="0" w:color="auto"/>
            <w:left w:val="none" w:sz="0" w:space="0" w:color="auto"/>
            <w:bottom w:val="none" w:sz="0" w:space="0" w:color="auto"/>
            <w:right w:val="none" w:sz="0" w:space="0" w:color="auto"/>
          </w:divBdr>
        </w:div>
        <w:div w:id="1613004733">
          <w:marLeft w:val="0"/>
          <w:marRight w:val="0"/>
          <w:marTop w:val="0"/>
          <w:marBottom w:val="0"/>
          <w:divBdr>
            <w:top w:val="none" w:sz="0" w:space="0" w:color="auto"/>
            <w:left w:val="none" w:sz="0" w:space="0" w:color="auto"/>
            <w:bottom w:val="none" w:sz="0" w:space="0" w:color="auto"/>
            <w:right w:val="none" w:sz="0" w:space="0" w:color="auto"/>
          </w:divBdr>
        </w:div>
        <w:div w:id="1815098102">
          <w:marLeft w:val="0"/>
          <w:marRight w:val="0"/>
          <w:marTop w:val="0"/>
          <w:marBottom w:val="0"/>
          <w:divBdr>
            <w:top w:val="none" w:sz="0" w:space="0" w:color="auto"/>
            <w:left w:val="none" w:sz="0" w:space="0" w:color="auto"/>
            <w:bottom w:val="none" w:sz="0" w:space="0" w:color="auto"/>
            <w:right w:val="none" w:sz="0" w:space="0" w:color="auto"/>
          </w:divBdr>
        </w:div>
      </w:divsChild>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02162007">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46280790">
      <w:bodyDiv w:val="1"/>
      <w:marLeft w:val="0"/>
      <w:marRight w:val="0"/>
      <w:marTop w:val="0"/>
      <w:marBottom w:val="0"/>
      <w:divBdr>
        <w:top w:val="none" w:sz="0" w:space="0" w:color="auto"/>
        <w:left w:val="none" w:sz="0" w:space="0" w:color="auto"/>
        <w:bottom w:val="none" w:sz="0" w:space="0" w:color="auto"/>
        <w:right w:val="none" w:sz="0" w:space="0" w:color="auto"/>
      </w:divBdr>
      <w:divsChild>
        <w:div w:id="243272259">
          <w:marLeft w:val="0"/>
          <w:marRight w:val="0"/>
          <w:marTop w:val="0"/>
          <w:marBottom w:val="0"/>
          <w:divBdr>
            <w:top w:val="none" w:sz="0" w:space="0" w:color="auto"/>
            <w:left w:val="none" w:sz="0" w:space="0" w:color="auto"/>
            <w:bottom w:val="none" w:sz="0" w:space="0" w:color="auto"/>
            <w:right w:val="none" w:sz="0" w:space="0" w:color="auto"/>
          </w:divBdr>
        </w:div>
        <w:div w:id="343820349">
          <w:marLeft w:val="0"/>
          <w:marRight w:val="0"/>
          <w:marTop w:val="0"/>
          <w:marBottom w:val="0"/>
          <w:divBdr>
            <w:top w:val="none" w:sz="0" w:space="0" w:color="auto"/>
            <w:left w:val="none" w:sz="0" w:space="0" w:color="auto"/>
            <w:bottom w:val="none" w:sz="0" w:space="0" w:color="auto"/>
            <w:right w:val="none" w:sz="0" w:space="0" w:color="auto"/>
          </w:divBdr>
        </w:div>
        <w:div w:id="928581209">
          <w:marLeft w:val="0"/>
          <w:marRight w:val="0"/>
          <w:marTop w:val="0"/>
          <w:marBottom w:val="0"/>
          <w:divBdr>
            <w:top w:val="none" w:sz="0" w:space="0" w:color="auto"/>
            <w:left w:val="none" w:sz="0" w:space="0" w:color="auto"/>
            <w:bottom w:val="none" w:sz="0" w:space="0" w:color="auto"/>
            <w:right w:val="none" w:sz="0" w:space="0" w:color="auto"/>
          </w:divBdr>
        </w:div>
        <w:div w:id="1646005182">
          <w:marLeft w:val="0"/>
          <w:marRight w:val="0"/>
          <w:marTop w:val="0"/>
          <w:marBottom w:val="0"/>
          <w:divBdr>
            <w:top w:val="none" w:sz="0" w:space="0" w:color="auto"/>
            <w:left w:val="none" w:sz="0" w:space="0" w:color="auto"/>
            <w:bottom w:val="none" w:sz="0" w:space="0" w:color="auto"/>
            <w:right w:val="none" w:sz="0" w:space="0" w:color="auto"/>
          </w:divBdr>
        </w:div>
        <w:div w:id="1670793466">
          <w:marLeft w:val="0"/>
          <w:marRight w:val="0"/>
          <w:marTop w:val="0"/>
          <w:marBottom w:val="0"/>
          <w:divBdr>
            <w:top w:val="none" w:sz="0" w:space="0" w:color="auto"/>
            <w:left w:val="none" w:sz="0" w:space="0" w:color="auto"/>
            <w:bottom w:val="none" w:sz="0" w:space="0" w:color="auto"/>
            <w:right w:val="none" w:sz="0" w:space="0" w:color="auto"/>
          </w:divBdr>
          <w:divsChild>
            <w:div w:id="220409006">
              <w:marLeft w:val="0"/>
              <w:marRight w:val="0"/>
              <w:marTop w:val="0"/>
              <w:marBottom w:val="0"/>
              <w:divBdr>
                <w:top w:val="none" w:sz="0" w:space="0" w:color="auto"/>
                <w:left w:val="none" w:sz="0" w:space="0" w:color="auto"/>
                <w:bottom w:val="none" w:sz="0" w:space="0" w:color="auto"/>
                <w:right w:val="none" w:sz="0" w:space="0" w:color="auto"/>
              </w:divBdr>
            </w:div>
            <w:div w:id="273905406">
              <w:marLeft w:val="0"/>
              <w:marRight w:val="0"/>
              <w:marTop w:val="0"/>
              <w:marBottom w:val="0"/>
              <w:divBdr>
                <w:top w:val="none" w:sz="0" w:space="0" w:color="auto"/>
                <w:left w:val="none" w:sz="0" w:space="0" w:color="auto"/>
                <w:bottom w:val="none" w:sz="0" w:space="0" w:color="auto"/>
                <w:right w:val="none" w:sz="0" w:space="0" w:color="auto"/>
              </w:divBdr>
            </w:div>
            <w:div w:id="365326218">
              <w:marLeft w:val="0"/>
              <w:marRight w:val="0"/>
              <w:marTop w:val="0"/>
              <w:marBottom w:val="0"/>
              <w:divBdr>
                <w:top w:val="none" w:sz="0" w:space="0" w:color="auto"/>
                <w:left w:val="none" w:sz="0" w:space="0" w:color="auto"/>
                <w:bottom w:val="none" w:sz="0" w:space="0" w:color="auto"/>
                <w:right w:val="none" w:sz="0" w:space="0" w:color="auto"/>
              </w:divBdr>
            </w:div>
            <w:div w:id="464928519">
              <w:marLeft w:val="0"/>
              <w:marRight w:val="0"/>
              <w:marTop w:val="0"/>
              <w:marBottom w:val="0"/>
              <w:divBdr>
                <w:top w:val="none" w:sz="0" w:space="0" w:color="auto"/>
                <w:left w:val="none" w:sz="0" w:space="0" w:color="auto"/>
                <w:bottom w:val="none" w:sz="0" w:space="0" w:color="auto"/>
                <w:right w:val="none" w:sz="0" w:space="0" w:color="auto"/>
              </w:divBdr>
            </w:div>
            <w:div w:id="527913427">
              <w:marLeft w:val="0"/>
              <w:marRight w:val="0"/>
              <w:marTop w:val="0"/>
              <w:marBottom w:val="0"/>
              <w:divBdr>
                <w:top w:val="none" w:sz="0" w:space="0" w:color="auto"/>
                <w:left w:val="none" w:sz="0" w:space="0" w:color="auto"/>
                <w:bottom w:val="none" w:sz="0" w:space="0" w:color="auto"/>
                <w:right w:val="none" w:sz="0" w:space="0" w:color="auto"/>
              </w:divBdr>
            </w:div>
            <w:div w:id="708065957">
              <w:marLeft w:val="0"/>
              <w:marRight w:val="0"/>
              <w:marTop w:val="0"/>
              <w:marBottom w:val="0"/>
              <w:divBdr>
                <w:top w:val="none" w:sz="0" w:space="0" w:color="auto"/>
                <w:left w:val="none" w:sz="0" w:space="0" w:color="auto"/>
                <w:bottom w:val="none" w:sz="0" w:space="0" w:color="auto"/>
                <w:right w:val="none" w:sz="0" w:space="0" w:color="auto"/>
              </w:divBdr>
            </w:div>
            <w:div w:id="773212040">
              <w:marLeft w:val="0"/>
              <w:marRight w:val="0"/>
              <w:marTop w:val="0"/>
              <w:marBottom w:val="0"/>
              <w:divBdr>
                <w:top w:val="none" w:sz="0" w:space="0" w:color="auto"/>
                <w:left w:val="none" w:sz="0" w:space="0" w:color="auto"/>
                <w:bottom w:val="none" w:sz="0" w:space="0" w:color="auto"/>
                <w:right w:val="none" w:sz="0" w:space="0" w:color="auto"/>
              </w:divBdr>
            </w:div>
            <w:div w:id="811361274">
              <w:marLeft w:val="0"/>
              <w:marRight w:val="0"/>
              <w:marTop w:val="0"/>
              <w:marBottom w:val="0"/>
              <w:divBdr>
                <w:top w:val="none" w:sz="0" w:space="0" w:color="auto"/>
                <w:left w:val="none" w:sz="0" w:space="0" w:color="auto"/>
                <w:bottom w:val="none" w:sz="0" w:space="0" w:color="auto"/>
                <w:right w:val="none" w:sz="0" w:space="0" w:color="auto"/>
              </w:divBdr>
            </w:div>
            <w:div w:id="985622889">
              <w:marLeft w:val="0"/>
              <w:marRight w:val="0"/>
              <w:marTop w:val="0"/>
              <w:marBottom w:val="0"/>
              <w:divBdr>
                <w:top w:val="none" w:sz="0" w:space="0" w:color="auto"/>
                <w:left w:val="none" w:sz="0" w:space="0" w:color="auto"/>
                <w:bottom w:val="none" w:sz="0" w:space="0" w:color="auto"/>
                <w:right w:val="none" w:sz="0" w:space="0" w:color="auto"/>
              </w:divBdr>
            </w:div>
            <w:div w:id="1211726436">
              <w:marLeft w:val="0"/>
              <w:marRight w:val="0"/>
              <w:marTop w:val="0"/>
              <w:marBottom w:val="0"/>
              <w:divBdr>
                <w:top w:val="none" w:sz="0" w:space="0" w:color="auto"/>
                <w:left w:val="none" w:sz="0" w:space="0" w:color="auto"/>
                <w:bottom w:val="none" w:sz="0" w:space="0" w:color="auto"/>
                <w:right w:val="none" w:sz="0" w:space="0" w:color="auto"/>
              </w:divBdr>
            </w:div>
            <w:div w:id="1213729107">
              <w:marLeft w:val="0"/>
              <w:marRight w:val="0"/>
              <w:marTop w:val="0"/>
              <w:marBottom w:val="0"/>
              <w:divBdr>
                <w:top w:val="none" w:sz="0" w:space="0" w:color="auto"/>
                <w:left w:val="none" w:sz="0" w:space="0" w:color="auto"/>
                <w:bottom w:val="none" w:sz="0" w:space="0" w:color="auto"/>
                <w:right w:val="none" w:sz="0" w:space="0" w:color="auto"/>
              </w:divBdr>
            </w:div>
            <w:div w:id="1928921905">
              <w:marLeft w:val="0"/>
              <w:marRight w:val="0"/>
              <w:marTop w:val="0"/>
              <w:marBottom w:val="0"/>
              <w:divBdr>
                <w:top w:val="none" w:sz="0" w:space="0" w:color="auto"/>
                <w:left w:val="none" w:sz="0" w:space="0" w:color="auto"/>
                <w:bottom w:val="none" w:sz="0" w:space="0" w:color="auto"/>
                <w:right w:val="none" w:sz="0" w:space="0" w:color="auto"/>
              </w:divBdr>
            </w:div>
            <w:div w:id="1982805010">
              <w:marLeft w:val="0"/>
              <w:marRight w:val="0"/>
              <w:marTop w:val="0"/>
              <w:marBottom w:val="0"/>
              <w:divBdr>
                <w:top w:val="none" w:sz="0" w:space="0" w:color="auto"/>
                <w:left w:val="none" w:sz="0" w:space="0" w:color="auto"/>
                <w:bottom w:val="none" w:sz="0" w:space="0" w:color="auto"/>
                <w:right w:val="none" w:sz="0" w:space="0" w:color="auto"/>
              </w:divBdr>
            </w:div>
            <w:div w:id="2130320556">
              <w:marLeft w:val="0"/>
              <w:marRight w:val="0"/>
              <w:marTop w:val="0"/>
              <w:marBottom w:val="0"/>
              <w:divBdr>
                <w:top w:val="none" w:sz="0" w:space="0" w:color="auto"/>
                <w:left w:val="none" w:sz="0" w:space="0" w:color="auto"/>
                <w:bottom w:val="none" w:sz="0" w:space="0" w:color="auto"/>
                <w:right w:val="none" w:sz="0" w:space="0" w:color="auto"/>
              </w:divBdr>
            </w:div>
          </w:divsChild>
        </w:div>
        <w:div w:id="1886406864">
          <w:marLeft w:val="0"/>
          <w:marRight w:val="0"/>
          <w:marTop w:val="0"/>
          <w:marBottom w:val="0"/>
          <w:divBdr>
            <w:top w:val="none" w:sz="0" w:space="0" w:color="auto"/>
            <w:left w:val="none" w:sz="0" w:space="0" w:color="auto"/>
            <w:bottom w:val="none" w:sz="0" w:space="0" w:color="auto"/>
            <w:right w:val="none" w:sz="0" w:space="0" w:color="auto"/>
          </w:divBdr>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216508134">
      <w:bodyDiv w:val="1"/>
      <w:marLeft w:val="0"/>
      <w:marRight w:val="0"/>
      <w:marTop w:val="0"/>
      <w:marBottom w:val="0"/>
      <w:divBdr>
        <w:top w:val="none" w:sz="0" w:space="0" w:color="auto"/>
        <w:left w:val="none" w:sz="0" w:space="0" w:color="auto"/>
        <w:bottom w:val="none" w:sz="0" w:space="0" w:color="auto"/>
        <w:right w:val="none" w:sz="0" w:space="0" w:color="auto"/>
      </w:divBdr>
      <w:divsChild>
        <w:div w:id="440298128">
          <w:marLeft w:val="0"/>
          <w:marRight w:val="0"/>
          <w:marTop w:val="0"/>
          <w:marBottom w:val="0"/>
          <w:divBdr>
            <w:top w:val="none" w:sz="0" w:space="0" w:color="auto"/>
            <w:left w:val="none" w:sz="0" w:space="0" w:color="auto"/>
            <w:bottom w:val="none" w:sz="0" w:space="0" w:color="auto"/>
            <w:right w:val="none" w:sz="0" w:space="0" w:color="auto"/>
          </w:divBdr>
        </w:div>
        <w:div w:id="706880665">
          <w:marLeft w:val="0"/>
          <w:marRight w:val="0"/>
          <w:marTop w:val="0"/>
          <w:marBottom w:val="0"/>
          <w:divBdr>
            <w:top w:val="none" w:sz="0" w:space="0" w:color="auto"/>
            <w:left w:val="none" w:sz="0" w:space="0" w:color="auto"/>
            <w:bottom w:val="none" w:sz="0" w:space="0" w:color="auto"/>
            <w:right w:val="none" w:sz="0" w:space="0" w:color="auto"/>
          </w:divBdr>
        </w:div>
        <w:div w:id="791286320">
          <w:marLeft w:val="0"/>
          <w:marRight w:val="0"/>
          <w:marTop w:val="0"/>
          <w:marBottom w:val="0"/>
          <w:divBdr>
            <w:top w:val="none" w:sz="0" w:space="0" w:color="auto"/>
            <w:left w:val="none" w:sz="0" w:space="0" w:color="auto"/>
            <w:bottom w:val="none" w:sz="0" w:space="0" w:color="auto"/>
            <w:right w:val="none" w:sz="0" w:space="0" w:color="auto"/>
          </w:divBdr>
        </w:div>
        <w:div w:id="800147283">
          <w:marLeft w:val="0"/>
          <w:marRight w:val="0"/>
          <w:marTop w:val="0"/>
          <w:marBottom w:val="0"/>
          <w:divBdr>
            <w:top w:val="none" w:sz="0" w:space="0" w:color="auto"/>
            <w:left w:val="none" w:sz="0" w:space="0" w:color="auto"/>
            <w:bottom w:val="none" w:sz="0" w:space="0" w:color="auto"/>
            <w:right w:val="none" w:sz="0" w:space="0" w:color="auto"/>
          </w:divBdr>
        </w:div>
        <w:div w:id="1356998133">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85565063">
      <w:bodyDiv w:val="1"/>
      <w:marLeft w:val="0"/>
      <w:marRight w:val="0"/>
      <w:marTop w:val="0"/>
      <w:marBottom w:val="0"/>
      <w:divBdr>
        <w:top w:val="none" w:sz="0" w:space="0" w:color="auto"/>
        <w:left w:val="none" w:sz="0" w:space="0" w:color="auto"/>
        <w:bottom w:val="none" w:sz="0" w:space="0" w:color="auto"/>
        <w:right w:val="none" w:sz="0" w:space="0" w:color="auto"/>
      </w:divBdr>
      <w:divsChild>
        <w:div w:id="252714046">
          <w:marLeft w:val="0"/>
          <w:marRight w:val="0"/>
          <w:marTop w:val="0"/>
          <w:marBottom w:val="0"/>
          <w:divBdr>
            <w:top w:val="none" w:sz="0" w:space="0" w:color="auto"/>
            <w:left w:val="none" w:sz="0" w:space="0" w:color="auto"/>
            <w:bottom w:val="none" w:sz="0" w:space="0" w:color="auto"/>
            <w:right w:val="none" w:sz="0" w:space="0" w:color="auto"/>
          </w:divBdr>
        </w:div>
        <w:div w:id="646324786">
          <w:marLeft w:val="0"/>
          <w:marRight w:val="0"/>
          <w:marTop w:val="0"/>
          <w:marBottom w:val="0"/>
          <w:divBdr>
            <w:top w:val="none" w:sz="0" w:space="0" w:color="auto"/>
            <w:left w:val="none" w:sz="0" w:space="0" w:color="auto"/>
            <w:bottom w:val="none" w:sz="0" w:space="0" w:color="auto"/>
            <w:right w:val="none" w:sz="0" w:space="0" w:color="auto"/>
          </w:divBdr>
        </w:div>
        <w:div w:id="689068278">
          <w:marLeft w:val="0"/>
          <w:marRight w:val="0"/>
          <w:marTop w:val="0"/>
          <w:marBottom w:val="0"/>
          <w:divBdr>
            <w:top w:val="none" w:sz="0" w:space="0" w:color="auto"/>
            <w:left w:val="none" w:sz="0" w:space="0" w:color="auto"/>
            <w:bottom w:val="none" w:sz="0" w:space="0" w:color="auto"/>
            <w:right w:val="none" w:sz="0" w:space="0" w:color="auto"/>
          </w:divBdr>
          <w:divsChild>
            <w:div w:id="100030627">
              <w:marLeft w:val="0"/>
              <w:marRight w:val="0"/>
              <w:marTop w:val="0"/>
              <w:marBottom w:val="0"/>
              <w:divBdr>
                <w:top w:val="none" w:sz="0" w:space="0" w:color="auto"/>
                <w:left w:val="none" w:sz="0" w:space="0" w:color="auto"/>
                <w:bottom w:val="none" w:sz="0" w:space="0" w:color="auto"/>
                <w:right w:val="none" w:sz="0" w:space="0" w:color="auto"/>
              </w:divBdr>
            </w:div>
            <w:div w:id="205408784">
              <w:marLeft w:val="0"/>
              <w:marRight w:val="0"/>
              <w:marTop w:val="0"/>
              <w:marBottom w:val="0"/>
              <w:divBdr>
                <w:top w:val="none" w:sz="0" w:space="0" w:color="auto"/>
                <w:left w:val="none" w:sz="0" w:space="0" w:color="auto"/>
                <w:bottom w:val="none" w:sz="0" w:space="0" w:color="auto"/>
                <w:right w:val="none" w:sz="0" w:space="0" w:color="auto"/>
              </w:divBdr>
            </w:div>
            <w:div w:id="318384189">
              <w:marLeft w:val="0"/>
              <w:marRight w:val="0"/>
              <w:marTop w:val="0"/>
              <w:marBottom w:val="0"/>
              <w:divBdr>
                <w:top w:val="none" w:sz="0" w:space="0" w:color="auto"/>
                <w:left w:val="none" w:sz="0" w:space="0" w:color="auto"/>
                <w:bottom w:val="none" w:sz="0" w:space="0" w:color="auto"/>
                <w:right w:val="none" w:sz="0" w:space="0" w:color="auto"/>
              </w:divBdr>
            </w:div>
            <w:div w:id="394473811">
              <w:marLeft w:val="0"/>
              <w:marRight w:val="0"/>
              <w:marTop w:val="0"/>
              <w:marBottom w:val="0"/>
              <w:divBdr>
                <w:top w:val="none" w:sz="0" w:space="0" w:color="auto"/>
                <w:left w:val="none" w:sz="0" w:space="0" w:color="auto"/>
                <w:bottom w:val="none" w:sz="0" w:space="0" w:color="auto"/>
                <w:right w:val="none" w:sz="0" w:space="0" w:color="auto"/>
              </w:divBdr>
            </w:div>
            <w:div w:id="396972912">
              <w:marLeft w:val="0"/>
              <w:marRight w:val="0"/>
              <w:marTop w:val="0"/>
              <w:marBottom w:val="0"/>
              <w:divBdr>
                <w:top w:val="none" w:sz="0" w:space="0" w:color="auto"/>
                <w:left w:val="none" w:sz="0" w:space="0" w:color="auto"/>
                <w:bottom w:val="none" w:sz="0" w:space="0" w:color="auto"/>
                <w:right w:val="none" w:sz="0" w:space="0" w:color="auto"/>
              </w:divBdr>
            </w:div>
            <w:div w:id="524254139">
              <w:marLeft w:val="0"/>
              <w:marRight w:val="0"/>
              <w:marTop w:val="0"/>
              <w:marBottom w:val="0"/>
              <w:divBdr>
                <w:top w:val="none" w:sz="0" w:space="0" w:color="auto"/>
                <w:left w:val="none" w:sz="0" w:space="0" w:color="auto"/>
                <w:bottom w:val="none" w:sz="0" w:space="0" w:color="auto"/>
                <w:right w:val="none" w:sz="0" w:space="0" w:color="auto"/>
              </w:divBdr>
            </w:div>
            <w:div w:id="711615398">
              <w:marLeft w:val="0"/>
              <w:marRight w:val="0"/>
              <w:marTop w:val="0"/>
              <w:marBottom w:val="0"/>
              <w:divBdr>
                <w:top w:val="none" w:sz="0" w:space="0" w:color="auto"/>
                <w:left w:val="none" w:sz="0" w:space="0" w:color="auto"/>
                <w:bottom w:val="none" w:sz="0" w:space="0" w:color="auto"/>
                <w:right w:val="none" w:sz="0" w:space="0" w:color="auto"/>
              </w:divBdr>
            </w:div>
            <w:div w:id="864296766">
              <w:marLeft w:val="0"/>
              <w:marRight w:val="0"/>
              <w:marTop w:val="0"/>
              <w:marBottom w:val="0"/>
              <w:divBdr>
                <w:top w:val="none" w:sz="0" w:space="0" w:color="auto"/>
                <w:left w:val="none" w:sz="0" w:space="0" w:color="auto"/>
                <w:bottom w:val="none" w:sz="0" w:space="0" w:color="auto"/>
                <w:right w:val="none" w:sz="0" w:space="0" w:color="auto"/>
              </w:divBdr>
            </w:div>
            <w:div w:id="1009991525">
              <w:marLeft w:val="0"/>
              <w:marRight w:val="0"/>
              <w:marTop w:val="0"/>
              <w:marBottom w:val="0"/>
              <w:divBdr>
                <w:top w:val="none" w:sz="0" w:space="0" w:color="auto"/>
                <w:left w:val="none" w:sz="0" w:space="0" w:color="auto"/>
                <w:bottom w:val="none" w:sz="0" w:space="0" w:color="auto"/>
                <w:right w:val="none" w:sz="0" w:space="0" w:color="auto"/>
              </w:divBdr>
            </w:div>
            <w:div w:id="1261178208">
              <w:marLeft w:val="0"/>
              <w:marRight w:val="0"/>
              <w:marTop w:val="0"/>
              <w:marBottom w:val="0"/>
              <w:divBdr>
                <w:top w:val="none" w:sz="0" w:space="0" w:color="auto"/>
                <w:left w:val="none" w:sz="0" w:space="0" w:color="auto"/>
                <w:bottom w:val="none" w:sz="0" w:space="0" w:color="auto"/>
                <w:right w:val="none" w:sz="0" w:space="0" w:color="auto"/>
              </w:divBdr>
            </w:div>
            <w:div w:id="1446851975">
              <w:marLeft w:val="0"/>
              <w:marRight w:val="0"/>
              <w:marTop w:val="0"/>
              <w:marBottom w:val="0"/>
              <w:divBdr>
                <w:top w:val="none" w:sz="0" w:space="0" w:color="auto"/>
                <w:left w:val="none" w:sz="0" w:space="0" w:color="auto"/>
                <w:bottom w:val="none" w:sz="0" w:space="0" w:color="auto"/>
                <w:right w:val="none" w:sz="0" w:space="0" w:color="auto"/>
              </w:divBdr>
            </w:div>
            <w:div w:id="1576820374">
              <w:marLeft w:val="0"/>
              <w:marRight w:val="0"/>
              <w:marTop w:val="0"/>
              <w:marBottom w:val="0"/>
              <w:divBdr>
                <w:top w:val="none" w:sz="0" w:space="0" w:color="auto"/>
                <w:left w:val="none" w:sz="0" w:space="0" w:color="auto"/>
                <w:bottom w:val="none" w:sz="0" w:space="0" w:color="auto"/>
                <w:right w:val="none" w:sz="0" w:space="0" w:color="auto"/>
              </w:divBdr>
            </w:div>
            <w:div w:id="1709644397">
              <w:marLeft w:val="0"/>
              <w:marRight w:val="0"/>
              <w:marTop w:val="0"/>
              <w:marBottom w:val="0"/>
              <w:divBdr>
                <w:top w:val="none" w:sz="0" w:space="0" w:color="auto"/>
                <w:left w:val="none" w:sz="0" w:space="0" w:color="auto"/>
                <w:bottom w:val="none" w:sz="0" w:space="0" w:color="auto"/>
                <w:right w:val="none" w:sz="0" w:space="0" w:color="auto"/>
              </w:divBdr>
            </w:div>
            <w:div w:id="1808157599">
              <w:marLeft w:val="0"/>
              <w:marRight w:val="0"/>
              <w:marTop w:val="0"/>
              <w:marBottom w:val="0"/>
              <w:divBdr>
                <w:top w:val="none" w:sz="0" w:space="0" w:color="auto"/>
                <w:left w:val="none" w:sz="0" w:space="0" w:color="auto"/>
                <w:bottom w:val="none" w:sz="0" w:space="0" w:color="auto"/>
                <w:right w:val="none" w:sz="0" w:space="0" w:color="auto"/>
              </w:divBdr>
            </w:div>
          </w:divsChild>
        </w:div>
        <w:div w:id="847253275">
          <w:marLeft w:val="0"/>
          <w:marRight w:val="0"/>
          <w:marTop w:val="0"/>
          <w:marBottom w:val="0"/>
          <w:divBdr>
            <w:top w:val="none" w:sz="0" w:space="0" w:color="auto"/>
            <w:left w:val="none" w:sz="0" w:space="0" w:color="auto"/>
            <w:bottom w:val="none" w:sz="0" w:space="0" w:color="auto"/>
            <w:right w:val="none" w:sz="0" w:space="0" w:color="auto"/>
          </w:divBdr>
        </w:div>
        <w:div w:id="1467090873">
          <w:marLeft w:val="0"/>
          <w:marRight w:val="0"/>
          <w:marTop w:val="0"/>
          <w:marBottom w:val="0"/>
          <w:divBdr>
            <w:top w:val="none" w:sz="0" w:space="0" w:color="auto"/>
            <w:left w:val="none" w:sz="0" w:space="0" w:color="auto"/>
            <w:bottom w:val="none" w:sz="0" w:space="0" w:color="auto"/>
            <w:right w:val="none" w:sz="0" w:space="0" w:color="auto"/>
          </w:divBdr>
        </w:div>
        <w:div w:id="159975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ge.com/assets/pge/docs/about/doing-business-with-pge/pge-grip-quick-start-guide.pdf" TargetMode="External"/><Relationship Id="rId21" Type="http://schemas.openxmlformats.org/officeDocument/2006/relationships/hyperlink" Target="mailto:ECAMS.SalesforeSupport@energy.ca.gov" TargetMode="External"/><Relationship Id="rId42" Type="http://schemas.openxmlformats.org/officeDocument/2006/relationships/hyperlink" Target="https://www.federalregister.gov/documents/2023/02/21/2023-03498/waiver-of-buy-america-requirements-for-electric-vehicle-chargers" TargetMode="External"/><Relationship Id="rId47" Type="http://schemas.openxmlformats.org/officeDocument/2006/relationships/hyperlink" Target="https://evitp.org/" TargetMode="External"/><Relationship Id="rId63" Type="http://schemas.openxmlformats.org/officeDocument/2006/relationships/footer" Target="footer3.xml"/><Relationship Id="rId68" Type="http://schemas.openxmlformats.org/officeDocument/2006/relationships/hyperlink" Target="https://www.govinfo.gov/content/pkg/USCODE-2021-title23/pdf/USCODE-2021-title23-chap3-sec313.pdf" TargetMode="External"/><Relationship Id="rId84" Type="http://schemas.openxmlformats.org/officeDocument/2006/relationships/hyperlink" Target="https://forms.dot.ca.gov/v2Forms/servlet/FormRenderer?frmid=DOTLAPM3A" TargetMode="External"/><Relationship Id="rId89" Type="http://schemas.openxmlformats.org/officeDocument/2006/relationships/hyperlink" Target="https://www.energy.ca.gov/sites/default/files/2024-12/Special_Terms_and_Conditions_Bankruptcy_ada.pdf" TargetMode="External"/><Relationship Id="rId16" Type="http://schemas.openxmlformats.org/officeDocument/2006/relationships/hyperlink" Target="https://energy.zoom.us/j/88024806865?pwd=dtk95tTBoaqGibS3JQWkn62NcGX7DQ.1" TargetMode="External"/><Relationship Id="rId11" Type="http://schemas.openxmlformats.org/officeDocument/2006/relationships/image" Target="media/image1.jpeg"/><Relationship Id="rId32" Type="http://schemas.openxmlformats.org/officeDocument/2006/relationships/hyperlink" Target="https://experience.arcgis.com/experience/135c0da4b70f4717b4664ad2e427d2bc" TargetMode="External"/><Relationship Id="rId37" Type="http://schemas.openxmlformats.org/officeDocument/2006/relationships/hyperlink" Target="https://www.fhwa.dot.gov/environment/nevi/" TargetMode="External"/><Relationship Id="rId53" Type="http://schemas.openxmlformats.org/officeDocument/2006/relationships/hyperlink" Target="https://www.energy.ca.gov/publications/2024/2024-2025-investment-plan-update-clean-transportation-program" TargetMode="External"/><Relationship Id="rId58" Type="http://schemas.openxmlformats.org/officeDocument/2006/relationships/footer" Target="footer1.xml"/><Relationship Id="rId74" Type="http://schemas.openxmlformats.org/officeDocument/2006/relationships/hyperlink" Target="https://dot.ca.gov/-/media/dot-media/programs/local-assistance/documents/lapm/c13/13e.pdf" TargetMode="External"/><Relationship Id="rId79" Type="http://schemas.openxmlformats.org/officeDocument/2006/relationships/hyperlink" Target="mailto:ECAMS.SalesforceSupport@energy.ca.gov"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dot.ca.gov/-/media/dot-media/programs/esta/documents/transportation-electrification/nevi/2024-ca-nevi-plan-update-a11y.pdf" TargetMode="External"/><Relationship Id="rId22" Type="http://schemas.openxmlformats.org/officeDocument/2006/relationships/hyperlink" Target="mailto:ECAMS.SalesforceSupport@energy.ca.gov" TargetMode="External"/><Relationship Id="rId27" Type="http://schemas.openxmlformats.org/officeDocument/2006/relationships/hyperlink" Target="https://www.pge.com/assets/pge/docs/about/doing-business-with-pge/pge-grip-user-guide.pdf" TargetMode="External"/><Relationship Id="rId30" Type="http://schemas.openxmlformats.org/officeDocument/2006/relationships/hyperlink" Target="https://www.energy.ca.gov/funding-opportunities/funding-resources/ecams-resources" TargetMode="External"/><Relationship Id="rId35" Type="http://schemas.openxmlformats.org/officeDocument/2006/relationships/hyperlink" Target="https://dot.ca.gov/programs/right-of-way/right-of-way-manual" TargetMode="External"/><Relationship Id="rId43"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 Id="rId48" Type="http://schemas.openxmlformats.org/officeDocument/2006/relationships/hyperlink" Target="https://ww2.arb.ca.gov/resources/documents/carb-barriers-report-final-guidance-document" TargetMode="External"/><Relationship Id="rId56" Type="http://schemas.openxmlformats.org/officeDocument/2006/relationships/header" Target="header1.xml"/><Relationship Id="rId64" Type="http://schemas.openxmlformats.org/officeDocument/2006/relationships/hyperlink" Target="https://webmaps.arb.ca.gov/PriorityPopulations/" TargetMode="External"/><Relationship Id="rId69" Type="http://schemas.openxmlformats.org/officeDocument/2006/relationships/hyperlink" Target="https://www.federalregister.gov/documents/2023/02/28/2023-03500/national-electric-vehicle-infrastructure-standards-and-requirements" TargetMode="External"/><Relationship Id="rId77" Type="http://schemas.openxmlformats.org/officeDocument/2006/relationships/hyperlink" Target="https://ecams.energy.ca.gov/s/login/" TargetMode="External"/><Relationship Id="rId8" Type="http://schemas.openxmlformats.org/officeDocument/2006/relationships/webSettings" Target="webSettings.xml"/><Relationship Id="rId51" Type="http://schemas.openxmlformats.org/officeDocument/2006/relationships/hyperlink" Target="https://ww2.arb.ca.gov/our-work/programs/electric-vehicle-supply-equipment-evse-standards" TargetMode="External"/><Relationship Id="rId72" Type="http://schemas.openxmlformats.org/officeDocument/2006/relationships/hyperlink" Target="https://driveelectric.gov/cybersecurity-clauses" TargetMode="External"/><Relationship Id="rId80" Type="http://schemas.openxmlformats.org/officeDocument/2006/relationships/hyperlink" Target="https://www.energy.ca.gov/media/7956" TargetMode="External"/><Relationship Id="rId85" Type="http://schemas.openxmlformats.org/officeDocument/2006/relationships/hyperlink" Target="at%20https:/experience.arcgis.com/experience/135c0da4b70f4717b4664ad2e427d2bc"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join.zoom.us" TargetMode="External"/><Relationship Id="rId25" Type="http://schemas.openxmlformats.org/officeDocument/2006/relationships/hyperlink" Target="https://grip.pge.com/" TargetMode="External"/><Relationship Id="rId33" Type="http://schemas.openxmlformats.org/officeDocument/2006/relationships/hyperlink" Target="https://dot.ca.gov/programs/local-assistance/guidelines-and-procedures/local-assistance-procedures-manual-lapm" TargetMode="External"/><Relationship Id="rId38" Type="http://schemas.openxmlformats.org/officeDocument/2006/relationships/hyperlink" Target="https://www.fhwa.dot.gov/environment/nevi/formula_prog_guid/90d_nevi_formula_program_guidance.pdf" TargetMode="External"/><Relationship Id="rId46" Type="http://schemas.openxmlformats.org/officeDocument/2006/relationships/hyperlink" Target="https://efiling.energy.ca.gov/Lists/DocketLog.aspx?docketnumber=22-EVI-05" TargetMode="External"/><Relationship Id="rId59" Type="http://schemas.openxmlformats.org/officeDocument/2006/relationships/header" Target="header3.xml"/><Relationship Id="rId67" Type="http://schemas.openxmlformats.org/officeDocument/2006/relationships/hyperlink" Target="https://www.energystar.gov/productfinder/product/certified-evse-dc-output/results" TargetMode="External"/><Relationship Id="rId20" Type="http://schemas.openxmlformats.org/officeDocument/2006/relationships/hyperlink" Target="https://support.zoom.us/hc/en-us/articles/201362023-System-requirements-for-Windows-macOS-and-Linux" TargetMode="External"/><Relationship Id="rId41" Type="http://schemas.openxmlformats.org/officeDocument/2006/relationships/hyperlink" Target="https://driveelectric.gov/technical-assistance/" TargetMode="External"/><Relationship Id="rId54" Type="http://schemas.openxmlformats.org/officeDocument/2006/relationships/hyperlink" Target="https://www.energy.ca.gov/sites/default/files/2024-12/Special_Terms_and_Conditions_Bankruptcy_ada.pdf" TargetMode="External"/><Relationship Id="rId62" Type="http://schemas.openxmlformats.org/officeDocument/2006/relationships/hyperlink" Target="https://efiling.energy.ca.gov/GetDocument.aspx?tn=259254&amp;DocumentContentId=95340" TargetMode="External"/><Relationship Id="rId70" Type="http://schemas.openxmlformats.org/officeDocument/2006/relationships/hyperlink" Target="https://dot.ca.gov/programs/safety-programs/sign-specs/district-sign-coordinators" TargetMode="External"/><Relationship Id="rId75" Type="http://schemas.openxmlformats.org/officeDocument/2006/relationships/hyperlink" Target="https://dot.ca.gov/programs/local-assistance/guidelines-and-procedures/local-assistance-procedures-manual-lapm" TargetMode="External"/><Relationship Id="rId83" Type="http://schemas.openxmlformats.org/officeDocument/2006/relationships/hyperlink" Target="https://dot.ca.gov/-/media/dot-media/programs/local-assistance/documents/lapm/c06/06b.pdf" TargetMode="External"/><Relationship Id="rId88" Type="http://schemas.openxmlformats.org/officeDocument/2006/relationships/hyperlink" Target="https://www.energy.ca.gov/sites/default/files/2024-12/Special_Terms_and_Conditions_Bankruptcy_ada.pdf"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ergy.ca.gov/funding-opportunities/solicitations" TargetMode="External"/><Relationship Id="rId23" Type="http://schemas.openxmlformats.org/officeDocument/2006/relationships/hyperlink" Target="https://www.energy.ca.gov/funding-opportunities/solicitations" TargetMode="External"/><Relationship Id="rId28" Type="http://schemas.openxmlformats.org/officeDocument/2006/relationships/hyperlink" Target="https://forms.office.com/r/7D29X1ekhs" TargetMode="External"/><Relationship Id="rId36" Type="http://schemas.openxmlformats.org/officeDocument/2006/relationships/hyperlink" Target="https://www.federalregister.gov/documents/2023/02/28/2023-03500/national-electric-vehicle-infrastructure-standards-and-requirements" TargetMode="External"/><Relationship Id="rId49" Type="http://schemas.openxmlformats.org/officeDocument/2006/relationships/hyperlink" Target="https://www.energy.ca.gov/programs-and-topics/programs/clean-transportation-program/electric-vehicle-infrastructure"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energy.ca.gov/programs-and-topics/programs/national-electric-vehicle-infrastructure-nevi-formula-program" TargetMode="External"/><Relationship Id="rId44" Type="http://schemas.openxmlformats.org/officeDocument/2006/relationships/hyperlink" Target="https://webmaps.arb.ca.gov/PriorityPopulations/" TargetMode="External"/><Relationship Id="rId52" Type="http://schemas.openxmlformats.org/officeDocument/2006/relationships/hyperlink" Target="https://www.cdfa.ca.gov/dms/programs/zevfuels/" TargetMode="External"/><Relationship Id="rId60" Type="http://schemas.openxmlformats.org/officeDocument/2006/relationships/footer" Target="footer2.xml"/><Relationship Id="rId65" Type="http://schemas.openxmlformats.org/officeDocument/2006/relationships/hyperlink" Target="https://experience.arcgis.com/experience/135c0da4b70f4717b4664ad2e427d2bc" TargetMode="External"/><Relationship Id="rId73" Type="http://schemas.openxmlformats.org/officeDocument/2006/relationships/hyperlink" Target="https://dot.ca.gov/programs/local-assistance/guidelines-and-procedures/local-assistance-procedures-manual-lapm" TargetMode="External"/><Relationship Id="rId78" Type="http://schemas.openxmlformats.org/officeDocument/2006/relationships/hyperlink" Target="https://www.energy.ca.gov/funding-opportunities/funding-resources" TargetMode="External"/><Relationship Id="rId81" Type="http://schemas.openxmlformats.org/officeDocument/2006/relationships/hyperlink" Target="https://www.energy.ca.gov/funding-opportunities/funding-resources/ecams-resources" TargetMode="External"/><Relationship Id="rId86" Type="http://schemas.openxmlformats.org/officeDocument/2006/relationships/hyperlink" Target="https://screeningtool.geoplatform.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hyperlink" Target="https://energy.zoom.us/download" TargetMode="External"/><Relationship Id="rId39" Type="http://schemas.openxmlformats.org/officeDocument/2006/relationships/hyperlink" Target="https://www.fhwa.dot.gov/environment/nevi/resources/nevi_program_faqs.cfm" TargetMode="External"/><Relationship Id="rId34" Type="http://schemas.openxmlformats.org/officeDocument/2006/relationships/hyperlink" Target="https://dot.ca.gov/programs/local-assistance/guidelines-and-procedures" TargetMode="External"/><Relationship Id="rId50" Type="http://schemas.openxmlformats.org/officeDocument/2006/relationships/hyperlink" Target="https://www.energy.ca.gov/data-reports/reports/electric-vehicle-charging-infrastructure-assessment-ab-2127" TargetMode="External"/><Relationship Id="rId55" Type="http://schemas.openxmlformats.org/officeDocument/2006/relationships/hyperlink" Target="https://experience.arcgis.com/experience/135c0da4b70f4717b4664ad2e427d2bc" TargetMode="External"/><Relationship Id="rId76" Type="http://schemas.openxmlformats.org/officeDocument/2006/relationships/hyperlink" Target="https://dot.ca.gov/programs/local-assistance/guidelines-and-procedures/local-assistance-procedures-manual-lapm" TargetMode="External"/><Relationship Id="rId7" Type="http://schemas.openxmlformats.org/officeDocument/2006/relationships/settings" Target="settings.xml"/><Relationship Id="rId71" Type="http://schemas.openxmlformats.org/officeDocument/2006/relationships/hyperlink" Target="https://ntl.bts.gov/ntl/public-access/creating-data-management-plans" TargetMode="External"/><Relationship Id="rId2" Type="http://schemas.openxmlformats.org/officeDocument/2006/relationships/customXml" Target="../customXml/item2.xml"/><Relationship Id="rId29" Type="http://schemas.openxmlformats.org/officeDocument/2006/relationships/image" Target="media/image2.jpg"/><Relationship Id="rId24" Type="http://schemas.openxmlformats.org/officeDocument/2006/relationships/hyperlink" Target="mailto:marissa.sutton@energy.ca.gov" TargetMode="External"/><Relationship Id="rId40" Type="http://schemas.openxmlformats.org/officeDocument/2006/relationships/hyperlink" Target="https://dot.ca.gov/-/media/dot-media/programs/esta/documents/transportation-electrification/nevi/2024-ca-nevi-plan-update-a11y.pdf" TargetMode="External"/><Relationship Id="rId45" Type="http://schemas.openxmlformats.org/officeDocument/2006/relationships/hyperlink" Target="https://screeningtool.geoplatform.gov/en/" TargetMode="External"/><Relationship Id="rId66" Type="http://schemas.openxmlformats.org/officeDocument/2006/relationships/hyperlink" Target="https://screeningtool.geoplatform.gov/en/" TargetMode="External"/><Relationship Id="rId87" Type="http://schemas.openxmlformats.org/officeDocument/2006/relationships/hyperlink" Target="http://www.energy.ca.gov/contracts/index.html" TargetMode="External"/><Relationship Id="rId61" Type="http://schemas.openxmlformats.org/officeDocument/2006/relationships/hyperlink" Target="https://driveelectric.gov/files/fbo-creditability.pdf" TargetMode="External"/><Relationship Id="rId82" Type="http://schemas.openxmlformats.org/officeDocument/2006/relationships/hyperlink" Target="https://www.energy.ca.gov/funding-opportunities/funding-resources/ecams-resources/budget-category-guidance?auHash=cEItgat6JNbO9BFGeVqe4E5T6koCOgTaqliFX6bmwtg" TargetMode="External"/><Relationship Id="rId19" Type="http://schemas.openxmlformats.org/officeDocument/2006/relationships/hyperlink" Target="mailto:publicadvisor@energy.c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presidential-actions/2025/01/initial-rescissions-of-harmful-executive-orders-and-actions/" TargetMode="External"/><Relationship Id="rId7" Type="http://schemas.openxmlformats.org/officeDocument/2006/relationships/hyperlink" Target="https://dot.ca.gov/programs/safety-programs/camutcd" TargetMode="External"/><Relationship Id="rId2" Type="http://schemas.openxmlformats.org/officeDocument/2006/relationships/hyperlink" Target="https://www.fhwa.dot.gov/environment/nevi/resources/state-plan-approval-suspension.pdf" TargetMode="External"/><Relationship Id="rId1"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 Id="rId6" Type="http://schemas.openxmlformats.org/officeDocument/2006/relationships/hyperlink" Target="https://www.federalregister.gov/documents/2023/02/28/2023-03500/national-electric-vehicle-infrastructure-standards-and-requirements" TargetMode="External"/><Relationship Id="rId5" Type="http://schemas.openxmlformats.org/officeDocument/2006/relationships/hyperlink" Target="https://www.fhwa.dot.gov/environment/nevi/formula_prog_guid/90d_nevi_formula_program_guidance.pdf" TargetMode="External"/><Relationship Id="rId4" Type="http://schemas.openxmlformats.org/officeDocument/2006/relationships/hyperlink" Target="https://www.fhwa.dot.gov/environment/nevi/formula_prog_guid/90d_nevi_formula_program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00711983-2250-48DB-A3D2-531E5F03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90</Pages>
  <Words>27557</Words>
  <Characters>157077</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Solicitation Manual</vt:lpstr>
    </vt:vector>
  </TitlesOfParts>
  <Company>California Energy Commission</Company>
  <LinksUpToDate>false</LinksUpToDate>
  <CharactersWithSpaces>184266</CharactersWithSpaces>
  <SharedDoc>false</SharedDoc>
  <HLinks>
    <vt:vector size="750" baseType="variant">
      <vt:variant>
        <vt:i4>4784181</vt:i4>
      </vt:variant>
      <vt:variant>
        <vt:i4>543</vt:i4>
      </vt:variant>
      <vt:variant>
        <vt:i4>0</vt:i4>
      </vt:variant>
      <vt:variant>
        <vt:i4>5</vt:i4>
      </vt:variant>
      <vt:variant>
        <vt:lpwstr>https://www.energy.ca.gov/sites/default/files/2024-12/Special_Terms_and_Conditions_Bankruptcy_ada.pdf</vt:lpwstr>
      </vt:variant>
      <vt:variant>
        <vt:lpwstr/>
      </vt:variant>
      <vt:variant>
        <vt:i4>4784181</vt:i4>
      </vt:variant>
      <vt:variant>
        <vt:i4>540</vt:i4>
      </vt:variant>
      <vt:variant>
        <vt:i4>0</vt:i4>
      </vt:variant>
      <vt:variant>
        <vt:i4>5</vt:i4>
      </vt:variant>
      <vt:variant>
        <vt:lpwstr>https://www.energy.ca.gov/sites/default/files/2024-12/Special_Terms_and_Conditions_Bankruptcy_ada.pdf</vt:lpwstr>
      </vt:variant>
      <vt:variant>
        <vt:lpwstr/>
      </vt:variant>
      <vt:variant>
        <vt:i4>852040</vt:i4>
      </vt:variant>
      <vt:variant>
        <vt:i4>537</vt:i4>
      </vt:variant>
      <vt:variant>
        <vt:i4>0</vt:i4>
      </vt:variant>
      <vt:variant>
        <vt:i4>5</vt:i4>
      </vt:variant>
      <vt:variant>
        <vt:lpwstr>http://www.energy.ca.gov/contracts/index.html</vt:lpwstr>
      </vt:variant>
      <vt:variant>
        <vt:lpwstr/>
      </vt:variant>
      <vt:variant>
        <vt:i4>2883626</vt:i4>
      </vt:variant>
      <vt:variant>
        <vt:i4>534</vt:i4>
      </vt:variant>
      <vt:variant>
        <vt:i4>0</vt:i4>
      </vt:variant>
      <vt:variant>
        <vt:i4>5</vt:i4>
      </vt:variant>
      <vt:variant>
        <vt:lpwstr>https://screeningtool.geoplatform.gov/</vt:lpwstr>
      </vt:variant>
      <vt:variant>
        <vt:lpwstr/>
      </vt:variant>
      <vt:variant>
        <vt:i4>6684711</vt:i4>
      </vt:variant>
      <vt:variant>
        <vt:i4>531</vt:i4>
      </vt:variant>
      <vt:variant>
        <vt:i4>0</vt:i4>
      </vt:variant>
      <vt:variant>
        <vt:i4>5</vt:i4>
      </vt:variant>
      <vt:variant>
        <vt:lpwstr>at https:/experience.arcgis.com/experience/135c0da4b70f4717b4664ad2e427d2bc</vt:lpwstr>
      </vt:variant>
      <vt:variant>
        <vt:lpwstr/>
      </vt:variant>
      <vt:variant>
        <vt:i4>5570572</vt:i4>
      </vt:variant>
      <vt:variant>
        <vt:i4>528</vt:i4>
      </vt:variant>
      <vt:variant>
        <vt:i4>0</vt:i4>
      </vt:variant>
      <vt:variant>
        <vt:i4>5</vt:i4>
      </vt:variant>
      <vt:variant>
        <vt:lpwstr>https://forms.dot.ca.gov/v2Forms/servlet/FormRenderer?frmid=DOTLAPM3A</vt:lpwstr>
      </vt:variant>
      <vt:variant>
        <vt:lpwstr/>
      </vt:variant>
      <vt:variant>
        <vt:i4>5439559</vt:i4>
      </vt:variant>
      <vt:variant>
        <vt:i4>489</vt:i4>
      </vt:variant>
      <vt:variant>
        <vt:i4>0</vt:i4>
      </vt:variant>
      <vt:variant>
        <vt:i4>5</vt:i4>
      </vt:variant>
      <vt:variant>
        <vt:lpwstr>https://dot.ca.gov/-/media/dot-media/programs/local-assistance/documents/lapm/c06/06b.pdf</vt:lpwstr>
      </vt:variant>
      <vt:variant>
        <vt:lpwstr/>
      </vt:variant>
      <vt:variant>
        <vt:i4>4653082</vt:i4>
      </vt:variant>
      <vt:variant>
        <vt:i4>486</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483</vt:i4>
      </vt:variant>
      <vt:variant>
        <vt:i4>0</vt:i4>
      </vt:variant>
      <vt:variant>
        <vt:i4>5</vt:i4>
      </vt:variant>
      <vt:variant>
        <vt:lpwstr>https://www.energy.ca.gov/funding-opportunities/funding-resources/ecams-resources</vt:lpwstr>
      </vt:variant>
      <vt:variant>
        <vt:lpwstr/>
      </vt:variant>
      <vt:variant>
        <vt:i4>786451</vt:i4>
      </vt:variant>
      <vt:variant>
        <vt:i4>480</vt:i4>
      </vt:variant>
      <vt:variant>
        <vt:i4>0</vt:i4>
      </vt:variant>
      <vt:variant>
        <vt:i4>5</vt:i4>
      </vt:variant>
      <vt:variant>
        <vt:lpwstr>https://www.energy.ca.gov/media/7956</vt:lpwstr>
      </vt:variant>
      <vt:variant>
        <vt:lpwstr/>
      </vt:variant>
      <vt:variant>
        <vt:i4>5505135</vt:i4>
      </vt:variant>
      <vt:variant>
        <vt:i4>477</vt:i4>
      </vt:variant>
      <vt:variant>
        <vt:i4>0</vt:i4>
      </vt:variant>
      <vt:variant>
        <vt:i4>5</vt:i4>
      </vt:variant>
      <vt:variant>
        <vt:lpwstr>mailto:ECAMS.SalesforceSupport@energy.ca.gov</vt:lpwstr>
      </vt:variant>
      <vt:variant>
        <vt:lpwstr/>
      </vt:variant>
      <vt:variant>
        <vt:i4>393221</vt:i4>
      </vt:variant>
      <vt:variant>
        <vt:i4>474</vt:i4>
      </vt:variant>
      <vt:variant>
        <vt:i4>0</vt:i4>
      </vt:variant>
      <vt:variant>
        <vt:i4>5</vt:i4>
      </vt:variant>
      <vt:variant>
        <vt:lpwstr>https://www.energy.ca.gov/funding-opportunities/funding-resources</vt:lpwstr>
      </vt:variant>
      <vt:variant>
        <vt:lpwstr/>
      </vt:variant>
      <vt:variant>
        <vt:i4>6225944</vt:i4>
      </vt:variant>
      <vt:variant>
        <vt:i4>471</vt:i4>
      </vt:variant>
      <vt:variant>
        <vt:i4>0</vt:i4>
      </vt:variant>
      <vt:variant>
        <vt:i4>5</vt:i4>
      </vt:variant>
      <vt:variant>
        <vt:lpwstr>https://ecams.energy.ca.gov/s/login/</vt:lpwstr>
      </vt:variant>
      <vt:variant>
        <vt:lpwstr/>
      </vt:variant>
      <vt:variant>
        <vt:i4>3014704</vt:i4>
      </vt:variant>
      <vt:variant>
        <vt:i4>468</vt:i4>
      </vt:variant>
      <vt:variant>
        <vt:i4>0</vt:i4>
      </vt:variant>
      <vt:variant>
        <vt:i4>5</vt:i4>
      </vt:variant>
      <vt:variant>
        <vt:lpwstr>https://dot.ca.gov/programs/local-assistance/guidelines-and-procedures/local-assistance-procedures-manual-lapm</vt:lpwstr>
      </vt:variant>
      <vt:variant>
        <vt:lpwstr/>
      </vt:variant>
      <vt:variant>
        <vt:i4>3014704</vt:i4>
      </vt:variant>
      <vt:variant>
        <vt:i4>465</vt:i4>
      </vt:variant>
      <vt:variant>
        <vt:i4>0</vt:i4>
      </vt:variant>
      <vt:variant>
        <vt:i4>5</vt:i4>
      </vt:variant>
      <vt:variant>
        <vt:lpwstr>https://dot.ca.gov/programs/local-assistance/guidelines-and-procedures/local-assistance-procedures-manual-lapm</vt:lpwstr>
      </vt:variant>
      <vt:variant>
        <vt:lpwstr/>
      </vt:variant>
      <vt:variant>
        <vt:i4>5701700</vt:i4>
      </vt:variant>
      <vt:variant>
        <vt:i4>462</vt:i4>
      </vt:variant>
      <vt:variant>
        <vt:i4>0</vt:i4>
      </vt:variant>
      <vt:variant>
        <vt:i4>5</vt:i4>
      </vt:variant>
      <vt:variant>
        <vt:lpwstr>https://dot.ca.gov/-/media/dot-media/programs/local-assistance/documents/lapm/c13/13e.pdf</vt:lpwstr>
      </vt:variant>
      <vt:variant>
        <vt:lpwstr/>
      </vt:variant>
      <vt:variant>
        <vt:i4>3014704</vt:i4>
      </vt:variant>
      <vt:variant>
        <vt:i4>459</vt:i4>
      </vt:variant>
      <vt:variant>
        <vt:i4>0</vt:i4>
      </vt:variant>
      <vt:variant>
        <vt:i4>5</vt:i4>
      </vt:variant>
      <vt:variant>
        <vt:lpwstr>https://dot.ca.gov/programs/local-assistance/guidelines-and-procedures/local-assistance-procedures-manual-lapm</vt:lpwstr>
      </vt:variant>
      <vt:variant>
        <vt:lpwstr/>
      </vt:variant>
      <vt:variant>
        <vt:i4>3997733</vt:i4>
      </vt:variant>
      <vt:variant>
        <vt:i4>456</vt:i4>
      </vt:variant>
      <vt:variant>
        <vt:i4>0</vt:i4>
      </vt:variant>
      <vt:variant>
        <vt:i4>5</vt:i4>
      </vt:variant>
      <vt:variant>
        <vt:lpwstr>https://driveelectric.gov/cybersecurity-clauses</vt:lpwstr>
      </vt:variant>
      <vt:variant>
        <vt:lpwstr/>
      </vt:variant>
      <vt:variant>
        <vt:i4>1572890</vt:i4>
      </vt:variant>
      <vt:variant>
        <vt:i4>453</vt:i4>
      </vt:variant>
      <vt:variant>
        <vt:i4>0</vt:i4>
      </vt:variant>
      <vt:variant>
        <vt:i4>5</vt:i4>
      </vt:variant>
      <vt:variant>
        <vt:lpwstr>https://ntl.bts.gov/ntl/public-access/creating-data-management-plans</vt:lpwstr>
      </vt:variant>
      <vt:variant>
        <vt:lpwstr/>
      </vt:variant>
      <vt:variant>
        <vt:i4>1245271</vt:i4>
      </vt:variant>
      <vt:variant>
        <vt:i4>450</vt:i4>
      </vt:variant>
      <vt:variant>
        <vt:i4>0</vt:i4>
      </vt:variant>
      <vt:variant>
        <vt:i4>5</vt:i4>
      </vt:variant>
      <vt:variant>
        <vt:lpwstr>https://dot.ca.gov/programs/safety-programs/sign-specs/district-sign-coordinators</vt:lpwstr>
      </vt:variant>
      <vt:variant>
        <vt:lpwstr/>
      </vt:variant>
      <vt:variant>
        <vt:i4>3145837</vt:i4>
      </vt:variant>
      <vt:variant>
        <vt:i4>447</vt:i4>
      </vt:variant>
      <vt:variant>
        <vt:i4>0</vt:i4>
      </vt:variant>
      <vt:variant>
        <vt:i4>5</vt:i4>
      </vt:variant>
      <vt:variant>
        <vt:lpwstr>https://www.federalregister.gov/documents/2023/02/28/2023-03500/national-electric-vehicle-infrastructure-standards-and-requirements</vt:lpwstr>
      </vt:variant>
      <vt:variant>
        <vt:lpwstr/>
      </vt:variant>
      <vt:variant>
        <vt:i4>5701638</vt:i4>
      </vt:variant>
      <vt:variant>
        <vt:i4>444</vt:i4>
      </vt:variant>
      <vt:variant>
        <vt:i4>0</vt:i4>
      </vt:variant>
      <vt:variant>
        <vt:i4>5</vt:i4>
      </vt:variant>
      <vt:variant>
        <vt:lpwstr>https://www.govinfo.gov/content/pkg/USCODE-2021-title23/pdf/USCODE-2021-title23-chap3-sec313.pdf</vt:lpwstr>
      </vt:variant>
      <vt:variant>
        <vt:lpwstr/>
      </vt:variant>
      <vt:variant>
        <vt:i4>5046351</vt:i4>
      </vt:variant>
      <vt:variant>
        <vt:i4>441</vt:i4>
      </vt:variant>
      <vt:variant>
        <vt:i4>0</vt:i4>
      </vt:variant>
      <vt:variant>
        <vt:i4>5</vt:i4>
      </vt:variant>
      <vt:variant>
        <vt:lpwstr>https://www.energystar.gov/productfinder/product/certified-evse-dc-output/results</vt:lpwstr>
      </vt:variant>
      <vt:variant>
        <vt:lpwstr/>
      </vt:variant>
      <vt:variant>
        <vt:i4>4325455</vt:i4>
      </vt:variant>
      <vt:variant>
        <vt:i4>438</vt:i4>
      </vt:variant>
      <vt:variant>
        <vt:i4>0</vt:i4>
      </vt:variant>
      <vt:variant>
        <vt:i4>5</vt:i4>
      </vt:variant>
      <vt:variant>
        <vt:lpwstr>https://screeningtool.geoplatform.gov/en/</vt:lpwstr>
      </vt:variant>
      <vt:variant>
        <vt:lpwstr/>
      </vt:variant>
      <vt:variant>
        <vt:i4>4390936</vt:i4>
      </vt:variant>
      <vt:variant>
        <vt:i4>435</vt:i4>
      </vt:variant>
      <vt:variant>
        <vt:i4>0</vt:i4>
      </vt:variant>
      <vt:variant>
        <vt:i4>5</vt:i4>
      </vt:variant>
      <vt:variant>
        <vt:lpwstr>https://experience.arcgis.com/experience/135c0da4b70f4717b4664ad2e427d2bc</vt:lpwstr>
      </vt:variant>
      <vt:variant>
        <vt:lpwstr/>
      </vt:variant>
      <vt:variant>
        <vt:i4>7340088</vt:i4>
      </vt:variant>
      <vt:variant>
        <vt:i4>432</vt:i4>
      </vt:variant>
      <vt:variant>
        <vt:i4>0</vt:i4>
      </vt:variant>
      <vt:variant>
        <vt:i4>5</vt:i4>
      </vt:variant>
      <vt:variant>
        <vt:lpwstr>https://webmaps.arb.ca.gov/PriorityPopulations/</vt:lpwstr>
      </vt:variant>
      <vt:variant>
        <vt:lpwstr/>
      </vt:variant>
      <vt:variant>
        <vt:i4>4915216</vt:i4>
      </vt:variant>
      <vt:variant>
        <vt:i4>429</vt:i4>
      </vt:variant>
      <vt:variant>
        <vt:i4>0</vt:i4>
      </vt:variant>
      <vt:variant>
        <vt:i4>5</vt:i4>
      </vt:variant>
      <vt:variant>
        <vt:lpwstr>https://efiling.energy.ca.gov/GetDocument.aspx?tn=259254&amp;DocumentContentId=95340</vt:lpwstr>
      </vt:variant>
      <vt:variant>
        <vt:lpwstr/>
      </vt:variant>
      <vt:variant>
        <vt:i4>5767248</vt:i4>
      </vt:variant>
      <vt:variant>
        <vt:i4>426</vt:i4>
      </vt:variant>
      <vt:variant>
        <vt:i4>0</vt:i4>
      </vt:variant>
      <vt:variant>
        <vt:i4>5</vt:i4>
      </vt:variant>
      <vt:variant>
        <vt:lpwstr>https://driveelectric.gov/files/fbo-creditability.pdf</vt:lpwstr>
      </vt:variant>
      <vt:variant>
        <vt:lpwstr/>
      </vt:variant>
      <vt:variant>
        <vt:i4>4390936</vt:i4>
      </vt:variant>
      <vt:variant>
        <vt:i4>420</vt:i4>
      </vt:variant>
      <vt:variant>
        <vt:i4>0</vt:i4>
      </vt:variant>
      <vt:variant>
        <vt:i4>5</vt:i4>
      </vt:variant>
      <vt:variant>
        <vt:lpwstr>https://experience.arcgis.com/experience/135c0da4b70f4717b4664ad2e427d2bc</vt:lpwstr>
      </vt:variant>
      <vt:variant>
        <vt:lpwstr/>
      </vt:variant>
      <vt:variant>
        <vt:i4>4784181</vt:i4>
      </vt:variant>
      <vt:variant>
        <vt:i4>417</vt:i4>
      </vt:variant>
      <vt:variant>
        <vt:i4>0</vt:i4>
      </vt:variant>
      <vt:variant>
        <vt:i4>5</vt:i4>
      </vt:variant>
      <vt:variant>
        <vt:lpwstr>https://www.energy.ca.gov/sites/default/files/2024-12/Special_Terms_and_Conditions_Bankruptcy_ada.pdf</vt:lpwstr>
      </vt:variant>
      <vt:variant>
        <vt:lpwstr/>
      </vt:variant>
      <vt:variant>
        <vt:i4>4522074</vt:i4>
      </vt:variant>
      <vt:variant>
        <vt:i4>414</vt:i4>
      </vt:variant>
      <vt:variant>
        <vt:i4>0</vt:i4>
      </vt:variant>
      <vt:variant>
        <vt:i4>5</vt:i4>
      </vt:variant>
      <vt:variant>
        <vt:lpwstr>https://www.energy.ca.gov/publications/2024/2024-2025-investment-plan-update-clean-transportation-program</vt:lpwstr>
      </vt:variant>
      <vt:variant>
        <vt:lpwstr/>
      </vt:variant>
      <vt:variant>
        <vt:i4>4128822</vt:i4>
      </vt:variant>
      <vt:variant>
        <vt:i4>411</vt:i4>
      </vt:variant>
      <vt:variant>
        <vt:i4>0</vt:i4>
      </vt:variant>
      <vt:variant>
        <vt:i4>5</vt:i4>
      </vt:variant>
      <vt:variant>
        <vt:lpwstr>https://www.cdfa.ca.gov/dms/programs/zevfuels/</vt:lpwstr>
      </vt:variant>
      <vt:variant>
        <vt:lpwstr/>
      </vt:variant>
      <vt:variant>
        <vt:i4>29</vt:i4>
      </vt:variant>
      <vt:variant>
        <vt:i4>408</vt:i4>
      </vt:variant>
      <vt:variant>
        <vt:i4>0</vt:i4>
      </vt:variant>
      <vt:variant>
        <vt:i4>5</vt:i4>
      </vt:variant>
      <vt:variant>
        <vt:lpwstr>https://ww2.arb.ca.gov/our-work/programs/electric-vehicle-supply-equipment-evse-standards</vt:lpwstr>
      </vt:variant>
      <vt:variant>
        <vt:lpwstr/>
      </vt:variant>
      <vt:variant>
        <vt:i4>3342375</vt:i4>
      </vt:variant>
      <vt:variant>
        <vt:i4>405</vt:i4>
      </vt:variant>
      <vt:variant>
        <vt:i4>0</vt:i4>
      </vt:variant>
      <vt:variant>
        <vt:i4>5</vt:i4>
      </vt:variant>
      <vt:variant>
        <vt:lpwstr>https://www.energy.ca.gov/data-reports/reports/electric-vehicle-charging-infrastructure-assessment-ab-2127</vt:lpwstr>
      </vt:variant>
      <vt:variant>
        <vt:lpwstr/>
      </vt:variant>
      <vt:variant>
        <vt:i4>7995491</vt:i4>
      </vt:variant>
      <vt:variant>
        <vt:i4>402</vt:i4>
      </vt:variant>
      <vt:variant>
        <vt:i4>0</vt:i4>
      </vt:variant>
      <vt:variant>
        <vt:i4>5</vt:i4>
      </vt:variant>
      <vt:variant>
        <vt:lpwstr>https://www.energy.ca.gov/programs-and-topics/programs/clean-transportation-program/electric-vehicle-infrastructure</vt:lpwstr>
      </vt:variant>
      <vt:variant>
        <vt:lpwstr/>
      </vt:variant>
      <vt:variant>
        <vt:i4>2621564</vt:i4>
      </vt:variant>
      <vt:variant>
        <vt:i4>399</vt:i4>
      </vt:variant>
      <vt:variant>
        <vt:i4>0</vt:i4>
      </vt:variant>
      <vt:variant>
        <vt:i4>5</vt:i4>
      </vt:variant>
      <vt:variant>
        <vt:lpwstr>https://ww2.arb.ca.gov/resources/documents/carb-barriers-report-final-guidance-document</vt:lpwstr>
      </vt:variant>
      <vt:variant>
        <vt:lpwstr/>
      </vt:variant>
      <vt:variant>
        <vt:i4>6291508</vt:i4>
      </vt:variant>
      <vt:variant>
        <vt:i4>396</vt:i4>
      </vt:variant>
      <vt:variant>
        <vt:i4>0</vt:i4>
      </vt:variant>
      <vt:variant>
        <vt:i4>5</vt:i4>
      </vt:variant>
      <vt:variant>
        <vt:lpwstr>https://evitp.org/</vt:lpwstr>
      </vt:variant>
      <vt:variant>
        <vt:lpwstr/>
      </vt:variant>
      <vt:variant>
        <vt:i4>786433</vt:i4>
      </vt:variant>
      <vt:variant>
        <vt:i4>393</vt:i4>
      </vt:variant>
      <vt:variant>
        <vt:i4>0</vt:i4>
      </vt:variant>
      <vt:variant>
        <vt:i4>5</vt:i4>
      </vt:variant>
      <vt:variant>
        <vt:lpwstr>https://efiling.energy.ca.gov/Lists/DocketLog.aspx?docketnumber=22-EVI-05</vt:lpwstr>
      </vt:variant>
      <vt:variant>
        <vt:lpwstr/>
      </vt:variant>
      <vt:variant>
        <vt:i4>4325455</vt:i4>
      </vt:variant>
      <vt:variant>
        <vt:i4>390</vt:i4>
      </vt:variant>
      <vt:variant>
        <vt:i4>0</vt:i4>
      </vt:variant>
      <vt:variant>
        <vt:i4>5</vt:i4>
      </vt:variant>
      <vt:variant>
        <vt:lpwstr>https://screeningtool.geoplatform.gov/en/</vt:lpwstr>
      </vt:variant>
      <vt:variant>
        <vt:lpwstr/>
      </vt:variant>
      <vt:variant>
        <vt:i4>7340088</vt:i4>
      </vt:variant>
      <vt:variant>
        <vt:i4>387</vt:i4>
      </vt:variant>
      <vt:variant>
        <vt:i4>0</vt:i4>
      </vt:variant>
      <vt:variant>
        <vt:i4>5</vt:i4>
      </vt:variant>
      <vt:variant>
        <vt:lpwstr>https://webmaps.arb.ca.gov/PriorityPopulations/</vt:lpwstr>
      </vt:variant>
      <vt:variant>
        <vt:lpwstr/>
      </vt:variant>
      <vt:variant>
        <vt:i4>4128892</vt:i4>
      </vt:variant>
      <vt:variant>
        <vt:i4>384</vt:i4>
      </vt:variant>
      <vt:variant>
        <vt:i4>0</vt:i4>
      </vt:variant>
      <vt:variant>
        <vt:i4>5</vt:i4>
      </vt:variant>
      <vt:variant>
        <vt:lpwstr>https://www.whitehouse.gov/briefing-room/statements-releases/2023/02/15/fact-sheet-biden-harris-administration-announces-new-standards-and-major-progress-for-a-made-in-america-national-network-of-electric-vehicle-chargers/</vt:lpwstr>
      </vt:variant>
      <vt:variant>
        <vt:lpwstr/>
      </vt:variant>
      <vt:variant>
        <vt:i4>1835080</vt:i4>
      </vt:variant>
      <vt:variant>
        <vt:i4>381</vt:i4>
      </vt:variant>
      <vt:variant>
        <vt:i4>0</vt:i4>
      </vt:variant>
      <vt:variant>
        <vt:i4>5</vt:i4>
      </vt:variant>
      <vt:variant>
        <vt:lpwstr>https://www.federalregister.gov/documents/2023/02/21/2023-03498/waiver-of-buy-america-requirements-for-electric-vehicle-chargers</vt:lpwstr>
      </vt:variant>
      <vt:variant>
        <vt:lpwstr/>
      </vt:variant>
      <vt:variant>
        <vt:i4>2818098</vt:i4>
      </vt:variant>
      <vt:variant>
        <vt:i4>378</vt:i4>
      </vt:variant>
      <vt:variant>
        <vt:i4>0</vt:i4>
      </vt:variant>
      <vt:variant>
        <vt:i4>5</vt:i4>
      </vt:variant>
      <vt:variant>
        <vt:lpwstr>https://driveelectric.gov/technical-assistance/</vt:lpwstr>
      </vt:variant>
      <vt:variant>
        <vt:lpwstr/>
      </vt:variant>
      <vt:variant>
        <vt:i4>3211364</vt:i4>
      </vt:variant>
      <vt:variant>
        <vt:i4>375</vt:i4>
      </vt:variant>
      <vt:variant>
        <vt:i4>0</vt:i4>
      </vt:variant>
      <vt:variant>
        <vt:i4>5</vt:i4>
      </vt:variant>
      <vt:variant>
        <vt:lpwstr>https://dot.ca.gov/-/media/dot-media/programs/esta/documents/transportation-electrification/nevi/2024-ca-nevi-plan-update-a11y.pdf</vt:lpwstr>
      </vt:variant>
      <vt:variant>
        <vt:lpwstr/>
      </vt:variant>
      <vt:variant>
        <vt:i4>524367</vt:i4>
      </vt:variant>
      <vt:variant>
        <vt:i4>372</vt:i4>
      </vt:variant>
      <vt:variant>
        <vt:i4>0</vt:i4>
      </vt:variant>
      <vt:variant>
        <vt:i4>5</vt:i4>
      </vt:variant>
      <vt:variant>
        <vt:lpwstr>https://www.fhwa.dot.gov/environment/nevi/resources/nevi_program_faqs.cfm</vt:lpwstr>
      </vt:variant>
      <vt:variant>
        <vt:lpwstr/>
      </vt:variant>
      <vt:variant>
        <vt:i4>4784141</vt:i4>
      </vt:variant>
      <vt:variant>
        <vt:i4>369</vt:i4>
      </vt:variant>
      <vt:variant>
        <vt:i4>0</vt:i4>
      </vt:variant>
      <vt:variant>
        <vt:i4>5</vt:i4>
      </vt:variant>
      <vt:variant>
        <vt:lpwstr>https://www.fhwa.dot.gov/environment/nevi/formula_prog_guid/90d_nevi_formula_program_guidance.pdf</vt:lpwstr>
      </vt:variant>
      <vt:variant>
        <vt:lpwstr/>
      </vt:variant>
      <vt:variant>
        <vt:i4>6881334</vt:i4>
      </vt:variant>
      <vt:variant>
        <vt:i4>366</vt:i4>
      </vt:variant>
      <vt:variant>
        <vt:i4>0</vt:i4>
      </vt:variant>
      <vt:variant>
        <vt:i4>5</vt:i4>
      </vt:variant>
      <vt:variant>
        <vt:lpwstr>https://www.fhwa.dot.gov/environment/nevi/</vt:lpwstr>
      </vt:variant>
      <vt:variant>
        <vt:lpwstr/>
      </vt:variant>
      <vt:variant>
        <vt:i4>3145837</vt:i4>
      </vt:variant>
      <vt:variant>
        <vt:i4>363</vt:i4>
      </vt:variant>
      <vt:variant>
        <vt:i4>0</vt:i4>
      </vt:variant>
      <vt:variant>
        <vt:i4>5</vt:i4>
      </vt:variant>
      <vt:variant>
        <vt:lpwstr>https://www.federalregister.gov/documents/2023/02/28/2023-03500/national-electric-vehicle-infrastructure-standards-and-requirements</vt:lpwstr>
      </vt:variant>
      <vt:variant>
        <vt:lpwstr/>
      </vt:variant>
      <vt:variant>
        <vt:i4>6029329</vt:i4>
      </vt:variant>
      <vt:variant>
        <vt:i4>360</vt:i4>
      </vt:variant>
      <vt:variant>
        <vt:i4>0</vt:i4>
      </vt:variant>
      <vt:variant>
        <vt:i4>5</vt:i4>
      </vt:variant>
      <vt:variant>
        <vt:lpwstr>https://dot.ca.gov/programs/right-of-way/right-of-way-manual</vt:lpwstr>
      </vt:variant>
      <vt:variant>
        <vt:lpwstr/>
      </vt:variant>
      <vt:variant>
        <vt:i4>3407994</vt:i4>
      </vt:variant>
      <vt:variant>
        <vt:i4>357</vt:i4>
      </vt:variant>
      <vt:variant>
        <vt:i4>0</vt:i4>
      </vt:variant>
      <vt:variant>
        <vt:i4>5</vt:i4>
      </vt:variant>
      <vt:variant>
        <vt:lpwstr>https://dot.ca.gov/programs/local-assistance/guidelines-and-procedures</vt:lpwstr>
      </vt:variant>
      <vt:variant>
        <vt:lpwstr/>
      </vt:variant>
      <vt:variant>
        <vt:i4>3014704</vt:i4>
      </vt:variant>
      <vt:variant>
        <vt:i4>354</vt:i4>
      </vt:variant>
      <vt:variant>
        <vt:i4>0</vt:i4>
      </vt:variant>
      <vt:variant>
        <vt:i4>5</vt:i4>
      </vt:variant>
      <vt:variant>
        <vt:lpwstr>https://dot.ca.gov/programs/local-assistance/guidelines-and-procedures/local-assistance-procedures-manual-lapm</vt:lpwstr>
      </vt:variant>
      <vt:variant>
        <vt:lpwstr/>
      </vt:variant>
      <vt:variant>
        <vt:i4>4390936</vt:i4>
      </vt:variant>
      <vt:variant>
        <vt:i4>351</vt:i4>
      </vt:variant>
      <vt:variant>
        <vt:i4>0</vt:i4>
      </vt:variant>
      <vt:variant>
        <vt:i4>5</vt:i4>
      </vt:variant>
      <vt:variant>
        <vt:lpwstr>https://experience.arcgis.com/experience/135c0da4b70f4717b4664ad2e427d2bc</vt:lpwstr>
      </vt:variant>
      <vt:variant>
        <vt:lpwstr/>
      </vt:variant>
      <vt:variant>
        <vt:i4>1704022</vt:i4>
      </vt:variant>
      <vt:variant>
        <vt:i4>348</vt:i4>
      </vt:variant>
      <vt:variant>
        <vt:i4>0</vt:i4>
      </vt:variant>
      <vt:variant>
        <vt:i4>5</vt:i4>
      </vt:variant>
      <vt:variant>
        <vt:lpwstr>https://www.energy.ca.gov/programs-and-topics/programs/national-electric-vehicle-infrastructure-nevi-formula-program</vt:lpwstr>
      </vt:variant>
      <vt:variant>
        <vt:lpwstr/>
      </vt:variant>
      <vt:variant>
        <vt:i4>1507350</vt:i4>
      </vt:variant>
      <vt:variant>
        <vt:i4>345</vt:i4>
      </vt:variant>
      <vt:variant>
        <vt:i4>0</vt:i4>
      </vt:variant>
      <vt:variant>
        <vt:i4>5</vt:i4>
      </vt:variant>
      <vt:variant>
        <vt:lpwstr>https://www.energy.ca.gov/funding-opportunities/funding-resources/ecams-resources</vt:lpwstr>
      </vt:variant>
      <vt:variant>
        <vt:lpwstr/>
      </vt:variant>
      <vt:variant>
        <vt:i4>5963787</vt:i4>
      </vt:variant>
      <vt:variant>
        <vt:i4>339</vt:i4>
      </vt:variant>
      <vt:variant>
        <vt:i4>0</vt:i4>
      </vt:variant>
      <vt:variant>
        <vt:i4>5</vt:i4>
      </vt:variant>
      <vt:variant>
        <vt:lpwstr>https://forms.office.com/r/7D29X1ekhs</vt:lpwstr>
      </vt:variant>
      <vt:variant>
        <vt:lpwstr/>
      </vt:variant>
      <vt:variant>
        <vt:i4>5177423</vt:i4>
      </vt:variant>
      <vt:variant>
        <vt:i4>336</vt:i4>
      </vt:variant>
      <vt:variant>
        <vt:i4>0</vt:i4>
      </vt:variant>
      <vt:variant>
        <vt:i4>5</vt:i4>
      </vt:variant>
      <vt:variant>
        <vt:lpwstr>https://www.pge.com/assets/pge/docs/about/doing-business-with-pge/pge-grip-user-guide.pdf</vt:lpwstr>
      </vt:variant>
      <vt:variant>
        <vt:lpwstr/>
      </vt:variant>
      <vt:variant>
        <vt:i4>4259870</vt:i4>
      </vt:variant>
      <vt:variant>
        <vt:i4>333</vt:i4>
      </vt:variant>
      <vt:variant>
        <vt:i4>0</vt:i4>
      </vt:variant>
      <vt:variant>
        <vt:i4>5</vt:i4>
      </vt:variant>
      <vt:variant>
        <vt:lpwstr>https://www.pge.com/assets/pge/docs/about/doing-business-with-pge/pge-grip-quick-start-guide.pdf</vt:lpwstr>
      </vt:variant>
      <vt:variant>
        <vt:lpwstr/>
      </vt:variant>
      <vt:variant>
        <vt:i4>524358</vt:i4>
      </vt:variant>
      <vt:variant>
        <vt:i4>330</vt:i4>
      </vt:variant>
      <vt:variant>
        <vt:i4>0</vt:i4>
      </vt:variant>
      <vt:variant>
        <vt:i4>5</vt:i4>
      </vt:variant>
      <vt:variant>
        <vt:lpwstr>https://grip.pge.com/</vt:lpwstr>
      </vt:variant>
      <vt:variant>
        <vt:lpwstr/>
      </vt:variant>
      <vt:variant>
        <vt:i4>63</vt:i4>
      </vt:variant>
      <vt:variant>
        <vt:i4>327</vt:i4>
      </vt:variant>
      <vt:variant>
        <vt:i4>0</vt:i4>
      </vt:variant>
      <vt:variant>
        <vt:i4>5</vt:i4>
      </vt:variant>
      <vt:variant>
        <vt:lpwstr>mailto:marissa.sutton@energy.ca.gov</vt:lpwstr>
      </vt:variant>
      <vt:variant>
        <vt:lpwstr/>
      </vt:variant>
      <vt:variant>
        <vt:i4>4194311</vt:i4>
      </vt:variant>
      <vt:variant>
        <vt:i4>324</vt:i4>
      </vt:variant>
      <vt:variant>
        <vt:i4>0</vt:i4>
      </vt:variant>
      <vt:variant>
        <vt:i4>5</vt:i4>
      </vt:variant>
      <vt:variant>
        <vt:lpwstr>https://www.energy.ca.gov/funding-opportunities/solicitations</vt:lpwstr>
      </vt:variant>
      <vt:variant>
        <vt:lpwstr/>
      </vt:variant>
      <vt:variant>
        <vt:i4>5505135</vt:i4>
      </vt:variant>
      <vt:variant>
        <vt:i4>321</vt:i4>
      </vt:variant>
      <vt:variant>
        <vt:i4>0</vt:i4>
      </vt:variant>
      <vt:variant>
        <vt:i4>5</vt:i4>
      </vt:variant>
      <vt:variant>
        <vt:lpwstr>mailto:ECAMS.SalesforceSupport@energy.ca.gov</vt:lpwstr>
      </vt:variant>
      <vt:variant>
        <vt:lpwstr/>
      </vt:variant>
      <vt:variant>
        <vt:i4>196653</vt:i4>
      </vt:variant>
      <vt:variant>
        <vt:i4>318</vt:i4>
      </vt:variant>
      <vt:variant>
        <vt:i4>0</vt:i4>
      </vt:variant>
      <vt:variant>
        <vt:i4>5</vt:i4>
      </vt:variant>
      <vt:variant>
        <vt:lpwstr>mailto:ECAMS.SalesforeSupport@energy.ca.gov</vt:lpwstr>
      </vt:variant>
      <vt:variant>
        <vt:lpwstr/>
      </vt:variant>
      <vt:variant>
        <vt:i4>6291552</vt:i4>
      </vt:variant>
      <vt:variant>
        <vt:i4>315</vt:i4>
      </vt:variant>
      <vt:variant>
        <vt:i4>0</vt:i4>
      </vt:variant>
      <vt:variant>
        <vt:i4>5</vt:i4>
      </vt:variant>
      <vt:variant>
        <vt:lpwstr>https://support.zoom.us/hc/en-us/articles/201362023-System-requirements-for-Windows-macOS-and-Linux</vt:lpwstr>
      </vt:variant>
      <vt:variant>
        <vt:lpwstr/>
      </vt:variant>
      <vt:variant>
        <vt:i4>3539029</vt:i4>
      </vt:variant>
      <vt:variant>
        <vt:i4>312</vt:i4>
      </vt:variant>
      <vt:variant>
        <vt:i4>0</vt:i4>
      </vt:variant>
      <vt:variant>
        <vt:i4>5</vt:i4>
      </vt:variant>
      <vt:variant>
        <vt:lpwstr>mailto:publicadvisor@energy.ca.gov</vt:lpwstr>
      </vt:variant>
      <vt:variant>
        <vt:lpwstr/>
      </vt:variant>
      <vt:variant>
        <vt:i4>2228287</vt:i4>
      </vt:variant>
      <vt:variant>
        <vt:i4>309</vt:i4>
      </vt:variant>
      <vt:variant>
        <vt:i4>0</vt:i4>
      </vt:variant>
      <vt:variant>
        <vt:i4>5</vt:i4>
      </vt:variant>
      <vt:variant>
        <vt:lpwstr>https://energy.zoom.us/download</vt:lpwstr>
      </vt:variant>
      <vt:variant>
        <vt:lpwstr/>
      </vt:variant>
      <vt:variant>
        <vt:i4>5767194</vt:i4>
      </vt:variant>
      <vt:variant>
        <vt:i4>306</vt:i4>
      </vt:variant>
      <vt:variant>
        <vt:i4>0</vt:i4>
      </vt:variant>
      <vt:variant>
        <vt:i4>5</vt:i4>
      </vt:variant>
      <vt:variant>
        <vt:lpwstr>https://join.zoom.us/</vt:lpwstr>
      </vt:variant>
      <vt:variant>
        <vt:lpwstr/>
      </vt:variant>
      <vt:variant>
        <vt:i4>1638486</vt:i4>
      </vt:variant>
      <vt:variant>
        <vt:i4>303</vt:i4>
      </vt:variant>
      <vt:variant>
        <vt:i4>0</vt:i4>
      </vt:variant>
      <vt:variant>
        <vt:i4>5</vt:i4>
      </vt:variant>
      <vt:variant>
        <vt:lpwstr>https://energy.zoom.us/j/88024806865?pwd=dtk95tTBoaqGibS3JQWkn62NcGX7DQ.1</vt:lpwstr>
      </vt:variant>
      <vt:variant>
        <vt:lpwstr/>
      </vt:variant>
      <vt:variant>
        <vt:i4>4194311</vt:i4>
      </vt:variant>
      <vt:variant>
        <vt:i4>300</vt:i4>
      </vt:variant>
      <vt:variant>
        <vt:i4>0</vt:i4>
      </vt:variant>
      <vt:variant>
        <vt:i4>5</vt:i4>
      </vt:variant>
      <vt:variant>
        <vt:lpwstr>https://www.energy.ca.gov/funding-opportunities/solicitations</vt:lpwstr>
      </vt:variant>
      <vt:variant>
        <vt:lpwstr/>
      </vt:variant>
      <vt:variant>
        <vt:i4>3211364</vt:i4>
      </vt:variant>
      <vt:variant>
        <vt:i4>294</vt:i4>
      </vt:variant>
      <vt:variant>
        <vt:i4>0</vt:i4>
      </vt:variant>
      <vt:variant>
        <vt:i4>5</vt:i4>
      </vt:variant>
      <vt:variant>
        <vt:lpwstr>https://dot.ca.gov/-/media/dot-media/programs/esta/documents/transportation-electrification/nevi/2024-ca-nevi-plan-update-a11y.pdf</vt:lpwstr>
      </vt:variant>
      <vt:variant>
        <vt:lpwstr/>
      </vt:variant>
      <vt:variant>
        <vt:i4>1769521</vt:i4>
      </vt:variant>
      <vt:variant>
        <vt:i4>287</vt:i4>
      </vt:variant>
      <vt:variant>
        <vt:i4>0</vt:i4>
      </vt:variant>
      <vt:variant>
        <vt:i4>5</vt:i4>
      </vt:variant>
      <vt:variant>
        <vt:lpwstr/>
      </vt:variant>
      <vt:variant>
        <vt:lpwstr>_Toc184829654</vt:lpwstr>
      </vt:variant>
      <vt:variant>
        <vt:i4>1769521</vt:i4>
      </vt:variant>
      <vt:variant>
        <vt:i4>281</vt:i4>
      </vt:variant>
      <vt:variant>
        <vt:i4>0</vt:i4>
      </vt:variant>
      <vt:variant>
        <vt:i4>5</vt:i4>
      </vt:variant>
      <vt:variant>
        <vt:lpwstr/>
      </vt:variant>
      <vt:variant>
        <vt:lpwstr>_Toc184829653</vt:lpwstr>
      </vt:variant>
      <vt:variant>
        <vt:i4>1769521</vt:i4>
      </vt:variant>
      <vt:variant>
        <vt:i4>275</vt:i4>
      </vt:variant>
      <vt:variant>
        <vt:i4>0</vt:i4>
      </vt:variant>
      <vt:variant>
        <vt:i4>5</vt:i4>
      </vt:variant>
      <vt:variant>
        <vt:lpwstr/>
      </vt:variant>
      <vt:variant>
        <vt:lpwstr>_Toc184829652</vt:lpwstr>
      </vt:variant>
      <vt:variant>
        <vt:i4>1769521</vt:i4>
      </vt:variant>
      <vt:variant>
        <vt:i4>269</vt:i4>
      </vt:variant>
      <vt:variant>
        <vt:i4>0</vt:i4>
      </vt:variant>
      <vt:variant>
        <vt:i4>5</vt:i4>
      </vt:variant>
      <vt:variant>
        <vt:lpwstr/>
      </vt:variant>
      <vt:variant>
        <vt:lpwstr>_Toc184829651</vt:lpwstr>
      </vt:variant>
      <vt:variant>
        <vt:i4>1769521</vt:i4>
      </vt:variant>
      <vt:variant>
        <vt:i4>263</vt:i4>
      </vt:variant>
      <vt:variant>
        <vt:i4>0</vt:i4>
      </vt:variant>
      <vt:variant>
        <vt:i4>5</vt:i4>
      </vt:variant>
      <vt:variant>
        <vt:lpwstr/>
      </vt:variant>
      <vt:variant>
        <vt:lpwstr>_Toc184829650</vt:lpwstr>
      </vt:variant>
      <vt:variant>
        <vt:i4>1703985</vt:i4>
      </vt:variant>
      <vt:variant>
        <vt:i4>257</vt:i4>
      </vt:variant>
      <vt:variant>
        <vt:i4>0</vt:i4>
      </vt:variant>
      <vt:variant>
        <vt:i4>5</vt:i4>
      </vt:variant>
      <vt:variant>
        <vt:lpwstr/>
      </vt:variant>
      <vt:variant>
        <vt:lpwstr>_Toc184829649</vt:lpwstr>
      </vt:variant>
      <vt:variant>
        <vt:i4>1703985</vt:i4>
      </vt:variant>
      <vt:variant>
        <vt:i4>251</vt:i4>
      </vt:variant>
      <vt:variant>
        <vt:i4>0</vt:i4>
      </vt:variant>
      <vt:variant>
        <vt:i4>5</vt:i4>
      </vt:variant>
      <vt:variant>
        <vt:lpwstr/>
      </vt:variant>
      <vt:variant>
        <vt:lpwstr>_Toc184829648</vt:lpwstr>
      </vt:variant>
      <vt:variant>
        <vt:i4>1703985</vt:i4>
      </vt:variant>
      <vt:variant>
        <vt:i4>245</vt:i4>
      </vt:variant>
      <vt:variant>
        <vt:i4>0</vt:i4>
      </vt:variant>
      <vt:variant>
        <vt:i4>5</vt:i4>
      </vt:variant>
      <vt:variant>
        <vt:lpwstr/>
      </vt:variant>
      <vt:variant>
        <vt:lpwstr>_Toc184829647</vt:lpwstr>
      </vt:variant>
      <vt:variant>
        <vt:i4>1703985</vt:i4>
      </vt:variant>
      <vt:variant>
        <vt:i4>239</vt:i4>
      </vt:variant>
      <vt:variant>
        <vt:i4>0</vt:i4>
      </vt:variant>
      <vt:variant>
        <vt:i4>5</vt:i4>
      </vt:variant>
      <vt:variant>
        <vt:lpwstr/>
      </vt:variant>
      <vt:variant>
        <vt:lpwstr>_Toc184829646</vt:lpwstr>
      </vt:variant>
      <vt:variant>
        <vt:i4>1703985</vt:i4>
      </vt:variant>
      <vt:variant>
        <vt:i4>233</vt:i4>
      </vt:variant>
      <vt:variant>
        <vt:i4>0</vt:i4>
      </vt:variant>
      <vt:variant>
        <vt:i4>5</vt:i4>
      </vt:variant>
      <vt:variant>
        <vt:lpwstr/>
      </vt:variant>
      <vt:variant>
        <vt:lpwstr>_Toc184829645</vt:lpwstr>
      </vt:variant>
      <vt:variant>
        <vt:i4>1703985</vt:i4>
      </vt:variant>
      <vt:variant>
        <vt:i4>227</vt:i4>
      </vt:variant>
      <vt:variant>
        <vt:i4>0</vt:i4>
      </vt:variant>
      <vt:variant>
        <vt:i4>5</vt:i4>
      </vt:variant>
      <vt:variant>
        <vt:lpwstr/>
      </vt:variant>
      <vt:variant>
        <vt:lpwstr>_Toc184829644</vt:lpwstr>
      </vt:variant>
      <vt:variant>
        <vt:i4>1703985</vt:i4>
      </vt:variant>
      <vt:variant>
        <vt:i4>221</vt:i4>
      </vt:variant>
      <vt:variant>
        <vt:i4>0</vt:i4>
      </vt:variant>
      <vt:variant>
        <vt:i4>5</vt:i4>
      </vt:variant>
      <vt:variant>
        <vt:lpwstr/>
      </vt:variant>
      <vt:variant>
        <vt:lpwstr>_Toc184829643</vt:lpwstr>
      </vt:variant>
      <vt:variant>
        <vt:i4>1703985</vt:i4>
      </vt:variant>
      <vt:variant>
        <vt:i4>215</vt:i4>
      </vt:variant>
      <vt:variant>
        <vt:i4>0</vt:i4>
      </vt:variant>
      <vt:variant>
        <vt:i4>5</vt:i4>
      </vt:variant>
      <vt:variant>
        <vt:lpwstr/>
      </vt:variant>
      <vt:variant>
        <vt:lpwstr>_Toc184829642</vt:lpwstr>
      </vt:variant>
      <vt:variant>
        <vt:i4>1703985</vt:i4>
      </vt:variant>
      <vt:variant>
        <vt:i4>209</vt:i4>
      </vt:variant>
      <vt:variant>
        <vt:i4>0</vt:i4>
      </vt:variant>
      <vt:variant>
        <vt:i4>5</vt:i4>
      </vt:variant>
      <vt:variant>
        <vt:lpwstr/>
      </vt:variant>
      <vt:variant>
        <vt:lpwstr>_Toc184829641</vt:lpwstr>
      </vt:variant>
      <vt:variant>
        <vt:i4>1703985</vt:i4>
      </vt:variant>
      <vt:variant>
        <vt:i4>203</vt:i4>
      </vt:variant>
      <vt:variant>
        <vt:i4>0</vt:i4>
      </vt:variant>
      <vt:variant>
        <vt:i4>5</vt:i4>
      </vt:variant>
      <vt:variant>
        <vt:lpwstr/>
      </vt:variant>
      <vt:variant>
        <vt:lpwstr>_Toc184829640</vt:lpwstr>
      </vt:variant>
      <vt:variant>
        <vt:i4>1900593</vt:i4>
      </vt:variant>
      <vt:variant>
        <vt:i4>197</vt:i4>
      </vt:variant>
      <vt:variant>
        <vt:i4>0</vt:i4>
      </vt:variant>
      <vt:variant>
        <vt:i4>5</vt:i4>
      </vt:variant>
      <vt:variant>
        <vt:lpwstr/>
      </vt:variant>
      <vt:variant>
        <vt:lpwstr>_Toc184829639</vt:lpwstr>
      </vt:variant>
      <vt:variant>
        <vt:i4>1900593</vt:i4>
      </vt:variant>
      <vt:variant>
        <vt:i4>191</vt:i4>
      </vt:variant>
      <vt:variant>
        <vt:i4>0</vt:i4>
      </vt:variant>
      <vt:variant>
        <vt:i4>5</vt:i4>
      </vt:variant>
      <vt:variant>
        <vt:lpwstr/>
      </vt:variant>
      <vt:variant>
        <vt:lpwstr>_Toc184829638</vt:lpwstr>
      </vt:variant>
      <vt:variant>
        <vt:i4>1900593</vt:i4>
      </vt:variant>
      <vt:variant>
        <vt:i4>185</vt:i4>
      </vt:variant>
      <vt:variant>
        <vt:i4>0</vt:i4>
      </vt:variant>
      <vt:variant>
        <vt:i4>5</vt:i4>
      </vt:variant>
      <vt:variant>
        <vt:lpwstr/>
      </vt:variant>
      <vt:variant>
        <vt:lpwstr>_Toc184829637</vt:lpwstr>
      </vt:variant>
      <vt:variant>
        <vt:i4>1900593</vt:i4>
      </vt:variant>
      <vt:variant>
        <vt:i4>179</vt:i4>
      </vt:variant>
      <vt:variant>
        <vt:i4>0</vt:i4>
      </vt:variant>
      <vt:variant>
        <vt:i4>5</vt:i4>
      </vt:variant>
      <vt:variant>
        <vt:lpwstr/>
      </vt:variant>
      <vt:variant>
        <vt:lpwstr>_Toc184829636</vt:lpwstr>
      </vt:variant>
      <vt:variant>
        <vt:i4>1900593</vt:i4>
      </vt:variant>
      <vt:variant>
        <vt:i4>173</vt:i4>
      </vt:variant>
      <vt:variant>
        <vt:i4>0</vt:i4>
      </vt:variant>
      <vt:variant>
        <vt:i4>5</vt:i4>
      </vt:variant>
      <vt:variant>
        <vt:lpwstr/>
      </vt:variant>
      <vt:variant>
        <vt:lpwstr>_Toc184829635</vt:lpwstr>
      </vt:variant>
      <vt:variant>
        <vt:i4>1900593</vt:i4>
      </vt:variant>
      <vt:variant>
        <vt:i4>167</vt:i4>
      </vt:variant>
      <vt:variant>
        <vt:i4>0</vt:i4>
      </vt:variant>
      <vt:variant>
        <vt:i4>5</vt:i4>
      </vt:variant>
      <vt:variant>
        <vt:lpwstr/>
      </vt:variant>
      <vt:variant>
        <vt:lpwstr>_Toc184829634</vt:lpwstr>
      </vt:variant>
      <vt:variant>
        <vt:i4>1900593</vt:i4>
      </vt:variant>
      <vt:variant>
        <vt:i4>161</vt:i4>
      </vt:variant>
      <vt:variant>
        <vt:i4>0</vt:i4>
      </vt:variant>
      <vt:variant>
        <vt:i4>5</vt:i4>
      </vt:variant>
      <vt:variant>
        <vt:lpwstr/>
      </vt:variant>
      <vt:variant>
        <vt:lpwstr>_Toc184829633</vt:lpwstr>
      </vt:variant>
      <vt:variant>
        <vt:i4>1900593</vt:i4>
      </vt:variant>
      <vt:variant>
        <vt:i4>155</vt:i4>
      </vt:variant>
      <vt:variant>
        <vt:i4>0</vt:i4>
      </vt:variant>
      <vt:variant>
        <vt:i4>5</vt:i4>
      </vt:variant>
      <vt:variant>
        <vt:lpwstr/>
      </vt:variant>
      <vt:variant>
        <vt:lpwstr>_Toc184829632</vt:lpwstr>
      </vt:variant>
      <vt:variant>
        <vt:i4>1900593</vt:i4>
      </vt:variant>
      <vt:variant>
        <vt:i4>149</vt:i4>
      </vt:variant>
      <vt:variant>
        <vt:i4>0</vt:i4>
      </vt:variant>
      <vt:variant>
        <vt:i4>5</vt:i4>
      </vt:variant>
      <vt:variant>
        <vt:lpwstr/>
      </vt:variant>
      <vt:variant>
        <vt:lpwstr>_Toc184829631</vt:lpwstr>
      </vt:variant>
      <vt:variant>
        <vt:i4>1900593</vt:i4>
      </vt:variant>
      <vt:variant>
        <vt:i4>143</vt:i4>
      </vt:variant>
      <vt:variant>
        <vt:i4>0</vt:i4>
      </vt:variant>
      <vt:variant>
        <vt:i4>5</vt:i4>
      </vt:variant>
      <vt:variant>
        <vt:lpwstr/>
      </vt:variant>
      <vt:variant>
        <vt:lpwstr>_Toc184829630</vt:lpwstr>
      </vt:variant>
      <vt:variant>
        <vt:i4>1835057</vt:i4>
      </vt:variant>
      <vt:variant>
        <vt:i4>137</vt:i4>
      </vt:variant>
      <vt:variant>
        <vt:i4>0</vt:i4>
      </vt:variant>
      <vt:variant>
        <vt:i4>5</vt:i4>
      </vt:variant>
      <vt:variant>
        <vt:lpwstr/>
      </vt:variant>
      <vt:variant>
        <vt:lpwstr>_Toc184829629</vt:lpwstr>
      </vt:variant>
      <vt:variant>
        <vt:i4>1835057</vt:i4>
      </vt:variant>
      <vt:variant>
        <vt:i4>131</vt:i4>
      </vt:variant>
      <vt:variant>
        <vt:i4>0</vt:i4>
      </vt:variant>
      <vt:variant>
        <vt:i4>5</vt:i4>
      </vt:variant>
      <vt:variant>
        <vt:lpwstr/>
      </vt:variant>
      <vt:variant>
        <vt:lpwstr>_Toc184829628</vt:lpwstr>
      </vt:variant>
      <vt:variant>
        <vt:i4>1835057</vt:i4>
      </vt:variant>
      <vt:variant>
        <vt:i4>125</vt:i4>
      </vt:variant>
      <vt:variant>
        <vt:i4>0</vt:i4>
      </vt:variant>
      <vt:variant>
        <vt:i4>5</vt:i4>
      </vt:variant>
      <vt:variant>
        <vt:lpwstr/>
      </vt:variant>
      <vt:variant>
        <vt:lpwstr>_Toc184829627</vt:lpwstr>
      </vt:variant>
      <vt:variant>
        <vt:i4>1835057</vt:i4>
      </vt:variant>
      <vt:variant>
        <vt:i4>119</vt:i4>
      </vt:variant>
      <vt:variant>
        <vt:i4>0</vt:i4>
      </vt:variant>
      <vt:variant>
        <vt:i4>5</vt:i4>
      </vt:variant>
      <vt:variant>
        <vt:lpwstr/>
      </vt:variant>
      <vt:variant>
        <vt:lpwstr>_Toc184829626</vt:lpwstr>
      </vt:variant>
      <vt:variant>
        <vt:i4>1835057</vt:i4>
      </vt:variant>
      <vt:variant>
        <vt:i4>113</vt:i4>
      </vt:variant>
      <vt:variant>
        <vt:i4>0</vt:i4>
      </vt:variant>
      <vt:variant>
        <vt:i4>5</vt:i4>
      </vt:variant>
      <vt:variant>
        <vt:lpwstr/>
      </vt:variant>
      <vt:variant>
        <vt:lpwstr>_Toc184829625</vt:lpwstr>
      </vt:variant>
      <vt:variant>
        <vt:i4>1835057</vt:i4>
      </vt:variant>
      <vt:variant>
        <vt:i4>107</vt:i4>
      </vt:variant>
      <vt:variant>
        <vt:i4>0</vt:i4>
      </vt:variant>
      <vt:variant>
        <vt:i4>5</vt:i4>
      </vt:variant>
      <vt:variant>
        <vt:lpwstr/>
      </vt:variant>
      <vt:variant>
        <vt:lpwstr>_Toc184829624</vt:lpwstr>
      </vt:variant>
      <vt:variant>
        <vt:i4>1835057</vt:i4>
      </vt:variant>
      <vt:variant>
        <vt:i4>101</vt:i4>
      </vt:variant>
      <vt:variant>
        <vt:i4>0</vt:i4>
      </vt:variant>
      <vt:variant>
        <vt:i4>5</vt:i4>
      </vt:variant>
      <vt:variant>
        <vt:lpwstr/>
      </vt:variant>
      <vt:variant>
        <vt:lpwstr>_Toc184829623</vt:lpwstr>
      </vt:variant>
      <vt:variant>
        <vt:i4>1835057</vt:i4>
      </vt:variant>
      <vt:variant>
        <vt:i4>95</vt:i4>
      </vt:variant>
      <vt:variant>
        <vt:i4>0</vt:i4>
      </vt:variant>
      <vt:variant>
        <vt:i4>5</vt:i4>
      </vt:variant>
      <vt:variant>
        <vt:lpwstr/>
      </vt:variant>
      <vt:variant>
        <vt:lpwstr>_Toc184829622</vt:lpwstr>
      </vt:variant>
      <vt:variant>
        <vt:i4>1835057</vt:i4>
      </vt:variant>
      <vt:variant>
        <vt:i4>89</vt:i4>
      </vt:variant>
      <vt:variant>
        <vt:i4>0</vt:i4>
      </vt:variant>
      <vt:variant>
        <vt:i4>5</vt:i4>
      </vt:variant>
      <vt:variant>
        <vt:lpwstr/>
      </vt:variant>
      <vt:variant>
        <vt:lpwstr>_Toc184829621</vt:lpwstr>
      </vt:variant>
      <vt:variant>
        <vt:i4>1835057</vt:i4>
      </vt:variant>
      <vt:variant>
        <vt:i4>83</vt:i4>
      </vt:variant>
      <vt:variant>
        <vt:i4>0</vt:i4>
      </vt:variant>
      <vt:variant>
        <vt:i4>5</vt:i4>
      </vt:variant>
      <vt:variant>
        <vt:lpwstr/>
      </vt:variant>
      <vt:variant>
        <vt:lpwstr>_Toc184829620</vt:lpwstr>
      </vt:variant>
      <vt:variant>
        <vt:i4>2031665</vt:i4>
      </vt:variant>
      <vt:variant>
        <vt:i4>77</vt:i4>
      </vt:variant>
      <vt:variant>
        <vt:i4>0</vt:i4>
      </vt:variant>
      <vt:variant>
        <vt:i4>5</vt:i4>
      </vt:variant>
      <vt:variant>
        <vt:lpwstr/>
      </vt:variant>
      <vt:variant>
        <vt:lpwstr>_Toc184829619</vt:lpwstr>
      </vt:variant>
      <vt:variant>
        <vt:i4>2031665</vt:i4>
      </vt:variant>
      <vt:variant>
        <vt:i4>71</vt:i4>
      </vt:variant>
      <vt:variant>
        <vt:i4>0</vt:i4>
      </vt:variant>
      <vt:variant>
        <vt:i4>5</vt:i4>
      </vt:variant>
      <vt:variant>
        <vt:lpwstr/>
      </vt:variant>
      <vt:variant>
        <vt:lpwstr>_Toc184829618</vt:lpwstr>
      </vt:variant>
      <vt:variant>
        <vt:i4>2031665</vt:i4>
      </vt:variant>
      <vt:variant>
        <vt:i4>65</vt:i4>
      </vt:variant>
      <vt:variant>
        <vt:i4>0</vt:i4>
      </vt:variant>
      <vt:variant>
        <vt:i4>5</vt:i4>
      </vt:variant>
      <vt:variant>
        <vt:lpwstr/>
      </vt:variant>
      <vt:variant>
        <vt:lpwstr>_Toc184829617</vt:lpwstr>
      </vt:variant>
      <vt:variant>
        <vt:i4>2031665</vt:i4>
      </vt:variant>
      <vt:variant>
        <vt:i4>59</vt:i4>
      </vt:variant>
      <vt:variant>
        <vt:i4>0</vt:i4>
      </vt:variant>
      <vt:variant>
        <vt:i4>5</vt:i4>
      </vt:variant>
      <vt:variant>
        <vt:lpwstr/>
      </vt:variant>
      <vt:variant>
        <vt:lpwstr>_Toc184829616</vt:lpwstr>
      </vt:variant>
      <vt:variant>
        <vt:i4>2031665</vt:i4>
      </vt:variant>
      <vt:variant>
        <vt:i4>53</vt:i4>
      </vt:variant>
      <vt:variant>
        <vt:i4>0</vt:i4>
      </vt:variant>
      <vt:variant>
        <vt:i4>5</vt:i4>
      </vt:variant>
      <vt:variant>
        <vt:lpwstr/>
      </vt:variant>
      <vt:variant>
        <vt:lpwstr>_Toc184829615</vt:lpwstr>
      </vt:variant>
      <vt:variant>
        <vt:i4>2031665</vt:i4>
      </vt:variant>
      <vt:variant>
        <vt:i4>47</vt:i4>
      </vt:variant>
      <vt:variant>
        <vt:i4>0</vt:i4>
      </vt:variant>
      <vt:variant>
        <vt:i4>5</vt:i4>
      </vt:variant>
      <vt:variant>
        <vt:lpwstr/>
      </vt:variant>
      <vt:variant>
        <vt:lpwstr>_Toc184829614</vt:lpwstr>
      </vt:variant>
      <vt:variant>
        <vt:i4>2031665</vt:i4>
      </vt:variant>
      <vt:variant>
        <vt:i4>41</vt:i4>
      </vt:variant>
      <vt:variant>
        <vt:i4>0</vt:i4>
      </vt:variant>
      <vt:variant>
        <vt:i4>5</vt:i4>
      </vt:variant>
      <vt:variant>
        <vt:lpwstr/>
      </vt:variant>
      <vt:variant>
        <vt:lpwstr>_Toc184829613</vt:lpwstr>
      </vt:variant>
      <vt:variant>
        <vt:i4>2031665</vt:i4>
      </vt:variant>
      <vt:variant>
        <vt:i4>35</vt:i4>
      </vt:variant>
      <vt:variant>
        <vt:i4>0</vt:i4>
      </vt:variant>
      <vt:variant>
        <vt:i4>5</vt:i4>
      </vt:variant>
      <vt:variant>
        <vt:lpwstr/>
      </vt:variant>
      <vt:variant>
        <vt:lpwstr>_Toc184829612</vt:lpwstr>
      </vt:variant>
      <vt:variant>
        <vt:i4>2031665</vt:i4>
      </vt:variant>
      <vt:variant>
        <vt:i4>29</vt:i4>
      </vt:variant>
      <vt:variant>
        <vt:i4>0</vt:i4>
      </vt:variant>
      <vt:variant>
        <vt:i4>5</vt:i4>
      </vt:variant>
      <vt:variant>
        <vt:lpwstr/>
      </vt:variant>
      <vt:variant>
        <vt:lpwstr>_Toc184829611</vt:lpwstr>
      </vt:variant>
      <vt:variant>
        <vt:i4>2031665</vt:i4>
      </vt:variant>
      <vt:variant>
        <vt:i4>23</vt:i4>
      </vt:variant>
      <vt:variant>
        <vt:i4>0</vt:i4>
      </vt:variant>
      <vt:variant>
        <vt:i4>5</vt:i4>
      </vt:variant>
      <vt:variant>
        <vt:lpwstr/>
      </vt:variant>
      <vt:variant>
        <vt:lpwstr>_Toc184829610</vt:lpwstr>
      </vt:variant>
      <vt:variant>
        <vt:i4>1966129</vt:i4>
      </vt:variant>
      <vt:variant>
        <vt:i4>17</vt:i4>
      </vt:variant>
      <vt:variant>
        <vt:i4>0</vt:i4>
      </vt:variant>
      <vt:variant>
        <vt:i4>5</vt:i4>
      </vt:variant>
      <vt:variant>
        <vt:lpwstr/>
      </vt:variant>
      <vt:variant>
        <vt:lpwstr>_Toc184829609</vt:lpwstr>
      </vt:variant>
      <vt:variant>
        <vt:i4>1966129</vt:i4>
      </vt:variant>
      <vt:variant>
        <vt:i4>11</vt:i4>
      </vt:variant>
      <vt:variant>
        <vt:i4>0</vt:i4>
      </vt:variant>
      <vt:variant>
        <vt:i4>5</vt:i4>
      </vt:variant>
      <vt:variant>
        <vt:lpwstr/>
      </vt:variant>
      <vt:variant>
        <vt:lpwstr>_Toc184829608</vt:lpwstr>
      </vt:variant>
      <vt:variant>
        <vt:i4>1966129</vt:i4>
      </vt:variant>
      <vt:variant>
        <vt:i4>5</vt:i4>
      </vt:variant>
      <vt:variant>
        <vt:i4>0</vt:i4>
      </vt:variant>
      <vt:variant>
        <vt:i4>5</vt:i4>
      </vt:variant>
      <vt:variant>
        <vt:lpwstr/>
      </vt:variant>
      <vt:variant>
        <vt:lpwstr>_Toc184829607</vt:lpwstr>
      </vt:variant>
      <vt:variant>
        <vt:i4>852040</vt:i4>
      </vt:variant>
      <vt:variant>
        <vt:i4>0</vt:i4>
      </vt:variant>
      <vt:variant>
        <vt:i4>0</vt:i4>
      </vt:variant>
      <vt:variant>
        <vt:i4>5</vt:i4>
      </vt:variant>
      <vt:variant>
        <vt:lpwstr>http://www.energy.ca.gov/contracts/index.html</vt:lpwstr>
      </vt:variant>
      <vt:variant>
        <vt:lpwstr/>
      </vt:variant>
      <vt:variant>
        <vt:i4>2752619</vt:i4>
      </vt:variant>
      <vt:variant>
        <vt:i4>18</vt:i4>
      </vt:variant>
      <vt:variant>
        <vt:i4>0</vt:i4>
      </vt:variant>
      <vt:variant>
        <vt:i4>5</vt:i4>
      </vt:variant>
      <vt:variant>
        <vt:lpwstr>https://dot.ca.gov/programs/safety-programs/camutcd</vt:lpwstr>
      </vt:variant>
      <vt:variant>
        <vt:lpwstr/>
      </vt:variant>
      <vt:variant>
        <vt:i4>3145837</vt:i4>
      </vt:variant>
      <vt:variant>
        <vt:i4>15</vt:i4>
      </vt:variant>
      <vt:variant>
        <vt:i4>0</vt:i4>
      </vt:variant>
      <vt:variant>
        <vt:i4>5</vt:i4>
      </vt:variant>
      <vt:variant>
        <vt:lpwstr>https://www.federalregister.gov/documents/2023/02/28/2023-03500/national-electric-vehicle-infrastructure-standards-and-requirements</vt:lpwstr>
      </vt:variant>
      <vt:variant>
        <vt:lpwstr/>
      </vt:variant>
      <vt:variant>
        <vt:i4>4784141</vt:i4>
      </vt:variant>
      <vt:variant>
        <vt:i4>12</vt:i4>
      </vt:variant>
      <vt:variant>
        <vt:i4>0</vt:i4>
      </vt:variant>
      <vt:variant>
        <vt:i4>5</vt:i4>
      </vt:variant>
      <vt:variant>
        <vt:lpwstr>https://www.fhwa.dot.gov/environment/nevi/formula_prog_guid/90d_nevi_formula_program_guidance.pdf</vt:lpwstr>
      </vt:variant>
      <vt:variant>
        <vt:lpwstr/>
      </vt:variant>
      <vt:variant>
        <vt:i4>4784141</vt:i4>
      </vt:variant>
      <vt:variant>
        <vt:i4>9</vt:i4>
      </vt:variant>
      <vt:variant>
        <vt:i4>0</vt:i4>
      </vt:variant>
      <vt:variant>
        <vt:i4>5</vt:i4>
      </vt:variant>
      <vt:variant>
        <vt:lpwstr>https://www.fhwa.dot.gov/environment/nevi/formula_prog_guid/90d_nevi_formula_program_guidance.pdf</vt:lpwstr>
      </vt:variant>
      <vt:variant>
        <vt:lpwstr/>
      </vt:variant>
      <vt:variant>
        <vt:i4>1507352</vt:i4>
      </vt:variant>
      <vt:variant>
        <vt:i4>6</vt:i4>
      </vt:variant>
      <vt:variant>
        <vt:i4>0</vt:i4>
      </vt:variant>
      <vt:variant>
        <vt:i4>5</vt:i4>
      </vt:variant>
      <vt:variant>
        <vt:lpwstr>https://www.whitehouse.gov/presidential-actions/2025/01/initial-rescissions-of-harmful-executive-orders-and-actions/</vt:lpwstr>
      </vt:variant>
      <vt:variant>
        <vt:lpwstr/>
      </vt:variant>
      <vt:variant>
        <vt:i4>3932210</vt:i4>
      </vt:variant>
      <vt:variant>
        <vt:i4>3</vt:i4>
      </vt:variant>
      <vt:variant>
        <vt:i4>0</vt:i4>
      </vt:variant>
      <vt:variant>
        <vt:i4>5</vt:i4>
      </vt:variant>
      <vt:variant>
        <vt:lpwstr>https://www.fhwa.dot.gov/environment/nevi/resources/state-plan-approval-suspension.pdf</vt:lpwstr>
      </vt:variant>
      <vt:variant>
        <vt:lpwstr/>
      </vt:variant>
      <vt:variant>
        <vt:i4>4128892</vt:i4>
      </vt:variant>
      <vt:variant>
        <vt:i4>0</vt:i4>
      </vt:variant>
      <vt:variant>
        <vt:i4>0</vt:i4>
      </vt:variant>
      <vt:variant>
        <vt:i4>5</vt:i4>
      </vt:variant>
      <vt:variant>
        <vt:lpwstr>https://www.whitehouse.gov/briefing-room/statements-releases/2023/02/15/fact-sheet-biden-harris-administration-announces-new-standards-and-major-progress-for-a-made-in-america-national-network-of-electric-vehicle-chargers/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Manual</dc:title>
  <dc:subject/>
  <dc:creator>California Energy Commission</dc:creator>
  <cp:keywords/>
  <cp:lastModifiedBy>Berner, Jane@Energy</cp:lastModifiedBy>
  <cp:revision>352</cp:revision>
  <cp:lastPrinted>2016-06-24T16:11:00Z</cp:lastPrinted>
  <dcterms:created xsi:type="dcterms:W3CDTF">2025-01-24T20:44:00Z</dcterms:created>
  <dcterms:modified xsi:type="dcterms:W3CDTF">2025-03-06T00:04:00Z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