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65067E1E" w:rsidP="76C7408E">
      <w:pPr>
        <w:rPr>
          <w:rFonts w:eastAsia="Arial"/>
        </w:rPr>
      </w:pPr>
      <w:r w:rsidRPr="76C7408E">
        <w:rPr>
          <w:rFonts w:eastAsia="Arial"/>
        </w:rP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76C7408E">
      <w:pPr>
        <w:rPr>
          <w:rFonts w:eastAsia="Arial"/>
        </w:rPr>
      </w:pPr>
    </w:p>
    <w:p w14:paraId="00EC72D7" w14:textId="416CC660" w:rsidR="00E262F1" w:rsidRDefault="65067E1E" w:rsidP="76C7408E">
      <w:pPr>
        <w:rPr>
          <w:rFonts w:eastAsia="Arial"/>
        </w:rPr>
      </w:pPr>
      <w:r w:rsidRPr="50D31C57">
        <w:rPr>
          <w:rFonts w:eastAsia="Arial"/>
        </w:rPr>
        <w:t xml:space="preserve">Please refer to the </w:t>
      </w:r>
      <w:r w:rsidRPr="50D31C57">
        <w:rPr>
          <w:rFonts w:eastAsia="Arial"/>
          <w:i/>
          <w:iCs/>
        </w:rPr>
        <w:t>Attachment 00 – Solicitation Manual</w:t>
      </w:r>
      <w:r w:rsidRPr="50D31C57">
        <w:rPr>
          <w:rFonts w:eastAsia="Arial"/>
        </w:rPr>
        <w:t xml:space="preserve"> for detailed information and instructions, including but not limited to the following sections:</w:t>
      </w:r>
    </w:p>
    <w:p w14:paraId="3CA0FD23" w14:textId="29E368A7" w:rsidR="50D31C57" w:rsidRDefault="50D31C57" w:rsidP="50D31C57">
      <w:pPr>
        <w:rPr>
          <w:rFonts w:eastAsia="Arial"/>
        </w:rPr>
      </w:pPr>
    </w:p>
    <w:p w14:paraId="5EB7CA3A" w14:textId="2BEA8625" w:rsidR="7BFA3E4B" w:rsidRDefault="7BFA3E4B" w:rsidP="50D31C57">
      <w:pPr>
        <w:rPr>
          <w:rFonts w:eastAsia="Arial"/>
        </w:rPr>
      </w:pPr>
      <w:r w:rsidRPr="50D31C57">
        <w:rPr>
          <w:rFonts w:eastAsia="Arial"/>
        </w:rPr>
        <w:t>III. Application Format, Required Documents and Delivery</w:t>
      </w:r>
    </w:p>
    <w:p w14:paraId="5FC81863" w14:textId="636E0E46" w:rsidR="50D31C57" w:rsidRDefault="50D31C57" w:rsidP="50D31C57">
      <w:pPr>
        <w:rPr>
          <w:rFonts w:eastAsia="Arial"/>
        </w:rPr>
      </w:pPr>
    </w:p>
    <w:p w14:paraId="2D7D00B9" w14:textId="4EBC7946" w:rsidR="7BFA3E4B" w:rsidRDefault="7BFA3E4B" w:rsidP="50D31C57">
      <w:pPr>
        <w:pStyle w:val="ListParagraph"/>
        <w:numPr>
          <w:ilvl w:val="0"/>
          <w:numId w:val="2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REQUIRED FORMAT FOR AN APPLICATION</w:t>
      </w:r>
    </w:p>
    <w:p w14:paraId="6DBC4A9C" w14:textId="3561E55E" w:rsidR="7BFA3E4B" w:rsidRDefault="7BFA3E4B" w:rsidP="50D31C57">
      <w:pPr>
        <w:pStyle w:val="ListParagraph"/>
        <w:numPr>
          <w:ilvl w:val="0"/>
          <w:numId w:val="2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METHOD FOR DELIVERY</w:t>
      </w:r>
    </w:p>
    <w:p w14:paraId="15A82F56" w14:textId="338DEF69" w:rsidR="7BFA3E4B" w:rsidRDefault="7BFA3E4B" w:rsidP="50D31C57">
      <w:pPr>
        <w:pStyle w:val="ListParagraph"/>
        <w:numPr>
          <w:ilvl w:val="0"/>
          <w:numId w:val="2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PAGE LIMITATIONS</w:t>
      </w:r>
    </w:p>
    <w:p w14:paraId="151B6567" w14:textId="00E68647" w:rsidR="7BFA3E4B" w:rsidRDefault="7BFA3E4B" w:rsidP="50D31C57">
      <w:pPr>
        <w:pStyle w:val="ListParagraph"/>
        <w:numPr>
          <w:ilvl w:val="0"/>
          <w:numId w:val="2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APPLICATION CONTENT</w:t>
      </w:r>
    </w:p>
    <w:p w14:paraId="0DBFC609" w14:textId="65CB7C67" w:rsidR="7BFA3E4B" w:rsidRDefault="7BFA3E4B" w:rsidP="50D31C57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Project Narrative</w:t>
      </w:r>
    </w:p>
    <w:p w14:paraId="4DC6BD00" w14:textId="5FCF24F4" w:rsidR="7BFA3E4B" w:rsidRDefault="7BFA3E4B" w:rsidP="50D31C57">
      <w:pPr>
        <w:pStyle w:val="ListParagraph"/>
        <w:numPr>
          <w:ilvl w:val="0"/>
          <w:numId w:val="1"/>
        </w:numPr>
        <w:rPr>
          <w:rFonts w:eastAsia="Arial"/>
          <w:szCs w:val="22"/>
        </w:rPr>
      </w:pPr>
      <w:r w:rsidRPr="50D31C57">
        <w:rPr>
          <w:rFonts w:eastAsia="Arial"/>
          <w:szCs w:val="22"/>
        </w:rPr>
        <w:t>Scope of Work</w:t>
      </w:r>
    </w:p>
    <w:p w14:paraId="12EEB6DF" w14:textId="526B8956" w:rsidR="50D31C57" w:rsidRDefault="50D31C57" w:rsidP="50D31C57">
      <w:pPr>
        <w:rPr>
          <w:rFonts w:eastAsia="Arial"/>
        </w:rPr>
      </w:pPr>
    </w:p>
    <w:p w14:paraId="3DB71CD9" w14:textId="77777777" w:rsidR="00636C2A" w:rsidRDefault="00636C2A" w:rsidP="76C7408E">
      <w:pPr>
        <w:rPr>
          <w:rFonts w:eastAsia="Arial"/>
        </w:rPr>
      </w:pPr>
    </w:p>
    <w:p w14:paraId="7155791C" w14:textId="094A8711" w:rsidR="00E262F1" w:rsidRDefault="2B8FAAF0" w:rsidP="50D31C57">
      <w:pPr>
        <w:rPr>
          <w:rFonts w:eastAsia="Arial"/>
        </w:rPr>
      </w:pPr>
      <w:r w:rsidRPr="50D31C57">
        <w:rPr>
          <w:rFonts w:eastAsia="Arial"/>
        </w:rPr>
        <w:t xml:space="preserve">Provide a detailed description of the technical aspects of the proposed project, </w:t>
      </w:r>
      <w:r w:rsidR="51341CC3" w:rsidRPr="50D31C57">
        <w:rPr>
          <w:rFonts w:eastAsia="Arial"/>
        </w:rPr>
        <w:t>covering</w:t>
      </w:r>
      <w:r w:rsidRPr="50D31C57">
        <w:rPr>
          <w:rFonts w:eastAsia="Arial"/>
        </w:rPr>
        <w:t>:</w:t>
      </w:r>
    </w:p>
    <w:p w14:paraId="77C116A6" w14:textId="4929DAC4" w:rsidR="00E262F1" w:rsidRDefault="00E262F1" w:rsidP="50D31C57">
      <w:pPr>
        <w:rPr>
          <w:rFonts w:eastAsia="Arial"/>
        </w:rPr>
      </w:pPr>
    </w:p>
    <w:p w14:paraId="2830DAE2" w14:textId="1CAAC33D" w:rsidR="00E262F1" w:rsidRDefault="1148E39D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Physical Space</w:t>
      </w:r>
    </w:p>
    <w:p w14:paraId="672F2E92" w14:textId="14BDDED6" w:rsidR="402B06CF" w:rsidRDefault="402B06CF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 the project site proposal:</w:t>
      </w:r>
    </w:p>
    <w:p w14:paraId="6BAAD17B" w14:textId="05603375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Will be located in California.</w:t>
      </w:r>
    </w:p>
    <w:p w14:paraId="3AF18119" w14:textId="280211C0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Is sized to accommodate testing for at minimum twelve large EVSE and four vehicles.</w:t>
      </w:r>
    </w:p>
    <w:p w14:paraId="3F135F4D" w14:textId="5CBEF853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Will include spaces for multi-party testing and indoor meetings.</w:t>
      </w:r>
    </w:p>
    <w:p w14:paraId="64FD776B" w14:textId="1466CDDF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Is capable of fully powering and testing a 150 kW charger, at minimum, with higher scores for facilities with higher power capacity.</w:t>
      </w:r>
    </w:p>
    <w:p w14:paraId="44E07156" w14:textId="4B6293CB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Includes plans for interconnecting the bidirectional charging infrastructure to the grid.</w:t>
      </w:r>
    </w:p>
    <w:p w14:paraId="696BF016" w14:textId="36C0A6D0" w:rsidR="402B06CF" w:rsidRDefault="402B06CF" w:rsidP="76C7408E">
      <w:pPr>
        <w:pStyle w:val="ListParagraph"/>
        <w:numPr>
          <w:ilvl w:val="0"/>
          <w:numId w:val="1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(Optional) Describes plans to accommodate medium- and heavy-duty vehicles, with bonus points awarded for projects with this accommodation.</w:t>
      </w:r>
    </w:p>
    <w:p w14:paraId="20F277BF" w14:textId="396947D3" w:rsidR="76C7408E" w:rsidRDefault="76C7408E" w:rsidP="76C7408E">
      <w:pPr>
        <w:rPr>
          <w:rFonts w:eastAsia="Arial"/>
        </w:rPr>
      </w:pPr>
    </w:p>
    <w:p w14:paraId="611DFE92" w14:textId="29C0CE3D" w:rsidR="1148E39D" w:rsidRDefault="1148E39D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Interoperability Testing</w:t>
      </w:r>
    </w:p>
    <w:p w14:paraId="20EDCF5D" w14:textId="27769E46" w:rsidR="0C0BC870" w:rsidRDefault="0C0BC870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degree to which the applicant:</w:t>
      </w:r>
    </w:p>
    <w:p w14:paraId="2EC43E99" w14:textId="7C0F6283" w:rsidR="0C0BC870" w:rsidRDefault="0C0BC870" w:rsidP="76C7408E">
      <w:pPr>
        <w:pStyle w:val="ListParagraph"/>
        <w:numPr>
          <w:ilvl w:val="0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Procures 12 or more “resident” EVSEs to support charge-vehicle testing, of which:</w:t>
      </w:r>
    </w:p>
    <w:p w14:paraId="10692F4D" w14:textId="64BC2BC9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At least 5 are AC EVSE.</w:t>
      </w:r>
    </w:p>
    <w:p w14:paraId="62E2367D" w14:textId="1A9C1617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At least 6 are DC EVSE.</w:t>
      </w:r>
    </w:p>
    <w:p w14:paraId="12E01F30" w14:textId="41F3F6EE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At least 7 different manufacturers are represented.</w:t>
      </w:r>
    </w:p>
    <w:p w14:paraId="4729D9C7" w14:textId="0905D70F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Across all EVSE, at least 2 V2G Root Certificate Authorities (Public Key Infrastructures) used to enable Plug and Charge are represented.</w:t>
      </w:r>
    </w:p>
    <w:p w14:paraId="28DDAD6F" w14:textId="6F694860" w:rsidR="0C0BC870" w:rsidRDefault="0C0BC870" w:rsidP="76C7408E">
      <w:pPr>
        <w:pStyle w:val="ListParagraph"/>
        <w:numPr>
          <w:ilvl w:val="0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Across all resident EVSE:</w:t>
      </w:r>
    </w:p>
    <w:p w14:paraId="176EC63E" w14:textId="4839CEF4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Certifies all EVSE for OCPP 2.0.1 or later before being made available for testing at Charge Yard.</w:t>
      </w:r>
    </w:p>
    <w:p w14:paraId="547CBF7E" w14:textId="737CDDF6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Demonstrates CharIN CCS Extended or ISO 15118 conformance through a comparable test program before being made available for testing at Charge yard.</w:t>
      </w:r>
    </w:p>
    <w:p w14:paraId="0868917F" w14:textId="67B0DFEE" w:rsidR="0C0BC870" w:rsidRDefault="0C0BC870" w:rsidP="76C7408E">
      <w:pPr>
        <w:pStyle w:val="ListParagraph"/>
        <w:numPr>
          <w:ilvl w:val="0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Procures and commissions on-site test tools, including but not limited to charger/vehicle emulators and grid emulators.</w:t>
      </w:r>
    </w:p>
    <w:p w14:paraId="0E5CDC67" w14:textId="3573703B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lastRenderedPageBreak/>
        <w:t>Charge Yard must include test tools that, at minimum, support ISO 15118 testing for products using the J1772/CCS or J3400/NACS connector.</w:t>
      </w:r>
    </w:p>
    <w:p w14:paraId="4CB392C2" w14:textId="5AF59F46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Test tools must be capable of simultaneously testing multiple ports for multi-port EVSE.</w:t>
      </w:r>
    </w:p>
    <w:p w14:paraId="6DCC9A27" w14:textId="1CF15075" w:rsidR="0C0BC870" w:rsidRDefault="0C0BC870" w:rsidP="76C7408E">
      <w:pPr>
        <w:pStyle w:val="ListParagraph"/>
        <w:numPr>
          <w:ilvl w:val="1"/>
          <w:numId w:val="14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The facility may optionally offer ISO 15118 conformance and certification services using these tools.</w:t>
      </w:r>
    </w:p>
    <w:p w14:paraId="7B7758BC" w14:textId="7D4FDBA9" w:rsidR="76C7408E" w:rsidRDefault="76C7408E" w:rsidP="76C7408E">
      <w:pPr>
        <w:pStyle w:val="ListParagraph"/>
        <w:rPr>
          <w:rFonts w:eastAsia="Arial"/>
          <w:szCs w:val="22"/>
        </w:rPr>
      </w:pPr>
    </w:p>
    <w:p w14:paraId="5C4C9FB8" w14:textId="34AA03A7" w:rsidR="1148E39D" w:rsidRDefault="1148E39D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Operations &amp; Governance</w:t>
      </w:r>
    </w:p>
    <w:p w14:paraId="1A6C67D8" w14:textId="54190B0D" w:rsidR="72E58768" w:rsidRDefault="72E58768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 the applicant:</w:t>
      </w:r>
    </w:p>
    <w:p w14:paraId="218B7C01" w14:textId="2DB3D63B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Provides on-site technical support (for example, test technicians and test engineers).</w:t>
      </w:r>
    </w:p>
    <w:p w14:paraId="451DCA41" w14:textId="726C28B9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Supports semi-public and private testing, including confidentiality and security processes.</w:t>
      </w:r>
    </w:p>
    <w:p w14:paraId="63209026" w14:textId="349AB972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Supports testing between visiting vehicles and resident EVSE.</w:t>
      </w:r>
    </w:p>
    <w:p w14:paraId="06A465DE" w14:textId="051DC4F9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Describes plans to ensure cost recovery and financial sustainability, including any fees for use, subscription fees, testing event fees, testing and certification services, and so on. Applicants must commit to 5 years of operation and provide detailed plans of how to reach 10 years of operation.</w:t>
      </w:r>
    </w:p>
    <w:p w14:paraId="768498F1" w14:textId="0761DE61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Describes plans to assemble an advisory committee consisting of at least two of each of the following entity types unless otherwise noted:</w:t>
      </w:r>
    </w:p>
    <w:p w14:paraId="33D0CCAF" w14:textId="0D51C6D2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EV manufacturers</w:t>
      </w:r>
    </w:p>
    <w:p w14:paraId="3120CC00" w14:textId="10A4AA91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Charge station operators or charging network providers</w:t>
      </w:r>
    </w:p>
    <w:p w14:paraId="4F707A9C" w14:textId="7DE43ED0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Public key infrastructure providers</w:t>
      </w:r>
    </w:p>
    <w:p w14:paraId="4390EF2A" w14:textId="5282AF75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Utilities (only 1 entity required)</w:t>
      </w:r>
    </w:p>
    <w:p w14:paraId="4F5E5D98" w14:textId="0213E0C7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Describes plans to implement:</w:t>
      </w:r>
    </w:p>
    <w:p w14:paraId="57CF5F16" w14:textId="3546D700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A standard set of test cases for ISO 15118-2 that validate a product’s ISO 15118-2 implementation.</w:t>
      </w:r>
    </w:p>
    <w:p w14:paraId="668050A8" w14:textId="2CC46D40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A standard set of test cases for ISO 15118-20 that validate a product’s ISO 15118-20 implementation.</w:t>
      </w:r>
    </w:p>
    <w:p w14:paraId="23600FF5" w14:textId="6EBC0633" w:rsidR="72E58768" w:rsidRDefault="72E58768" w:rsidP="76C7408E">
      <w:pPr>
        <w:pStyle w:val="ListParagraph"/>
        <w:numPr>
          <w:ilvl w:val="2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above test cases shall include those validating Plug and Charge, scheduled charging, and bidirectional charging.</w:t>
      </w:r>
    </w:p>
    <w:p w14:paraId="0A568E66" w14:textId="28B1C063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A standardized method, tool, certification, and/or program with which to run the above test cases.</w:t>
      </w:r>
    </w:p>
    <w:p w14:paraId="24DB5924" w14:textId="7B10A4DF" w:rsidR="72E58768" w:rsidRDefault="72E58768" w:rsidP="76C7408E">
      <w:pPr>
        <w:pStyle w:val="ListParagraph"/>
        <w:numPr>
          <w:ilvl w:val="0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During the project term, describes plans to:</w:t>
      </w:r>
    </w:p>
    <w:p w14:paraId="057E7F35" w14:textId="4260C03C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Host at least 3 on-site interoperability testing events per year.</w:t>
      </w:r>
    </w:p>
    <w:p w14:paraId="73B63528" w14:textId="7C98C8C4" w:rsidR="72E58768" w:rsidRDefault="72E58768" w:rsidP="76C7408E">
      <w:pPr>
        <w:pStyle w:val="ListParagraph"/>
        <w:numPr>
          <w:ilvl w:val="1"/>
          <w:numId w:val="3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Host at least 2 on-site events per year that do not include testing.</w:t>
      </w:r>
    </w:p>
    <w:p w14:paraId="6281F950" w14:textId="2DDA8847" w:rsidR="76C7408E" w:rsidRDefault="76C7408E" w:rsidP="76C7408E">
      <w:pPr>
        <w:pStyle w:val="ListParagraph"/>
        <w:rPr>
          <w:rFonts w:eastAsia="Arial"/>
          <w:szCs w:val="22"/>
        </w:rPr>
      </w:pPr>
    </w:p>
    <w:p w14:paraId="706AC08F" w14:textId="6984ACFB" w:rsidR="1148E39D" w:rsidRDefault="1148E39D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Standardized Testing Protocols</w:t>
      </w:r>
    </w:p>
    <w:p w14:paraId="1B9203D8" w14:textId="3D00170A" w:rsidR="677631D9" w:rsidRDefault="677631D9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degree to which the applicant demonstrates detailed plans for:</w:t>
      </w:r>
    </w:p>
    <w:p w14:paraId="68C74336" w14:textId="5F55660E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Achieving the availability of a standard set of test cases for ISO 15118-2.</w:t>
      </w:r>
    </w:p>
    <w:p w14:paraId="3ADCD5D3" w14:textId="521D461F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Achieving the availability of a standard set of test cases for ISO 15118-20.</w:t>
      </w:r>
    </w:p>
    <w:p w14:paraId="1F625943" w14:textId="000A77D2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Achieving the availability of a standard set of test cases for OCPI 2.2.1 or subsequent versions.</w:t>
      </w:r>
    </w:p>
    <w:p w14:paraId="2AC7C159" w14:textId="5D2161B6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Achieving a standardized method, tool, certification, and/or program for running the aforementioned test cases.</w:t>
      </w:r>
    </w:p>
    <w:p w14:paraId="23F9C1AB" w14:textId="3F0AD8FE" w:rsidR="677631D9" w:rsidRDefault="677631D9" w:rsidP="76C7408E">
      <w:pPr>
        <w:spacing w:after="120" w:line="257" w:lineRule="auto"/>
        <w:rPr>
          <w:rFonts w:eastAsia="Arial"/>
        </w:rPr>
      </w:pPr>
      <w:r w:rsidRPr="76C7408E">
        <w:rPr>
          <w:rFonts w:eastAsia="Arial"/>
        </w:rPr>
        <w:t>Each of the above plans should:</w:t>
      </w:r>
    </w:p>
    <w:p w14:paraId="71F02426" w14:textId="4049CD05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lastRenderedPageBreak/>
        <w:t>Specify collaboration with relevant industry bodies and entities.</w:t>
      </w:r>
    </w:p>
    <w:p w14:paraId="50B2DF21" w14:textId="533E2EFF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Outline how the applicant will contribute to and leverage existing industry efforts.</w:t>
      </w:r>
    </w:p>
    <w:p w14:paraId="5E505AF0" w14:textId="1E58B49D" w:rsidR="677631D9" w:rsidRDefault="677631D9" w:rsidP="76C7408E">
      <w:pPr>
        <w:pStyle w:val="ListParagraph"/>
        <w:numPr>
          <w:ilvl w:val="0"/>
          <w:numId w:val="10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Detail the scope and coverage of the intended test cases, including Plug and Charge and scheduled charging.</w:t>
      </w:r>
    </w:p>
    <w:p w14:paraId="6D77C38D" w14:textId="1794DEB6" w:rsidR="76C7408E" w:rsidRDefault="76C7408E" w:rsidP="76C7408E">
      <w:pPr>
        <w:rPr>
          <w:rFonts w:eastAsia="Arial"/>
        </w:rPr>
      </w:pPr>
    </w:p>
    <w:p w14:paraId="404BFA50" w14:textId="27B21C6A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Bidirectional Charging</w:t>
      </w:r>
    </w:p>
    <w:p w14:paraId="5CBC9F74" w14:textId="46EF2361" w:rsidR="702EE1AA" w:rsidRDefault="702EE1AA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 the applicant:</w:t>
      </w:r>
    </w:p>
    <w:p w14:paraId="47128E17" w14:textId="4C708DFD" w:rsidR="702EE1AA" w:rsidRDefault="702EE1AA" w:rsidP="76C7408E">
      <w:pPr>
        <w:pStyle w:val="ListParagraph"/>
        <w:numPr>
          <w:ilvl w:val="0"/>
          <w:numId w:val="9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Provides the capability for automakers and charging providers to test end-to-end bidirectional charging. This must include the ability to install and test a complete bidirectional charging setup for both grid interactive and islanded operation.</w:t>
      </w:r>
    </w:p>
    <w:p w14:paraId="08C03DDF" w14:textId="71284F94" w:rsidR="702EE1AA" w:rsidRDefault="702EE1AA" w:rsidP="76C7408E">
      <w:pPr>
        <w:pStyle w:val="ListParagraph"/>
        <w:numPr>
          <w:ilvl w:val="0"/>
          <w:numId w:val="9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Support testing with other distributed energy resources, energy management systems, or similar complementary technologies.</w:t>
      </w:r>
    </w:p>
    <w:p w14:paraId="634F5410" w14:textId="3EDC5698" w:rsidR="702EE1AA" w:rsidRDefault="702EE1AA" w:rsidP="76C7408E">
      <w:pPr>
        <w:pStyle w:val="ListParagraph"/>
        <w:numPr>
          <w:ilvl w:val="0"/>
          <w:numId w:val="9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Describes how Charge Yard bidirectional charging programming will convene industry, mature the development of bidirectional standards, and support utility buy-in.</w:t>
      </w:r>
    </w:p>
    <w:p w14:paraId="78947859" w14:textId="7977306D" w:rsidR="76C7408E" w:rsidRDefault="76C7408E" w:rsidP="50D31C57">
      <w:pPr>
        <w:pStyle w:val="ListParagraph"/>
        <w:spacing w:after="0" w:line="257" w:lineRule="auto"/>
        <w:rPr>
          <w:rFonts w:eastAsia="Arial"/>
          <w:b/>
          <w:bCs/>
          <w:szCs w:val="22"/>
        </w:rPr>
      </w:pPr>
    </w:p>
    <w:p w14:paraId="3366F3D2" w14:textId="2814C672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Data Collection, Reporting, Dashboard</w:t>
      </w:r>
    </w:p>
    <w:p w14:paraId="42029CDF" w14:textId="4A36C71B" w:rsidR="6E4269E8" w:rsidRDefault="6E4269E8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degree to which the applicant submits detailed plans to:</w:t>
      </w:r>
    </w:p>
    <w:p w14:paraId="1A9313C1" w14:textId="5277E360" w:rsidR="6E4269E8" w:rsidRDefault="6E4269E8" w:rsidP="76C7408E">
      <w:pPr>
        <w:pStyle w:val="ListParagraph"/>
        <w:numPr>
          <w:ilvl w:val="0"/>
          <w:numId w:val="8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Collect comprehensive data on all testing with on-site test tools and resident EVSE.</w:t>
      </w:r>
    </w:p>
    <w:p w14:paraId="1F14F891" w14:textId="712EBABC" w:rsidR="6E4269E8" w:rsidRDefault="6E4269E8" w:rsidP="76C7408E">
      <w:pPr>
        <w:pStyle w:val="ListParagraph"/>
        <w:numPr>
          <w:ilvl w:val="0"/>
          <w:numId w:val="8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Identify and track common implementation errors, misunderstandings, and other non-conformities.</w:t>
      </w:r>
    </w:p>
    <w:p w14:paraId="2A37FCB6" w14:textId="08C82A0C" w:rsidR="6E4269E8" w:rsidRDefault="6E4269E8" w:rsidP="76C7408E">
      <w:pPr>
        <w:pStyle w:val="ListParagraph"/>
        <w:numPr>
          <w:ilvl w:val="0"/>
          <w:numId w:val="8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Identify and track common implementation errors, misunderstandings, and other non-conformities from industry collaboration events.</w:t>
      </w:r>
    </w:p>
    <w:p w14:paraId="729227C4" w14:textId="024CEC10" w:rsidR="6E4269E8" w:rsidRDefault="6E4269E8" w:rsidP="76C7408E">
      <w:pPr>
        <w:pStyle w:val="ListParagraph"/>
        <w:numPr>
          <w:ilvl w:val="0"/>
          <w:numId w:val="8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Collect data during industry collaboration events (including all on-site interoperability testing events and V2X testing events).</w:t>
      </w:r>
    </w:p>
    <w:p w14:paraId="499B5E91" w14:textId="13152706" w:rsidR="76C7408E" w:rsidRDefault="76C7408E" w:rsidP="76C7408E">
      <w:pPr>
        <w:pStyle w:val="ListParagraph"/>
        <w:rPr>
          <w:rFonts w:eastAsia="Arial"/>
          <w:szCs w:val="22"/>
        </w:rPr>
      </w:pPr>
    </w:p>
    <w:p w14:paraId="2FD1AA71" w14:textId="1861E072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Industry Collaboration Events</w:t>
      </w:r>
    </w:p>
    <w:p w14:paraId="4DE2913E" w14:textId="5DB0ADEA" w:rsidR="40721DFF" w:rsidRDefault="40721DFF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degree to which the applicant submits detailed plans to:</w:t>
      </w:r>
    </w:p>
    <w:p w14:paraId="3ABB6F74" w14:textId="6A8CE208" w:rsidR="40721DFF" w:rsidRDefault="40721DFF" w:rsidP="76C7408E">
      <w:pPr>
        <w:pStyle w:val="ListParagraph"/>
        <w:numPr>
          <w:ilvl w:val="0"/>
          <w:numId w:val="7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Host at least three on-site interoperability testing events per year. The annual V2X testing event counts towards the required number of testing events.</w:t>
      </w:r>
    </w:p>
    <w:p w14:paraId="36212BA4" w14:textId="31D8585C" w:rsidR="40721DFF" w:rsidRDefault="40721DFF" w:rsidP="76C7408E">
      <w:pPr>
        <w:pStyle w:val="ListParagraph"/>
        <w:numPr>
          <w:ilvl w:val="0"/>
          <w:numId w:val="7"/>
        </w:numPr>
        <w:spacing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Host or co-host at least two on-site events per year that do not include testing.</w:t>
      </w:r>
    </w:p>
    <w:p w14:paraId="64C573B2" w14:textId="7F7AC2D9" w:rsidR="76C7408E" w:rsidRDefault="76C7408E" w:rsidP="76C7408E">
      <w:pPr>
        <w:pStyle w:val="ListParagraph"/>
        <w:rPr>
          <w:rFonts w:eastAsia="Arial"/>
          <w:szCs w:val="22"/>
        </w:rPr>
      </w:pPr>
    </w:p>
    <w:p w14:paraId="5D8C093E" w14:textId="4C680115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Project Budget</w:t>
      </w:r>
    </w:p>
    <w:p w14:paraId="05F91698" w14:textId="3108017F" w:rsidR="40278FF2" w:rsidRDefault="40278FF2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which:</w:t>
      </w:r>
    </w:p>
    <w:p w14:paraId="02FEBF88" w14:textId="5F9FB9CC" w:rsidR="40278FF2" w:rsidRDefault="40278FF2" w:rsidP="76C7408E">
      <w:pPr>
        <w:pStyle w:val="ListParagraph"/>
        <w:numPr>
          <w:ilvl w:val="0"/>
          <w:numId w:val="6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 xml:space="preserve">The proposed project budget is justifiable and reasonable relative to the project goals, objectives, and tasks defined in the scope of work. </w:t>
      </w:r>
    </w:p>
    <w:p w14:paraId="60289D71" w14:textId="339538FB" w:rsidR="40278FF2" w:rsidRDefault="40278FF2" w:rsidP="76C7408E">
      <w:pPr>
        <w:pStyle w:val="ListParagraph"/>
        <w:numPr>
          <w:ilvl w:val="0"/>
          <w:numId w:val="6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 xml:space="preserve">The proposed project minimizes administrative and overhead costs for reimbursement. </w:t>
      </w:r>
    </w:p>
    <w:p w14:paraId="25D9C3BE" w14:textId="35F7BCE4" w:rsidR="40278FF2" w:rsidRDefault="40278FF2" w:rsidP="76C7408E">
      <w:pPr>
        <w:pStyle w:val="ListParagraph"/>
        <w:numPr>
          <w:ilvl w:val="0"/>
          <w:numId w:val="6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proposed match funding commitments are documented, verifiable, and necessary to support the successful completion of the project.</w:t>
      </w:r>
    </w:p>
    <w:p w14:paraId="1CDCCCA0" w14:textId="4D8D1722" w:rsidR="76C7408E" w:rsidRDefault="76C7408E" w:rsidP="76C7408E">
      <w:pPr>
        <w:pStyle w:val="ListParagraph"/>
        <w:rPr>
          <w:rFonts w:eastAsia="Arial"/>
          <w:szCs w:val="22"/>
        </w:rPr>
      </w:pPr>
    </w:p>
    <w:p w14:paraId="0C875DB8" w14:textId="103297B4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Overall Cost Effectiveness</w:t>
      </w:r>
    </w:p>
    <w:p w14:paraId="4F29022D" w14:textId="73DBFD33" w:rsidR="7B13DC43" w:rsidRDefault="7B13DC43" w:rsidP="76C7408E">
      <w:pPr>
        <w:spacing w:after="120"/>
        <w:rPr>
          <w:rFonts w:eastAsia="Arial"/>
        </w:rPr>
      </w:pPr>
      <w:r w:rsidRPr="76C7408E">
        <w:rPr>
          <w:rFonts w:eastAsia="Arial"/>
        </w:rPr>
        <w:lastRenderedPageBreak/>
        <w:t>Applications will be evaluated on the overall cost effectiveness of the project using the below formula, where Score % is the percentage score for this criterion and TC is the total project cost (sum of match and CEC shares).</w:t>
      </w:r>
    </w:p>
    <w:p w14:paraId="3F687BEA" w14:textId="4A8917A7" w:rsidR="7B13DC43" w:rsidRDefault="7B13DC43" w:rsidP="76C7408E">
      <w:pPr>
        <w:spacing w:after="120"/>
        <w:rPr>
          <w:rFonts w:eastAsia="Arial"/>
        </w:rPr>
      </w:pPr>
      <w:r w:rsidRPr="76C7408E">
        <w:rPr>
          <w:rFonts w:eastAsia="Arial"/>
        </w:rPr>
        <w:t>Score % = -100 / (1 + exp(-.000001*(TC-5000000))) + 100</w:t>
      </w:r>
    </w:p>
    <w:p w14:paraId="284B0FC9" w14:textId="0698DCDB" w:rsidR="76C7408E" w:rsidRDefault="76C7408E" w:rsidP="76C7408E">
      <w:pPr>
        <w:pStyle w:val="ListParagraph"/>
        <w:rPr>
          <w:rFonts w:eastAsia="Arial"/>
          <w:szCs w:val="22"/>
        </w:rPr>
      </w:pPr>
    </w:p>
    <w:p w14:paraId="354FA5F6" w14:textId="0D1656D8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Financial Sustainability</w:t>
      </w:r>
    </w:p>
    <w:p w14:paraId="4CA70344" w14:textId="22331B17" w:rsidR="3163650F" w:rsidRDefault="3163650F" w:rsidP="76C7408E">
      <w:pPr>
        <w:spacing w:line="257" w:lineRule="auto"/>
        <w:rPr>
          <w:rFonts w:eastAsia="Arial"/>
        </w:rPr>
      </w:pPr>
      <w:r w:rsidRPr="76C7408E">
        <w:rPr>
          <w:rFonts w:eastAsia="Arial"/>
        </w:rPr>
        <w:t>Applications will be evaluated on the proposed business model and ability to sustain operations beyond the 5-year performance period without additional funding from the CEC.</w:t>
      </w:r>
    </w:p>
    <w:p w14:paraId="0BAEE644" w14:textId="011F450D" w:rsidR="76C7408E" w:rsidRDefault="76C7408E" w:rsidP="76C7408E">
      <w:pPr>
        <w:pStyle w:val="ListParagraph"/>
        <w:rPr>
          <w:rFonts w:eastAsia="Arial"/>
          <w:szCs w:val="22"/>
        </w:rPr>
      </w:pPr>
    </w:p>
    <w:p w14:paraId="4BC3764E" w14:textId="110DEF0A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Match Share</w:t>
      </w:r>
    </w:p>
    <w:p w14:paraId="74A9E112" w14:textId="2A46C463" w:rsidR="12BF611D" w:rsidRDefault="12BF611D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which:</w:t>
      </w:r>
    </w:p>
    <w:p w14:paraId="7735D36F" w14:textId="466F5491" w:rsidR="12BF611D" w:rsidRDefault="12BF611D" w:rsidP="76C7408E">
      <w:pPr>
        <w:pStyle w:val="ListParagraph"/>
        <w:numPr>
          <w:ilvl w:val="0"/>
          <w:numId w:val="5"/>
        </w:numPr>
        <w:spacing w:after="0" w:line="257" w:lineRule="auto"/>
        <w:rPr>
          <w:rFonts w:eastAsia="Arial"/>
          <w:szCs w:val="22"/>
        </w:rPr>
      </w:pPr>
      <w:r w:rsidRPr="76C7408E">
        <w:rPr>
          <w:rFonts w:eastAsia="Arial"/>
          <w:szCs w:val="22"/>
        </w:rPr>
        <w:t>The proposed project budget includes at least 35 percent total match share.</w:t>
      </w:r>
    </w:p>
    <w:p w14:paraId="60DE4D10" w14:textId="1EFE9608" w:rsidR="76C7408E" w:rsidRDefault="76C7408E" w:rsidP="76C7408E">
      <w:pPr>
        <w:rPr>
          <w:rFonts w:eastAsia="Arial"/>
        </w:rPr>
      </w:pPr>
    </w:p>
    <w:p w14:paraId="0EDD791D" w14:textId="60372BB8" w:rsidR="674477D4" w:rsidRDefault="674477D4" w:rsidP="50D31C57">
      <w:pPr>
        <w:pStyle w:val="ListParagraph"/>
        <w:numPr>
          <w:ilvl w:val="0"/>
          <w:numId w:val="34"/>
        </w:numPr>
        <w:rPr>
          <w:rFonts w:eastAsia="Arial"/>
          <w:b/>
          <w:bCs/>
          <w:szCs w:val="22"/>
        </w:rPr>
      </w:pPr>
      <w:r w:rsidRPr="50D31C57">
        <w:rPr>
          <w:rFonts w:eastAsia="Arial"/>
          <w:b/>
          <w:bCs/>
          <w:szCs w:val="22"/>
        </w:rPr>
        <w:t>Team Experience &amp; Qualifications</w:t>
      </w:r>
    </w:p>
    <w:p w14:paraId="595F3F6F" w14:textId="6A1C6A12" w:rsidR="76687842" w:rsidRDefault="76687842" w:rsidP="76C7408E">
      <w:pPr>
        <w:rPr>
          <w:rFonts w:eastAsia="Arial"/>
        </w:rPr>
      </w:pPr>
      <w:r w:rsidRPr="76C7408E">
        <w:rPr>
          <w:rFonts w:eastAsia="Arial"/>
        </w:rPr>
        <w:t>Applications will be evaluated on the degree to which:</w:t>
      </w:r>
    </w:p>
    <w:p w14:paraId="3A14C0F6" w14:textId="4967327E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qualifications, experience, and capabilities of the project team provide confidence in the team’s ability to successfully meet all Charge Yard project requirements (see Section B).</w:t>
      </w:r>
    </w:p>
    <w:p w14:paraId="383A193E" w14:textId="713219DA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qualifications, experience, and capabilities of the project team provide confidence in the team’s ability to successfully launch and operate Charge Yard, including past the project term.</w:t>
      </w:r>
    </w:p>
    <w:p w14:paraId="18FB7DC9" w14:textId="31FD69A1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applicant has a demonstrated history of successfully completing infrastructure projects including the ability to establish site control, obtain equipment and materials, and deploy resources to expedite project completion.</w:t>
      </w:r>
    </w:p>
    <w:p w14:paraId="14AEA62C" w14:textId="542BCC76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The applicant demonstrates that it has the confidence of the electric vehicle and charging industries, and a history of successfully convening these industries.</w:t>
      </w:r>
    </w:p>
    <w:p w14:paraId="6F1E7139" w14:textId="54BC3530" w:rsidR="76687842" w:rsidRDefault="76687842" w:rsidP="76C7408E">
      <w:pPr>
        <w:pStyle w:val="ListParagraph"/>
        <w:numPr>
          <w:ilvl w:val="0"/>
          <w:numId w:val="4"/>
        </w:numPr>
        <w:spacing w:after="0"/>
        <w:rPr>
          <w:rFonts w:eastAsia="Arial"/>
          <w:szCs w:val="22"/>
        </w:rPr>
      </w:pPr>
      <w:r w:rsidRPr="76C7408E">
        <w:rPr>
          <w:rFonts w:eastAsia="Arial"/>
          <w:szCs w:val="22"/>
        </w:rPr>
        <w:t>If applicable, the applicant describes past performance on prior CEC awards, including timeliness, project execution, communication, and project success.</w:t>
      </w:r>
    </w:p>
    <w:p w14:paraId="135C8F31" w14:textId="75425D27" w:rsidR="76C7408E" w:rsidRDefault="76C7408E" w:rsidP="76C7408E">
      <w:pPr>
        <w:ind w:left="720"/>
        <w:rPr>
          <w:rFonts w:eastAsia="Arial"/>
        </w:rPr>
      </w:pPr>
    </w:p>
    <w:p w14:paraId="3D152AB8" w14:textId="04AF2072" w:rsidR="76C7408E" w:rsidRDefault="76C7408E" w:rsidP="76C7408E">
      <w:pPr>
        <w:ind w:left="720"/>
        <w:rPr>
          <w:rFonts w:eastAsia="Arial"/>
        </w:rPr>
      </w:pPr>
    </w:p>
    <w:p w14:paraId="2092847A" w14:textId="7905FC61" w:rsidR="674477D4" w:rsidRDefault="674477D4" w:rsidP="76C7408E">
      <w:pPr>
        <w:rPr>
          <w:rFonts w:eastAsia="Arial"/>
        </w:rPr>
      </w:pPr>
      <w:r w:rsidRPr="76C7408E">
        <w:rPr>
          <w:rFonts w:eastAsia="Arial"/>
        </w:rPr>
        <w:t xml:space="preserve">Notes: </w:t>
      </w:r>
      <w:r w:rsidRPr="76C7408E">
        <w:rPr>
          <w:rFonts w:eastAsia="Arial"/>
          <w:i/>
          <w:iCs/>
        </w:rPr>
        <w:t>Ensure the proposed project and components meet the requirements listed in Section I</w:t>
      </w:r>
      <w:r w:rsidR="2556C222" w:rsidRPr="76C7408E">
        <w:rPr>
          <w:rFonts w:eastAsia="Arial"/>
          <w:i/>
          <w:iCs/>
        </w:rPr>
        <w:t>I</w:t>
      </w:r>
      <w:r w:rsidRPr="76C7408E">
        <w:rPr>
          <w:rFonts w:eastAsia="Arial"/>
          <w:i/>
          <w:iCs/>
        </w:rPr>
        <w:t>.</w:t>
      </w:r>
      <w:r w:rsidR="4258054A" w:rsidRPr="76C7408E">
        <w:rPr>
          <w:rFonts w:eastAsia="Arial"/>
          <w:i/>
          <w:iCs/>
        </w:rPr>
        <w:t>B</w:t>
      </w:r>
      <w:r w:rsidRPr="76C7408E">
        <w:rPr>
          <w:rFonts w:eastAsia="Arial"/>
          <w:i/>
          <w:iCs/>
        </w:rPr>
        <w:t xml:space="preserve"> </w:t>
      </w:r>
      <w:r w:rsidR="3D661652" w:rsidRPr="76C7408E">
        <w:rPr>
          <w:rFonts w:eastAsia="Arial"/>
          <w:i/>
          <w:iCs/>
        </w:rPr>
        <w:t>Project Requirements</w:t>
      </w:r>
      <w:r w:rsidRPr="76C7408E">
        <w:rPr>
          <w:rFonts w:eastAsia="Arial"/>
          <w:i/>
          <w:iCs/>
        </w:rPr>
        <w:t xml:space="preserve"> of the Solicitation Manual.</w:t>
      </w:r>
    </w:p>
    <w:p w14:paraId="2F83D584" w14:textId="77777777" w:rsidR="00E262F1" w:rsidRPr="00EF3FE6" w:rsidRDefault="00E262F1" w:rsidP="76C7408E">
      <w:pPr>
        <w:rPr>
          <w:rFonts w:eastAsia="Arial"/>
        </w:rPr>
      </w:pPr>
    </w:p>
    <w:sectPr w:rsidR="00E262F1" w:rsidRPr="00EF3FE6" w:rsidSect="00A43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CB7C" w14:textId="77777777" w:rsidR="00A438F2" w:rsidRDefault="00A438F2" w:rsidP="008B4D47">
      <w:r>
        <w:separator/>
      </w:r>
    </w:p>
    <w:p w14:paraId="1FFD462A" w14:textId="77777777" w:rsidR="00A438F2" w:rsidRDefault="00A438F2" w:rsidP="008B4D47"/>
  </w:endnote>
  <w:endnote w:type="continuationSeparator" w:id="0">
    <w:p w14:paraId="1AFC0F8D" w14:textId="77777777" w:rsidR="00A438F2" w:rsidRDefault="00A438F2" w:rsidP="008B4D47">
      <w:r>
        <w:continuationSeparator/>
      </w:r>
    </w:p>
    <w:p w14:paraId="52ED649F" w14:textId="77777777" w:rsidR="00A438F2" w:rsidRDefault="00A438F2" w:rsidP="008B4D47"/>
  </w:endnote>
  <w:endnote w:type="continuationNotice" w:id="1">
    <w:p w14:paraId="63C9A936" w14:textId="77777777" w:rsidR="00A438F2" w:rsidRDefault="00A43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0A4A" w14:textId="77777777" w:rsidR="0086058E" w:rsidRDefault="00860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12E3" w14:textId="4B800E37" w:rsidR="00AA55F3" w:rsidRPr="00316DE6" w:rsidRDefault="00467FDC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316DE6">
      <w:rPr>
        <w:sz w:val="20"/>
        <w:szCs w:val="20"/>
      </w:rPr>
      <w:t>March 2025</w:t>
    </w:r>
    <w:r w:rsidR="00390361" w:rsidRPr="00316DE6">
      <w:rPr>
        <w:sz w:val="20"/>
        <w:szCs w:val="20"/>
      </w:rPr>
      <w:tab/>
    </w:r>
    <w:r w:rsidR="00C10EB7" w:rsidRPr="00316DE6">
      <w:rPr>
        <w:sz w:val="20"/>
        <w:szCs w:val="20"/>
      </w:rPr>
      <w:t xml:space="preserve">Page </w:t>
    </w:r>
    <w:r w:rsidR="00AC5E7A" w:rsidRPr="00316DE6">
      <w:rPr>
        <w:sz w:val="20"/>
        <w:szCs w:val="20"/>
        <w:shd w:val="clear" w:color="auto" w:fill="E6E6E6"/>
      </w:rPr>
      <w:fldChar w:fldCharType="begin"/>
    </w:r>
    <w:r w:rsidR="00C10EB7" w:rsidRPr="00316DE6">
      <w:rPr>
        <w:sz w:val="20"/>
        <w:szCs w:val="20"/>
      </w:rPr>
      <w:instrText xml:space="preserve"> PAGE </w:instrText>
    </w:r>
    <w:r w:rsidR="00AC5E7A" w:rsidRPr="00316DE6">
      <w:rPr>
        <w:sz w:val="20"/>
        <w:szCs w:val="20"/>
        <w:shd w:val="clear" w:color="auto" w:fill="E6E6E6"/>
      </w:rPr>
      <w:fldChar w:fldCharType="separate"/>
    </w:r>
    <w:r w:rsidR="007433B8" w:rsidRPr="00316DE6">
      <w:rPr>
        <w:noProof/>
        <w:sz w:val="20"/>
        <w:szCs w:val="20"/>
      </w:rPr>
      <w:t>2</w:t>
    </w:r>
    <w:r w:rsidR="00AC5E7A" w:rsidRPr="00316DE6">
      <w:rPr>
        <w:sz w:val="20"/>
        <w:szCs w:val="20"/>
        <w:shd w:val="clear" w:color="auto" w:fill="E6E6E6"/>
      </w:rPr>
      <w:fldChar w:fldCharType="end"/>
    </w:r>
    <w:r w:rsidR="00C10EB7" w:rsidRPr="00316DE6">
      <w:rPr>
        <w:sz w:val="20"/>
        <w:szCs w:val="20"/>
      </w:rPr>
      <w:t xml:space="preserve"> of </w:t>
    </w:r>
    <w:r w:rsidR="00AC5E7A" w:rsidRPr="00316DE6">
      <w:rPr>
        <w:sz w:val="20"/>
        <w:szCs w:val="20"/>
        <w:shd w:val="clear" w:color="auto" w:fill="E6E6E6"/>
      </w:rPr>
      <w:fldChar w:fldCharType="begin"/>
    </w:r>
    <w:r w:rsidR="00C10EB7" w:rsidRPr="00316DE6">
      <w:rPr>
        <w:sz w:val="20"/>
        <w:szCs w:val="20"/>
      </w:rPr>
      <w:instrText xml:space="preserve"> NUMPAGES  </w:instrText>
    </w:r>
    <w:r w:rsidR="00AC5E7A" w:rsidRPr="00316DE6">
      <w:rPr>
        <w:sz w:val="20"/>
        <w:szCs w:val="20"/>
        <w:shd w:val="clear" w:color="auto" w:fill="E6E6E6"/>
      </w:rPr>
      <w:fldChar w:fldCharType="separate"/>
    </w:r>
    <w:r w:rsidR="007433B8" w:rsidRPr="00316DE6">
      <w:rPr>
        <w:noProof/>
        <w:sz w:val="20"/>
        <w:szCs w:val="20"/>
      </w:rPr>
      <w:t>6</w:t>
    </w:r>
    <w:r w:rsidR="00AC5E7A" w:rsidRPr="00316DE6">
      <w:rPr>
        <w:sz w:val="20"/>
        <w:szCs w:val="20"/>
        <w:shd w:val="clear" w:color="auto" w:fill="E6E6E6"/>
      </w:rPr>
      <w:fldChar w:fldCharType="end"/>
    </w:r>
    <w:r w:rsidR="00FF743A" w:rsidRPr="00316DE6">
      <w:rPr>
        <w:sz w:val="20"/>
        <w:szCs w:val="20"/>
      </w:rPr>
      <w:tab/>
    </w:r>
    <w:r w:rsidR="008853D3" w:rsidRPr="00316DE6">
      <w:rPr>
        <w:sz w:val="20"/>
        <w:szCs w:val="20"/>
      </w:rPr>
      <w:t>GFO</w:t>
    </w:r>
    <w:r w:rsidR="00FF743A" w:rsidRPr="00316DE6">
      <w:rPr>
        <w:sz w:val="20"/>
        <w:szCs w:val="20"/>
      </w:rPr>
      <w:t>-</w:t>
    </w:r>
    <w:r w:rsidRPr="00316DE6">
      <w:rPr>
        <w:sz w:val="20"/>
        <w:szCs w:val="20"/>
      </w:rPr>
      <w:t>24-609</w:t>
    </w:r>
  </w:p>
  <w:p w14:paraId="08A216CD" w14:textId="221665E8" w:rsidR="000C4F99" w:rsidRDefault="00467FDC" w:rsidP="00467FDC">
    <w:pPr>
      <w:pStyle w:val="Footer"/>
      <w:jc w:val="right"/>
      <w:rPr>
        <w:sz w:val="20"/>
        <w:szCs w:val="20"/>
      </w:rPr>
    </w:pPr>
    <w:r w:rsidRPr="00316DE6">
      <w:rPr>
        <w:sz w:val="20"/>
        <w:szCs w:val="20"/>
      </w:rPr>
      <w:t xml:space="preserve">Charging Interoperability </w:t>
    </w:r>
    <w:r w:rsidRPr="00316DE6">
      <w:rPr>
        <w:sz w:val="20"/>
        <w:szCs w:val="20"/>
      </w:rPr>
      <w:t>and</w:t>
    </w:r>
  </w:p>
  <w:p w14:paraId="596828B5" w14:textId="7F8E13FF" w:rsidR="00467FDC" w:rsidRPr="00316DE6" w:rsidRDefault="00467FDC" w:rsidP="00467FDC">
    <w:pPr>
      <w:pStyle w:val="Footer"/>
      <w:jc w:val="right"/>
      <w:rPr>
        <w:sz w:val="20"/>
        <w:szCs w:val="20"/>
      </w:rPr>
    </w:pPr>
    <w:r w:rsidRPr="00316DE6">
      <w:rPr>
        <w:sz w:val="20"/>
        <w:szCs w:val="20"/>
      </w:rPr>
      <w:t>Collaboration Yard</w:t>
    </w:r>
  </w:p>
  <w:p w14:paraId="78F1F7C0" w14:textId="0AAE3D09" w:rsidR="00242758" w:rsidRPr="00701F98" w:rsidRDefault="00242758" w:rsidP="00467FDC">
    <w:pPr>
      <w:pStyle w:val="Footer"/>
      <w:tabs>
        <w:tab w:val="clear" w:pos="8640"/>
        <w:tab w:val="right" w:pos="9360"/>
      </w:tabs>
      <w:jc w:val="right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C0E7" w14:textId="77777777" w:rsidR="0086058E" w:rsidRDefault="00860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F53D" w14:textId="77777777" w:rsidR="00A438F2" w:rsidRDefault="00A438F2" w:rsidP="008B4D47">
      <w:r>
        <w:separator/>
      </w:r>
    </w:p>
    <w:p w14:paraId="240C0A9D" w14:textId="77777777" w:rsidR="00A438F2" w:rsidRDefault="00A438F2" w:rsidP="008B4D47"/>
  </w:footnote>
  <w:footnote w:type="continuationSeparator" w:id="0">
    <w:p w14:paraId="0424E0EE" w14:textId="77777777" w:rsidR="00A438F2" w:rsidRDefault="00A438F2" w:rsidP="008B4D47">
      <w:r>
        <w:continuationSeparator/>
      </w:r>
    </w:p>
    <w:p w14:paraId="15D5C608" w14:textId="77777777" w:rsidR="00A438F2" w:rsidRDefault="00A438F2" w:rsidP="008B4D47"/>
  </w:footnote>
  <w:footnote w:type="continuationNotice" w:id="1">
    <w:p w14:paraId="33A58A81" w14:textId="77777777" w:rsidR="00A438F2" w:rsidRDefault="00A43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944F" w14:textId="77777777" w:rsidR="0086058E" w:rsidRDefault="00860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4BFA1EE7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0E695B">
      <w:rPr>
        <w:b/>
        <w:sz w:val="26"/>
        <w:szCs w:val="26"/>
      </w:rPr>
      <w:t>0</w:t>
    </w:r>
    <w:r w:rsidR="0086058E">
      <w:rPr>
        <w:b/>
        <w:sz w:val="26"/>
        <w:szCs w:val="26"/>
      </w:rPr>
      <w:t>1</w:t>
    </w:r>
  </w:p>
  <w:p w14:paraId="2AFD315E" w14:textId="295D1D3E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 xml:space="preserve">Project Narrative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93C9" w14:textId="77777777" w:rsidR="0086058E" w:rsidRDefault="00860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655"/>
    <w:multiLevelType w:val="hybridMultilevel"/>
    <w:tmpl w:val="4128254E"/>
    <w:lvl w:ilvl="0" w:tplc="A050C8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5A352"/>
    <w:multiLevelType w:val="hybridMultilevel"/>
    <w:tmpl w:val="0816B576"/>
    <w:lvl w:ilvl="0" w:tplc="23A2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2F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EB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4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6E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A5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8A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27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20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7A38"/>
    <w:multiLevelType w:val="multilevel"/>
    <w:tmpl w:val="0A0A87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)"/>
      <w:lvlJc w:val="right"/>
      <w:pPr>
        <w:ind w:left="2160" w:hanging="180"/>
      </w:pPr>
    </w:lvl>
    <w:lvl w:ilvl="3" w:tentative="1">
      <w:start w:val="1"/>
      <w:numFmt w:val="decimal"/>
      <w:lvlText w:val="(%4)"/>
      <w:lvlJc w:val="left"/>
      <w:pPr>
        <w:ind w:left="2880" w:hanging="360"/>
      </w:pPr>
    </w:lvl>
    <w:lvl w:ilvl="4" w:tentative="1">
      <w:start w:val="1"/>
      <w:numFmt w:val="lowerLetter"/>
      <w:lvlText w:val="(%5)"/>
      <w:lvlJc w:val="left"/>
      <w:pPr>
        <w:ind w:left="3600" w:hanging="360"/>
      </w:pPr>
    </w:lvl>
    <w:lvl w:ilvl="5" w:tentative="1">
      <w:start w:val="1"/>
      <w:numFmt w:val="lowerRoman"/>
      <w:lvlText w:val="(%6)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0591DDF"/>
    <w:multiLevelType w:val="hybridMultilevel"/>
    <w:tmpl w:val="6C2AF82C"/>
    <w:lvl w:ilvl="0" w:tplc="6980E8A2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38A69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41E26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F1561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01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6A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2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4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6DFA"/>
    <w:multiLevelType w:val="hybridMultilevel"/>
    <w:tmpl w:val="C7C8FE08"/>
    <w:lvl w:ilvl="0" w:tplc="1E98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A2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28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8D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AD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AF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A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2D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49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7B29"/>
    <w:multiLevelType w:val="hybridMultilevel"/>
    <w:tmpl w:val="72A49688"/>
    <w:lvl w:ilvl="0" w:tplc="7254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42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89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3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8F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82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AF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84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ED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13313"/>
    <w:multiLevelType w:val="hybridMultilevel"/>
    <w:tmpl w:val="A0A089BC"/>
    <w:lvl w:ilvl="0" w:tplc="85F21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8B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2C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5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0C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E0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0D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6C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A5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F54D6"/>
    <w:multiLevelType w:val="hybridMultilevel"/>
    <w:tmpl w:val="4FBAFFFA"/>
    <w:lvl w:ilvl="0" w:tplc="BFE0A8F0">
      <w:start w:val="1"/>
      <w:numFmt w:val="upperLetter"/>
      <w:lvlText w:val="%1."/>
      <w:lvlJc w:val="left"/>
      <w:pPr>
        <w:ind w:left="720" w:hanging="360"/>
      </w:pPr>
    </w:lvl>
    <w:lvl w:ilvl="1" w:tplc="95987EFE">
      <w:start w:val="1"/>
      <w:numFmt w:val="lowerLetter"/>
      <w:lvlText w:val="%2."/>
      <w:lvlJc w:val="left"/>
      <w:pPr>
        <w:ind w:left="1440" w:hanging="360"/>
      </w:pPr>
    </w:lvl>
    <w:lvl w:ilvl="2" w:tplc="69E04FB4">
      <w:start w:val="1"/>
      <w:numFmt w:val="lowerRoman"/>
      <w:lvlText w:val="%3."/>
      <w:lvlJc w:val="right"/>
      <w:pPr>
        <w:ind w:left="2160" w:hanging="180"/>
      </w:pPr>
    </w:lvl>
    <w:lvl w:ilvl="3" w:tplc="0C349AFA">
      <w:start w:val="1"/>
      <w:numFmt w:val="decimal"/>
      <w:lvlText w:val="%4."/>
      <w:lvlJc w:val="left"/>
      <w:pPr>
        <w:ind w:left="2880" w:hanging="360"/>
      </w:pPr>
    </w:lvl>
    <w:lvl w:ilvl="4" w:tplc="D8CC8E00">
      <w:start w:val="1"/>
      <w:numFmt w:val="lowerLetter"/>
      <w:lvlText w:val="%5."/>
      <w:lvlJc w:val="left"/>
      <w:pPr>
        <w:ind w:left="3600" w:hanging="360"/>
      </w:pPr>
    </w:lvl>
    <w:lvl w:ilvl="5" w:tplc="1DC6947E">
      <w:start w:val="1"/>
      <w:numFmt w:val="lowerRoman"/>
      <w:lvlText w:val="%6."/>
      <w:lvlJc w:val="right"/>
      <w:pPr>
        <w:ind w:left="4320" w:hanging="180"/>
      </w:pPr>
    </w:lvl>
    <w:lvl w:ilvl="6" w:tplc="3230B338">
      <w:start w:val="1"/>
      <w:numFmt w:val="decimal"/>
      <w:lvlText w:val="%7."/>
      <w:lvlJc w:val="left"/>
      <w:pPr>
        <w:ind w:left="5040" w:hanging="360"/>
      </w:pPr>
    </w:lvl>
    <w:lvl w:ilvl="7" w:tplc="DF7EA6F8">
      <w:start w:val="1"/>
      <w:numFmt w:val="lowerLetter"/>
      <w:lvlText w:val="%8."/>
      <w:lvlJc w:val="left"/>
      <w:pPr>
        <w:ind w:left="5760" w:hanging="360"/>
      </w:pPr>
    </w:lvl>
    <w:lvl w:ilvl="8" w:tplc="0316A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6AB7"/>
    <w:multiLevelType w:val="hybridMultilevel"/>
    <w:tmpl w:val="2BBAE2D4"/>
    <w:lvl w:ilvl="0" w:tplc="7264EF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F4D48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50C3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E1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E4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0C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2B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7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B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D4451"/>
    <w:multiLevelType w:val="hybridMultilevel"/>
    <w:tmpl w:val="0430F264"/>
    <w:lvl w:ilvl="0" w:tplc="6BCC0A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E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E6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22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C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A4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28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A2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64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FAEC"/>
    <w:multiLevelType w:val="hybridMultilevel"/>
    <w:tmpl w:val="8EB89816"/>
    <w:lvl w:ilvl="0" w:tplc="2C46FB70">
      <w:start w:val="2"/>
      <w:numFmt w:val="decimal"/>
      <w:lvlText w:val="%1."/>
      <w:lvlJc w:val="left"/>
      <w:pPr>
        <w:ind w:left="1440" w:hanging="360"/>
      </w:pPr>
    </w:lvl>
    <w:lvl w:ilvl="1" w:tplc="9F9C9F58">
      <w:start w:val="1"/>
      <w:numFmt w:val="lowerLetter"/>
      <w:lvlText w:val="%2."/>
      <w:lvlJc w:val="left"/>
      <w:pPr>
        <w:ind w:left="1440" w:hanging="360"/>
      </w:pPr>
    </w:lvl>
    <w:lvl w:ilvl="2" w:tplc="6452FD70">
      <w:start w:val="1"/>
      <w:numFmt w:val="lowerRoman"/>
      <w:lvlText w:val="%3."/>
      <w:lvlJc w:val="right"/>
      <w:pPr>
        <w:ind w:left="2160" w:hanging="180"/>
      </w:pPr>
    </w:lvl>
    <w:lvl w:ilvl="3" w:tplc="62E447AE">
      <w:start w:val="1"/>
      <w:numFmt w:val="decimal"/>
      <w:lvlText w:val="%4."/>
      <w:lvlJc w:val="left"/>
      <w:pPr>
        <w:ind w:left="2880" w:hanging="360"/>
      </w:pPr>
    </w:lvl>
    <w:lvl w:ilvl="4" w:tplc="614E7FB6">
      <w:start w:val="1"/>
      <w:numFmt w:val="lowerLetter"/>
      <w:lvlText w:val="%5."/>
      <w:lvlJc w:val="left"/>
      <w:pPr>
        <w:ind w:left="3600" w:hanging="360"/>
      </w:pPr>
    </w:lvl>
    <w:lvl w:ilvl="5" w:tplc="EA428ADC">
      <w:start w:val="1"/>
      <w:numFmt w:val="lowerRoman"/>
      <w:lvlText w:val="%6."/>
      <w:lvlJc w:val="right"/>
      <w:pPr>
        <w:ind w:left="4320" w:hanging="180"/>
      </w:pPr>
    </w:lvl>
    <w:lvl w:ilvl="6" w:tplc="8E385E82">
      <w:start w:val="1"/>
      <w:numFmt w:val="decimal"/>
      <w:lvlText w:val="%7."/>
      <w:lvlJc w:val="left"/>
      <w:pPr>
        <w:ind w:left="5040" w:hanging="360"/>
      </w:pPr>
    </w:lvl>
    <w:lvl w:ilvl="7" w:tplc="F826755C">
      <w:start w:val="1"/>
      <w:numFmt w:val="lowerLetter"/>
      <w:lvlText w:val="%8."/>
      <w:lvlJc w:val="left"/>
      <w:pPr>
        <w:ind w:left="5760" w:hanging="360"/>
      </w:pPr>
    </w:lvl>
    <w:lvl w:ilvl="8" w:tplc="E55812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562A851A"/>
    <w:multiLevelType w:val="hybridMultilevel"/>
    <w:tmpl w:val="1136851E"/>
    <w:lvl w:ilvl="0" w:tplc="35BAA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88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8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A9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05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6B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0C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2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CE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2DF8"/>
    <w:multiLevelType w:val="hybridMultilevel"/>
    <w:tmpl w:val="E524598C"/>
    <w:lvl w:ilvl="0" w:tplc="D0CA5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43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20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6E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23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24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A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C8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86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1B014"/>
    <w:multiLevelType w:val="hybridMultilevel"/>
    <w:tmpl w:val="A6768D36"/>
    <w:lvl w:ilvl="0" w:tplc="FB824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8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25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3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6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22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A7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8F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EE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EA0EDD"/>
    <w:multiLevelType w:val="hybridMultilevel"/>
    <w:tmpl w:val="A48AB6C2"/>
    <w:lvl w:ilvl="0" w:tplc="C494D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CC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26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E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A6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6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85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06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60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94DBE"/>
    <w:multiLevelType w:val="hybridMultilevel"/>
    <w:tmpl w:val="64384A1E"/>
    <w:lvl w:ilvl="0" w:tplc="B0CC1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44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C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0C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8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43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2A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8C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8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4" w15:restartNumberingAfterBreak="0">
    <w:nsid w:val="7BF5F4F0"/>
    <w:multiLevelType w:val="hybridMultilevel"/>
    <w:tmpl w:val="E6248D18"/>
    <w:lvl w:ilvl="0" w:tplc="4A82CB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A66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0B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E0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20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3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C4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66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39161">
    <w:abstractNumId w:val="17"/>
  </w:num>
  <w:num w:numId="2" w16cid:durableId="544487251">
    <w:abstractNumId w:val="10"/>
  </w:num>
  <w:num w:numId="3" w16cid:durableId="395663160">
    <w:abstractNumId w:val="24"/>
  </w:num>
  <w:num w:numId="4" w16cid:durableId="1586843398">
    <w:abstractNumId w:val="20"/>
  </w:num>
  <w:num w:numId="5" w16cid:durableId="444161119">
    <w:abstractNumId w:val="26"/>
  </w:num>
  <w:num w:numId="6" w16cid:durableId="314722665">
    <w:abstractNumId w:val="21"/>
  </w:num>
  <w:num w:numId="7" w16cid:durableId="1051148848">
    <w:abstractNumId w:val="30"/>
  </w:num>
  <w:num w:numId="8" w16cid:durableId="1085147404">
    <w:abstractNumId w:val="1"/>
  </w:num>
  <w:num w:numId="9" w16cid:durableId="286199431">
    <w:abstractNumId w:val="5"/>
  </w:num>
  <w:num w:numId="10" w16cid:durableId="1217736624">
    <w:abstractNumId w:val="9"/>
  </w:num>
  <w:num w:numId="11" w16cid:durableId="523520500">
    <w:abstractNumId w:val="4"/>
  </w:num>
  <w:num w:numId="12" w16cid:durableId="1362435716">
    <w:abstractNumId w:val="34"/>
  </w:num>
  <w:num w:numId="13" w16cid:durableId="2131432957">
    <w:abstractNumId w:val="8"/>
  </w:num>
  <w:num w:numId="14" w16cid:durableId="1168330838">
    <w:abstractNumId w:val="11"/>
  </w:num>
  <w:num w:numId="15" w16cid:durableId="537623599">
    <w:abstractNumId w:val="16"/>
  </w:num>
  <w:num w:numId="16" w16cid:durableId="512183729">
    <w:abstractNumId w:val="13"/>
  </w:num>
  <w:num w:numId="17" w16cid:durableId="1764295993">
    <w:abstractNumId w:val="12"/>
  </w:num>
  <w:num w:numId="18" w16cid:durableId="229199619">
    <w:abstractNumId w:val="31"/>
  </w:num>
  <w:num w:numId="19" w16cid:durableId="881283591">
    <w:abstractNumId w:val="7"/>
  </w:num>
  <w:num w:numId="20" w16cid:durableId="2006591253">
    <w:abstractNumId w:val="15"/>
  </w:num>
  <w:num w:numId="21" w16cid:durableId="833034312">
    <w:abstractNumId w:val="32"/>
  </w:num>
  <w:num w:numId="22" w16cid:durableId="1802649953">
    <w:abstractNumId w:val="23"/>
  </w:num>
  <w:num w:numId="23" w16cid:durableId="455758481">
    <w:abstractNumId w:val="27"/>
  </w:num>
  <w:num w:numId="24" w16cid:durableId="1311978111">
    <w:abstractNumId w:val="18"/>
  </w:num>
  <w:num w:numId="25" w16cid:durableId="354114598">
    <w:abstractNumId w:val="22"/>
  </w:num>
  <w:num w:numId="26" w16cid:durableId="377168332">
    <w:abstractNumId w:val="29"/>
  </w:num>
  <w:num w:numId="27" w16cid:durableId="1358236199">
    <w:abstractNumId w:val="3"/>
  </w:num>
  <w:num w:numId="28" w16cid:durableId="1061900689">
    <w:abstractNumId w:val="25"/>
  </w:num>
  <w:num w:numId="29" w16cid:durableId="560481156">
    <w:abstractNumId w:val="19"/>
  </w:num>
  <w:num w:numId="30" w16cid:durableId="41448725">
    <w:abstractNumId w:val="33"/>
  </w:num>
  <w:num w:numId="31" w16cid:durableId="1275019282">
    <w:abstractNumId w:val="6"/>
  </w:num>
  <w:num w:numId="32" w16cid:durableId="1724021380">
    <w:abstractNumId w:val="28"/>
  </w:num>
  <w:num w:numId="33" w16cid:durableId="597786176">
    <w:abstractNumId w:val="14"/>
  </w:num>
  <w:num w:numId="34" w16cid:durableId="1413508440">
    <w:abstractNumId w:val="2"/>
  </w:num>
  <w:num w:numId="35" w16cid:durableId="213740501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133D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2F02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4F99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E695B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3703"/>
    <w:rsid w:val="00145289"/>
    <w:rsid w:val="001456E1"/>
    <w:rsid w:val="00145C63"/>
    <w:rsid w:val="001469E2"/>
    <w:rsid w:val="001513F0"/>
    <w:rsid w:val="00152690"/>
    <w:rsid w:val="001557D5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6E94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1CB3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17E5"/>
    <w:rsid w:val="002D28E9"/>
    <w:rsid w:val="002D3BD1"/>
    <w:rsid w:val="002D783C"/>
    <w:rsid w:val="002E2479"/>
    <w:rsid w:val="002E2A7B"/>
    <w:rsid w:val="002E406E"/>
    <w:rsid w:val="002F21B1"/>
    <w:rsid w:val="002F4D64"/>
    <w:rsid w:val="002F6EA3"/>
    <w:rsid w:val="003009AB"/>
    <w:rsid w:val="0030539F"/>
    <w:rsid w:val="00307615"/>
    <w:rsid w:val="00307751"/>
    <w:rsid w:val="00312371"/>
    <w:rsid w:val="003142B2"/>
    <w:rsid w:val="00314F22"/>
    <w:rsid w:val="00316DE6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5B9D"/>
    <w:rsid w:val="00356432"/>
    <w:rsid w:val="00360D65"/>
    <w:rsid w:val="0036507E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985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114B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16D8"/>
    <w:rsid w:val="004528A7"/>
    <w:rsid w:val="00457861"/>
    <w:rsid w:val="00462CA8"/>
    <w:rsid w:val="00467FDC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305E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ACB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4845"/>
    <w:rsid w:val="00515DE2"/>
    <w:rsid w:val="00522799"/>
    <w:rsid w:val="005263CC"/>
    <w:rsid w:val="00530EFB"/>
    <w:rsid w:val="005406D2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77E02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1FC5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36C2A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2CF5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132F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6F3E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D0B66"/>
    <w:rsid w:val="007E358D"/>
    <w:rsid w:val="007E5173"/>
    <w:rsid w:val="007E579D"/>
    <w:rsid w:val="007F07E9"/>
    <w:rsid w:val="007F1CC9"/>
    <w:rsid w:val="007F6CD4"/>
    <w:rsid w:val="008007B1"/>
    <w:rsid w:val="008040BC"/>
    <w:rsid w:val="00804292"/>
    <w:rsid w:val="00806C34"/>
    <w:rsid w:val="008100AA"/>
    <w:rsid w:val="00810FBB"/>
    <w:rsid w:val="0081112F"/>
    <w:rsid w:val="008115F5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058E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A7C5C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8F7505"/>
    <w:rsid w:val="0090032F"/>
    <w:rsid w:val="00900C19"/>
    <w:rsid w:val="009017C5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4C3D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6D1A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8F2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396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5ED2"/>
    <w:rsid w:val="00C16998"/>
    <w:rsid w:val="00C25361"/>
    <w:rsid w:val="00C26D0A"/>
    <w:rsid w:val="00C322AC"/>
    <w:rsid w:val="00C41B50"/>
    <w:rsid w:val="00C4363A"/>
    <w:rsid w:val="00C45B9D"/>
    <w:rsid w:val="00C46428"/>
    <w:rsid w:val="00C46A48"/>
    <w:rsid w:val="00C508A6"/>
    <w:rsid w:val="00C569FF"/>
    <w:rsid w:val="00C655BE"/>
    <w:rsid w:val="00C667D8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0A1F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4454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213"/>
    <w:rsid w:val="00D747C8"/>
    <w:rsid w:val="00D74BD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074D3"/>
    <w:rsid w:val="00E1174C"/>
    <w:rsid w:val="00E12F94"/>
    <w:rsid w:val="00E14C68"/>
    <w:rsid w:val="00E16F39"/>
    <w:rsid w:val="00E200E1"/>
    <w:rsid w:val="00E20FA4"/>
    <w:rsid w:val="00E21D89"/>
    <w:rsid w:val="00E227E6"/>
    <w:rsid w:val="00E22B0A"/>
    <w:rsid w:val="00E22F4D"/>
    <w:rsid w:val="00E23246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55851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5171"/>
    <w:rsid w:val="00EA6333"/>
    <w:rsid w:val="00EA6C42"/>
    <w:rsid w:val="00EA6CFF"/>
    <w:rsid w:val="00EC0C58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428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0F05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16D7"/>
    <w:rsid w:val="00FD1802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3E6"/>
    <w:rsid w:val="00FF3748"/>
    <w:rsid w:val="00FF5FA4"/>
    <w:rsid w:val="00FF743A"/>
    <w:rsid w:val="02F2EAC0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C384C4"/>
    <w:rsid w:val="09FFBADE"/>
    <w:rsid w:val="0A7BC33C"/>
    <w:rsid w:val="0A98EDB0"/>
    <w:rsid w:val="0C0BC870"/>
    <w:rsid w:val="0D076B21"/>
    <w:rsid w:val="0D557780"/>
    <w:rsid w:val="0F1A74E9"/>
    <w:rsid w:val="10EB04C0"/>
    <w:rsid w:val="1148E39D"/>
    <w:rsid w:val="117D80C6"/>
    <w:rsid w:val="12BF611D"/>
    <w:rsid w:val="133DF5F3"/>
    <w:rsid w:val="14853860"/>
    <w:rsid w:val="152B41B8"/>
    <w:rsid w:val="17797E1F"/>
    <w:rsid w:val="19217062"/>
    <w:rsid w:val="19739BBA"/>
    <w:rsid w:val="1AB04A12"/>
    <w:rsid w:val="1ABAAE37"/>
    <w:rsid w:val="1D91CFBA"/>
    <w:rsid w:val="1E733073"/>
    <w:rsid w:val="1F7E60D8"/>
    <w:rsid w:val="203D9BA2"/>
    <w:rsid w:val="20463B98"/>
    <w:rsid w:val="21127A87"/>
    <w:rsid w:val="2191A22D"/>
    <w:rsid w:val="23F908F4"/>
    <w:rsid w:val="24942B45"/>
    <w:rsid w:val="25108733"/>
    <w:rsid w:val="2556C222"/>
    <w:rsid w:val="259E8E9B"/>
    <w:rsid w:val="28522A82"/>
    <w:rsid w:val="2B8FAAF0"/>
    <w:rsid w:val="2B934CE7"/>
    <w:rsid w:val="2C32A05A"/>
    <w:rsid w:val="2C727B04"/>
    <w:rsid w:val="2CB5A115"/>
    <w:rsid w:val="2CB6F2DA"/>
    <w:rsid w:val="2DCE70BB"/>
    <w:rsid w:val="2E893BE1"/>
    <w:rsid w:val="2F7A4788"/>
    <w:rsid w:val="2FA3A1BD"/>
    <w:rsid w:val="302AC3C2"/>
    <w:rsid w:val="30404EBA"/>
    <w:rsid w:val="30B83875"/>
    <w:rsid w:val="3163650F"/>
    <w:rsid w:val="32D6DC96"/>
    <w:rsid w:val="333CF288"/>
    <w:rsid w:val="35A14241"/>
    <w:rsid w:val="35B8BB70"/>
    <w:rsid w:val="38D35D5D"/>
    <w:rsid w:val="390C9AFB"/>
    <w:rsid w:val="3A6D5FBC"/>
    <w:rsid w:val="3D661652"/>
    <w:rsid w:val="3DEC820B"/>
    <w:rsid w:val="3FECF416"/>
    <w:rsid w:val="40278FF2"/>
    <w:rsid w:val="402B06CF"/>
    <w:rsid w:val="40721DFF"/>
    <w:rsid w:val="41ACF599"/>
    <w:rsid w:val="41AF93CF"/>
    <w:rsid w:val="423E81A3"/>
    <w:rsid w:val="4258054A"/>
    <w:rsid w:val="4589E84B"/>
    <w:rsid w:val="45F8B94D"/>
    <w:rsid w:val="46D8A141"/>
    <w:rsid w:val="48EAABB0"/>
    <w:rsid w:val="49642F6A"/>
    <w:rsid w:val="4C92B1C5"/>
    <w:rsid w:val="4E94B1CE"/>
    <w:rsid w:val="4F734EC1"/>
    <w:rsid w:val="50B8ED5C"/>
    <w:rsid w:val="50D31C57"/>
    <w:rsid w:val="51341CC3"/>
    <w:rsid w:val="5223ED12"/>
    <w:rsid w:val="5268D57C"/>
    <w:rsid w:val="539025AC"/>
    <w:rsid w:val="53F42C71"/>
    <w:rsid w:val="544A4D97"/>
    <w:rsid w:val="54688D07"/>
    <w:rsid w:val="54A3ACD9"/>
    <w:rsid w:val="54C69DF5"/>
    <w:rsid w:val="54F0CE42"/>
    <w:rsid w:val="5663FD21"/>
    <w:rsid w:val="57C228A5"/>
    <w:rsid w:val="59720B8B"/>
    <w:rsid w:val="5A17C7B0"/>
    <w:rsid w:val="5ACD830A"/>
    <w:rsid w:val="5BEF26C7"/>
    <w:rsid w:val="5C2E5283"/>
    <w:rsid w:val="5CB26BDA"/>
    <w:rsid w:val="5D29FC76"/>
    <w:rsid w:val="5EB63211"/>
    <w:rsid w:val="5F63AE25"/>
    <w:rsid w:val="5FB4A425"/>
    <w:rsid w:val="62FA79E6"/>
    <w:rsid w:val="633C12B2"/>
    <w:rsid w:val="63C34CAB"/>
    <w:rsid w:val="65067E1E"/>
    <w:rsid w:val="652A655A"/>
    <w:rsid w:val="66EEF5BE"/>
    <w:rsid w:val="674477D4"/>
    <w:rsid w:val="677631D9"/>
    <w:rsid w:val="679548B1"/>
    <w:rsid w:val="68811E1E"/>
    <w:rsid w:val="6C3E766D"/>
    <w:rsid w:val="6C60F224"/>
    <w:rsid w:val="6D47BF61"/>
    <w:rsid w:val="6E2D6791"/>
    <w:rsid w:val="6E4269E8"/>
    <w:rsid w:val="6ED7F16E"/>
    <w:rsid w:val="70089FC1"/>
    <w:rsid w:val="702EE1AA"/>
    <w:rsid w:val="713DEACB"/>
    <w:rsid w:val="72338804"/>
    <w:rsid w:val="726FCA7A"/>
    <w:rsid w:val="7293C2AC"/>
    <w:rsid w:val="729C7EE4"/>
    <w:rsid w:val="72E58768"/>
    <w:rsid w:val="73E50B50"/>
    <w:rsid w:val="7488533A"/>
    <w:rsid w:val="7599DFAD"/>
    <w:rsid w:val="76687842"/>
    <w:rsid w:val="766B3648"/>
    <w:rsid w:val="76C7408E"/>
    <w:rsid w:val="77433B9D"/>
    <w:rsid w:val="77A8B611"/>
    <w:rsid w:val="77FED90E"/>
    <w:rsid w:val="783DEEFC"/>
    <w:rsid w:val="78DF0BFE"/>
    <w:rsid w:val="7B0C678F"/>
    <w:rsid w:val="7B13DC43"/>
    <w:rsid w:val="7B2A1897"/>
    <w:rsid w:val="7B35F097"/>
    <w:rsid w:val="7BC4D118"/>
    <w:rsid w:val="7BFA3E4B"/>
    <w:rsid w:val="7CE7AC3E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2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2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2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6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28"/>
      </w:numPr>
    </w:pPr>
  </w:style>
  <w:style w:type="character" w:customStyle="1" w:styleId="normaltextrun">
    <w:name w:val="normaltextrun"/>
    <w:basedOn w:val="DefaultParagraphFont"/>
    <w:rsid w:val="0036507E"/>
  </w:style>
  <w:style w:type="character" w:customStyle="1" w:styleId="eop">
    <w:name w:val="eop"/>
    <w:basedOn w:val="DefaultParagraphFont"/>
    <w:rsid w:val="0036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CDE40-7DDA-4391-86D8-E78ACD9B9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purl.org/dc/dcmitype/"/>
    <ds:schemaRef ds:uri="http://schemas.microsoft.com/office/2006/documentManagement/types"/>
    <ds:schemaRef ds:uri="785685f2-c2e1-4352-89aa-3faca8eaba52"/>
    <ds:schemaRef ds:uri="5067c814-4b34-462c-a21d-c185ff6548d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3</TotalTime>
  <Pages>4</Pages>
  <Words>1265</Words>
  <Characters>7206</Characters>
  <Application>Microsoft Office Word</Application>
  <DocSecurity>0</DocSecurity>
  <Lines>60</Lines>
  <Paragraphs>16</Paragraphs>
  <ScaleCrop>false</ScaleCrop>
  <Company>California Energy Commission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Piper, Kevyn@Energy</cp:lastModifiedBy>
  <cp:revision>37</cp:revision>
  <cp:lastPrinted>2014-04-11T22:56:00Z</cp:lastPrinted>
  <dcterms:created xsi:type="dcterms:W3CDTF">2024-03-01T01:00:00Z</dcterms:created>
  <dcterms:modified xsi:type="dcterms:W3CDTF">2025-03-10T21:37:00Z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