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2F22E" w14:textId="77777777" w:rsidR="0053761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77A1A061" w14:textId="77777777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22DB2FBB" w14:textId="1F0697FC" w:rsidR="6C67DC7E" w:rsidRPr="00241257" w:rsidRDefault="00447CB4" w:rsidP="0A75C2F6">
      <w:pPr>
        <w:spacing w:line="259" w:lineRule="auto"/>
        <w:jc w:val="center"/>
      </w:pPr>
      <w:r w:rsidRPr="00447CB4">
        <w:rPr>
          <w:rFonts w:ascii="Tahoma" w:hAnsi="Tahoma" w:cs="Tahoma"/>
          <w:b/>
          <w:bCs/>
        </w:rPr>
        <w:t>Offshore Wind Energy Waterfront Facility Improvement Program</w:t>
      </w:r>
    </w:p>
    <w:p w14:paraId="2AC40E40" w14:textId="7A73F48A" w:rsidR="6C67DC7E" w:rsidRPr="00241257" w:rsidRDefault="719F4704" w:rsidP="0A75C2F6">
      <w:pPr>
        <w:spacing w:line="259" w:lineRule="auto"/>
        <w:jc w:val="center"/>
      </w:pPr>
      <w:r w:rsidRPr="00241257">
        <w:rPr>
          <w:rFonts w:ascii="Tahoma" w:hAnsi="Tahoma" w:cs="Tahoma"/>
          <w:b/>
          <w:bCs/>
        </w:rPr>
        <w:t>GFO-2</w:t>
      </w:r>
      <w:r w:rsidR="009706C9">
        <w:rPr>
          <w:rFonts w:ascii="Tahoma" w:hAnsi="Tahoma" w:cs="Tahoma"/>
          <w:b/>
          <w:bCs/>
        </w:rPr>
        <w:t>4</w:t>
      </w:r>
      <w:r w:rsidRPr="00241257">
        <w:rPr>
          <w:rFonts w:ascii="Tahoma" w:hAnsi="Tahoma" w:cs="Tahoma"/>
          <w:b/>
          <w:bCs/>
        </w:rPr>
        <w:t>-</w:t>
      </w:r>
      <w:r w:rsidR="009706C9">
        <w:rPr>
          <w:rFonts w:ascii="Tahoma" w:hAnsi="Tahoma" w:cs="Tahoma"/>
          <w:b/>
          <w:bCs/>
        </w:rPr>
        <w:t>701</w:t>
      </w:r>
    </w:p>
    <w:p w14:paraId="0BB2349C" w14:textId="1F1E1F09" w:rsidR="6022DE34" w:rsidRPr="00241257" w:rsidRDefault="00610ECD" w:rsidP="7843365C">
      <w:pPr>
        <w:pStyle w:val="Default"/>
        <w:spacing w:line="259" w:lineRule="auto"/>
        <w:jc w:val="center"/>
        <w:rPr>
          <w:color w:val="auto"/>
        </w:rPr>
      </w:pPr>
      <w:r>
        <w:rPr>
          <w:rFonts w:ascii="Tahoma" w:hAnsi="Tahoma" w:cs="Tahoma"/>
          <w:b/>
          <w:bCs/>
          <w:color w:val="auto"/>
        </w:rPr>
        <w:t>March 7</w:t>
      </w:r>
      <w:r w:rsidR="6022DE34" w:rsidRPr="1DE95E16">
        <w:rPr>
          <w:rFonts w:ascii="Tahoma" w:hAnsi="Tahoma" w:cs="Tahoma"/>
          <w:b/>
          <w:bCs/>
          <w:color w:val="auto"/>
        </w:rPr>
        <w:t>, 202</w:t>
      </w:r>
      <w:r>
        <w:rPr>
          <w:rFonts w:ascii="Tahoma" w:hAnsi="Tahoma" w:cs="Tahoma"/>
          <w:b/>
          <w:bCs/>
          <w:color w:val="auto"/>
        </w:rPr>
        <w:t>5</w:t>
      </w:r>
    </w:p>
    <w:p w14:paraId="62645EF0" w14:textId="77777777" w:rsidR="00537618" w:rsidRPr="00241257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668DCAC9" w14:textId="076EFD4C" w:rsidR="00FB6F3B" w:rsidRDefault="002315D0" w:rsidP="002315D0">
      <w:pPr>
        <w:pStyle w:val="Default"/>
        <w:rPr>
          <w:rFonts w:ascii="Tahoma" w:hAnsi="Tahoma" w:cs="Tahoma"/>
        </w:rPr>
      </w:pPr>
      <w:r w:rsidRPr="002315D0">
        <w:rPr>
          <w:rFonts w:ascii="Tahoma" w:hAnsi="Tahoma" w:cs="Tahoma"/>
        </w:rPr>
        <w:t xml:space="preserve">On September 30, 2024, the California Energy Commission (CEC) released a competitive solicitation to fund </w:t>
      </w:r>
      <w:r w:rsidR="002D5227" w:rsidRPr="002D5227">
        <w:rPr>
          <w:rFonts w:ascii="Tahoma" w:hAnsi="Tahoma" w:cs="Tahoma"/>
        </w:rPr>
        <w:t xml:space="preserve">projects that will plan for offshore wind energy infrastructure improvements that advance the capabilities of California waterfront facilities to support the development and operation of floating offshore wind projects. </w:t>
      </w:r>
      <w:r w:rsidRPr="002315D0">
        <w:rPr>
          <w:rFonts w:ascii="Tahoma" w:hAnsi="Tahoma" w:cs="Tahoma"/>
        </w:rPr>
        <w:t>This solicitation implements the Clean Energy Program established under Assembly Bill 209</w:t>
      </w:r>
      <w:r w:rsidR="00FB2AF3" w:rsidRPr="6F767378">
        <w:rPr>
          <w:rFonts w:ascii="Source Sans Pro" w:eastAsiaTheme="minorEastAsia" w:hAnsi="Source Sans Pro" w:cstheme="minorBidi"/>
          <w:sz w:val="27"/>
          <w:szCs w:val="27"/>
          <w:shd w:val="clear" w:color="auto" w:fill="FFFFFF"/>
        </w:rPr>
        <w:t xml:space="preserve"> </w:t>
      </w:r>
      <w:r w:rsidR="00FB2AF3" w:rsidRPr="00FB2AF3">
        <w:rPr>
          <w:rFonts w:ascii="Tahoma" w:hAnsi="Tahoma" w:cs="Tahoma"/>
        </w:rPr>
        <w:t>(The Energy and Climate Change budget bill, Chapter 251, Section 12, Chapter 7.6, Article 6, enacted in September 2022)</w:t>
      </w:r>
      <w:r w:rsidRPr="002315D0">
        <w:rPr>
          <w:rFonts w:ascii="Tahoma" w:hAnsi="Tahoma" w:cs="Tahoma"/>
        </w:rPr>
        <w:t xml:space="preserve">, advancing the </w:t>
      </w:r>
      <w:r w:rsidR="001E5778">
        <w:rPr>
          <w:rFonts w:ascii="Tahoma" w:hAnsi="Tahoma" w:cs="Tahoma"/>
        </w:rPr>
        <w:t xml:space="preserve">preparedness </w:t>
      </w:r>
      <w:r w:rsidRPr="002315D0">
        <w:rPr>
          <w:rFonts w:ascii="Tahoma" w:hAnsi="Tahoma" w:cs="Tahoma"/>
        </w:rPr>
        <w:t xml:space="preserve">of </w:t>
      </w:r>
      <w:r w:rsidR="002272C9">
        <w:rPr>
          <w:rFonts w:ascii="Tahoma" w:hAnsi="Tahoma" w:cs="Tahoma"/>
        </w:rPr>
        <w:t xml:space="preserve">California waterfront facilities </w:t>
      </w:r>
      <w:r w:rsidR="008E4F33">
        <w:rPr>
          <w:rFonts w:ascii="Tahoma" w:hAnsi="Tahoma" w:cs="Tahoma"/>
        </w:rPr>
        <w:t>to meet the needs of the</w:t>
      </w:r>
      <w:r w:rsidRPr="002315D0">
        <w:rPr>
          <w:rFonts w:ascii="Tahoma" w:hAnsi="Tahoma" w:cs="Tahoma"/>
        </w:rPr>
        <w:t xml:space="preserve"> floating offshore wind energy </w:t>
      </w:r>
      <w:r w:rsidR="00391F57">
        <w:rPr>
          <w:rFonts w:ascii="Tahoma" w:hAnsi="Tahoma" w:cs="Tahoma"/>
        </w:rPr>
        <w:t>industry</w:t>
      </w:r>
      <w:r w:rsidRPr="002315D0">
        <w:rPr>
          <w:rFonts w:ascii="Tahoma" w:hAnsi="Tahoma" w:cs="Tahoma"/>
        </w:rPr>
        <w:t>. Up to $42,750,000 in total funding was allocated across Category</w:t>
      </w:r>
      <w:r w:rsidR="009404AE">
        <w:rPr>
          <w:rFonts w:ascii="Tahoma" w:hAnsi="Tahoma" w:cs="Tahoma"/>
        </w:rPr>
        <w:t xml:space="preserve"> I</w:t>
      </w:r>
      <w:r w:rsidRPr="002315D0">
        <w:rPr>
          <w:rFonts w:ascii="Tahoma" w:hAnsi="Tahoma" w:cs="Tahoma"/>
        </w:rPr>
        <w:t xml:space="preserve"> ($7,750,000) and Category II ($35,000,000).</w:t>
      </w:r>
      <w:r w:rsidR="00804A9F">
        <w:rPr>
          <w:rFonts w:ascii="Tahoma" w:hAnsi="Tahoma" w:cs="Tahoma"/>
        </w:rPr>
        <w:t xml:space="preserve"> </w:t>
      </w:r>
    </w:p>
    <w:p w14:paraId="4724CFFA" w14:textId="77777777" w:rsidR="00FB6F3B" w:rsidRDefault="00FB6F3B" w:rsidP="002315D0">
      <w:pPr>
        <w:pStyle w:val="Default"/>
        <w:rPr>
          <w:rFonts w:ascii="Tahoma" w:hAnsi="Tahoma" w:cs="Tahoma"/>
        </w:rPr>
      </w:pPr>
    </w:p>
    <w:p w14:paraId="144399F7" w14:textId="77777777" w:rsidR="00AE048F" w:rsidRDefault="002315D0" w:rsidP="002315D0">
      <w:pPr>
        <w:pStyle w:val="Default"/>
        <w:rPr>
          <w:rFonts w:ascii="Tahoma" w:hAnsi="Tahoma" w:cs="Tahoma"/>
        </w:rPr>
      </w:pPr>
      <w:r w:rsidRPr="002315D0">
        <w:rPr>
          <w:rFonts w:ascii="Tahoma" w:hAnsi="Tahoma" w:cs="Tahoma"/>
        </w:rPr>
        <w:t xml:space="preserve">Category I activities </w:t>
      </w:r>
      <w:r w:rsidR="00F21042" w:rsidRPr="00F21042">
        <w:rPr>
          <w:rFonts w:ascii="Tahoma" w:hAnsi="Tahoma" w:cs="Tahoma"/>
        </w:rPr>
        <w:t>support developing individual or regional retrofit concepts and investment plans</w:t>
      </w:r>
      <w:r w:rsidRPr="002315D0">
        <w:rPr>
          <w:rFonts w:ascii="Tahoma" w:hAnsi="Tahoma" w:cs="Tahoma"/>
        </w:rPr>
        <w:t>.</w:t>
      </w:r>
    </w:p>
    <w:p w14:paraId="2F02370A" w14:textId="0E37F877" w:rsidR="00804A9F" w:rsidRDefault="002315D0" w:rsidP="002315D0">
      <w:pPr>
        <w:pStyle w:val="Default"/>
        <w:rPr>
          <w:rFonts w:ascii="Tahoma" w:hAnsi="Tahoma" w:cs="Tahoma"/>
        </w:rPr>
      </w:pPr>
      <w:r w:rsidRPr="002315D0">
        <w:rPr>
          <w:rFonts w:ascii="Tahoma" w:hAnsi="Tahoma" w:cs="Tahoma"/>
        </w:rPr>
        <w:br/>
        <w:t xml:space="preserve">Category II </w:t>
      </w:r>
      <w:r w:rsidR="0002044B" w:rsidRPr="0002044B">
        <w:rPr>
          <w:rFonts w:ascii="Tahoma" w:hAnsi="Tahoma" w:cs="Tahoma"/>
        </w:rPr>
        <w:t>activities support final design, engineering, environmental studies and review, and construction of retrofits</w:t>
      </w:r>
      <w:r w:rsidR="0002044B">
        <w:rPr>
          <w:rFonts w:ascii="Tahoma" w:hAnsi="Tahoma" w:cs="Tahoma"/>
        </w:rPr>
        <w:t>.</w:t>
      </w:r>
    </w:p>
    <w:p w14:paraId="7AD71F47" w14:textId="77777777" w:rsidR="0002044B" w:rsidRDefault="0002044B" w:rsidP="002315D0">
      <w:pPr>
        <w:pStyle w:val="Default"/>
        <w:rPr>
          <w:rFonts w:ascii="Tahoma" w:hAnsi="Tahoma" w:cs="Tahoma"/>
        </w:rPr>
      </w:pPr>
    </w:p>
    <w:p w14:paraId="2496B560" w14:textId="5F7BAEF2" w:rsidR="002315D0" w:rsidRPr="002315D0" w:rsidRDefault="002315D0" w:rsidP="002315D0">
      <w:pPr>
        <w:pStyle w:val="Default"/>
        <w:rPr>
          <w:rFonts w:ascii="Tahoma" w:hAnsi="Tahoma" w:cs="Tahoma"/>
        </w:rPr>
      </w:pPr>
      <w:r w:rsidRPr="002315D0">
        <w:rPr>
          <w:rFonts w:ascii="Tahoma" w:hAnsi="Tahoma" w:cs="Tahoma"/>
        </w:rPr>
        <w:t>The CEC received</w:t>
      </w:r>
      <w:r w:rsidR="009404AE">
        <w:rPr>
          <w:rFonts w:ascii="Tahoma" w:hAnsi="Tahoma" w:cs="Tahoma"/>
        </w:rPr>
        <w:t xml:space="preserve"> thirteen</w:t>
      </w:r>
      <w:r w:rsidRPr="002315D0">
        <w:rPr>
          <w:rFonts w:ascii="Tahoma" w:hAnsi="Tahoma" w:cs="Tahoma"/>
        </w:rPr>
        <w:t xml:space="preserve"> proposals by the application deadline, December 20, 2024. Each proposal was screened</w:t>
      </w:r>
      <w:r w:rsidR="00230229">
        <w:rPr>
          <w:rFonts w:ascii="Tahoma" w:hAnsi="Tahoma" w:cs="Tahoma"/>
        </w:rPr>
        <w:t xml:space="preserve"> and those applications </w:t>
      </w:r>
      <w:r w:rsidR="00FC498F">
        <w:rPr>
          <w:rFonts w:ascii="Tahoma" w:hAnsi="Tahoma" w:cs="Tahoma"/>
        </w:rPr>
        <w:t xml:space="preserve">that passed </w:t>
      </w:r>
      <w:r w:rsidR="00A846AE">
        <w:rPr>
          <w:rFonts w:ascii="Tahoma" w:hAnsi="Tahoma" w:cs="Tahoma"/>
        </w:rPr>
        <w:t>scree</w:t>
      </w:r>
      <w:r w:rsidR="001146D8">
        <w:rPr>
          <w:rFonts w:ascii="Tahoma" w:hAnsi="Tahoma" w:cs="Tahoma"/>
        </w:rPr>
        <w:t>n</w:t>
      </w:r>
      <w:r w:rsidR="00A846AE">
        <w:rPr>
          <w:rFonts w:ascii="Tahoma" w:hAnsi="Tahoma" w:cs="Tahoma"/>
        </w:rPr>
        <w:t>ing</w:t>
      </w:r>
      <w:r w:rsidR="00435323">
        <w:rPr>
          <w:rFonts w:ascii="Tahoma" w:hAnsi="Tahoma" w:cs="Tahoma"/>
        </w:rPr>
        <w:t xml:space="preserve"> were</w:t>
      </w:r>
      <w:r w:rsidRPr="002315D0">
        <w:rPr>
          <w:rFonts w:ascii="Tahoma" w:hAnsi="Tahoma" w:cs="Tahoma"/>
        </w:rPr>
        <w:t xml:space="preserve"> reviewed, evaluated, and scored using the solicitation criteria. In Category I, three proposals passed the scoring evaluation process</w:t>
      </w:r>
      <w:r w:rsidR="00806CE9">
        <w:rPr>
          <w:rFonts w:ascii="Tahoma" w:hAnsi="Tahoma" w:cs="Tahoma"/>
        </w:rPr>
        <w:t xml:space="preserve"> totaling </w:t>
      </w:r>
      <w:r w:rsidR="00280D84">
        <w:rPr>
          <w:rFonts w:ascii="Tahoma" w:hAnsi="Tahoma" w:cs="Tahoma"/>
        </w:rPr>
        <w:t>$4,500,000</w:t>
      </w:r>
      <w:r w:rsidRPr="002315D0">
        <w:rPr>
          <w:rFonts w:ascii="Tahoma" w:hAnsi="Tahoma" w:cs="Tahoma"/>
        </w:rPr>
        <w:t>, leaving $3,</w:t>
      </w:r>
      <w:r w:rsidR="00D83D6B">
        <w:rPr>
          <w:rFonts w:ascii="Tahoma" w:hAnsi="Tahoma" w:cs="Tahoma"/>
        </w:rPr>
        <w:t>250</w:t>
      </w:r>
      <w:r w:rsidRPr="002315D0">
        <w:rPr>
          <w:rFonts w:ascii="Tahoma" w:hAnsi="Tahoma" w:cs="Tahoma"/>
        </w:rPr>
        <w:t>,000 in unused funds.</w:t>
      </w:r>
      <w:r w:rsidR="00036936">
        <w:rPr>
          <w:rFonts w:ascii="Tahoma" w:hAnsi="Tahoma" w:cs="Tahoma"/>
        </w:rPr>
        <w:t xml:space="preserve"> </w:t>
      </w:r>
      <w:r w:rsidRPr="002315D0">
        <w:rPr>
          <w:rFonts w:ascii="Tahoma" w:hAnsi="Tahoma" w:cs="Tahoma"/>
        </w:rPr>
        <w:t>These unused funds were reallocated to Category II, increasing the total funding available from $35,000,000 to $38,</w:t>
      </w:r>
      <w:r w:rsidR="00D83D6B">
        <w:rPr>
          <w:rFonts w:ascii="Tahoma" w:hAnsi="Tahoma" w:cs="Tahoma"/>
        </w:rPr>
        <w:t>250</w:t>
      </w:r>
      <w:r w:rsidRPr="002315D0">
        <w:rPr>
          <w:rFonts w:ascii="Tahoma" w:hAnsi="Tahoma" w:cs="Tahoma"/>
        </w:rPr>
        <w:t>,000.</w:t>
      </w:r>
    </w:p>
    <w:p w14:paraId="66CADC2E" w14:textId="77777777" w:rsidR="00036936" w:rsidRDefault="00036936" w:rsidP="002315D0">
      <w:pPr>
        <w:pStyle w:val="Default"/>
        <w:rPr>
          <w:rFonts w:ascii="Tahoma" w:hAnsi="Tahoma" w:cs="Tahoma"/>
        </w:rPr>
      </w:pPr>
    </w:p>
    <w:p w14:paraId="5F996F14" w14:textId="668E33CE" w:rsidR="009706C9" w:rsidRDefault="002315D0" w:rsidP="009706C9">
      <w:pPr>
        <w:pStyle w:val="Default"/>
        <w:rPr>
          <w:rFonts w:ascii="Tahoma" w:hAnsi="Tahoma" w:cs="Tahoma"/>
        </w:rPr>
      </w:pPr>
      <w:r w:rsidRPr="002315D0">
        <w:rPr>
          <w:rFonts w:ascii="Tahoma" w:hAnsi="Tahoma" w:cs="Tahoma"/>
        </w:rPr>
        <w:t>The attached NOPA identifies each applicant selected and recommended for funding by CEC staff, along with the recommended funding amounts and scores. The total amount recommended is $</w:t>
      </w:r>
      <w:r w:rsidR="005D2C5A">
        <w:rPr>
          <w:rFonts w:ascii="Tahoma" w:hAnsi="Tahoma" w:cs="Tahoma"/>
        </w:rPr>
        <w:t>42</w:t>
      </w:r>
      <w:r w:rsidRPr="002315D0">
        <w:rPr>
          <w:rFonts w:ascii="Tahoma" w:hAnsi="Tahoma" w:cs="Tahoma"/>
        </w:rPr>
        <w:t>,</w:t>
      </w:r>
      <w:r w:rsidR="005D2C5A">
        <w:rPr>
          <w:rFonts w:ascii="Tahoma" w:hAnsi="Tahoma" w:cs="Tahoma"/>
        </w:rPr>
        <w:t>750,000</w:t>
      </w:r>
      <w:r w:rsidRPr="002315D0">
        <w:rPr>
          <w:rFonts w:ascii="Tahoma" w:hAnsi="Tahoma" w:cs="Tahoma"/>
        </w:rPr>
        <w:t xml:space="preserve"> </w:t>
      </w:r>
      <w:r w:rsidR="00CB7264">
        <w:rPr>
          <w:rFonts w:ascii="Tahoma" w:hAnsi="Tahoma" w:cs="Tahoma"/>
        </w:rPr>
        <w:t>(</w:t>
      </w:r>
      <w:r w:rsidRPr="002315D0">
        <w:rPr>
          <w:rFonts w:ascii="Tahoma" w:hAnsi="Tahoma" w:cs="Tahoma"/>
        </w:rPr>
        <w:t>$</w:t>
      </w:r>
      <w:r w:rsidR="005D2C5A">
        <w:rPr>
          <w:rFonts w:ascii="Tahoma" w:hAnsi="Tahoma" w:cs="Tahoma"/>
        </w:rPr>
        <w:t>4,</w:t>
      </w:r>
      <w:r w:rsidR="00FE34E1">
        <w:rPr>
          <w:rFonts w:ascii="Tahoma" w:hAnsi="Tahoma" w:cs="Tahoma"/>
        </w:rPr>
        <w:t>500</w:t>
      </w:r>
      <w:r w:rsidR="005D2C5A">
        <w:rPr>
          <w:rFonts w:ascii="Tahoma" w:hAnsi="Tahoma" w:cs="Tahoma"/>
        </w:rPr>
        <w:t>,000</w:t>
      </w:r>
      <w:r w:rsidRPr="002315D0">
        <w:rPr>
          <w:rFonts w:ascii="Tahoma" w:hAnsi="Tahoma" w:cs="Tahoma"/>
        </w:rPr>
        <w:t xml:space="preserve"> for Category I and $</w:t>
      </w:r>
      <w:r w:rsidR="00B0604B">
        <w:rPr>
          <w:rFonts w:ascii="Tahoma" w:hAnsi="Tahoma" w:cs="Tahoma"/>
        </w:rPr>
        <w:t>38,</w:t>
      </w:r>
      <w:r w:rsidR="00A16765">
        <w:rPr>
          <w:rFonts w:ascii="Tahoma" w:hAnsi="Tahoma" w:cs="Tahoma"/>
        </w:rPr>
        <w:t>250</w:t>
      </w:r>
      <w:r w:rsidR="00B0604B">
        <w:rPr>
          <w:rFonts w:ascii="Tahoma" w:hAnsi="Tahoma" w:cs="Tahoma"/>
        </w:rPr>
        <w:t>,000</w:t>
      </w:r>
      <w:r w:rsidRPr="002315D0">
        <w:rPr>
          <w:rFonts w:ascii="Tahoma" w:hAnsi="Tahoma" w:cs="Tahoma"/>
        </w:rPr>
        <w:t xml:space="preserve"> for Category II</w:t>
      </w:r>
      <w:r w:rsidR="00CB7264">
        <w:rPr>
          <w:rFonts w:ascii="Tahoma" w:hAnsi="Tahoma" w:cs="Tahoma"/>
        </w:rPr>
        <w:t>)</w:t>
      </w:r>
      <w:r w:rsidR="00B0604B">
        <w:rPr>
          <w:rFonts w:ascii="Tahoma" w:hAnsi="Tahoma" w:cs="Tahoma"/>
        </w:rPr>
        <w:t>.</w:t>
      </w:r>
    </w:p>
    <w:p w14:paraId="1B9895A1" w14:textId="77777777" w:rsidR="00B0604B" w:rsidRPr="009706C9" w:rsidRDefault="00B0604B" w:rsidP="009706C9">
      <w:pPr>
        <w:pStyle w:val="Default"/>
        <w:rPr>
          <w:rFonts w:ascii="Tahoma" w:hAnsi="Tahoma" w:cs="Tahoma"/>
        </w:rPr>
      </w:pPr>
    </w:p>
    <w:p w14:paraId="72AE644A" w14:textId="7D0F4DB7" w:rsidR="009706C9" w:rsidRDefault="009706C9" w:rsidP="009706C9">
      <w:pPr>
        <w:pStyle w:val="Default"/>
        <w:rPr>
          <w:rFonts w:ascii="Tahoma" w:hAnsi="Tahoma" w:cs="Tahoma"/>
        </w:rPr>
      </w:pPr>
      <w:r w:rsidRPr="009706C9">
        <w:rPr>
          <w:rFonts w:ascii="Tahoma" w:hAnsi="Tahoma" w:cs="Tahoma"/>
        </w:rPr>
        <w:t xml:space="preserve">Funding of proposed projects from this solicitation is contingent upon the approval of these projects at a publicly noticed CEC business meeting and the execution of </w:t>
      </w:r>
      <w:r w:rsidR="00746345">
        <w:rPr>
          <w:rFonts w:ascii="Tahoma" w:hAnsi="Tahoma" w:cs="Tahoma"/>
        </w:rPr>
        <w:t xml:space="preserve">a </w:t>
      </w:r>
      <w:r w:rsidRPr="009706C9">
        <w:rPr>
          <w:rFonts w:ascii="Tahoma" w:hAnsi="Tahoma" w:cs="Tahoma"/>
        </w:rPr>
        <w:t xml:space="preserve">grant agreement. If the CEC is unable to timely negotiate and </w:t>
      </w:r>
      <w:r w:rsidRPr="009706C9">
        <w:rPr>
          <w:rFonts w:ascii="Tahoma" w:hAnsi="Tahoma" w:cs="Tahoma"/>
        </w:rPr>
        <w:lastRenderedPageBreak/>
        <w:t xml:space="preserve">execute a funding agreement with an applicant, the </w:t>
      </w:r>
      <w:r w:rsidR="001B72D4">
        <w:rPr>
          <w:rFonts w:ascii="Tahoma" w:hAnsi="Tahoma" w:cs="Tahoma"/>
        </w:rPr>
        <w:t>C</w:t>
      </w:r>
      <w:r w:rsidRPr="009706C9">
        <w:rPr>
          <w:rFonts w:ascii="Tahoma" w:hAnsi="Tahoma" w:cs="Tahoma"/>
        </w:rPr>
        <w:t>ommission, at its sole discretion, reserves the right to cancel or otherwise modify the pending award, and award the funds to another applicant.</w:t>
      </w:r>
    </w:p>
    <w:p w14:paraId="72DE092F" w14:textId="77777777" w:rsidR="009706C9" w:rsidRPr="009706C9" w:rsidRDefault="009706C9" w:rsidP="009706C9">
      <w:pPr>
        <w:pStyle w:val="Default"/>
        <w:rPr>
          <w:rFonts w:ascii="Tahoma" w:hAnsi="Tahoma" w:cs="Tahoma"/>
        </w:rPr>
      </w:pPr>
    </w:p>
    <w:p w14:paraId="30769401" w14:textId="37ED592E" w:rsidR="00710F09" w:rsidRPr="00710F09" w:rsidRDefault="009706C9" w:rsidP="00710F09">
      <w:pPr>
        <w:pStyle w:val="Default"/>
        <w:rPr>
          <w:rFonts w:ascii="Tahoma" w:hAnsi="Tahoma" w:cs="Tahoma"/>
        </w:rPr>
      </w:pPr>
      <w:r w:rsidRPr="009706C9">
        <w:rPr>
          <w:rFonts w:ascii="Tahoma" w:hAnsi="Tahoma" w:cs="Tahoma"/>
        </w:rPr>
        <w:t>In addition, the CEC reserves the right to: (1) allocate unspent funds to passing applications in rank order;</w:t>
      </w:r>
      <w:r w:rsidRPr="009706C9" w:rsidDel="007947A5">
        <w:rPr>
          <w:rFonts w:ascii="Tahoma" w:hAnsi="Tahoma" w:cs="Tahoma"/>
        </w:rPr>
        <w:t xml:space="preserve"> </w:t>
      </w:r>
      <w:r w:rsidRPr="009706C9">
        <w:rPr>
          <w:rFonts w:ascii="Tahoma" w:hAnsi="Tahoma" w:cs="Tahoma"/>
        </w:rPr>
        <w:t xml:space="preserve">(2) </w:t>
      </w:r>
      <w:r w:rsidR="00710F09" w:rsidRPr="00710F09">
        <w:rPr>
          <w:rFonts w:ascii="Tahoma" w:hAnsi="Tahoma" w:cs="Tahoma"/>
        </w:rPr>
        <w:t>Aggregate funds from multiple groups to fully fund the highest ranked passing application(s), regardless of group (if applicable); and</w:t>
      </w:r>
      <w:r w:rsidR="00710F09">
        <w:rPr>
          <w:rFonts w:ascii="Tahoma" w:hAnsi="Tahoma" w:cs="Tahoma"/>
        </w:rPr>
        <w:t xml:space="preserve"> </w:t>
      </w:r>
      <w:r w:rsidR="007947A5">
        <w:rPr>
          <w:rFonts w:ascii="Tahoma" w:hAnsi="Tahoma" w:cs="Tahoma"/>
        </w:rPr>
        <w:t xml:space="preserve">(3) </w:t>
      </w:r>
      <w:r w:rsidR="00710F09" w:rsidRPr="00710F09">
        <w:rPr>
          <w:rFonts w:ascii="Tahoma" w:hAnsi="Tahoma" w:cs="Tahoma"/>
        </w:rPr>
        <w:t>Negotiate with successful applicants to modify the project scope, schedule, project team entity that will receive the award, project location and/or level of funding.</w:t>
      </w:r>
    </w:p>
    <w:p w14:paraId="25AF4708" w14:textId="77777777" w:rsidR="00030A48" w:rsidRDefault="00030A48" w:rsidP="009706C9">
      <w:pPr>
        <w:pStyle w:val="Default"/>
        <w:rPr>
          <w:rFonts w:ascii="Tahoma" w:hAnsi="Tahoma" w:cs="Tahoma"/>
        </w:rPr>
      </w:pPr>
    </w:p>
    <w:p w14:paraId="166F0D1F" w14:textId="49217DE1" w:rsidR="00537618" w:rsidRPr="0094127E" w:rsidRDefault="009706C9" w:rsidP="009706C9">
      <w:pPr>
        <w:pStyle w:val="Default"/>
        <w:rPr>
          <w:rFonts w:ascii="Tahoma" w:hAnsi="Tahoma" w:cs="Tahoma"/>
        </w:rPr>
      </w:pPr>
      <w:r w:rsidRPr="009706C9">
        <w:rPr>
          <w:rFonts w:ascii="Tahoma" w:hAnsi="Tahoma" w:cs="Tahoma"/>
        </w:rPr>
        <w:t xml:space="preserve">This notice and the awardees for GFO-24-701 </w:t>
      </w:r>
      <w:r w:rsidR="00CB3E16">
        <w:rPr>
          <w:rFonts w:ascii="Tahoma" w:hAnsi="Tahoma" w:cs="Tahoma"/>
        </w:rPr>
        <w:t>are</w:t>
      </w:r>
      <w:r w:rsidRPr="009706C9">
        <w:rPr>
          <w:rFonts w:ascii="Tahoma" w:hAnsi="Tahoma" w:cs="Tahoma"/>
        </w:rPr>
        <w:t xml:space="preserve"> posted on the CEC’s website at </w:t>
      </w:r>
      <w:hyperlink r:id="rId11" w:history="1">
        <w:r w:rsidRPr="00E76A80">
          <w:rPr>
            <w:rStyle w:val="Hyperlink"/>
            <w:rFonts w:ascii="Tahoma" w:hAnsi="Tahoma" w:cs="Tahoma"/>
          </w:rPr>
          <w:t>https://www.energy.ca.gov/funding-opportunities/awards</w:t>
        </w:r>
      </w:hyperlink>
      <w:r w:rsidR="6C2203E9" w:rsidRPr="7843365C">
        <w:rPr>
          <w:rFonts w:ascii="Tahoma" w:hAnsi="Tahoma" w:cs="Tahoma"/>
          <w:color w:val="000000" w:themeColor="text1"/>
        </w:rPr>
        <w:t xml:space="preserve">. </w:t>
      </w:r>
    </w:p>
    <w:p w14:paraId="3D571DA7" w14:textId="77777777" w:rsidR="00537618" w:rsidRDefault="00537618" w:rsidP="00537618">
      <w:pPr>
        <w:rPr>
          <w:rFonts w:ascii="Tahoma" w:hAnsi="Tahoma" w:cs="Tahoma"/>
          <w:color w:val="000000"/>
        </w:rPr>
      </w:pPr>
    </w:p>
    <w:p w14:paraId="4A3296BD" w14:textId="77777777" w:rsidR="00241257" w:rsidRDefault="00241257" w:rsidP="00537618">
      <w:pPr>
        <w:rPr>
          <w:rFonts w:ascii="Tahoma" w:hAnsi="Tahoma" w:cs="Tahoma"/>
        </w:rPr>
      </w:pPr>
    </w:p>
    <w:p w14:paraId="709A49B2" w14:textId="77777777" w:rsidR="00633695" w:rsidRDefault="00633695" w:rsidP="00537618">
      <w:pPr>
        <w:rPr>
          <w:rFonts w:ascii="Tahoma" w:hAnsi="Tahoma" w:cs="Tahoma"/>
        </w:rPr>
      </w:pPr>
    </w:p>
    <w:p w14:paraId="52195CC5" w14:textId="79DB640D" w:rsidR="00537618" w:rsidRPr="00241257" w:rsidRDefault="00537618" w:rsidP="00537618">
      <w:pPr>
        <w:rPr>
          <w:rFonts w:ascii="Tahoma" w:hAnsi="Tahoma" w:cs="Tahoma"/>
        </w:rPr>
      </w:pPr>
      <w:r w:rsidRPr="00241257">
        <w:rPr>
          <w:rFonts w:ascii="Tahoma" w:hAnsi="Tahoma" w:cs="Tahoma"/>
        </w:rPr>
        <w:t>For information, please contact:</w:t>
      </w:r>
    </w:p>
    <w:p w14:paraId="3208C7E3" w14:textId="77777777" w:rsidR="00537618" w:rsidRPr="00241257" w:rsidRDefault="00537618" w:rsidP="00537618">
      <w:pPr>
        <w:jc w:val="center"/>
        <w:rPr>
          <w:rFonts w:ascii="Tahoma" w:hAnsi="Tahoma" w:cs="Tahoma"/>
        </w:rPr>
      </w:pPr>
    </w:p>
    <w:p w14:paraId="15E90C89" w14:textId="741114A8" w:rsidR="00537618" w:rsidRPr="00241257" w:rsidRDefault="0092460D" w:rsidP="0053761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Phil </w:t>
      </w:r>
      <w:r w:rsidRPr="28008BD3">
        <w:rPr>
          <w:rFonts w:ascii="Tahoma" w:hAnsi="Tahoma" w:cs="Tahoma"/>
        </w:rPr>
        <w:t>Dyer</w:t>
      </w:r>
      <w:r w:rsidR="6C2203E9" w:rsidRPr="00241257">
        <w:rPr>
          <w:rFonts w:ascii="Tahoma" w:hAnsi="Tahoma" w:cs="Tahoma"/>
        </w:rPr>
        <w:t>, Commission Agreement Officer</w:t>
      </w:r>
    </w:p>
    <w:p w14:paraId="290D1BA7" w14:textId="5A64ED32" w:rsidR="6C2203E9" w:rsidRDefault="6C2203E9" w:rsidP="7843365C">
      <w:pPr>
        <w:spacing w:line="259" w:lineRule="auto"/>
        <w:jc w:val="center"/>
        <w:rPr>
          <w:rFonts w:ascii="Tahoma" w:hAnsi="Tahoma" w:cs="Tahoma"/>
          <w:color w:val="0070C0"/>
        </w:rPr>
      </w:pPr>
      <w:r w:rsidRPr="7843365C">
        <w:rPr>
          <w:rFonts w:ascii="Tahoma" w:hAnsi="Tahoma" w:cs="Tahoma"/>
          <w:color w:val="000000" w:themeColor="text1"/>
        </w:rPr>
        <w:t xml:space="preserve">Email: </w:t>
      </w:r>
      <w:hyperlink r:id="rId12" w:history="1">
        <w:r w:rsidR="009117AA" w:rsidRPr="009117AA">
          <w:rPr>
            <w:rStyle w:val="Hyperlink"/>
            <w:rFonts w:ascii="Tahoma" w:hAnsi="Tahoma" w:cs="Tahoma"/>
          </w:rPr>
          <w:t>Phil.</w:t>
        </w:r>
        <w:r w:rsidR="009117AA" w:rsidRPr="28008BD3">
          <w:rPr>
            <w:rStyle w:val="Hyperlink"/>
            <w:rFonts w:ascii="Tahoma" w:hAnsi="Tahoma" w:cs="Tahoma"/>
          </w:rPr>
          <w:t>Dyer</w:t>
        </w:r>
        <w:r w:rsidR="009117AA" w:rsidRPr="009117AA">
          <w:rPr>
            <w:rStyle w:val="Hyperlink"/>
            <w:rFonts w:ascii="Tahoma" w:hAnsi="Tahoma" w:cs="Tahoma"/>
          </w:rPr>
          <w:t>@energy.ca.gov</w:t>
        </w:r>
      </w:hyperlink>
      <w:r w:rsidR="00241257">
        <w:rPr>
          <w:rFonts w:ascii="Tahoma" w:hAnsi="Tahoma" w:cs="Tahoma"/>
          <w:color w:val="0070C0"/>
        </w:rPr>
        <w:t xml:space="preserve"> </w:t>
      </w:r>
    </w:p>
    <w:sectPr w:rsidR="6C2203E9" w:rsidSect="002D11A5">
      <w:headerReference w:type="default" r:id="rId13"/>
      <w:headerReference w:type="first" r:id="rId14"/>
      <w:footerReference w:type="first" r:id="rId15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87E13" w14:textId="77777777" w:rsidR="00AE5CA8" w:rsidRDefault="00AE5CA8" w:rsidP="00F86D2B">
      <w:r>
        <w:separator/>
      </w:r>
    </w:p>
  </w:endnote>
  <w:endnote w:type="continuationSeparator" w:id="0">
    <w:p w14:paraId="76E07BFC" w14:textId="77777777" w:rsidR="00AE5CA8" w:rsidRDefault="00AE5CA8" w:rsidP="00F86D2B">
      <w:r>
        <w:continuationSeparator/>
      </w:r>
    </w:p>
  </w:endnote>
  <w:endnote w:type="continuationNotice" w:id="1">
    <w:p w14:paraId="592C3DA2" w14:textId="77777777" w:rsidR="00AE5CA8" w:rsidRDefault="00AE5C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6D02E" w14:textId="77777777" w:rsidR="00AE5CA8" w:rsidRDefault="00AE5CA8" w:rsidP="00F86D2B">
      <w:r>
        <w:separator/>
      </w:r>
    </w:p>
  </w:footnote>
  <w:footnote w:type="continuationSeparator" w:id="0">
    <w:p w14:paraId="5DF7C576" w14:textId="77777777" w:rsidR="00AE5CA8" w:rsidRDefault="00AE5CA8" w:rsidP="00F86D2B">
      <w:r>
        <w:continuationSeparator/>
      </w:r>
    </w:p>
  </w:footnote>
  <w:footnote w:type="continuationNotice" w:id="1">
    <w:p w14:paraId="2CF6E017" w14:textId="77777777" w:rsidR="00AE5CA8" w:rsidRDefault="00AE5C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D3A9F" wp14:editId="5751EF99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 descr="Heading banner with California Energy Commission Seal to the left, followed by “California Energy Commission.” To the right are two seals, the “State of California” and “California Natural Resources Agency.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eading banner with California Energy Commission Seal to the left, followed by “California Energy Commission.” To the right are two seals, the “State of California” and “California Natural Resources Agency.”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03B35"/>
    <w:rsid w:val="000051AE"/>
    <w:rsid w:val="00015969"/>
    <w:rsid w:val="0002044B"/>
    <w:rsid w:val="00020D91"/>
    <w:rsid w:val="000266D2"/>
    <w:rsid w:val="00027125"/>
    <w:rsid w:val="00030A48"/>
    <w:rsid w:val="00036936"/>
    <w:rsid w:val="000449A4"/>
    <w:rsid w:val="000510B4"/>
    <w:rsid w:val="000518E6"/>
    <w:rsid w:val="00053A16"/>
    <w:rsid w:val="000557AC"/>
    <w:rsid w:val="0007480B"/>
    <w:rsid w:val="000A318E"/>
    <w:rsid w:val="000B111A"/>
    <w:rsid w:val="000C49AA"/>
    <w:rsid w:val="000E3FCB"/>
    <w:rsid w:val="000E4519"/>
    <w:rsid w:val="000F0A22"/>
    <w:rsid w:val="000F179B"/>
    <w:rsid w:val="000F2A3B"/>
    <w:rsid w:val="00103DA7"/>
    <w:rsid w:val="001048E8"/>
    <w:rsid w:val="001146D8"/>
    <w:rsid w:val="00127CAA"/>
    <w:rsid w:val="00141737"/>
    <w:rsid w:val="0014731B"/>
    <w:rsid w:val="00151328"/>
    <w:rsid w:val="00154063"/>
    <w:rsid w:val="00171C10"/>
    <w:rsid w:val="00174A6B"/>
    <w:rsid w:val="00180020"/>
    <w:rsid w:val="00181FFA"/>
    <w:rsid w:val="001A4B81"/>
    <w:rsid w:val="001B72D4"/>
    <w:rsid w:val="001C3F6C"/>
    <w:rsid w:val="001D23D9"/>
    <w:rsid w:val="001E5778"/>
    <w:rsid w:val="001F62F3"/>
    <w:rsid w:val="001F6D62"/>
    <w:rsid w:val="002272C9"/>
    <w:rsid w:val="00230229"/>
    <w:rsid w:val="002315D0"/>
    <w:rsid w:val="00241257"/>
    <w:rsid w:val="00241F87"/>
    <w:rsid w:val="00245300"/>
    <w:rsid w:val="002456E6"/>
    <w:rsid w:val="002574FA"/>
    <w:rsid w:val="0026454D"/>
    <w:rsid w:val="002656CD"/>
    <w:rsid w:val="00274066"/>
    <w:rsid w:val="00280D84"/>
    <w:rsid w:val="00286B96"/>
    <w:rsid w:val="002A0C40"/>
    <w:rsid w:val="002A5F7A"/>
    <w:rsid w:val="002A7217"/>
    <w:rsid w:val="002D05C0"/>
    <w:rsid w:val="002D11A5"/>
    <w:rsid w:val="002D5227"/>
    <w:rsid w:val="002E60CE"/>
    <w:rsid w:val="00300FB1"/>
    <w:rsid w:val="00332F0B"/>
    <w:rsid w:val="00335D93"/>
    <w:rsid w:val="00354A2A"/>
    <w:rsid w:val="00355293"/>
    <w:rsid w:val="003750E6"/>
    <w:rsid w:val="00391F57"/>
    <w:rsid w:val="00394E5C"/>
    <w:rsid w:val="003E0D2D"/>
    <w:rsid w:val="003F30E1"/>
    <w:rsid w:val="003F4D4E"/>
    <w:rsid w:val="00415DE9"/>
    <w:rsid w:val="00430859"/>
    <w:rsid w:val="00435323"/>
    <w:rsid w:val="00437D5F"/>
    <w:rsid w:val="00447CB4"/>
    <w:rsid w:val="004504D5"/>
    <w:rsid w:val="00493526"/>
    <w:rsid w:val="00497C2A"/>
    <w:rsid w:val="004A1AAA"/>
    <w:rsid w:val="004A41BA"/>
    <w:rsid w:val="004A4C18"/>
    <w:rsid w:val="004A5083"/>
    <w:rsid w:val="004A679E"/>
    <w:rsid w:val="004A7C7A"/>
    <w:rsid w:val="004B28D9"/>
    <w:rsid w:val="004D128F"/>
    <w:rsid w:val="004D2905"/>
    <w:rsid w:val="0052412C"/>
    <w:rsid w:val="005243F9"/>
    <w:rsid w:val="00524EA9"/>
    <w:rsid w:val="00526564"/>
    <w:rsid w:val="00527817"/>
    <w:rsid w:val="005317F7"/>
    <w:rsid w:val="00537618"/>
    <w:rsid w:val="00552709"/>
    <w:rsid w:val="00552B0D"/>
    <w:rsid w:val="005568CA"/>
    <w:rsid w:val="00560FFC"/>
    <w:rsid w:val="00577D95"/>
    <w:rsid w:val="00583FAC"/>
    <w:rsid w:val="00593D11"/>
    <w:rsid w:val="005D2C5A"/>
    <w:rsid w:val="005E6FA2"/>
    <w:rsid w:val="005F64D9"/>
    <w:rsid w:val="006012FA"/>
    <w:rsid w:val="00610ECD"/>
    <w:rsid w:val="0062241D"/>
    <w:rsid w:val="00633695"/>
    <w:rsid w:val="00641A5B"/>
    <w:rsid w:val="00643C72"/>
    <w:rsid w:val="006511D6"/>
    <w:rsid w:val="00652F3A"/>
    <w:rsid w:val="00691EB8"/>
    <w:rsid w:val="006A0A7C"/>
    <w:rsid w:val="006A154E"/>
    <w:rsid w:val="006A288E"/>
    <w:rsid w:val="006A57AF"/>
    <w:rsid w:val="006B54D5"/>
    <w:rsid w:val="006C581B"/>
    <w:rsid w:val="006D3827"/>
    <w:rsid w:val="006E146A"/>
    <w:rsid w:val="006E1FCB"/>
    <w:rsid w:val="006F2119"/>
    <w:rsid w:val="00704570"/>
    <w:rsid w:val="007049FC"/>
    <w:rsid w:val="00707B21"/>
    <w:rsid w:val="00710F09"/>
    <w:rsid w:val="007134AE"/>
    <w:rsid w:val="007211FC"/>
    <w:rsid w:val="00737F87"/>
    <w:rsid w:val="00746345"/>
    <w:rsid w:val="007473E2"/>
    <w:rsid w:val="00751C0F"/>
    <w:rsid w:val="007558BC"/>
    <w:rsid w:val="0076047D"/>
    <w:rsid w:val="0076159C"/>
    <w:rsid w:val="00766A67"/>
    <w:rsid w:val="007707B8"/>
    <w:rsid w:val="0077265A"/>
    <w:rsid w:val="00777798"/>
    <w:rsid w:val="0078154A"/>
    <w:rsid w:val="00783717"/>
    <w:rsid w:val="007840F9"/>
    <w:rsid w:val="007947A5"/>
    <w:rsid w:val="007A13BB"/>
    <w:rsid w:val="007B33BE"/>
    <w:rsid w:val="007D49A4"/>
    <w:rsid w:val="0080096B"/>
    <w:rsid w:val="008042F8"/>
    <w:rsid w:val="00804A9F"/>
    <w:rsid w:val="00806CE9"/>
    <w:rsid w:val="00812545"/>
    <w:rsid w:val="0081533B"/>
    <w:rsid w:val="00844821"/>
    <w:rsid w:val="00846985"/>
    <w:rsid w:val="0085591F"/>
    <w:rsid w:val="0086012E"/>
    <w:rsid w:val="00882C34"/>
    <w:rsid w:val="00891290"/>
    <w:rsid w:val="008A40AB"/>
    <w:rsid w:val="008E0C99"/>
    <w:rsid w:val="008E1433"/>
    <w:rsid w:val="008E3926"/>
    <w:rsid w:val="008E4F33"/>
    <w:rsid w:val="008E7852"/>
    <w:rsid w:val="008F0455"/>
    <w:rsid w:val="009049A0"/>
    <w:rsid w:val="00904DC3"/>
    <w:rsid w:val="00910710"/>
    <w:rsid w:val="009117AA"/>
    <w:rsid w:val="009119B8"/>
    <w:rsid w:val="00923FF0"/>
    <w:rsid w:val="0092460D"/>
    <w:rsid w:val="0093648E"/>
    <w:rsid w:val="009404AE"/>
    <w:rsid w:val="009407F5"/>
    <w:rsid w:val="009706C9"/>
    <w:rsid w:val="009B3540"/>
    <w:rsid w:val="009B7618"/>
    <w:rsid w:val="009D25AC"/>
    <w:rsid w:val="009D51EA"/>
    <w:rsid w:val="009E0CEC"/>
    <w:rsid w:val="009E5E65"/>
    <w:rsid w:val="009E6C35"/>
    <w:rsid w:val="009E754B"/>
    <w:rsid w:val="009F2510"/>
    <w:rsid w:val="00A15FA8"/>
    <w:rsid w:val="00A16765"/>
    <w:rsid w:val="00A17202"/>
    <w:rsid w:val="00A3384C"/>
    <w:rsid w:val="00A35726"/>
    <w:rsid w:val="00A36CF5"/>
    <w:rsid w:val="00A371D3"/>
    <w:rsid w:val="00A73089"/>
    <w:rsid w:val="00A83D76"/>
    <w:rsid w:val="00A846AE"/>
    <w:rsid w:val="00A94B1F"/>
    <w:rsid w:val="00AA2E23"/>
    <w:rsid w:val="00AA69B9"/>
    <w:rsid w:val="00AB7B83"/>
    <w:rsid w:val="00AC6181"/>
    <w:rsid w:val="00AD0DDF"/>
    <w:rsid w:val="00AD21FC"/>
    <w:rsid w:val="00AD2B72"/>
    <w:rsid w:val="00AD5E20"/>
    <w:rsid w:val="00AE048F"/>
    <w:rsid w:val="00AE05B9"/>
    <w:rsid w:val="00AE5CA8"/>
    <w:rsid w:val="00B0604B"/>
    <w:rsid w:val="00B11733"/>
    <w:rsid w:val="00B12BA6"/>
    <w:rsid w:val="00B242CC"/>
    <w:rsid w:val="00B247A1"/>
    <w:rsid w:val="00B31726"/>
    <w:rsid w:val="00B34755"/>
    <w:rsid w:val="00B4612E"/>
    <w:rsid w:val="00B6079F"/>
    <w:rsid w:val="00B80E72"/>
    <w:rsid w:val="00B84D31"/>
    <w:rsid w:val="00B906E9"/>
    <w:rsid w:val="00BA1317"/>
    <w:rsid w:val="00BA39BA"/>
    <w:rsid w:val="00BA3F4C"/>
    <w:rsid w:val="00BB5DCD"/>
    <w:rsid w:val="00BC79D5"/>
    <w:rsid w:val="00BD0239"/>
    <w:rsid w:val="00BD1F3E"/>
    <w:rsid w:val="00BF0D08"/>
    <w:rsid w:val="00C03527"/>
    <w:rsid w:val="00C13B04"/>
    <w:rsid w:val="00C31703"/>
    <w:rsid w:val="00C34C8E"/>
    <w:rsid w:val="00C36093"/>
    <w:rsid w:val="00C40F52"/>
    <w:rsid w:val="00C45F58"/>
    <w:rsid w:val="00C50B8F"/>
    <w:rsid w:val="00C54C2D"/>
    <w:rsid w:val="00C564E5"/>
    <w:rsid w:val="00C67037"/>
    <w:rsid w:val="00C96BDD"/>
    <w:rsid w:val="00CA234A"/>
    <w:rsid w:val="00CA24EE"/>
    <w:rsid w:val="00CB3E16"/>
    <w:rsid w:val="00CB7264"/>
    <w:rsid w:val="00CD2BBD"/>
    <w:rsid w:val="00CF3ACE"/>
    <w:rsid w:val="00D04A37"/>
    <w:rsid w:val="00D22150"/>
    <w:rsid w:val="00D261AE"/>
    <w:rsid w:val="00D32C3D"/>
    <w:rsid w:val="00D431C2"/>
    <w:rsid w:val="00D43B83"/>
    <w:rsid w:val="00D46CF5"/>
    <w:rsid w:val="00D544BF"/>
    <w:rsid w:val="00D73DB8"/>
    <w:rsid w:val="00D80F21"/>
    <w:rsid w:val="00D83D6B"/>
    <w:rsid w:val="00D87257"/>
    <w:rsid w:val="00DC0F67"/>
    <w:rsid w:val="00DC7411"/>
    <w:rsid w:val="00DD2FE7"/>
    <w:rsid w:val="00DF1AF7"/>
    <w:rsid w:val="00E00EA6"/>
    <w:rsid w:val="00E043A5"/>
    <w:rsid w:val="00E06FC0"/>
    <w:rsid w:val="00E179F8"/>
    <w:rsid w:val="00E210F6"/>
    <w:rsid w:val="00E7306B"/>
    <w:rsid w:val="00E812F1"/>
    <w:rsid w:val="00E95AA9"/>
    <w:rsid w:val="00EA2CB8"/>
    <w:rsid w:val="00EA7BDE"/>
    <w:rsid w:val="00EB4011"/>
    <w:rsid w:val="00ED18F1"/>
    <w:rsid w:val="00ED5E43"/>
    <w:rsid w:val="00EE0BF2"/>
    <w:rsid w:val="00EF1410"/>
    <w:rsid w:val="00F047F8"/>
    <w:rsid w:val="00F10DFF"/>
    <w:rsid w:val="00F1315A"/>
    <w:rsid w:val="00F20158"/>
    <w:rsid w:val="00F21042"/>
    <w:rsid w:val="00F27523"/>
    <w:rsid w:val="00F31D20"/>
    <w:rsid w:val="00F36148"/>
    <w:rsid w:val="00F44459"/>
    <w:rsid w:val="00F70DE6"/>
    <w:rsid w:val="00F85A82"/>
    <w:rsid w:val="00F85F56"/>
    <w:rsid w:val="00F86D2B"/>
    <w:rsid w:val="00F90F6B"/>
    <w:rsid w:val="00F947AC"/>
    <w:rsid w:val="00F95D8D"/>
    <w:rsid w:val="00F967DF"/>
    <w:rsid w:val="00FA27EB"/>
    <w:rsid w:val="00FA5F81"/>
    <w:rsid w:val="00FB2AF3"/>
    <w:rsid w:val="00FB5D8B"/>
    <w:rsid w:val="00FB6F3B"/>
    <w:rsid w:val="00FC498F"/>
    <w:rsid w:val="00FD5CDF"/>
    <w:rsid w:val="00FE34E1"/>
    <w:rsid w:val="03B511EA"/>
    <w:rsid w:val="03C632F9"/>
    <w:rsid w:val="05344ED6"/>
    <w:rsid w:val="06FAC2AB"/>
    <w:rsid w:val="08D794E1"/>
    <w:rsid w:val="0A2EC41E"/>
    <w:rsid w:val="0A6F39CB"/>
    <w:rsid w:val="0A75C2F6"/>
    <w:rsid w:val="0C9D1D3D"/>
    <w:rsid w:val="0CDE3617"/>
    <w:rsid w:val="0DFF79AF"/>
    <w:rsid w:val="0E17974E"/>
    <w:rsid w:val="0E9FE579"/>
    <w:rsid w:val="15633F8D"/>
    <w:rsid w:val="173BF14D"/>
    <w:rsid w:val="1920FEE4"/>
    <w:rsid w:val="1BED3D6D"/>
    <w:rsid w:val="1DE95E16"/>
    <w:rsid w:val="209579DE"/>
    <w:rsid w:val="27F6775D"/>
    <w:rsid w:val="28008BD3"/>
    <w:rsid w:val="31027C95"/>
    <w:rsid w:val="31C29172"/>
    <w:rsid w:val="3214F299"/>
    <w:rsid w:val="32ABA57D"/>
    <w:rsid w:val="3403996D"/>
    <w:rsid w:val="357CB47A"/>
    <w:rsid w:val="43C3EC10"/>
    <w:rsid w:val="43F589A7"/>
    <w:rsid w:val="4B6ECC03"/>
    <w:rsid w:val="4BC76704"/>
    <w:rsid w:val="4CFF6B5B"/>
    <w:rsid w:val="4D5D6435"/>
    <w:rsid w:val="4E9C5BE2"/>
    <w:rsid w:val="4F7DC075"/>
    <w:rsid w:val="5295BA0E"/>
    <w:rsid w:val="53A47EA4"/>
    <w:rsid w:val="546D2F52"/>
    <w:rsid w:val="5817649B"/>
    <w:rsid w:val="6022DE34"/>
    <w:rsid w:val="64CB617F"/>
    <w:rsid w:val="64F840F7"/>
    <w:rsid w:val="657F6E78"/>
    <w:rsid w:val="67DEBF31"/>
    <w:rsid w:val="6C2203E9"/>
    <w:rsid w:val="6C67DC7E"/>
    <w:rsid w:val="6D05A7DF"/>
    <w:rsid w:val="6F767378"/>
    <w:rsid w:val="6FF80CD5"/>
    <w:rsid w:val="719F4704"/>
    <w:rsid w:val="71B0A66F"/>
    <w:rsid w:val="71D76895"/>
    <w:rsid w:val="7843365C"/>
    <w:rsid w:val="7B6ED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1779CE50-2FFA-419E-8863-D914466E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12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0F21"/>
  </w:style>
  <w:style w:type="character" w:styleId="CommentReference">
    <w:name w:val="annotation reference"/>
    <w:basedOn w:val="DefaultParagraphFont"/>
    <w:uiPriority w:val="99"/>
    <w:semiHidden/>
    <w:unhideWhenUsed/>
    <w:rsid w:val="00174A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4A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4A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A6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74A6B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10F0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hil.Dyer@energy.c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award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  <SharedWithUsers xmlns="5067c814-4b34-462c-a21d-c185ff6548d2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785685f2-c2e1-4352-89aa-3faca8eaba52"/>
    <ds:schemaRef ds:uri="5067c814-4b34-462c-a21d-c185ff6548d2"/>
  </ds:schemaRefs>
</ds:datastoreItem>
</file>

<file path=customXml/itemProps3.xml><?xml version="1.0" encoding="utf-8"?>
<ds:datastoreItem xmlns:ds="http://schemas.openxmlformats.org/officeDocument/2006/customXml" ds:itemID="{9929EB10-0A6A-42B2-B96E-F4CBE57B0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3065</CharactersWithSpaces>
  <SharedDoc>false</SharedDoc>
  <HLinks>
    <vt:vector size="12" baseType="variant">
      <vt:variant>
        <vt:i4>6750280</vt:i4>
      </vt:variant>
      <vt:variant>
        <vt:i4>3</vt:i4>
      </vt:variant>
      <vt:variant>
        <vt:i4>0</vt:i4>
      </vt:variant>
      <vt:variant>
        <vt:i4>5</vt:i4>
      </vt:variant>
      <vt:variant>
        <vt:lpwstr>mailto:Phil.Dyer@energy.ca.gov</vt:lpwstr>
      </vt:variant>
      <vt:variant>
        <vt:lpwstr/>
      </vt:variant>
      <vt:variant>
        <vt:i4>4128880</vt:i4>
      </vt:variant>
      <vt:variant>
        <vt:i4>0</vt:i4>
      </vt:variant>
      <vt:variant>
        <vt:i4>0</vt:i4>
      </vt:variant>
      <vt:variant>
        <vt:i4>5</vt:i4>
      </vt:variant>
      <vt:variant>
        <vt:lpwstr>https://www.energy.ca.gov/funding-opportunities/awards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Dyer, Phil@Energy</cp:lastModifiedBy>
  <cp:revision>3</cp:revision>
  <cp:lastPrinted>2019-04-08T16:38:00Z</cp:lastPrinted>
  <dcterms:created xsi:type="dcterms:W3CDTF">2025-03-07T18:45:00Z</dcterms:created>
  <dcterms:modified xsi:type="dcterms:W3CDTF">2025-03-07T18:45:00Z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1269300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