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F5D7B" w14:textId="6C7A2900" w:rsidR="00065941" w:rsidRPr="00065941" w:rsidRDefault="00065941" w:rsidP="3B0A4301">
      <w:pPr>
        <w:shd w:val="clear" w:color="auto" w:fill="FFFFFF" w:themeFill="background1"/>
        <w:spacing w:after="405" w:line="240" w:lineRule="auto"/>
        <w:jc w:val="center"/>
        <w:rPr>
          <w:rFonts w:ascii="Source Sans Pro" w:eastAsia="Times New Roman" w:hAnsi="Source Sans Pro" w:cs="Times New Roman"/>
          <w:b/>
          <w:bCs/>
          <w:color w:val="000000"/>
          <w:sz w:val="32"/>
          <w:szCs w:val="32"/>
          <w:u w:val="single"/>
        </w:rPr>
      </w:pPr>
      <w:r w:rsidRPr="1A37C2EA">
        <w:rPr>
          <w:rFonts w:ascii="Source Sans Pro" w:eastAsia="Times New Roman" w:hAnsi="Source Sans Pro" w:cs="Times New Roman"/>
          <w:b/>
          <w:bCs/>
          <w:color w:val="000000" w:themeColor="text1"/>
          <w:sz w:val="32"/>
          <w:szCs w:val="32"/>
          <w:u w:val="single"/>
        </w:rPr>
        <w:t>Sub</w:t>
      </w:r>
      <w:r w:rsidR="14EEC6DD" w:rsidRPr="1A37C2EA">
        <w:rPr>
          <w:rFonts w:ascii="Source Sans Pro" w:eastAsia="Times New Roman" w:hAnsi="Source Sans Pro" w:cs="Times New Roman"/>
          <w:b/>
          <w:bCs/>
          <w:color w:val="000000" w:themeColor="text1"/>
          <w:sz w:val="32"/>
          <w:szCs w:val="32"/>
          <w:u w:val="single"/>
        </w:rPr>
        <w:t>recipient</w:t>
      </w:r>
      <w:r w:rsidR="7017E032" w:rsidRPr="1A37C2EA">
        <w:rPr>
          <w:rFonts w:ascii="Source Sans Pro" w:eastAsia="Times New Roman" w:hAnsi="Source Sans Pro" w:cs="Times New Roman"/>
          <w:b/>
          <w:bCs/>
          <w:color w:val="000000" w:themeColor="text1"/>
          <w:sz w:val="32"/>
          <w:szCs w:val="32"/>
          <w:u w:val="single"/>
        </w:rPr>
        <w:t xml:space="preserve"> or </w:t>
      </w:r>
      <w:r w:rsidRPr="1A37C2EA">
        <w:rPr>
          <w:rFonts w:ascii="Source Sans Pro" w:eastAsia="Times New Roman" w:hAnsi="Source Sans Pro" w:cs="Times New Roman"/>
          <w:b/>
          <w:bCs/>
          <w:color w:val="000000" w:themeColor="text1"/>
          <w:sz w:val="32"/>
          <w:szCs w:val="32"/>
          <w:u w:val="single"/>
        </w:rPr>
        <w:t xml:space="preserve">Vendor </w:t>
      </w:r>
      <w:r w:rsidR="0308C431" w:rsidRPr="1A37C2EA">
        <w:rPr>
          <w:rFonts w:ascii="Source Sans Pro" w:eastAsia="Times New Roman" w:hAnsi="Source Sans Pro" w:cs="Times New Roman"/>
          <w:b/>
          <w:bCs/>
          <w:color w:val="000000" w:themeColor="text1"/>
          <w:sz w:val="32"/>
          <w:szCs w:val="32"/>
          <w:u w:val="single"/>
        </w:rPr>
        <w:t xml:space="preserve">Determination </w:t>
      </w:r>
      <w:r w:rsidRPr="1A37C2EA">
        <w:rPr>
          <w:rFonts w:ascii="Source Sans Pro" w:eastAsia="Times New Roman" w:hAnsi="Source Sans Pro" w:cs="Times New Roman"/>
          <w:b/>
          <w:bCs/>
          <w:color w:val="000000" w:themeColor="text1"/>
          <w:sz w:val="32"/>
          <w:szCs w:val="32"/>
          <w:u w:val="single"/>
        </w:rPr>
        <w:t>Form</w:t>
      </w:r>
    </w:p>
    <w:p w14:paraId="37E8974C" w14:textId="06838392" w:rsidR="00065941" w:rsidRPr="00065941" w:rsidRDefault="00065941" w:rsidP="7F510B96">
      <w:pPr>
        <w:shd w:val="clear" w:color="auto" w:fill="FFFFFF" w:themeFill="background1"/>
        <w:tabs>
          <w:tab w:val="left" w:pos="1080"/>
        </w:tabs>
        <w:spacing w:after="120" w:line="240" w:lineRule="auto"/>
        <w:ind w:left="1080" w:hanging="1080"/>
        <w:rPr>
          <w:rFonts w:ascii="Source Sans Pro" w:eastAsia="Times New Roman" w:hAnsi="Source Sans Pro" w:cs="Times New Roman"/>
          <w:color w:val="000000"/>
          <w:sz w:val="24"/>
          <w:szCs w:val="24"/>
        </w:rPr>
      </w:pPr>
      <w:r w:rsidRPr="1A37C2EA">
        <w:rPr>
          <w:rFonts w:ascii="Source Sans Pro" w:eastAsia="Times New Roman" w:hAnsi="Source Sans Pro" w:cs="Times New Roman"/>
          <w:b/>
          <w:bCs/>
          <w:color w:val="000000" w:themeColor="text1"/>
          <w:sz w:val="24"/>
          <w:szCs w:val="24"/>
          <w:u w:val="single"/>
        </w:rPr>
        <w:t>Purpose:</w:t>
      </w:r>
      <w:r>
        <w:tab/>
      </w:r>
      <w:r w:rsidR="688618C1" w:rsidRPr="1A37C2EA">
        <w:rPr>
          <w:rFonts w:ascii="Source Sans Pro" w:eastAsia="Times New Roman" w:hAnsi="Source Sans Pro" w:cs="Times New Roman"/>
          <w:color w:val="000000" w:themeColor="text1"/>
          <w:sz w:val="24"/>
          <w:szCs w:val="24"/>
        </w:rPr>
        <w:t xml:space="preserve">This is a dual </w:t>
      </w:r>
      <w:r w:rsidR="61EA18F5" w:rsidRPr="1A37C2EA">
        <w:rPr>
          <w:rFonts w:ascii="Source Sans Pro" w:eastAsia="Times New Roman" w:hAnsi="Source Sans Pro" w:cs="Times New Roman"/>
          <w:color w:val="000000" w:themeColor="text1"/>
          <w:sz w:val="24"/>
          <w:szCs w:val="24"/>
        </w:rPr>
        <w:t xml:space="preserve">purpose </w:t>
      </w:r>
      <w:r w:rsidR="688618C1" w:rsidRPr="1A37C2EA">
        <w:rPr>
          <w:rFonts w:ascii="Source Sans Pro" w:eastAsia="Times New Roman" w:hAnsi="Source Sans Pro" w:cs="Times New Roman"/>
          <w:color w:val="000000" w:themeColor="text1"/>
          <w:sz w:val="24"/>
          <w:szCs w:val="24"/>
        </w:rPr>
        <w:t>document, to be used during agreement development</w:t>
      </w:r>
      <w:r w:rsidR="593C47A6" w:rsidRPr="1A37C2EA">
        <w:rPr>
          <w:rFonts w:ascii="Source Sans Pro" w:eastAsia="Times New Roman" w:hAnsi="Source Sans Pro" w:cs="Times New Roman"/>
          <w:color w:val="000000" w:themeColor="text1"/>
          <w:sz w:val="24"/>
          <w:szCs w:val="24"/>
        </w:rPr>
        <w:t xml:space="preserve"> to determine if an entity should be classified as a subrecipient or a </w:t>
      </w:r>
      <w:proofErr w:type="gramStart"/>
      <w:r w:rsidR="593C47A6" w:rsidRPr="1A37C2EA">
        <w:rPr>
          <w:rFonts w:ascii="Source Sans Pro" w:eastAsia="Times New Roman" w:hAnsi="Source Sans Pro" w:cs="Times New Roman"/>
          <w:color w:val="000000" w:themeColor="text1"/>
          <w:sz w:val="24"/>
          <w:szCs w:val="24"/>
        </w:rPr>
        <w:t xml:space="preserve">vendor </w:t>
      </w:r>
      <w:r w:rsidR="17E5BC24" w:rsidRPr="1A37C2EA">
        <w:rPr>
          <w:rFonts w:ascii="Source Sans Pro" w:eastAsia="Times New Roman" w:hAnsi="Source Sans Pro" w:cs="Times New Roman"/>
          <w:color w:val="000000" w:themeColor="text1"/>
          <w:sz w:val="24"/>
          <w:szCs w:val="24"/>
        </w:rPr>
        <w:t xml:space="preserve"> or</w:t>
      </w:r>
      <w:proofErr w:type="gramEnd"/>
      <w:r w:rsidR="172930CC" w:rsidRPr="1A37C2EA">
        <w:rPr>
          <w:rFonts w:ascii="Source Sans Pro" w:eastAsia="Times New Roman" w:hAnsi="Source Sans Pro" w:cs="Times New Roman"/>
          <w:color w:val="000000" w:themeColor="text1"/>
          <w:sz w:val="24"/>
          <w:szCs w:val="24"/>
        </w:rPr>
        <w:t xml:space="preserve"> used</w:t>
      </w:r>
      <w:r w:rsidR="1F26CECE" w:rsidRPr="1A37C2EA">
        <w:rPr>
          <w:rFonts w:ascii="Source Sans Pro" w:eastAsia="Times New Roman" w:hAnsi="Source Sans Pro" w:cs="Times New Roman"/>
          <w:color w:val="000000" w:themeColor="text1"/>
          <w:sz w:val="24"/>
          <w:szCs w:val="24"/>
        </w:rPr>
        <w:t xml:space="preserve"> during the course of an agreement, </w:t>
      </w:r>
      <w:r w:rsidRPr="1A37C2EA">
        <w:rPr>
          <w:rFonts w:ascii="Source Sans Pro" w:eastAsia="Times New Roman" w:hAnsi="Source Sans Pro" w:cs="Times New Roman"/>
          <w:color w:val="000000" w:themeColor="text1"/>
          <w:sz w:val="24"/>
          <w:szCs w:val="24"/>
        </w:rPr>
        <w:t>when a Recipient would like to reclassify a subrecipient to a vendor under the new ECAMS policies.</w:t>
      </w:r>
    </w:p>
    <w:p w14:paraId="5BF3DBA4" w14:textId="74DC063F" w:rsidR="00F252EA" w:rsidRPr="00065941" w:rsidRDefault="00F252EA" w:rsidP="7F510B96">
      <w:pPr>
        <w:shd w:val="clear" w:color="auto" w:fill="FFFFFF" w:themeFill="background1"/>
        <w:spacing w:after="120" w:line="240" w:lineRule="auto"/>
        <w:rPr>
          <w:rFonts w:ascii="Source Sans Pro" w:eastAsia="Times New Roman" w:hAnsi="Source Sans Pro" w:cs="Times New Roman"/>
          <w:b/>
          <w:bCs/>
          <w:color w:val="000000"/>
          <w:sz w:val="24"/>
          <w:szCs w:val="24"/>
          <w:u w:val="single"/>
        </w:rPr>
      </w:pPr>
      <w:r w:rsidRPr="7F510B96">
        <w:rPr>
          <w:rFonts w:ascii="Source Sans Pro" w:eastAsia="Times New Roman" w:hAnsi="Source Sans Pro" w:cs="Times New Roman"/>
          <w:b/>
          <w:bCs/>
          <w:color w:val="000000" w:themeColor="text1"/>
          <w:sz w:val="24"/>
          <w:szCs w:val="24"/>
          <w:u w:val="single"/>
        </w:rPr>
        <w:t>Recipient Instructions:</w:t>
      </w:r>
    </w:p>
    <w:p w14:paraId="5922CA65" w14:textId="054AECC2" w:rsidR="00350C48" w:rsidRDefault="00F252EA" w:rsidP="1B4A14B5">
      <w:pPr>
        <w:shd w:val="clear" w:color="auto" w:fill="FFFFFF" w:themeFill="background1"/>
        <w:spacing w:after="120" w:line="240" w:lineRule="auto"/>
        <w:rPr>
          <w:rFonts w:ascii="Source Sans Pro" w:eastAsia="Times New Roman" w:hAnsi="Source Sans Pro" w:cs="Times New Roman"/>
          <w:sz w:val="24"/>
          <w:szCs w:val="24"/>
        </w:rPr>
      </w:pPr>
      <w:r w:rsidRPr="1A37C2EA">
        <w:rPr>
          <w:rFonts w:ascii="Source Sans Pro" w:eastAsia="Times New Roman" w:hAnsi="Source Sans Pro" w:cs="Times New Roman"/>
          <w:sz w:val="24"/>
          <w:szCs w:val="24"/>
        </w:rPr>
        <w:t>Using the definition</w:t>
      </w:r>
      <w:r w:rsidR="54C78DD4" w:rsidRPr="1A37C2EA">
        <w:rPr>
          <w:rFonts w:ascii="Source Sans Pro" w:eastAsia="Times New Roman" w:hAnsi="Source Sans Pro" w:cs="Times New Roman"/>
          <w:sz w:val="24"/>
          <w:szCs w:val="24"/>
        </w:rPr>
        <w:t>s</w:t>
      </w:r>
      <w:r w:rsidRPr="1A37C2EA">
        <w:rPr>
          <w:rFonts w:ascii="Source Sans Pro" w:eastAsia="Times New Roman" w:hAnsi="Source Sans Pro" w:cs="Times New Roman"/>
          <w:sz w:val="24"/>
          <w:szCs w:val="24"/>
        </w:rPr>
        <w:t xml:space="preserve"> and characteristics of subrecipients and vendors below, please provide a statement explaining why an entity </w:t>
      </w:r>
      <w:r w:rsidR="1838D9F1" w:rsidRPr="1A37C2EA">
        <w:rPr>
          <w:rFonts w:ascii="Source Sans Pro" w:eastAsia="Times New Roman" w:hAnsi="Source Sans Pro" w:cs="Times New Roman"/>
          <w:sz w:val="24"/>
          <w:szCs w:val="24"/>
        </w:rPr>
        <w:t>should be</w:t>
      </w:r>
      <w:r w:rsidRPr="1A37C2EA">
        <w:rPr>
          <w:rFonts w:ascii="Source Sans Pro" w:eastAsia="Times New Roman" w:hAnsi="Source Sans Pro" w:cs="Times New Roman"/>
          <w:sz w:val="24"/>
          <w:szCs w:val="24"/>
        </w:rPr>
        <w:t xml:space="preserve"> classified as a vendor</w:t>
      </w:r>
      <w:r w:rsidR="4CF89338" w:rsidRPr="1A37C2EA">
        <w:rPr>
          <w:rFonts w:ascii="Source Sans Pro" w:eastAsia="Times New Roman" w:hAnsi="Source Sans Pro" w:cs="Times New Roman"/>
          <w:sz w:val="24"/>
          <w:szCs w:val="24"/>
        </w:rPr>
        <w:t xml:space="preserve"> or a subrecipient</w:t>
      </w:r>
      <w:r w:rsidRPr="1A37C2EA">
        <w:rPr>
          <w:rFonts w:ascii="Source Sans Pro" w:eastAsia="Times New Roman" w:hAnsi="Source Sans Pro" w:cs="Times New Roman"/>
          <w:sz w:val="24"/>
          <w:szCs w:val="24"/>
        </w:rPr>
        <w:t xml:space="preserve">. </w:t>
      </w:r>
      <w:r w:rsidR="79069935" w:rsidRPr="1A37C2EA">
        <w:rPr>
          <w:rFonts w:ascii="Source Sans Pro" w:eastAsia="Times New Roman" w:hAnsi="Source Sans Pro" w:cs="Times New Roman"/>
          <w:sz w:val="24"/>
          <w:szCs w:val="24"/>
        </w:rPr>
        <w:t>If you’re classified as a vendor, y</w:t>
      </w:r>
      <w:r w:rsidRPr="1A37C2EA">
        <w:rPr>
          <w:rFonts w:ascii="Source Sans Pro" w:eastAsia="Times New Roman" w:hAnsi="Source Sans Pro" w:cs="Times New Roman"/>
          <w:sz w:val="24"/>
          <w:szCs w:val="24"/>
        </w:rPr>
        <w:t>ou must</w:t>
      </w:r>
      <w:r w:rsidR="1EEF52B9" w:rsidRPr="1A37C2EA">
        <w:rPr>
          <w:rFonts w:ascii="Source Sans Pro" w:eastAsia="Times New Roman" w:hAnsi="Source Sans Pro" w:cs="Times New Roman"/>
          <w:sz w:val="24"/>
          <w:szCs w:val="24"/>
        </w:rPr>
        <w:t xml:space="preserve"> certify the</w:t>
      </w:r>
      <w:r w:rsidRPr="1A37C2EA">
        <w:rPr>
          <w:rFonts w:ascii="Source Sans Pro" w:eastAsia="Times New Roman" w:hAnsi="Source Sans Pro" w:cs="Times New Roman"/>
          <w:sz w:val="24"/>
          <w:szCs w:val="24"/>
        </w:rPr>
        <w:t xml:space="preserve"> </w:t>
      </w:r>
      <w:r w:rsidR="00350C48" w:rsidRPr="1A37C2EA">
        <w:rPr>
          <w:rFonts w:ascii="Source Sans Pro" w:eastAsia="Times New Roman" w:hAnsi="Source Sans Pro" w:cs="Times New Roman"/>
          <w:sz w:val="24"/>
          <w:szCs w:val="24"/>
        </w:rPr>
        <w:t>vendor was selected through a competitive process</w:t>
      </w:r>
      <w:r w:rsidR="58F20528" w:rsidRPr="1A37C2EA">
        <w:rPr>
          <w:rFonts w:ascii="Source Sans Pro" w:eastAsia="Times New Roman" w:hAnsi="Source Sans Pro" w:cs="Times New Roman"/>
          <w:sz w:val="24"/>
          <w:szCs w:val="24"/>
        </w:rPr>
        <w:t>. If not competi</w:t>
      </w:r>
      <w:r w:rsidR="72B6F8BE" w:rsidRPr="1A37C2EA">
        <w:rPr>
          <w:rFonts w:ascii="Source Sans Pro" w:eastAsia="Times New Roman" w:hAnsi="Source Sans Pro" w:cs="Times New Roman"/>
          <w:sz w:val="24"/>
          <w:szCs w:val="24"/>
        </w:rPr>
        <w:t>ti</w:t>
      </w:r>
      <w:r w:rsidR="58F20528" w:rsidRPr="1A37C2EA">
        <w:rPr>
          <w:rFonts w:ascii="Source Sans Pro" w:eastAsia="Times New Roman" w:hAnsi="Source Sans Pro" w:cs="Times New Roman"/>
          <w:sz w:val="24"/>
          <w:szCs w:val="24"/>
        </w:rPr>
        <w:t xml:space="preserve">vely bid, </w:t>
      </w:r>
      <w:r w:rsidR="7496DA44" w:rsidRPr="1A37C2EA">
        <w:rPr>
          <w:rFonts w:ascii="Source Sans Pro" w:eastAsia="Times New Roman" w:hAnsi="Source Sans Pro" w:cs="Times New Roman"/>
          <w:sz w:val="24"/>
          <w:szCs w:val="24"/>
        </w:rPr>
        <w:t xml:space="preserve">please </w:t>
      </w:r>
      <w:r w:rsidR="00350C48" w:rsidRPr="1A37C2EA">
        <w:rPr>
          <w:rFonts w:ascii="Source Sans Pro" w:eastAsia="Times New Roman" w:hAnsi="Source Sans Pro" w:cs="Times New Roman"/>
          <w:sz w:val="24"/>
          <w:szCs w:val="24"/>
        </w:rPr>
        <w:t>provid</w:t>
      </w:r>
      <w:r w:rsidR="503FED9B" w:rsidRPr="1A37C2EA">
        <w:rPr>
          <w:rFonts w:ascii="Source Sans Pro" w:eastAsia="Times New Roman" w:hAnsi="Source Sans Pro" w:cs="Times New Roman"/>
          <w:sz w:val="24"/>
          <w:szCs w:val="24"/>
        </w:rPr>
        <w:t>e supporting documentation</w:t>
      </w:r>
      <w:r w:rsidR="6435A430" w:rsidRPr="1A37C2EA">
        <w:rPr>
          <w:rFonts w:ascii="Source Sans Pro" w:eastAsia="Times New Roman" w:hAnsi="Source Sans Pro" w:cs="Times New Roman"/>
          <w:sz w:val="24"/>
          <w:szCs w:val="24"/>
        </w:rPr>
        <w:t xml:space="preserve"> that</w:t>
      </w:r>
      <w:r w:rsidR="00350C48" w:rsidRPr="1A37C2EA">
        <w:rPr>
          <w:rFonts w:ascii="Source Sans Pro" w:eastAsia="Times New Roman" w:hAnsi="Source Sans Pro" w:cs="Times New Roman"/>
          <w:sz w:val="24"/>
          <w:szCs w:val="24"/>
        </w:rPr>
        <w:t xml:space="preserve"> </w:t>
      </w:r>
      <w:r w:rsidR="36DF0BDB" w:rsidRPr="1A37C2EA">
        <w:rPr>
          <w:rFonts w:ascii="Source Sans Pro" w:eastAsia="Times New Roman" w:hAnsi="Source Sans Pro" w:cs="Times New Roman"/>
          <w:sz w:val="24"/>
          <w:szCs w:val="24"/>
        </w:rPr>
        <w:t>the entity’s</w:t>
      </w:r>
      <w:r w:rsidR="00350C48" w:rsidRPr="1A37C2EA">
        <w:rPr>
          <w:rFonts w:ascii="Source Sans Pro" w:eastAsia="Times New Roman" w:hAnsi="Source Sans Pro" w:cs="Times New Roman"/>
          <w:sz w:val="24"/>
          <w:szCs w:val="24"/>
        </w:rPr>
        <w:t xml:space="preserve"> product or service </w:t>
      </w:r>
      <w:r w:rsidR="729DD061" w:rsidRPr="1A37C2EA">
        <w:rPr>
          <w:rFonts w:ascii="Source Sans Pro" w:eastAsia="Times New Roman" w:hAnsi="Source Sans Pro" w:cs="Times New Roman"/>
          <w:sz w:val="24"/>
          <w:szCs w:val="24"/>
        </w:rPr>
        <w:t xml:space="preserve">was </w:t>
      </w:r>
      <w:r w:rsidR="66CB20A3" w:rsidRPr="1A37C2EA">
        <w:rPr>
          <w:rFonts w:ascii="Source Sans Pro" w:eastAsia="Times New Roman" w:hAnsi="Source Sans Pro" w:cs="Times New Roman"/>
          <w:sz w:val="24"/>
          <w:szCs w:val="24"/>
        </w:rPr>
        <w:t xml:space="preserve">or will be </w:t>
      </w:r>
      <w:r w:rsidR="729DD061" w:rsidRPr="1A37C2EA">
        <w:rPr>
          <w:rFonts w:ascii="Source Sans Pro" w:eastAsia="Times New Roman" w:hAnsi="Source Sans Pro" w:cs="Times New Roman"/>
          <w:sz w:val="24"/>
          <w:szCs w:val="24"/>
        </w:rPr>
        <w:t>offered/sold at a</w:t>
      </w:r>
      <w:r w:rsidR="00350C48" w:rsidRPr="1A37C2EA">
        <w:rPr>
          <w:rFonts w:ascii="Source Sans Pro" w:eastAsia="Times New Roman" w:hAnsi="Source Sans Pro" w:cs="Times New Roman"/>
          <w:sz w:val="24"/>
          <w:szCs w:val="24"/>
        </w:rPr>
        <w:t xml:space="preserve"> fair and reasonable price. </w:t>
      </w:r>
      <w:r w:rsidR="42A95B61" w:rsidRPr="1A37C2EA">
        <w:rPr>
          <w:rFonts w:ascii="Source Sans Pro" w:eastAsia="Times New Roman" w:hAnsi="Source Sans Pro" w:cs="Times New Roman"/>
          <w:sz w:val="24"/>
          <w:szCs w:val="24"/>
        </w:rPr>
        <w:t>Supporting documentation may include links to the vendor</w:t>
      </w:r>
      <w:r w:rsidR="255E943D" w:rsidRPr="1A37C2EA">
        <w:rPr>
          <w:rFonts w:ascii="Source Sans Pro" w:eastAsia="Times New Roman" w:hAnsi="Source Sans Pro" w:cs="Times New Roman"/>
          <w:sz w:val="24"/>
          <w:szCs w:val="24"/>
        </w:rPr>
        <w:t>’</w:t>
      </w:r>
      <w:r w:rsidR="42A95B61" w:rsidRPr="1A37C2EA">
        <w:rPr>
          <w:rFonts w:ascii="Source Sans Pro" w:eastAsia="Times New Roman" w:hAnsi="Source Sans Pro" w:cs="Times New Roman"/>
          <w:sz w:val="24"/>
          <w:szCs w:val="24"/>
        </w:rPr>
        <w:t xml:space="preserve">s website showing products and pricing, written quotes from other entities bidding on the </w:t>
      </w:r>
      <w:proofErr w:type="gramStart"/>
      <w:r w:rsidR="3CBE9421" w:rsidRPr="1A37C2EA">
        <w:rPr>
          <w:rFonts w:ascii="Source Sans Pro" w:eastAsia="Times New Roman" w:hAnsi="Source Sans Pro" w:cs="Times New Roman"/>
          <w:sz w:val="24"/>
          <w:szCs w:val="24"/>
        </w:rPr>
        <w:t xml:space="preserve">project, </w:t>
      </w:r>
      <w:r w:rsidR="7D4E3AC3" w:rsidRPr="1A37C2EA">
        <w:rPr>
          <w:rFonts w:ascii="Source Sans Pro" w:eastAsia="Times New Roman" w:hAnsi="Source Sans Pro" w:cs="Times New Roman"/>
          <w:sz w:val="24"/>
          <w:szCs w:val="24"/>
        </w:rPr>
        <w:t xml:space="preserve"> </w:t>
      </w:r>
      <w:r w:rsidR="0C0C562C" w:rsidRPr="1A37C2EA">
        <w:rPr>
          <w:rFonts w:ascii="Source Sans Pro" w:eastAsia="Times New Roman" w:hAnsi="Source Sans Pro" w:cs="Times New Roman"/>
          <w:sz w:val="24"/>
          <w:szCs w:val="24"/>
        </w:rPr>
        <w:t>written</w:t>
      </w:r>
      <w:proofErr w:type="gramEnd"/>
      <w:r w:rsidR="0C0C562C" w:rsidRPr="1A37C2EA">
        <w:rPr>
          <w:rFonts w:ascii="Source Sans Pro" w:eastAsia="Times New Roman" w:hAnsi="Source Sans Pro" w:cs="Times New Roman"/>
          <w:sz w:val="24"/>
          <w:szCs w:val="24"/>
        </w:rPr>
        <w:t xml:space="preserve"> record of </w:t>
      </w:r>
      <w:r w:rsidR="7D4E3AC3" w:rsidRPr="1A37C2EA">
        <w:rPr>
          <w:rFonts w:ascii="Source Sans Pro" w:eastAsia="Times New Roman" w:hAnsi="Source Sans Pro" w:cs="Times New Roman"/>
          <w:sz w:val="24"/>
          <w:szCs w:val="24"/>
        </w:rPr>
        <w:t xml:space="preserve">verbal quotes (date, who </w:t>
      </w:r>
      <w:r w:rsidR="34828668" w:rsidRPr="1A37C2EA">
        <w:rPr>
          <w:rFonts w:ascii="Source Sans Pro" w:eastAsia="Times New Roman" w:hAnsi="Source Sans Pro" w:cs="Times New Roman"/>
          <w:sz w:val="24"/>
          <w:szCs w:val="24"/>
        </w:rPr>
        <w:t>made the call,</w:t>
      </w:r>
      <w:r w:rsidR="7D4E3AC3" w:rsidRPr="1A37C2EA">
        <w:rPr>
          <w:rFonts w:ascii="Source Sans Pro" w:eastAsia="Times New Roman" w:hAnsi="Source Sans Pro" w:cs="Times New Roman"/>
          <w:sz w:val="24"/>
          <w:szCs w:val="24"/>
        </w:rPr>
        <w:t xml:space="preserve"> entity name and phone number, price quoted)</w:t>
      </w:r>
      <w:r w:rsidR="7D4E3AC3" w:rsidRPr="1A37C2EA">
        <w:rPr>
          <w:rFonts w:ascii="Calibri" w:eastAsia="Calibri" w:hAnsi="Calibri" w:cs="Calibri"/>
          <w:color w:val="201F1E"/>
        </w:rPr>
        <w:t>,</w:t>
      </w:r>
      <w:r w:rsidR="7D4E3AC3" w:rsidRPr="1A37C2EA">
        <w:rPr>
          <w:rFonts w:ascii="Source Sans Pro" w:eastAsia="Times New Roman" w:hAnsi="Source Sans Pro" w:cs="Times New Roman"/>
          <w:sz w:val="24"/>
          <w:szCs w:val="24"/>
        </w:rPr>
        <w:t xml:space="preserve"> </w:t>
      </w:r>
      <w:r w:rsidR="264A69AA" w:rsidRPr="1A37C2EA">
        <w:rPr>
          <w:rFonts w:ascii="Source Sans Pro" w:eastAsia="Times New Roman" w:hAnsi="Source Sans Pro" w:cs="Times New Roman"/>
          <w:sz w:val="24"/>
          <w:szCs w:val="24"/>
        </w:rPr>
        <w:t xml:space="preserve">proof </w:t>
      </w:r>
      <w:r w:rsidR="62DCF893" w:rsidRPr="1A37C2EA">
        <w:rPr>
          <w:rFonts w:ascii="Source Sans Pro" w:eastAsia="Times New Roman" w:hAnsi="Source Sans Pro" w:cs="Times New Roman"/>
          <w:sz w:val="24"/>
          <w:szCs w:val="24"/>
        </w:rPr>
        <w:t xml:space="preserve">that </w:t>
      </w:r>
      <w:r w:rsidR="499D1729" w:rsidRPr="1A37C2EA">
        <w:rPr>
          <w:rFonts w:ascii="Source Sans Pro" w:eastAsia="Times New Roman" w:hAnsi="Source Sans Pro" w:cs="Times New Roman"/>
          <w:sz w:val="24"/>
          <w:szCs w:val="24"/>
        </w:rPr>
        <w:t>a request for qualifications was advertised</w:t>
      </w:r>
      <w:r w:rsidR="264A69AA" w:rsidRPr="1A37C2EA">
        <w:rPr>
          <w:rFonts w:ascii="Source Sans Pro" w:eastAsia="Times New Roman" w:hAnsi="Source Sans Pro" w:cs="Times New Roman"/>
          <w:sz w:val="24"/>
          <w:szCs w:val="24"/>
        </w:rPr>
        <w:t xml:space="preserve">, </w:t>
      </w:r>
      <w:r w:rsidR="3CBE9421" w:rsidRPr="1A37C2EA">
        <w:rPr>
          <w:rFonts w:ascii="Source Sans Pro" w:eastAsia="Times New Roman" w:hAnsi="Source Sans Pro" w:cs="Times New Roman"/>
          <w:sz w:val="24"/>
          <w:szCs w:val="24"/>
        </w:rPr>
        <w:t>or links to other vendors</w:t>
      </w:r>
      <w:r w:rsidR="398C8F60" w:rsidRPr="1A37C2EA">
        <w:rPr>
          <w:rFonts w:ascii="Source Sans Pro" w:eastAsia="Times New Roman" w:hAnsi="Source Sans Pro" w:cs="Times New Roman"/>
          <w:sz w:val="24"/>
          <w:szCs w:val="24"/>
        </w:rPr>
        <w:t>’</w:t>
      </w:r>
      <w:r w:rsidR="3CBE9421" w:rsidRPr="1A37C2EA">
        <w:rPr>
          <w:rFonts w:ascii="Source Sans Pro" w:eastAsia="Times New Roman" w:hAnsi="Source Sans Pro" w:cs="Times New Roman"/>
          <w:sz w:val="24"/>
          <w:szCs w:val="24"/>
        </w:rPr>
        <w:t xml:space="preserve"> websites showing products/prices</w:t>
      </w:r>
      <w:r w:rsidR="5A4B7179" w:rsidRPr="1A37C2EA">
        <w:rPr>
          <w:rFonts w:ascii="Source Sans Pro" w:eastAsia="Times New Roman" w:hAnsi="Source Sans Pro" w:cs="Times New Roman"/>
          <w:sz w:val="24"/>
          <w:szCs w:val="24"/>
        </w:rPr>
        <w:t>.</w:t>
      </w:r>
    </w:p>
    <w:p w14:paraId="5B2C98F4" w14:textId="545894DA" w:rsidR="3AABB2DE" w:rsidRDefault="3AABB2DE" w:rsidP="7F510B96">
      <w:pPr>
        <w:shd w:val="clear" w:color="auto" w:fill="FFFFFF" w:themeFill="background1"/>
        <w:spacing w:after="120" w:line="240" w:lineRule="auto"/>
        <w:rPr>
          <w:rFonts w:ascii="Source Sans Pro" w:eastAsia="Times New Roman" w:hAnsi="Source Sans Pro" w:cs="Times New Roman"/>
          <w:b/>
          <w:bCs/>
          <w:sz w:val="24"/>
          <w:szCs w:val="24"/>
          <w:u w:val="single"/>
        </w:rPr>
      </w:pPr>
      <w:r w:rsidRPr="7F510B96">
        <w:rPr>
          <w:rFonts w:ascii="Source Sans Pro" w:eastAsia="Times New Roman" w:hAnsi="Source Sans Pro" w:cs="Times New Roman"/>
          <w:b/>
          <w:bCs/>
          <w:sz w:val="24"/>
          <w:szCs w:val="24"/>
          <w:u w:val="single"/>
        </w:rPr>
        <w:t>Recipient’s Explanation:</w:t>
      </w:r>
    </w:p>
    <w:p w14:paraId="13D1AADF" w14:textId="4592A6E9" w:rsidR="3AABB2DE" w:rsidRDefault="3AABB2DE" w:rsidP="7F510B96">
      <w:pPr>
        <w:shd w:val="clear" w:color="auto" w:fill="FFFFFF" w:themeFill="background1"/>
        <w:spacing w:after="120" w:line="240" w:lineRule="auto"/>
        <w:rPr>
          <w:rFonts w:ascii="Source Sans Pro" w:eastAsia="Times New Roman" w:hAnsi="Source Sans Pro" w:cs="Times New Roman"/>
          <w:sz w:val="24"/>
          <w:szCs w:val="24"/>
          <w:u w:val="single"/>
        </w:rPr>
      </w:pPr>
      <w:r w:rsidRPr="7F510B96">
        <w:rPr>
          <w:rFonts w:ascii="Source Sans Pro" w:eastAsia="Times New Roman" w:hAnsi="Source Sans Pro" w:cs="Times New Roman"/>
          <w:sz w:val="24"/>
          <w:szCs w:val="24"/>
        </w:rPr>
        <w:t>[INSERT HERE]</w:t>
      </w:r>
    </w:p>
    <w:p w14:paraId="7C7FA093" w14:textId="6D35F73E" w:rsidR="00350C48" w:rsidRPr="00065941" w:rsidRDefault="00F252EA" w:rsidP="7F510B96">
      <w:pPr>
        <w:shd w:val="clear" w:color="auto" w:fill="FFFFFF" w:themeFill="background1"/>
        <w:spacing w:after="120" w:line="240" w:lineRule="auto"/>
        <w:rPr>
          <w:rFonts w:ascii="Source Sans Pro" w:eastAsia="Times New Roman" w:hAnsi="Source Sans Pro" w:cs="Times New Roman"/>
          <w:b/>
          <w:bCs/>
          <w:color w:val="000000"/>
          <w:sz w:val="24"/>
          <w:szCs w:val="24"/>
          <w:u w:val="single"/>
        </w:rPr>
      </w:pPr>
      <w:r w:rsidRPr="7F510B96">
        <w:rPr>
          <w:rFonts w:ascii="Source Sans Pro" w:eastAsia="Times New Roman" w:hAnsi="Source Sans Pro" w:cs="Times New Roman"/>
          <w:b/>
          <w:bCs/>
          <w:color w:val="000000" w:themeColor="text1"/>
          <w:sz w:val="24"/>
          <w:szCs w:val="24"/>
          <w:u w:val="single"/>
        </w:rPr>
        <w:t>CAM and Supervisor Instructions:</w:t>
      </w:r>
    </w:p>
    <w:p w14:paraId="4A5AFFBB" w14:textId="7C7F05B3" w:rsidR="00F252EA" w:rsidRDefault="00F252EA" w:rsidP="7F510B96">
      <w:pPr>
        <w:shd w:val="clear" w:color="auto" w:fill="FFFFFF" w:themeFill="background1"/>
        <w:spacing w:after="120" w:line="240" w:lineRule="auto"/>
        <w:rPr>
          <w:rFonts w:ascii="Source Sans Pro" w:eastAsia="Times New Roman" w:hAnsi="Source Sans Pro" w:cs="Times New Roman"/>
          <w:color w:val="000000"/>
          <w:sz w:val="24"/>
          <w:szCs w:val="24"/>
        </w:rPr>
      </w:pPr>
      <w:r w:rsidRPr="1A37C2EA">
        <w:rPr>
          <w:rFonts w:ascii="Source Sans Pro" w:eastAsia="Times New Roman" w:hAnsi="Source Sans Pro" w:cs="Times New Roman"/>
          <w:color w:val="000000" w:themeColor="text1"/>
          <w:sz w:val="24"/>
          <w:szCs w:val="24"/>
        </w:rPr>
        <w:t>Review the Recipient’s statement and determine if you concur with the classification. If you have questions about whether documentation establishes a competitive process or fair and reasonable price, please reach out to</w:t>
      </w:r>
      <w:r w:rsidR="5A6E78F8" w:rsidRPr="1A37C2EA">
        <w:rPr>
          <w:rFonts w:ascii="Source Sans Pro" w:eastAsia="Times New Roman" w:hAnsi="Source Sans Pro" w:cs="Times New Roman"/>
          <w:color w:val="000000" w:themeColor="text1"/>
          <w:sz w:val="24"/>
          <w:szCs w:val="24"/>
        </w:rPr>
        <w:t xml:space="preserve"> the Audits Team</w:t>
      </w:r>
      <w:r w:rsidRPr="1A37C2EA">
        <w:rPr>
          <w:rFonts w:ascii="Source Sans Pro" w:eastAsia="Times New Roman" w:hAnsi="Source Sans Pro" w:cs="Times New Roman"/>
          <w:color w:val="000000" w:themeColor="text1"/>
          <w:sz w:val="24"/>
          <w:szCs w:val="24"/>
        </w:rPr>
        <w:t xml:space="preserve">. </w:t>
      </w:r>
      <w:r w:rsidR="3D396DF5" w:rsidRPr="1A37C2EA">
        <w:rPr>
          <w:rFonts w:ascii="Source Sans Pro" w:eastAsia="Times New Roman" w:hAnsi="Source Sans Pro" w:cs="Times New Roman"/>
          <w:color w:val="000000" w:themeColor="text1"/>
          <w:sz w:val="24"/>
          <w:szCs w:val="24"/>
        </w:rPr>
        <w:t xml:space="preserve">For reclassifications, </w:t>
      </w:r>
      <w:r w:rsidR="4EA81D7D" w:rsidRPr="1A37C2EA">
        <w:rPr>
          <w:rFonts w:ascii="Source Sans Pro" w:eastAsia="Times New Roman" w:hAnsi="Source Sans Pro" w:cs="Times New Roman"/>
          <w:color w:val="000000" w:themeColor="text1"/>
          <w:sz w:val="24"/>
          <w:szCs w:val="24"/>
        </w:rPr>
        <w:t>i</w:t>
      </w:r>
      <w:r w:rsidRPr="1A37C2EA">
        <w:rPr>
          <w:rFonts w:ascii="Source Sans Pro" w:eastAsia="Times New Roman" w:hAnsi="Source Sans Pro" w:cs="Times New Roman"/>
          <w:color w:val="000000" w:themeColor="text1"/>
          <w:sz w:val="24"/>
          <w:szCs w:val="24"/>
        </w:rPr>
        <w:t xml:space="preserve">f approved, please forward this document to </w:t>
      </w:r>
      <w:hyperlink r:id="rId10">
        <w:r w:rsidRPr="1A37C2EA">
          <w:rPr>
            <w:rStyle w:val="Hyperlink"/>
            <w:rFonts w:ascii="Source Sans Pro" w:eastAsia="Times New Roman" w:hAnsi="Source Sans Pro" w:cs="Times New Roman"/>
            <w:sz w:val="24"/>
            <w:szCs w:val="24"/>
          </w:rPr>
          <w:t>CGLfiles@energy.ca.gov</w:t>
        </w:r>
      </w:hyperlink>
      <w:r w:rsidR="00065941" w:rsidRPr="1A37C2EA">
        <w:rPr>
          <w:rFonts w:ascii="Source Sans Pro" w:eastAsia="Times New Roman" w:hAnsi="Source Sans Pro" w:cs="Times New Roman"/>
          <w:color w:val="000000" w:themeColor="text1"/>
          <w:sz w:val="24"/>
          <w:szCs w:val="24"/>
        </w:rPr>
        <w:t xml:space="preserve"> per the Changes Chart</w:t>
      </w:r>
      <w:r w:rsidRPr="1A37C2EA">
        <w:rPr>
          <w:rFonts w:ascii="Source Sans Pro" w:eastAsia="Times New Roman" w:hAnsi="Source Sans Pro" w:cs="Times New Roman"/>
          <w:color w:val="000000" w:themeColor="text1"/>
          <w:sz w:val="24"/>
          <w:szCs w:val="24"/>
        </w:rPr>
        <w:t>.</w:t>
      </w:r>
    </w:p>
    <w:p w14:paraId="36C68F27" w14:textId="675A0C1C" w:rsidR="3B0A4301" w:rsidRDefault="3B0A4301" w:rsidP="3B0A4301">
      <w:pPr>
        <w:shd w:val="clear" w:color="auto" w:fill="FFFFFF" w:themeFill="background1"/>
        <w:spacing w:after="120" w:line="240" w:lineRule="auto"/>
        <w:rPr>
          <w:rFonts w:ascii="Source Sans Pro" w:eastAsia="Times New Roman" w:hAnsi="Source Sans Pro" w:cs="Times New Roman"/>
          <w:color w:val="000000" w:themeColor="text1"/>
          <w:sz w:val="24"/>
          <w:szCs w:val="24"/>
        </w:rPr>
      </w:pPr>
    </w:p>
    <w:p w14:paraId="2E58041B" w14:textId="0690592E" w:rsidR="00F252EA" w:rsidRPr="00F252EA" w:rsidRDefault="2CADB681" w:rsidP="7F510B96">
      <w:pPr>
        <w:shd w:val="clear" w:color="auto" w:fill="FFFFFF" w:themeFill="background1"/>
        <w:spacing w:after="120" w:line="240" w:lineRule="auto"/>
        <w:rPr>
          <w:rFonts w:ascii="Source Sans Pro" w:eastAsia="Times New Roman" w:hAnsi="Source Sans Pro" w:cs="Times New Roman"/>
          <w:color w:val="000000" w:themeColor="text1"/>
          <w:sz w:val="24"/>
          <w:szCs w:val="24"/>
        </w:rPr>
      </w:pPr>
      <w:r w:rsidRPr="7F510B96">
        <w:rPr>
          <w:rFonts w:ascii="Source Sans Pro" w:eastAsia="Times New Roman" w:hAnsi="Source Sans Pro" w:cs="Times New Roman"/>
          <w:color w:val="000000" w:themeColor="text1"/>
          <w:sz w:val="24"/>
          <w:szCs w:val="24"/>
        </w:rPr>
        <w:t>CAM Name: ___________________</w:t>
      </w:r>
      <w:r w:rsidR="00F252EA">
        <w:tab/>
      </w:r>
      <w:r w:rsidRPr="7F510B96">
        <w:rPr>
          <w:rFonts w:ascii="Source Sans Pro" w:eastAsia="Times New Roman" w:hAnsi="Source Sans Pro" w:cs="Times New Roman"/>
          <w:color w:val="000000" w:themeColor="text1"/>
          <w:sz w:val="24"/>
          <w:szCs w:val="24"/>
        </w:rPr>
        <w:t>Supervisor Name: ______________________</w:t>
      </w:r>
    </w:p>
    <w:p w14:paraId="72C59855" w14:textId="56918635" w:rsidR="00F252EA" w:rsidRPr="00F252EA" w:rsidRDefault="2CADB681" w:rsidP="7F510B96">
      <w:pPr>
        <w:shd w:val="clear" w:color="auto" w:fill="FFFFFF" w:themeFill="background1"/>
        <w:spacing w:after="120" w:line="240" w:lineRule="auto"/>
        <w:rPr>
          <w:rFonts w:ascii="Source Sans Pro" w:eastAsia="Times New Roman" w:hAnsi="Source Sans Pro" w:cs="Times New Roman"/>
          <w:color w:val="000000" w:themeColor="text1"/>
          <w:sz w:val="24"/>
          <w:szCs w:val="24"/>
        </w:rPr>
      </w:pPr>
      <w:r w:rsidRPr="7F510B96">
        <w:rPr>
          <w:rFonts w:ascii="Source Sans Pro" w:eastAsia="Times New Roman" w:hAnsi="Source Sans Pro" w:cs="Times New Roman"/>
          <w:color w:val="000000" w:themeColor="text1"/>
          <w:sz w:val="24"/>
          <w:szCs w:val="24"/>
        </w:rPr>
        <w:t>_</w:t>
      </w:r>
      <w:proofErr w:type="gramStart"/>
      <w:r w:rsidRPr="7F510B96">
        <w:rPr>
          <w:rFonts w:ascii="Source Sans Pro" w:eastAsia="Times New Roman" w:hAnsi="Source Sans Pro" w:cs="Times New Roman"/>
          <w:color w:val="000000" w:themeColor="text1"/>
          <w:sz w:val="24"/>
          <w:szCs w:val="24"/>
        </w:rPr>
        <w:t>_  Approved</w:t>
      </w:r>
      <w:proofErr w:type="gramEnd"/>
    </w:p>
    <w:p w14:paraId="2EFD1D3A" w14:textId="7C43D5C8" w:rsidR="00F252EA" w:rsidRPr="00F252EA" w:rsidRDefault="2CADB681" w:rsidP="7F510B96">
      <w:pPr>
        <w:shd w:val="clear" w:color="auto" w:fill="FFFFFF" w:themeFill="background1"/>
        <w:spacing w:after="120" w:line="240" w:lineRule="auto"/>
        <w:rPr>
          <w:rFonts w:ascii="Source Sans Pro" w:eastAsia="Times New Roman" w:hAnsi="Source Sans Pro" w:cs="Times New Roman"/>
          <w:color w:val="000000" w:themeColor="text1"/>
          <w:sz w:val="24"/>
          <w:szCs w:val="24"/>
        </w:rPr>
      </w:pPr>
      <w:r w:rsidRPr="7F510B96">
        <w:rPr>
          <w:rFonts w:ascii="Source Sans Pro" w:eastAsia="Times New Roman" w:hAnsi="Source Sans Pro" w:cs="Times New Roman"/>
          <w:color w:val="000000" w:themeColor="text1"/>
          <w:sz w:val="24"/>
          <w:szCs w:val="24"/>
        </w:rPr>
        <w:t>__ Not Approved</w:t>
      </w:r>
    </w:p>
    <w:p w14:paraId="51EC04D0" w14:textId="33E8E9D6" w:rsidR="00F252EA" w:rsidRPr="00F252EA" w:rsidRDefault="4018FF10" w:rsidP="7F510B96">
      <w:pPr>
        <w:shd w:val="clear" w:color="auto" w:fill="FFFFFF" w:themeFill="background1"/>
        <w:spacing w:after="120" w:line="240" w:lineRule="auto"/>
        <w:rPr>
          <w:rFonts w:ascii="Source Sans Pro" w:eastAsia="Times New Roman" w:hAnsi="Source Sans Pro" w:cs="Times New Roman"/>
          <w:color w:val="000000" w:themeColor="text1"/>
          <w:sz w:val="24"/>
          <w:szCs w:val="24"/>
        </w:rPr>
      </w:pPr>
      <w:r w:rsidRPr="7F510B96">
        <w:rPr>
          <w:rFonts w:ascii="Source Sans Pro" w:eastAsia="Times New Roman" w:hAnsi="Source Sans Pro" w:cs="Times New Roman"/>
          <w:color w:val="000000" w:themeColor="text1"/>
          <w:sz w:val="24"/>
          <w:szCs w:val="24"/>
        </w:rPr>
        <w:t>Date: ___________________</w:t>
      </w:r>
    </w:p>
    <w:p w14:paraId="42112E55" w14:textId="0F69D782" w:rsidR="00F252EA" w:rsidRPr="00F252EA" w:rsidRDefault="00F252EA" w:rsidP="7F510B96">
      <w:pPr>
        <w:spacing w:after="405" w:line="240" w:lineRule="auto"/>
        <w:jc w:val="center"/>
        <w:rPr>
          <w:rFonts w:ascii="Source Sans Pro" w:eastAsia="Times New Roman" w:hAnsi="Source Sans Pro" w:cs="Times New Roman"/>
          <w:b/>
          <w:bCs/>
          <w:color w:val="000000"/>
          <w:sz w:val="24"/>
          <w:szCs w:val="24"/>
        </w:rPr>
      </w:pPr>
      <w:r>
        <w:br w:type="page"/>
      </w:r>
      <w:r w:rsidRPr="7F510B96">
        <w:rPr>
          <w:rFonts w:ascii="Source Sans Pro" w:eastAsia="Times New Roman" w:hAnsi="Source Sans Pro" w:cs="Times New Roman"/>
          <w:b/>
          <w:bCs/>
          <w:color w:val="000000" w:themeColor="text1"/>
          <w:sz w:val="24"/>
          <w:szCs w:val="24"/>
        </w:rPr>
        <w:lastRenderedPageBreak/>
        <w:t>DEFINITIONS and CHARACTERISTICS</w:t>
      </w:r>
    </w:p>
    <w:p w14:paraId="719523CB" w14:textId="45E37520" w:rsidR="00350C48" w:rsidRPr="00350C48" w:rsidRDefault="00350C48" w:rsidP="7F510B96">
      <w:pPr>
        <w:shd w:val="clear" w:color="auto" w:fill="FFFFFF" w:themeFill="background1"/>
        <w:spacing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A </w:t>
      </w:r>
      <w:r w:rsidRPr="7F510B96">
        <w:rPr>
          <w:rFonts w:ascii="Source Sans Pro" w:eastAsia="Times New Roman" w:hAnsi="Source Sans Pro" w:cs="Times New Roman"/>
          <w:b/>
          <w:bCs/>
          <w:color w:val="000000" w:themeColor="text1"/>
          <w:sz w:val="24"/>
          <w:szCs w:val="24"/>
        </w:rPr>
        <w:t>subrecipient</w:t>
      </w:r>
      <w:r w:rsidRPr="7F510B96">
        <w:rPr>
          <w:rFonts w:ascii="Source Sans Pro" w:eastAsia="Times New Roman" w:hAnsi="Source Sans Pro" w:cs="Times New Roman"/>
          <w:color w:val="000000" w:themeColor="text1"/>
          <w:sz w:val="24"/>
          <w:szCs w:val="24"/>
        </w:rPr>
        <w:t> is defined as an entity that receives grant funds directly from the Recipient and is entrusted by the Recipient to make decisions about how to conduct some of the grant’s activities.  A Subrecipient’s role involves discretion over grant activities and is not merely just selling goods or services. </w:t>
      </w:r>
    </w:p>
    <w:p w14:paraId="018B07C1" w14:textId="77777777" w:rsidR="00350C48" w:rsidRPr="00350C48" w:rsidRDefault="00350C48" w:rsidP="7F510B96">
      <w:pPr>
        <w:shd w:val="clear" w:color="auto" w:fill="FFFFFF" w:themeFill="background1"/>
        <w:spacing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Characteristics which support the classification of the entity as a subrecipient include when the entity:</w:t>
      </w:r>
    </w:p>
    <w:p w14:paraId="4DB524E5" w14:textId="77777777" w:rsidR="00350C48" w:rsidRPr="00350C48" w:rsidRDefault="00350C48" w:rsidP="7F510B96">
      <w:pPr>
        <w:numPr>
          <w:ilvl w:val="0"/>
          <w:numId w:val="2"/>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 xml:space="preserve">Has its performance measured in relation to whether objectives of a CEC program were </w:t>
      </w:r>
      <w:proofErr w:type="gramStart"/>
      <w:r w:rsidRPr="7F510B96">
        <w:rPr>
          <w:rFonts w:ascii="Source Sans Pro" w:eastAsia="Times New Roman" w:hAnsi="Source Sans Pro" w:cs="Times New Roman"/>
          <w:color w:val="000000" w:themeColor="text1"/>
          <w:sz w:val="24"/>
          <w:szCs w:val="24"/>
        </w:rPr>
        <w:t>met;</w:t>
      </w:r>
      <w:proofErr w:type="gramEnd"/>
    </w:p>
    <w:p w14:paraId="39553E5C" w14:textId="77777777" w:rsidR="00350C48" w:rsidRPr="00350C48" w:rsidRDefault="00350C48" w:rsidP="7F510B96">
      <w:pPr>
        <w:numPr>
          <w:ilvl w:val="0"/>
          <w:numId w:val="2"/>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 xml:space="preserve">Has responsibility for programmatic </w:t>
      </w:r>
      <w:proofErr w:type="gramStart"/>
      <w:r w:rsidRPr="7F510B96">
        <w:rPr>
          <w:rFonts w:ascii="Source Sans Pro" w:eastAsia="Times New Roman" w:hAnsi="Source Sans Pro" w:cs="Times New Roman"/>
          <w:color w:val="000000" w:themeColor="text1"/>
          <w:sz w:val="24"/>
          <w:szCs w:val="24"/>
        </w:rPr>
        <w:t>decision-making;</w:t>
      </w:r>
      <w:proofErr w:type="gramEnd"/>
    </w:p>
    <w:p w14:paraId="16461435" w14:textId="77777777" w:rsidR="00350C48" w:rsidRPr="00350C48" w:rsidRDefault="00350C48" w:rsidP="7F510B96">
      <w:pPr>
        <w:numPr>
          <w:ilvl w:val="0"/>
          <w:numId w:val="2"/>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 xml:space="preserve">Is responsible for adherence to applicable CEC program requirements specified in the CEC award </w:t>
      </w:r>
      <w:proofErr w:type="gramStart"/>
      <w:r w:rsidRPr="7F510B96">
        <w:rPr>
          <w:rFonts w:ascii="Source Sans Pro" w:eastAsia="Times New Roman" w:hAnsi="Source Sans Pro" w:cs="Times New Roman"/>
          <w:color w:val="000000" w:themeColor="text1"/>
          <w:sz w:val="24"/>
          <w:szCs w:val="24"/>
        </w:rPr>
        <w:t>agreement;</w:t>
      </w:r>
      <w:proofErr w:type="gramEnd"/>
    </w:p>
    <w:p w14:paraId="1982055B" w14:textId="77777777" w:rsidR="00350C48" w:rsidRPr="00350C48" w:rsidRDefault="00350C48" w:rsidP="7F510B96">
      <w:pPr>
        <w:numPr>
          <w:ilvl w:val="0"/>
          <w:numId w:val="2"/>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In accordance with its agreement, uses the CEC funds to carry out a program for a public purpose specified in authorizing statute, as opposed to providing goods or services for the benefit of the recipient or sub-recipient; or,</w:t>
      </w:r>
    </w:p>
    <w:p w14:paraId="2C142E34" w14:textId="77777777" w:rsidR="00350C48" w:rsidRPr="00350C48" w:rsidRDefault="00350C48" w:rsidP="7F510B96">
      <w:pPr>
        <w:numPr>
          <w:ilvl w:val="0"/>
          <w:numId w:val="2"/>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Provides match share funding contributions to the CEC-funded project.</w:t>
      </w:r>
    </w:p>
    <w:p w14:paraId="1D3D58EF" w14:textId="77777777" w:rsidR="00350C48" w:rsidRPr="00350C48" w:rsidRDefault="00350C48" w:rsidP="7F510B96">
      <w:pPr>
        <w:shd w:val="clear" w:color="auto" w:fill="FFFFFF" w:themeFill="background1"/>
        <w:spacing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A </w:t>
      </w:r>
      <w:r w:rsidRPr="7F510B96">
        <w:rPr>
          <w:rFonts w:ascii="Source Sans Pro" w:eastAsia="Times New Roman" w:hAnsi="Source Sans Pro" w:cs="Times New Roman"/>
          <w:b/>
          <w:bCs/>
          <w:color w:val="000000" w:themeColor="text1"/>
          <w:sz w:val="24"/>
          <w:szCs w:val="24"/>
        </w:rPr>
        <w:t>sub-subrecipient </w:t>
      </w:r>
      <w:r w:rsidRPr="7F510B96">
        <w:rPr>
          <w:rFonts w:ascii="Source Sans Pro" w:eastAsia="Times New Roman" w:hAnsi="Source Sans Pro" w:cs="Times New Roman"/>
          <w:color w:val="000000" w:themeColor="text1"/>
          <w:sz w:val="24"/>
          <w:szCs w:val="24"/>
        </w:rPr>
        <w:t>has the same meaning as a subrecipient except that it receives grant funds from a subrecipient.  There can also be further levels below of sub-subrecipients. </w:t>
      </w:r>
    </w:p>
    <w:p w14:paraId="55898CB5" w14:textId="77777777" w:rsidR="00350C48" w:rsidRPr="00350C48" w:rsidRDefault="00350C48" w:rsidP="7F510B96">
      <w:pPr>
        <w:shd w:val="clear" w:color="auto" w:fill="FFFFFF" w:themeFill="background1"/>
        <w:spacing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A </w:t>
      </w:r>
      <w:r w:rsidRPr="7F510B96">
        <w:rPr>
          <w:rFonts w:ascii="Source Sans Pro" w:eastAsia="Times New Roman" w:hAnsi="Source Sans Pro" w:cs="Times New Roman"/>
          <w:b/>
          <w:bCs/>
          <w:color w:val="000000" w:themeColor="text1"/>
          <w:sz w:val="24"/>
          <w:szCs w:val="24"/>
        </w:rPr>
        <w:t>vendor</w:t>
      </w:r>
      <w:r w:rsidRPr="7F510B96">
        <w:rPr>
          <w:rFonts w:ascii="Source Sans Pro" w:eastAsia="Times New Roman" w:hAnsi="Source Sans Pro" w:cs="Times New Roman"/>
          <w:color w:val="000000" w:themeColor="text1"/>
          <w:sz w:val="24"/>
          <w:szCs w:val="24"/>
        </w:rPr>
        <w:t> is defined as a person or entity that sells goods or services to the Recipient, Subrecipient, or any layer of Sub-Subrecipient, in exchange for some of the grant funds, and does not make decisions about how to perform the grant’s activities. The Vendor’s role is ministerial and does not involve discretion over grant activities. A vendor is an entity selected through a competitive process or is otherwise providing a product or service at a fair and reasonable price. Characteristics indicative of a procurement relationship between the recipient or subrecipient and a vendor are when the vendor:</w:t>
      </w:r>
    </w:p>
    <w:p w14:paraId="18E7EB53" w14:textId="77777777" w:rsidR="00350C48" w:rsidRPr="00350C48" w:rsidRDefault="00350C48" w:rsidP="7F510B96">
      <w:pPr>
        <w:numPr>
          <w:ilvl w:val="0"/>
          <w:numId w:val="3"/>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 xml:space="preserve">Provides the goods and services within normal business </w:t>
      </w:r>
      <w:proofErr w:type="gramStart"/>
      <w:r w:rsidRPr="7F510B96">
        <w:rPr>
          <w:rFonts w:ascii="Source Sans Pro" w:eastAsia="Times New Roman" w:hAnsi="Source Sans Pro" w:cs="Times New Roman"/>
          <w:color w:val="000000" w:themeColor="text1"/>
          <w:sz w:val="24"/>
          <w:szCs w:val="24"/>
        </w:rPr>
        <w:t>operations;</w:t>
      </w:r>
      <w:proofErr w:type="gramEnd"/>
    </w:p>
    <w:p w14:paraId="143B9464" w14:textId="77777777" w:rsidR="00350C48" w:rsidRPr="00350C48" w:rsidRDefault="00350C48" w:rsidP="7F510B96">
      <w:pPr>
        <w:numPr>
          <w:ilvl w:val="0"/>
          <w:numId w:val="3"/>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 xml:space="preserve">Provides similar goods or services to many different </w:t>
      </w:r>
      <w:proofErr w:type="gramStart"/>
      <w:r w:rsidRPr="7F510B96">
        <w:rPr>
          <w:rFonts w:ascii="Source Sans Pro" w:eastAsia="Times New Roman" w:hAnsi="Source Sans Pro" w:cs="Times New Roman"/>
          <w:color w:val="000000" w:themeColor="text1"/>
          <w:sz w:val="24"/>
          <w:szCs w:val="24"/>
        </w:rPr>
        <w:t>purchasers;</w:t>
      </w:r>
      <w:proofErr w:type="gramEnd"/>
    </w:p>
    <w:p w14:paraId="4CB86D82" w14:textId="77777777" w:rsidR="00350C48" w:rsidRPr="00350C48" w:rsidRDefault="00350C48" w:rsidP="7F510B96">
      <w:pPr>
        <w:numPr>
          <w:ilvl w:val="0"/>
          <w:numId w:val="3"/>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 xml:space="preserve">Normally operates in a competitive </w:t>
      </w:r>
      <w:proofErr w:type="gramStart"/>
      <w:r w:rsidRPr="7F510B96">
        <w:rPr>
          <w:rFonts w:ascii="Source Sans Pro" w:eastAsia="Times New Roman" w:hAnsi="Source Sans Pro" w:cs="Times New Roman"/>
          <w:color w:val="000000" w:themeColor="text1"/>
          <w:sz w:val="24"/>
          <w:szCs w:val="24"/>
        </w:rPr>
        <w:t>environment;</w:t>
      </w:r>
      <w:proofErr w:type="gramEnd"/>
    </w:p>
    <w:p w14:paraId="5A4E025F" w14:textId="77777777" w:rsidR="00350C48" w:rsidRPr="00350C48" w:rsidRDefault="00350C48" w:rsidP="7F510B96">
      <w:pPr>
        <w:numPr>
          <w:ilvl w:val="0"/>
          <w:numId w:val="3"/>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Provides goods or services that are ancillary to the operation of the CEC program; and</w:t>
      </w:r>
    </w:p>
    <w:p w14:paraId="7DBDD0CC" w14:textId="77777777" w:rsidR="00350C48" w:rsidRPr="00350C48" w:rsidRDefault="00350C48" w:rsidP="7F510B96">
      <w:pPr>
        <w:numPr>
          <w:ilvl w:val="0"/>
          <w:numId w:val="3"/>
        </w:numPr>
        <w:shd w:val="clear" w:color="auto" w:fill="FFFFFF" w:themeFill="background1"/>
        <w:spacing w:before="100" w:beforeAutospacing="1"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 xml:space="preserve">may not be subject to compliance with </w:t>
      </w:r>
      <w:proofErr w:type="gramStart"/>
      <w:r w:rsidRPr="7F510B96">
        <w:rPr>
          <w:rFonts w:ascii="Source Sans Pro" w:eastAsia="Times New Roman" w:hAnsi="Source Sans Pro" w:cs="Times New Roman"/>
          <w:color w:val="000000" w:themeColor="text1"/>
          <w:sz w:val="24"/>
          <w:szCs w:val="24"/>
        </w:rPr>
        <w:t>all of</w:t>
      </w:r>
      <w:proofErr w:type="gramEnd"/>
      <w:r w:rsidRPr="7F510B96">
        <w:rPr>
          <w:rFonts w:ascii="Source Sans Pro" w:eastAsia="Times New Roman" w:hAnsi="Source Sans Pro" w:cs="Times New Roman"/>
          <w:color w:val="000000" w:themeColor="text1"/>
          <w:sz w:val="24"/>
          <w:szCs w:val="24"/>
        </w:rPr>
        <w:t xml:space="preserve"> the requirements of the CEC program as a result of the agreement, though similar requirements may apply for other reasons.</w:t>
      </w:r>
    </w:p>
    <w:p w14:paraId="76001D97" w14:textId="77777777" w:rsidR="00350C48" w:rsidRPr="00350C48" w:rsidRDefault="00350C48" w:rsidP="7F510B96">
      <w:pPr>
        <w:shd w:val="clear" w:color="auto" w:fill="FFFFFF" w:themeFill="background1"/>
        <w:spacing w:after="120" w:line="240" w:lineRule="auto"/>
        <w:outlineLvl w:val="2"/>
        <w:rPr>
          <w:rFonts w:ascii="Source Sans Pro" w:eastAsia="Times New Roman" w:hAnsi="Source Sans Pro" w:cs="Times New Roman"/>
          <w:b/>
          <w:bCs/>
          <w:caps/>
          <w:spacing w:val="12"/>
          <w:sz w:val="24"/>
          <w:szCs w:val="24"/>
        </w:rPr>
      </w:pPr>
      <w:r w:rsidRPr="7F510B96">
        <w:rPr>
          <w:rFonts w:ascii="Source Sans Pro" w:eastAsia="Times New Roman" w:hAnsi="Source Sans Pro" w:cs="Times New Roman"/>
          <w:b/>
          <w:bCs/>
          <w:caps/>
          <w:spacing w:val="12"/>
          <w:sz w:val="24"/>
          <w:szCs w:val="24"/>
        </w:rPr>
        <w:t>USE OF JUDGMENT IN MAKING DETERMINATION</w:t>
      </w:r>
    </w:p>
    <w:p w14:paraId="7D7C10E1" w14:textId="79F756A4" w:rsidR="00350C48" w:rsidRPr="00350C48" w:rsidRDefault="00350C48" w:rsidP="7F510B96">
      <w:pPr>
        <w:shd w:val="clear" w:color="auto" w:fill="FFFFFF" w:themeFill="background1"/>
        <w:spacing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 xml:space="preserve">In determining whether an agreement between a recipient or subrecipient and another entity casts the latter as a subrecipient or a vendor, the substance of the relationship is more important than the form of the agreement. </w:t>
      </w:r>
      <w:proofErr w:type="gramStart"/>
      <w:r w:rsidRPr="7F510B96">
        <w:rPr>
          <w:rFonts w:ascii="Source Sans Pro" w:eastAsia="Times New Roman" w:hAnsi="Source Sans Pro" w:cs="Times New Roman"/>
          <w:color w:val="000000" w:themeColor="text1"/>
          <w:sz w:val="24"/>
          <w:szCs w:val="24"/>
        </w:rPr>
        <w:t>All of</w:t>
      </w:r>
      <w:proofErr w:type="gramEnd"/>
      <w:r w:rsidRPr="7F510B96">
        <w:rPr>
          <w:rFonts w:ascii="Source Sans Pro" w:eastAsia="Times New Roman" w:hAnsi="Source Sans Pro" w:cs="Times New Roman"/>
          <w:color w:val="000000" w:themeColor="text1"/>
          <w:sz w:val="24"/>
          <w:szCs w:val="24"/>
        </w:rPr>
        <w:t xml:space="preserve"> the characteristics listed above may not be present in all cases, and the Recipient must use judgment in classifying each agreement as a subaward or a procurement contract. </w:t>
      </w:r>
    </w:p>
    <w:p w14:paraId="000E4176" w14:textId="31405DFE" w:rsidR="009D1AEF" w:rsidRPr="00350C48" w:rsidRDefault="00350C48" w:rsidP="7F510B96">
      <w:pPr>
        <w:shd w:val="clear" w:color="auto" w:fill="FFFFFF" w:themeFill="background1"/>
        <w:spacing w:after="120" w:line="240" w:lineRule="auto"/>
        <w:rPr>
          <w:rFonts w:ascii="Source Sans Pro" w:eastAsia="Times New Roman" w:hAnsi="Source Sans Pro" w:cs="Times New Roman"/>
          <w:color w:val="000000"/>
          <w:sz w:val="24"/>
          <w:szCs w:val="24"/>
        </w:rPr>
      </w:pPr>
      <w:r w:rsidRPr="7F510B96">
        <w:rPr>
          <w:rFonts w:ascii="Source Sans Pro" w:eastAsia="Times New Roman" w:hAnsi="Source Sans Pro" w:cs="Times New Roman"/>
          <w:color w:val="000000" w:themeColor="text1"/>
          <w:sz w:val="24"/>
          <w:szCs w:val="24"/>
        </w:rPr>
        <w:t>A recipient or subrecipient entity must make case-by-case determinations whether each agreement it makes for the disbursement of CEC program funds casts the party receiving the funds in the role of a subrecipient or a vendor. The CEC may supply and require recipients to comply with additional guidance to support these determinations. If there is a disagreement on whether an entity should be classified as a subrecipient or vendor, CEC retains ultimate discretion.</w:t>
      </w:r>
    </w:p>
    <w:sectPr w:rsidR="009D1AEF" w:rsidRPr="00350C48" w:rsidSect="002032E9">
      <w:headerReference w:type="default" r:id="rId11"/>
      <w:footerReference w:type="defaul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5465" w14:textId="77777777" w:rsidR="00284CA2" w:rsidRDefault="00284CA2" w:rsidP="00486A11">
      <w:pPr>
        <w:spacing w:after="0" w:line="240" w:lineRule="auto"/>
      </w:pPr>
      <w:r>
        <w:separator/>
      </w:r>
    </w:p>
  </w:endnote>
  <w:endnote w:type="continuationSeparator" w:id="0">
    <w:p w14:paraId="65E352BF" w14:textId="77777777" w:rsidR="00284CA2" w:rsidRDefault="00284CA2" w:rsidP="0048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CF39" w14:textId="04D3EF80" w:rsidR="3B0A4301" w:rsidRDefault="3B0A4301" w:rsidP="00E17EF0">
    <w:pPr>
      <w:pStyle w:val="Footer"/>
      <w:jc w:val="center"/>
    </w:pPr>
    <w:r>
      <w:fldChar w:fldCharType="begin"/>
    </w:r>
    <w:r>
      <w:instrText>PAGE</w:instrText>
    </w:r>
    <w:r>
      <w:fldChar w:fldCharType="separate"/>
    </w:r>
    <w:r w:rsidR="00E17EF0">
      <w:rPr>
        <w:noProof/>
      </w:rPr>
      <w:t>1</w:t>
    </w:r>
    <w:r>
      <w:fldChar w:fldCharType="end"/>
    </w:r>
  </w:p>
  <w:p w14:paraId="60E2785D" w14:textId="62A44F62" w:rsidR="00486A11" w:rsidRDefault="1A37C2EA">
    <w:pPr>
      <w:pStyle w:val="Footer"/>
    </w:pPr>
    <w:r>
      <w:t>Revised:  March 8,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F38E5" w14:textId="77777777" w:rsidR="00284CA2" w:rsidRDefault="00284CA2" w:rsidP="00486A11">
      <w:pPr>
        <w:spacing w:after="0" w:line="240" w:lineRule="auto"/>
      </w:pPr>
      <w:r>
        <w:separator/>
      </w:r>
    </w:p>
  </w:footnote>
  <w:footnote w:type="continuationSeparator" w:id="0">
    <w:p w14:paraId="4B682874" w14:textId="77777777" w:rsidR="00284CA2" w:rsidRDefault="00284CA2" w:rsidP="00486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B0A4301" w14:paraId="73F3B08B" w14:textId="77777777" w:rsidTr="00E17EF0">
      <w:trPr>
        <w:trHeight w:val="300"/>
      </w:trPr>
      <w:tc>
        <w:tcPr>
          <w:tcW w:w="3600" w:type="dxa"/>
        </w:tcPr>
        <w:p w14:paraId="71ECA0C8" w14:textId="4CAB7F9D" w:rsidR="3B0A4301" w:rsidRDefault="3B0A4301" w:rsidP="3B0A4301">
          <w:pPr>
            <w:pStyle w:val="Header"/>
            <w:ind w:left="-115"/>
          </w:pPr>
        </w:p>
      </w:tc>
      <w:tc>
        <w:tcPr>
          <w:tcW w:w="3600" w:type="dxa"/>
        </w:tcPr>
        <w:p w14:paraId="7AFC3694" w14:textId="0648D83E" w:rsidR="3B0A4301" w:rsidRDefault="3B0A4301" w:rsidP="3B0A4301">
          <w:pPr>
            <w:pStyle w:val="Header"/>
            <w:jc w:val="center"/>
          </w:pPr>
        </w:p>
      </w:tc>
      <w:tc>
        <w:tcPr>
          <w:tcW w:w="3600" w:type="dxa"/>
        </w:tcPr>
        <w:p w14:paraId="5B08FE9A" w14:textId="5CB1D340" w:rsidR="3B0A4301" w:rsidRDefault="3B0A4301" w:rsidP="3B0A4301">
          <w:pPr>
            <w:pStyle w:val="Header"/>
            <w:ind w:right="-115"/>
            <w:jc w:val="right"/>
          </w:pPr>
        </w:p>
      </w:tc>
    </w:tr>
  </w:tbl>
  <w:p w14:paraId="0C4EC2D5" w14:textId="07233464" w:rsidR="3B0A4301" w:rsidRDefault="3B0A4301" w:rsidP="3B0A4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87274"/>
    <w:multiLevelType w:val="multilevel"/>
    <w:tmpl w:val="36A24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C84F73"/>
    <w:multiLevelType w:val="multilevel"/>
    <w:tmpl w:val="8DF4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550FDF"/>
    <w:multiLevelType w:val="hybridMultilevel"/>
    <w:tmpl w:val="344A54DA"/>
    <w:lvl w:ilvl="0" w:tplc="89DC3F6A">
      <w:start w:val="1"/>
      <w:numFmt w:val="bullet"/>
      <w:lvlText w:val=""/>
      <w:lvlJc w:val="left"/>
      <w:pPr>
        <w:ind w:left="720" w:hanging="360"/>
      </w:pPr>
      <w:rPr>
        <w:rFonts w:ascii="Wingdings" w:hAnsi="Wingdings" w:hint="default"/>
      </w:rPr>
    </w:lvl>
    <w:lvl w:ilvl="1" w:tplc="50DC840E">
      <w:start w:val="1"/>
      <w:numFmt w:val="bullet"/>
      <w:lvlText w:val="o"/>
      <w:lvlJc w:val="left"/>
      <w:pPr>
        <w:ind w:left="1440" w:hanging="360"/>
      </w:pPr>
      <w:rPr>
        <w:rFonts w:ascii="Courier New" w:hAnsi="Courier New" w:hint="default"/>
      </w:rPr>
    </w:lvl>
    <w:lvl w:ilvl="2" w:tplc="71564CE8">
      <w:start w:val="1"/>
      <w:numFmt w:val="bullet"/>
      <w:lvlText w:val=""/>
      <w:lvlJc w:val="left"/>
      <w:pPr>
        <w:ind w:left="2160" w:hanging="360"/>
      </w:pPr>
      <w:rPr>
        <w:rFonts w:ascii="Wingdings" w:hAnsi="Wingdings" w:hint="default"/>
      </w:rPr>
    </w:lvl>
    <w:lvl w:ilvl="3" w:tplc="C978A5FC">
      <w:start w:val="1"/>
      <w:numFmt w:val="bullet"/>
      <w:lvlText w:val=""/>
      <w:lvlJc w:val="left"/>
      <w:pPr>
        <w:ind w:left="2880" w:hanging="360"/>
      </w:pPr>
      <w:rPr>
        <w:rFonts w:ascii="Symbol" w:hAnsi="Symbol" w:hint="default"/>
      </w:rPr>
    </w:lvl>
    <w:lvl w:ilvl="4" w:tplc="339AF124">
      <w:start w:val="1"/>
      <w:numFmt w:val="bullet"/>
      <w:lvlText w:val="o"/>
      <w:lvlJc w:val="left"/>
      <w:pPr>
        <w:ind w:left="3600" w:hanging="360"/>
      </w:pPr>
      <w:rPr>
        <w:rFonts w:ascii="Courier New" w:hAnsi="Courier New" w:hint="default"/>
      </w:rPr>
    </w:lvl>
    <w:lvl w:ilvl="5" w:tplc="953C9008">
      <w:start w:val="1"/>
      <w:numFmt w:val="bullet"/>
      <w:lvlText w:val=""/>
      <w:lvlJc w:val="left"/>
      <w:pPr>
        <w:ind w:left="4320" w:hanging="360"/>
      </w:pPr>
      <w:rPr>
        <w:rFonts w:ascii="Wingdings" w:hAnsi="Wingdings" w:hint="default"/>
      </w:rPr>
    </w:lvl>
    <w:lvl w:ilvl="6" w:tplc="F1BC77CE">
      <w:start w:val="1"/>
      <w:numFmt w:val="bullet"/>
      <w:lvlText w:val=""/>
      <w:lvlJc w:val="left"/>
      <w:pPr>
        <w:ind w:left="5040" w:hanging="360"/>
      </w:pPr>
      <w:rPr>
        <w:rFonts w:ascii="Symbol" w:hAnsi="Symbol" w:hint="default"/>
      </w:rPr>
    </w:lvl>
    <w:lvl w:ilvl="7" w:tplc="AD529CB8">
      <w:start w:val="1"/>
      <w:numFmt w:val="bullet"/>
      <w:lvlText w:val="o"/>
      <w:lvlJc w:val="left"/>
      <w:pPr>
        <w:ind w:left="5760" w:hanging="360"/>
      </w:pPr>
      <w:rPr>
        <w:rFonts w:ascii="Courier New" w:hAnsi="Courier New" w:hint="default"/>
      </w:rPr>
    </w:lvl>
    <w:lvl w:ilvl="8" w:tplc="C2CEE6C4">
      <w:start w:val="1"/>
      <w:numFmt w:val="bullet"/>
      <w:lvlText w:val=""/>
      <w:lvlJc w:val="left"/>
      <w:pPr>
        <w:ind w:left="6480" w:hanging="360"/>
      </w:pPr>
      <w:rPr>
        <w:rFonts w:ascii="Wingdings" w:hAnsi="Wingdings" w:hint="default"/>
      </w:rPr>
    </w:lvl>
  </w:abstractNum>
  <w:num w:numId="1" w16cid:durableId="2006588101">
    <w:abstractNumId w:val="2"/>
  </w:num>
  <w:num w:numId="2" w16cid:durableId="1710454302">
    <w:abstractNumId w:val="0"/>
  </w:num>
  <w:num w:numId="3" w16cid:durableId="168120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48"/>
    <w:rsid w:val="00065941"/>
    <w:rsid w:val="00067758"/>
    <w:rsid w:val="00141A9F"/>
    <w:rsid w:val="002032E9"/>
    <w:rsid w:val="00284CA2"/>
    <w:rsid w:val="00350C48"/>
    <w:rsid w:val="004020B7"/>
    <w:rsid w:val="0047347B"/>
    <w:rsid w:val="00486A11"/>
    <w:rsid w:val="0067008B"/>
    <w:rsid w:val="00737556"/>
    <w:rsid w:val="009D1AEF"/>
    <w:rsid w:val="009F4C21"/>
    <w:rsid w:val="00AE1F37"/>
    <w:rsid w:val="00B824B3"/>
    <w:rsid w:val="00E17EF0"/>
    <w:rsid w:val="00F16126"/>
    <w:rsid w:val="00F252EA"/>
    <w:rsid w:val="0308C431"/>
    <w:rsid w:val="032E9737"/>
    <w:rsid w:val="04CA6798"/>
    <w:rsid w:val="08B87A33"/>
    <w:rsid w:val="0C0C562C"/>
    <w:rsid w:val="0DA3F124"/>
    <w:rsid w:val="0EEA69C6"/>
    <w:rsid w:val="0F3465A3"/>
    <w:rsid w:val="12AA4A78"/>
    <w:rsid w:val="13EF9883"/>
    <w:rsid w:val="14EEC6DD"/>
    <w:rsid w:val="17206473"/>
    <w:rsid w:val="172930CC"/>
    <w:rsid w:val="1775730C"/>
    <w:rsid w:val="17E5BC24"/>
    <w:rsid w:val="1838D9F1"/>
    <w:rsid w:val="18E9394B"/>
    <w:rsid w:val="19C33FB7"/>
    <w:rsid w:val="1A37C2EA"/>
    <w:rsid w:val="1AAD13CE"/>
    <w:rsid w:val="1B4A14B5"/>
    <w:rsid w:val="1C0B309E"/>
    <w:rsid w:val="1EDEB8A2"/>
    <w:rsid w:val="1EEF52B9"/>
    <w:rsid w:val="1F26CECE"/>
    <w:rsid w:val="211C5552"/>
    <w:rsid w:val="2226F37B"/>
    <w:rsid w:val="227546AA"/>
    <w:rsid w:val="255E943D"/>
    <w:rsid w:val="25B82165"/>
    <w:rsid w:val="264A69AA"/>
    <w:rsid w:val="28E10F7E"/>
    <w:rsid w:val="29329881"/>
    <w:rsid w:val="2CADB681"/>
    <w:rsid w:val="302D7B52"/>
    <w:rsid w:val="313E9C0B"/>
    <w:rsid w:val="3170F745"/>
    <w:rsid w:val="343E99D7"/>
    <w:rsid w:val="34828668"/>
    <w:rsid w:val="365E2653"/>
    <w:rsid w:val="36CC1838"/>
    <w:rsid w:val="36DF0BDB"/>
    <w:rsid w:val="398C8F60"/>
    <w:rsid w:val="3AABB2DE"/>
    <w:rsid w:val="3B0A4301"/>
    <w:rsid w:val="3C42C4FD"/>
    <w:rsid w:val="3C474CC7"/>
    <w:rsid w:val="3CBE9421"/>
    <w:rsid w:val="3D396DF5"/>
    <w:rsid w:val="4018FF10"/>
    <w:rsid w:val="41920544"/>
    <w:rsid w:val="42A95B61"/>
    <w:rsid w:val="432DD5A5"/>
    <w:rsid w:val="47329D9C"/>
    <w:rsid w:val="499D1729"/>
    <w:rsid w:val="4B00ABE7"/>
    <w:rsid w:val="4B38E78A"/>
    <w:rsid w:val="4CF89338"/>
    <w:rsid w:val="4EA81D7D"/>
    <w:rsid w:val="503FED9B"/>
    <w:rsid w:val="539414B2"/>
    <w:rsid w:val="54C78DD4"/>
    <w:rsid w:val="555FC131"/>
    <w:rsid w:val="5880819F"/>
    <w:rsid w:val="58F20528"/>
    <w:rsid w:val="593C47A6"/>
    <w:rsid w:val="5A4B7179"/>
    <w:rsid w:val="5A6E78F8"/>
    <w:rsid w:val="5FFA666A"/>
    <w:rsid w:val="60693F9E"/>
    <w:rsid w:val="6116AC33"/>
    <w:rsid w:val="6125714A"/>
    <w:rsid w:val="61412832"/>
    <w:rsid w:val="61EA18F5"/>
    <w:rsid w:val="62DCF893"/>
    <w:rsid w:val="6435A430"/>
    <w:rsid w:val="647524C4"/>
    <w:rsid w:val="6683176D"/>
    <w:rsid w:val="66CB20A3"/>
    <w:rsid w:val="686C2C72"/>
    <w:rsid w:val="688618C1"/>
    <w:rsid w:val="6AAC2FFF"/>
    <w:rsid w:val="6B91DA6E"/>
    <w:rsid w:val="6BD18014"/>
    <w:rsid w:val="6E67F38B"/>
    <w:rsid w:val="6E71AA09"/>
    <w:rsid w:val="6EB143B0"/>
    <w:rsid w:val="6ED81936"/>
    <w:rsid w:val="6F44ECCF"/>
    <w:rsid w:val="7017E032"/>
    <w:rsid w:val="71B4481B"/>
    <w:rsid w:val="7250B410"/>
    <w:rsid w:val="729DD061"/>
    <w:rsid w:val="72B6F8BE"/>
    <w:rsid w:val="74345ACD"/>
    <w:rsid w:val="746B7BBD"/>
    <w:rsid w:val="7496DA44"/>
    <w:rsid w:val="75A59D58"/>
    <w:rsid w:val="767D5DDC"/>
    <w:rsid w:val="77F06299"/>
    <w:rsid w:val="7885712E"/>
    <w:rsid w:val="79069935"/>
    <w:rsid w:val="7B3BCA91"/>
    <w:rsid w:val="7BD1846E"/>
    <w:rsid w:val="7C196AD4"/>
    <w:rsid w:val="7D4E3AC3"/>
    <w:rsid w:val="7D503500"/>
    <w:rsid w:val="7F510B96"/>
    <w:rsid w:val="7F78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B745"/>
  <w15:chartTrackingRefBased/>
  <w15:docId w15:val="{D43B19B6-B998-44D4-ACA5-7EAD15B4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0C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0C4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0C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0C48"/>
    <w:rPr>
      <w:b/>
      <w:bCs/>
    </w:rPr>
  </w:style>
  <w:style w:type="character" w:styleId="Hyperlink">
    <w:name w:val="Hyperlink"/>
    <w:basedOn w:val="DefaultParagraphFont"/>
    <w:uiPriority w:val="99"/>
    <w:unhideWhenUsed/>
    <w:rsid w:val="00F252EA"/>
    <w:rPr>
      <w:color w:val="0563C1" w:themeColor="hyperlink"/>
      <w:u w:val="single"/>
    </w:rPr>
  </w:style>
  <w:style w:type="character" w:styleId="UnresolvedMention">
    <w:name w:val="Unresolved Mention"/>
    <w:basedOn w:val="DefaultParagraphFont"/>
    <w:uiPriority w:val="99"/>
    <w:semiHidden/>
    <w:unhideWhenUsed/>
    <w:rsid w:val="00F252EA"/>
    <w:rPr>
      <w:color w:val="605E5C"/>
      <w:shd w:val="clear" w:color="auto" w:fill="E1DFDD"/>
    </w:rPr>
  </w:style>
  <w:style w:type="character" w:styleId="CommentReference">
    <w:name w:val="annotation reference"/>
    <w:basedOn w:val="DefaultParagraphFont"/>
    <w:uiPriority w:val="99"/>
    <w:semiHidden/>
    <w:unhideWhenUsed/>
    <w:rsid w:val="00F16126"/>
    <w:rPr>
      <w:sz w:val="16"/>
      <w:szCs w:val="16"/>
    </w:rPr>
  </w:style>
  <w:style w:type="paragraph" w:styleId="CommentText">
    <w:name w:val="annotation text"/>
    <w:basedOn w:val="Normal"/>
    <w:link w:val="CommentTextChar"/>
    <w:uiPriority w:val="99"/>
    <w:semiHidden/>
    <w:unhideWhenUsed/>
    <w:rsid w:val="00F16126"/>
    <w:pPr>
      <w:spacing w:line="240" w:lineRule="auto"/>
    </w:pPr>
    <w:rPr>
      <w:sz w:val="20"/>
      <w:szCs w:val="20"/>
    </w:rPr>
  </w:style>
  <w:style w:type="character" w:customStyle="1" w:styleId="CommentTextChar">
    <w:name w:val="Comment Text Char"/>
    <w:basedOn w:val="DefaultParagraphFont"/>
    <w:link w:val="CommentText"/>
    <w:uiPriority w:val="99"/>
    <w:semiHidden/>
    <w:rsid w:val="00F16126"/>
    <w:rPr>
      <w:sz w:val="20"/>
      <w:szCs w:val="20"/>
    </w:rPr>
  </w:style>
  <w:style w:type="paragraph" w:styleId="CommentSubject">
    <w:name w:val="annotation subject"/>
    <w:basedOn w:val="CommentText"/>
    <w:next w:val="CommentText"/>
    <w:link w:val="CommentSubjectChar"/>
    <w:uiPriority w:val="99"/>
    <w:semiHidden/>
    <w:unhideWhenUsed/>
    <w:rsid w:val="00F16126"/>
    <w:rPr>
      <w:b/>
      <w:bCs/>
    </w:rPr>
  </w:style>
  <w:style w:type="character" w:customStyle="1" w:styleId="CommentSubjectChar">
    <w:name w:val="Comment Subject Char"/>
    <w:basedOn w:val="CommentTextChar"/>
    <w:link w:val="CommentSubject"/>
    <w:uiPriority w:val="99"/>
    <w:semiHidden/>
    <w:rsid w:val="00F16126"/>
    <w:rPr>
      <w:b/>
      <w:bCs/>
      <w:sz w:val="20"/>
      <w:szCs w:val="20"/>
    </w:rPr>
  </w:style>
  <w:style w:type="paragraph" w:styleId="Header">
    <w:name w:val="header"/>
    <w:basedOn w:val="Normal"/>
    <w:link w:val="HeaderChar"/>
    <w:uiPriority w:val="99"/>
    <w:unhideWhenUsed/>
    <w:rsid w:val="00486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A11"/>
  </w:style>
  <w:style w:type="paragraph" w:styleId="Footer">
    <w:name w:val="footer"/>
    <w:basedOn w:val="Normal"/>
    <w:link w:val="FooterChar"/>
    <w:uiPriority w:val="99"/>
    <w:unhideWhenUsed/>
    <w:rsid w:val="00486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A1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8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GLfiles@energy.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C24D825061844B34CD8AA8714EB1B" ma:contentTypeVersion="12" ma:contentTypeDescription="Create a new document." ma:contentTypeScope="" ma:versionID="f058cf3cccb8d4ac99a9ef6605ea139b">
  <xsd:schema xmlns:xsd="http://www.w3.org/2001/XMLSchema" xmlns:xs="http://www.w3.org/2001/XMLSchema" xmlns:p="http://schemas.microsoft.com/office/2006/metadata/properties" xmlns:ns2="8e9156d5-28d7-42fc-8897-9362f8f6a13a" xmlns:ns3="1c83770d-edcb-4e74-b796-c57b1ffde4ca" targetNamespace="http://schemas.microsoft.com/office/2006/metadata/properties" ma:root="true" ma:fieldsID="d30f5eb122ce2b15609dc79897c6af08" ns2:_="" ns3:_="">
    <xsd:import namespace="8e9156d5-28d7-42fc-8897-9362f8f6a13a"/>
    <xsd:import namespace="1c83770d-edcb-4e74-b796-c57b1ffde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156d5-28d7-42fc-8897-9362f8f6a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3770d-edcb-4e74-b796-c57b1ffde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5BDDC-A650-4DF7-90DC-B791C8154A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85F9F6-8846-49F5-9CE1-C62B3B5E7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156d5-28d7-42fc-8897-9362f8f6a13a"/>
    <ds:schemaRef ds:uri="1c83770d-edcb-4e74-b796-c57b1ffd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3B13F-6942-4CB1-AB57-2EB97B89E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Martin-Gallardo, Jennifer@Energy</dc:creator>
  <cp:keywords/>
  <dc:description/>
  <cp:lastModifiedBy>Okemiri, Nzube@Energy</cp:lastModifiedBy>
  <cp:revision>2</cp:revision>
  <dcterms:created xsi:type="dcterms:W3CDTF">2025-04-08T21:02:00Z</dcterms:created>
  <dcterms:modified xsi:type="dcterms:W3CDTF">2025-04-08T21:02:00Z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0x010100C6EC24D825061844B34CD8AA8714EB1B</vt:lpwstr>
  </property>
</Properties>
</file>