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0B02" w14:textId="54F16C15" w:rsidR="009614A1" w:rsidRPr="00B971D9" w:rsidRDefault="041E5A9D" w:rsidP="334C542C">
      <w:pPr>
        <w:spacing w:after="0" w:line="240" w:lineRule="auto"/>
        <w:ind w:left="720" w:hanging="720"/>
        <w:jc w:val="center"/>
        <w:rPr>
          <w:rFonts w:eastAsia="Tahoma" w:cs="Arial"/>
          <w:color w:val="000000" w:themeColor="text1"/>
        </w:rPr>
      </w:pPr>
      <w:r w:rsidRPr="00B971D9">
        <w:rPr>
          <w:rFonts w:eastAsia="Tahoma" w:cs="Arial"/>
          <w:b/>
          <w:bCs/>
          <w:color w:val="000000" w:themeColor="text1"/>
        </w:rPr>
        <w:t>Questions and Answers</w:t>
      </w:r>
    </w:p>
    <w:p w14:paraId="3FCE31B2" w14:textId="300C89E4" w:rsidR="62685DA9" w:rsidRDefault="62685DA9" w:rsidP="00EC1540">
      <w:pPr>
        <w:spacing w:after="0" w:line="240" w:lineRule="auto"/>
        <w:ind w:left="720" w:hanging="720"/>
        <w:jc w:val="center"/>
        <w:rPr>
          <w:rFonts w:eastAsia="Tahoma" w:cs="Arial"/>
          <w:b/>
          <w:bCs/>
          <w:color w:val="000000" w:themeColor="text1"/>
        </w:rPr>
      </w:pPr>
      <w:r w:rsidRPr="00EC1540">
        <w:rPr>
          <w:rFonts w:eastAsia="Tahoma" w:cs="Arial"/>
          <w:b/>
          <w:bCs/>
          <w:color w:val="000000" w:themeColor="text1"/>
        </w:rPr>
        <w:t>Rural Electric Vehicle Charging 2.0 (REV 2.0)</w:t>
      </w:r>
    </w:p>
    <w:p w14:paraId="50394BD7" w14:textId="237033B1" w:rsidR="009614A1" w:rsidRPr="00B971D9" w:rsidRDefault="041E5A9D" w:rsidP="334C542C">
      <w:pPr>
        <w:spacing w:after="0" w:line="240" w:lineRule="auto"/>
        <w:ind w:left="720" w:hanging="720"/>
        <w:jc w:val="center"/>
        <w:rPr>
          <w:rFonts w:eastAsia="Tahoma" w:cs="Arial"/>
          <w:color w:val="000000" w:themeColor="text1"/>
        </w:rPr>
      </w:pPr>
      <w:r w:rsidRPr="00EC1540">
        <w:rPr>
          <w:rFonts w:eastAsia="Tahoma" w:cs="Arial"/>
          <w:b/>
          <w:bCs/>
          <w:color w:val="000000" w:themeColor="text1"/>
        </w:rPr>
        <w:t>GFO-24</w:t>
      </w:r>
      <w:r w:rsidR="25C8774E" w:rsidRPr="00EC1540">
        <w:rPr>
          <w:rFonts w:eastAsia="Tahoma" w:cs="Arial"/>
          <w:b/>
          <w:bCs/>
          <w:color w:val="000000" w:themeColor="text1"/>
        </w:rPr>
        <w:t>-608</w:t>
      </w:r>
    </w:p>
    <w:p w14:paraId="73530594" w14:textId="41FBF541" w:rsidR="66F84309" w:rsidRPr="00B971D9" w:rsidRDefault="6963BCF6" w:rsidP="334C542C">
      <w:pPr>
        <w:spacing w:after="0" w:line="240" w:lineRule="auto"/>
        <w:ind w:left="720" w:hanging="720"/>
        <w:jc w:val="center"/>
        <w:rPr>
          <w:rFonts w:eastAsia="Tahoma" w:cs="Arial"/>
          <w:b/>
          <w:bCs/>
          <w:color w:val="000000" w:themeColor="text1"/>
        </w:rPr>
      </w:pPr>
      <w:r w:rsidRPr="6738EB49">
        <w:rPr>
          <w:rFonts w:eastAsia="Tahoma" w:cs="Arial"/>
          <w:b/>
          <w:bCs/>
          <w:color w:val="000000" w:themeColor="text1"/>
        </w:rPr>
        <w:t>May</w:t>
      </w:r>
      <w:r w:rsidR="25C8774E" w:rsidRPr="6738EB49">
        <w:rPr>
          <w:rFonts w:eastAsia="Tahoma" w:cs="Arial"/>
          <w:b/>
          <w:bCs/>
          <w:color w:val="000000" w:themeColor="text1"/>
        </w:rPr>
        <w:t xml:space="preserve"> </w:t>
      </w:r>
      <w:r w:rsidR="000F7437">
        <w:rPr>
          <w:rFonts w:eastAsia="Tahoma" w:cs="Arial"/>
          <w:b/>
          <w:bCs/>
          <w:color w:val="000000" w:themeColor="text1"/>
        </w:rPr>
        <w:t>13</w:t>
      </w:r>
      <w:r w:rsidR="66F84309" w:rsidRPr="6738EB49">
        <w:rPr>
          <w:rFonts w:eastAsia="Tahoma" w:cs="Arial"/>
          <w:b/>
          <w:bCs/>
          <w:color w:val="000000" w:themeColor="text1"/>
        </w:rPr>
        <w:t>, 2025</w:t>
      </w:r>
    </w:p>
    <w:p w14:paraId="43EA73E1" w14:textId="24CED471" w:rsidR="334C542C" w:rsidRPr="00B971D9" w:rsidRDefault="334C542C" w:rsidP="334C542C">
      <w:pPr>
        <w:spacing w:after="0" w:line="240" w:lineRule="auto"/>
        <w:ind w:left="720" w:hanging="720"/>
        <w:jc w:val="center"/>
        <w:rPr>
          <w:rFonts w:eastAsia="Tahoma" w:cs="Arial"/>
          <w:b/>
          <w:bCs/>
          <w:color w:val="000000" w:themeColor="text1"/>
        </w:rPr>
      </w:pPr>
    </w:p>
    <w:p w14:paraId="768D0D70" w14:textId="2BC8094F" w:rsidR="66F84309" w:rsidRPr="00B971D9" w:rsidRDefault="66F84309" w:rsidP="334C542C">
      <w:pPr>
        <w:spacing w:line="240" w:lineRule="auto"/>
        <w:rPr>
          <w:rFonts w:eastAsia="Tahoma" w:cs="Arial"/>
        </w:rPr>
      </w:pPr>
      <w:r w:rsidRPr="00B971D9">
        <w:rPr>
          <w:rFonts w:eastAsia="Tahoma" w:cs="Arial"/>
          <w:color w:val="000000" w:themeColor="text1"/>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522EA5BE" w14:textId="4D3B3506" w:rsidR="66F84309" w:rsidRPr="00B971D9" w:rsidRDefault="7960A51E" w:rsidP="1C67EE85">
      <w:pPr>
        <w:pStyle w:val="Heading1"/>
        <w:keepNext w:val="0"/>
        <w:keepLines w:val="0"/>
        <w:spacing w:line="240" w:lineRule="auto"/>
        <w:rPr>
          <w:rFonts w:eastAsia="Tahoma"/>
        </w:rPr>
      </w:pPr>
      <w:r w:rsidRPr="1C67EE85">
        <w:rPr>
          <w:rFonts w:eastAsia="Tahoma"/>
        </w:rPr>
        <w:t>Applicant Eligibility</w:t>
      </w:r>
    </w:p>
    <w:p w14:paraId="1045ACE0" w14:textId="5F593958" w:rsidR="7C34D337" w:rsidRDefault="170D2851" w:rsidP="1C67EE85">
      <w:pPr>
        <w:spacing w:line="240" w:lineRule="auto"/>
        <w:ind w:left="720" w:hanging="720"/>
        <w:rPr>
          <w:rFonts w:cs="Arial"/>
          <w:b/>
          <w:bCs/>
        </w:rPr>
      </w:pPr>
      <w:r w:rsidRPr="1C67EE85">
        <w:rPr>
          <w:rFonts w:cs="Arial"/>
          <w:b/>
          <w:bCs/>
        </w:rPr>
        <w:t>Q</w:t>
      </w:r>
      <w:r w:rsidR="2E911457" w:rsidRPr="1C67EE85">
        <w:rPr>
          <w:rFonts w:cs="Arial"/>
          <w:b/>
          <w:bCs/>
        </w:rPr>
        <w:t>1</w:t>
      </w:r>
      <w:r w:rsidRPr="1C67EE85">
        <w:rPr>
          <w:rFonts w:cs="Arial"/>
          <w:b/>
          <w:bCs/>
        </w:rPr>
        <w:t xml:space="preserve">: </w:t>
      </w:r>
      <w:r w:rsidR="7C34D337">
        <w:tab/>
      </w:r>
      <w:r w:rsidRPr="1C67EE85">
        <w:rPr>
          <w:rFonts w:cs="Arial"/>
          <w:b/>
          <w:bCs/>
        </w:rPr>
        <w:t>Are entities allowed to be a subrecipient or vendor on multiple projects?</w:t>
      </w:r>
    </w:p>
    <w:p w14:paraId="40635B2C" w14:textId="4EF49863" w:rsidR="41415420" w:rsidRDefault="01F56A5A" w:rsidP="1C67EE85">
      <w:pPr>
        <w:ind w:left="720" w:hanging="720"/>
        <w:rPr>
          <w:rFonts w:cs="Arial"/>
        </w:rPr>
      </w:pPr>
      <w:r>
        <w:t>A</w:t>
      </w:r>
      <w:r w:rsidR="61C02837">
        <w:t>1</w:t>
      </w:r>
      <w:r>
        <w:t>:</w:t>
      </w:r>
      <w:r w:rsidR="41415420">
        <w:tab/>
      </w:r>
      <w:r w:rsidR="61C0FE93">
        <w:t xml:space="preserve">Yes, entities are allowed to </w:t>
      </w:r>
      <w:r w:rsidR="01344A83">
        <w:t xml:space="preserve">be </w:t>
      </w:r>
      <w:r w:rsidR="61C0FE93">
        <w:t>a subrecipient or vendor on multiple applications for REV 2.0.</w:t>
      </w:r>
      <w:r w:rsidR="7D86CF7C">
        <w:t xml:space="preserve"> </w:t>
      </w:r>
      <w:r w:rsidR="07137384">
        <w:t>The e</w:t>
      </w:r>
      <w:r w:rsidR="61C0FE93">
        <w:t>n</w:t>
      </w:r>
      <w:r w:rsidR="369F8CE8">
        <w:t>tity applyin</w:t>
      </w:r>
      <w:r w:rsidR="4C94D10F">
        <w:t xml:space="preserve">g </w:t>
      </w:r>
      <w:r w:rsidR="369F8CE8">
        <w:t xml:space="preserve">to the </w:t>
      </w:r>
      <w:r w:rsidR="61C0FE93">
        <w:t xml:space="preserve">Solicitation </w:t>
      </w:r>
      <w:r w:rsidR="1F15F724">
        <w:t>is</w:t>
      </w:r>
      <w:r w:rsidR="26A0DDC6">
        <w:t xml:space="preserve"> </w:t>
      </w:r>
      <w:r w:rsidR="1F15F724">
        <w:t xml:space="preserve">known as the </w:t>
      </w:r>
      <w:r w:rsidR="61C0FE93">
        <w:t>Applicant</w:t>
      </w:r>
      <w:r w:rsidR="4BC5A6EA">
        <w:t xml:space="preserve"> and will become the </w:t>
      </w:r>
      <w:r w:rsidR="4CBE5DF4">
        <w:t>Recipient</w:t>
      </w:r>
      <w:r w:rsidR="105D8277">
        <w:t xml:space="preserve"> if awarded</w:t>
      </w:r>
      <w:r w:rsidR="71014DA7">
        <w:t>.</w:t>
      </w:r>
      <w:r w:rsidR="77381E78">
        <w:t xml:space="preserve"> </w:t>
      </w:r>
      <w:r w:rsidR="71014DA7">
        <w:t>T</w:t>
      </w:r>
      <w:r w:rsidR="61C0FE93">
        <w:t>he Applicant</w:t>
      </w:r>
      <w:r w:rsidR="03DFF6D8">
        <w:t xml:space="preserve">/Recipient </w:t>
      </w:r>
      <w:r w:rsidR="7BA6C358">
        <w:t>is “</w:t>
      </w:r>
      <w:r w:rsidR="61C0FE93">
        <w:t xml:space="preserve">only </w:t>
      </w:r>
      <w:r w:rsidR="3ED0C7DA">
        <w:t xml:space="preserve">eligible to submit one application under this solicitation” </w:t>
      </w:r>
      <w:r w:rsidR="61C0FE93">
        <w:t xml:space="preserve">(See </w:t>
      </w:r>
      <w:r w:rsidR="00DA96FA">
        <w:t>Solicitation</w:t>
      </w:r>
      <w:r w:rsidR="61C0FE93">
        <w:t xml:space="preserve"> Manual, </w:t>
      </w:r>
      <w:r w:rsidR="34236E12">
        <w:t>S</w:t>
      </w:r>
      <w:r w:rsidR="61C0FE93">
        <w:t>ections I.H and II.A.1).</w:t>
      </w:r>
    </w:p>
    <w:p w14:paraId="21A9F380" w14:textId="532C572A" w:rsidR="243D19DC" w:rsidRDefault="243D19DC" w:rsidP="1C67EE85">
      <w:pPr>
        <w:spacing w:line="240" w:lineRule="auto"/>
        <w:ind w:left="720" w:hanging="720"/>
        <w:rPr>
          <w:rFonts w:cs="Arial"/>
          <w:b/>
          <w:bCs/>
        </w:rPr>
      </w:pPr>
      <w:r w:rsidRPr="1C67EE85">
        <w:rPr>
          <w:rFonts w:cs="Arial"/>
          <w:b/>
          <w:bCs/>
        </w:rPr>
        <w:t xml:space="preserve">Q2: </w:t>
      </w:r>
      <w:r>
        <w:tab/>
      </w:r>
      <w:r w:rsidRPr="1C67EE85">
        <w:rPr>
          <w:rFonts w:cs="Arial"/>
          <w:b/>
          <w:bCs/>
        </w:rPr>
        <w:t>Can newly formed LLC partnerships between two companies participate in the solicitation?</w:t>
      </w:r>
      <w:r w:rsidR="2447DA3E" w:rsidRPr="1C67EE85">
        <w:rPr>
          <w:rFonts w:cs="Arial"/>
          <w:b/>
          <w:bCs/>
        </w:rPr>
        <w:t xml:space="preserve"> Will this affect the overall evaluation of the application?</w:t>
      </w:r>
    </w:p>
    <w:p w14:paraId="2FC03FE0" w14:textId="7C7D6545" w:rsidR="6CB94552" w:rsidRDefault="6CB94552" w:rsidP="1C67EE85">
      <w:pPr>
        <w:spacing w:line="240" w:lineRule="auto"/>
        <w:ind w:left="720" w:hanging="720"/>
        <w:rPr>
          <w:rFonts w:cs="Arial"/>
        </w:rPr>
      </w:pPr>
      <w:r w:rsidRPr="1C67EE85">
        <w:rPr>
          <w:rFonts w:cs="Arial"/>
        </w:rPr>
        <w:t xml:space="preserve">A2: </w:t>
      </w:r>
      <w:r>
        <w:tab/>
      </w:r>
      <w:r w:rsidRPr="1C67EE85">
        <w:rPr>
          <w:rFonts w:cs="Arial"/>
        </w:rPr>
        <w:t xml:space="preserve">All public and private entities aside from investor-owned utilities are eligible to apply for and receive funding from this grant. Corporations, limited liability companies (LLCs), limited partnerships (LPs) and limited liability partnerships (LLPs), are also required to be registered and in good standing with the California Secretary of State prior to its project being recommended for approval at a CEC Business Meeting (See Solicitation Manual, </w:t>
      </w:r>
      <w:r w:rsidR="02754ED0" w:rsidRPr="1C67EE85">
        <w:rPr>
          <w:rFonts w:cs="Arial"/>
        </w:rPr>
        <w:t>S</w:t>
      </w:r>
      <w:r w:rsidRPr="1C67EE85">
        <w:rPr>
          <w:rFonts w:cs="Arial"/>
        </w:rPr>
        <w:t>ections II.A.1 and II.A.3.)</w:t>
      </w:r>
      <w:r w:rsidR="2D250D03" w:rsidRPr="1C67EE85">
        <w:rPr>
          <w:rFonts w:cs="Arial"/>
        </w:rPr>
        <w:t>.</w:t>
      </w:r>
    </w:p>
    <w:p w14:paraId="0A43588E" w14:textId="4978F757" w:rsidR="32C2E879" w:rsidRDefault="32C2E879" w:rsidP="0FFD0CD0">
      <w:pPr>
        <w:spacing w:line="240" w:lineRule="auto"/>
        <w:ind w:left="720"/>
        <w:rPr>
          <w:rFonts w:cs="Arial"/>
        </w:rPr>
      </w:pPr>
      <w:r w:rsidRPr="0FFD0CD0">
        <w:rPr>
          <w:rFonts w:cs="Arial"/>
        </w:rPr>
        <w:t xml:space="preserve">Please </w:t>
      </w:r>
      <w:r w:rsidR="2F501053" w:rsidRPr="0FFD0CD0">
        <w:rPr>
          <w:rFonts w:cs="Arial"/>
        </w:rPr>
        <w:t>refer to the Solicitation Manual, Section IV.E, “Project Implementation” on how p</w:t>
      </w:r>
      <w:r w:rsidR="7AC2F3DC" w:rsidRPr="0FFD0CD0">
        <w:rPr>
          <w:rFonts w:cs="Arial"/>
        </w:rPr>
        <w:t xml:space="preserve">roject teams will be evaluated and scored. </w:t>
      </w:r>
    </w:p>
    <w:p w14:paraId="46C970DB" w14:textId="2597414E" w:rsidR="537FEE8B" w:rsidRDefault="537FEE8B" w:rsidP="0FFD0CD0">
      <w:pPr>
        <w:spacing w:line="240" w:lineRule="auto"/>
        <w:ind w:left="720" w:hanging="720"/>
        <w:rPr>
          <w:rFonts w:cs="Arial"/>
          <w:b/>
          <w:bCs/>
        </w:rPr>
      </w:pPr>
      <w:r w:rsidRPr="0FFD0CD0">
        <w:rPr>
          <w:rFonts w:cs="Arial"/>
          <w:b/>
          <w:bCs/>
        </w:rPr>
        <w:t xml:space="preserve">Q3: </w:t>
      </w:r>
      <w:r>
        <w:tab/>
      </w:r>
      <w:r w:rsidRPr="0FFD0CD0">
        <w:rPr>
          <w:rFonts w:cs="Arial"/>
          <w:b/>
          <w:bCs/>
        </w:rPr>
        <w:t>Can state agencies apply for this grant?</w:t>
      </w:r>
    </w:p>
    <w:p w14:paraId="6D3A9CCD" w14:textId="06391C60" w:rsidR="537FEE8B" w:rsidRDefault="537FEE8B" w:rsidP="0FFD0CD0">
      <w:pPr>
        <w:spacing w:line="240" w:lineRule="auto"/>
        <w:ind w:left="720" w:hanging="720"/>
        <w:rPr>
          <w:rFonts w:cs="Arial"/>
        </w:rPr>
      </w:pPr>
      <w:r w:rsidRPr="0FFD0CD0">
        <w:rPr>
          <w:rFonts w:cs="Arial"/>
        </w:rPr>
        <w:t xml:space="preserve">A3: </w:t>
      </w:r>
      <w:r>
        <w:tab/>
      </w:r>
      <w:r w:rsidRPr="0FFD0CD0">
        <w:rPr>
          <w:rFonts w:cs="Arial"/>
        </w:rPr>
        <w:t>All public and private entities aside from investor-owned utilities are eligible to apply for and receive funding from this grant</w:t>
      </w:r>
      <w:r w:rsidR="498709A8" w:rsidRPr="0FFD0CD0">
        <w:rPr>
          <w:rFonts w:cs="Arial"/>
        </w:rPr>
        <w:t xml:space="preserve"> </w:t>
      </w:r>
      <w:r w:rsidRPr="0FFD0CD0">
        <w:rPr>
          <w:rFonts w:cs="Arial"/>
        </w:rPr>
        <w:t>(See Solicitation Manual, Section II.A.1).</w:t>
      </w:r>
    </w:p>
    <w:p w14:paraId="2E0690F2" w14:textId="7D77A254" w:rsidR="2D250D03" w:rsidRDefault="2D250D03" w:rsidP="1C67EE85">
      <w:pPr>
        <w:pStyle w:val="Heading1"/>
        <w:keepNext w:val="0"/>
        <w:keepLines w:val="0"/>
        <w:ind w:left="720" w:hanging="720"/>
      </w:pPr>
      <w:r>
        <w:t>Project Eligibility</w:t>
      </w:r>
    </w:p>
    <w:p w14:paraId="0E303969" w14:textId="6691DA13" w:rsidR="54483C69" w:rsidRDefault="7918BBB6" w:rsidP="1C67EE85">
      <w:pPr>
        <w:ind w:left="720" w:hanging="720"/>
        <w:rPr>
          <w:b/>
          <w:bCs/>
        </w:rPr>
      </w:pPr>
      <w:r w:rsidRPr="0FFD0CD0">
        <w:rPr>
          <w:b/>
          <w:bCs/>
        </w:rPr>
        <w:t>Q</w:t>
      </w:r>
      <w:r w:rsidR="00ED0AD4" w:rsidRPr="0FFD0CD0">
        <w:rPr>
          <w:b/>
          <w:bCs/>
        </w:rPr>
        <w:t>4</w:t>
      </w:r>
      <w:r w:rsidRPr="0FFD0CD0">
        <w:rPr>
          <w:b/>
          <w:bCs/>
        </w:rPr>
        <w:t xml:space="preserve">: </w:t>
      </w:r>
      <w:r w:rsidR="54483C69">
        <w:tab/>
      </w:r>
      <w:r w:rsidRPr="0FFD0CD0">
        <w:rPr>
          <w:b/>
          <w:bCs/>
        </w:rPr>
        <w:t>Can applicants propose projects that install chargers across multiple sites to meet the 900kW minimum? For example, 600kW at one site and 300kW at another site?</w:t>
      </w:r>
    </w:p>
    <w:p w14:paraId="78D9EF07" w14:textId="66DFCA7C" w:rsidR="54483C69" w:rsidRDefault="7918BBB6" w:rsidP="1C67EE85">
      <w:pPr>
        <w:ind w:left="720" w:hanging="720"/>
      </w:pPr>
      <w:r>
        <w:lastRenderedPageBreak/>
        <w:t>A</w:t>
      </w:r>
      <w:r w:rsidR="67B85046">
        <w:t>4</w:t>
      </w:r>
      <w:r>
        <w:t xml:space="preserve">: </w:t>
      </w:r>
      <w:r>
        <w:tab/>
        <w:t>Yes, projects can be comprised of installations at multiple project sites</w:t>
      </w:r>
      <w:r w:rsidR="2F97A615">
        <w:t>.</w:t>
      </w:r>
      <w:r>
        <w:t xml:space="preserve"> Applicants must propose projects that will install a minimum of 50 charging ports </w:t>
      </w:r>
      <w:r w:rsidR="482EDB14">
        <w:t>or</w:t>
      </w:r>
      <w:r>
        <w:t xml:space="preserve"> install charging stations that can simultaneously supply at least 900 kW to vehicles when requested (See Solicitation Manual, </w:t>
      </w:r>
      <w:r w:rsidR="47467F5B">
        <w:t>S</w:t>
      </w:r>
      <w:r>
        <w:t>ection II.B.</w:t>
      </w:r>
      <w:r w:rsidR="3DF892AA">
        <w:t>2</w:t>
      </w:r>
      <w:r>
        <w:t>).</w:t>
      </w:r>
    </w:p>
    <w:p w14:paraId="228FE6CE" w14:textId="60AE8A83" w:rsidR="37F322E0" w:rsidRDefault="6339AE48" w:rsidP="1C67EE85">
      <w:pPr>
        <w:ind w:left="720" w:hanging="720"/>
        <w:rPr>
          <w:b/>
          <w:bCs/>
        </w:rPr>
      </w:pPr>
      <w:r w:rsidRPr="70895E1B">
        <w:rPr>
          <w:b/>
          <w:bCs/>
        </w:rPr>
        <w:t>Q</w:t>
      </w:r>
      <w:r w:rsidR="534423A6" w:rsidRPr="70895E1B">
        <w:rPr>
          <w:b/>
          <w:bCs/>
        </w:rPr>
        <w:t>5</w:t>
      </w:r>
      <w:r w:rsidRPr="70895E1B">
        <w:rPr>
          <w:b/>
          <w:bCs/>
        </w:rPr>
        <w:t xml:space="preserve">: </w:t>
      </w:r>
      <w:r>
        <w:tab/>
      </w:r>
      <w:r w:rsidRPr="70895E1B">
        <w:rPr>
          <w:b/>
          <w:bCs/>
        </w:rPr>
        <w:t>Is off-grid charging at scale interesting to the CEC? Will there be bonus points awarded for this type of project?</w:t>
      </w:r>
    </w:p>
    <w:p w14:paraId="651A83BE" w14:textId="49D66FBF" w:rsidR="37F322E0" w:rsidRDefault="6339AE48" w:rsidP="1C67EE85">
      <w:pPr>
        <w:ind w:left="720" w:hanging="720"/>
      </w:pPr>
      <w:r>
        <w:t>A</w:t>
      </w:r>
      <w:r w:rsidR="099A53CC">
        <w:t>5</w:t>
      </w:r>
      <w:r>
        <w:t xml:space="preserve">: </w:t>
      </w:r>
      <w:r>
        <w:tab/>
      </w:r>
      <w:r w:rsidR="11E188A7">
        <w:t xml:space="preserve">As clarified in the addended Solicitation Manual, “mobile or moveable L2 chargers </w:t>
      </w:r>
      <w:r w:rsidR="3BCBF891">
        <w:t xml:space="preserve">not permanently connected to the grid (such as chargers with solar and battery storage) shall be configured to deliver at minimum 3.3 kW to an EV and at minimum 30 kWh per day. For such chargers with multiple ports, each port shall be configured to deliver at minimum 1.9 kW to each EV when multiple ports are in use and at minimum 30 kWh per day across all ports” </w:t>
      </w:r>
      <w:r>
        <w:t>(</w:t>
      </w:r>
      <w:r w:rsidR="58B62C77">
        <w:t>S</w:t>
      </w:r>
      <w:r>
        <w:t>ection II.B.5</w:t>
      </w:r>
      <w:r w:rsidR="736DD8AD">
        <w:t>).</w:t>
      </w:r>
    </w:p>
    <w:p w14:paraId="7A38B78F" w14:textId="6BEB5508" w:rsidR="37F322E0" w:rsidRDefault="402CF2BB" w:rsidP="1C67EE85">
      <w:pPr>
        <w:ind w:left="720"/>
      </w:pPr>
      <w:r>
        <w:t xml:space="preserve">The scoring for </w:t>
      </w:r>
      <w:r w:rsidR="6339AE48">
        <w:t xml:space="preserve">REV 2.0 does not offer bonus points, please </w:t>
      </w:r>
      <w:r w:rsidR="76EFA1C2">
        <w:t xml:space="preserve">refer to the </w:t>
      </w:r>
      <w:r w:rsidR="41F9B6CB">
        <w:t>Sustainability and Innovation and P</w:t>
      </w:r>
      <w:r w:rsidR="41C35F06">
        <w:t xml:space="preserve">roject Implementation </w:t>
      </w:r>
      <w:r w:rsidR="6339AE48">
        <w:t xml:space="preserve">Evaluation Criteria on how </w:t>
      </w:r>
      <w:r w:rsidR="2DF6193A">
        <w:t xml:space="preserve">a </w:t>
      </w:r>
      <w:r w:rsidR="6339AE48">
        <w:t>project</w:t>
      </w:r>
      <w:r w:rsidR="019E2A0F">
        <w:t xml:space="preserve"> like this </w:t>
      </w:r>
      <w:r>
        <w:t xml:space="preserve">will </w:t>
      </w:r>
      <w:r w:rsidR="6339AE48">
        <w:t xml:space="preserve">be scored </w:t>
      </w:r>
      <w:r w:rsidR="3D610A0D">
        <w:t xml:space="preserve">and evaluated </w:t>
      </w:r>
      <w:r w:rsidR="6339AE48">
        <w:t xml:space="preserve">(See Solicitation Manual, </w:t>
      </w:r>
      <w:r w:rsidR="51B114E2">
        <w:t>S</w:t>
      </w:r>
      <w:r w:rsidR="6339AE48">
        <w:t>ection IV.E)</w:t>
      </w:r>
      <w:r w:rsidR="24EAB1FD">
        <w:t>.</w:t>
      </w:r>
    </w:p>
    <w:p w14:paraId="1CF4CEEE" w14:textId="2D3461EA" w:rsidR="608E69E5" w:rsidRDefault="608E69E5" w:rsidP="753D5AFD">
      <w:pPr>
        <w:ind w:left="720" w:hanging="720"/>
        <w:rPr>
          <w:b/>
          <w:bCs/>
        </w:rPr>
      </w:pPr>
      <w:r w:rsidRPr="5771F5C4">
        <w:rPr>
          <w:b/>
          <w:bCs/>
        </w:rPr>
        <w:t xml:space="preserve">Q6: </w:t>
      </w:r>
      <w:r>
        <w:tab/>
      </w:r>
      <w:r w:rsidR="285CC391" w:rsidRPr="5771F5C4">
        <w:rPr>
          <w:b/>
          <w:bCs/>
        </w:rPr>
        <w:t xml:space="preserve">Can the minimum requirement of 50 EV chargers be met through a phased installation approach, adding chargers gradually as adoption </w:t>
      </w:r>
      <w:r w:rsidR="2B4D7722" w:rsidRPr="5771F5C4">
        <w:rPr>
          <w:b/>
          <w:bCs/>
        </w:rPr>
        <w:t xml:space="preserve">and utilization rates </w:t>
      </w:r>
      <w:r w:rsidR="285CC391" w:rsidRPr="5771F5C4">
        <w:rPr>
          <w:b/>
          <w:bCs/>
        </w:rPr>
        <w:t>increa</w:t>
      </w:r>
      <w:r w:rsidR="11C79D40" w:rsidRPr="5771F5C4">
        <w:rPr>
          <w:b/>
          <w:bCs/>
        </w:rPr>
        <w:t>se</w:t>
      </w:r>
      <w:r w:rsidR="63DAC3C7" w:rsidRPr="5771F5C4">
        <w:rPr>
          <w:b/>
          <w:bCs/>
        </w:rPr>
        <w:t xml:space="preserve"> over time? </w:t>
      </w:r>
    </w:p>
    <w:p w14:paraId="5E03B854" w14:textId="63724E1B" w:rsidR="608E69E5" w:rsidRDefault="608E69E5" w:rsidP="5771F5C4">
      <w:pPr>
        <w:ind w:left="720" w:hanging="720"/>
      </w:pPr>
      <w:r>
        <w:t xml:space="preserve">A6: </w:t>
      </w:r>
      <w:r>
        <w:tab/>
      </w:r>
      <w:r w:rsidR="6325C4AC">
        <w:t>No. A</w:t>
      </w:r>
      <w:r w:rsidR="5617490E">
        <w:t xml:space="preserve">s </w:t>
      </w:r>
      <w:r w:rsidR="56F78177">
        <w:t>stat</w:t>
      </w:r>
      <w:r>
        <w:t xml:space="preserve">ed in the Solicitation Manual, </w:t>
      </w:r>
      <w:r w:rsidR="01E1D58A">
        <w:t xml:space="preserve">“all work must be scheduled for completion by no later than January 31, 2031 </w:t>
      </w:r>
      <w:r w:rsidR="32A441DC">
        <w:t>to allow timely processing of final invoices before the liquidation date of CEC funds” (Section III.D.4.)</w:t>
      </w:r>
      <w:r w:rsidR="509F27E4">
        <w:t xml:space="preserve">. </w:t>
      </w:r>
    </w:p>
    <w:p w14:paraId="3833A252" w14:textId="4EEF8ED0" w:rsidR="7D6EA700" w:rsidRDefault="7D6EA700" w:rsidP="00DE11C4">
      <w:pPr>
        <w:spacing w:after="160"/>
        <w:ind w:left="720" w:hanging="720"/>
      </w:pPr>
      <w:r>
        <w:t>Q7:</w:t>
      </w:r>
      <w:r>
        <w:tab/>
      </w:r>
      <w:r w:rsidRPr="5771F5C4">
        <w:rPr>
          <w:b/>
          <w:bCs/>
        </w:rPr>
        <w:t xml:space="preserve">Can </w:t>
      </w:r>
      <w:r w:rsidR="223A6752" w:rsidRPr="5771F5C4">
        <w:rPr>
          <w:b/>
          <w:bCs/>
        </w:rPr>
        <w:t>a workplace charging project, which deploys chargers for employees</w:t>
      </w:r>
      <w:r w:rsidR="220E4831" w:rsidRPr="5771F5C4">
        <w:rPr>
          <w:b/>
          <w:bCs/>
        </w:rPr>
        <w:t>,</w:t>
      </w:r>
      <w:r w:rsidR="223A6752" w:rsidRPr="5771F5C4">
        <w:rPr>
          <w:b/>
          <w:bCs/>
        </w:rPr>
        <w:t xml:space="preserve"> qualify for REV 2.0</w:t>
      </w:r>
      <w:r w:rsidRPr="5771F5C4">
        <w:rPr>
          <w:b/>
          <w:bCs/>
        </w:rPr>
        <w:t>? The public will have access to the chargers but the primary intent is for employees and if we do have the adoption rate as anticipated the ports will be full at all times.</w:t>
      </w:r>
      <w:r>
        <w:t xml:space="preserve">  </w:t>
      </w:r>
    </w:p>
    <w:p w14:paraId="373C734D" w14:textId="0730C2D3" w:rsidR="6A5782A8" w:rsidRDefault="1EA8B78B" w:rsidP="00DE11C4">
      <w:pPr>
        <w:spacing w:after="160"/>
        <w:ind w:left="720" w:hanging="720"/>
      </w:pPr>
      <w:r>
        <w:t>A7:</w:t>
      </w:r>
      <w:r>
        <w:tab/>
      </w:r>
      <w:r w:rsidR="6A5782A8">
        <w:t>As stated in the Solicitation Manual, “</w:t>
      </w:r>
      <w:r w:rsidR="58C80184">
        <w:t>e</w:t>
      </w:r>
      <w:r w:rsidR="6A5782A8">
        <w:t xml:space="preserve">ligible projects will demonstrate business and technology models for the deployment of public light-duty EV charging infrastructure to support rural communities and those that travel through rural communities” (Section II.B.1). “Project sites and chargers must be accessible to the public at least 18 hours per day" </w:t>
      </w:r>
      <w:r w:rsidR="58E2D4DE">
        <w:t>(</w:t>
      </w:r>
      <w:r w:rsidR="6A5782A8">
        <w:t>Section II.B.3). I</w:t>
      </w:r>
      <w:r w:rsidR="3A2EE87D">
        <w:t xml:space="preserve">f the primary intent of this project is for employee charging, this project would be </w:t>
      </w:r>
      <w:r w:rsidR="4993BD5A">
        <w:t xml:space="preserve">considered </w:t>
      </w:r>
      <w:r w:rsidR="3A2EE87D">
        <w:t>ineligible</w:t>
      </w:r>
      <w:r w:rsidR="6B3A031F">
        <w:t xml:space="preserve"> under this solicitation</w:t>
      </w:r>
      <w:r w:rsidR="05E78AB4">
        <w:t>. The chargers</w:t>
      </w:r>
      <w:r w:rsidR="7295B3B3">
        <w:t xml:space="preserve"> </w:t>
      </w:r>
      <w:r w:rsidR="09EE3749">
        <w:t>must be accessible to the public</w:t>
      </w:r>
      <w:r w:rsidR="30BC6561">
        <w:t>18 hours per day</w:t>
      </w:r>
      <w:r w:rsidR="7295B3B3">
        <w:t>.</w:t>
      </w:r>
    </w:p>
    <w:p w14:paraId="326079AC" w14:textId="06921FA2" w:rsidR="2BB296BE" w:rsidRDefault="2BB296BE" w:rsidP="1C67EE85">
      <w:pPr>
        <w:pStyle w:val="Heading1"/>
        <w:keepNext w:val="0"/>
        <w:keepLines w:val="0"/>
        <w:ind w:left="720" w:hanging="720"/>
        <w:rPr>
          <w:b w:val="0"/>
          <w:bCs w:val="0"/>
        </w:rPr>
      </w:pPr>
      <w:r>
        <w:t>Project Eligibility</w:t>
      </w:r>
      <w:r w:rsidR="2A1340DF">
        <w:t xml:space="preserve"> – </w:t>
      </w:r>
      <w:r>
        <w:t>Chargers</w:t>
      </w:r>
    </w:p>
    <w:p w14:paraId="4E25316E" w14:textId="0B1D6E17" w:rsidR="6FE36FA6" w:rsidRDefault="0BFE2435" w:rsidP="1C67EE85">
      <w:pPr>
        <w:ind w:left="720" w:hanging="720"/>
        <w:rPr>
          <w:b/>
          <w:bCs/>
        </w:rPr>
      </w:pPr>
      <w:r w:rsidRPr="753D5AFD">
        <w:rPr>
          <w:b/>
          <w:bCs/>
        </w:rPr>
        <w:lastRenderedPageBreak/>
        <w:t>Q</w:t>
      </w:r>
      <w:r w:rsidR="5F15F224" w:rsidRPr="753D5AFD">
        <w:rPr>
          <w:b/>
          <w:bCs/>
        </w:rPr>
        <w:t>8</w:t>
      </w:r>
      <w:r w:rsidRPr="753D5AFD">
        <w:rPr>
          <w:b/>
          <w:bCs/>
        </w:rPr>
        <w:t xml:space="preserve">: </w:t>
      </w:r>
      <w:r w:rsidR="6FE36FA6">
        <w:tab/>
      </w:r>
      <w:r w:rsidRPr="753D5AFD">
        <w:rPr>
          <w:b/>
          <w:bCs/>
        </w:rPr>
        <w:t>The J3400 EV charging receptacle standard allows the user to bring their own cord, and can support either J1772 or J3400 connector to the vehicle; does the grant support the use of the charging receptacle standard to accommodate either connector?</w:t>
      </w:r>
    </w:p>
    <w:p w14:paraId="0F902B57" w14:textId="3FE1C027" w:rsidR="6FE36FA6" w:rsidRDefault="0BFE2435" w:rsidP="1C67EE85">
      <w:pPr>
        <w:ind w:left="720" w:hanging="720"/>
      </w:pPr>
      <w:r>
        <w:t>A</w:t>
      </w:r>
      <w:r w:rsidR="40851CBC">
        <w:t>8</w:t>
      </w:r>
      <w:r>
        <w:t xml:space="preserve">: </w:t>
      </w:r>
      <w:r w:rsidR="6FE36FA6">
        <w:tab/>
      </w:r>
      <w:r w:rsidR="1F486BE7">
        <w:t>A</w:t>
      </w:r>
      <w:r>
        <w:t xml:space="preserve">s clarified in the </w:t>
      </w:r>
      <w:r w:rsidR="6D0B248C">
        <w:t xml:space="preserve">addended </w:t>
      </w:r>
      <w:r>
        <w:t>Solicitation Manual "</w:t>
      </w:r>
      <w:r w:rsidR="434F5A06">
        <w:t>all L2 chargers must be corded. “Bring Your Own Cord” charging equipment are ineligible</w:t>
      </w:r>
      <w:r>
        <w:t>" (Section</w:t>
      </w:r>
      <w:r w:rsidR="16BF39D4">
        <w:t>s</w:t>
      </w:r>
      <w:r>
        <w:t xml:space="preserve"> II.B.5</w:t>
      </w:r>
      <w:r w:rsidR="29DAAEBF">
        <w:t xml:space="preserve"> and </w:t>
      </w:r>
      <w:r w:rsidR="37953DF3">
        <w:t>II.B.10</w:t>
      </w:r>
      <w:r>
        <w:t xml:space="preserve">). </w:t>
      </w:r>
    </w:p>
    <w:p w14:paraId="3562AA06" w14:textId="77959A0F" w:rsidR="346A8B7B" w:rsidRDefault="2957ACA3" w:rsidP="1C67EE85">
      <w:pPr>
        <w:ind w:left="720" w:hanging="720"/>
        <w:rPr>
          <w:b/>
          <w:bCs/>
        </w:rPr>
      </w:pPr>
      <w:r w:rsidRPr="753D5AFD">
        <w:rPr>
          <w:b/>
          <w:bCs/>
        </w:rPr>
        <w:t>Q</w:t>
      </w:r>
      <w:r w:rsidR="48A8DB2A" w:rsidRPr="753D5AFD">
        <w:rPr>
          <w:b/>
          <w:bCs/>
        </w:rPr>
        <w:t>9</w:t>
      </w:r>
      <w:r w:rsidRPr="753D5AFD">
        <w:rPr>
          <w:b/>
          <w:bCs/>
        </w:rPr>
        <w:t xml:space="preserve">: </w:t>
      </w:r>
      <w:r w:rsidR="346A8B7B">
        <w:tab/>
      </w:r>
      <w:r w:rsidRPr="753D5AFD">
        <w:rPr>
          <w:b/>
          <w:bCs/>
        </w:rPr>
        <w:t>If the DC fast charging port is permanently off-grid, will the following aspect still apply</w:t>
      </w:r>
      <w:r w:rsidR="239C9CC5" w:rsidRPr="753D5AFD">
        <w:rPr>
          <w:b/>
          <w:bCs/>
        </w:rPr>
        <w:t xml:space="preserve">: </w:t>
      </w:r>
      <w:r w:rsidRPr="753D5AFD">
        <w:rPr>
          <w:b/>
          <w:bCs/>
        </w:rPr>
        <w:t>"Chargers not permanently connected to the grid (such as chargers with solar and battery storage) shall be configured to deliver at minimum 3.3 kW to an EV and at minimum 30 kWh per day. For such chargers with multiple ports, each port shall be configured to deliver at minimum 1.9 kW to each EV when multiple ports are in use and at minimum 30 kWh per day across all ports</w:t>
      </w:r>
      <w:r w:rsidR="5043EC3C" w:rsidRPr="753D5AFD">
        <w:rPr>
          <w:b/>
          <w:bCs/>
        </w:rPr>
        <w:t>.</w:t>
      </w:r>
      <w:r w:rsidRPr="753D5AFD">
        <w:rPr>
          <w:b/>
          <w:bCs/>
        </w:rPr>
        <w:t>"</w:t>
      </w:r>
    </w:p>
    <w:p w14:paraId="0F924936" w14:textId="65044D16" w:rsidR="6DE0B3D3" w:rsidRDefault="2AFA29B2" w:rsidP="1C67EE85">
      <w:pPr>
        <w:ind w:left="720" w:hanging="720"/>
      </w:pPr>
      <w:r>
        <w:t>A</w:t>
      </w:r>
      <w:r w:rsidR="49772441">
        <w:t>9</w:t>
      </w:r>
      <w:r>
        <w:t xml:space="preserve">: </w:t>
      </w:r>
      <w:r w:rsidR="6DE0B3D3">
        <w:tab/>
      </w:r>
      <w:r>
        <w:t>As clarified in the addended Solicitation Manual, “mobile or moveable L2 chargers not permanently connected to the grid (such as chargers with solar and battery storage) shall be configured to deliver at minimum 3.3 kW to an EV and at minimum 30 kWh per day. For such chargers with multiple ports, each port shall be configured to deliver at minimum 1.9 kW to each EV when multiple ports are in use and at minimum 30 kWh per day across all ports” (Section II.B.5).</w:t>
      </w:r>
    </w:p>
    <w:p w14:paraId="2563925B" w14:textId="5716E20A" w:rsidR="17C676C6" w:rsidRDefault="1A25EEB0" w:rsidP="1C67EE85">
      <w:pPr>
        <w:spacing w:line="240" w:lineRule="auto"/>
        <w:ind w:left="720" w:hanging="720"/>
        <w:rPr>
          <w:b/>
          <w:bCs/>
        </w:rPr>
      </w:pPr>
      <w:r w:rsidRPr="753D5AFD">
        <w:rPr>
          <w:b/>
          <w:bCs/>
        </w:rPr>
        <w:t>Q</w:t>
      </w:r>
      <w:r w:rsidR="5945F3ED" w:rsidRPr="753D5AFD">
        <w:rPr>
          <w:b/>
          <w:bCs/>
        </w:rPr>
        <w:t>10</w:t>
      </w:r>
      <w:r w:rsidRPr="753D5AFD">
        <w:rPr>
          <w:b/>
          <w:bCs/>
        </w:rPr>
        <w:t xml:space="preserve">: </w:t>
      </w:r>
      <w:r w:rsidR="17C676C6">
        <w:tab/>
      </w:r>
      <w:r w:rsidR="4A7B3FC1" w:rsidRPr="753D5AFD">
        <w:rPr>
          <w:b/>
          <w:bCs/>
        </w:rPr>
        <w:t>Would you be able to confirm that the required certification is Open Charge Point Protocol (OCPP) 1.6 Core &amp; Advanced Security, not Core and Safety as written in the solicitation manual. There is no such thing as an OCA Safety certificate. Can you please clarify if the GFO should say Security Certificate, instead of safety?</w:t>
      </w:r>
    </w:p>
    <w:p w14:paraId="1EB37D0A" w14:textId="21B3D4CC" w:rsidR="592CB95D" w:rsidRDefault="4A7B3FC1" w:rsidP="1C67EE85">
      <w:pPr>
        <w:spacing w:line="240" w:lineRule="auto"/>
        <w:ind w:left="720" w:hanging="720"/>
        <w:rPr>
          <w:highlight w:val="yellow"/>
        </w:rPr>
      </w:pPr>
      <w:r>
        <w:t>A</w:t>
      </w:r>
      <w:r w:rsidR="2941C38D">
        <w:t>10</w:t>
      </w:r>
      <w:r>
        <w:t xml:space="preserve">: </w:t>
      </w:r>
      <w:r w:rsidR="592CB95D">
        <w:tab/>
      </w:r>
      <w:r w:rsidR="37E0E69A">
        <w:t xml:space="preserve">As clarified in the addended Solicitation Manual, </w:t>
      </w:r>
      <w:r w:rsidR="507442D9">
        <w:t>all chargers must have “</w:t>
      </w:r>
      <w:r w:rsidR="3713F685">
        <w:t xml:space="preserve">Certification for </w:t>
      </w:r>
      <w:r w:rsidR="507442D9">
        <w:t>Open Charge Point Protocol (OCPP) 2.0.1 or later by the Open Charge Alliance”</w:t>
      </w:r>
      <w:r w:rsidR="4B071F7C">
        <w:t xml:space="preserve"> </w:t>
      </w:r>
      <w:r w:rsidR="37E0E69A">
        <w:t>(Section II.B.5)</w:t>
      </w:r>
      <w:r w:rsidR="250B26BF">
        <w:t>.</w:t>
      </w:r>
    </w:p>
    <w:p w14:paraId="25EE21DF" w14:textId="2512D242" w:rsidR="592CB95D" w:rsidRDefault="4A7B3FC1" w:rsidP="1C67EE85">
      <w:pPr>
        <w:spacing w:line="240" w:lineRule="auto"/>
        <w:ind w:left="720" w:hanging="720"/>
        <w:rPr>
          <w:b/>
          <w:bCs/>
        </w:rPr>
      </w:pPr>
      <w:r w:rsidRPr="753D5AFD">
        <w:rPr>
          <w:b/>
          <w:bCs/>
        </w:rPr>
        <w:t>Q</w:t>
      </w:r>
      <w:r w:rsidR="1A3B9FC0" w:rsidRPr="753D5AFD">
        <w:rPr>
          <w:b/>
          <w:bCs/>
        </w:rPr>
        <w:t>1</w:t>
      </w:r>
      <w:r w:rsidR="1537D595" w:rsidRPr="753D5AFD">
        <w:rPr>
          <w:b/>
          <w:bCs/>
        </w:rPr>
        <w:t>1</w:t>
      </w:r>
      <w:r w:rsidRPr="753D5AFD">
        <w:rPr>
          <w:b/>
          <w:bCs/>
        </w:rPr>
        <w:t xml:space="preserve">: </w:t>
      </w:r>
      <w:r w:rsidR="592CB95D">
        <w:tab/>
      </w:r>
      <w:r w:rsidRPr="753D5AFD">
        <w:rPr>
          <w:b/>
          <w:bCs/>
        </w:rPr>
        <w:t>Will applicants need to provide a certificate to verify Open Charge Alliance OCPP 1.6 or newer? How will the CEC verify this status?</w:t>
      </w:r>
    </w:p>
    <w:p w14:paraId="618F900F" w14:textId="459BFD1C" w:rsidR="08B6328D" w:rsidRDefault="7CD4B2FF" w:rsidP="1C67EE85">
      <w:pPr>
        <w:ind w:left="720" w:hanging="720"/>
      </w:pPr>
      <w:r>
        <w:t>A</w:t>
      </w:r>
      <w:r w:rsidR="5DE9C271">
        <w:t>1</w:t>
      </w:r>
      <w:r w:rsidR="3B542068">
        <w:t>1</w:t>
      </w:r>
      <w:r>
        <w:t xml:space="preserve">: </w:t>
      </w:r>
      <w:r w:rsidR="08B6328D">
        <w:tab/>
      </w:r>
      <w:r>
        <w:t>As clarified in the addended Solicitation Manual, “</w:t>
      </w:r>
      <w:r w:rsidR="785CA582">
        <w:t>m</w:t>
      </w:r>
      <w:r>
        <w:t xml:space="preserve">anufacturers must </w:t>
      </w:r>
      <w:r w:rsidR="74D4B777">
        <w:t xml:space="preserve">certify </w:t>
      </w:r>
      <w:r>
        <w:t>that the charger conforms to OCPP 2.0.1 or later by detailing it on a publicly available charger specification sheet” (Section II.B.5)</w:t>
      </w:r>
      <w:r w:rsidR="1C06C331">
        <w:t>.</w:t>
      </w:r>
    </w:p>
    <w:p w14:paraId="1BD3193B" w14:textId="6FFB65F2" w:rsidR="5A18A8D9" w:rsidRDefault="365F3012" w:rsidP="1C67EE85">
      <w:pPr>
        <w:ind w:left="720" w:hanging="720"/>
        <w:rPr>
          <w:b/>
          <w:bCs/>
        </w:rPr>
      </w:pPr>
      <w:r w:rsidRPr="753D5AFD">
        <w:rPr>
          <w:b/>
          <w:bCs/>
        </w:rPr>
        <w:t>Q</w:t>
      </w:r>
      <w:r w:rsidR="64788C86" w:rsidRPr="753D5AFD">
        <w:rPr>
          <w:b/>
          <w:bCs/>
        </w:rPr>
        <w:t>1</w:t>
      </w:r>
      <w:r w:rsidR="36FD9619" w:rsidRPr="753D5AFD">
        <w:rPr>
          <w:b/>
          <w:bCs/>
        </w:rPr>
        <w:t>2</w:t>
      </w:r>
      <w:r w:rsidRPr="753D5AFD">
        <w:rPr>
          <w:b/>
          <w:bCs/>
        </w:rPr>
        <w:t xml:space="preserve">: </w:t>
      </w:r>
      <w:r w:rsidR="5A18A8D9">
        <w:tab/>
      </w:r>
      <w:r w:rsidRPr="753D5AFD">
        <w:rPr>
          <w:b/>
          <w:bCs/>
        </w:rPr>
        <w:t>Do OCA OCPP certifications need to be obtained before application submission or before construction commences?</w:t>
      </w:r>
    </w:p>
    <w:p w14:paraId="1855BF38" w14:textId="53A95139" w:rsidR="07A9C8C6" w:rsidRDefault="4FD7AF41" w:rsidP="1C67EE85">
      <w:pPr>
        <w:ind w:left="720" w:hanging="720"/>
      </w:pPr>
      <w:r>
        <w:lastRenderedPageBreak/>
        <w:t>A</w:t>
      </w:r>
      <w:r w:rsidR="234344EA">
        <w:t>1</w:t>
      </w:r>
      <w:r w:rsidR="46BF701D">
        <w:t>2</w:t>
      </w:r>
      <w:r>
        <w:t xml:space="preserve">: </w:t>
      </w:r>
      <w:r w:rsidR="07A9C8C6">
        <w:tab/>
      </w:r>
      <w:r w:rsidR="1D83913E">
        <w:t>As stated in the addended Solicitation Manual, “</w:t>
      </w:r>
      <w:r w:rsidR="77EC108E">
        <w:t>M</w:t>
      </w:r>
      <w:r w:rsidR="1D83913E">
        <w:t xml:space="preserve">anufacturers must certify that the charger conforms to OCPP 2.0.1 or later by detailing it on a publicly available charger specification sheet. </w:t>
      </w:r>
    </w:p>
    <w:p w14:paraId="6A08ECE1" w14:textId="661D03F9" w:rsidR="07A9C8C6" w:rsidRDefault="1D83913E" w:rsidP="0D37FCD8">
      <w:pPr>
        <w:ind w:left="720"/>
      </w:pPr>
      <w:r>
        <w:t xml:space="preserve">General regulations for state and ratepayer-funded chargers are being developed and are expected to require compliance with OCPP 2.0.1 or later. However, that will be determined and finalized through the regulatory process. The general regulation requirements are anticipated to go into effect a given number of days after the effective date of the regulation, such as 180 days. Industry participants are encouraged to implement OCPP 2.0.1 or later. </w:t>
      </w:r>
    </w:p>
    <w:p w14:paraId="5DC8E87D" w14:textId="09392B98" w:rsidR="07A9C8C6" w:rsidRDefault="1D83913E" w:rsidP="0D37FCD8">
      <w:pPr>
        <w:ind w:left="720"/>
      </w:pPr>
      <w:r>
        <w:t>If the regulation for state and ratepayer-funded chargers is not finalized and in effect before the execution of the Recipient’s agreement with the CEC, chargers will need to comply with OCPP 1.6 (Section II.B.5).</w:t>
      </w:r>
      <w:r w:rsidR="50FF8019">
        <w:t>"</w:t>
      </w:r>
      <w:r w:rsidR="186C9B8E">
        <w:t xml:space="preserve"> If </w:t>
      </w:r>
      <w:r w:rsidR="61D73DAD">
        <w:t xml:space="preserve">the charger manufacturer </w:t>
      </w:r>
      <w:r w:rsidR="186C9B8E">
        <w:t xml:space="preserve">is in the process of obtaining their OCPP certification, </w:t>
      </w:r>
      <w:r w:rsidR="39E6366D">
        <w:t xml:space="preserve">the Recipient of the grant must </w:t>
      </w:r>
      <w:r w:rsidR="186C9B8E">
        <w:t>provide</w:t>
      </w:r>
      <w:r w:rsidR="27759C88">
        <w:t xml:space="preserve"> evidence of </w:t>
      </w:r>
      <w:r w:rsidR="4E5DB8EC">
        <w:t xml:space="preserve">the </w:t>
      </w:r>
      <w:r w:rsidR="27759C88">
        <w:t>certification prior to in</w:t>
      </w:r>
      <w:r w:rsidR="661E1DB8">
        <w:t xml:space="preserve">voicing </w:t>
      </w:r>
      <w:r w:rsidR="50419C19">
        <w:t xml:space="preserve">for </w:t>
      </w:r>
      <w:r w:rsidR="22199071">
        <w:t xml:space="preserve">the </w:t>
      </w:r>
      <w:r w:rsidR="661E1DB8">
        <w:t xml:space="preserve">charging equipment. </w:t>
      </w:r>
    </w:p>
    <w:p w14:paraId="6BF4090B" w14:textId="4F156B91" w:rsidR="07443DF4" w:rsidRDefault="07443DF4" w:rsidP="1C67EE85">
      <w:pPr>
        <w:pStyle w:val="Heading1"/>
        <w:keepNext w:val="0"/>
        <w:keepLines w:val="0"/>
        <w:spacing w:line="240" w:lineRule="auto"/>
        <w:ind w:left="720" w:hanging="720"/>
      </w:pPr>
      <w:r>
        <w:t>Site Eligibility</w:t>
      </w:r>
    </w:p>
    <w:p w14:paraId="4965B2E2" w14:textId="555F702A" w:rsidR="07443DF4" w:rsidRDefault="7AE6312B" w:rsidP="1C67EE85">
      <w:pPr>
        <w:spacing w:line="240" w:lineRule="auto"/>
        <w:ind w:left="720" w:hanging="720"/>
        <w:rPr>
          <w:b/>
          <w:bCs/>
        </w:rPr>
      </w:pPr>
      <w:r w:rsidRPr="753D5AFD">
        <w:rPr>
          <w:b/>
          <w:bCs/>
        </w:rPr>
        <w:t>Q</w:t>
      </w:r>
      <w:r w:rsidR="6AB20719" w:rsidRPr="753D5AFD">
        <w:rPr>
          <w:b/>
          <w:bCs/>
        </w:rPr>
        <w:t>1</w:t>
      </w:r>
      <w:r w:rsidR="7292DDC7" w:rsidRPr="753D5AFD">
        <w:rPr>
          <w:b/>
          <w:bCs/>
        </w:rPr>
        <w:t>3</w:t>
      </w:r>
      <w:r w:rsidRPr="753D5AFD">
        <w:rPr>
          <w:b/>
          <w:bCs/>
        </w:rPr>
        <w:t xml:space="preserve">: </w:t>
      </w:r>
      <w:r w:rsidR="07443DF4">
        <w:tab/>
      </w:r>
      <w:r w:rsidRPr="753D5AFD">
        <w:rPr>
          <w:b/>
          <w:bCs/>
        </w:rPr>
        <w:t>Could you please provide clarification on whether the City of Indio qualifies for this funding opportunity?</w:t>
      </w:r>
    </w:p>
    <w:p w14:paraId="1D70BB7B" w14:textId="1B492A82" w:rsidR="07443DF4" w:rsidRDefault="7AE6312B" w:rsidP="1C67EE85">
      <w:pPr>
        <w:spacing w:line="240" w:lineRule="auto"/>
        <w:ind w:left="720" w:hanging="720"/>
      </w:pPr>
      <w:r>
        <w:t>A</w:t>
      </w:r>
      <w:r w:rsidR="6D5CB8F9">
        <w:t>1</w:t>
      </w:r>
      <w:r w:rsidR="72227B67">
        <w:t>3</w:t>
      </w:r>
      <w:r>
        <w:t xml:space="preserve">: </w:t>
      </w:r>
      <w:r w:rsidR="07443DF4">
        <w:tab/>
      </w:r>
      <w:r w:rsidR="2D1F5C63">
        <w:t xml:space="preserve">As </w:t>
      </w:r>
      <w:r w:rsidR="4B0FA179">
        <w:t>stat</w:t>
      </w:r>
      <w:r w:rsidR="2D1F5C63">
        <w:t xml:space="preserve">ed in </w:t>
      </w:r>
      <w:r>
        <w:t xml:space="preserve">the </w:t>
      </w:r>
      <w:r w:rsidR="1BB78D9B">
        <w:t>S</w:t>
      </w:r>
      <w:r>
        <w:t xml:space="preserve">olicitation </w:t>
      </w:r>
      <w:r w:rsidR="4172A7E6">
        <w:t>M</w:t>
      </w:r>
      <w:r>
        <w:t>anual, "</w:t>
      </w:r>
      <w:r w:rsidR="4BBD32D1">
        <w:t>a</w:t>
      </w:r>
      <w:r>
        <w:t xml:space="preserve">ll project sites must be located within California and in designated rural tracts or rural center tracts. Applicants should use CEC’s </w:t>
      </w:r>
      <w:hyperlink r:id="rId11">
        <w:r w:rsidRPr="753D5AFD">
          <w:rPr>
            <w:rStyle w:val="Hyperlink"/>
          </w:rPr>
          <w:t>REV 2.0 Eligibility Map</w:t>
        </w:r>
      </w:hyperlink>
      <w:r>
        <w:t xml:space="preserve"> at https://www.energy.ca.gov/data-reports/data-exploration-tools/rural-electric-vehicle-charging-20-rev-20-eligibility-map to identify eligible project sites for this solicitation" (Section II.B.3)</w:t>
      </w:r>
      <w:r w:rsidR="4468C38E">
        <w:t>.</w:t>
      </w:r>
    </w:p>
    <w:p w14:paraId="2CD69731" w14:textId="472144AB" w:rsidR="07443DF4" w:rsidRDefault="7AE6312B" w:rsidP="1C67EE85">
      <w:pPr>
        <w:spacing w:line="240" w:lineRule="auto"/>
        <w:ind w:left="720" w:hanging="720"/>
        <w:rPr>
          <w:b/>
          <w:bCs/>
        </w:rPr>
      </w:pPr>
      <w:r w:rsidRPr="753D5AFD">
        <w:rPr>
          <w:b/>
          <w:bCs/>
        </w:rPr>
        <w:t>Q1</w:t>
      </w:r>
      <w:r w:rsidR="2E71C550" w:rsidRPr="753D5AFD">
        <w:rPr>
          <w:b/>
          <w:bCs/>
        </w:rPr>
        <w:t>4</w:t>
      </w:r>
      <w:r w:rsidRPr="753D5AFD">
        <w:rPr>
          <w:b/>
          <w:bCs/>
        </w:rPr>
        <w:t xml:space="preserve">: </w:t>
      </w:r>
      <w:r w:rsidR="07443DF4">
        <w:tab/>
      </w:r>
      <w:r w:rsidRPr="753D5AFD">
        <w:rPr>
          <w:b/>
          <w:bCs/>
        </w:rPr>
        <w:t>Regarding the requirement that at least 50% of a project’s charging ports or charger kW output be installed within DACs and LICs, does this requirement apply to each individual project site within a proposal, or can an applicant meet the 50% threshold by averaging across multiple sites in a single proposal?</w:t>
      </w:r>
    </w:p>
    <w:p w14:paraId="16161491" w14:textId="4BA1C715" w:rsidR="07443DF4" w:rsidRDefault="7AE6312B" w:rsidP="1C67EE85">
      <w:pPr>
        <w:spacing w:line="240" w:lineRule="auto"/>
        <w:ind w:left="720" w:hanging="720"/>
      </w:pPr>
      <w:r>
        <w:t>A1</w:t>
      </w:r>
      <w:r w:rsidR="094479A5">
        <w:t>4</w:t>
      </w:r>
      <w:r>
        <w:t xml:space="preserve">: </w:t>
      </w:r>
      <w:r w:rsidR="07443DF4">
        <w:tab/>
      </w:r>
      <w:r>
        <w:t xml:space="preserve">As </w:t>
      </w:r>
      <w:r w:rsidR="10471765">
        <w:t xml:space="preserve">stated </w:t>
      </w:r>
      <w:r>
        <w:t>in the Solicitation Manual, "</w:t>
      </w:r>
      <w:r w:rsidR="1710DDF5">
        <w:t>a</w:t>
      </w:r>
      <w:r>
        <w:t xml:space="preserve"> minimum of 50 percent of a project’s charging ports or charger kW output must be installed within disadvantaged communities (DIC) and/or low-income communities (LIC)" (</w:t>
      </w:r>
      <w:r w:rsidR="414C6D2E">
        <w:t>S</w:t>
      </w:r>
      <w:r>
        <w:t>ection II.B</w:t>
      </w:r>
      <w:r w:rsidR="3C767EE0">
        <w:t>.</w:t>
      </w:r>
      <w:r>
        <w:t>4). This requirement applies to the entir</w:t>
      </w:r>
      <w:r w:rsidR="24D94027">
        <w:t>ety of the Applicant’s</w:t>
      </w:r>
      <w:r>
        <w:t xml:space="preserve"> </w:t>
      </w:r>
      <w:r w:rsidR="1440A94F">
        <w:t>propos</w:t>
      </w:r>
      <w:r w:rsidR="41B4707F">
        <w:t>ed project</w:t>
      </w:r>
      <w:r w:rsidR="0577B348">
        <w:t xml:space="preserve">. </w:t>
      </w:r>
    </w:p>
    <w:p w14:paraId="26578007" w14:textId="55CA6BC1" w:rsidR="07443DF4" w:rsidRDefault="7AE6312B" w:rsidP="1C67EE85">
      <w:pPr>
        <w:spacing w:line="240" w:lineRule="auto"/>
        <w:ind w:left="720" w:hanging="720"/>
        <w:rPr>
          <w:b/>
          <w:bCs/>
        </w:rPr>
      </w:pPr>
      <w:r w:rsidRPr="753D5AFD">
        <w:rPr>
          <w:b/>
          <w:bCs/>
        </w:rPr>
        <w:t>Q1</w:t>
      </w:r>
      <w:r w:rsidR="0405BF65" w:rsidRPr="753D5AFD">
        <w:rPr>
          <w:b/>
          <w:bCs/>
        </w:rPr>
        <w:t>5</w:t>
      </w:r>
      <w:r w:rsidRPr="753D5AFD">
        <w:rPr>
          <w:b/>
          <w:bCs/>
        </w:rPr>
        <w:t xml:space="preserve">: </w:t>
      </w:r>
      <w:r w:rsidR="07443DF4">
        <w:tab/>
      </w:r>
      <w:r w:rsidRPr="753D5AFD">
        <w:rPr>
          <w:b/>
          <w:bCs/>
        </w:rPr>
        <w:t>Do charging sites need to be 100% in compliance with the “at least 18</w:t>
      </w:r>
      <w:r w:rsidR="64A2E844" w:rsidRPr="753D5AFD">
        <w:rPr>
          <w:b/>
          <w:bCs/>
        </w:rPr>
        <w:t xml:space="preserve"> hours</w:t>
      </w:r>
      <w:r w:rsidRPr="753D5AFD">
        <w:rPr>
          <w:b/>
          <w:bCs/>
        </w:rPr>
        <w:t xml:space="preserve"> per days publicly accessible” requirement? </w:t>
      </w:r>
      <w:r w:rsidR="0E9701C7" w:rsidRPr="753D5AFD">
        <w:rPr>
          <w:b/>
          <w:bCs/>
        </w:rPr>
        <w:t>C</w:t>
      </w:r>
      <w:r w:rsidRPr="753D5AFD">
        <w:rPr>
          <w:b/>
          <w:bCs/>
        </w:rPr>
        <w:t>an there be mixed sites with a partly fenced off section</w:t>
      </w:r>
      <w:r w:rsidR="63C114E6" w:rsidRPr="753D5AFD">
        <w:rPr>
          <w:b/>
          <w:bCs/>
        </w:rPr>
        <w:t>s</w:t>
      </w:r>
      <w:r w:rsidRPr="753D5AFD">
        <w:rPr>
          <w:b/>
          <w:bCs/>
        </w:rPr>
        <w:t xml:space="preserve"> to make V2G for last-mile delivery fleets etc. more plannable and hence attractive?</w:t>
      </w:r>
    </w:p>
    <w:p w14:paraId="14EB55E2" w14:textId="4BE18593" w:rsidR="07443DF4" w:rsidRDefault="7AE6312B" w:rsidP="1C67EE85">
      <w:pPr>
        <w:spacing w:line="240" w:lineRule="auto"/>
        <w:ind w:left="720" w:hanging="720"/>
      </w:pPr>
      <w:r>
        <w:lastRenderedPageBreak/>
        <w:t>A1</w:t>
      </w:r>
      <w:r w:rsidR="38756097">
        <w:t>5</w:t>
      </w:r>
      <w:r>
        <w:t xml:space="preserve">: </w:t>
      </w:r>
      <w:r>
        <w:tab/>
        <w:t xml:space="preserve">As stated in the Solicitation Manual, all "project sites and chargers must be accessible to the public at least 18 hours per day" (Section II.B.3). </w:t>
      </w:r>
    </w:p>
    <w:p w14:paraId="3D3CA4F9" w14:textId="431CC93D" w:rsidR="07443DF4" w:rsidRDefault="7AE6312B" w:rsidP="1C67EE85">
      <w:pPr>
        <w:spacing w:line="240" w:lineRule="auto"/>
        <w:ind w:left="720" w:hanging="720"/>
        <w:rPr>
          <w:b/>
          <w:bCs/>
        </w:rPr>
      </w:pPr>
      <w:r w:rsidRPr="753D5AFD">
        <w:rPr>
          <w:b/>
          <w:bCs/>
        </w:rPr>
        <w:t>Q1</w:t>
      </w:r>
      <w:r w:rsidR="666CDB27" w:rsidRPr="753D5AFD">
        <w:rPr>
          <w:b/>
          <w:bCs/>
        </w:rPr>
        <w:t>6</w:t>
      </w:r>
      <w:r w:rsidRPr="753D5AFD">
        <w:rPr>
          <w:b/>
          <w:bCs/>
        </w:rPr>
        <w:t xml:space="preserve">: </w:t>
      </w:r>
      <w:r w:rsidR="07443DF4">
        <w:tab/>
      </w:r>
      <w:r w:rsidRPr="753D5AFD">
        <w:rPr>
          <w:b/>
          <w:bCs/>
        </w:rPr>
        <w:t xml:space="preserve">Specifically, would the CEC permit a rural charging project to operate under a CaaS model, where chargers are primarily rented to light- and medium-duty fleets but also meet the program’s operational and accessibility requirements? </w:t>
      </w:r>
    </w:p>
    <w:p w14:paraId="795E7220" w14:textId="13B7C93F" w:rsidR="07443DF4" w:rsidRDefault="07443DF4" w:rsidP="1C67EE85">
      <w:pPr>
        <w:spacing w:line="240" w:lineRule="auto"/>
        <w:ind w:left="720"/>
        <w:rPr>
          <w:b/>
          <w:bCs/>
        </w:rPr>
      </w:pPr>
      <w:r w:rsidRPr="1C67EE85">
        <w:rPr>
          <w:b/>
          <w:bCs/>
        </w:rPr>
        <w:t>Additionally, how does REV 2.0 define "public access" in terms of reservation systems and session restrictions? For example, CARB LCFS considers a charger "public" if a session cannot be booked for more than 12 hours on a given day. Would a similar framework apply to this grant?</w:t>
      </w:r>
    </w:p>
    <w:p w14:paraId="586C326A" w14:textId="4A8B5A60" w:rsidR="07443DF4" w:rsidRDefault="7AE6312B" w:rsidP="1C67EE85">
      <w:pPr>
        <w:spacing w:line="240" w:lineRule="auto"/>
        <w:ind w:left="720" w:hanging="720"/>
      </w:pPr>
      <w:r>
        <w:t>A1</w:t>
      </w:r>
      <w:r w:rsidR="7EE942C8">
        <w:t>6</w:t>
      </w:r>
      <w:r>
        <w:t>:</w:t>
      </w:r>
      <w:r w:rsidR="1BD2AF99">
        <w:t xml:space="preserve"> </w:t>
      </w:r>
      <w:r>
        <w:t xml:space="preserve"> </w:t>
      </w:r>
      <w:r>
        <w:tab/>
      </w:r>
      <w:r w:rsidR="66D44198">
        <w:t>As stated in the Solicitation Manual, “eligible projects will demonstrate business and technology models for the deployment of public light-duty EV charging infrastructure”</w:t>
      </w:r>
      <w:r w:rsidR="49C1C332">
        <w:t xml:space="preserve"> (Section II.B.1).</w:t>
      </w:r>
      <w:r>
        <w:t xml:space="preserve"> </w:t>
      </w:r>
      <w:r w:rsidR="4F2C4158">
        <w:t>Project</w:t>
      </w:r>
      <w:r w:rsidR="7295DD1A">
        <w:t>s</w:t>
      </w:r>
      <w:r w:rsidR="4F2C4158">
        <w:t xml:space="preserve"> where chargers are primarily used by a private vehicle fleet are ineligible for this solicitation. </w:t>
      </w:r>
    </w:p>
    <w:p w14:paraId="5067312C" w14:textId="74AECC20" w:rsidR="07443DF4" w:rsidRDefault="329200A6" w:rsidP="0FFD0CD0">
      <w:pPr>
        <w:spacing w:line="240" w:lineRule="auto"/>
        <w:ind w:left="720"/>
      </w:pPr>
      <w:r>
        <w:t>As stated in the addended Solicitation Manual, “f</w:t>
      </w:r>
      <w:r w:rsidR="7AE6312B">
        <w:t xml:space="preserve">or the purposes of this solicitation, to be considered publicly </w:t>
      </w:r>
      <w:r w:rsidR="2EB77045">
        <w:t>accessible</w:t>
      </w:r>
      <w:r w:rsidR="7AE6312B">
        <w:t xml:space="preserve">, </w:t>
      </w:r>
      <w:r w:rsidR="3E75C251">
        <w:t xml:space="preserve">the project site and </w:t>
      </w:r>
      <w:r w:rsidR="7AE6312B">
        <w:t>charger must not be located behind a fence or gated parking lot, such that the general public is unable to access or is deterred from accessing</w:t>
      </w:r>
      <w:r w:rsidR="3BD2757E">
        <w:t>” (Section II.B.3)</w:t>
      </w:r>
      <w:r w:rsidR="7AE6312B">
        <w:t xml:space="preserve">. Charging stations and sites that require advanced reservation </w:t>
      </w:r>
      <w:r w:rsidR="35AFF6D6">
        <w:t xml:space="preserve">are </w:t>
      </w:r>
      <w:r w:rsidR="7AE6312B">
        <w:t xml:space="preserve">not considered </w:t>
      </w:r>
      <w:r w:rsidR="5D77597C">
        <w:t xml:space="preserve">publicly accessible. </w:t>
      </w:r>
    </w:p>
    <w:p w14:paraId="30F85FE2" w14:textId="50B4C30B" w:rsidR="07443DF4" w:rsidRDefault="7AE6312B" w:rsidP="1C67EE85">
      <w:pPr>
        <w:spacing w:line="240" w:lineRule="auto"/>
        <w:ind w:left="720" w:hanging="720"/>
        <w:rPr>
          <w:b/>
          <w:bCs/>
        </w:rPr>
      </w:pPr>
      <w:r w:rsidRPr="753D5AFD">
        <w:rPr>
          <w:b/>
          <w:bCs/>
        </w:rPr>
        <w:t>Q1</w:t>
      </w:r>
      <w:r w:rsidR="2D270148" w:rsidRPr="753D5AFD">
        <w:rPr>
          <w:b/>
          <w:bCs/>
        </w:rPr>
        <w:t>7</w:t>
      </w:r>
      <w:r w:rsidRPr="753D5AFD">
        <w:rPr>
          <w:b/>
          <w:bCs/>
        </w:rPr>
        <w:t xml:space="preserve">: </w:t>
      </w:r>
      <w:r w:rsidR="07443DF4">
        <w:tab/>
      </w:r>
      <w:r w:rsidR="34627C1B" w:rsidRPr="753D5AFD">
        <w:rPr>
          <w:b/>
          <w:bCs/>
        </w:rPr>
        <w:t>D</w:t>
      </w:r>
      <w:r w:rsidRPr="753D5AFD">
        <w:rPr>
          <w:b/>
          <w:bCs/>
        </w:rPr>
        <w:t>o all of the chargers need to be publicly accessible 18</w:t>
      </w:r>
      <w:r w:rsidR="4BAEA844" w:rsidRPr="753D5AFD">
        <w:rPr>
          <w:b/>
          <w:bCs/>
        </w:rPr>
        <w:t xml:space="preserve"> </w:t>
      </w:r>
      <w:r w:rsidRPr="753D5AFD">
        <w:rPr>
          <w:b/>
          <w:bCs/>
        </w:rPr>
        <w:t>h</w:t>
      </w:r>
      <w:r w:rsidR="4392B0BC" w:rsidRPr="753D5AFD">
        <w:rPr>
          <w:b/>
          <w:bCs/>
        </w:rPr>
        <w:t>ou</w:t>
      </w:r>
      <w:r w:rsidRPr="753D5AFD">
        <w:rPr>
          <w:b/>
          <w:bCs/>
        </w:rPr>
        <w:t>rs per day, or could some be private with the others publicly accessible? Most fleets have security concerns with parking their fleet in areas that are publicly accessible.</w:t>
      </w:r>
    </w:p>
    <w:p w14:paraId="1013B26D" w14:textId="77048A01" w:rsidR="07443DF4" w:rsidRDefault="7AE6312B" w:rsidP="1C67EE85">
      <w:pPr>
        <w:spacing w:line="240" w:lineRule="auto"/>
        <w:ind w:left="720" w:hanging="720"/>
      </w:pPr>
      <w:r>
        <w:t>A1</w:t>
      </w:r>
      <w:r w:rsidR="4D563C29">
        <w:t>7</w:t>
      </w:r>
      <w:r>
        <w:t xml:space="preserve">: </w:t>
      </w:r>
      <w:r>
        <w:tab/>
        <w:t xml:space="preserve">As stated in the Solicitation Manual, all "project sites and chargers must be accessible to the public at least 18 hours per day" (Section II.B.3). </w:t>
      </w:r>
    </w:p>
    <w:p w14:paraId="7C49752D" w14:textId="18EB0873" w:rsidR="794C80A2" w:rsidRDefault="794C80A2" w:rsidP="0FFD0CD0">
      <w:pPr>
        <w:spacing w:line="240" w:lineRule="auto"/>
        <w:ind w:left="720"/>
      </w:pPr>
      <w:r>
        <w:t>As stated in the Solicitation Manual, “eligible projects will demonstrate business and technology models for the deployment of public light-duty EV charging infrastructure”</w:t>
      </w:r>
      <w:r w:rsidR="46F28A4C">
        <w:t xml:space="preserve"> (Section II.B.1).</w:t>
      </w:r>
      <w:r>
        <w:t xml:space="preserve"> Projects where chargers are primarily used by a private vehicle fleet are ineligible for this solicitation.</w:t>
      </w:r>
    </w:p>
    <w:p w14:paraId="0F9237E3" w14:textId="042B0752" w:rsidR="07443DF4" w:rsidRDefault="7AE6312B" w:rsidP="1C67EE85">
      <w:pPr>
        <w:ind w:left="720" w:hanging="720"/>
        <w:rPr>
          <w:b/>
          <w:bCs/>
        </w:rPr>
      </w:pPr>
      <w:r w:rsidRPr="753D5AFD">
        <w:rPr>
          <w:b/>
          <w:bCs/>
        </w:rPr>
        <w:t>Q1</w:t>
      </w:r>
      <w:r w:rsidR="600CE5B0" w:rsidRPr="753D5AFD">
        <w:rPr>
          <w:b/>
          <w:bCs/>
        </w:rPr>
        <w:t>8</w:t>
      </w:r>
      <w:r w:rsidRPr="753D5AFD">
        <w:rPr>
          <w:b/>
          <w:bCs/>
        </w:rPr>
        <w:t xml:space="preserve">: </w:t>
      </w:r>
      <w:r w:rsidR="07443DF4">
        <w:tab/>
      </w:r>
      <w:r w:rsidRPr="753D5AFD">
        <w:rPr>
          <w:b/>
          <w:bCs/>
        </w:rPr>
        <w:t>Are charging ports in deeded or assigned parking spaces within multifamily homes eligible?</w:t>
      </w:r>
    </w:p>
    <w:p w14:paraId="5DFDAB05" w14:textId="7A17369B" w:rsidR="07443DF4" w:rsidRDefault="7AE6312B" w:rsidP="1C67EE85">
      <w:pPr>
        <w:ind w:left="720" w:hanging="720"/>
      </w:pPr>
      <w:r>
        <w:t>A1</w:t>
      </w:r>
      <w:r w:rsidR="6F03EA4A">
        <w:t>8</w:t>
      </w:r>
      <w:r>
        <w:t xml:space="preserve">: </w:t>
      </w:r>
      <w:r>
        <w:tab/>
        <w:t xml:space="preserve">No, as stated in the Solicitation Manual, all "project sites and chargers must be accessible to the public at least 18 hours per day" </w:t>
      </w:r>
      <w:r w:rsidR="7361CAA3">
        <w:t>(</w:t>
      </w:r>
      <w:r>
        <w:t xml:space="preserve">Section II.B.3). </w:t>
      </w:r>
    </w:p>
    <w:p w14:paraId="4998BE8B" w14:textId="0D0738BA" w:rsidR="07443DF4" w:rsidRDefault="7AE6312B" w:rsidP="1C67EE85">
      <w:pPr>
        <w:ind w:left="720" w:hanging="720"/>
        <w:rPr>
          <w:b/>
          <w:bCs/>
        </w:rPr>
      </w:pPr>
      <w:r w:rsidRPr="753D5AFD">
        <w:rPr>
          <w:b/>
          <w:bCs/>
        </w:rPr>
        <w:t>Q1</w:t>
      </w:r>
      <w:r w:rsidR="3FB618C7" w:rsidRPr="753D5AFD">
        <w:rPr>
          <w:b/>
          <w:bCs/>
        </w:rPr>
        <w:t>9</w:t>
      </w:r>
      <w:r w:rsidRPr="753D5AFD">
        <w:rPr>
          <w:b/>
          <w:bCs/>
        </w:rPr>
        <w:t xml:space="preserve">: </w:t>
      </w:r>
      <w:r w:rsidR="07443DF4">
        <w:tab/>
      </w:r>
      <w:r w:rsidRPr="753D5AFD">
        <w:rPr>
          <w:b/>
          <w:bCs/>
        </w:rPr>
        <w:t>Are we allowed to construct the eligible charging station from scratch on a vacant plot of land?</w:t>
      </w:r>
    </w:p>
    <w:p w14:paraId="65FC0E16" w14:textId="3F048F8E" w:rsidR="07443DF4" w:rsidRDefault="7AE6312B" w:rsidP="1C67EE85">
      <w:pPr>
        <w:ind w:left="720" w:hanging="720"/>
      </w:pPr>
      <w:r>
        <w:lastRenderedPageBreak/>
        <w:t>A1</w:t>
      </w:r>
      <w:r w:rsidR="34E05FAB">
        <w:t>9</w:t>
      </w:r>
      <w:r>
        <w:t xml:space="preserve">: </w:t>
      </w:r>
      <w:r w:rsidR="07443DF4">
        <w:tab/>
      </w:r>
      <w:r>
        <w:t xml:space="preserve">No, </w:t>
      </w:r>
      <w:r w:rsidR="1FA4FBD1">
        <w:t xml:space="preserve">as stated in the Solicitation Manual </w:t>
      </w:r>
      <w:r>
        <w:t>"</w:t>
      </w:r>
      <w:r w:rsidR="16D7A761">
        <w:t>a</w:t>
      </w:r>
      <w:r>
        <w:t>ll deployments must be at existing structures or facilities and involve negligible or no expansion of existing or former use" (Section II.B.3)</w:t>
      </w:r>
      <w:r w:rsidR="5A4EEE9C">
        <w:t>.</w:t>
      </w:r>
    </w:p>
    <w:p w14:paraId="48D4CAAE" w14:textId="00F0C0F8" w:rsidR="1DC8DAA0" w:rsidRDefault="065C0746" w:rsidP="1C67EE85">
      <w:pPr>
        <w:ind w:left="720" w:hanging="720"/>
        <w:rPr>
          <w:b/>
          <w:bCs/>
        </w:rPr>
      </w:pPr>
      <w:r w:rsidRPr="5771F5C4">
        <w:rPr>
          <w:b/>
          <w:bCs/>
        </w:rPr>
        <w:t>Q</w:t>
      </w:r>
      <w:r w:rsidR="33597ABA" w:rsidRPr="5771F5C4">
        <w:rPr>
          <w:b/>
          <w:bCs/>
        </w:rPr>
        <w:t>20</w:t>
      </w:r>
      <w:r w:rsidRPr="5771F5C4">
        <w:rPr>
          <w:b/>
          <w:bCs/>
        </w:rPr>
        <w:t xml:space="preserve">: </w:t>
      </w:r>
      <w:r>
        <w:tab/>
      </w:r>
      <w:r w:rsidRPr="5771F5C4">
        <w:rPr>
          <w:b/>
          <w:bCs/>
        </w:rPr>
        <w:t xml:space="preserve">Can you </w:t>
      </w:r>
      <w:r w:rsidR="00644D87" w:rsidRPr="5771F5C4">
        <w:rPr>
          <w:b/>
          <w:bCs/>
        </w:rPr>
        <w:t>clarify</w:t>
      </w:r>
      <w:r w:rsidRPr="5771F5C4">
        <w:rPr>
          <w:b/>
          <w:bCs/>
        </w:rPr>
        <w:t xml:space="preserve"> what </w:t>
      </w:r>
      <w:r w:rsidR="00F056F8" w:rsidRPr="5771F5C4">
        <w:rPr>
          <w:b/>
          <w:bCs/>
        </w:rPr>
        <w:t>constitutes</w:t>
      </w:r>
      <w:r w:rsidRPr="5771F5C4">
        <w:rPr>
          <w:b/>
          <w:bCs/>
        </w:rPr>
        <w:t xml:space="preserve"> </w:t>
      </w:r>
      <w:r w:rsidR="004166FB" w:rsidRPr="5771F5C4">
        <w:rPr>
          <w:b/>
          <w:bCs/>
        </w:rPr>
        <w:t>“</w:t>
      </w:r>
      <w:r w:rsidRPr="5771F5C4">
        <w:rPr>
          <w:b/>
          <w:bCs/>
        </w:rPr>
        <w:t>existing structures</w:t>
      </w:r>
      <w:r w:rsidR="1CEF9FC2" w:rsidRPr="5771F5C4">
        <w:rPr>
          <w:b/>
          <w:bCs/>
        </w:rPr>
        <w:t>”</w:t>
      </w:r>
      <w:r w:rsidRPr="5771F5C4">
        <w:rPr>
          <w:b/>
          <w:bCs/>
        </w:rPr>
        <w:t>?</w:t>
      </w:r>
    </w:p>
    <w:p w14:paraId="15DA8C3E" w14:textId="70D9DFA8" w:rsidR="1DC8DAA0" w:rsidRDefault="065C0746" w:rsidP="5771F5C4">
      <w:pPr>
        <w:ind w:left="720" w:hanging="720"/>
      </w:pPr>
      <w:r>
        <w:t>A</w:t>
      </w:r>
      <w:r w:rsidR="26A32899">
        <w:t>20</w:t>
      </w:r>
      <w:r>
        <w:t xml:space="preserve">: </w:t>
      </w:r>
      <w:r>
        <w:tab/>
        <w:t xml:space="preserve">The CEC cannot give advice as to whether or not a particular project or project site is eligible for funding, because not all proposal details are known. </w:t>
      </w:r>
      <w:r w:rsidR="5835EB1D">
        <w:t>As stated in the Solicitation Manual, "all deployments must be at existing structures or facilities and involve negligible or no expansion of existing or former use" (Section II.B.3).</w:t>
      </w:r>
      <w:r w:rsidR="5195C6D7">
        <w:t xml:space="preserve"> New construction sites are not eligible. Project sites must be located at existing facilities as that is interpreted under </w:t>
      </w:r>
      <w:r w:rsidR="7D54AB16">
        <w:t>the California Environmental Quality Act (</w:t>
      </w:r>
      <w:r w:rsidR="5195C6D7">
        <w:t>CEQA</w:t>
      </w:r>
      <w:r w:rsidR="7BB0E36E">
        <w:t>)</w:t>
      </w:r>
      <w:r w:rsidR="5195C6D7">
        <w:t xml:space="preserve">. For purposes of eligibility under this solicitation, partially-built structures or facilities (at the time of application) are not considered “existing.” See </w:t>
      </w:r>
      <w:r w:rsidR="40D71A0F">
        <w:t>Section III.D.10 of the Solicitation Manual and Attachment 10 for more details of the requirements ne</w:t>
      </w:r>
      <w:r w:rsidR="39B013A6">
        <w:t>eded to complete the CEQA Worksheet.</w:t>
      </w:r>
      <w:r w:rsidR="4E7EA158">
        <w:t xml:space="preserve"> </w:t>
      </w:r>
    </w:p>
    <w:p w14:paraId="7C2B9E75" w14:textId="358EAEC8" w:rsidR="1DC8DAA0" w:rsidRDefault="065C0746" w:rsidP="1C67EE85">
      <w:pPr>
        <w:ind w:left="720" w:hanging="720"/>
        <w:rPr>
          <w:b/>
          <w:bCs/>
        </w:rPr>
      </w:pPr>
      <w:r w:rsidRPr="753D5AFD">
        <w:rPr>
          <w:b/>
          <w:bCs/>
        </w:rPr>
        <w:t>Q</w:t>
      </w:r>
      <w:r w:rsidR="6AAEF973" w:rsidRPr="753D5AFD">
        <w:rPr>
          <w:b/>
          <w:bCs/>
        </w:rPr>
        <w:t>2</w:t>
      </w:r>
      <w:r w:rsidR="469742C8" w:rsidRPr="753D5AFD">
        <w:rPr>
          <w:b/>
          <w:bCs/>
        </w:rPr>
        <w:t>1</w:t>
      </w:r>
      <w:r w:rsidRPr="753D5AFD">
        <w:rPr>
          <w:b/>
          <w:bCs/>
        </w:rPr>
        <w:t xml:space="preserve">: </w:t>
      </w:r>
      <w:r w:rsidR="1DC8DAA0">
        <w:tab/>
      </w:r>
      <w:r w:rsidRPr="753D5AFD">
        <w:rPr>
          <w:b/>
          <w:bCs/>
        </w:rPr>
        <w:t>It lists that applications must include a minimum 20% total match share for this solicitation, however, on page 17, the document references a 50% cash match share requirement. Hypothetically, if we were to propose a project that was $1,000,000, what would our minimum match amount be? Any guidance you can provide is much appreciated.</w:t>
      </w:r>
    </w:p>
    <w:p w14:paraId="509F5C9D" w14:textId="645BF539" w:rsidR="1DC8DAA0" w:rsidRDefault="065C0746" w:rsidP="1C67EE85">
      <w:pPr>
        <w:ind w:left="720" w:hanging="720"/>
      </w:pPr>
      <w:r>
        <w:t>A</w:t>
      </w:r>
      <w:r w:rsidR="5E09D07D">
        <w:t>2</w:t>
      </w:r>
      <w:r w:rsidR="51E8FA0F">
        <w:t>1</w:t>
      </w:r>
      <w:r>
        <w:t xml:space="preserve">: </w:t>
      </w:r>
      <w:r w:rsidR="1DC8DAA0">
        <w:tab/>
      </w:r>
      <w:r>
        <w:t xml:space="preserve">The match share requirements as stated in </w:t>
      </w:r>
      <w:r w:rsidR="0EA63276">
        <w:t xml:space="preserve">the Solicitation Manual, </w:t>
      </w:r>
      <w:r>
        <w:t xml:space="preserve">Section II.C.1 require at least a 20% applicant match share of the total allowable project cost. 50% of that match share would need to be in the form of a cash match (Section II.C.2) and the remaining 50% could be in the form of a cash match or in-kind match (Section II.C.3). Please be sure to review the sections on match share restrictions (Section II.C.4) and unallowable costs (Section II.D). </w:t>
      </w:r>
    </w:p>
    <w:p w14:paraId="4FE6EDB3" w14:textId="7BF407C3" w:rsidR="1DC8DAA0" w:rsidRDefault="1DC8DAA0" w:rsidP="1C67EE85">
      <w:pPr>
        <w:ind w:left="720"/>
      </w:pPr>
      <w:r>
        <w:t xml:space="preserve">From </w:t>
      </w:r>
      <w:r w:rsidR="00FC719B">
        <w:t xml:space="preserve">this </w:t>
      </w:r>
      <w:r>
        <w:t>example, if the total allowable project cost is $1,000,000</w:t>
      </w:r>
      <w:r w:rsidR="00E239C0">
        <w:t>,</w:t>
      </w:r>
      <w:r w:rsidR="0431D304">
        <w:t xml:space="preserve"> </w:t>
      </w:r>
      <w:r w:rsidR="00E239C0">
        <w:t>t</w:t>
      </w:r>
      <w:r>
        <w:t xml:space="preserve">he minimum match share would be $200,000 (20% of the total allowable cost), </w:t>
      </w:r>
      <w:r w:rsidR="00E239C0">
        <w:t xml:space="preserve">and of that $200,000, at least </w:t>
      </w:r>
      <w:r>
        <w:t>$100,000 (50% of the required match) would need to be a cash match</w:t>
      </w:r>
      <w:r w:rsidR="00D50E85">
        <w:t>. The</w:t>
      </w:r>
      <w:r>
        <w:t xml:space="preserve"> remaining $100,000 of the required match can be a cash match or in-kind match.</w:t>
      </w:r>
    </w:p>
    <w:p w14:paraId="282AFE14" w14:textId="500A818F" w:rsidR="1DC8DAA0" w:rsidRDefault="065C0746" w:rsidP="1C67EE85">
      <w:pPr>
        <w:ind w:left="720" w:hanging="720"/>
        <w:rPr>
          <w:b/>
          <w:bCs/>
        </w:rPr>
      </w:pPr>
      <w:r w:rsidRPr="753D5AFD">
        <w:rPr>
          <w:b/>
          <w:bCs/>
        </w:rPr>
        <w:t>Q</w:t>
      </w:r>
      <w:r w:rsidR="472B758E" w:rsidRPr="753D5AFD">
        <w:rPr>
          <w:b/>
          <w:bCs/>
        </w:rPr>
        <w:t>2</w:t>
      </w:r>
      <w:r w:rsidR="18670061" w:rsidRPr="753D5AFD">
        <w:rPr>
          <w:b/>
          <w:bCs/>
        </w:rPr>
        <w:t>2</w:t>
      </w:r>
      <w:r w:rsidRPr="753D5AFD">
        <w:rPr>
          <w:b/>
          <w:bCs/>
        </w:rPr>
        <w:t xml:space="preserve">: </w:t>
      </w:r>
      <w:r w:rsidR="1DC8DAA0">
        <w:tab/>
      </w:r>
      <w:r w:rsidRPr="753D5AFD">
        <w:rPr>
          <w:b/>
          <w:bCs/>
        </w:rPr>
        <w:t>Can our applicants stack local funds for the balance that CEC will not cover?</w:t>
      </w:r>
    </w:p>
    <w:p w14:paraId="77DEB867" w14:textId="7849C00F" w:rsidR="1DC8DAA0" w:rsidRDefault="065C0746" w:rsidP="1C67EE85">
      <w:pPr>
        <w:ind w:left="720" w:hanging="720"/>
      </w:pPr>
      <w:r>
        <w:t>A</w:t>
      </w:r>
      <w:r w:rsidR="661FDE6C">
        <w:t>2</w:t>
      </w:r>
      <w:r w:rsidR="38337144">
        <w:t>2</w:t>
      </w:r>
      <w:r>
        <w:t xml:space="preserve">: </w:t>
      </w:r>
      <w:r>
        <w:tab/>
      </w:r>
      <w:r w:rsidR="5D38BA4A">
        <w:t xml:space="preserve">Applicants are encouraged to </w:t>
      </w:r>
      <w:r w:rsidR="703276BD">
        <w:t xml:space="preserve">utilize </w:t>
      </w:r>
      <w:r w:rsidR="4A051320">
        <w:t xml:space="preserve">any available </w:t>
      </w:r>
      <w:r w:rsidR="5D38BA4A">
        <w:t>local funds</w:t>
      </w:r>
      <w:r w:rsidR="17994155">
        <w:t xml:space="preserve">/incentives </w:t>
      </w:r>
      <w:r w:rsidR="5D38BA4A">
        <w:t xml:space="preserve">to help reduce </w:t>
      </w:r>
      <w:r w:rsidR="0E1195D3">
        <w:t>project costs</w:t>
      </w:r>
      <w:r w:rsidR="5D38BA4A">
        <w:t>.</w:t>
      </w:r>
      <w:r w:rsidR="21A0CFF4">
        <w:t xml:space="preserve"> However, please review </w:t>
      </w:r>
      <w:r w:rsidR="37E62F1F">
        <w:t xml:space="preserve">Section II.D in the Solicitation Manual regarding Unallowable Costs (Reimbursable or Match Share). </w:t>
      </w:r>
      <w:r>
        <w:t xml:space="preserve">Local funds </w:t>
      </w:r>
      <w:r w:rsidR="717D29CD">
        <w:t xml:space="preserve">that are </w:t>
      </w:r>
      <w:r>
        <w:t xml:space="preserve">"expenses that are already paid or to be paid for through a utility </w:t>
      </w:r>
      <w:r>
        <w:lastRenderedPageBreak/>
        <w:t xml:space="preserve">program, tariff, or other ratepayer funding are not an allowable item of cost. </w:t>
      </w:r>
      <w:r w:rsidR="234ECF38">
        <w:t>R</w:t>
      </w:r>
      <w:r>
        <w:t>atepayer-funded enrollment incentives</w:t>
      </w:r>
      <w:r w:rsidR="2CC551A7">
        <w:t>” (Section II.D.5)</w:t>
      </w:r>
      <w:r>
        <w:t xml:space="preserve"> </w:t>
      </w:r>
      <w:r w:rsidR="1790F042">
        <w:t xml:space="preserve">cannot be used as part of an Applicant’s match share contribution. </w:t>
      </w:r>
    </w:p>
    <w:p w14:paraId="580630C0" w14:textId="214C3CB2" w:rsidR="0E5200E6" w:rsidRDefault="6536C866" w:rsidP="1C67EE85">
      <w:pPr>
        <w:ind w:left="720" w:hanging="720"/>
        <w:rPr>
          <w:b/>
          <w:bCs/>
        </w:rPr>
      </w:pPr>
      <w:r w:rsidRPr="5771F5C4">
        <w:rPr>
          <w:b/>
          <w:bCs/>
        </w:rPr>
        <w:t>Q2</w:t>
      </w:r>
      <w:r w:rsidR="4F4C049F" w:rsidRPr="5771F5C4">
        <w:rPr>
          <w:b/>
          <w:bCs/>
        </w:rPr>
        <w:t>3</w:t>
      </w:r>
      <w:r w:rsidRPr="5771F5C4">
        <w:rPr>
          <w:b/>
          <w:bCs/>
        </w:rPr>
        <w:t xml:space="preserve">: </w:t>
      </w:r>
      <w:r>
        <w:tab/>
      </w:r>
      <w:r w:rsidRPr="5771F5C4">
        <w:rPr>
          <w:b/>
          <w:bCs/>
        </w:rPr>
        <w:t>I am wondering whether acquisition of a parking lot and installation of charging ports by a City would be considered an eligible project under this solicitation? I am not finding whether property acquisition as part of the project is an eligible cost. Will you please confirm whether property acquisition of an existing parking lot is either eligible for CEC reimbursement or eligible as a matching cost?</w:t>
      </w:r>
    </w:p>
    <w:p w14:paraId="5256285C" w14:textId="1E257180" w:rsidR="0E5200E6" w:rsidRDefault="6536C866" w:rsidP="0FFD0CD0">
      <w:pPr>
        <w:spacing w:after="160"/>
        <w:ind w:left="720" w:hanging="720"/>
      </w:pPr>
      <w:r>
        <w:t>A2</w:t>
      </w:r>
      <w:r w:rsidR="67CE0B5C">
        <w:t>3</w:t>
      </w:r>
      <w:r>
        <w:t xml:space="preserve">: </w:t>
      </w:r>
      <w:r>
        <w:tab/>
        <w:t xml:space="preserve">No, the acquisition of a property cannot be used for CEC reimbursement, all reimbursable costs can be found in </w:t>
      </w:r>
      <w:r w:rsidR="64C4D783">
        <w:t xml:space="preserve">the Solicitation Manual, </w:t>
      </w:r>
      <w:r>
        <w:t>Section II.B.10.</w:t>
      </w:r>
      <w:r w:rsidR="72FCE44A">
        <w:t xml:space="preserve"> </w:t>
      </w:r>
      <w:r>
        <w:t xml:space="preserve">The valuation of property can be used as an Applicant's in-kind match share, </w:t>
      </w:r>
      <w:r w:rsidR="591E46E3">
        <w:t xml:space="preserve">please review the Solicitation Manual, </w:t>
      </w:r>
      <w:r>
        <w:t>Section II.C</w:t>
      </w:r>
      <w:r w:rsidR="62585D50">
        <w:t>.4</w:t>
      </w:r>
      <w:r>
        <w:t xml:space="preserve"> for additional details</w:t>
      </w:r>
      <w:r w:rsidR="43D1EA08">
        <w:t xml:space="preserve">. </w:t>
      </w:r>
    </w:p>
    <w:p w14:paraId="34B22664" w14:textId="550F4BF3" w:rsidR="0E5200E6" w:rsidRDefault="6536C866" w:rsidP="1C67EE85">
      <w:pPr>
        <w:ind w:left="720" w:hanging="720"/>
        <w:rPr>
          <w:b/>
          <w:bCs/>
        </w:rPr>
      </w:pPr>
      <w:r w:rsidRPr="753D5AFD">
        <w:rPr>
          <w:b/>
          <w:bCs/>
        </w:rPr>
        <w:t>Q2</w:t>
      </w:r>
      <w:r w:rsidR="199A4AE8" w:rsidRPr="753D5AFD">
        <w:rPr>
          <w:b/>
          <w:bCs/>
        </w:rPr>
        <w:t>4</w:t>
      </w:r>
      <w:r w:rsidRPr="753D5AFD">
        <w:rPr>
          <w:b/>
          <w:bCs/>
        </w:rPr>
        <w:t xml:space="preserve">: </w:t>
      </w:r>
      <w:r w:rsidR="0E5200E6">
        <w:tab/>
      </w:r>
      <w:r w:rsidRPr="753D5AFD">
        <w:rPr>
          <w:b/>
          <w:bCs/>
        </w:rPr>
        <w:t>I was wondering if any cost such as site predevelopment cost incurred before the grant award can be used towards match funding for REV 2.0 funded projects?</w:t>
      </w:r>
    </w:p>
    <w:p w14:paraId="6E572C2E" w14:textId="6BF8922F" w:rsidR="0E5200E6" w:rsidRDefault="6536C866" w:rsidP="1C67EE85">
      <w:pPr>
        <w:ind w:left="720" w:hanging="720"/>
      </w:pPr>
      <w:r>
        <w:t>A2</w:t>
      </w:r>
      <w:r w:rsidR="2A49BBC7">
        <w:t>4</w:t>
      </w:r>
      <w:r>
        <w:t xml:space="preserve">: </w:t>
      </w:r>
      <w:r w:rsidR="0E5200E6">
        <w:tab/>
      </w:r>
      <w:r w:rsidR="50569C54">
        <w:t xml:space="preserve">As stated in the Solicitation Manual, </w:t>
      </w:r>
      <w:r>
        <w:t>"</w:t>
      </w:r>
      <w:r w:rsidR="3C16A291">
        <w:t>a</w:t>
      </w:r>
      <w:r>
        <w:t xml:space="preserve">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 </w:t>
      </w:r>
      <w:r w:rsidR="43F32B7F">
        <w:t>(</w:t>
      </w:r>
      <w:r>
        <w:t>Section III.D.5)</w:t>
      </w:r>
      <w:r w:rsidR="1E4DF558">
        <w:t>.</w:t>
      </w:r>
    </w:p>
    <w:p w14:paraId="69D6F28D" w14:textId="3BAD47BE" w:rsidR="0E5200E6" w:rsidRDefault="0E5200E6" w:rsidP="1C67EE85">
      <w:pPr>
        <w:pStyle w:val="Heading1"/>
        <w:keepNext w:val="0"/>
        <w:keepLines w:val="0"/>
        <w:ind w:left="720" w:hanging="720"/>
      </w:pPr>
      <w:r>
        <w:t>Application Requirements</w:t>
      </w:r>
    </w:p>
    <w:p w14:paraId="0DD566C7" w14:textId="3AFEC0E1" w:rsidR="0E5200E6" w:rsidRDefault="6536C866" w:rsidP="1C67EE85">
      <w:pPr>
        <w:ind w:left="720" w:hanging="720"/>
        <w:rPr>
          <w:b/>
          <w:bCs/>
        </w:rPr>
      </w:pPr>
      <w:r w:rsidRPr="753D5AFD">
        <w:rPr>
          <w:b/>
          <w:bCs/>
        </w:rPr>
        <w:t>Q2</w:t>
      </w:r>
      <w:r w:rsidR="2EA87E96" w:rsidRPr="753D5AFD">
        <w:rPr>
          <w:b/>
          <w:bCs/>
        </w:rPr>
        <w:t>5</w:t>
      </w:r>
      <w:r w:rsidRPr="753D5AFD">
        <w:rPr>
          <w:b/>
          <w:bCs/>
        </w:rPr>
        <w:t xml:space="preserve">: </w:t>
      </w:r>
      <w:r w:rsidR="0E5200E6">
        <w:tab/>
      </w:r>
      <w:r w:rsidRPr="753D5AFD">
        <w:rPr>
          <w:b/>
          <w:bCs/>
        </w:rPr>
        <w:t>For the 1</w:t>
      </w:r>
      <w:r w:rsidR="6EF454D4" w:rsidRPr="753D5AFD">
        <w:rPr>
          <w:b/>
          <w:bCs/>
        </w:rPr>
        <w:t>,</w:t>
      </w:r>
      <w:r w:rsidRPr="753D5AFD">
        <w:rPr>
          <w:b/>
          <w:bCs/>
        </w:rPr>
        <w:t>500 character limit is that for the entire "Project Implementation" section or each question in that section?</w:t>
      </w:r>
    </w:p>
    <w:p w14:paraId="17E8B1C5" w14:textId="790198DF" w:rsidR="0E5200E6" w:rsidRDefault="6536C866" w:rsidP="1C67EE85">
      <w:pPr>
        <w:ind w:left="720" w:hanging="720"/>
      </w:pPr>
      <w:r>
        <w:t>A2</w:t>
      </w:r>
      <w:r w:rsidR="7933B86A">
        <w:t>5</w:t>
      </w:r>
      <w:r>
        <w:t xml:space="preserve">: </w:t>
      </w:r>
      <w:r>
        <w:tab/>
        <w:t>The 1</w:t>
      </w:r>
      <w:r w:rsidR="010CF9D7">
        <w:t>,</w:t>
      </w:r>
      <w:r>
        <w:t xml:space="preserve">500 character limit applies to each individual </w:t>
      </w:r>
      <w:r w:rsidR="00574C26">
        <w:t xml:space="preserve">evaluation criteria </w:t>
      </w:r>
      <w:r>
        <w:t>in the Project Narrative</w:t>
      </w:r>
      <w:r w:rsidR="009067A3">
        <w:t xml:space="preserve">, not the </w:t>
      </w:r>
      <w:r w:rsidR="00880ECE">
        <w:t>entire section</w:t>
      </w:r>
      <w:r>
        <w:t xml:space="preserve"> (Attachment 1).</w:t>
      </w:r>
    </w:p>
    <w:sectPr w:rsidR="0E5200E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7910" w14:textId="77777777" w:rsidR="005B2DF5" w:rsidRDefault="005B2DF5" w:rsidP="00123A9E">
      <w:pPr>
        <w:spacing w:after="0" w:line="240" w:lineRule="auto"/>
      </w:pPr>
      <w:r>
        <w:separator/>
      </w:r>
    </w:p>
  </w:endnote>
  <w:endnote w:type="continuationSeparator" w:id="0">
    <w:p w14:paraId="451C4D78" w14:textId="77777777" w:rsidR="005B2DF5" w:rsidRDefault="005B2DF5" w:rsidP="00123A9E">
      <w:pPr>
        <w:spacing w:after="0" w:line="240" w:lineRule="auto"/>
      </w:pPr>
      <w:r>
        <w:continuationSeparator/>
      </w:r>
    </w:p>
  </w:endnote>
  <w:endnote w:type="continuationNotice" w:id="1">
    <w:p w14:paraId="21E6C22F" w14:textId="77777777" w:rsidR="005B2DF5" w:rsidRDefault="005B2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766" w14:textId="77777777" w:rsidR="00123A9E" w:rsidRDefault="00123A9E" w:rsidP="00123A9E">
    <w:pPr>
      <w:pStyle w:val="Footer"/>
      <w:tabs>
        <w:tab w:val="left" w:pos="630"/>
      </w:tabs>
      <w:rPr>
        <w:rFonts w:ascii="Tahoma" w:hAnsi="Tahoma" w:cs="Tahoma"/>
      </w:rPr>
    </w:pPr>
  </w:p>
  <w:p w14:paraId="578E844F" w14:textId="06F9BB65" w:rsidR="00123A9E" w:rsidRPr="00B971D9" w:rsidRDefault="002E6604" w:rsidP="00123A9E">
    <w:pPr>
      <w:pStyle w:val="Footer"/>
      <w:tabs>
        <w:tab w:val="left" w:pos="630"/>
      </w:tabs>
      <w:rPr>
        <w:rFonts w:cs="Arial"/>
        <w:noProof/>
      </w:rPr>
    </w:pPr>
    <w:r>
      <w:rPr>
        <w:rFonts w:cs="Arial"/>
      </w:rPr>
      <w:t>April</w:t>
    </w:r>
    <w:r w:rsidR="00123A9E" w:rsidRPr="00B971D9">
      <w:rPr>
        <w:rFonts w:cs="Arial"/>
      </w:rPr>
      <w:t xml:space="preserve"> 2025</w:t>
    </w:r>
    <w:sdt>
      <w:sdtPr>
        <w:rPr>
          <w:rFonts w:cs="Arial"/>
          <w:color w:val="2B579A"/>
          <w:shd w:val="clear" w:color="auto" w:fill="E6E6E6"/>
        </w:rPr>
        <w:id w:val="-982542414"/>
        <w:docPartObj>
          <w:docPartGallery w:val="Page Numbers (Bottom of Page)"/>
          <w:docPartUnique/>
        </w:docPartObj>
      </w:sdtPr>
      <w:sdtEndPr>
        <w:rPr>
          <w:noProof/>
        </w:rPr>
      </w:sdtEndPr>
      <w:sdtContent>
        <w:r w:rsidR="00123A9E" w:rsidRPr="00B971D9">
          <w:rPr>
            <w:rFonts w:cs="Arial"/>
          </w:rPr>
          <w:tab/>
        </w:r>
        <w:r w:rsidR="00123A9E" w:rsidRPr="00B971D9">
          <w:rPr>
            <w:rFonts w:cs="Arial"/>
            <w:color w:val="2B579A"/>
            <w:shd w:val="clear" w:color="auto" w:fill="E6E6E6"/>
          </w:rPr>
          <w:fldChar w:fldCharType="begin"/>
        </w:r>
        <w:r w:rsidR="00123A9E" w:rsidRPr="00B971D9">
          <w:rPr>
            <w:rFonts w:cs="Arial"/>
          </w:rPr>
          <w:instrText xml:space="preserve"> PAGE   \* MERGEFORMAT </w:instrText>
        </w:r>
        <w:r w:rsidR="00123A9E" w:rsidRPr="00B971D9">
          <w:rPr>
            <w:rFonts w:cs="Arial"/>
            <w:color w:val="2B579A"/>
            <w:shd w:val="clear" w:color="auto" w:fill="E6E6E6"/>
          </w:rPr>
          <w:fldChar w:fldCharType="separate"/>
        </w:r>
        <w:r w:rsidR="00123A9E" w:rsidRPr="00B971D9">
          <w:rPr>
            <w:rFonts w:cs="Arial"/>
            <w:noProof/>
          </w:rPr>
          <w:t>2</w:t>
        </w:r>
        <w:r w:rsidR="00123A9E" w:rsidRPr="00B971D9">
          <w:rPr>
            <w:rFonts w:cs="Arial"/>
            <w:noProof/>
            <w:color w:val="2B579A"/>
            <w:shd w:val="clear" w:color="auto" w:fill="E6E6E6"/>
          </w:rPr>
          <w:fldChar w:fldCharType="end"/>
        </w:r>
        <w:r w:rsidR="00123A9E" w:rsidRPr="00B971D9">
          <w:rPr>
            <w:rFonts w:cs="Arial"/>
            <w:noProof/>
          </w:rPr>
          <w:tab/>
        </w:r>
        <w:r>
          <w:rPr>
            <w:rFonts w:cs="Arial"/>
            <w:noProof/>
          </w:rPr>
          <w:t xml:space="preserve">REV </w:t>
        </w:r>
        <w:r w:rsidR="00123A9E" w:rsidRPr="00B971D9">
          <w:rPr>
            <w:rFonts w:cs="Arial"/>
            <w:noProof/>
          </w:rPr>
          <w:t>2.0</w:t>
        </w:r>
      </w:sdtContent>
    </w:sdt>
  </w:p>
  <w:p w14:paraId="6DC4574D" w14:textId="655225E0" w:rsidR="00123A9E" w:rsidRPr="00B971D9" w:rsidRDefault="00123A9E" w:rsidP="00123A9E">
    <w:pPr>
      <w:pStyle w:val="Footer"/>
      <w:tabs>
        <w:tab w:val="left" w:pos="630"/>
      </w:tabs>
      <w:rPr>
        <w:rFonts w:cs="Arial"/>
        <w:noProof/>
      </w:rPr>
    </w:pPr>
    <w:r w:rsidRPr="00B971D9">
      <w:rPr>
        <w:rFonts w:cs="Arial"/>
        <w:noProof/>
      </w:rPr>
      <w:tab/>
    </w:r>
    <w:r w:rsidRPr="00B971D9">
      <w:rPr>
        <w:rFonts w:cs="Arial"/>
        <w:noProof/>
      </w:rPr>
      <w:tab/>
    </w:r>
    <w:r w:rsidRPr="00B971D9">
      <w:rPr>
        <w:rFonts w:cs="Arial"/>
        <w:noProof/>
      </w:rPr>
      <w:tab/>
      <w:t>Questions and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E463" w14:textId="77777777" w:rsidR="005B2DF5" w:rsidRDefault="005B2DF5" w:rsidP="00123A9E">
      <w:pPr>
        <w:spacing w:after="0" w:line="240" w:lineRule="auto"/>
      </w:pPr>
      <w:r>
        <w:separator/>
      </w:r>
    </w:p>
  </w:footnote>
  <w:footnote w:type="continuationSeparator" w:id="0">
    <w:p w14:paraId="2F3E7A60" w14:textId="77777777" w:rsidR="005B2DF5" w:rsidRDefault="005B2DF5" w:rsidP="00123A9E">
      <w:pPr>
        <w:spacing w:after="0" w:line="240" w:lineRule="auto"/>
      </w:pPr>
      <w:r>
        <w:continuationSeparator/>
      </w:r>
    </w:p>
  </w:footnote>
  <w:footnote w:type="continuationNotice" w:id="1">
    <w:p w14:paraId="3A321564" w14:textId="77777777" w:rsidR="005B2DF5" w:rsidRDefault="005B2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00EC1540" w14:paraId="649112CB" w14:textId="77777777" w:rsidTr="00720373">
      <w:trPr>
        <w:trHeight w:val="300"/>
      </w:trPr>
      <w:tc>
        <w:tcPr>
          <w:tcW w:w="3120" w:type="dxa"/>
        </w:tcPr>
        <w:p w14:paraId="7B3E1382" w14:textId="26364F73" w:rsidR="00EC1540" w:rsidRDefault="00EC1540" w:rsidP="00EC1540">
          <w:pPr>
            <w:pStyle w:val="Header"/>
            <w:ind w:left="-115"/>
          </w:pPr>
        </w:p>
      </w:tc>
      <w:tc>
        <w:tcPr>
          <w:tcW w:w="3120" w:type="dxa"/>
        </w:tcPr>
        <w:p w14:paraId="451E4B42" w14:textId="010A8310" w:rsidR="00EC1540" w:rsidRDefault="00EC1540" w:rsidP="00EC1540">
          <w:pPr>
            <w:pStyle w:val="Header"/>
            <w:jc w:val="center"/>
          </w:pPr>
        </w:p>
      </w:tc>
      <w:tc>
        <w:tcPr>
          <w:tcW w:w="3120" w:type="dxa"/>
        </w:tcPr>
        <w:p w14:paraId="565CD7FA" w14:textId="4F975E65" w:rsidR="00EC1540" w:rsidRDefault="00EC1540" w:rsidP="00EC1540">
          <w:pPr>
            <w:pStyle w:val="Header"/>
            <w:ind w:right="-115"/>
            <w:jc w:val="right"/>
          </w:pPr>
        </w:p>
      </w:tc>
    </w:tr>
  </w:tbl>
  <w:p w14:paraId="022ADD18" w14:textId="3B8C4CFF" w:rsidR="00EC1540" w:rsidRDefault="00EC1540" w:rsidP="00EC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EEF"/>
    <w:multiLevelType w:val="hybridMultilevel"/>
    <w:tmpl w:val="D88C2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4012C"/>
    <w:multiLevelType w:val="hybridMultilevel"/>
    <w:tmpl w:val="5106D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0343CE"/>
    <w:multiLevelType w:val="hybridMultilevel"/>
    <w:tmpl w:val="CB040BFC"/>
    <w:lvl w:ilvl="0" w:tplc="82465726">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A6146C"/>
    <w:multiLevelType w:val="hybridMultilevel"/>
    <w:tmpl w:val="1018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07AF9"/>
    <w:multiLevelType w:val="hybridMultilevel"/>
    <w:tmpl w:val="7CD6AFDC"/>
    <w:lvl w:ilvl="0" w:tplc="1C7C06AC">
      <w:start w:val="1"/>
      <w:numFmt w:val="bullet"/>
      <w:lvlText w:val=""/>
      <w:lvlJc w:val="left"/>
      <w:pPr>
        <w:ind w:left="1080" w:hanging="360"/>
      </w:pPr>
      <w:rPr>
        <w:rFonts w:ascii="Symbol" w:hAnsi="Symbol" w:hint="default"/>
      </w:rPr>
    </w:lvl>
    <w:lvl w:ilvl="1" w:tplc="4A260B20">
      <w:start w:val="1"/>
      <w:numFmt w:val="bullet"/>
      <w:lvlText w:val="o"/>
      <w:lvlJc w:val="left"/>
      <w:pPr>
        <w:ind w:left="1800" w:hanging="360"/>
      </w:pPr>
      <w:rPr>
        <w:rFonts w:ascii="Courier New" w:hAnsi="Courier New" w:hint="default"/>
      </w:rPr>
    </w:lvl>
    <w:lvl w:ilvl="2" w:tplc="13E0ED9E">
      <w:start w:val="1"/>
      <w:numFmt w:val="bullet"/>
      <w:lvlText w:val=""/>
      <w:lvlJc w:val="left"/>
      <w:pPr>
        <w:ind w:left="2520" w:hanging="360"/>
      </w:pPr>
      <w:rPr>
        <w:rFonts w:ascii="Wingdings" w:hAnsi="Wingdings" w:hint="default"/>
      </w:rPr>
    </w:lvl>
    <w:lvl w:ilvl="3" w:tplc="7B4CA9DA">
      <w:start w:val="1"/>
      <w:numFmt w:val="bullet"/>
      <w:lvlText w:val=""/>
      <w:lvlJc w:val="left"/>
      <w:pPr>
        <w:ind w:left="3240" w:hanging="360"/>
      </w:pPr>
      <w:rPr>
        <w:rFonts w:ascii="Symbol" w:hAnsi="Symbol" w:hint="default"/>
      </w:rPr>
    </w:lvl>
    <w:lvl w:ilvl="4" w:tplc="9E7452EE">
      <w:start w:val="1"/>
      <w:numFmt w:val="bullet"/>
      <w:lvlText w:val="o"/>
      <w:lvlJc w:val="left"/>
      <w:pPr>
        <w:ind w:left="3960" w:hanging="360"/>
      </w:pPr>
      <w:rPr>
        <w:rFonts w:ascii="Courier New" w:hAnsi="Courier New" w:hint="default"/>
      </w:rPr>
    </w:lvl>
    <w:lvl w:ilvl="5" w:tplc="E06087E6">
      <w:start w:val="1"/>
      <w:numFmt w:val="bullet"/>
      <w:lvlText w:val=""/>
      <w:lvlJc w:val="left"/>
      <w:pPr>
        <w:ind w:left="4680" w:hanging="360"/>
      </w:pPr>
      <w:rPr>
        <w:rFonts w:ascii="Wingdings" w:hAnsi="Wingdings" w:hint="default"/>
      </w:rPr>
    </w:lvl>
    <w:lvl w:ilvl="6" w:tplc="E7FC3FF2">
      <w:start w:val="1"/>
      <w:numFmt w:val="bullet"/>
      <w:lvlText w:val=""/>
      <w:lvlJc w:val="left"/>
      <w:pPr>
        <w:ind w:left="5400" w:hanging="360"/>
      </w:pPr>
      <w:rPr>
        <w:rFonts w:ascii="Symbol" w:hAnsi="Symbol" w:hint="default"/>
      </w:rPr>
    </w:lvl>
    <w:lvl w:ilvl="7" w:tplc="A82641C2">
      <w:start w:val="1"/>
      <w:numFmt w:val="bullet"/>
      <w:lvlText w:val="o"/>
      <w:lvlJc w:val="left"/>
      <w:pPr>
        <w:ind w:left="6120" w:hanging="360"/>
      </w:pPr>
      <w:rPr>
        <w:rFonts w:ascii="Courier New" w:hAnsi="Courier New" w:hint="default"/>
      </w:rPr>
    </w:lvl>
    <w:lvl w:ilvl="8" w:tplc="28ACA912">
      <w:start w:val="1"/>
      <w:numFmt w:val="bullet"/>
      <w:lvlText w:val=""/>
      <w:lvlJc w:val="left"/>
      <w:pPr>
        <w:ind w:left="6840" w:hanging="360"/>
      </w:pPr>
      <w:rPr>
        <w:rFonts w:ascii="Wingdings" w:hAnsi="Wingdings" w:hint="default"/>
      </w:rPr>
    </w:lvl>
  </w:abstractNum>
  <w:num w:numId="1" w16cid:durableId="140318774">
    <w:abstractNumId w:val="4"/>
  </w:num>
  <w:num w:numId="2" w16cid:durableId="1586108103">
    <w:abstractNumId w:val="2"/>
  </w:num>
  <w:num w:numId="3" w16cid:durableId="2049866997">
    <w:abstractNumId w:val="3"/>
  </w:num>
  <w:num w:numId="4" w16cid:durableId="1153062353">
    <w:abstractNumId w:val="0"/>
  </w:num>
  <w:num w:numId="5" w16cid:durableId="173762609">
    <w:abstractNumId w:val="2"/>
  </w:num>
  <w:num w:numId="6" w16cid:durableId="132338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D6B31"/>
    <w:rsid w:val="000033DE"/>
    <w:rsid w:val="000047E0"/>
    <w:rsid w:val="00007B6B"/>
    <w:rsid w:val="00016256"/>
    <w:rsid w:val="00017BAA"/>
    <w:rsid w:val="0002009B"/>
    <w:rsid w:val="0002018B"/>
    <w:rsid w:val="00025B12"/>
    <w:rsid w:val="0002BE49"/>
    <w:rsid w:val="00037604"/>
    <w:rsid w:val="00042472"/>
    <w:rsid w:val="000430B9"/>
    <w:rsid w:val="000579A2"/>
    <w:rsid w:val="00061F98"/>
    <w:rsid w:val="000620F8"/>
    <w:rsid w:val="00062DD8"/>
    <w:rsid w:val="00091C1F"/>
    <w:rsid w:val="00094334"/>
    <w:rsid w:val="000A3F0C"/>
    <w:rsid w:val="000B5AED"/>
    <w:rsid w:val="000B5B3C"/>
    <w:rsid w:val="000B620D"/>
    <w:rsid w:val="000C207F"/>
    <w:rsid w:val="000C30C0"/>
    <w:rsid w:val="000C50F7"/>
    <w:rsid w:val="000C520C"/>
    <w:rsid w:val="000C7508"/>
    <w:rsid w:val="000C7568"/>
    <w:rsid w:val="000C758A"/>
    <w:rsid w:val="000D2B20"/>
    <w:rsid w:val="000D4591"/>
    <w:rsid w:val="000E5472"/>
    <w:rsid w:val="000E550A"/>
    <w:rsid w:val="000E6956"/>
    <w:rsid w:val="000E7153"/>
    <w:rsid w:val="000E776C"/>
    <w:rsid w:val="000F1567"/>
    <w:rsid w:val="000F51DA"/>
    <w:rsid w:val="000F7437"/>
    <w:rsid w:val="000F798D"/>
    <w:rsid w:val="001005C2"/>
    <w:rsid w:val="00104EC1"/>
    <w:rsid w:val="001176C7"/>
    <w:rsid w:val="00123A9E"/>
    <w:rsid w:val="001270DF"/>
    <w:rsid w:val="00136A3A"/>
    <w:rsid w:val="001479EC"/>
    <w:rsid w:val="0015390B"/>
    <w:rsid w:val="00154FEB"/>
    <w:rsid w:val="001562B5"/>
    <w:rsid w:val="00161479"/>
    <w:rsid w:val="001657E4"/>
    <w:rsid w:val="00166ED1"/>
    <w:rsid w:val="00172BCD"/>
    <w:rsid w:val="00173742"/>
    <w:rsid w:val="00173B59"/>
    <w:rsid w:val="00175A27"/>
    <w:rsid w:val="00180CB9"/>
    <w:rsid w:val="00181959"/>
    <w:rsid w:val="00186C7C"/>
    <w:rsid w:val="00186E43"/>
    <w:rsid w:val="0019226D"/>
    <w:rsid w:val="001923DB"/>
    <w:rsid w:val="001932CE"/>
    <w:rsid w:val="0019774F"/>
    <w:rsid w:val="001B0FF0"/>
    <w:rsid w:val="001B59FB"/>
    <w:rsid w:val="001D3172"/>
    <w:rsid w:val="001D3B82"/>
    <w:rsid w:val="001D409D"/>
    <w:rsid w:val="001D6B8C"/>
    <w:rsid w:val="001E16BA"/>
    <w:rsid w:val="001E2604"/>
    <w:rsid w:val="001E3874"/>
    <w:rsid w:val="001E5DC0"/>
    <w:rsid w:val="001F3EE6"/>
    <w:rsid w:val="001F616B"/>
    <w:rsid w:val="001F7BF2"/>
    <w:rsid w:val="00202C5A"/>
    <w:rsid w:val="002161E1"/>
    <w:rsid w:val="0021CDD0"/>
    <w:rsid w:val="00220CEF"/>
    <w:rsid w:val="00223A34"/>
    <w:rsid w:val="00223E4D"/>
    <w:rsid w:val="002304B8"/>
    <w:rsid w:val="00233555"/>
    <w:rsid w:val="00241047"/>
    <w:rsid w:val="0024180B"/>
    <w:rsid w:val="00252FD9"/>
    <w:rsid w:val="00262D50"/>
    <w:rsid w:val="00265FCC"/>
    <w:rsid w:val="00266450"/>
    <w:rsid w:val="00270327"/>
    <w:rsid w:val="00271FAA"/>
    <w:rsid w:val="002728CB"/>
    <w:rsid w:val="00272D47"/>
    <w:rsid w:val="00275558"/>
    <w:rsid w:val="00286E24"/>
    <w:rsid w:val="00291B13"/>
    <w:rsid w:val="00291E95"/>
    <w:rsid w:val="002A01CA"/>
    <w:rsid w:val="002A0258"/>
    <w:rsid w:val="002A316A"/>
    <w:rsid w:val="002A5D1B"/>
    <w:rsid w:val="002C5570"/>
    <w:rsid w:val="002CC267"/>
    <w:rsid w:val="002D7116"/>
    <w:rsid w:val="002D7345"/>
    <w:rsid w:val="002E6604"/>
    <w:rsid w:val="002F0D18"/>
    <w:rsid w:val="002F4AD3"/>
    <w:rsid w:val="003026C0"/>
    <w:rsid w:val="00311326"/>
    <w:rsid w:val="00320135"/>
    <w:rsid w:val="0032350D"/>
    <w:rsid w:val="00324037"/>
    <w:rsid w:val="00327C86"/>
    <w:rsid w:val="003446EF"/>
    <w:rsid w:val="0037348A"/>
    <w:rsid w:val="00385B82"/>
    <w:rsid w:val="003867FA"/>
    <w:rsid w:val="0038C611"/>
    <w:rsid w:val="00390C3F"/>
    <w:rsid w:val="003918D7"/>
    <w:rsid w:val="003A170C"/>
    <w:rsid w:val="003A492C"/>
    <w:rsid w:val="003A73FC"/>
    <w:rsid w:val="003B6B30"/>
    <w:rsid w:val="003B6D56"/>
    <w:rsid w:val="003C05B1"/>
    <w:rsid w:val="003D067B"/>
    <w:rsid w:val="003D4D35"/>
    <w:rsid w:val="003D783A"/>
    <w:rsid w:val="003E073F"/>
    <w:rsid w:val="003F02F0"/>
    <w:rsid w:val="003F5182"/>
    <w:rsid w:val="00402076"/>
    <w:rsid w:val="004114FC"/>
    <w:rsid w:val="00413BB1"/>
    <w:rsid w:val="0041493D"/>
    <w:rsid w:val="00414C2E"/>
    <w:rsid w:val="004165B0"/>
    <w:rsid w:val="004166FB"/>
    <w:rsid w:val="00417738"/>
    <w:rsid w:val="00425DFF"/>
    <w:rsid w:val="00430F1A"/>
    <w:rsid w:val="00432215"/>
    <w:rsid w:val="0043359B"/>
    <w:rsid w:val="00433B15"/>
    <w:rsid w:val="00436DA4"/>
    <w:rsid w:val="004440D4"/>
    <w:rsid w:val="00446F73"/>
    <w:rsid w:val="004473D7"/>
    <w:rsid w:val="00464759"/>
    <w:rsid w:val="00465881"/>
    <w:rsid w:val="0048497A"/>
    <w:rsid w:val="00487BDE"/>
    <w:rsid w:val="00497D71"/>
    <w:rsid w:val="004A2A11"/>
    <w:rsid w:val="004A3A14"/>
    <w:rsid w:val="004A4110"/>
    <w:rsid w:val="004B7BA4"/>
    <w:rsid w:val="004C0276"/>
    <w:rsid w:val="004C224D"/>
    <w:rsid w:val="004C22A9"/>
    <w:rsid w:val="004C333D"/>
    <w:rsid w:val="004C5784"/>
    <w:rsid w:val="004D1C22"/>
    <w:rsid w:val="004D29F7"/>
    <w:rsid w:val="004D600F"/>
    <w:rsid w:val="004D6E43"/>
    <w:rsid w:val="004D7797"/>
    <w:rsid w:val="004E282C"/>
    <w:rsid w:val="004E5654"/>
    <w:rsid w:val="004F065A"/>
    <w:rsid w:val="004F1BBB"/>
    <w:rsid w:val="004F3C65"/>
    <w:rsid w:val="004F4663"/>
    <w:rsid w:val="004F6751"/>
    <w:rsid w:val="004F7FDF"/>
    <w:rsid w:val="00502736"/>
    <w:rsid w:val="00502F67"/>
    <w:rsid w:val="00506B4D"/>
    <w:rsid w:val="005117CD"/>
    <w:rsid w:val="0051220C"/>
    <w:rsid w:val="0051547A"/>
    <w:rsid w:val="005208A2"/>
    <w:rsid w:val="0052700D"/>
    <w:rsid w:val="0053393D"/>
    <w:rsid w:val="005361C3"/>
    <w:rsid w:val="00540F05"/>
    <w:rsid w:val="00546C17"/>
    <w:rsid w:val="00547C48"/>
    <w:rsid w:val="00547F05"/>
    <w:rsid w:val="00551262"/>
    <w:rsid w:val="00555839"/>
    <w:rsid w:val="005560F9"/>
    <w:rsid w:val="00571975"/>
    <w:rsid w:val="00574C26"/>
    <w:rsid w:val="00576D0A"/>
    <w:rsid w:val="0057705E"/>
    <w:rsid w:val="00587838"/>
    <w:rsid w:val="005A283F"/>
    <w:rsid w:val="005A293D"/>
    <w:rsid w:val="005A6A5B"/>
    <w:rsid w:val="005B23CA"/>
    <w:rsid w:val="005B2DF5"/>
    <w:rsid w:val="005C1A20"/>
    <w:rsid w:val="005C452A"/>
    <w:rsid w:val="005C5236"/>
    <w:rsid w:val="005D35EC"/>
    <w:rsid w:val="005E3FA8"/>
    <w:rsid w:val="005E685D"/>
    <w:rsid w:val="005F1F1E"/>
    <w:rsid w:val="00611EBB"/>
    <w:rsid w:val="006137CF"/>
    <w:rsid w:val="00615595"/>
    <w:rsid w:val="00625DAF"/>
    <w:rsid w:val="006301CE"/>
    <w:rsid w:val="00633678"/>
    <w:rsid w:val="00634CC7"/>
    <w:rsid w:val="0063640D"/>
    <w:rsid w:val="00642A2F"/>
    <w:rsid w:val="00644D87"/>
    <w:rsid w:val="006479D0"/>
    <w:rsid w:val="0066344D"/>
    <w:rsid w:val="00664199"/>
    <w:rsid w:val="00667233"/>
    <w:rsid w:val="0066755D"/>
    <w:rsid w:val="00672376"/>
    <w:rsid w:val="00675010"/>
    <w:rsid w:val="00675AEA"/>
    <w:rsid w:val="00684C41"/>
    <w:rsid w:val="006A0DC8"/>
    <w:rsid w:val="006A11F6"/>
    <w:rsid w:val="006A6C74"/>
    <w:rsid w:val="006A7535"/>
    <w:rsid w:val="006A756D"/>
    <w:rsid w:val="006B20D3"/>
    <w:rsid w:val="006B7F2C"/>
    <w:rsid w:val="006C17F8"/>
    <w:rsid w:val="006D0372"/>
    <w:rsid w:val="006D1FF0"/>
    <w:rsid w:val="006E6E02"/>
    <w:rsid w:val="006F086A"/>
    <w:rsid w:val="00700128"/>
    <w:rsid w:val="00704174"/>
    <w:rsid w:val="00704D14"/>
    <w:rsid w:val="00712C01"/>
    <w:rsid w:val="007148F7"/>
    <w:rsid w:val="00720373"/>
    <w:rsid w:val="00720670"/>
    <w:rsid w:val="0072153B"/>
    <w:rsid w:val="007241B8"/>
    <w:rsid w:val="0072613A"/>
    <w:rsid w:val="00733693"/>
    <w:rsid w:val="0073385C"/>
    <w:rsid w:val="00756796"/>
    <w:rsid w:val="007630AA"/>
    <w:rsid w:val="007643D7"/>
    <w:rsid w:val="007709F7"/>
    <w:rsid w:val="00773BAD"/>
    <w:rsid w:val="00776339"/>
    <w:rsid w:val="007865FB"/>
    <w:rsid w:val="00787A97"/>
    <w:rsid w:val="00794B5D"/>
    <w:rsid w:val="007A1C54"/>
    <w:rsid w:val="007A2D98"/>
    <w:rsid w:val="007A302F"/>
    <w:rsid w:val="007A3629"/>
    <w:rsid w:val="007B061B"/>
    <w:rsid w:val="007B69CB"/>
    <w:rsid w:val="007B70CF"/>
    <w:rsid w:val="007C72F5"/>
    <w:rsid w:val="007D09E3"/>
    <w:rsid w:val="007D261A"/>
    <w:rsid w:val="007D2D61"/>
    <w:rsid w:val="007D6302"/>
    <w:rsid w:val="007E4A50"/>
    <w:rsid w:val="00802131"/>
    <w:rsid w:val="008032D9"/>
    <w:rsid w:val="00805AD5"/>
    <w:rsid w:val="00816274"/>
    <w:rsid w:val="00825B1D"/>
    <w:rsid w:val="00827391"/>
    <w:rsid w:val="008323DE"/>
    <w:rsid w:val="00833E07"/>
    <w:rsid w:val="00833E4F"/>
    <w:rsid w:val="00844915"/>
    <w:rsid w:val="00853125"/>
    <w:rsid w:val="00854AD9"/>
    <w:rsid w:val="0086763F"/>
    <w:rsid w:val="0087524B"/>
    <w:rsid w:val="00880ECE"/>
    <w:rsid w:val="008827EC"/>
    <w:rsid w:val="0088390C"/>
    <w:rsid w:val="00890ED6"/>
    <w:rsid w:val="008923F5"/>
    <w:rsid w:val="008950AC"/>
    <w:rsid w:val="00897BB8"/>
    <w:rsid w:val="008A157F"/>
    <w:rsid w:val="008A60DC"/>
    <w:rsid w:val="008A6E07"/>
    <w:rsid w:val="008C6AB2"/>
    <w:rsid w:val="008D0F6D"/>
    <w:rsid w:val="008D3992"/>
    <w:rsid w:val="008D47BD"/>
    <w:rsid w:val="008E35A8"/>
    <w:rsid w:val="008F1E6C"/>
    <w:rsid w:val="008F381F"/>
    <w:rsid w:val="008F56F6"/>
    <w:rsid w:val="0090026C"/>
    <w:rsid w:val="009014E3"/>
    <w:rsid w:val="00902B0F"/>
    <w:rsid w:val="00902EB7"/>
    <w:rsid w:val="009067A3"/>
    <w:rsid w:val="00916D0A"/>
    <w:rsid w:val="009260ED"/>
    <w:rsid w:val="00932F26"/>
    <w:rsid w:val="00942744"/>
    <w:rsid w:val="00942BC3"/>
    <w:rsid w:val="00945208"/>
    <w:rsid w:val="00945638"/>
    <w:rsid w:val="00945EA0"/>
    <w:rsid w:val="009614A1"/>
    <w:rsid w:val="00970BEB"/>
    <w:rsid w:val="00997E6F"/>
    <w:rsid w:val="009A4730"/>
    <w:rsid w:val="009B21B4"/>
    <w:rsid w:val="009C5B7E"/>
    <w:rsid w:val="009C7E6B"/>
    <w:rsid w:val="009D6448"/>
    <w:rsid w:val="009D6E57"/>
    <w:rsid w:val="009E0FC1"/>
    <w:rsid w:val="009E46FE"/>
    <w:rsid w:val="009E5792"/>
    <w:rsid w:val="009F2F38"/>
    <w:rsid w:val="00A00E2C"/>
    <w:rsid w:val="00A02211"/>
    <w:rsid w:val="00A102DC"/>
    <w:rsid w:val="00A108D8"/>
    <w:rsid w:val="00A12DA8"/>
    <w:rsid w:val="00A140B2"/>
    <w:rsid w:val="00A171BE"/>
    <w:rsid w:val="00A21232"/>
    <w:rsid w:val="00A24BFC"/>
    <w:rsid w:val="00A26946"/>
    <w:rsid w:val="00A32AE7"/>
    <w:rsid w:val="00A35755"/>
    <w:rsid w:val="00A36DAA"/>
    <w:rsid w:val="00A37064"/>
    <w:rsid w:val="00A409C6"/>
    <w:rsid w:val="00A4390E"/>
    <w:rsid w:val="00A45FEE"/>
    <w:rsid w:val="00A50214"/>
    <w:rsid w:val="00A5548D"/>
    <w:rsid w:val="00A571EF"/>
    <w:rsid w:val="00A57767"/>
    <w:rsid w:val="00A612DF"/>
    <w:rsid w:val="00A65E6F"/>
    <w:rsid w:val="00A66199"/>
    <w:rsid w:val="00A67B25"/>
    <w:rsid w:val="00A720F1"/>
    <w:rsid w:val="00A72447"/>
    <w:rsid w:val="00A80E80"/>
    <w:rsid w:val="00A85572"/>
    <w:rsid w:val="00A864FC"/>
    <w:rsid w:val="00A86566"/>
    <w:rsid w:val="00A94606"/>
    <w:rsid w:val="00AA13BA"/>
    <w:rsid w:val="00AA3961"/>
    <w:rsid w:val="00AA7453"/>
    <w:rsid w:val="00AB5B20"/>
    <w:rsid w:val="00AC145E"/>
    <w:rsid w:val="00AD333F"/>
    <w:rsid w:val="00AE5053"/>
    <w:rsid w:val="00AE774C"/>
    <w:rsid w:val="00AF2C88"/>
    <w:rsid w:val="00AF6438"/>
    <w:rsid w:val="00AF6775"/>
    <w:rsid w:val="00AF75EC"/>
    <w:rsid w:val="00B00E4B"/>
    <w:rsid w:val="00B012DC"/>
    <w:rsid w:val="00B015B5"/>
    <w:rsid w:val="00B06523"/>
    <w:rsid w:val="00B074A9"/>
    <w:rsid w:val="00B07B18"/>
    <w:rsid w:val="00B10F26"/>
    <w:rsid w:val="00B11154"/>
    <w:rsid w:val="00B16CE8"/>
    <w:rsid w:val="00B30C64"/>
    <w:rsid w:val="00B321B9"/>
    <w:rsid w:val="00B33773"/>
    <w:rsid w:val="00B35B47"/>
    <w:rsid w:val="00B36E86"/>
    <w:rsid w:val="00B464FA"/>
    <w:rsid w:val="00B55D28"/>
    <w:rsid w:val="00B564DD"/>
    <w:rsid w:val="00B57A23"/>
    <w:rsid w:val="00B65640"/>
    <w:rsid w:val="00B717CA"/>
    <w:rsid w:val="00B77FF4"/>
    <w:rsid w:val="00B8123B"/>
    <w:rsid w:val="00B81C37"/>
    <w:rsid w:val="00B84DB8"/>
    <w:rsid w:val="00B858A3"/>
    <w:rsid w:val="00B87F05"/>
    <w:rsid w:val="00B909AA"/>
    <w:rsid w:val="00B971D9"/>
    <w:rsid w:val="00BA62DC"/>
    <w:rsid w:val="00BB1163"/>
    <w:rsid w:val="00BE266E"/>
    <w:rsid w:val="00BE6D5C"/>
    <w:rsid w:val="00BF1EEB"/>
    <w:rsid w:val="00C0141C"/>
    <w:rsid w:val="00C24BD8"/>
    <w:rsid w:val="00C519E7"/>
    <w:rsid w:val="00C54C6B"/>
    <w:rsid w:val="00C61A21"/>
    <w:rsid w:val="00C768C4"/>
    <w:rsid w:val="00C837E4"/>
    <w:rsid w:val="00C849EB"/>
    <w:rsid w:val="00C852A9"/>
    <w:rsid w:val="00C867FF"/>
    <w:rsid w:val="00C8770D"/>
    <w:rsid w:val="00C90F49"/>
    <w:rsid w:val="00C95752"/>
    <w:rsid w:val="00C96E50"/>
    <w:rsid w:val="00CB3D52"/>
    <w:rsid w:val="00CC01A9"/>
    <w:rsid w:val="00CC462C"/>
    <w:rsid w:val="00CC5657"/>
    <w:rsid w:val="00CCC328"/>
    <w:rsid w:val="00CD0484"/>
    <w:rsid w:val="00CD47DA"/>
    <w:rsid w:val="00CE6E02"/>
    <w:rsid w:val="00CF4E6E"/>
    <w:rsid w:val="00D0081B"/>
    <w:rsid w:val="00D04674"/>
    <w:rsid w:val="00D050A7"/>
    <w:rsid w:val="00D076F3"/>
    <w:rsid w:val="00D07EE6"/>
    <w:rsid w:val="00D16806"/>
    <w:rsid w:val="00D172BC"/>
    <w:rsid w:val="00D202AD"/>
    <w:rsid w:val="00D2310C"/>
    <w:rsid w:val="00D2362F"/>
    <w:rsid w:val="00D27A28"/>
    <w:rsid w:val="00D34C6F"/>
    <w:rsid w:val="00D37B41"/>
    <w:rsid w:val="00D43858"/>
    <w:rsid w:val="00D44C9F"/>
    <w:rsid w:val="00D45EF9"/>
    <w:rsid w:val="00D50E85"/>
    <w:rsid w:val="00D52FE6"/>
    <w:rsid w:val="00D54CDC"/>
    <w:rsid w:val="00D56D4E"/>
    <w:rsid w:val="00D61033"/>
    <w:rsid w:val="00D67721"/>
    <w:rsid w:val="00D80361"/>
    <w:rsid w:val="00D80478"/>
    <w:rsid w:val="00D91724"/>
    <w:rsid w:val="00D947B0"/>
    <w:rsid w:val="00D9586A"/>
    <w:rsid w:val="00DA05FC"/>
    <w:rsid w:val="00DA1789"/>
    <w:rsid w:val="00DA39F1"/>
    <w:rsid w:val="00DA96FA"/>
    <w:rsid w:val="00DB1055"/>
    <w:rsid w:val="00DB367E"/>
    <w:rsid w:val="00DB6D5D"/>
    <w:rsid w:val="00DD140E"/>
    <w:rsid w:val="00DE11C4"/>
    <w:rsid w:val="00DE26CC"/>
    <w:rsid w:val="00DE3C7E"/>
    <w:rsid w:val="00DF7521"/>
    <w:rsid w:val="00DF85FC"/>
    <w:rsid w:val="00E01091"/>
    <w:rsid w:val="00E02E38"/>
    <w:rsid w:val="00E03B6C"/>
    <w:rsid w:val="00E05A7A"/>
    <w:rsid w:val="00E07EE2"/>
    <w:rsid w:val="00E158D7"/>
    <w:rsid w:val="00E239C0"/>
    <w:rsid w:val="00E23E44"/>
    <w:rsid w:val="00E24666"/>
    <w:rsid w:val="00E33F67"/>
    <w:rsid w:val="00E36408"/>
    <w:rsid w:val="00E37D55"/>
    <w:rsid w:val="00E42768"/>
    <w:rsid w:val="00E50622"/>
    <w:rsid w:val="00E5167A"/>
    <w:rsid w:val="00E52FEE"/>
    <w:rsid w:val="00E66011"/>
    <w:rsid w:val="00E80473"/>
    <w:rsid w:val="00E8485F"/>
    <w:rsid w:val="00E86013"/>
    <w:rsid w:val="00E86850"/>
    <w:rsid w:val="00E877CC"/>
    <w:rsid w:val="00E97059"/>
    <w:rsid w:val="00EC1540"/>
    <w:rsid w:val="00EC253B"/>
    <w:rsid w:val="00ED0AD4"/>
    <w:rsid w:val="00EE096D"/>
    <w:rsid w:val="00EE39E6"/>
    <w:rsid w:val="00EF1055"/>
    <w:rsid w:val="00EF5B0A"/>
    <w:rsid w:val="00EF7EF1"/>
    <w:rsid w:val="00F020E9"/>
    <w:rsid w:val="00F03EDF"/>
    <w:rsid w:val="00F056F8"/>
    <w:rsid w:val="00F06DAF"/>
    <w:rsid w:val="00F14F53"/>
    <w:rsid w:val="00F21FB6"/>
    <w:rsid w:val="00F24E86"/>
    <w:rsid w:val="00F24EBE"/>
    <w:rsid w:val="00F27A72"/>
    <w:rsid w:val="00F33F46"/>
    <w:rsid w:val="00F36614"/>
    <w:rsid w:val="00F40CBC"/>
    <w:rsid w:val="00F415FE"/>
    <w:rsid w:val="00F4720D"/>
    <w:rsid w:val="00F66CD6"/>
    <w:rsid w:val="00F66D8C"/>
    <w:rsid w:val="00F70418"/>
    <w:rsid w:val="00F75886"/>
    <w:rsid w:val="00F80BCE"/>
    <w:rsid w:val="00F94064"/>
    <w:rsid w:val="00F95A85"/>
    <w:rsid w:val="00F95FC4"/>
    <w:rsid w:val="00F96D5A"/>
    <w:rsid w:val="00F97A71"/>
    <w:rsid w:val="00FA1DD1"/>
    <w:rsid w:val="00FB293D"/>
    <w:rsid w:val="00FB3703"/>
    <w:rsid w:val="00FB3EEC"/>
    <w:rsid w:val="00FC0F74"/>
    <w:rsid w:val="00FC3052"/>
    <w:rsid w:val="00FC39E3"/>
    <w:rsid w:val="00FC3EE6"/>
    <w:rsid w:val="00FC719B"/>
    <w:rsid w:val="00FD0C80"/>
    <w:rsid w:val="00FD5E1A"/>
    <w:rsid w:val="00FE208D"/>
    <w:rsid w:val="00FE241A"/>
    <w:rsid w:val="00FE7685"/>
    <w:rsid w:val="010CF9D7"/>
    <w:rsid w:val="0111195C"/>
    <w:rsid w:val="01344A83"/>
    <w:rsid w:val="014CB97D"/>
    <w:rsid w:val="0164A496"/>
    <w:rsid w:val="0165136B"/>
    <w:rsid w:val="016647D0"/>
    <w:rsid w:val="016B1454"/>
    <w:rsid w:val="019AC37E"/>
    <w:rsid w:val="019E2A0F"/>
    <w:rsid w:val="01AF0AEA"/>
    <w:rsid w:val="01E1D58A"/>
    <w:rsid w:val="01F56A5A"/>
    <w:rsid w:val="01FE8592"/>
    <w:rsid w:val="021131A9"/>
    <w:rsid w:val="021A9C47"/>
    <w:rsid w:val="0232FE74"/>
    <w:rsid w:val="024D871D"/>
    <w:rsid w:val="02754ED0"/>
    <w:rsid w:val="027B69C7"/>
    <w:rsid w:val="02866714"/>
    <w:rsid w:val="02885CA6"/>
    <w:rsid w:val="02C8F7B7"/>
    <w:rsid w:val="02CB0F2A"/>
    <w:rsid w:val="02E0BBD6"/>
    <w:rsid w:val="0317A2BA"/>
    <w:rsid w:val="0323F470"/>
    <w:rsid w:val="037336F4"/>
    <w:rsid w:val="037621B6"/>
    <w:rsid w:val="03834AE2"/>
    <w:rsid w:val="03DFF6D8"/>
    <w:rsid w:val="0405BF65"/>
    <w:rsid w:val="04093F98"/>
    <w:rsid w:val="0411121D"/>
    <w:rsid w:val="041E5A9D"/>
    <w:rsid w:val="041F1C01"/>
    <w:rsid w:val="0431D304"/>
    <w:rsid w:val="0461934F"/>
    <w:rsid w:val="048F14D8"/>
    <w:rsid w:val="048FC809"/>
    <w:rsid w:val="04AA8A4E"/>
    <w:rsid w:val="04BAA887"/>
    <w:rsid w:val="052A6AEF"/>
    <w:rsid w:val="0536774C"/>
    <w:rsid w:val="0577B348"/>
    <w:rsid w:val="05B78EF4"/>
    <w:rsid w:val="05C690C2"/>
    <w:rsid w:val="05CBAE2B"/>
    <w:rsid w:val="05E78AB4"/>
    <w:rsid w:val="05F2ADD6"/>
    <w:rsid w:val="060C0845"/>
    <w:rsid w:val="063F52C4"/>
    <w:rsid w:val="065C0746"/>
    <w:rsid w:val="06684A02"/>
    <w:rsid w:val="06964848"/>
    <w:rsid w:val="069B19FE"/>
    <w:rsid w:val="06C6DC57"/>
    <w:rsid w:val="06CCE62B"/>
    <w:rsid w:val="07137384"/>
    <w:rsid w:val="07443DF4"/>
    <w:rsid w:val="0771D65A"/>
    <w:rsid w:val="07861F18"/>
    <w:rsid w:val="078E4AE8"/>
    <w:rsid w:val="07A9C8C6"/>
    <w:rsid w:val="07B5EB1A"/>
    <w:rsid w:val="07CBBC88"/>
    <w:rsid w:val="07CE7041"/>
    <w:rsid w:val="07CEBA15"/>
    <w:rsid w:val="08399842"/>
    <w:rsid w:val="0842DF37"/>
    <w:rsid w:val="08527EDA"/>
    <w:rsid w:val="086346A8"/>
    <w:rsid w:val="08657E6D"/>
    <w:rsid w:val="08B6328D"/>
    <w:rsid w:val="08CD0D63"/>
    <w:rsid w:val="08CD68DB"/>
    <w:rsid w:val="08D0B978"/>
    <w:rsid w:val="08DAF9ED"/>
    <w:rsid w:val="08E379B4"/>
    <w:rsid w:val="092586D1"/>
    <w:rsid w:val="094479A5"/>
    <w:rsid w:val="096E3B2E"/>
    <w:rsid w:val="099A53CC"/>
    <w:rsid w:val="09AE829D"/>
    <w:rsid w:val="09B09EE7"/>
    <w:rsid w:val="09C516EC"/>
    <w:rsid w:val="09EE3749"/>
    <w:rsid w:val="0A033099"/>
    <w:rsid w:val="0A06D14F"/>
    <w:rsid w:val="0A2EA75C"/>
    <w:rsid w:val="0A557456"/>
    <w:rsid w:val="0A5BA094"/>
    <w:rsid w:val="0A65A457"/>
    <w:rsid w:val="0A67E895"/>
    <w:rsid w:val="0A8D9788"/>
    <w:rsid w:val="0A940F60"/>
    <w:rsid w:val="0AC84604"/>
    <w:rsid w:val="0AC8D20B"/>
    <w:rsid w:val="0B13FF48"/>
    <w:rsid w:val="0B943498"/>
    <w:rsid w:val="0BFE2435"/>
    <w:rsid w:val="0C0DC4C4"/>
    <w:rsid w:val="0C139E86"/>
    <w:rsid w:val="0C22C11A"/>
    <w:rsid w:val="0C515ABE"/>
    <w:rsid w:val="0C89D69E"/>
    <w:rsid w:val="0C8A748F"/>
    <w:rsid w:val="0C8D14D5"/>
    <w:rsid w:val="0C8F1DCA"/>
    <w:rsid w:val="0CA28AA9"/>
    <w:rsid w:val="0CAB7D95"/>
    <w:rsid w:val="0D05D144"/>
    <w:rsid w:val="0D18D3A0"/>
    <w:rsid w:val="0D37FCD8"/>
    <w:rsid w:val="0D52F4BA"/>
    <w:rsid w:val="0D8E2F8F"/>
    <w:rsid w:val="0DA4EC42"/>
    <w:rsid w:val="0DCDD674"/>
    <w:rsid w:val="0DD2580A"/>
    <w:rsid w:val="0E1195D3"/>
    <w:rsid w:val="0E18ABC5"/>
    <w:rsid w:val="0E1D4AAB"/>
    <w:rsid w:val="0E5200E6"/>
    <w:rsid w:val="0E9701C7"/>
    <w:rsid w:val="0EA63276"/>
    <w:rsid w:val="0EB78F7C"/>
    <w:rsid w:val="0EBD8CC6"/>
    <w:rsid w:val="0EBF44D2"/>
    <w:rsid w:val="0ED52FA6"/>
    <w:rsid w:val="0EE5928D"/>
    <w:rsid w:val="0F385129"/>
    <w:rsid w:val="0F63BCEA"/>
    <w:rsid w:val="0FB7BF81"/>
    <w:rsid w:val="0FBDA00E"/>
    <w:rsid w:val="0FC5239B"/>
    <w:rsid w:val="0FFD0CD0"/>
    <w:rsid w:val="101E2F52"/>
    <w:rsid w:val="10471765"/>
    <w:rsid w:val="105D8277"/>
    <w:rsid w:val="106EEF28"/>
    <w:rsid w:val="10A172F8"/>
    <w:rsid w:val="10C40F2B"/>
    <w:rsid w:val="10D2C681"/>
    <w:rsid w:val="1103A149"/>
    <w:rsid w:val="11072A08"/>
    <w:rsid w:val="110C960E"/>
    <w:rsid w:val="11133E4E"/>
    <w:rsid w:val="1132D508"/>
    <w:rsid w:val="11358331"/>
    <w:rsid w:val="119E2569"/>
    <w:rsid w:val="11C79D40"/>
    <w:rsid w:val="11E188A7"/>
    <w:rsid w:val="12434E44"/>
    <w:rsid w:val="12454B66"/>
    <w:rsid w:val="124F6C4E"/>
    <w:rsid w:val="1279A00B"/>
    <w:rsid w:val="12A2DD94"/>
    <w:rsid w:val="12A8A52C"/>
    <w:rsid w:val="1369606D"/>
    <w:rsid w:val="136CFEE0"/>
    <w:rsid w:val="137E3199"/>
    <w:rsid w:val="1405C434"/>
    <w:rsid w:val="140BF1C2"/>
    <w:rsid w:val="14148E54"/>
    <w:rsid w:val="141BA07F"/>
    <w:rsid w:val="142102CF"/>
    <w:rsid w:val="1440A94F"/>
    <w:rsid w:val="1478721B"/>
    <w:rsid w:val="148A8561"/>
    <w:rsid w:val="14923455"/>
    <w:rsid w:val="149951E2"/>
    <w:rsid w:val="149FE884"/>
    <w:rsid w:val="14A8F383"/>
    <w:rsid w:val="14D4541F"/>
    <w:rsid w:val="14DEC77C"/>
    <w:rsid w:val="14E8CC4B"/>
    <w:rsid w:val="151C9EAF"/>
    <w:rsid w:val="15284FA7"/>
    <w:rsid w:val="1537B78F"/>
    <w:rsid w:val="1537D595"/>
    <w:rsid w:val="1539679A"/>
    <w:rsid w:val="154E3D42"/>
    <w:rsid w:val="155F6696"/>
    <w:rsid w:val="15803475"/>
    <w:rsid w:val="15C82FE2"/>
    <w:rsid w:val="15E8A4C2"/>
    <w:rsid w:val="160DAC52"/>
    <w:rsid w:val="1610B4A9"/>
    <w:rsid w:val="16239788"/>
    <w:rsid w:val="16867E1C"/>
    <w:rsid w:val="16BF39D4"/>
    <w:rsid w:val="16D7A761"/>
    <w:rsid w:val="16FA0EBD"/>
    <w:rsid w:val="16FBD2B4"/>
    <w:rsid w:val="170498C3"/>
    <w:rsid w:val="1709704C"/>
    <w:rsid w:val="170D2851"/>
    <w:rsid w:val="1710DDF5"/>
    <w:rsid w:val="1716D120"/>
    <w:rsid w:val="171AAA98"/>
    <w:rsid w:val="17889A1A"/>
    <w:rsid w:val="1790F042"/>
    <w:rsid w:val="17994155"/>
    <w:rsid w:val="17C676C6"/>
    <w:rsid w:val="17EBE470"/>
    <w:rsid w:val="180CE2D8"/>
    <w:rsid w:val="1829560D"/>
    <w:rsid w:val="184DFA80"/>
    <w:rsid w:val="18670061"/>
    <w:rsid w:val="186C9B8E"/>
    <w:rsid w:val="188F57E7"/>
    <w:rsid w:val="1893544B"/>
    <w:rsid w:val="189FAF9B"/>
    <w:rsid w:val="18A25F8C"/>
    <w:rsid w:val="18AB17FB"/>
    <w:rsid w:val="18DA6C26"/>
    <w:rsid w:val="18E62B32"/>
    <w:rsid w:val="18EA5CE4"/>
    <w:rsid w:val="18F39D1C"/>
    <w:rsid w:val="19118A95"/>
    <w:rsid w:val="1923027D"/>
    <w:rsid w:val="197462E9"/>
    <w:rsid w:val="197A65BF"/>
    <w:rsid w:val="1981CE5D"/>
    <w:rsid w:val="198DE245"/>
    <w:rsid w:val="199A4AE8"/>
    <w:rsid w:val="19B5E430"/>
    <w:rsid w:val="19F43492"/>
    <w:rsid w:val="1A12EB78"/>
    <w:rsid w:val="1A1346FA"/>
    <w:rsid w:val="1A25EEB0"/>
    <w:rsid w:val="1A3B9FC0"/>
    <w:rsid w:val="1A5EF01A"/>
    <w:rsid w:val="1AE9E2EB"/>
    <w:rsid w:val="1AFC570D"/>
    <w:rsid w:val="1B9178B0"/>
    <w:rsid w:val="1BB78D9B"/>
    <w:rsid w:val="1BC33DC2"/>
    <w:rsid w:val="1BD2AF99"/>
    <w:rsid w:val="1C06C331"/>
    <w:rsid w:val="1C179921"/>
    <w:rsid w:val="1C2267E0"/>
    <w:rsid w:val="1C4F7282"/>
    <w:rsid w:val="1C67EE85"/>
    <w:rsid w:val="1C68C9C8"/>
    <w:rsid w:val="1C6B54F6"/>
    <w:rsid w:val="1C876D27"/>
    <w:rsid w:val="1CA86C79"/>
    <w:rsid w:val="1CAD540D"/>
    <w:rsid w:val="1CB0625E"/>
    <w:rsid w:val="1CB1151E"/>
    <w:rsid w:val="1CB68C69"/>
    <w:rsid w:val="1CD0B504"/>
    <w:rsid w:val="1CEB4480"/>
    <w:rsid w:val="1CEF9FC2"/>
    <w:rsid w:val="1CFBA8C3"/>
    <w:rsid w:val="1CFCC0D5"/>
    <w:rsid w:val="1D0A9824"/>
    <w:rsid w:val="1D1282D5"/>
    <w:rsid w:val="1D39879E"/>
    <w:rsid w:val="1D47F541"/>
    <w:rsid w:val="1D6ED51D"/>
    <w:rsid w:val="1D83913E"/>
    <w:rsid w:val="1DA4667E"/>
    <w:rsid w:val="1DA862F5"/>
    <w:rsid w:val="1DC8DAA0"/>
    <w:rsid w:val="1DD61DA7"/>
    <w:rsid w:val="1E02EF80"/>
    <w:rsid w:val="1E174D05"/>
    <w:rsid w:val="1E213075"/>
    <w:rsid w:val="1E4899A3"/>
    <w:rsid w:val="1E4DF558"/>
    <w:rsid w:val="1E6D41D7"/>
    <w:rsid w:val="1EA8B78B"/>
    <w:rsid w:val="1EAB86F9"/>
    <w:rsid w:val="1ED5B117"/>
    <w:rsid w:val="1F072BE9"/>
    <w:rsid w:val="1F0FB2D7"/>
    <w:rsid w:val="1F1328B8"/>
    <w:rsid w:val="1F15F724"/>
    <w:rsid w:val="1F22C819"/>
    <w:rsid w:val="1F24B21B"/>
    <w:rsid w:val="1F2E6A19"/>
    <w:rsid w:val="1F486BE7"/>
    <w:rsid w:val="1F55FCA1"/>
    <w:rsid w:val="1F6F507D"/>
    <w:rsid w:val="1F7B30A7"/>
    <w:rsid w:val="1F8E5030"/>
    <w:rsid w:val="1FA4FBD1"/>
    <w:rsid w:val="1FA735E7"/>
    <w:rsid w:val="1FAAFD6C"/>
    <w:rsid w:val="1FEF3B86"/>
    <w:rsid w:val="2024CC12"/>
    <w:rsid w:val="204F6DC0"/>
    <w:rsid w:val="2069573C"/>
    <w:rsid w:val="206EBC19"/>
    <w:rsid w:val="20788C7D"/>
    <w:rsid w:val="2086EAC2"/>
    <w:rsid w:val="209C6F96"/>
    <w:rsid w:val="20D28509"/>
    <w:rsid w:val="20F109A1"/>
    <w:rsid w:val="20F869A3"/>
    <w:rsid w:val="211DDA6F"/>
    <w:rsid w:val="21481F87"/>
    <w:rsid w:val="2178F308"/>
    <w:rsid w:val="218EEDC0"/>
    <w:rsid w:val="21A0CFF4"/>
    <w:rsid w:val="21A30359"/>
    <w:rsid w:val="21BE28B2"/>
    <w:rsid w:val="21D353F8"/>
    <w:rsid w:val="21E8B690"/>
    <w:rsid w:val="21F0C577"/>
    <w:rsid w:val="21F6D9C5"/>
    <w:rsid w:val="21FD6D37"/>
    <w:rsid w:val="2205DB12"/>
    <w:rsid w:val="22069E5C"/>
    <w:rsid w:val="2206C3FA"/>
    <w:rsid w:val="220B3324"/>
    <w:rsid w:val="220E4831"/>
    <w:rsid w:val="22199071"/>
    <w:rsid w:val="221D9776"/>
    <w:rsid w:val="223A6752"/>
    <w:rsid w:val="224D71C5"/>
    <w:rsid w:val="224D7B24"/>
    <w:rsid w:val="227165DC"/>
    <w:rsid w:val="22755CC9"/>
    <w:rsid w:val="22961B9E"/>
    <w:rsid w:val="22A9C6C5"/>
    <w:rsid w:val="22A9E24F"/>
    <w:rsid w:val="22BC478D"/>
    <w:rsid w:val="23310D7E"/>
    <w:rsid w:val="2331E2CA"/>
    <w:rsid w:val="234344EA"/>
    <w:rsid w:val="234ECF38"/>
    <w:rsid w:val="2355ACDC"/>
    <w:rsid w:val="23759E42"/>
    <w:rsid w:val="239C9CC5"/>
    <w:rsid w:val="23B75315"/>
    <w:rsid w:val="23C80BA9"/>
    <w:rsid w:val="23EFDA79"/>
    <w:rsid w:val="23F1C7E9"/>
    <w:rsid w:val="2437237D"/>
    <w:rsid w:val="243D19DC"/>
    <w:rsid w:val="2447DA3E"/>
    <w:rsid w:val="244CA53B"/>
    <w:rsid w:val="244D7A96"/>
    <w:rsid w:val="2458A105"/>
    <w:rsid w:val="2458EB1B"/>
    <w:rsid w:val="24624355"/>
    <w:rsid w:val="247DD81A"/>
    <w:rsid w:val="249A3FF3"/>
    <w:rsid w:val="24D1538F"/>
    <w:rsid w:val="24D94027"/>
    <w:rsid w:val="24EAB1FD"/>
    <w:rsid w:val="24F1E26B"/>
    <w:rsid w:val="250B26BF"/>
    <w:rsid w:val="25318968"/>
    <w:rsid w:val="2554E34C"/>
    <w:rsid w:val="25C8774E"/>
    <w:rsid w:val="25F09249"/>
    <w:rsid w:val="25F72B47"/>
    <w:rsid w:val="26130AFD"/>
    <w:rsid w:val="26863E48"/>
    <w:rsid w:val="26A0DDC6"/>
    <w:rsid w:val="26A32899"/>
    <w:rsid w:val="26B1C80D"/>
    <w:rsid w:val="26C203BB"/>
    <w:rsid w:val="26D6A87E"/>
    <w:rsid w:val="26E4AD95"/>
    <w:rsid w:val="26FD5013"/>
    <w:rsid w:val="2714A86F"/>
    <w:rsid w:val="272CB360"/>
    <w:rsid w:val="27759C88"/>
    <w:rsid w:val="277CBAB0"/>
    <w:rsid w:val="277F97A5"/>
    <w:rsid w:val="27B01823"/>
    <w:rsid w:val="28106AB8"/>
    <w:rsid w:val="284335EE"/>
    <w:rsid w:val="285CC391"/>
    <w:rsid w:val="286CFD14"/>
    <w:rsid w:val="287121AE"/>
    <w:rsid w:val="28726E36"/>
    <w:rsid w:val="2896C47F"/>
    <w:rsid w:val="28AFA7EA"/>
    <w:rsid w:val="28BBEC4A"/>
    <w:rsid w:val="28C96C09"/>
    <w:rsid w:val="28CDF3CD"/>
    <w:rsid w:val="29132A64"/>
    <w:rsid w:val="2923C5B3"/>
    <w:rsid w:val="293F08D1"/>
    <w:rsid w:val="2941C38D"/>
    <w:rsid w:val="29537622"/>
    <w:rsid w:val="2957ACA3"/>
    <w:rsid w:val="298719F0"/>
    <w:rsid w:val="29992AA0"/>
    <w:rsid w:val="29B61D63"/>
    <w:rsid w:val="29CA2071"/>
    <w:rsid w:val="29DAAEBF"/>
    <w:rsid w:val="2A1340DF"/>
    <w:rsid w:val="2A205445"/>
    <w:rsid w:val="2A2FAC64"/>
    <w:rsid w:val="2A49BBC7"/>
    <w:rsid w:val="2A6A8AE4"/>
    <w:rsid w:val="2A7903ED"/>
    <w:rsid w:val="2A8D8C3C"/>
    <w:rsid w:val="2ABB0D43"/>
    <w:rsid w:val="2AD0899C"/>
    <w:rsid w:val="2ADC7376"/>
    <w:rsid w:val="2AFA29B2"/>
    <w:rsid w:val="2B02C5C7"/>
    <w:rsid w:val="2B10FB78"/>
    <w:rsid w:val="2B2D6101"/>
    <w:rsid w:val="2B4D7722"/>
    <w:rsid w:val="2B591C9B"/>
    <w:rsid w:val="2B675557"/>
    <w:rsid w:val="2B708279"/>
    <w:rsid w:val="2B974F72"/>
    <w:rsid w:val="2BB296BE"/>
    <w:rsid w:val="2BB462D0"/>
    <w:rsid w:val="2BCFDED1"/>
    <w:rsid w:val="2BDF0B10"/>
    <w:rsid w:val="2BE2F6F2"/>
    <w:rsid w:val="2BEF10E2"/>
    <w:rsid w:val="2C0509B4"/>
    <w:rsid w:val="2C432443"/>
    <w:rsid w:val="2C4AC4D7"/>
    <w:rsid w:val="2C505445"/>
    <w:rsid w:val="2C526712"/>
    <w:rsid w:val="2CBA0E70"/>
    <w:rsid w:val="2CBB0310"/>
    <w:rsid w:val="2CBDBA76"/>
    <w:rsid w:val="2CC551A7"/>
    <w:rsid w:val="2CE007D8"/>
    <w:rsid w:val="2CE9B9DD"/>
    <w:rsid w:val="2D03AB72"/>
    <w:rsid w:val="2D190665"/>
    <w:rsid w:val="2D1E02A3"/>
    <w:rsid w:val="2D1F5C63"/>
    <w:rsid w:val="2D250D03"/>
    <w:rsid w:val="2D270148"/>
    <w:rsid w:val="2D34FE71"/>
    <w:rsid w:val="2D6C9C60"/>
    <w:rsid w:val="2DD65FE8"/>
    <w:rsid w:val="2DF6193A"/>
    <w:rsid w:val="2E08374E"/>
    <w:rsid w:val="2E0FA40D"/>
    <w:rsid w:val="2E3BC7C5"/>
    <w:rsid w:val="2E58D426"/>
    <w:rsid w:val="2E71C550"/>
    <w:rsid w:val="2E911457"/>
    <w:rsid w:val="2E9E80ED"/>
    <w:rsid w:val="2EA61B33"/>
    <w:rsid w:val="2EA87E96"/>
    <w:rsid w:val="2EB77045"/>
    <w:rsid w:val="2ED003D7"/>
    <w:rsid w:val="2EDAF828"/>
    <w:rsid w:val="2F0B9A7A"/>
    <w:rsid w:val="2F2141A1"/>
    <w:rsid w:val="2F39AE3B"/>
    <w:rsid w:val="2F501053"/>
    <w:rsid w:val="2F68FB9A"/>
    <w:rsid w:val="2F82B89D"/>
    <w:rsid w:val="2F83E9DE"/>
    <w:rsid w:val="2F97A615"/>
    <w:rsid w:val="2FABD130"/>
    <w:rsid w:val="2FBAA124"/>
    <w:rsid w:val="2FC81B65"/>
    <w:rsid w:val="2FE4FB75"/>
    <w:rsid w:val="2FF9839F"/>
    <w:rsid w:val="301724D9"/>
    <w:rsid w:val="301E89F8"/>
    <w:rsid w:val="302D68D3"/>
    <w:rsid w:val="3039815C"/>
    <w:rsid w:val="3091D7D5"/>
    <w:rsid w:val="30976A93"/>
    <w:rsid w:val="30A2EE99"/>
    <w:rsid w:val="30B7C17F"/>
    <w:rsid w:val="30BC6561"/>
    <w:rsid w:val="30D3E891"/>
    <w:rsid w:val="3103B64C"/>
    <w:rsid w:val="311F3E48"/>
    <w:rsid w:val="3147C852"/>
    <w:rsid w:val="315898A2"/>
    <w:rsid w:val="31694B4A"/>
    <w:rsid w:val="31A18B78"/>
    <w:rsid w:val="31AAD0FB"/>
    <w:rsid w:val="31CEFCB3"/>
    <w:rsid w:val="3209B2C3"/>
    <w:rsid w:val="321F81E5"/>
    <w:rsid w:val="3220F978"/>
    <w:rsid w:val="324484AD"/>
    <w:rsid w:val="324C6BB9"/>
    <w:rsid w:val="32607664"/>
    <w:rsid w:val="3263A6BA"/>
    <w:rsid w:val="32822A95"/>
    <w:rsid w:val="329200A6"/>
    <w:rsid w:val="32A441DC"/>
    <w:rsid w:val="32A4F315"/>
    <w:rsid w:val="32A9B257"/>
    <w:rsid w:val="32B90ADD"/>
    <w:rsid w:val="32B9F0B0"/>
    <w:rsid w:val="32BA0788"/>
    <w:rsid w:val="32C2E879"/>
    <w:rsid w:val="32DB0FD1"/>
    <w:rsid w:val="32F637D9"/>
    <w:rsid w:val="32F7F0EE"/>
    <w:rsid w:val="32FAC14D"/>
    <w:rsid w:val="32FE4C2D"/>
    <w:rsid w:val="330B0FE6"/>
    <w:rsid w:val="331D0704"/>
    <w:rsid w:val="3325FB09"/>
    <w:rsid w:val="334C542C"/>
    <w:rsid w:val="3356DDFD"/>
    <w:rsid w:val="33597ABA"/>
    <w:rsid w:val="335A8019"/>
    <w:rsid w:val="33874196"/>
    <w:rsid w:val="339BD7ED"/>
    <w:rsid w:val="33BB897F"/>
    <w:rsid w:val="33C72633"/>
    <w:rsid w:val="3409955B"/>
    <w:rsid w:val="34195970"/>
    <w:rsid w:val="34236E12"/>
    <w:rsid w:val="342B57F1"/>
    <w:rsid w:val="34627C1B"/>
    <w:rsid w:val="34658E6F"/>
    <w:rsid w:val="346A8B7B"/>
    <w:rsid w:val="34A44140"/>
    <w:rsid w:val="34C13611"/>
    <w:rsid w:val="34E05FAB"/>
    <w:rsid w:val="34EA6FE3"/>
    <w:rsid w:val="350AC2F6"/>
    <w:rsid w:val="350D510F"/>
    <w:rsid w:val="351FFB5B"/>
    <w:rsid w:val="3520216B"/>
    <w:rsid w:val="352D59E4"/>
    <w:rsid w:val="3565BF41"/>
    <w:rsid w:val="358E807E"/>
    <w:rsid w:val="35AFF6D6"/>
    <w:rsid w:val="360D1268"/>
    <w:rsid w:val="36171D99"/>
    <w:rsid w:val="36244870"/>
    <w:rsid w:val="365F3012"/>
    <w:rsid w:val="366A1C25"/>
    <w:rsid w:val="369F8CE8"/>
    <w:rsid w:val="36A174AE"/>
    <w:rsid w:val="36A4C3B8"/>
    <w:rsid w:val="36CB6580"/>
    <w:rsid w:val="36F147C9"/>
    <w:rsid w:val="36F38BB0"/>
    <w:rsid w:val="36FC1121"/>
    <w:rsid w:val="36FD9619"/>
    <w:rsid w:val="3713F685"/>
    <w:rsid w:val="3727773F"/>
    <w:rsid w:val="376A9C0B"/>
    <w:rsid w:val="37953DF3"/>
    <w:rsid w:val="37D20BB5"/>
    <w:rsid w:val="37E0E69A"/>
    <w:rsid w:val="37E62F1F"/>
    <w:rsid w:val="37E99FCE"/>
    <w:rsid w:val="37EA2BFB"/>
    <w:rsid w:val="37F322E0"/>
    <w:rsid w:val="37F5F961"/>
    <w:rsid w:val="381B47C7"/>
    <w:rsid w:val="382286D4"/>
    <w:rsid w:val="3828A997"/>
    <w:rsid w:val="38337144"/>
    <w:rsid w:val="386E5EBC"/>
    <w:rsid w:val="38756097"/>
    <w:rsid w:val="387EBFBD"/>
    <w:rsid w:val="390F9FE8"/>
    <w:rsid w:val="3982081E"/>
    <w:rsid w:val="39B013A6"/>
    <w:rsid w:val="39E6366D"/>
    <w:rsid w:val="3A03E9CA"/>
    <w:rsid w:val="3A126704"/>
    <w:rsid w:val="3A2EE87D"/>
    <w:rsid w:val="3A436AEE"/>
    <w:rsid w:val="3A450BAB"/>
    <w:rsid w:val="3A4F3231"/>
    <w:rsid w:val="3A7192FC"/>
    <w:rsid w:val="3A7B8E25"/>
    <w:rsid w:val="3A873098"/>
    <w:rsid w:val="3A9CC2B4"/>
    <w:rsid w:val="3AA3B264"/>
    <w:rsid w:val="3AA9C690"/>
    <w:rsid w:val="3AB2E075"/>
    <w:rsid w:val="3AF3FAF1"/>
    <w:rsid w:val="3AF4EF3F"/>
    <w:rsid w:val="3B023915"/>
    <w:rsid w:val="3B542068"/>
    <w:rsid w:val="3B5A070B"/>
    <w:rsid w:val="3B963A37"/>
    <w:rsid w:val="3BCBF891"/>
    <w:rsid w:val="3BD148D6"/>
    <w:rsid w:val="3BD2757E"/>
    <w:rsid w:val="3BEBBB27"/>
    <w:rsid w:val="3BF4766F"/>
    <w:rsid w:val="3BFC03E1"/>
    <w:rsid w:val="3C125764"/>
    <w:rsid w:val="3C16A291"/>
    <w:rsid w:val="3C3324C2"/>
    <w:rsid w:val="3C3EAAC2"/>
    <w:rsid w:val="3C518452"/>
    <w:rsid w:val="3C767EE0"/>
    <w:rsid w:val="3D18FC17"/>
    <w:rsid w:val="3D54571E"/>
    <w:rsid w:val="3D60A66B"/>
    <w:rsid w:val="3D610A0D"/>
    <w:rsid w:val="3D6C3091"/>
    <w:rsid w:val="3D79DDEC"/>
    <w:rsid w:val="3DB57AD6"/>
    <w:rsid w:val="3DC20DAF"/>
    <w:rsid w:val="3DEA0EE5"/>
    <w:rsid w:val="3DF892AA"/>
    <w:rsid w:val="3E107254"/>
    <w:rsid w:val="3E2D65A2"/>
    <w:rsid w:val="3E2E2376"/>
    <w:rsid w:val="3E48AB79"/>
    <w:rsid w:val="3E618DC9"/>
    <w:rsid w:val="3E75C251"/>
    <w:rsid w:val="3EA26345"/>
    <w:rsid w:val="3ED0C7DA"/>
    <w:rsid w:val="3EF4D2A7"/>
    <w:rsid w:val="3F0ED886"/>
    <w:rsid w:val="3F6CD55B"/>
    <w:rsid w:val="3F887545"/>
    <w:rsid w:val="3F8D6871"/>
    <w:rsid w:val="3F8F90ED"/>
    <w:rsid w:val="3FA23EAF"/>
    <w:rsid w:val="3FB618C7"/>
    <w:rsid w:val="3FDEBEB9"/>
    <w:rsid w:val="3FE7D744"/>
    <w:rsid w:val="3FF67D8C"/>
    <w:rsid w:val="3FFE8FCF"/>
    <w:rsid w:val="400FE039"/>
    <w:rsid w:val="4016300F"/>
    <w:rsid w:val="402CF2BB"/>
    <w:rsid w:val="406DCD69"/>
    <w:rsid w:val="40851CBC"/>
    <w:rsid w:val="408B4B9F"/>
    <w:rsid w:val="40C6329C"/>
    <w:rsid w:val="40CB0E43"/>
    <w:rsid w:val="40D53AEE"/>
    <w:rsid w:val="40D71A0F"/>
    <w:rsid w:val="40D8AA77"/>
    <w:rsid w:val="40EC8F15"/>
    <w:rsid w:val="412EFED1"/>
    <w:rsid w:val="41415420"/>
    <w:rsid w:val="414770CE"/>
    <w:rsid w:val="414C6D2E"/>
    <w:rsid w:val="416F4953"/>
    <w:rsid w:val="4172A7E6"/>
    <w:rsid w:val="41991E43"/>
    <w:rsid w:val="41B4707F"/>
    <w:rsid w:val="41C35F06"/>
    <w:rsid w:val="41F9B6CB"/>
    <w:rsid w:val="420CD997"/>
    <w:rsid w:val="422F7E1E"/>
    <w:rsid w:val="423A5A0E"/>
    <w:rsid w:val="4253F90B"/>
    <w:rsid w:val="425972F2"/>
    <w:rsid w:val="4268E3AD"/>
    <w:rsid w:val="42B2F97F"/>
    <w:rsid w:val="42C9DB69"/>
    <w:rsid w:val="42F30737"/>
    <w:rsid w:val="4316BBA8"/>
    <w:rsid w:val="43193807"/>
    <w:rsid w:val="431B428C"/>
    <w:rsid w:val="431DACC0"/>
    <w:rsid w:val="434F5A06"/>
    <w:rsid w:val="435D617B"/>
    <w:rsid w:val="435D7E22"/>
    <w:rsid w:val="436B96BC"/>
    <w:rsid w:val="437FCF94"/>
    <w:rsid w:val="4385F50E"/>
    <w:rsid w:val="4392B0BC"/>
    <w:rsid w:val="43CC6362"/>
    <w:rsid w:val="43D1EA08"/>
    <w:rsid w:val="43D39A3D"/>
    <w:rsid w:val="43D62B30"/>
    <w:rsid w:val="43F32B7F"/>
    <w:rsid w:val="4426E4F6"/>
    <w:rsid w:val="442F7A2C"/>
    <w:rsid w:val="442FAD1D"/>
    <w:rsid w:val="444C41AC"/>
    <w:rsid w:val="4468C38E"/>
    <w:rsid w:val="448851DB"/>
    <w:rsid w:val="448C0B25"/>
    <w:rsid w:val="44AA400D"/>
    <w:rsid w:val="44B05C6F"/>
    <w:rsid w:val="44B2C111"/>
    <w:rsid w:val="44B2EE7F"/>
    <w:rsid w:val="44DABC58"/>
    <w:rsid w:val="44E33723"/>
    <w:rsid w:val="44F975DF"/>
    <w:rsid w:val="4504087C"/>
    <w:rsid w:val="4518C48D"/>
    <w:rsid w:val="451DAAB4"/>
    <w:rsid w:val="452F90C8"/>
    <w:rsid w:val="4560E5C2"/>
    <w:rsid w:val="4561BC98"/>
    <w:rsid w:val="45875C88"/>
    <w:rsid w:val="45A3261A"/>
    <w:rsid w:val="45A80C1E"/>
    <w:rsid w:val="45AE19FB"/>
    <w:rsid w:val="45F47534"/>
    <w:rsid w:val="4603FF4A"/>
    <w:rsid w:val="46050FA5"/>
    <w:rsid w:val="460A45C4"/>
    <w:rsid w:val="460CD4E2"/>
    <w:rsid w:val="4669FD64"/>
    <w:rsid w:val="468D4EB3"/>
    <w:rsid w:val="46956539"/>
    <w:rsid w:val="469742C8"/>
    <w:rsid w:val="469E221D"/>
    <w:rsid w:val="46BF701D"/>
    <w:rsid w:val="46F28A4C"/>
    <w:rsid w:val="46F7678F"/>
    <w:rsid w:val="472B758E"/>
    <w:rsid w:val="47467F5B"/>
    <w:rsid w:val="475908B2"/>
    <w:rsid w:val="476A445B"/>
    <w:rsid w:val="47C3FC0A"/>
    <w:rsid w:val="47E8F15D"/>
    <w:rsid w:val="47F3A1CA"/>
    <w:rsid w:val="482EDB14"/>
    <w:rsid w:val="48627405"/>
    <w:rsid w:val="48772522"/>
    <w:rsid w:val="48943501"/>
    <w:rsid w:val="48A5DBAF"/>
    <w:rsid w:val="48A8DB2A"/>
    <w:rsid w:val="48BA8B1C"/>
    <w:rsid w:val="48DE6CA9"/>
    <w:rsid w:val="48F9CB01"/>
    <w:rsid w:val="490235C4"/>
    <w:rsid w:val="491DA3DF"/>
    <w:rsid w:val="492F58ED"/>
    <w:rsid w:val="4937EBD9"/>
    <w:rsid w:val="49416E8D"/>
    <w:rsid w:val="49772441"/>
    <w:rsid w:val="498709A8"/>
    <w:rsid w:val="4993BD5A"/>
    <w:rsid w:val="49BB384D"/>
    <w:rsid w:val="49BB41D3"/>
    <w:rsid w:val="49C1C332"/>
    <w:rsid w:val="49E3A1C0"/>
    <w:rsid w:val="4A051320"/>
    <w:rsid w:val="4A1342D5"/>
    <w:rsid w:val="4A2392B0"/>
    <w:rsid w:val="4A30E0AB"/>
    <w:rsid w:val="4A476E7E"/>
    <w:rsid w:val="4A7B3FC1"/>
    <w:rsid w:val="4A9A16E9"/>
    <w:rsid w:val="4AA0A2B1"/>
    <w:rsid w:val="4AADC05D"/>
    <w:rsid w:val="4AB2A3A5"/>
    <w:rsid w:val="4ACE5423"/>
    <w:rsid w:val="4AD10357"/>
    <w:rsid w:val="4AE1BBD5"/>
    <w:rsid w:val="4AE7C563"/>
    <w:rsid w:val="4B064D83"/>
    <w:rsid w:val="4B071F7C"/>
    <w:rsid w:val="4B0FA179"/>
    <w:rsid w:val="4B154216"/>
    <w:rsid w:val="4B253FAE"/>
    <w:rsid w:val="4B3103E0"/>
    <w:rsid w:val="4B34904C"/>
    <w:rsid w:val="4B7AADC4"/>
    <w:rsid w:val="4B7C3E06"/>
    <w:rsid w:val="4BAEA844"/>
    <w:rsid w:val="4BBD32D1"/>
    <w:rsid w:val="4BC5A6EA"/>
    <w:rsid w:val="4BF12B53"/>
    <w:rsid w:val="4BF7822C"/>
    <w:rsid w:val="4C2767C3"/>
    <w:rsid w:val="4C317210"/>
    <w:rsid w:val="4C51937F"/>
    <w:rsid w:val="4C542173"/>
    <w:rsid w:val="4C56A797"/>
    <w:rsid w:val="4C7D8A77"/>
    <w:rsid w:val="4C8020D4"/>
    <w:rsid w:val="4C94D10F"/>
    <w:rsid w:val="4C9EBFB2"/>
    <w:rsid w:val="4CA30ABB"/>
    <w:rsid w:val="4CBA276A"/>
    <w:rsid w:val="4CBE5DF4"/>
    <w:rsid w:val="4CC9B0E5"/>
    <w:rsid w:val="4CCC14BB"/>
    <w:rsid w:val="4CD5EE04"/>
    <w:rsid w:val="4CEBF429"/>
    <w:rsid w:val="4D049B13"/>
    <w:rsid w:val="4D130AF9"/>
    <w:rsid w:val="4D148C9B"/>
    <w:rsid w:val="4D1B3351"/>
    <w:rsid w:val="4D3393D4"/>
    <w:rsid w:val="4D38EA5C"/>
    <w:rsid w:val="4D563C29"/>
    <w:rsid w:val="4D6EC084"/>
    <w:rsid w:val="4D9578A3"/>
    <w:rsid w:val="4D9CE947"/>
    <w:rsid w:val="4DACC2E7"/>
    <w:rsid w:val="4E5DB8EC"/>
    <w:rsid w:val="4E6EBAC1"/>
    <w:rsid w:val="4E725A7B"/>
    <w:rsid w:val="4E7EA158"/>
    <w:rsid w:val="4E9921BB"/>
    <w:rsid w:val="4EC30133"/>
    <w:rsid w:val="4EF35389"/>
    <w:rsid w:val="4F27EB3F"/>
    <w:rsid w:val="4F2C4158"/>
    <w:rsid w:val="4F33776F"/>
    <w:rsid w:val="4F43D16D"/>
    <w:rsid w:val="4F4C049F"/>
    <w:rsid w:val="4F753A14"/>
    <w:rsid w:val="4F7E5503"/>
    <w:rsid w:val="4F7F6F99"/>
    <w:rsid w:val="4F814661"/>
    <w:rsid w:val="4F94BA90"/>
    <w:rsid w:val="4F99E182"/>
    <w:rsid w:val="4FAEF5FE"/>
    <w:rsid w:val="4FC10C57"/>
    <w:rsid w:val="4FD7AF41"/>
    <w:rsid w:val="4FDB9771"/>
    <w:rsid w:val="4FE271BD"/>
    <w:rsid w:val="4FF75283"/>
    <w:rsid w:val="50099337"/>
    <w:rsid w:val="501A3F29"/>
    <w:rsid w:val="50419C19"/>
    <w:rsid w:val="5043EC3C"/>
    <w:rsid w:val="50569C54"/>
    <w:rsid w:val="506443EC"/>
    <w:rsid w:val="507442D9"/>
    <w:rsid w:val="509F27E4"/>
    <w:rsid w:val="50C6BAA2"/>
    <w:rsid w:val="50FF8019"/>
    <w:rsid w:val="5104233B"/>
    <w:rsid w:val="5163DD30"/>
    <w:rsid w:val="5183E2AD"/>
    <w:rsid w:val="519410FE"/>
    <w:rsid w:val="5195C6D7"/>
    <w:rsid w:val="51B114E2"/>
    <w:rsid w:val="51D0721F"/>
    <w:rsid w:val="51E8FA0F"/>
    <w:rsid w:val="51ECD1EE"/>
    <w:rsid w:val="51F32658"/>
    <w:rsid w:val="52073C15"/>
    <w:rsid w:val="525FD906"/>
    <w:rsid w:val="5291A028"/>
    <w:rsid w:val="52A5248E"/>
    <w:rsid w:val="52E0860A"/>
    <w:rsid w:val="5305710E"/>
    <w:rsid w:val="534423A6"/>
    <w:rsid w:val="535D3862"/>
    <w:rsid w:val="5372903A"/>
    <w:rsid w:val="537FEE8B"/>
    <w:rsid w:val="5388016D"/>
    <w:rsid w:val="5388C218"/>
    <w:rsid w:val="53AA7699"/>
    <w:rsid w:val="53D5ABE0"/>
    <w:rsid w:val="53F7FF30"/>
    <w:rsid w:val="543CAD25"/>
    <w:rsid w:val="54483C69"/>
    <w:rsid w:val="5473EAFA"/>
    <w:rsid w:val="548A12B4"/>
    <w:rsid w:val="54A0181F"/>
    <w:rsid w:val="54B600CC"/>
    <w:rsid w:val="54DC8BE2"/>
    <w:rsid w:val="54E88E02"/>
    <w:rsid w:val="55278DF4"/>
    <w:rsid w:val="5550EB9A"/>
    <w:rsid w:val="5581E223"/>
    <w:rsid w:val="55872CA6"/>
    <w:rsid w:val="558EC83D"/>
    <w:rsid w:val="55A325E0"/>
    <w:rsid w:val="55B18CF6"/>
    <w:rsid w:val="55BFC799"/>
    <w:rsid w:val="55C4BBA7"/>
    <w:rsid w:val="55D62231"/>
    <w:rsid w:val="560B475A"/>
    <w:rsid w:val="5617490E"/>
    <w:rsid w:val="562DA95E"/>
    <w:rsid w:val="565C1021"/>
    <w:rsid w:val="568D8678"/>
    <w:rsid w:val="569BCE50"/>
    <w:rsid w:val="569FD44D"/>
    <w:rsid w:val="56BD93C3"/>
    <w:rsid w:val="56D75B44"/>
    <w:rsid w:val="56DE0B8A"/>
    <w:rsid w:val="56F02467"/>
    <w:rsid w:val="56F1A62F"/>
    <w:rsid w:val="56F78177"/>
    <w:rsid w:val="5742B75C"/>
    <w:rsid w:val="575D50A4"/>
    <w:rsid w:val="5771F5C4"/>
    <w:rsid w:val="57B634C4"/>
    <w:rsid w:val="57C2C6E5"/>
    <w:rsid w:val="57C2C700"/>
    <w:rsid w:val="57EA0447"/>
    <w:rsid w:val="57EEE9CA"/>
    <w:rsid w:val="5835EB1D"/>
    <w:rsid w:val="58810E91"/>
    <w:rsid w:val="5881AF95"/>
    <w:rsid w:val="5882CBE4"/>
    <w:rsid w:val="58A979CF"/>
    <w:rsid w:val="58AEDCD6"/>
    <w:rsid w:val="58B549DF"/>
    <w:rsid w:val="58B62C77"/>
    <w:rsid w:val="58BC63B7"/>
    <w:rsid w:val="58C80184"/>
    <w:rsid w:val="58DFC924"/>
    <w:rsid w:val="58E2D4DE"/>
    <w:rsid w:val="591E46E3"/>
    <w:rsid w:val="592495FE"/>
    <w:rsid w:val="5929C024"/>
    <w:rsid w:val="592CB95D"/>
    <w:rsid w:val="5945F3ED"/>
    <w:rsid w:val="596606DA"/>
    <w:rsid w:val="59821761"/>
    <w:rsid w:val="59DE5161"/>
    <w:rsid w:val="5A0FA45C"/>
    <w:rsid w:val="5A18A8D9"/>
    <w:rsid w:val="5A42BC82"/>
    <w:rsid w:val="5A4EEE9C"/>
    <w:rsid w:val="5AB0359F"/>
    <w:rsid w:val="5B0B6424"/>
    <w:rsid w:val="5B1E2BEF"/>
    <w:rsid w:val="5B63A99C"/>
    <w:rsid w:val="5BA05F15"/>
    <w:rsid w:val="5BABA38F"/>
    <w:rsid w:val="5BC12829"/>
    <w:rsid w:val="5BC365A0"/>
    <w:rsid w:val="5BCC2F29"/>
    <w:rsid w:val="5BE52120"/>
    <w:rsid w:val="5BEECB05"/>
    <w:rsid w:val="5C15AB3B"/>
    <w:rsid w:val="5C191841"/>
    <w:rsid w:val="5C9D73CD"/>
    <w:rsid w:val="5CA97FB5"/>
    <w:rsid w:val="5CAE59C1"/>
    <w:rsid w:val="5CB85DD3"/>
    <w:rsid w:val="5D100D3E"/>
    <w:rsid w:val="5D2F1994"/>
    <w:rsid w:val="5D38BA4A"/>
    <w:rsid w:val="5D77597C"/>
    <w:rsid w:val="5D81BBFC"/>
    <w:rsid w:val="5D832866"/>
    <w:rsid w:val="5D8F12B1"/>
    <w:rsid w:val="5D906AD4"/>
    <w:rsid w:val="5DA086B2"/>
    <w:rsid w:val="5DE9C271"/>
    <w:rsid w:val="5DF65FDF"/>
    <w:rsid w:val="5E09D07D"/>
    <w:rsid w:val="5E6D7220"/>
    <w:rsid w:val="5EBDC6B1"/>
    <w:rsid w:val="5EDDAE29"/>
    <w:rsid w:val="5F0C2473"/>
    <w:rsid w:val="5F15F224"/>
    <w:rsid w:val="5F64E61E"/>
    <w:rsid w:val="5FC1E206"/>
    <w:rsid w:val="5FCA9A1B"/>
    <w:rsid w:val="5FE61DAF"/>
    <w:rsid w:val="5FE7D7B2"/>
    <w:rsid w:val="600292CC"/>
    <w:rsid w:val="6002F0F1"/>
    <w:rsid w:val="600CE5B0"/>
    <w:rsid w:val="60279E27"/>
    <w:rsid w:val="605B44E4"/>
    <w:rsid w:val="6071D6ED"/>
    <w:rsid w:val="60859DBC"/>
    <w:rsid w:val="608E69E5"/>
    <w:rsid w:val="60B9111B"/>
    <w:rsid w:val="60CBF349"/>
    <w:rsid w:val="60D5AAE1"/>
    <w:rsid w:val="60F0AF06"/>
    <w:rsid w:val="60F2A433"/>
    <w:rsid w:val="60F83F91"/>
    <w:rsid w:val="61037059"/>
    <w:rsid w:val="61193985"/>
    <w:rsid w:val="6137A51E"/>
    <w:rsid w:val="613ABFF9"/>
    <w:rsid w:val="614A427E"/>
    <w:rsid w:val="61687F57"/>
    <w:rsid w:val="616F2F41"/>
    <w:rsid w:val="6193B802"/>
    <w:rsid w:val="619C27CD"/>
    <w:rsid w:val="61AE3100"/>
    <w:rsid w:val="61C02837"/>
    <w:rsid w:val="61C0FE93"/>
    <w:rsid w:val="61CC58EA"/>
    <w:rsid w:val="61D73DAD"/>
    <w:rsid w:val="61DD4514"/>
    <w:rsid w:val="61EDD294"/>
    <w:rsid w:val="6215F7BF"/>
    <w:rsid w:val="62191C64"/>
    <w:rsid w:val="624F7EFC"/>
    <w:rsid w:val="62585D50"/>
    <w:rsid w:val="6258B477"/>
    <w:rsid w:val="625947C8"/>
    <w:rsid w:val="62685DA9"/>
    <w:rsid w:val="6276D167"/>
    <w:rsid w:val="62957F3C"/>
    <w:rsid w:val="62AC41E3"/>
    <w:rsid w:val="62D78DB8"/>
    <w:rsid w:val="62D7EBE5"/>
    <w:rsid w:val="62F56FD3"/>
    <w:rsid w:val="631BA046"/>
    <w:rsid w:val="6324F500"/>
    <w:rsid w:val="6325C4AC"/>
    <w:rsid w:val="632A1D23"/>
    <w:rsid w:val="6339AE48"/>
    <w:rsid w:val="636D3524"/>
    <w:rsid w:val="63865795"/>
    <w:rsid w:val="63A35A55"/>
    <w:rsid w:val="63C114E6"/>
    <w:rsid w:val="63CAB1D3"/>
    <w:rsid w:val="63CD40B3"/>
    <w:rsid w:val="63DAC3C7"/>
    <w:rsid w:val="63DC65EC"/>
    <w:rsid w:val="64061DF6"/>
    <w:rsid w:val="640D9B4B"/>
    <w:rsid w:val="642E9984"/>
    <w:rsid w:val="643A70BF"/>
    <w:rsid w:val="646C9AD1"/>
    <w:rsid w:val="64788C86"/>
    <w:rsid w:val="64869368"/>
    <w:rsid w:val="64A2E844"/>
    <w:rsid w:val="64A31288"/>
    <w:rsid w:val="64C4D783"/>
    <w:rsid w:val="64CE76AF"/>
    <w:rsid w:val="6536C866"/>
    <w:rsid w:val="6553631C"/>
    <w:rsid w:val="655EB540"/>
    <w:rsid w:val="6572457B"/>
    <w:rsid w:val="657BA196"/>
    <w:rsid w:val="65889736"/>
    <w:rsid w:val="65BE4123"/>
    <w:rsid w:val="65C43AEB"/>
    <w:rsid w:val="65CA0844"/>
    <w:rsid w:val="65E53D5C"/>
    <w:rsid w:val="660B1291"/>
    <w:rsid w:val="661E1DB8"/>
    <w:rsid w:val="661FDE6C"/>
    <w:rsid w:val="66632300"/>
    <w:rsid w:val="666CDB27"/>
    <w:rsid w:val="667DAF1E"/>
    <w:rsid w:val="66854EF1"/>
    <w:rsid w:val="668AA0AF"/>
    <w:rsid w:val="66D12AA5"/>
    <w:rsid w:val="66D44198"/>
    <w:rsid w:val="66EF1EF7"/>
    <w:rsid w:val="66F84309"/>
    <w:rsid w:val="6710A545"/>
    <w:rsid w:val="671172AE"/>
    <w:rsid w:val="67168D43"/>
    <w:rsid w:val="671F1FD3"/>
    <w:rsid w:val="6738EB49"/>
    <w:rsid w:val="67527CAA"/>
    <w:rsid w:val="67850AD9"/>
    <w:rsid w:val="67A0BADB"/>
    <w:rsid w:val="67B85046"/>
    <w:rsid w:val="67CE0B5C"/>
    <w:rsid w:val="67FDB5C6"/>
    <w:rsid w:val="6817329B"/>
    <w:rsid w:val="681B111F"/>
    <w:rsid w:val="685BEF3F"/>
    <w:rsid w:val="686BDDB0"/>
    <w:rsid w:val="687784B4"/>
    <w:rsid w:val="689DBF94"/>
    <w:rsid w:val="69227CFC"/>
    <w:rsid w:val="69454BBF"/>
    <w:rsid w:val="694749EF"/>
    <w:rsid w:val="6963BCF6"/>
    <w:rsid w:val="69733022"/>
    <w:rsid w:val="69AC9057"/>
    <w:rsid w:val="69B12FB7"/>
    <w:rsid w:val="69C17F7D"/>
    <w:rsid w:val="69E04079"/>
    <w:rsid w:val="69FAE18C"/>
    <w:rsid w:val="6A09599F"/>
    <w:rsid w:val="6A1B5C82"/>
    <w:rsid w:val="6A2A04F6"/>
    <w:rsid w:val="6A5782A8"/>
    <w:rsid w:val="6A7F425B"/>
    <w:rsid w:val="6AAEF973"/>
    <w:rsid w:val="6AB20719"/>
    <w:rsid w:val="6AF46550"/>
    <w:rsid w:val="6B1DD05A"/>
    <w:rsid w:val="6B1E60F9"/>
    <w:rsid w:val="6B241FA5"/>
    <w:rsid w:val="6B378CD3"/>
    <w:rsid w:val="6B3A031F"/>
    <w:rsid w:val="6B67DD84"/>
    <w:rsid w:val="6B88349D"/>
    <w:rsid w:val="6BBF986C"/>
    <w:rsid w:val="6BDDFE3A"/>
    <w:rsid w:val="6BF28EFA"/>
    <w:rsid w:val="6BF4CD18"/>
    <w:rsid w:val="6BFF6B4A"/>
    <w:rsid w:val="6C0C40BD"/>
    <w:rsid w:val="6C35D39E"/>
    <w:rsid w:val="6C5311C7"/>
    <w:rsid w:val="6C5B009D"/>
    <w:rsid w:val="6C67B79A"/>
    <w:rsid w:val="6C91661B"/>
    <w:rsid w:val="6CB94552"/>
    <w:rsid w:val="6CD0881B"/>
    <w:rsid w:val="6CFB360B"/>
    <w:rsid w:val="6D0B248C"/>
    <w:rsid w:val="6D232BD3"/>
    <w:rsid w:val="6D585B94"/>
    <w:rsid w:val="6D5A93F2"/>
    <w:rsid w:val="6D5CB8F9"/>
    <w:rsid w:val="6D5F2E0C"/>
    <w:rsid w:val="6D672A91"/>
    <w:rsid w:val="6DB24A5B"/>
    <w:rsid w:val="6DB27995"/>
    <w:rsid w:val="6DE0B3D3"/>
    <w:rsid w:val="6E254F1B"/>
    <w:rsid w:val="6E7CFBE7"/>
    <w:rsid w:val="6ECEFD7B"/>
    <w:rsid w:val="6EF454D4"/>
    <w:rsid w:val="6F03EA4A"/>
    <w:rsid w:val="6F0F52A1"/>
    <w:rsid w:val="6F1DA3FE"/>
    <w:rsid w:val="6F33D06F"/>
    <w:rsid w:val="6F5C85AF"/>
    <w:rsid w:val="6F6A5EF8"/>
    <w:rsid w:val="6F6D9CA2"/>
    <w:rsid w:val="6FB5A9DF"/>
    <w:rsid w:val="6FBF63AF"/>
    <w:rsid w:val="6FE36FA6"/>
    <w:rsid w:val="6FE92B04"/>
    <w:rsid w:val="7012A9A4"/>
    <w:rsid w:val="7020FBB5"/>
    <w:rsid w:val="703276BD"/>
    <w:rsid w:val="7050FB40"/>
    <w:rsid w:val="70895E1B"/>
    <w:rsid w:val="709A266D"/>
    <w:rsid w:val="70A448F2"/>
    <w:rsid w:val="70D79CC8"/>
    <w:rsid w:val="70D7AD3C"/>
    <w:rsid w:val="70F7B6F8"/>
    <w:rsid w:val="71014DA7"/>
    <w:rsid w:val="711713B1"/>
    <w:rsid w:val="71173A3A"/>
    <w:rsid w:val="717D29CD"/>
    <w:rsid w:val="718D2390"/>
    <w:rsid w:val="71A2484A"/>
    <w:rsid w:val="71DC9BE7"/>
    <w:rsid w:val="72135F45"/>
    <w:rsid w:val="72227B67"/>
    <w:rsid w:val="7231F6EC"/>
    <w:rsid w:val="72721EAE"/>
    <w:rsid w:val="72825214"/>
    <w:rsid w:val="728A6CA7"/>
    <w:rsid w:val="7292DDC7"/>
    <w:rsid w:val="7295B3B3"/>
    <w:rsid w:val="7295DD1A"/>
    <w:rsid w:val="7296631B"/>
    <w:rsid w:val="729CFF02"/>
    <w:rsid w:val="72C6F3F3"/>
    <w:rsid w:val="72CFD764"/>
    <w:rsid w:val="72DA549B"/>
    <w:rsid w:val="72EC4C2E"/>
    <w:rsid w:val="72F02B0A"/>
    <w:rsid w:val="72FCE44A"/>
    <w:rsid w:val="730440D5"/>
    <w:rsid w:val="73129548"/>
    <w:rsid w:val="7337895F"/>
    <w:rsid w:val="73537E7A"/>
    <w:rsid w:val="7361CAA3"/>
    <w:rsid w:val="736DD8AD"/>
    <w:rsid w:val="737FD279"/>
    <w:rsid w:val="73A7417B"/>
    <w:rsid w:val="73AB6510"/>
    <w:rsid w:val="73ADAA35"/>
    <w:rsid w:val="73B73F1B"/>
    <w:rsid w:val="73E8360B"/>
    <w:rsid w:val="73E8B8EA"/>
    <w:rsid w:val="73FCA632"/>
    <w:rsid w:val="73FEB8ED"/>
    <w:rsid w:val="74234535"/>
    <w:rsid w:val="743DA38D"/>
    <w:rsid w:val="746712F7"/>
    <w:rsid w:val="74678F6B"/>
    <w:rsid w:val="747694D2"/>
    <w:rsid w:val="748A6CCF"/>
    <w:rsid w:val="74A431E6"/>
    <w:rsid w:val="74AE324B"/>
    <w:rsid w:val="74D4B777"/>
    <w:rsid w:val="753D5AFD"/>
    <w:rsid w:val="75405C2F"/>
    <w:rsid w:val="7559D785"/>
    <w:rsid w:val="75799F88"/>
    <w:rsid w:val="758C5AA6"/>
    <w:rsid w:val="75A1FF04"/>
    <w:rsid w:val="75BFAC9D"/>
    <w:rsid w:val="75E1485A"/>
    <w:rsid w:val="76196B5E"/>
    <w:rsid w:val="762E805D"/>
    <w:rsid w:val="76417876"/>
    <w:rsid w:val="76449251"/>
    <w:rsid w:val="764CC130"/>
    <w:rsid w:val="7653CED0"/>
    <w:rsid w:val="767F5137"/>
    <w:rsid w:val="7683C6AD"/>
    <w:rsid w:val="76E0765D"/>
    <w:rsid w:val="76EF2BCE"/>
    <w:rsid w:val="76EFA1C2"/>
    <w:rsid w:val="76FB2AE4"/>
    <w:rsid w:val="77381E78"/>
    <w:rsid w:val="7745D422"/>
    <w:rsid w:val="7754BBE2"/>
    <w:rsid w:val="7786318D"/>
    <w:rsid w:val="7791ABC9"/>
    <w:rsid w:val="77C2205C"/>
    <w:rsid w:val="77C5BAD4"/>
    <w:rsid w:val="77EC108E"/>
    <w:rsid w:val="78020A1D"/>
    <w:rsid w:val="78170568"/>
    <w:rsid w:val="78196BBB"/>
    <w:rsid w:val="781FD5DA"/>
    <w:rsid w:val="7831A1A8"/>
    <w:rsid w:val="783E19BB"/>
    <w:rsid w:val="784FA2A6"/>
    <w:rsid w:val="7852A90B"/>
    <w:rsid w:val="785CA582"/>
    <w:rsid w:val="78651402"/>
    <w:rsid w:val="787D5F26"/>
    <w:rsid w:val="789464EC"/>
    <w:rsid w:val="789A06D3"/>
    <w:rsid w:val="789D72CC"/>
    <w:rsid w:val="78A92AEC"/>
    <w:rsid w:val="78B05898"/>
    <w:rsid w:val="78B32E7E"/>
    <w:rsid w:val="78C95F6E"/>
    <w:rsid w:val="78D16C19"/>
    <w:rsid w:val="78DC8E6E"/>
    <w:rsid w:val="78E6AAA5"/>
    <w:rsid w:val="7912B028"/>
    <w:rsid w:val="7918BBB6"/>
    <w:rsid w:val="7933B86A"/>
    <w:rsid w:val="79392811"/>
    <w:rsid w:val="794C80A2"/>
    <w:rsid w:val="795AAA39"/>
    <w:rsid w:val="7960A51E"/>
    <w:rsid w:val="7966AEEC"/>
    <w:rsid w:val="79A7765F"/>
    <w:rsid w:val="79CF9F6A"/>
    <w:rsid w:val="79D76156"/>
    <w:rsid w:val="7A0948E0"/>
    <w:rsid w:val="7A7D7AAC"/>
    <w:rsid w:val="7AC2F3DC"/>
    <w:rsid w:val="7AE6312B"/>
    <w:rsid w:val="7AF9E76A"/>
    <w:rsid w:val="7AFAE85F"/>
    <w:rsid w:val="7AFD2DBF"/>
    <w:rsid w:val="7B448942"/>
    <w:rsid w:val="7B4C81E5"/>
    <w:rsid w:val="7B588E38"/>
    <w:rsid w:val="7B61003E"/>
    <w:rsid w:val="7BA6C358"/>
    <w:rsid w:val="7BB0E36E"/>
    <w:rsid w:val="7BD81F32"/>
    <w:rsid w:val="7C315410"/>
    <w:rsid w:val="7C34D337"/>
    <w:rsid w:val="7C8B83CA"/>
    <w:rsid w:val="7CD4B2FF"/>
    <w:rsid w:val="7CF89462"/>
    <w:rsid w:val="7D0EE308"/>
    <w:rsid w:val="7D0FE458"/>
    <w:rsid w:val="7D3D719A"/>
    <w:rsid w:val="7D54AB16"/>
    <w:rsid w:val="7D5A6861"/>
    <w:rsid w:val="7D6C82C3"/>
    <w:rsid w:val="7D6EA700"/>
    <w:rsid w:val="7D722D62"/>
    <w:rsid w:val="7D86CF7C"/>
    <w:rsid w:val="7D9C08A2"/>
    <w:rsid w:val="7DAE2364"/>
    <w:rsid w:val="7DBB3BA7"/>
    <w:rsid w:val="7DC4D35C"/>
    <w:rsid w:val="7DD0D96F"/>
    <w:rsid w:val="7DE54F82"/>
    <w:rsid w:val="7DE5EEC4"/>
    <w:rsid w:val="7E1E1DDB"/>
    <w:rsid w:val="7E2C4CBD"/>
    <w:rsid w:val="7E37ED9D"/>
    <w:rsid w:val="7E694116"/>
    <w:rsid w:val="7E99AF78"/>
    <w:rsid w:val="7ECEC796"/>
    <w:rsid w:val="7EE942C8"/>
    <w:rsid w:val="7EFD6B31"/>
    <w:rsid w:val="7F2B2332"/>
    <w:rsid w:val="7F618E22"/>
    <w:rsid w:val="7F778157"/>
    <w:rsid w:val="7F858CF5"/>
    <w:rsid w:val="7FB9F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D6B31"/>
  <w15:chartTrackingRefBased/>
  <w15:docId w15:val="{7A6A336B-6517-41AE-BACF-1E0B342C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C67EE85"/>
    <w:pPr>
      <w:spacing w:after="240"/>
    </w:pPr>
    <w:rPr>
      <w:rFonts w:ascii="Arial" w:eastAsia="Arial" w:hAnsi="Arial"/>
      <w:sz w:val="24"/>
      <w:szCs w:val="24"/>
    </w:rPr>
  </w:style>
  <w:style w:type="paragraph" w:styleId="Heading1">
    <w:name w:val="heading 1"/>
    <w:basedOn w:val="Normal"/>
    <w:next w:val="Normal"/>
    <w:link w:val="Heading1Char"/>
    <w:uiPriority w:val="9"/>
    <w:qFormat/>
    <w:rsid w:val="1C67EE85"/>
    <w:pPr>
      <w:keepNext/>
      <w:keepLines/>
      <w:spacing w:before="240"/>
      <w:outlineLvl w:val="0"/>
    </w:pPr>
    <w:rPr>
      <w:rFonts w:eastAsiaTheme="majorEastAsia" w:cstheme="majorBidi"/>
      <w:b/>
      <w:bCs/>
      <w:u w:val="single"/>
    </w:rPr>
  </w:style>
  <w:style w:type="paragraph" w:styleId="Heading2">
    <w:name w:val="heading 2"/>
    <w:basedOn w:val="Normal"/>
    <w:next w:val="Normal"/>
    <w:uiPriority w:val="9"/>
    <w:unhideWhenUsed/>
    <w:qFormat/>
    <w:rsid w:val="1C67E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1C67EE85"/>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1C67EE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1C67EE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1C67EE8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1C67EE8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1C67EE8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C67EE8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C67EE85"/>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1C67EE85"/>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A1C54"/>
    <w:rPr>
      <w:color w:val="605E5C"/>
      <w:shd w:val="clear" w:color="auto" w:fill="E1DFDD"/>
    </w:rPr>
  </w:style>
  <w:style w:type="paragraph" w:styleId="Header">
    <w:name w:val="header"/>
    <w:basedOn w:val="Normal"/>
    <w:link w:val="HeaderChar"/>
    <w:uiPriority w:val="99"/>
    <w:unhideWhenUsed/>
    <w:rsid w:val="1C67EE85"/>
    <w:pPr>
      <w:tabs>
        <w:tab w:val="center" w:pos="4680"/>
        <w:tab w:val="right" w:pos="9360"/>
      </w:tabs>
      <w:spacing w:after="0"/>
    </w:pPr>
  </w:style>
  <w:style w:type="character" w:customStyle="1" w:styleId="HeaderChar">
    <w:name w:val="Header Char"/>
    <w:basedOn w:val="DefaultParagraphFont"/>
    <w:link w:val="Header"/>
    <w:uiPriority w:val="99"/>
    <w:rsid w:val="00123A9E"/>
  </w:style>
  <w:style w:type="paragraph" w:styleId="Footer">
    <w:name w:val="footer"/>
    <w:basedOn w:val="Normal"/>
    <w:link w:val="FooterChar"/>
    <w:uiPriority w:val="99"/>
    <w:unhideWhenUsed/>
    <w:rsid w:val="1C67EE85"/>
    <w:pPr>
      <w:tabs>
        <w:tab w:val="center" w:pos="4680"/>
        <w:tab w:val="right" w:pos="9360"/>
      </w:tabs>
      <w:spacing w:after="0"/>
    </w:pPr>
  </w:style>
  <w:style w:type="character" w:customStyle="1" w:styleId="FooterChar">
    <w:name w:val="Footer Char"/>
    <w:basedOn w:val="DefaultParagraphFont"/>
    <w:link w:val="Footer"/>
    <w:uiPriority w:val="99"/>
    <w:rsid w:val="00123A9E"/>
  </w:style>
  <w:style w:type="paragraph" w:styleId="CommentSubject">
    <w:name w:val="annotation subject"/>
    <w:basedOn w:val="CommentText"/>
    <w:next w:val="CommentText"/>
    <w:link w:val="CommentSubjectChar"/>
    <w:uiPriority w:val="99"/>
    <w:semiHidden/>
    <w:unhideWhenUsed/>
    <w:rsid w:val="00270327"/>
    <w:rPr>
      <w:b/>
      <w:bCs/>
    </w:rPr>
  </w:style>
  <w:style w:type="character" w:customStyle="1" w:styleId="CommentSubjectChar">
    <w:name w:val="Comment Subject Char"/>
    <w:basedOn w:val="CommentTextChar"/>
    <w:link w:val="CommentSubject"/>
    <w:uiPriority w:val="99"/>
    <w:semiHidden/>
    <w:rsid w:val="00270327"/>
    <w:rPr>
      <w:b/>
      <w:bCs/>
      <w:sz w:val="20"/>
      <w:szCs w:val="20"/>
    </w:rPr>
  </w:style>
  <w:style w:type="character" w:styleId="FollowedHyperlink">
    <w:name w:val="FollowedHyperlink"/>
    <w:basedOn w:val="DefaultParagraphFont"/>
    <w:uiPriority w:val="99"/>
    <w:semiHidden/>
    <w:unhideWhenUsed/>
    <w:rsid w:val="00FB3703"/>
    <w:rPr>
      <w:color w:val="954F72" w:themeColor="followedHyperlink"/>
      <w:u w:val="single"/>
    </w:rPr>
  </w:style>
  <w:style w:type="paragraph" w:styleId="Subtitle">
    <w:name w:val="Subtitle"/>
    <w:basedOn w:val="Normal"/>
    <w:next w:val="Normal"/>
    <w:link w:val="SubtitleChar"/>
    <w:uiPriority w:val="11"/>
    <w:qFormat/>
    <w:rsid w:val="1C67EE85"/>
    <w:rPr>
      <w:rFonts w:eastAsiaTheme="minorEastAsia"/>
      <w:b/>
      <w:bCs/>
      <w:u w:val="single"/>
    </w:rPr>
  </w:style>
  <w:style w:type="character" w:customStyle="1" w:styleId="SubtitleChar">
    <w:name w:val="Subtitle Char"/>
    <w:basedOn w:val="DefaultParagraphFont"/>
    <w:link w:val="Subtitle"/>
    <w:uiPriority w:val="11"/>
    <w:rsid w:val="009E46FE"/>
    <w:rPr>
      <w:rFonts w:ascii="Arial" w:eastAsiaTheme="minorEastAsia" w:hAnsi="Arial"/>
      <w:b/>
      <w:spacing w:val="15"/>
      <w:sz w:val="24"/>
      <w:u w:val="single"/>
    </w:rPr>
  </w:style>
  <w:style w:type="character" w:customStyle="1" w:styleId="Heading1Char">
    <w:name w:val="Heading 1 Char"/>
    <w:basedOn w:val="DefaultParagraphFont"/>
    <w:link w:val="Heading1"/>
    <w:uiPriority w:val="9"/>
    <w:rsid w:val="009E46FE"/>
    <w:rPr>
      <w:rFonts w:ascii="Arial" w:eastAsiaTheme="majorEastAsia" w:hAnsi="Arial" w:cstheme="majorBidi"/>
      <w:b/>
      <w:sz w:val="24"/>
      <w:szCs w:val="32"/>
      <w:u w:val="single"/>
    </w:rPr>
  </w:style>
  <w:style w:type="paragraph" w:styleId="Revision">
    <w:name w:val="Revision"/>
    <w:hidden/>
    <w:uiPriority w:val="99"/>
    <w:semiHidden/>
    <w:rsid w:val="004D1C22"/>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uiPriority w:val="10"/>
    <w:qFormat/>
    <w:rsid w:val="1C67EE85"/>
    <w:pPr>
      <w:spacing w:after="0"/>
      <w:contextualSpacing/>
    </w:pPr>
    <w:rPr>
      <w:rFonts w:asciiTheme="majorHAnsi" w:eastAsiaTheme="majorEastAsia" w:hAnsiTheme="majorHAnsi" w:cstheme="majorBidi"/>
      <w:sz w:val="56"/>
      <w:szCs w:val="56"/>
    </w:rPr>
  </w:style>
  <w:style w:type="paragraph" w:styleId="Quote">
    <w:name w:val="Quote"/>
    <w:basedOn w:val="Normal"/>
    <w:next w:val="Normal"/>
    <w:uiPriority w:val="29"/>
    <w:qFormat/>
    <w:rsid w:val="1C67EE85"/>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C67EE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1C67EE85"/>
    <w:pPr>
      <w:spacing w:after="100"/>
    </w:pPr>
  </w:style>
  <w:style w:type="paragraph" w:styleId="TOC2">
    <w:name w:val="toc 2"/>
    <w:basedOn w:val="Normal"/>
    <w:next w:val="Normal"/>
    <w:uiPriority w:val="39"/>
    <w:unhideWhenUsed/>
    <w:rsid w:val="1C67EE85"/>
    <w:pPr>
      <w:spacing w:after="100"/>
      <w:ind w:left="220"/>
    </w:pPr>
  </w:style>
  <w:style w:type="paragraph" w:styleId="TOC3">
    <w:name w:val="toc 3"/>
    <w:basedOn w:val="Normal"/>
    <w:next w:val="Normal"/>
    <w:uiPriority w:val="39"/>
    <w:unhideWhenUsed/>
    <w:rsid w:val="1C67EE85"/>
    <w:pPr>
      <w:spacing w:after="100"/>
      <w:ind w:left="440"/>
    </w:pPr>
  </w:style>
  <w:style w:type="paragraph" w:styleId="TOC4">
    <w:name w:val="toc 4"/>
    <w:basedOn w:val="Normal"/>
    <w:next w:val="Normal"/>
    <w:uiPriority w:val="39"/>
    <w:unhideWhenUsed/>
    <w:rsid w:val="1C67EE85"/>
    <w:pPr>
      <w:spacing w:after="100"/>
      <w:ind w:left="660"/>
    </w:pPr>
  </w:style>
  <w:style w:type="paragraph" w:styleId="TOC5">
    <w:name w:val="toc 5"/>
    <w:basedOn w:val="Normal"/>
    <w:next w:val="Normal"/>
    <w:uiPriority w:val="39"/>
    <w:unhideWhenUsed/>
    <w:rsid w:val="1C67EE85"/>
    <w:pPr>
      <w:spacing w:after="100"/>
      <w:ind w:left="880"/>
    </w:pPr>
  </w:style>
  <w:style w:type="paragraph" w:styleId="TOC6">
    <w:name w:val="toc 6"/>
    <w:basedOn w:val="Normal"/>
    <w:next w:val="Normal"/>
    <w:uiPriority w:val="39"/>
    <w:unhideWhenUsed/>
    <w:rsid w:val="1C67EE85"/>
    <w:pPr>
      <w:spacing w:after="100"/>
      <w:ind w:left="1100"/>
    </w:pPr>
  </w:style>
  <w:style w:type="paragraph" w:styleId="TOC7">
    <w:name w:val="toc 7"/>
    <w:basedOn w:val="Normal"/>
    <w:next w:val="Normal"/>
    <w:uiPriority w:val="39"/>
    <w:unhideWhenUsed/>
    <w:rsid w:val="1C67EE85"/>
    <w:pPr>
      <w:spacing w:after="100"/>
      <w:ind w:left="1320"/>
    </w:pPr>
  </w:style>
  <w:style w:type="paragraph" w:styleId="TOC8">
    <w:name w:val="toc 8"/>
    <w:basedOn w:val="Normal"/>
    <w:next w:val="Normal"/>
    <w:uiPriority w:val="39"/>
    <w:unhideWhenUsed/>
    <w:rsid w:val="1C67EE85"/>
    <w:pPr>
      <w:spacing w:after="100"/>
      <w:ind w:left="1540"/>
    </w:pPr>
  </w:style>
  <w:style w:type="paragraph" w:styleId="TOC9">
    <w:name w:val="toc 9"/>
    <w:basedOn w:val="Normal"/>
    <w:next w:val="Normal"/>
    <w:uiPriority w:val="39"/>
    <w:unhideWhenUsed/>
    <w:rsid w:val="1C67EE85"/>
    <w:pPr>
      <w:spacing w:after="100"/>
      <w:ind w:left="1760"/>
    </w:pPr>
  </w:style>
  <w:style w:type="paragraph" w:styleId="EndnoteText">
    <w:name w:val="endnote text"/>
    <w:basedOn w:val="Normal"/>
    <w:uiPriority w:val="99"/>
    <w:semiHidden/>
    <w:unhideWhenUsed/>
    <w:rsid w:val="1C67EE85"/>
    <w:pPr>
      <w:spacing w:after="0"/>
    </w:pPr>
    <w:rPr>
      <w:sz w:val="20"/>
      <w:szCs w:val="20"/>
    </w:rPr>
  </w:style>
  <w:style w:type="paragraph" w:styleId="FootnoteText">
    <w:name w:val="footnote text"/>
    <w:basedOn w:val="Normal"/>
    <w:uiPriority w:val="99"/>
    <w:semiHidden/>
    <w:unhideWhenUsed/>
    <w:rsid w:val="1C67EE85"/>
    <w:pPr>
      <w:spacing w:after="0"/>
    </w:pPr>
    <w:rPr>
      <w:sz w:val="20"/>
      <w:szCs w:val="20"/>
    </w:rPr>
  </w:style>
  <w:style w:type="table" w:styleId="TableGridLight">
    <w:name w:val="Grid Table Light"/>
    <w:basedOn w:val="TableNormal"/>
    <w:uiPriority w:val="40"/>
    <w:rsid w:val="00720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3482">
      <w:bodyDiv w:val="1"/>
      <w:marLeft w:val="0"/>
      <w:marRight w:val="0"/>
      <w:marTop w:val="0"/>
      <w:marBottom w:val="0"/>
      <w:divBdr>
        <w:top w:val="none" w:sz="0" w:space="0" w:color="auto"/>
        <w:left w:val="none" w:sz="0" w:space="0" w:color="auto"/>
        <w:bottom w:val="none" w:sz="0" w:space="0" w:color="auto"/>
        <w:right w:val="none" w:sz="0" w:space="0" w:color="auto"/>
      </w:divBdr>
    </w:div>
    <w:div w:id="405223340">
      <w:bodyDiv w:val="1"/>
      <w:marLeft w:val="0"/>
      <w:marRight w:val="0"/>
      <w:marTop w:val="0"/>
      <w:marBottom w:val="0"/>
      <w:divBdr>
        <w:top w:val="none" w:sz="0" w:space="0" w:color="auto"/>
        <w:left w:val="none" w:sz="0" w:space="0" w:color="auto"/>
        <w:bottom w:val="none" w:sz="0" w:space="0" w:color="auto"/>
        <w:right w:val="none" w:sz="0" w:space="0" w:color="auto"/>
      </w:divBdr>
    </w:div>
    <w:div w:id="537621879">
      <w:bodyDiv w:val="1"/>
      <w:marLeft w:val="0"/>
      <w:marRight w:val="0"/>
      <w:marTop w:val="0"/>
      <w:marBottom w:val="0"/>
      <w:divBdr>
        <w:top w:val="none" w:sz="0" w:space="0" w:color="auto"/>
        <w:left w:val="none" w:sz="0" w:space="0" w:color="auto"/>
        <w:bottom w:val="none" w:sz="0" w:space="0" w:color="auto"/>
        <w:right w:val="none" w:sz="0" w:space="0" w:color="auto"/>
      </w:divBdr>
    </w:div>
    <w:div w:id="537668497">
      <w:bodyDiv w:val="1"/>
      <w:marLeft w:val="0"/>
      <w:marRight w:val="0"/>
      <w:marTop w:val="0"/>
      <w:marBottom w:val="0"/>
      <w:divBdr>
        <w:top w:val="none" w:sz="0" w:space="0" w:color="auto"/>
        <w:left w:val="none" w:sz="0" w:space="0" w:color="auto"/>
        <w:bottom w:val="none" w:sz="0" w:space="0" w:color="auto"/>
        <w:right w:val="none" w:sz="0" w:space="0" w:color="auto"/>
      </w:divBdr>
    </w:div>
    <w:div w:id="908156640">
      <w:bodyDiv w:val="1"/>
      <w:marLeft w:val="0"/>
      <w:marRight w:val="0"/>
      <w:marTop w:val="0"/>
      <w:marBottom w:val="0"/>
      <w:divBdr>
        <w:top w:val="none" w:sz="0" w:space="0" w:color="auto"/>
        <w:left w:val="none" w:sz="0" w:space="0" w:color="auto"/>
        <w:bottom w:val="none" w:sz="0" w:space="0" w:color="auto"/>
        <w:right w:val="none" w:sz="0" w:space="0" w:color="auto"/>
      </w:divBdr>
    </w:div>
    <w:div w:id="929850605">
      <w:bodyDiv w:val="1"/>
      <w:marLeft w:val="0"/>
      <w:marRight w:val="0"/>
      <w:marTop w:val="0"/>
      <w:marBottom w:val="0"/>
      <w:divBdr>
        <w:top w:val="none" w:sz="0" w:space="0" w:color="auto"/>
        <w:left w:val="none" w:sz="0" w:space="0" w:color="auto"/>
        <w:bottom w:val="none" w:sz="0" w:space="0" w:color="auto"/>
        <w:right w:val="none" w:sz="0" w:space="0" w:color="auto"/>
      </w:divBdr>
    </w:div>
    <w:div w:id="1033961848">
      <w:bodyDiv w:val="1"/>
      <w:marLeft w:val="0"/>
      <w:marRight w:val="0"/>
      <w:marTop w:val="0"/>
      <w:marBottom w:val="0"/>
      <w:divBdr>
        <w:top w:val="none" w:sz="0" w:space="0" w:color="auto"/>
        <w:left w:val="none" w:sz="0" w:space="0" w:color="auto"/>
        <w:bottom w:val="none" w:sz="0" w:space="0" w:color="auto"/>
        <w:right w:val="none" w:sz="0" w:space="0" w:color="auto"/>
      </w:divBdr>
    </w:div>
    <w:div w:id="1327594383">
      <w:bodyDiv w:val="1"/>
      <w:marLeft w:val="0"/>
      <w:marRight w:val="0"/>
      <w:marTop w:val="0"/>
      <w:marBottom w:val="0"/>
      <w:divBdr>
        <w:top w:val="none" w:sz="0" w:space="0" w:color="auto"/>
        <w:left w:val="none" w:sz="0" w:space="0" w:color="auto"/>
        <w:bottom w:val="none" w:sz="0" w:space="0" w:color="auto"/>
        <w:right w:val="none" w:sz="0" w:space="0" w:color="auto"/>
      </w:divBdr>
    </w:div>
    <w:div w:id="1549416482">
      <w:bodyDiv w:val="1"/>
      <w:marLeft w:val="0"/>
      <w:marRight w:val="0"/>
      <w:marTop w:val="0"/>
      <w:marBottom w:val="0"/>
      <w:divBdr>
        <w:top w:val="none" w:sz="0" w:space="0" w:color="auto"/>
        <w:left w:val="none" w:sz="0" w:space="0" w:color="auto"/>
        <w:bottom w:val="none" w:sz="0" w:space="0" w:color="auto"/>
        <w:right w:val="none" w:sz="0" w:space="0" w:color="auto"/>
      </w:divBdr>
    </w:div>
    <w:div w:id="1770420720">
      <w:bodyDiv w:val="1"/>
      <w:marLeft w:val="0"/>
      <w:marRight w:val="0"/>
      <w:marTop w:val="0"/>
      <w:marBottom w:val="0"/>
      <w:divBdr>
        <w:top w:val="none" w:sz="0" w:space="0" w:color="auto"/>
        <w:left w:val="none" w:sz="0" w:space="0" w:color="auto"/>
        <w:bottom w:val="none" w:sz="0" w:space="0" w:color="auto"/>
        <w:right w:val="none" w:sz="0" w:space="0" w:color="auto"/>
      </w:divBdr>
    </w:div>
    <w:div w:id="1866823454">
      <w:bodyDiv w:val="1"/>
      <w:marLeft w:val="0"/>
      <w:marRight w:val="0"/>
      <w:marTop w:val="0"/>
      <w:marBottom w:val="0"/>
      <w:divBdr>
        <w:top w:val="none" w:sz="0" w:space="0" w:color="auto"/>
        <w:left w:val="none" w:sz="0" w:space="0" w:color="auto"/>
        <w:bottom w:val="none" w:sz="0" w:space="0" w:color="auto"/>
        <w:right w:val="none" w:sz="0" w:space="0" w:color="auto"/>
      </w:divBdr>
    </w:div>
    <w:div w:id="1973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data-reports/data-exploration-tools/rural-electric-vehicle-charging-20-rev-20-eligibility-ma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56205E1-8AF5-4887-A17A-6084A221414A}">
    <t:Anchor>
      <t:Comment id="1268152319"/>
    </t:Anchor>
    <t:History>
      <t:Event id="{DE6B8395-A8B4-42C3-BF2E-F4601A342D4D}" time="2025-02-10T18:53:11.157Z">
        <t:Attribution userId="S::corey.permann@energy.ca.gov::ea92b421-d0ce-47f6-85c3-6192b0692b22" userProvider="AD" userName="Permann, Corey@Energy"/>
        <t:Anchor>
          <t:Comment id="1268152319"/>
        </t:Anchor>
        <t:Create/>
      </t:Event>
      <t:Event id="{8AA9641F-42F1-4CD9-A046-5B760771D190}" time="2025-02-10T18:53:11.157Z">
        <t:Attribution userId="S::corey.permann@energy.ca.gov::ea92b421-d0ce-47f6-85c3-6192b0692b22" userProvider="AD" userName="Permann, Corey@Energy"/>
        <t:Anchor>
          <t:Comment id="1268152319"/>
        </t:Anchor>
        <t:Assign userId="S::Madison.Jarvis@energy.ca.gov::2b2e9703-2b51-47e3-821a-1499700d4992" userProvider="AD" userName="Jarvis, Madison@Energy"/>
      </t:Event>
      <t:Event id="{1E6F4A10-9E4A-4FB4-801F-13F1A179F9D0}" time="2025-02-10T18:53:11.157Z">
        <t:Attribution userId="S::corey.permann@energy.ca.gov::ea92b421-d0ce-47f6-85c3-6192b0692b22" userProvider="AD" userName="Permann, Corey@Energy"/>
        <t:Anchor>
          <t:Comment id="1268152319"/>
        </t:Anchor>
        <t:SetTitle title="@Jarvis, Madison@Energy @Jumps, Matthew@Energy Perhaps we should say that they should contact their local AHJ? Matt, can you check in with CCO on how to answe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6B1C-9817-494D-9F26-2056FAC212F2}">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0682EEB8-B7A6-4880-A560-3E64C6A75F42}">
  <ds:schemaRefs>
    <ds:schemaRef ds:uri="http://schemas.microsoft.com/sharepoint/v3/contenttype/forms"/>
  </ds:schemaRefs>
</ds:datastoreItem>
</file>

<file path=customXml/itemProps3.xml><?xml version="1.0" encoding="utf-8"?>
<ds:datastoreItem xmlns:ds="http://schemas.openxmlformats.org/officeDocument/2006/customXml" ds:itemID="{8C28675B-42D0-40EB-96B9-59820445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8DA52-85A5-4FA6-A999-99754573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14026</Characters>
  <Application>Microsoft Office Word</Application>
  <DocSecurity>0</DocSecurity>
  <Lines>250</Lines>
  <Paragraphs>81</Paragraphs>
  <ScaleCrop>false</ScaleCrop>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Soham@Energy</dc:creator>
  <cp:keywords/>
  <dc:description/>
  <cp:lastModifiedBy>Natalie</cp:lastModifiedBy>
  <cp:revision>60</cp:revision>
  <dcterms:created xsi:type="dcterms:W3CDTF">2025-02-19T22:56:00Z</dcterms:created>
  <dcterms:modified xsi:type="dcterms:W3CDTF">2025-05-13T15:46:00Z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b581d797-7043-4374-8e5d-17936359f552</vt:lpwstr>
  </property>
</Properties>
</file>