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69458F48" w:rsidR="009E6C35" w:rsidRPr="008E68DC" w:rsidRDefault="0085719F" w:rsidP="00B33F69">
      <w:pPr>
        <w:pStyle w:val="paragraph"/>
        <w:ind w:left="4320"/>
        <w:jc w:val="right"/>
        <w:textAlignment w:val="baseline"/>
        <w:rPr>
          <w:rStyle w:val="normaltextrun"/>
          <w:rFonts w:ascii="Tahoma" w:hAnsi="Tahoma" w:cs="Tahoma"/>
        </w:rPr>
      </w:pPr>
      <w:r w:rsidRPr="0085719F">
        <w:rPr>
          <w:rStyle w:val="normaltextrun"/>
          <w:rFonts w:ascii="Tahoma" w:hAnsi="Tahoma" w:cs="Tahoma"/>
        </w:rPr>
        <w:t>June</w:t>
      </w:r>
      <w:r w:rsidR="00076083" w:rsidRPr="0085719F">
        <w:rPr>
          <w:rStyle w:val="normaltextrun"/>
          <w:rFonts w:ascii="Tahoma" w:hAnsi="Tahoma" w:cs="Tahoma"/>
        </w:rPr>
        <w:t xml:space="preserve"> </w:t>
      </w:r>
      <w:r w:rsidR="0004522D">
        <w:rPr>
          <w:rStyle w:val="normaltextrun"/>
          <w:rFonts w:ascii="Tahoma" w:hAnsi="Tahoma" w:cs="Tahoma"/>
        </w:rPr>
        <w:t>11</w:t>
      </w:r>
      <w:r w:rsidR="00D85DBE" w:rsidRPr="0085719F">
        <w:rPr>
          <w:rStyle w:val="normaltextrun"/>
          <w:rFonts w:ascii="Tahoma" w:hAnsi="Tahoma" w:cs="Tahoma"/>
        </w:rPr>
        <w:t>,</w:t>
      </w:r>
      <w:r w:rsidR="0079120A" w:rsidRPr="008E68DC">
        <w:rPr>
          <w:rStyle w:val="normaltextrun"/>
          <w:rFonts w:ascii="Tahoma" w:hAnsi="Tahoma" w:cs="Tahoma"/>
        </w:rPr>
        <w:t xml:space="preserve"> </w:t>
      </w:r>
      <w:r w:rsidR="00CF58C2" w:rsidRPr="008E68DC">
        <w:rPr>
          <w:rStyle w:val="normaltextrun"/>
          <w:rFonts w:ascii="Tahoma" w:hAnsi="Tahoma" w:cs="Tahoma"/>
        </w:rPr>
        <w:t>2025</w:t>
      </w:r>
    </w:p>
    <w:p w14:paraId="3049D69B" w14:textId="3405BC01" w:rsidR="00B1122A" w:rsidRPr="008E68DC" w:rsidRDefault="00B1122A" w:rsidP="00B1122A">
      <w:pPr>
        <w:jc w:val="center"/>
        <w:rPr>
          <w:rFonts w:ascii="Tahoma" w:hAnsi="Tahoma" w:cs="Tahoma"/>
          <w:b/>
          <w:bCs/>
        </w:rPr>
      </w:pPr>
      <w:r w:rsidRPr="008E68DC">
        <w:rPr>
          <w:rFonts w:ascii="Tahoma" w:hAnsi="Tahoma" w:cs="Tahoma"/>
          <w:b/>
          <w:bCs/>
        </w:rPr>
        <w:t>GFO-2</w:t>
      </w:r>
      <w:r w:rsidR="3E07790D" w:rsidRPr="008E68DC">
        <w:rPr>
          <w:rFonts w:ascii="Tahoma" w:hAnsi="Tahoma" w:cs="Tahoma"/>
          <w:b/>
          <w:bCs/>
        </w:rPr>
        <w:t>4</w:t>
      </w:r>
      <w:r w:rsidR="00353981" w:rsidRPr="008E68DC">
        <w:rPr>
          <w:rFonts w:ascii="Tahoma" w:hAnsi="Tahoma" w:cs="Tahoma"/>
          <w:b/>
          <w:bCs/>
        </w:rPr>
        <w:t>-6</w:t>
      </w:r>
      <w:r w:rsidR="00076083" w:rsidRPr="008E68DC">
        <w:rPr>
          <w:rFonts w:ascii="Tahoma" w:hAnsi="Tahoma" w:cs="Tahoma"/>
          <w:b/>
          <w:bCs/>
        </w:rPr>
        <w:t>1</w:t>
      </w:r>
      <w:r w:rsidR="001E440F" w:rsidRPr="008E68DC">
        <w:rPr>
          <w:rFonts w:ascii="Tahoma" w:hAnsi="Tahoma" w:cs="Tahoma"/>
          <w:b/>
          <w:bCs/>
        </w:rPr>
        <w:t>0</w:t>
      </w:r>
    </w:p>
    <w:p w14:paraId="201E8AAC" w14:textId="77777777" w:rsidR="001E440F" w:rsidRPr="008E68DC" w:rsidRDefault="001E440F" w:rsidP="00B1122A">
      <w:pPr>
        <w:autoSpaceDE w:val="0"/>
        <w:autoSpaceDN w:val="0"/>
        <w:adjustRightInd w:val="0"/>
        <w:jc w:val="center"/>
        <w:rPr>
          <w:rFonts w:ascii="Tahoma" w:eastAsia="Calibri" w:hAnsi="Tahoma" w:cs="Tahoma"/>
          <w:b/>
          <w:color w:val="000000" w:themeColor="text1"/>
        </w:rPr>
      </w:pPr>
      <w:r w:rsidRPr="008E68DC">
        <w:rPr>
          <w:rFonts w:ascii="Tahoma" w:eastAsia="Calibri" w:hAnsi="Tahoma" w:cs="Tahoma"/>
          <w:b/>
          <w:color w:val="000000" w:themeColor="text1"/>
        </w:rPr>
        <w:t xml:space="preserve">Medium- and Heavy-Duty Zero-Emission Vehicle Port Infrastructure </w:t>
      </w:r>
    </w:p>
    <w:p w14:paraId="6587D6BB" w14:textId="3771B44C" w:rsidR="00B1122A" w:rsidRPr="008E68DC" w:rsidRDefault="00B1122A" w:rsidP="00B1122A">
      <w:pPr>
        <w:autoSpaceDE w:val="0"/>
        <w:autoSpaceDN w:val="0"/>
        <w:adjustRightInd w:val="0"/>
        <w:jc w:val="center"/>
        <w:rPr>
          <w:rFonts w:ascii="Tahoma" w:eastAsia="Calibri" w:hAnsi="Tahoma" w:cs="Tahoma"/>
          <w:b/>
          <w:bCs/>
          <w:color w:val="000000"/>
        </w:rPr>
      </w:pPr>
      <w:r w:rsidRPr="008E68DC">
        <w:rPr>
          <w:rFonts w:ascii="Tahoma" w:eastAsia="Calibri" w:hAnsi="Tahoma" w:cs="Tahoma"/>
          <w:b/>
          <w:bCs/>
          <w:color w:val="000000" w:themeColor="text1"/>
          <w:u w:val="single"/>
        </w:rPr>
        <w:t xml:space="preserve">Addendum </w:t>
      </w:r>
      <w:r w:rsidR="1A8CCA41" w:rsidRPr="008E68DC">
        <w:rPr>
          <w:rFonts w:ascii="Tahoma" w:eastAsia="Calibri" w:hAnsi="Tahoma" w:cs="Tahoma"/>
          <w:b/>
          <w:bCs/>
          <w:color w:val="000000" w:themeColor="text1"/>
          <w:u w:val="single"/>
        </w:rPr>
        <w:t>2</w:t>
      </w:r>
    </w:p>
    <w:p w14:paraId="363B15A9" w14:textId="77777777" w:rsidR="00B1122A" w:rsidRPr="008E68DC" w:rsidRDefault="00B1122A" w:rsidP="00B1122A">
      <w:pPr>
        <w:autoSpaceDE w:val="0"/>
        <w:autoSpaceDN w:val="0"/>
        <w:adjustRightInd w:val="0"/>
        <w:jc w:val="center"/>
        <w:rPr>
          <w:rFonts w:ascii="Tahoma" w:eastAsia="Calibri" w:hAnsi="Tahoma" w:cs="Tahoma"/>
          <w:b/>
          <w:bCs/>
          <w:color w:val="000000"/>
        </w:rPr>
      </w:pPr>
    </w:p>
    <w:p w14:paraId="28220DB1" w14:textId="6B427867" w:rsidR="00FD441B" w:rsidRPr="008E68DC" w:rsidRDefault="00B1122A" w:rsidP="00B1122A">
      <w:pPr>
        <w:autoSpaceDE w:val="0"/>
        <w:autoSpaceDN w:val="0"/>
        <w:adjustRightInd w:val="0"/>
        <w:rPr>
          <w:rFonts w:ascii="Tahoma" w:eastAsia="Calibri" w:hAnsi="Tahoma" w:cs="Tahoma"/>
          <w:color w:val="000000"/>
        </w:rPr>
      </w:pPr>
      <w:r w:rsidRPr="008E68DC">
        <w:rPr>
          <w:rFonts w:ascii="Tahoma" w:eastAsia="Calibri" w:hAnsi="Tahoma" w:cs="Tahoma"/>
          <w:color w:val="000000" w:themeColor="text1"/>
        </w:rPr>
        <w:t>The purpose of this addendum is to notify potential applicants of changes that have been made to GFO-2</w:t>
      </w:r>
      <w:r w:rsidR="6BF0E62C" w:rsidRPr="008E68DC">
        <w:rPr>
          <w:rFonts w:ascii="Tahoma" w:eastAsia="Calibri" w:hAnsi="Tahoma" w:cs="Tahoma"/>
          <w:color w:val="000000" w:themeColor="text1"/>
        </w:rPr>
        <w:t>4</w:t>
      </w:r>
      <w:r w:rsidR="00353981" w:rsidRPr="008E68DC">
        <w:rPr>
          <w:rFonts w:ascii="Tahoma" w:eastAsia="Calibri" w:hAnsi="Tahoma" w:cs="Tahoma"/>
          <w:color w:val="000000" w:themeColor="text1"/>
        </w:rPr>
        <w:t>-6</w:t>
      </w:r>
      <w:r w:rsidR="00076083" w:rsidRPr="008E68DC">
        <w:rPr>
          <w:rFonts w:ascii="Tahoma" w:eastAsia="Calibri" w:hAnsi="Tahoma" w:cs="Tahoma"/>
          <w:color w:val="000000" w:themeColor="text1"/>
        </w:rPr>
        <w:t>1</w:t>
      </w:r>
      <w:r w:rsidR="001E440F" w:rsidRPr="008E68DC">
        <w:rPr>
          <w:rFonts w:ascii="Tahoma" w:eastAsia="Calibri" w:hAnsi="Tahoma" w:cs="Tahoma"/>
          <w:color w:val="000000" w:themeColor="text1"/>
        </w:rPr>
        <w:t>0</w:t>
      </w:r>
      <w:r w:rsidRPr="008E68DC">
        <w:rPr>
          <w:rFonts w:ascii="Tahoma" w:eastAsia="Calibri" w:hAnsi="Tahoma" w:cs="Tahoma"/>
          <w:color w:val="000000" w:themeColor="text1"/>
        </w:rPr>
        <w:t xml:space="preserve">. </w:t>
      </w:r>
    </w:p>
    <w:p w14:paraId="24A5A8EC" w14:textId="77777777" w:rsidR="00FD441B" w:rsidRPr="008E68DC" w:rsidRDefault="00FD441B" w:rsidP="00B1122A">
      <w:pPr>
        <w:autoSpaceDE w:val="0"/>
        <w:autoSpaceDN w:val="0"/>
        <w:adjustRightInd w:val="0"/>
        <w:rPr>
          <w:rFonts w:ascii="Tahoma" w:eastAsia="Calibri" w:hAnsi="Tahoma" w:cs="Tahoma"/>
          <w:color w:val="000000"/>
        </w:rPr>
      </w:pPr>
    </w:p>
    <w:p w14:paraId="000B0B09" w14:textId="368C25B8" w:rsidR="00B1122A" w:rsidRPr="008E68DC" w:rsidRDefault="00B1122A" w:rsidP="0000028A">
      <w:pPr>
        <w:autoSpaceDE w:val="0"/>
        <w:autoSpaceDN w:val="0"/>
        <w:adjustRightInd w:val="0"/>
        <w:rPr>
          <w:rFonts w:ascii="Tahoma" w:eastAsia="Calibri" w:hAnsi="Tahoma" w:cs="Tahoma"/>
          <w:color w:val="000000"/>
        </w:rPr>
      </w:pPr>
      <w:r w:rsidRPr="008E68DC">
        <w:rPr>
          <w:rFonts w:ascii="Tahoma" w:eastAsia="Calibri" w:hAnsi="Tahoma" w:cs="Tahoma"/>
          <w:color w:val="000000" w:themeColor="text1"/>
        </w:rPr>
        <w:t>The addendum includes revisions to the Solicitation Manua</w:t>
      </w:r>
      <w:r w:rsidR="00520C75" w:rsidRPr="008E68DC">
        <w:rPr>
          <w:rFonts w:ascii="Tahoma" w:eastAsia="Calibri" w:hAnsi="Tahoma" w:cs="Tahoma"/>
          <w:color w:val="000000" w:themeColor="text1"/>
        </w:rPr>
        <w:t xml:space="preserve">l, </w:t>
      </w:r>
      <w:r w:rsidR="00CB53D3" w:rsidRPr="008E68DC">
        <w:rPr>
          <w:rFonts w:ascii="Tahoma" w:eastAsia="Calibri" w:hAnsi="Tahoma" w:cs="Tahoma"/>
          <w:color w:val="000000" w:themeColor="text1"/>
        </w:rPr>
        <w:t>Scope of Work</w:t>
      </w:r>
      <w:r w:rsidR="004A316B" w:rsidRPr="008E68DC">
        <w:rPr>
          <w:rFonts w:ascii="Tahoma" w:eastAsia="Calibri" w:hAnsi="Tahoma" w:cs="Tahoma"/>
          <w:color w:val="000000" w:themeColor="text1"/>
        </w:rPr>
        <w:t xml:space="preserve"> </w:t>
      </w:r>
      <w:r w:rsidR="00066AFA" w:rsidRPr="008E68DC">
        <w:rPr>
          <w:rFonts w:ascii="Tahoma" w:eastAsia="Calibri" w:hAnsi="Tahoma" w:cs="Tahoma"/>
          <w:color w:val="000000" w:themeColor="text1"/>
        </w:rPr>
        <w:t>Template</w:t>
      </w:r>
      <w:r w:rsidR="004A316B" w:rsidRPr="008E68DC">
        <w:rPr>
          <w:rFonts w:ascii="Tahoma" w:eastAsia="Calibri" w:hAnsi="Tahoma" w:cs="Tahoma"/>
          <w:color w:val="000000" w:themeColor="text1"/>
        </w:rPr>
        <w:t xml:space="preserve"> (Attachment 02)</w:t>
      </w:r>
      <w:r w:rsidR="00520C75" w:rsidRPr="008E68DC">
        <w:rPr>
          <w:rFonts w:ascii="Tahoma" w:eastAsia="Calibri" w:hAnsi="Tahoma" w:cs="Tahoma"/>
          <w:color w:val="000000" w:themeColor="text1"/>
        </w:rPr>
        <w:t xml:space="preserve"> and Application Form (Attachment </w:t>
      </w:r>
      <w:r w:rsidR="00F12677" w:rsidRPr="008E68DC">
        <w:rPr>
          <w:rFonts w:ascii="Tahoma" w:eastAsia="Calibri" w:hAnsi="Tahoma" w:cs="Tahoma"/>
          <w:color w:val="000000" w:themeColor="text1"/>
        </w:rPr>
        <w:t>15)</w:t>
      </w:r>
      <w:r w:rsidR="00076083" w:rsidRPr="008E68DC">
        <w:rPr>
          <w:rFonts w:ascii="Tahoma" w:eastAsia="Calibri" w:hAnsi="Tahoma" w:cs="Tahoma"/>
          <w:color w:val="000000" w:themeColor="text1"/>
        </w:rPr>
        <w:t xml:space="preserve">. </w:t>
      </w:r>
      <w:r w:rsidRPr="008E68DC">
        <w:rPr>
          <w:rFonts w:ascii="Tahoma" w:eastAsia="Calibri" w:hAnsi="Tahoma" w:cs="Tahoma"/>
          <w:color w:val="000000" w:themeColor="text1"/>
        </w:rPr>
        <w:t xml:space="preserve">Added language appears in </w:t>
      </w:r>
      <w:r w:rsidRPr="008E68DC">
        <w:rPr>
          <w:rFonts w:ascii="Tahoma" w:eastAsia="Calibri" w:hAnsi="Tahoma" w:cs="Tahoma"/>
          <w:b/>
          <w:color w:val="000000" w:themeColor="text1"/>
          <w:u w:val="single"/>
        </w:rPr>
        <w:t>bold underline</w:t>
      </w:r>
      <w:r w:rsidRPr="008E68DC">
        <w:rPr>
          <w:rFonts w:ascii="Tahoma" w:eastAsia="Calibri" w:hAnsi="Tahoma" w:cs="Tahoma"/>
          <w:color w:val="000000" w:themeColor="text1"/>
        </w:rPr>
        <w:t>, and deleted language appears in [</w:t>
      </w:r>
      <w:r w:rsidRPr="008E68DC">
        <w:rPr>
          <w:rFonts w:ascii="Tahoma" w:eastAsia="Calibri" w:hAnsi="Tahoma" w:cs="Tahoma"/>
          <w:strike/>
          <w:color w:val="000000" w:themeColor="text1"/>
        </w:rPr>
        <w:t>strikethrough</w:t>
      </w:r>
      <w:r w:rsidRPr="008E68DC">
        <w:rPr>
          <w:rFonts w:ascii="Tahoma" w:eastAsia="Calibri" w:hAnsi="Tahoma" w:cs="Tahoma"/>
          <w:color w:val="000000" w:themeColor="text1"/>
        </w:rPr>
        <w:t>] and within square brackets.</w:t>
      </w:r>
    </w:p>
    <w:p w14:paraId="75680E49" w14:textId="77777777" w:rsidR="008F4EE9" w:rsidRPr="008E68DC" w:rsidRDefault="008F4EE9" w:rsidP="0000028A">
      <w:pPr>
        <w:autoSpaceDE w:val="0"/>
        <w:autoSpaceDN w:val="0"/>
        <w:adjustRightInd w:val="0"/>
        <w:rPr>
          <w:rFonts w:ascii="Tahoma" w:eastAsia="Calibri" w:hAnsi="Tahoma" w:cs="Tahoma"/>
          <w:color w:val="000000"/>
        </w:rPr>
      </w:pPr>
    </w:p>
    <w:p w14:paraId="2F0C8E5D" w14:textId="01EAB562" w:rsidR="008803FC" w:rsidRPr="0085719F" w:rsidRDefault="00BB4E2B" w:rsidP="001E440F">
      <w:pPr>
        <w:keepNext/>
        <w:keepLines/>
        <w:spacing w:after="240"/>
        <w:outlineLvl w:val="1"/>
        <w:rPr>
          <w:rFonts w:ascii="Tahoma" w:hAnsi="Tahoma" w:cs="Tahoma"/>
          <w:b/>
          <w:bCs/>
        </w:rPr>
      </w:pPr>
      <w:r w:rsidRPr="008E68DC">
        <w:rPr>
          <w:rFonts w:ascii="Tahoma" w:eastAsiaTheme="majorEastAsia" w:hAnsi="Tahoma" w:cs="Tahoma"/>
          <w:b/>
        </w:rPr>
        <w:t xml:space="preserve">SOLICITATION MANUAL </w:t>
      </w:r>
    </w:p>
    <w:p w14:paraId="3A71D220" w14:textId="1C4D9194" w:rsidR="001E48E1" w:rsidRDefault="001E48E1" w:rsidP="00735035">
      <w:pPr>
        <w:pStyle w:val="Heading2"/>
        <w:keepNext w:val="0"/>
        <w:numPr>
          <w:ilvl w:val="0"/>
          <w:numId w:val="1"/>
        </w:numPr>
        <w:spacing w:before="0" w:after="0"/>
        <w:ind w:left="720" w:hanging="720"/>
        <w:rPr>
          <w:rFonts w:ascii="Tahoma" w:eastAsiaTheme="majorEastAsia" w:hAnsi="Tahoma" w:cs="Tahoma"/>
          <w:bCs/>
          <w:smallCaps w:val="0"/>
          <w:sz w:val="24"/>
          <w:szCs w:val="24"/>
          <w:lang w:val="en-US" w:eastAsia="en-US"/>
        </w:rPr>
      </w:pPr>
      <w:r w:rsidRPr="008E68DC">
        <w:rPr>
          <w:rFonts w:ascii="Tahoma" w:eastAsiaTheme="majorEastAsia" w:hAnsi="Tahoma" w:cs="Tahoma"/>
          <w:bCs/>
          <w:smallCaps w:val="0"/>
          <w:sz w:val="24"/>
          <w:szCs w:val="24"/>
          <w:lang w:val="en-US" w:eastAsia="en-US"/>
        </w:rPr>
        <w:t>Section I.</w:t>
      </w:r>
      <w:r w:rsidR="001B19C3">
        <w:rPr>
          <w:rFonts w:ascii="Tahoma" w:eastAsiaTheme="majorEastAsia" w:hAnsi="Tahoma" w:cs="Tahoma"/>
          <w:bCs/>
          <w:smallCaps w:val="0"/>
          <w:sz w:val="24"/>
          <w:szCs w:val="24"/>
          <w:lang w:val="en-US" w:eastAsia="en-US"/>
        </w:rPr>
        <w:t>D</w:t>
      </w:r>
      <w:r w:rsidRPr="008E68DC">
        <w:rPr>
          <w:rFonts w:ascii="Tahoma" w:eastAsiaTheme="majorEastAsia" w:hAnsi="Tahoma" w:cs="Tahoma"/>
          <w:bCs/>
          <w:smallCaps w:val="0"/>
          <w:sz w:val="24"/>
          <w:szCs w:val="24"/>
          <w:lang w:val="en-US" w:eastAsia="en-US"/>
        </w:rPr>
        <w:t xml:space="preserve">. </w:t>
      </w:r>
      <w:r w:rsidR="006047FF">
        <w:rPr>
          <w:rFonts w:ascii="Tahoma" w:eastAsiaTheme="majorEastAsia" w:hAnsi="Tahoma" w:cs="Tahoma"/>
          <w:bCs/>
          <w:smallCaps w:val="0"/>
          <w:sz w:val="24"/>
          <w:szCs w:val="24"/>
          <w:lang w:val="en-US" w:eastAsia="en-US"/>
        </w:rPr>
        <w:t>KEY ACTIVITIES AND DATES</w:t>
      </w:r>
    </w:p>
    <w:p w14:paraId="28A9B85F" w14:textId="77777777" w:rsidR="000E2D6D" w:rsidRDefault="000E2D6D" w:rsidP="00FD7E51">
      <w:pPr>
        <w:ind w:left="720"/>
        <w:rPr>
          <w:rFonts w:ascii="Tahoma" w:hAnsi="Tahoma" w:cs="Tahoma"/>
        </w:rPr>
      </w:pPr>
    </w:p>
    <w:p w14:paraId="48375FD7" w14:textId="4DB15F81" w:rsidR="00FD7E51" w:rsidRDefault="00FD7E51" w:rsidP="00FD7E51">
      <w:pPr>
        <w:ind w:left="720"/>
        <w:rPr>
          <w:rFonts w:ascii="Tahoma" w:hAnsi="Tahoma" w:cs="Tahoma"/>
        </w:rPr>
      </w:pPr>
      <w:r w:rsidRPr="00A31904">
        <w:rPr>
          <w:rFonts w:ascii="Tahoma" w:hAnsi="Tahoma" w:cs="Tahoma"/>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0F649E9D" w14:textId="77777777" w:rsidR="00FD7E51" w:rsidRPr="00A31904" w:rsidRDefault="00FD7E51" w:rsidP="00FD7E51">
      <w:pPr>
        <w:ind w:left="720"/>
        <w:rPr>
          <w:rFonts w:ascii="Tahoma" w:hAnsi="Tahoma" w:cs="Tahoma"/>
        </w:rPr>
      </w:pPr>
    </w:p>
    <w:tbl>
      <w:tblPr>
        <w:tblStyle w:val="TableGrid"/>
        <w:tblW w:w="962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20" w:firstRow="1" w:lastRow="0" w:firstColumn="0" w:lastColumn="0" w:noHBand="0" w:noVBand="0"/>
        <w:tblCaption w:val="key activities and dates"/>
        <w:tblDescription w:val="dates of key activities in solicitation"/>
      </w:tblPr>
      <w:tblGrid>
        <w:gridCol w:w="6030"/>
        <w:gridCol w:w="3592"/>
      </w:tblGrid>
      <w:tr w:rsidR="00FD7E51" w14:paraId="7C6B9E7B" w14:textId="77777777" w:rsidTr="00351B94">
        <w:trPr>
          <w:trHeight w:val="285"/>
        </w:trPr>
        <w:tc>
          <w:tcPr>
            <w:tcW w:w="6030" w:type="dxa"/>
            <w:shd w:val="clear" w:color="auto" w:fill="D9D9D9" w:themeFill="background1" w:themeFillShade="D9"/>
            <w:tcMar>
              <w:left w:w="105" w:type="dxa"/>
              <w:right w:w="105" w:type="dxa"/>
            </w:tcMar>
          </w:tcPr>
          <w:p w14:paraId="2225A8E8" w14:textId="77777777" w:rsidR="00FD7E51" w:rsidRPr="004F7544" w:rsidRDefault="00FD7E51" w:rsidP="00351B94">
            <w:pPr>
              <w:jc w:val="center"/>
              <w:rPr>
                <w:rFonts w:ascii="Tahoma" w:eastAsia="Tahoma" w:hAnsi="Tahoma" w:cs="Tahoma"/>
              </w:rPr>
            </w:pPr>
            <w:r w:rsidRPr="004F7544">
              <w:rPr>
                <w:rFonts w:ascii="Tahoma" w:eastAsia="Tahoma" w:hAnsi="Tahoma" w:cs="Tahoma"/>
                <w:b/>
                <w:bCs/>
              </w:rPr>
              <w:t>ACTIVITY</w:t>
            </w:r>
          </w:p>
        </w:tc>
        <w:tc>
          <w:tcPr>
            <w:tcW w:w="3592" w:type="dxa"/>
            <w:shd w:val="clear" w:color="auto" w:fill="D9D9D9" w:themeFill="background1" w:themeFillShade="D9"/>
            <w:tcMar>
              <w:left w:w="105" w:type="dxa"/>
              <w:right w:w="105" w:type="dxa"/>
            </w:tcMar>
          </w:tcPr>
          <w:p w14:paraId="19CD84C8" w14:textId="77777777" w:rsidR="00FD7E51" w:rsidRPr="004F7544" w:rsidRDefault="00FD7E51" w:rsidP="00351B94">
            <w:pPr>
              <w:jc w:val="center"/>
              <w:rPr>
                <w:rFonts w:ascii="Tahoma" w:eastAsia="Tahoma" w:hAnsi="Tahoma" w:cs="Tahoma"/>
              </w:rPr>
            </w:pPr>
            <w:r w:rsidRPr="004F7544">
              <w:rPr>
                <w:rFonts w:ascii="Tahoma" w:eastAsia="Tahoma" w:hAnsi="Tahoma" w:cs="Tahoma"/>
                <w:b/>
                <w:bCs/>
              </w:rPr>
              <w:t>ACTION DATE</w:t>
            </w:r>
          </w:p>
        </w:tc>
      </w:tr>
      <w:tr w:rsidR="00FD7E51" w14:paraId="24D907CE" w14:textId="77777777" w:rsidTr="00351B94">
        <w:trPr>
          <w:trHeight w:val="285"/>
        </w:trPr>
        <w:tc>
          <w:tcPr>
            <w:tcW w:w="6030" w:type="dxa"/>
            <w:tcMar>
              <w:left w:w="105" w:type="dxa"/>
              <w:right w:w="105" w:type="dxa"/>
            </w:tcMar>
          </w:tcPr>
          <w:p w14:paraId="47ABCCDE" w14:textId="77777777" w:rsidR="00FD7E51" w:rsidRPr="004F7544" w:rsidRDefault="00FD7E51" w:rsidP="00351B94">
            <w:pPr>
              <w:spacing w:after="60"/>
              <w:rPr>
                <w:rFonts w:ascii="Tahoma" w:eastAsia="Tahoma" w:hAnsi="Tahoma" w:cs="Tahoma"/>
              </w:rPr>
            </w:pPr>
            <w:r w:rsidRPr="004F7544">
              <w:rPr>
                <w:rFonts w:ascii="Tahoma" w:eastAsia="Tahoma" w:hAnsi="Tahoma" w:cs="Tahoma"/>
              </w:rPr>
              <w:t>Solicitation Release</w:t>
            </w:r>
          </w:p>
        </w:tc>
        <w:tc>
          <w:tcPr>
            <w:tcW w:w="3592" w:type="dxa"/>
            <w:tcMar>
              <w:left w:w="105" w:type="dxa"/>
              <w:right w:w="105" w:type="dxa"/>
            </w:tcMar>
          </w:tcPr>
          <w:p w14:paraId="24DF47FA" w14:textId="77777777" w:rsidR="00FD7E51" w:rsidRPr="004F7544" w:rsidRDefault="00FD7E51" w:rsidP="00351B94">
            <w:pPr>
              <w:spacing w:after="60"/>
              <w:rPr>
                <w:rFonts w:ascii="Tahoma" w:eastAsia="Tahoma" w:hAnsi="Tahoma" w:cs="Tahoma"/>
              </w:rPr>
            </w:pPr>
            <w:r w:rsidRPr="004F7544">
              <w:rPr>
                <w:rFonts w:ascii="Tahoma" w:eastAsia="Tahoma" w:hAnsi="Tahoma" w:cs="Tahoma"/>
              </w:rPr>
              <w:t>March 27, 2025</w:t>
            </w:r>
          </w:p>
        </w:tc>
      </w:tr>
      <w:tr w:rsidR="00FD7E51" w14:paraId="7A52C82A" w14:textId="77777777" w:rsidTr="00351B94">
        <w:trPr>
          <w:trHeight w:val="285"/>
        </w:trPr>
        <w:tc>
          <w:tcPr>
            <w:tcW w:w="6030" w:type="dxa"/>
            <w:tcMar>
              <w:left w:w="105" w:type="dxa"/>
              <w:right w:w="105" w:type="dxa"/>
            </w:tcMar>
          </w:tcPr>
          <w:p w14:paraId="350D3657" w14:textId="77777777" w:rsidR="00FD7E51" w:rsidRPr="004F7544" w:rsidRDefault="00FD7E51" w:rsidP="00351B94">
            <w:pPr>
              <w:spacing w:after="60"/>
              <w:rPr>
                <w:rFonts w:ascii="Tahoma" w:eastAsia="Tahoma" w:hAnsi="Tahoma" w:cs="Tahoma"/>
              </w:rPr>
            </w:pPr>
            <w:r w:rsidRPr="004F7544">
              <w:rPr>
                <w:rFonts w:ascii="Tahoma" w:eastAsia="Tahoma" w:hAnsi="Tahoma" w:cs="Tahoma"/>
              </w:rPr>
              <w:t>Pre-Application Workshop*</w:t>
            </w:r>
          </w:p>
        </w:tc>
        <w:tc>
          <w:tcPr>
            <w:tcW w:w="3592" w:type="dxa"/>
            <w:tcMar>
              <w:left w:w="105" w:type="dxa"/>
              <w:right w:w="105" w:type="dxa"/>
            </w:tcMar>
          </w:tcPr>
          <w:p w14:paraId="56EA6C8A" w14:textId="77777777" w:rsidR="00FD7E51" w:rsidRPr="004F7544" w:rsidRDefault="00FD7E51" w:rsidP="00351B94">
            <w:pPr>
              <w:spacing w:after="60"/>
              <w:rPr>
                <w:rFonts w:ascii="Tahoma" w:eastAsia="Tahoma" w:hAnsi="Tahoma" w:cs="Tahoma"/>
              </w:rPr>
            </w:pPr>
            <w:r w:rsidRPr="004F7544">
              <w:rPr>
                <w:rFonts w:ascii="Tahoma" w:eastAsia="Tahoma" w:hAnsi="Tahoma" w:cs="Tahoma"/>
              </w:rPr>
              <w:t>April 8, 2025</w:t>
            </w:r>
          </w:p>
        </w:tc>
      </w:tr>
      <w:tr w:rsidR="00FD7E51" w14:paraId="4DD7E28F" w14:textId="77777777" w:rsidTr="00351B94">
        <w:trPr>
          <w:trHeight w:val="285"/>
        </w:trPr>
        <w:tc>
          <w:tcPr>
            <w:tcW w:w="6030" w:type="dxa"/>
            <w:tcMar>
              <w:left w:w="105" w:type="dxa"/>
              <w:right w:w="105" w:type="dxa"/>
            </w:tcMar>
          </w:tcPr>
          <w:p w14:paraId="54D5F1E3" w14:textId="77777777" w:rsidR="00FD7E51" w:rsidRPr="004F7544" w:rsidRDefault="00FD7E51" w:rsidP="00351B94">
            <w:pPr>
              <w:spacing w:after="60"/>
              <w:rPr>
                <w:rFonts w:ascii="Tahoma" w:eastAsia="Tahoma" w:hAnsi="Tahoma" w:cs="Tahoma"/>
              </w:rPr>
            </w:pPr>
            <w:r w:rsidRPr="004F7544">
              <w:rPr>
                <w:rFonts w:ascii="Tahoma" w:eastAsia="Tahoma" w:hAnsi="Tahoma" w:cs="Tahoma"/>
              </w:rPr>
              <w:t xml:space="preserve">Deadline for Written Questions </w:t>
            </w:r>
            <w:r w:rsidRPr="004F7544">
              <w:rPr>
                <w:rFonts w:ascii="Tahoma" w:eastAsia="Tahoma" w:hAnsi="Tahoma" w:cs="Tahoma"/>
                <w:b/>
                <w:bCs/>
              </w:rPr>
              <w:t>by 5:00 p.m.</w:t>
            </w:r>
            <w:r w:rsidRPr="004F7544">
              <w:rPr>
                <w:rFonts w:ascii="Tahoma" w:eastAsia="Tahoma" w:hAnsi="Tahoma" w:cs="Tahoma"/>
              </w:rPr>
              <w:t>*</w:t>
            </w:r>
          </w:p>
        </w:tc>
        <w:tc>
          <w:tcPr>
            <w:tcW w:w="3592" w:type="dxa"/>
            <w:tcMar>
              <w:left w:w="105" w:type="dxa"/>
              <w:right w:w="105" w:type="dxa"/>
            </w:tcMar>
          </w:tcPr>
          <w:p w14:paraId="2EAD6A68" w14:textId="77777777" w:rsidR="00FD7E51" w:rsidRPr="004F7544" w:rsidRDefault="00FD7E51" w:rsidP="00351B94">
            <w:pPr>
              <w:spacing w:after="60"/>
              <w:rPr>
                <w:rFonts w:ascii="Tahoma" w:eastAsia="Tahoma" w:hAnsi="Tahoma" w:cs="Tahoma"/>
              </w:rPr>
            </w:pPr>
            <w:r w:rsidRPr="004F7544">
              <w:rPr>
                <w:rFonts w:ascii="Tahoma" w:eastAsia="Tahoma" w:hAnsi="Tahoma" w:cs="Tahoma"/>
              </w:rPr>
              <w:t>April 14, 2025</w:t>
            </w:r>
          </w:p>
        </w:tc>
      </w:tr>
      <w:tr w:rsidR="00FD7E51" w14:paraId="134B32F4" w14:textId="77777777" w:rsidTr="00351B94">
        <w:trPr>
          <w:trHeight w:val="285"/>
        </w:trPr>
        <w:tc>
          <w:tcPr>
            <w:tcW w:w="6030" w:type="dxa"/>
            <w:tcMar>
              <w:left w:w="105" w:type="dxa"/>
              <w:right w:w="105" w:type="dxa"/>
            </w:tcMar>
          </w:tcPr>
          <w:p w14:paraId="6E1B6C6D" w14:textId="77777777" w:rsidR="00FD7E51" w:rsidRPr="004F7544" w:rsidRDefault="00FD7E51" w:rsidP="00351B94">
            <w:pPr>
              <w:spacing w:after="60"/>
              <w:rPr>
                <w:rFonts w:ascii="Tahoma" w:eastAsia="Tahoma" w:hAnsi="Tahoma" w:cs="Tahoma"/>
              </w:rPr>
            </w:pPr>
            <w:r w:rsidRPr="004F7544">
              <w:rPr>
                <w:rFonts w:ascii="Tahoma" w:eastAsia="Tahoma" w:hAnsi="Tahoma" w:cs="Tahoma"/>
              </w:rPr>
              <w:t>Anticipated Distribution of Questions/Answers</w:t>
            </w:r>
          </w:p>
        </w:tc>
        <w:tc>
          <w:tcPr>
            <w:tcW w:w="3592" w:type="dxa"/>
            <w:tcMar>
              <w:left w:w="105" w:type="dxa"/>
              <w:right w:w="105" w:type="dxa"/>
            </w:tcMar>
          </w:tcPr>
          <w:p w14:paraId="2D1B81B1" w14:textId="77777777" w:rsidR="00FD7E51" w:rsidRPr="004F7544" w:rsidRDefault="00FD7E51" w:rsidP="00351B94">
            <w:pPr>
              <w:spacing w:after="60"/>
              <w:rPr>
                <w:rFonts w:ascii="Tahoma" w:eastAsia="Tahoma" w:hAnsi="Tahoma" w:cs="Tahoma"/>
                <w:b/>
                <w:bCs/>
                <w:u w:val="single"/>
              </w:rPr>
            </w:pPr>
            <w:r w:rsidRPr="004F7544">
              <w:rPr>
                <w:rFonts w:ascii="Tahoma" w:eastAsia="Tahoma" w:hAnsi="Tahoma" w:cs="Tahoma"/>
              </w:rPr>
              <w:t xml:space="preserve">Week of </w:t>
            </w:r>
            <w:r w:rsidRPr="00B243BD">
              <w:rPr>
                <w:rFonts w:ascii="Tahoma" w:eastAsia="Tahoma" w:hAnsi="Tahoma" w:cs="Tahoma"/>
              </w:rPr>
              <w:t>May 26, 2025</w:t>
            </w:r>
          </w:p>
        </w:tc>
      </w:tr>
      <w:tr w:rsidR="00FD7E51" w14:paraId="528AF1BA" w14:textId="77777777" w:rsidTr="00351B94">
        <w:trPr>
          <w:trHeight w:val="945"/>
        </w:trPr>
        <w:tc>
          <w:tcPr>
            <w:tcW w:w="6030" w:type="dxa"/>
            <w:tcMar>
              <w:left w:w="105" w:type="dxa"/>
              <w:right w:w="105" w:type="dxa"/>
            </w:tcMar>
          </w:tcPr>
          <w:p w14:paraId="46EE7157" w14:textId="77777777" w:rsidR="00FD7E51" w:rsidRPr="004F7544" w:rsidRDefault="00FD7E51" w:rsidP="00351B94">
            <w:pPr>
              <w:spacing w:after="60"/>
              <w:rPr>
                <w:rFonts w:ascii="Tahoma" w:eastAsia="Tahoma" w:hAnsi="Tahoma" w:cs="Tahoma"/>
              </w:rPr>
            </w:pPr>
            <w:r w:rsidRPr="004F7544">
              <w:rPr>
                <w:rFonts w:ascii="Tahoma" w:eastAsia="Tahoma" w:hAnsi="Tahoma" w:cs="Tahoma"/>
              </w:rPr>
              <w:t>Support for Application Submission in the Energy Commission Agreement Management System (ECAMS) until 5:00 p.m.</w:t>
            </w:r>
          </w:p>
        </w:tc>
        <w:tc>
          <w:tcPr>
            <w:tcW w:w="3592" w:type="dxa"/>
            <w:tcMar>
              <w:left w:w="105" w:type="dxa"/>
              <w:right w:w="105" w:type="dxa"/>
            </w:tcMar>
          </w:tcPr>
          <w:p w14:paraId="447EE102" w14:textId="77777777" w:rsidR="00FD7E51" w:rsidRPr="004F7544" w:rsidRDefault="00FD7E51" w:rsidP="00351B94">
            <w:pPr>
              <w:spacing w:after="60"/>
              <w:rPr>
                <w:rFonts w:ascii="Tahoma" w:eastAsia="Tahoma" w:hAnsi="Tahoma" w:cs="Tahoma"/>
              </w:rPr>
            </w:pPr>
            <w:r w:rsidRPr="004F7544">
              <w:rPr>
                <w:rFonts w:ascii="Tahoma" w:eastAsia="Tahoma" w:hAnsi="Tahoma" w:cs="Tahoma"/>
                <w:b/>
                <w:bCs/>
              </w:rPr>
              <w:t>Ongoing until</w:t>
            </w:r>
            <w:r w:rsidRPr="006F0B32">
              <w:rPr>
                <w:rFonts w:ascii="Tahoma" w:eastAsia="Tahoma" w:hAnsi="Tahoma" w:cs="Tahoma"/>
              </w:rPr>
              <w:t xml:space="preserve"> [</w:t>
            </w:r>
            <w:r w:rsidRPr="000349BC">
              <w:rPr>
                <w:rFonts w:ascii="Tahoma" w:eastAsia="Tahoma" w:hAnsi="Tahoma" w:cs="Tahoma"/>
                <w:strike/>
              </w:rPr>
              <w:t>July 11, 2025</w:t>
            </w:r>
            <w:r w:rsidRPr="006F0B32">
              <w:rPr>
                <w:rFonts w:ascii="Tahoma" w:eastAsia="Tahoma" w:hAnsi="Tahoma" w:cs="Tahoma"/>
              </w:rPr>
              <w:t>]</w:t>
            </w:r>
            <w:r>
              <w:rPr>
                <w:rFonts w:ascii="Tahoma" w:eastAsia="Tahoma" w:hAnsi="Tahoma" w:cs="Tahoma"/>
                <w:b/>
                <w:bCs/>
              </w:rPr>
              <w:t xml:space="preserve"> </w:t>
            </w:r>
            <w:r w:rsidRPr="00DB730B">
              <w:rPr>
                <w:rFonts w:ascii="Tahoma" w:eastAsia="Tahoma" w:hAnsi="Tahoma" w:cs="Tahoma"/>
                <w:b/>
                <w:bCs/>
                <w:u w:val="single"/>
              </w:rPr>
              <w:t>July 25, 2025</w:t>
            </w:r>
          </w:p>
        </w:tc>
      </w:tr>
      <w:tr w:rsidR="00FD7E51" w14:paraId="40872BC1" w14:textId="77777777" w:rsidTr="00351B94">
        <w:trPr>
          <w:trHeight w:val="720"/>
        </w:trPr>
        <w:tc>
          <w:tcPr>
            <w:tcW w:w="6030" w:type="dxa"/>
            <w:tcMar>
              <w:left w:w="105" w:type="dxa"/>
              <w:right w:w="105" w:type="dxa"/>
            </w:tcMar>
          </w:tcPr>
          <w:p w14:paraId="37684AE8" w14:textId="77777777" w:rsidR="00FD7E51" w:rsidRPr="004F7544" w:rsidRDefault="00FD7E51" w:rsidP="00351B94">
            <w:pPr>
              <w:spacing w:after="60"/>
              <w:rPr>
                <w:rFonts w:ascii="Tahoma" w:eastAsia="Tahoma" w:hAnsi="Tahoma" w:cs="Tahoma"/>
              </w:rPr>
            </w:pPr>
            <w:r w:rsidRPr="004F7544">
              <w:rPr>
                <w:rFonts w:ascii="Tahoma" w:eastAsia="Tahoma" w:hAnsi="Tahoma" w:cs="Tahoma"/>
                <w:b/>
                <w:bCs/>
              </w:rPr>
              <w:t>Deadline to Submit Applications by 11:59 p.m.*</w:t>
            </w:r>
          </w:p>
        </w:tc>
        <w:tc>
          <w:tcPr>
            <w:tcW w:w="3592" w:type="dxa"/>
            <w:tcMar>
              <w:left w:w="105" w:type="dxa"/>
              <w:right w:w="105" w:type="dxa"/>
            </w:tcMar>
          </w:tcPr>
          <w:p w14:paraId="370E740F" w14:textId="77777777" w:rsidR="00FD7E51" w:rsidRPr="000376E2" w:rsidRDefault="00FD7E51" w:rsidP="00351B94">
            <w:pPr>
              <w:spacing w:after="60"/>
              <w:rPr>
                <w:rFonts w:ascii="Tahoma" w:eastAsia="Tahoma" w:hAnsi="Tahoma" w:cs="Tahoma"/>
              </w:rPr>
            </w:pPr>
            <w:r w:rsidRPr="006F0B32">
              <w:rPr>
                <w:rFonts w:ascii="Tahoma" w:eastAsia="Tahoma" w:hAnsi="Tahoma" w:cs="Tahoma"/>
              </w:rPr>
              <w:t>[</w:t>
            </w:r>
            <w:r w:rsidRPr="006F0B32">
              <w:rPr>
                <w:rFonts w:ascii="Tahoma" w:eastAsia="Tahoma" w:hAnsi="Tahoma" w:cs="Tahoma"/>
                <w:strike/>
              </w:rPr>
              <w:t>July 11, 2025</w:t>
            </w:r>
            <w:r w:rsidRPr="006F0B32">
              <w:rPr>
                <w:rFonts w:ascii="Tahoma" w:eastAsia="Tahoma" w:hAnsi="Tahoma" w:cs="Tahoma"/>
              </w:rPr>
              <w:t>]</w:t>
            </w:r>
            <w:r>
              <w:rPr>
                <w:rFonts w:ascii="Tahoma" w:eastAsia="Tahoma" w:hAnsi="Tahoma" w:cs="Tahoma"/>
                <w:b/>
                <w:bCs/>
              </w:rPr>
              <w:t xml:space="preserve"> </w:t>
            </w:r>
            <w:r w:rsidRPr="00DB730B">
              <w:rPr>
                <w:rFonts w:ascii="Tahoma" w:eastAsia="Tahoma" w:hAnsi="Tahoma" w:cs="Tahoma"/>
                <w:b/>
                <w:bCs/>
                <w:u w:val="single"/>
              </w:rPr>
              <w:t>July 25, 2025</w:t>
            </w:r>
          </w:p>
        </w:tc>
      </w:tr>
      <w:tr w:rsidR="00FD7E51" w14:paraId="38EFEE99" w14:textId="77777777" w:rsidTr="00351B94">
        <w:trPr>
          <w:trHeight w:val="705"/>
        </w:trPr>
        <w:tc>
          <w:tcPr>
            <w:tcW w:w="6030" w:type="dxa"/>
            <w:tcMar>
              <w:left w:w="105" w:type="dxa"/>
              <w:right w:w="105" w:type="dxa"/>
            </w:tcMar>
          </w:tcPr>
          <w:p w14:paraId="1CA66FD2" w14:textId="77777777" w:rsidR="00FD7E51" w:rsidRPr="004F7544" w:rsidRDefault="00FD7E51" w:rsidP="00351B94">
            <w:pPr>
              <w:spacing w:after="60"/>
              <w:rPr>
                <w:rFonts w:ascii="Tahoma" w:eastAsia="Tahoma" w:hAnsi="Tahoma" w:cs="Tahoma"/>
              </w:rPr>
            </w:pPr>
            <w:r w:rsidRPr="004F7544">
              <w:rPr>
                <w:rFonts w:ascii="Tahoma" w:eastAsia="Tahoma" w:hAnsi="Tahoma" w:cs="Tahoma"/>
              </w:rPr>
              <w:t xml:space="preserve">Anticipated Notice of Proposed Awards Posting </w:t>
            </w:r>
          </w:p>
        </w:tc>
        <w:tc>
          <w:tcPr>
            <w:tcW w:w="3592" w:type="dxa"/>
            <w:tcMar>
              <w:left w:w="105" w:type="dxa"/>
              <w:right w:w="105" w:type="dxa"/>
            </w:tcMar>
          </w:tcPr>
          <w:p w14:paraId="381C8390" w14:textId="77777777" w:rsidR="00FD7E51" w:rsidRPr="006F0B32" w:rsidRDefault="00FD7E51" w:rsidP="00351B94">
            <w:pPr>
              <w:spacing w:after="60"/>
              <w:rPr>
                <w:rFonts w:ascii="Tahoma" w:eastAsia="Tahoma" w:hAnsi="Tahoma" w:cs="Tahoma"/>
                <w:b/>
                <w:bCs/>
                <w:u w:val="single"/>
              </w:rPr>
            </w:pPr>
            <w:r w:rsidRPr="004F7544">
              <w:rPr>
                <w:rFonts w:ascii="Tahoma" w:eastAsia="Tahoma" w:hAnsi="Tahoma" w:cs="Tahoma"/>
              </w:rPr>
              <w:t xml:space="preserve">Week of </w:t>
            </w:r>
            <w:r>
              <w:rPr>
                <w:rFonts w:ascii="Tahoma" w:eastAsia="Tahoma" w:hAnsi="Tahoma" w:cs="Tahoma"/>
              </w:rPr>
              <w:t>[</w:t>
            </w:r>
            <w:r w:rsidRPr="006F0B32">
              <w:rPr>
                <w:rFonts w:ascii="Tahoma" w:eastAsia="Tahoma" w:hAnsi="Tahoma" w:cs="Tahoma"/>
                <w:strike/>
              </w:rPr>
              <w:t>August 25, 2025</w:t>
            </w:r>
            <w:r>
              <w:rPr>
                <w:rFonts w:ascii="Tahoma" w:eastAsia="Tahoma" w:hAnsi="Tahoma" w:cs="Tahoma"/>
              </w:rPr>
              <w:t xml:space="preserve">] </w:t>
            </w:r>
            <w:r>
              <w:rPr>
                <w:rFonts w:ascii="Tahoma" w:eastAsia="Tahoma" w:hAnsi="Tahoma" w:cs="Tahoma"/>
                <w:b/>
                <w:bCs/>
                <w:u w:val="single"/>
              </w:rPr>
              <w:t>September 8, 2025</w:t>
            </w:r>
          </w:p>
        </w:tc>
      </w:tr>
      <w:tr w:rsidR="00FD7E51" w14:paraId="294E8055" w14:textId="77777777" w:rsidTr="00351B94">
        <w:trPr>
          <w:trHeight w:val="285"/>
        </w:trPr>
        <w:tc>
          <w:tcPr>
            <w:tcW w:w="6030" w:type="dxa"/>
            <w:tcMar>
              <w:left w:w="105" w:type="dxa"/>
              <w:right w:w="105" w:type="dxa"/>
            </w:tcMar>
          </w:tcPr>
          <w:p w14:paraId="67A141C4" w14:textId="77777777" w:rsidR="00FD7E51" w:rsidRPr="004F7544" w:rsidRDefault="00FD7E51" w:rsidP="00351B94">
            <w:pPr>
              <w:spacing w:after="60"/>
              <w:rPr>
                <w:rFonts w:ascii="Tahoma" w:eastAsia="Tahoma" w:hAnsi="Tahoma" w:cs="Tahoma"/>
              </w:rPr>
            </w:pPr>
            <w:r w:rsidRPr="004F7544">
              <w:rPr>
                <w:rFonts w:ascii="Tahoma" w:eastAsia="Tahoma" w:hAnsi="Tahoma" w:cs="Tahoma"/>
              </w:rPr>
              <w:t xml:space="preserve">Anticipated CEC Business Meeting </w:t>
            </w:r>
          </w:p>
        </w:tc>
        <w:tc>
          <w:tcPr>
            <w:tcW w:w="3592" w:type="dxa"/>
            <w:tcMar>
              <w:left w:w="105" w:type="dxa"/>
              <w:right w:w="105" w:type="dxa"/>
            </w:tcMar>
          </w:tcPr>
          <w:p w14:paraId="3064E268" w14:textId="77777777" w:rsidR="00FD7E51" w:rsidRPr="00B243BD" w:rsidRDefault="00FD7E51" w:rsidP="00351B94">
            <w:pPr>
              <w:spacing w:after="60"/>
              <w:rPr>
                <w:rFonts w:ascii="Tahoma" w:eastAsia="Tahoma" w:hAnsi="Tahoma" w:cs="Tahoma"/>
              </w:rPr>
            </w:pPr>
            <w:r w:rsidRPr="00B243BD">
              <w:rPr>
                <w:rFonts w:ascii="Tahoma" w:eastAsia="Tahoma" w:hAnsi="Tahoma" w:cs="Tahoma"/>
              </w:rPr>
              <w:t>December 2025</w:t>
            </w:r>
          </w:p>
        </w:tc>
      </w:tr>
    </w:tbl>
    <w:p w14:paraId="38871ED6" w14:textId="77777777" w:rsidR="006047FF" w:rsidRPr="006047FF" w:rsidRDefault="006047FF" w:rsidP="006047FF">
      <w:pPr>
        <w:rPr>
          <w:lang w:val="x-none" w:eastAsia="x-none"/>
        </w:rPr>
      </w:pPr>
    </w:p>
    <w:p w14:paraId="7B7018CA" w14:textId="22CD563B" w:rsidR="0049713B" w:rsidRPr="008E68DC" w:rsidRDefault="0049713B" w:rsidP="00735035">
      <w:pPr>
        <w:pStyle w:val="Heading2"/>
        <w:keepNext w:val="0"/>
        <w:numPr>
          <w:ilvl w:val="0"/>
          <w:numId w:val="1"/>
        </w:numPr>
        <w:spacing w:before="0" w:after="0"/>
        <w:ind w:left="720" w:hanging="720"/>
        <w:rPr>
          <w:rFonts w:ascii="Tahoma" w:hAnsi="Tahoma" w:cs="Tahoma"/>
          <w:b w:val="0"/>
          <w:sz w:val="24"/>
          <w:szCs w:val="24"/>
        </w:rPr>
      </w:pPr>
      <w:r w:rsidRPr="008E68DC">
        <w:rPr>
          <w:rFonts w:ascii="Tahoma" w:eastAsiaTheme="majorEastAsia" w:hAnsi="Tahoma" w:cs="Tahoma"/>
          <w:bCs/>
          <w:smallCaps w:val="0"/>
          <w:sz w:val="24"/>
          <w:szCs w:val="24"/>
          <w:lang w:val="en-US" w:eastAsia="en-US"/>
        </w:rPr>
        <w:t xml:space="preserve">Section </w:t>
      </w:r>
      <w:r w:rsidR="002A5E85" w:rsidRPr="008E68DC">
        <w:rPr>
          <w:rFonts w:ascii="Tahoma" w:eastAsiaTheme="majorEastAsia" w:hAnsi="Tahoma" w:cs="Tahoma"/>
          <w:bCs/>
          <w:smallCaps w:val="0"/>
          <w:sz w:val="24"/>
          <w:szCs w:val="24"/>
          <w:lang w:val="en-US" w:eastAsia="en-US"/>
        </w:rPr>
        <w:t>I.G</w:t>
      </w:r>
      <w:r w:rsidRPr="008E68DC">
        <w:rPr>
          <w:rFonts w:ascii="Tahoma" w:eastAsiaTheme="majorEastAsia" w:hAnsi="Tahoma" w:cs="Tahoma"/>
          <w:bCs/>
          <w:smallCaps w:val="0"/>
          <w:sz w:val="24"/>
          <w:szCs w:val="24"/>
          <w:lang w:val="en-US" w:eastAsia="en-US"/>
        </w:rPr>
        <w:t xml:space="preserve">. MINIMUM INFRASTRUCTURE REQUIREMENTS AND MAXIMUM </w:t>
      </w:r>
      <w:r w:rsidR="00F74D44" w:rsidRPr="008E68DC">
        <w:rPr>
          <w:rFonts w:ascii="Tahoma" w:eastAsiaTheme="majorEastAsia" w:hAnsi="Tahoma" w:cs="Tahoma"/>
          <w:bCs/>
          <w:smallCaps w:val="0"/>
          <w:sz w:val="24"/>
          <w:szCs w:val="24"/>
          <w:lang w:val="en-US" w:eastAsia="en-US"/>
        </w:rPr>
        <w:t xml:space="preserve"> </w:t>
      </w:r>
      <w:r w:rsidR="00541DB3" w:rsidRPr="008E68DC">
        <w:rPr>
          <w:rFonts w:ascii="Tahoma" w:eastAsiaTheme="majorEastAsia" w:hAnsi="Tahoma" w:cs="Tahoma"/>
          <w:bCs/>
          <w:smallCaps w:val="0"/>
          <w:sz w:val="24"/>
          <w:szCs w:val="24"/>
          <w:lang w:val="en-US" w:eastAsia="en-US"/>
        </w:rPr>
        <w:t xml:space="preserve">  </w:t>
      </w:r>
      <w:r w:rsidR="00917995" w:rsidRPr="008E68DC">
        <w:rPr>
          <w:rFonts w:ascii="Tahoma" w:eastAsiaTheme="majorEastAsia" w:hAnsi="Tahoma" w:cs="Tahoma"/>
          <w:bCs/>
          <w:smallCaps w:val="0"/>
          <w:sz w:val="24"/>
          <w:szCs w:val="24"/>
          <w:lang w:val="en-US" w:eastAsia="en-US"/>
        </w:rPr>
        <w:t xml:space="preserve">  </w:t>
      </w:r>
      <w:r w:rsidRPr="008E68DC">
        <w:rPr>
          <w:rFonts w:ascii="Tahoma" w:eastAsiaTheme="majorEastAsia" w:hAnsi="Tahoma" w:cs="Tahoma"/>
          <w:bCs/>
          <w:smallCaps w:val="0"/>
          <w:sz w:val="24"/>
          <w:szCs w:val="24"/>
          <w:lang w:val="en-US" w:eastAsia="en-US"/>
        </w:rPr>
        <w:t>AWARD AMOUNTS</w:t>
      </w:r>
      <w:r w:rsidRPr="0085719F">
        <w:rPr>
          <w:rFonts w:ascii="Tahoma" w:hAnsi="Tahoma" w:cs="Tahoma"/>
          <w:bCs/>
          <w:sz w:val="24"/>
          <w:szCs w:val="24"/>
        </w:rPr>
        <w:br/>
      </w:r>
    </w:p>
    <w:p w14:paraId="3B1FCE80" w14:textId="77777777" w:rsidR="00582EBE" w:rsidRPr="008E68DC" w:rsidRDefault="00582EBE" w:rsidP="00582EBE">
      <w:pPr>
        <w:pStyle w:val="ListParagraph"/>
        <w:rPr>
          <w:rFonts w:ascii="Tahoma" w:hAnsi="Tahoma" w:cs="Tahoma"/>
        </w:rPr>
      </w:pPr>
      <w:r w:rsidRPr="008E68DC">
        <w:rPr>
          <w:rFonts w:ascii="Tahoma" w:hAnsi="Tahoma" w:cs="Tahoma"/>
        </w:rPr>
        <w:lastRenderedPageBreak/>
        <w:t xml:space="preserve">Projects are eligible for CEC funds totaling up to 75% of the total allowable project cost. “Total allowable project cost” is the sum of the CEC’s reimbursable share and Recipient’s match share of the project costs. See table below for more detail. </w:t>
      </w:r>
    </w:p>
    <w:p w14:paraId="4E41E455" w14:textId="77777777" w:rsidR="00582EBE" w:rsidRPr="008E68DC" w:rsidRDefault="00582EBE" w:rsidP="00582EBE">
      <w:pPr>
        <w:pStyle w:val="ListParagraph"/>
        <w:rPr>
          <w:rFonts w:ascii="Tahoma" w:hAnsi="Tahoma" w:cs="Tahoma"/>
        </w:rPr>
      </w:pPr>
    </w:p>
    <w:p w14:paraId="50E176EE" w14:textId="77777777" w:rsidR="00582EBE" w:rsidRPr="008E68DC" w:rsidRDefault="00582EBE" w:rsidP="00582EBE">
      <w:pPr>
        <w:ind w:left="720"/>
        <w:rPr>
          <w:rFonts w:ascii="Tahoma" w:hAnsi="Tahoma" w:cs="Tahoma"/>
        </w:rPr>
      </w:pPr>
      <w:r w:rsidRPr="008E68DC">
        <w:rPr>
          <w:rFonts w:ascii="Tahoma" w:hAnsi="Tahoma" w:cs="Tahoma"/>
        </w:rPr>
        <w:t xml:space="preserve">The total maximum award amounts and minimum infrastructure requirements for each Applicant Group are listed in the table below. </w:t>
      </w:r>
    </w:p>
    <w:p w14:paraId="749C716F" w14:textId="77777777" w:rsidR="00582EBE" w:rsidRPr="008E68DC" w:rsidRDefault="00582EBE" w:rsidP="00582EBE">
      <w:pPr>
        <w:ind w:left="1080"/>
        <w:rPr>
          <w:rFonts w:ascii="Tahoma" w:hAnsi="Tahoma" w:cs="Tahoma"/>
        </w:rPr>
      </w:pPr>
      <w:r w:rsidRPr="008E68DC">
        <w:rPr>
          <w:rFonts w:ascii="Tahoma" w:hAnsi="Tahoma" w:cs="Tahoma"/>
        </w:rPr>
        <w:t xml:space="preserve"> </w:t>
      </w:r>
    </w:p>
    <w:tbl>
      <w:tblPr>
        <w:tblStyle w:val="TableGrid"/>
        <w:tblW w:w="10075" w:type="dxa"/>
        <w:jc w:val="center"/>
        <w:tblLayout w:type="fixed"/>
        <w:tblLook w:val="04A0" w:firstRow="1" w:lastRow="0" w:firstColumn="1" w:lastColumn="0" w:noHBand="0" w:noVBand="1"/>
      </w:tblPr>
      <w:tblGrid>
        <w:gridCol w:w="3330"/>
        <w:gridCol w:w="2430"/>
        <w:gridCol w:w="1440"/>
        <w:gridCol w:w="1525"/>
        <w:gridCol w:w="1350"/>
      </w:tblGrid>
      <w:tr w:rsidR="00582EBE" w:rsidRPr="008E68DC" w14:paraId="2B57D0F8" w14:textId="77777777" w:rsidTr="00F10412">
        <w:trPr>
          <w:jc w:val="center"/>
        </w:trPr>
        <w:tc>
          <w:tcPr>
            <w:tcW w:w="3330" w:type="dxa"/>
            <w:shd w:val="clear" w:color="auto" w:fill="D9D9D9" w:themeFill="background1" w:themeFillShade="D9"/>
          </w:tcPr>
          <w:p w14:paraId="30B89B86" w14:textId="77777777" w:rsidR="00582EBE" w:rsidRPr="008E68DC" w:rsidRDefault="00582EBE" w:rsidP="00F10412">
            <w:pPr>
              <w:jc w:val="center"/>
              <w:rPr>
                <w:rFonts w:ascii="Tahoma" w:hAnsi="Tahoma" w:cs="Tahoma"/>
                <w:b/>
              </w:rPr>
            </w:pPr>
            <w:bookmarkStart w:id="0" w:name="_Hlk197596898"/>
            <w:r w:rsidRPr="008E68DC">
              <w:rPr>
                <w:rFonts w:ascii="Tahoma" w:hAnsi="Tahoma" w:cs="Tahoma"/>
                <w:b/>
              </w:rPr>
              <w:t>Applicant Group</w:t>
            </w:r>
          </w:p>
        </w:tc>
        <w:tc>
          <w:tcPr>
            <w:tcW w:w="2430" w:type="dxa"/>
            <w:shd w:val="clear" w:color="auto" w:fill="D9D9D9" w:themeFill="background1" w:themeFillShade="D9"/>
          </w:tcPr>
          <w:p w14:paraId="3533223F" w14:textId="77777777" w:rsidR="00582EBE" w:rsidRPr="008E68DC" w:rsidRDefault="00582EBE" w:rsidP="00F10412">
            <w:pPr>
              <w:jc w:val="center"/>
              <w:rPr>
                <w:rFonts w:ascii="Tahoma" w:hAnsi="Tahoma" w:cs="Tahoma"/>
                <w:b/>
              </w:rPr>
            </w:pPr>
            <w:r w:rsidRPr="008E68DC">
              <w:rPr>
                <w:rFonts w:ascii="Tahoma" w:hAnsi="Tahoma" w:cs="Tahoma"/>
                <w:b/>
                <w:bCs/>
              </w:rPr>
              <w:t>Minimum # of new charging ports/ hydrogen fueling positions deployed</w:t>
            </w:r>
          </w:p>
        </w:tc>
        <w:tc>
          <w:tcPr>
            <w:tcW w:w="1440" w:type="dxa"/>
            <w:shd w:val="clear" w:color="auto" w:fill="D9D9D9" w:themeFill="background1" w:themeFillShade="D9"/>
          </w:tcPr>
          <w:p w14:paraId="05B59811" w14:textId="77777777" w:rsidR="00582EBE" w:rsidRPr="008E68DC" w:rsidRDefault="00582EBE" w:rsidP="00F10412">
            <w:pPr>
              <w:jc w:val="center"/>
              <w:rPr>
                <w:rFonts w:ascii="Tahoma" w:hAnsi="Tahoma" w:cs="Tahoma"/>
                <w:b/>
              </w:rPr>
            </w:pPr>
            <w:r w:rsidRPr="008E68DC">
              <w:rPr>
                <w:rFonts w:ascii="Tahoma" w:hAnsi="Tahoma" w:cs="Tahoma"/>
                <w:b/>
              </w:rPr>
              <w:t>Total CEC Funding Available</w:t>
            </w:r>
          </w:p>
        </w:tc>
        <w:tc>
          <w:tcPr>
            <w:tcW w:w="1525" w:type="dxa"/>
            <w:shd w:val="clear" w:color="auto" w:fill="D9D9D9" w:themeFill="background1" w:themeFillShade="D9"/>
          </w:tcPr>
          <w:p w14:paraId="22977B1A" w14:textId="77777777" w:rsidR="00582EBE" w:rsidRPr="008E68DC" w:rsidRDefault="00582EBE" w:rsidP="00F10412">
            <w:pPr>
              <w:jc w:val="center"/>
              <w:rPr>
                <w:rFonts w:ascii="Tahoma" w:hAnsi="Tahoma" w:cs="Tahoma"/>
                <w:b/>
                <w:u w:val="single"/>
              </w:rPr>
            </w:pPr>
            <w:r w:rsidRPr="008E68DC">
              <w:rPr>
                <w:rFonts w:ascii="Tahoma" w:hAnsi="Tahoma" w:cs="Tahoma"/>
                <w:b/>
              </w:rPr>
              <w:t>Maximum Award Amount</w:t>
            </w:r>
            <w:r w:rsidRPr="008E68DC">
              <w:rPr>
                <w:rFonts w:ascii="Tahoma" w:hAnsi="Tahoma" w:cs="Tahoma"/>
                <w:b/>
                <w:u w:val="single"/>
              </w:rPr>
              <w:t>**</w:t>
            </w:r>
          </w:p>
        </w:tc>
        <w:tc>
          <w:tcPr>
            <w:tcW w:w="1350" w:type="dxa"/>
            <w:shd w:val="clear" w:color="auto" w:fill="D9D9D9" w:themeFill="background1" w:themeFillShade="D9"/>
          </w:tcPr>
          <w:p w14:paraId="285A4D65" w14:textId="77777777" w:rsidR="00582EBE" w:rsidRPr="008E68DC" w:rsidRDefault="00582EBE" w:rsidP="00F10412">
            <w:pPr>
              <w:jc w:val="center"/>
              <w:rPr>
                <w:rFonts w:ascii="Tahoma" w:hAnsi="Tahoma" w:cs="Tahoma"/>
                <w:b/>
              </w:rPr>
            </w:pPr>
            <w:r w:rsidRPr="008E68DC">
              <w:rPr>
                <w:rFonts w:ascii="Tahoma" w:hAnsi="Tahoma" w:cs="Tahoma"/>
                <w:b/>
              </w:rPr>
              <w:t>Minimum Match Share Required</w:t>
            </w:r>
          </w:p>
        </w:tc>
      </w:tr>
      <w:tr w:rsidR="00582EBE" w:rsidRPr="008E68DC" w14:paraId="27489545" w14:textId="77777777" w:rsidTr="00F10412">
        <w:trPr>
          <w:jc w:val="center"/>
        </w:trPr>
        <w:tc>
          <w:tcPr>
            <w:tcW w:w="3330" w:type="dxa"/>
          </w:tcPr>
          <w:p w14:paraId="62F87330" w14:textId="77777777" w:rsidR="00582EBE" w:rsidRPr="008E68DC" w:rsidRDefault="00582EBE" w:rsidP="00F10412">
            <w:pPr>
              <w:rPr>
                <w:rFonts w:ascii="Tahoma" w:hAnsi="Tahoma" w:cs="Tahoma"/>
                <w:b/>
              </w:rPr>
            </w:pPr>
            <w:r w:rsidRPr="008E68DC">
              <w:rPr>
                <w:rFonts w:ascii="Tahoma" w:hAnsi="Tahoma" w:cs="Tahoma"/>
                <w:b/>
              </w:rPr>
              <w:t xml:space="preserve">Group 1: Small Ports: </w:t>
            </w:r>
          </w:p>
          <w:p w14:paraId="7067E202" w14:textId="77777777" w:rsidR="00582EBE" w:rsidRPr="008E68DC" w:rsidRDefault="00582EBE" w:rsidP="00735035">
            <w:pPr>
              <w:pStyle w:val="ListParagraph"/>
              <w:numPr>
                <w:ilvl w:val="0"/>
                <w:numId w:val="10"/>
              </w:numPr>
              <w:spacing w:after="60"/>
              <w:ind w:left="331"/>
              <w:contextualSpacing w:val="0"/>
              <w:rPr>
                <w:rFonts w:ascii="Tahoma" w:hAnsi="Tahoma" w:cs="Tahoma"/>
              </w:rPr>
            </w:pPr>
            <w:r w:rsidRPr="008E68DC">
              <w:rPr>
                <w:rFonts w:ascii="Tahoma" w:hAnsi="Tahoma" w:cs="Tahoma"/>
              </w:rPr>
              <w:t xml:space="preserve">Seaports with less than 5 million tons of cargo transported </w:t>
            </w:r>
            <w:proofErr w:type="gramStart"/>
            <w:r w:rsidRPr="008E68DC">
              <w:rPr>
                <w:rFonts w:ascii="Tahoma" w:hAnsi="Tahoma" w:cs="Tahoma"/>
              </w:rPr>
              <w:t>annually;</w:t>
            </w:r>
            <w:proofErr w:type="gramEnd"/>
          </w:p>
          <w:p w14:paraId="5C56644E" w14:textId="77777777" w:rsidR="00582EBE" w:rsidRPr="008E68DC" w:rsidRDefault="00582EBE" w:rsidP="00735035">
            <w:pPr>
              <w:pStyle w:val="ListParagraph"/>
              <w:numPr>
                <w:ilvl w:val="0"/>
                <w:numId w:val="10"/>
              </w:numPr>
              <w:ind w:left="333"/>
              <w:contextualSpacing w:val="0"/>
              <w:rPr>
                <w:rFonts w:ascii="Tahoma" w:hAnsi="Tahoma" w:cs="Tahoma"/>
                <w:b/>
              </w:rPr>
            </w:pPr>
            <w:r w:rsidRPr="008E68DC">
              <w:rPr>
                <w:rFonts w:ascii="Tahoma" w:hAnsi="Tahoma" w:cs="Tahoma"/>
              </w:rPr>
              <w:t xml:space="preserve">Land ports of entry transporting less than $2 billion of freight annually </w:t>
            </w:r>
          </w:p>
        </w:tc>
        <w:tc>
          <w:tcPr>
            <w:tcW w:w="2430" w:type="dxa"/>
          </w:tcPr>
          <w:p w14:paraId="7952EEA8" w14:textId="77777777" w:rsidR="00582EBE" w:rsidRPr="008E68DC" w:rsidRDefault="00582EBE" w:rsidP="00F10412">
            <w:pPr>
              <w:rPr>
                <w:rFonts w:ascii="Tahoma" w:hAnsi="Tahoma" w:cs="Tahoma"/>
              </w:rPr>
            </w:pPr>
            <w:r w:rsidRPr="008E68DC">
              <w:rPr>
                <w:rFonts w:ascii="Tahoma" w:hAnsi="Tahoma" w:cs="Tahoma"/>
              </w:rPr>
              <w:t>20 charging ports or 2 hydrogen fueling positions*</w:t>
            </w:r>
          </w:p>
        </w:tc>
        <w:tc>
          <w:tcPr>
            <w:tcW w:w="1440" w:type="dxa"/>
          </w:tcPr>
          <w:p w14:paraId="7D9A9990" w14:textId="77777777" w:rsidR="00582EBE" w:rsidRPr="008E68DC" w:rsidRDefault="00582EBE" w:rsidP="00F10412">
            <w:pPr>
              <w:jc w:val="center"/>
              <w:rPr>
                <w:rFonts w:ascii="Tahoma" w:hAnsi="Tahoma" w:cs="Tahoma"/>
              </w:rPr>
            </w:pPr>
            <w:r w:rsidRPr="008E68DC">
              <w:rPr>
                <w:rFonts w:ascii="Tahoma" w:hAnsi="Tahoma" w:cs="Tahoma"/>
              </w:rPr>
              <w:t>$20 million</w:t>
            </w:r>
          </w:p>
        </w:tc>
        <w:tc>
          <w:tcPr>
            <w:tcW w:w="1525" w:type="dxa"/>
          </w:tcPr>
          <w:p w14:paraId="2F02374E" w14:textId="77777777" w:rsidR="00582EBE" w:rsidRPr="008E68DC" w:rsidRDefault="00582EBE" w:rsidP="00F10412">
            <w:pPr>
              <w:jc w:val="center"/>
              <w:rPr>
                <w:rFonts w:ascii="Tahoma" w:hAnsi="Tahoma" w:cs="Tahoma"/>
                <w:b/>
                <w:bCs/>
                <w:u w:val="single"/>
              </w:rPr>
            </w:pPr>
            <w:r w:rsidRPr="008E68DC">
              <w:rPr>
                <w:rFonts w:ascii="Tahoma" w:hAnsi="Tahoma" w:cs="Tahoma"/>
              </w:rPr>
              <w:t>$5 million</w:t>
            </w:r>
          </w:p>
        </w:tc>
        <w:tc>
          <w:tcPr>
            <w:tcW w:w="1350" w:type="dxa"/>
          </w:tcPr>
          <w:p w14:paraId="031066E8" w14:textId="77777777" w:rsidR="00582EBE" w:rsidRPr="008E68DC" w:rsidRDefault="00582EBE" w:rsidP="00F10412">
            <w:pPr>
              <w:jc w:val="center"/>
              <w:rPr>
                <w:rFonts w:ascii="Tahoma" w:hAnsi="Tahoma" w:cs="Tahoma"/>
              </w:rPr>
            </w:pPr>
            <w:r w:rsidRPr="008E68DC">
              <w:rPr>
                <w:rFonts w:ascii="Tahoma" w:hAnsi="Tahoma" w:cs="Tahoma"/>
              </w:rPr>
              <w:t>25%</w:t>
            </w:r>
          </w:p>
        </w:tc>
      </w:tr>
      <w:tr w:rsidR="00582EBE" w:rsidRPr="008E68DC" w14:paraId="2C3681BE" w14:textId="77777777" w:rsidTr="00F10412">
        <w:trPr>
          <w:jc w:val="center"/>
        </w:trPr>
        <w:tc>
          <w:tcPr>
            <w:tcW w:w="3330" w:type="dxa"/>
          </w:tcPr>
          <w:p w14:paraId="26933A62" w14:textId="77777777" w:rsidR="00582EBE" w:rsidRPr="008E68DC" w:rsidRDefault="00582EBE" w:rsidP="00F10412">
            <w:pPr>
              <w:rPr>
                <w:rFonts w:ascii="Tahoma" w:hAnsi="Tahoma" w:cs="Tahoma"/>
                <w:b/>
              </w:rPr>
            </w:pPr>
            <w:r w:rsidRPr="008E68DC">
              <w:rPr>
                <w:rFonts w:ascii="Tahoma" w:hAnsi="Tahoma" w:cs="Tahoma"/>
                <w:b/>
              </w:rPr>
              <w:t>Group 2: Large Ports:</w:t>
            </w:r>
          </w:p>
          <w:p w14:paraId="79338290" w14:textId="77777777" w:rsidR="00582EBE" w:rsidRPr="008E68DC" w:rsidRDefault="00582EBE" w:rsidP="00735035">
            <w:pPr>
              <w:pStyle w:val="ListParagraph"/>
              <w:numPr>
                <w:ilvl w:val="0"/>
                <w:numId w:val="9"/>
              </w:numPr>
              <w:spacing w:after="60"/>
              <w:ind w:left="331"/>
              <w:contextualSpacing w:val="0"/>
              <w:rPr>
                <w:rFonts w:ascii="Tahoma" w:hAnsi="Tahoma" w:cs="Tahoma"/>
              </w:rPr>
            </w:pPr>
            <w:r w:rsidRPr="008E68DC">
              <w:rPr>
                <w:rFonts w:ascii="Tahoma" w:hAnsi="Tahoma" w:cs="Tahoma"/>
              </w:rPr>
              <w:t xml:space="preserve">Seaports transporting over 5 million tons of cargo </w:t>
            </w:r>
            <w:proofErr w:type="gramStart"/>
            <w:r w:rsidRPr="008E68DC">
              <w:rPr>
                <w:rFonts w:ascii="Tahoma" w:hAnsi="Tahoma" w:cs="Tahoma"/>
              </w:rPr>
              <w:t>annually;</w:t>
            </w:r>
            <w:proofErr w:type="gramEnd"/>
          </w:p>
          <w:p w14:paraId="4824BAA9" w14:textId="77777777" w:rsidR="00582EBE" w:rsidRPr="008E68DC" w:rsidRDefault="00582EBE" w:rsidP="00735035">
            <w:pPr>
              <w:pStyle w:val="ListParagraph"/>
              <w:numPr>
                <w:ilvl w:val="0"/>
                <w:numId w:val="9"/>
              </w:numPr>
              <w:ind w:left="333"/>
              <w:contextualSpacing w:val="0"/>
              <w:rPr>
                <w:rFonts w:ascii="Tahoma" w:hAnsi="Tahoma" w:cs="Tahoma"/>
                <w:b/>
              </w:rPr>
            </w:pPr>
            <w:r w:rsidRPr="008E68DC">
              <w:rPr>
                <w:rFonts w:ascii="Tahoma" w:hAnsi="Tahoma" w:cs="Tahoma"/>
              </w:rPr>
              <w:t>Land ports of entry transporting over $2 billion of freight annually</w:t>
            </w:r>
          </w:p>
        </w:tc>
        <w:tc>
          <w:tcPr>
            <w:tcW w:w="2430" w:type="dxa"/>
          </w:tcPr>
          <w:p w14:paraId="4419B20C" w14:textId="77777777" w:rsidR="00582EBE" w:rsidRPr="008E68DC" w:rsidRDefault="00582EBE" w:rsidP="00F10412">
            <w:pPr>
              <w:rPr>
                <w:rFonts w:ascii="Tahoma" w:hAnsi="Tahoma" w:cs="Tahoma"/>
              </w:rPr>
            </w:pPr>
            <w:r w:rsidRPr="008E68DC">
              <w:rPr>
                <w:rFonts w:ascii="Tahoma" w:hAnsi="Tahoma" w:cs="Tahoma"/>
              </w:rPr>
              <w:t>40 charging ports or 4 hydrogen fueling positions*</w:t>
            </w:r>
          </w:p>
        </w:tc>
        <w:tc>
          <w:tcPr>
            <w:tcW w:w="1440" w:type="dxa"/>
          </w:tcPr>
          <w:p w14:paraId="28D0493B" w14:textId="77777777" w:rsidR="00582EBE" w:rsidRPr="008E68DC" w:rsidRDefault="00582EBE" w:rsidP="00F10412">
            <w:pPr>
              <w:jc w:val="center"/>
              <w:rPr>
                <w:rFonts w:ascii="Tahoma" w:hAnsi="Tahoma" w:cs="Tahoma"/>
              </w:rPr>
            </w:pPr>
            <w:r w:rsidRPr="008E68DC">
              <w:rPr>
                <w:rFonts w:ascii="Tahoma" w:hAnsi="Tahoma" w:cs="Tahoma"/>
              </w:rPr>
              <w:t>$20 million</w:t>
            </w:r>
          </w:p>
        </w:tc>
        <w:tc>
          <w:tcPr>
            <w:tcW w:w="1525" w:type="dxa"/>
          </w:tcPr>
          <w:p w14:paraId="5996323A" w14:textId="77777777" w:rsidR="00582EBE" w:rsidRPr="008E68DC" w:rsidRDefault="00582EBE" w:rsidP="00F10412">
            <w:pPr>
              <w:jc w:val="center"/>
              <w:rPr>
                <w:rFonts w:ascii="Tahoma" w:hAnsi="Tahoma" w:cs="Tahoma"/>
              </w:rPr>
            </w:pPr>
            <w:r w:rsidRPr="008E68DC">
              <w:rPr>
                <w:rFonts w:ascii="Tahoma" w:hAnsi="Tahoma" w:cs="Tahoma"/>
              </w:rPr>
              <w:t>$10 million</w:t>
            </w:r>
          </w:p>
        </w:tc>
        <w:tc>
          <w:tcPr>
            <w:tcW w:w="1350" w:type="dxa"/>
          </w:tcPr>
          <w:p w14:paraId="7211B415" w14:textId="77777777" w:rsidR="00582EBE" w:rsidRPr="008E68DC" w:rsidRDefault="00582EBE" w:rsidP="00F10412">
            <w:pPr>
              <w:jc w:val="center"/>
              <w:rPr>
                <w:rFonts w:ascii="Tahoma" w:hAnsi="Tahoma" w:cs="Tahoma"/>
              </w:rPr>
            </w:pPr>
            <w:r w:rsidRPr="008E68DC">
              <w:rPr>
                <w:rFonts w:ascii="Tahoma" w:hAnsi="Tahoma" w:cs="Tahoma"/>
              </w:rPr>
              <w:t>25%</w:t>
            </w:r>
          </w:p>
        </w:tc>
      </w:tr>
    </w:tbl>
    <w:bookmarkEnd w:id="0"/>
    <w:p w14:paraId="421C1018" w14:textId="77777777" w:rsidR="00582EBE" w:rsidRPr="008E68DC" w:rsidRDefault="00582EBE" w:rsidP="00582EBE">
      <w:pPr>
        <w:rPr>
          <w:rFonts w:ascii="Tahoma" w:hAnsi="Tahoma" w:cs="Tahoma"/>
          <w:sz w:val="20"/>
        </w:rPr>
      </w:pPr>
      <w:r w:rsidRPr="008E68DC">
        <w:rPr>
          <w:rFonts w:ascii="Tahoma" w:hAnsi="Tahoma" w:cs="Tahoma"/>
          <w:sz w:val="20"/>
        </w:rPr>
        <w:t>*If the project includes both charging and hydrogen refueling infrastructure, only the [</w:t>
      </w:r>
      <w:r w:rsidRPr="008E68DC">
        <w:rPr>
          <w:rFonts w:ascii="Tahoma" w:hAnsi="Tahoma" w:cs="Tahoma"/>
          <w:strike/>
          <w:sz w:val="20"/>
        </w:rPr>
        <w:t>technology</w:t>
      </w:r>
      <w:r w:rsidRPr="008E68DC">
        <w:rPr>
          <w:rFonts w:ascii="Tahoma" w:hAnsi="Tahoma" w:cs="Tahoma"/>
          <w:sz w:val="20"/>
        </w:rPr>
        <w:t xml:space="preserve">] </w:t>
      </w:r>
      <w:r w:rsidRPr="008E68DC">
        <w:rPr>
          <w:rFonts w:ascii="Tahoma" w:hAnsi="Tahoma" w:cs="Tahoma"/>
          <w:b/>
          <w:bCs/>
          <w:sz w:val="20"/>
          <w:u w:val="single"/>
        </w:rPr>
        <w:t>infrastructure</w:t>
      </w:r>
      <w:r w:rsidRPr="008E68DC">
        <w:rPr>
          <w:rFonts w:ascii="Tahoma" w:hAnsi="Tahoma" w:cs="Tahoma"/>
          <w:sz w:val="20"/>
        </w:rPr>
        <w:t xml:space="preserve"> type identified as the principal [</w:t>
      </w:r>
      <w:r w:rsidRPr="008E68DC">
        <w:rPr>
          <w:rFonts w:ascii="Tahoma" w:hAnsi="Tahoma" w:cs="Tahoma"/>
          <w:strike/>
          <w:sz w:val="20"/>
        </w:rPr>
        <w:t>technology</w:t>
      </w:r>
      <w:r w:rsidRPr="008E68DC">
        <w:rPr>
          <w:rFonts w:ascii="Tahoma" w:hAnsi="Tahoma" w:cs="Tahoma"/>
          <w:sz w:val="20"/>
        </w:rPr>
        <w:t xml:space="preserve">] </w:t>
      </w:r>
      <w:r w:rsidRPr="008E68DC">
        <w:rPr>
          <w:rFonts w:ascii="Tahoma" w:hAnsi="Tahoma" w:cs="Tahoma"/>
          <w:b/>
          <w:bCs/>
          <w:sz w:val="20"/>
          <w:u w:val="single"/>
        </w:rPr>
        <w:t xml:space="preserve">infrastructure type </w:t>
      </w:r>
      <w:r w:rsidRPr="008E68DC">
        <w:rPr>
          <w:rFonts w:ascii="Tahoma" w:hAnsi="Tahoma" w:cs="Tahoma"/>
          <w:sz w:val="20"/>
        </w:rPr>
        <w:t>in the application will be eligible for CEC reimbursement.</w:t>
      </w:r>
    </w:p>
    <w:p w14:paraId="49A239CA" w14:textId="77777777" w:rsidR="00582EBE" w:rsidRPr="008E68DC" w:rsidRDefault="00582EBE" w:rsidP="00582EBE">
      <w:pPr>
        <w:rPr>
          <w:rFonts w:ascii="Tahoma" w:hAnsi="Tahoma" w:cs="Tahoma"/>
          <w:b/>
          <w:bCs/>
          <w:sz w:val="20"/>
          <w:u w:val="single"/>
        </w:rPr>
      </w:pPr>
      <w:r w:rsidRPr="008E68DC">
        <w:rPr>
          <w:rFonts w:ascii="Tahoma" w:hAnsi="Tahoma" w:cs="Tahoma"/>
          <w:b/>
          <w:bCs/>
          <w:sz w:val="20"/>
          <w:u w:val="single"/>
        </w:rPr>
        <w:t>** Group 1 applications must request a minimum award of $4.0 million. Group 2 applications must request a minimum award of $8.0 million.</w:t>
      </w:r>
    </w:p>
    <w:p w14:paraId="6F8FE8C0" w14:textId="77777777" w:rsidR="00582EBE" w:rsidRPr="008E68DC" w:rsidRDefault="00582EBE" w:rsidP="00582EBE">
      <w:pPr>
        <w:rPr>
          <w:rFonts w:ascii="Tahoma" w:hAnsi="Tahoma" w:cs="Tahoma"/>
          <w:b/>
          <w:bCs/>
          <w:sz w:val="20"/>
          <w:u w:val="single"/>
        </w:rPr>
      </w:pPr>
    </w:p>
    <w:p w14:paraId="7EE0FCF1" w14:textId="77777777" w:rsidR="00582EBE" w:rsidRPr="008E68DC" w:rsidRDefault="00582EBE" w:rsidP="00582EBE">
      <w:pPr>
        <w:ind w:left="720"/>
        <w:rPr>
          <w:rFonts w:ascii="Tahoma" w:hAnsi="Tahoma" w:cs="Tahoma"/>
        </w:rPr>
      </w:pPr>
    </w:p>
    <w:tbl>
      <w:tblPr>
        <w:tblStyle w:val="TableGrid"/>
        <w:tblW w:w="9360" w:type="dxa"/>
        <w:tblLook w:val="04A0" w:firstRow="1" w:lastRow="0" w:firstColumn="1" w:lastColumn="0" w:noHBand="0" w:noVBand="1"/>
      </w:tblPr>
      <w:tblGrid>
        <w:gridCol w:w="4492"/>
        <w:gridCol w:w="4868"/>
      </w:tblGrid>
      <w:tr w:rsidR="00582EBE" w:rsidRPr="008E68DC" w14:paraId="26ECE336" w14:textId="77777777" w:rsidTr="00CF113E">
        <w:trPr>
          <w:trHeight w:val="390"/>
        </w:trPr>
        <w:tc>
          <w:tcPr>
            <w:tcW w:w="4492" w:type="dxa"/>
            <w:hideMark/>
          </w:tcPr>
          <w:p w14:paraId="185498AC" w14:textId="77777777" w:rsidR="00582EBE" w:rsidRPr="008E68DC" w:rsidRDefault="00582EBE" w:rsidP="00F10412">
            <w:pPr>
              <w:keepNext/>
              <w:keepLines/>
              <w:spacing w:before="60" w:after="60"/>
              <w:jc w:val="center"/>
              <w:outlineLvl w:val="2"/>
              <w:rPr>
                <w:rFonts w:ascii="Tahoma" w:hAnsi="Tahoma" w:cs="Tahoma"/>
                <w:b/>
                <w:u w:val="single"/>
                <w:lang w:eastAsia="x-none"/>
              </w:rPr>
            </w:pPr>
            <w:r w:rsidRPr="008E68DC">
              <w:rPr>
                <w:rFonts w:ascii="Tahoma" w:hAnsi="Tahoma" w:cs="Tahoma"/>
                <w:b/>
                <w:u w:val="single"/>
                <w:lang w:eastAsia="x-none"/>
              </w:rPr>
              <w:t>Infrastructure Type</w:t>
            </w:r>
          </w:p>
        </w:tc>
        <w:tc>
          <w:tcPr>
            <w:tcW w:w="4868" w:type="dxa"/>
            <w:hideMark/>
          </w:tcPr>
          <w:p w14:paraId="0071C05A" w14:textId="77777777" w:rsidR="00582EBE" w:rsidRPr="008E68DC" w:rsidRDefault="00582EBE" w:rsidP="00F10412">
            <w:pPr>
              <w:keepNext/>
              <w:keepLines/>
              <w:spacing w:before="60" w:after="60"/>
              <w:jc w:val="center"/>
              <w:outlineLvl w:val="2"/>
              <w:rPr>
                <w:rFonts w:ascii="Tahoma" w:hAnsi="Tahoma" w:cs="Tahoma"/>
                <w:b/>
                <w:u w:val="single"/>
                <w:lang w:eastAsia="x-none"/>
              </w:rPr>
            </w:pPr>
            <w:r w:rsidRPr="008E68DC">
              <w:rPr>
                <w:rFonts w:ascii="Tahoma" w:hAnsi="Tahoma" w:cs="Tahoma"/>
                <w:b/>
                <w:u w:val="single"/>
                <w:lang w:eastAsia="x-none"/>
              </w:rPr>
              <w:t>Maximum Per Charger Port / Hydrogen Fueling Position Amount</w:t>
            </w:r>
          </w:p>
        </w:tc>
      </w:tr>
      <w:tr w:rsidR="00582EBE" w:rsidRPr="008E68DC" w14:paraId="7FDB557D" w14:textId="77777777" w:rsidTr="00CF113E">
        <w:trPr>
          <w:trHeight w:val="437"/>
        </w:trPr>
        <w:tc>
          <w:tcPr>
            <w:tcW w:w="4492" w:type="dxa"/>
          </w:tcPr>
          <w:p w14:paraId="68D55007" w14:textId="77777777" w:rsidR="00582EBE" w:rsidRPr="008E68DC" w:rsidRDefault="00582EBE" w:rsidP="00F10412">
            <w:pPr>
              <w:keepNext/>
              <w:keepLines/>
              <w:spacing w:before="60" w:after="60"/>
              <w:jc w:val="center"/>
              <w:outlineLvl w:val="2"/>
              <w:rPr>
                <w:rFonts w:ascii="Tahoma" w:hAnsi="Tahoma" w:cs="Tahoma"/>
                <w:b/>
                <w:u w:val="single"/>
                <w:lang w:eastAsia="x-none"/>
              </w:rPr>
            </w:pPr>
            <w:r w:rsidRPr="008E68DC">
              <w:rPr>
                <w:rFonts w:ascii="Tahoma" w:hAnsi="Tahoma" w:cs="Tahoma"/>
                <w:b/>
                <w:u w:val="single"/>
                <w:lang w:eastAsia="x-none"/>
              </w:rPr>
              <w:t>150+ kW EV Charging Port</w:t>
            </w:r>
          </w:p>
        </w:tc>
        <w:tc>
          <w:tcPr>
            <w:tcW w:w="4868" w:type="dxa"/>
          </w:tcPr>
          <w:p w14:paraId="5A6C17D6" w14:textId="77777777" w:rsidR="00582EBE" w:rsidRPr="008E68DC" w:rsidRDefault="00582EBE" w:rsidP="00F10412">
            <w:pPr>
              <w:keepNext/>
              <w:keepLines/>
              <w:spacing w:before="60" w:after="60"/>
              <w:jc w:val="center"/>
              <w:outlineLvl w:val="2"/>
              <w:rPr>
                <w:rFonts w:ascii="Tahoma" w:hAnsi="Tahoma" w:cs="Tahoma"/>
                <w:b/>
                <w:u w:val="single"/>
                <w:lang w:eastAsia="x-none"/>
              </w:rPr>
            </w:pPr>
            <w:r w:rsidRPr="008E68DC">
              <w:rPr>
                <w:rFonts w:ascii="Tahoma" w:hAnsi="Tahoma" w:cs="Tahoma"/>
                <w:b/>
                <w:u w:val="single"/>
                <w:lang w:eastAsia="x-none"/>
              </w:rPr>
              <w:t>$250,000</w:t>
            </w:r>
          </w:p>
        </w:tc>
      </w:tr>
      <w:tr w:rsidR="00582EBE" w:rsidRPr="008E68DC" w14:paraId="5DBE3CBB" w14:textId="77777777" w:rsidTr="00CF113E">
        <w:trPr>
          <w:trHeight w:val="437"/>
        </w:trPr>
        <w:tc>
          <w:tcPr>
            <w:tcW w:w="4492" w:type="dxa"/>
          </w:tcPr>
          <w:p w14:paraId="1C6B9A11" w14:textId="77777777" w:rsidR="00582EBE" w:rsidRPr="008E68DC" w:rsidRDefault="00582EBE" w:rsidP="00F10412">
            <w:pPr>
              <w:keepNext/>
              <w:keepLines/>
              <w:spacing w:before="60" w:after="60"/>
              <w:jc w:val="center"/>
              <w:outlineLvl w:val="2"/>
              <w:rPr>
                <w:rFonts w:ascii="Tahoma" w:hAnsi="Tahoma" w:cs="Tahoma"/>
                <w:b/>
                <w:u w:val="single"/>
                <w:lang w:eastAsia="x-none"/>
              </w:rPr>
            </w:pPr>
            <w:r w:rsidRPr="008E68DC">
              <w:rPr>
                <w:rFonts w:ascii="Tahoma" w:hAnsi="Tahoma" w:cs="Tahoma"/>
                <w:b/>
                <w:u w:val="single"/>
                <w:lang w:eastAsia="x-none"/>
              </w:rPr>
              <w:t>Heavy-Duty Hydrogen Fueling Position</w:t>
            </w:r>
          </w:p>
        </w:tc>
        <w:tc>
          <w:tcPr>
            <w:tcW w:w="4868" w:type="dxa"/>
          </w:tcPr>
          <w:p w14:paraId="6702492D" w14:textId="77777777" w:rsidR="00582EBE" w:rsidRPr="008E68DC" w:rsidRDefault="00582EBE" w:rsidP="00F10412">
            <w:pPr>
              <w:keepNext/>
              <w:keepLines/>
              <w:spacing w:before="60" w:after="60"/>
              <w:jc w:val="center"/>
              <w:outlineLvl w:val="2"/>
              <w:rPr>
                <w:rFonts w:ascii="Tahoma" w:hAnsi="Tahoma" w:cs="Tahoma"/>
                <w:b/>
                <w:u w:val="single"/>
                <w:lang w:eastAsia="x-none"/>
              </w:rPr>
            </w:pPr>
            <w:r w:rsidRPr="008E68DC">
              <w:rPr>
                <w:rFonts w:ascii="Tahoma" w:hAnsi="Tahoma" w:cs="Tahoma"/>
                <w:b/>
                <w:u w:val="single"/>
                <w:lang w:eastAsia="x-none"/>
              </w:rPr>
              <w:t>$2 million</w:t>
            </w:r>
          </w:p>
        </w:tc>
      </w:tr>
    </w:tbl>
    <w:p w14:paraId="662CB5A9" w14:textId="77777777" w:rsidR="00582EBE" w:rsidRPr="008E68DC" w:rsidRDefault="00582EBE" w:rsidP="00582EBE">
      <w:pPr>
        <w:ind w:left="720"/>
        <w:rPr>
          <w:rFonts w:ascii="Tahoma" w:hAnsi="Tahoma" w:cs="Tahoma"/>
        </w:rPr>
      </w:pPr>
    </w:p>
    <w:p w14:paraId="5C420B87" w14:textId="1D6B2D18" w:rsidR="00582EBE" w:rsidRPr="008E68DC" w:rsidRDefault="00582EBE" w:rsidP="00582EBE">
      <w:pPr>
        <w:ind w:left="720"/>
        <w:rPr>
          <w:rFonts w:ascii="Tahoma" w:hAnsi="Tahoma" w:cs="Tahoma"/>
          <w:b/>
          <w:bCs/>
          <w:u w:val="single"/>
        </w:rPr>
      </w:pPr>
      <w:r w:rsidRPr="008E68DC">
        <w:rPr>
          <w:rFonts w:ascii="Tahoma" w:hAnsi="Tahoma" w:cs="Tahoma"/>
          <w:b/>
          <w:bCs/>
          <w:u w:val="single"/>
        </w:rPr>
        <w:t>For both charging and hydrogen refueling infrastructure, the cost per port or cost per fueling position includes all CEC eligible reimbursable costs associated with capital expenditure required for the charging and refueling station(s).</w:t>
      </w:r>
    </w:p>
    <w:p w14:paraId="6CC132E6" w14:textId="77777777" w:rsidR="00582EBE" w:rsidRPr="008E68DC" w:rsidRDefault="00582EBE" w:rsidP="00582EBE">
      <w:pPr>
        <w:ind w:left="720"/>
        <w:rPr>
          <w:rFonts w:ascii="Tahoma" w:hAnsi="Tahoma" w:cs="Tahoma"/>
          <w:b/>
          <w:bCs/>
          <w:u w:val="single"/>
        </w:rPr>
      </w:pPr>
    </w:p>
    <w:p w14:paraId="4ACAA13B" w14:textId="708023DD" w:rsidR="00582EBE" w:rsidRPr="008E68DC" w:rsidRDefault="00582EBE" w:rsidP="00582EBE">
      <w:pPr>
        <w:ind w:left="720"/>
        <w:rPr>
          <w:rFonts w:ascii="Tahoma" w:hAnsi="Tahoma" w:cs="Tahoma"/>
          <w:b/>
          <w:bCs/>
          <w:u w:val="single"/>
        </w:rPr>
      </w:pPr>
      <w:r w:rsidRPr="008E68DC">
        <w:rPr>
          <w:rFonts w:ascii="Tahoma" w:hAnsi="Tahoma" w:cs="Tahoma"/>
          <w:b/>
          <w:bCs/>
          <w:u w:val="single"/>
        </w:rPr>
        <w:t xml:space="preserve">Applicants must provide the EV port charging power in kW, the number of EV charging ports or heavy-duty hydrogen fueling position(s) and the fueling capacity of the hydrogen refueling infrastructure that will be installed. </w:t>
      </w:r>
    </w:p>
    <w:p w14:paraId="5A98420D" w14:textId="77777777" w:rsidR="00582EBE" w:rsidRPr="008E68DC" w:rsidRDefault="00582EBE" w:rsidP="00582EBE">
      <w:pPr>
        <w:ind w:left="720"/>
        <w:rPr>
          <w:rFonts w:ascii="Tahoma" w:hAnsi="Tahoma" w:cs="Tahoma"/>
          <w:b/>
          <w:bCs/>
          <w:u w:val="single"/>
        </w:rPr>
      </w:pPr>
    </w:p>
    <w:p w14:paraId="1E2AE2F6" w14:textId="77777777" w:rsidR="00582EBE" w:rsidRPr="008E68DC" w:rsidRDefault="00582EBE" w:rsidP="00582EBE">
      <w:pPr>
        <w:ind w:left="720"/>
        <w:rPr>
          <w:rFonts w:ascii="Tahoma" w:hAnsi="Tahoma" w:cs="Tahoma"/>
        </w:rPr>
      </w:pPr>
      <w:r w:rsidRPr="008E68DC">
        <w:rPr>
          <w:rFonts w:ascii="Tahoma" w:hAnsi="Tahoma" w:cs="Tahoma"/>
        </w:rPr>
        <w:t>Applicants may submit an application for either charging infrastructure for MDHD battery electric vehicles (BEVs) and/or port equipment and/or off-road equipment (</w:t>
      </w:r>
      <w:proofErr w:type="gramStart"/>
      <w:r w:rsidRPr="008E68DC">
        <w:rPr>
          <w:rFonts w:ascii="Tahoma" w:hAnsi="Tahoma" w:cs="Tahoma"/>
        </w:rPr>
        <w:t>e.g.</w:t>
      </w:r>
      <w:proofErr w:type="gramEnd"/>
      <w:r w:rsidRPr="008E68DC">
        <w:rPr>
          <w:rFonts w:ascii="Tahoma" w:hAnsi="Tahoma" w:cs="Tahoma"/>
        </w:rPr>
        <w:t xml:space="preserve"> gantries, cargo handling equipment, etc.) or hydrogen refueling infrastructure for MDHD fuel cell electric vehicles (FCEVs) and/or port equipment and/or off-road equipment (e.g. gantries, cargo handling equipment, etc.). Each application must clearly identify which [</w:t>
      </w:r>
      <w:r w:rsidRPr="008E68DC">
        <w:rPr>
          <w:rFonts w:ascii="Tahoma" w:hAnsi="Tahoma" w:cs="Tahoma"/>
          <w:strike/>
        </w:rPr>
        <w:t>technology</w:t>
      </w:r>
      <w:r w:rsidRPr="008E68DC">
        <w:rPr>
          <w:rFonts w:ascii="Tahoma" w:hAnsi="Tahoma" w:cs="Tahoma"/>
        </w:rPr>
        <w:t xml:space="preserve">] </w:t>
      </w:r>
      <w:r w:rsidRPr="008E68DC">
        <w:rPr>
          <w:rFonts w:ascii="Tahoma" w:hAnsi="Tahoma" w:cs="Tahoma"/>
          <w:b/>
          <w:bCs/>
          <w:u w:val="single"/>
        </w:rPr>
        <w:t xml:space="preserve">infrastructure </w:t>
      </w:r>
      <w:r w:rsidRPr="008E68DC">
        <w:rPr>
          <w:rFonts w:ascii="Tahoma" w:hAnsi="Tahoma" w:cs="Tahoma"/>
        </w:rPr>
        <w:t xml:space="preserve">type the proposed project will principally address. If the project includes </w:t>
      </w:r>
      <w:bookmarkStart w:id="1" w:name="_Hlk192842837"/>
      <w:r w:rsidRPr="008E68DC">
        <w:rPr>
          <w:rFonts w:ascii="Tahoma" w:hAnsi="Tahoma" w:cs="Tahoma"/>
        </w:rPr>
        <w:t>both charging and hydrogen refueling infrastructure, only the [</w:t>
      </w:r>
      <w:r w:rsidRPr="008E68DC">
        <w:rPr>
          <w:rFonts w:ascii="Tahoma" w:hAnsi="Tahoma" w:cs="Tahoma"/>
          <w:strike/>
        </w:rPr>
        <w:t>technology</w:t>
      </w:r>
      <w:r w:rsidRPr="008E68DC">
        <w:rPr>
          <w:rFonts w:ascii="Tahoma" w:hAnsi="Tahoma" w:cs="Tahoma"/>
        </w:rPr>
        <w:t xml:space="preserve">] </w:t>
      </w:r>
      <w:r w:rsidRPr="008E68DC">
        <w:rPr>
          <w:rFonts w:ascii="Tahoma" w:hAnsi="Tahoma" w:cs="Tahoma"/>
          <w:b/>
          <w:bCs/>
          <w:u w:val="single"/>
        </w:rPr>
        <w:t xml:space="preserve">infrastructure </w:t>
      </w:r>
      <w:r w:rsidRPr="008E68DC">
        <w:rPr>
          <w:rFonts w:ascii="Tahoma" w:hAnsi="Tahoma" w:cs="Tahoma"/>
        </w:rPr>
        <w:t>type identified as the principal [</w:t>
      </w:r>
      <w:r w:rsidRPr="008E68DC">
        <w:rPr>
          <w:rFonts w:ascii="Tahoma" w:hAnsi="Tahoma" w:cs="Tahoma"/>
          <w:strike/>
        </w:rPr>
        <w:t>technology</w:t>
      </w:r>
      <w:r w:rsidRPr="008E68DC">
        <w:rPr>
          <w:rFonts w:ascii="Tahoma" w:hAnsi="Tahoma" w:cs="Tahoma"/>
        </w:rPr>
        <w:t xml:space="preserve">] </w:t>
      </w:r>
      <w:r w:rsidRPr="008E68DC">
        <w:rPr>
          <w:rFonts w:ascii="Tahoma" w:hAnsi="Tahoma" w:cs="Tahoma"/>
          <w:b/>
          <w:bCs/>
          <w:u w:val="single"/>
        </w:rPr>
        <w:t xml:space="preserve">infrastructure type </w:t>
      </w:r>
      <w:r w:rsidRPr="008E68DC">
        <w:rPr>
          <w:rFonts w:ascii="Tahoma" w:hAnsi="Tahoma" w:cs="Tahoma"/>
        </w:rPr>
        <w:t>in the application will be eligible for CEC reimbursement</w:t>
      </w:r>
      <w:bookmarkEnd w:id="1"/>
      <w:r w:rsidRPr="008E68DC">
        <w:rPr>
          <w:rFonts w:ascii="Tahoma" w:hAnsi="Tahoma" w:cs="Tahoma"/>
        </w:rPr>
        <w:t>. The secondary [</w:t>
      </w:r>
      <w:r w:rsidRPr="008E68DC">
        <w:rPr>
          <w:rFonts w:ascii="Tahoma" w:hAnsi="Tahoma" w:cs="Tahoma"/>
          <w:strike/>
        </w:rPr>
        <w:t>technology</w:t>
      </w:r>
      <w:r w:rsidRPr="008E68DC">
        <w:rPr>
          <w:rFonts w:ascii="Tahoma" w:hAnsi="Tahoma" w:cs="Tahoma"/>
        </w:rPr>
        <w:t xml:space="preserve">] </w:t>
      </w:r>
      <w:r w:rsidRPr="008E68DC">
        <w:rPr>
          <w:rFonts w:ascii="Tahoma" w:hAnsi="Tahoma" w:cs="Tahoma"/>
          <w:b/>
          <w:bCs/>
          <w:u w:val="single"/>
        </w:rPr>
        <w:t xml:space="preserve">infrastructure </w:t>
      </w:r>
      <w:r w:rsidRPr="008E68DC">
        <w:rPr>
          <w:rFonts w:ascii="Tahoma" w:hAnsi="Tahoma" w:cs="Tahoma"/>
        </w:rPr>
        <w:t>type may be used as match and would not be required to install the minimum infrastructure requirements listed in the table above.</w:t>
      </w:r>
    </w:p>
    <w:p w14:paraId="6E51C2F8" w14:textId="77777777" w:rsidR="00582EBE" w:rsidRPr="008E68DC" w:rsidRDefault="00582EBE" w:rsidP="00582EBE">
      <w:pPr>
        <w:ind w:left="720"/>
        <w:rPr>
          <w:rFonts w:ascii="Tahoma" w:hAnsi="Tahoma" w:cs="Tahoma"/>
        </w:rPr>
      </w:pPr>
    </w:p>
    <w:p w14:paraId="51B1887F" w14:textId="77777777" w:rsidR="00582EBE" w:rsidRPr="008E68DC" w:rsidRDefault="00582EBE" w:rsidP="00582EBE">
      <w:pPr>
        <w:ind w:left="720"/>
        <w:rPr>
          <w:rFonts w:ascii="Tahoma" w:hAnsi="Tahoma" w:cs="Tahoma"/>
        </w:rPr>
      </w:pPr>
      <w:r w:rsidRPr="008E68DC">
        <w:rPr>
          <w:rFonts w:ascii="Tahoma" w:hAnsi="Tahoma" w:cs="Tahoma"/>
        </w:rPr>
        <w:t xml:space="preserve">Applicants must identify whether the proposed project will focus on Small Ports or Large Ports. Applicants in the Small Ports Applicant Group (Group 1) proposing to install charging infrastructure for at least 20 new charging ports or at least two new hydrogen refueling positions are eligible for up to $5 million per award. Applicants in the Large Ports Applicant Group (Group 2) proposing to install charging infrastructure for at least 40 new charging ports or at least four new hydrogen refueling positions are eligible for up to $10 million per award. </w:t>
      </w:r>
    </w:p>
    <w:p w14:paraId="22CE5943" w14:textId="77777777" w:rsidR="00582EBE" w:rsidRPr="008E68DC" w:rsidRDefault="00582EBE" w:rsidP="00582EBE">
      <w:pPr>
        <w:ind w:left="720"/>
        <w:rPr>
          <w:rFonts w:ascii="Tahoma" w:hAnsi="Tahoma" w:cs="Tahoma"/>
        </w:rPr>
      </w:pPr>
    </w:p>
    <w:p w14:paraId="6143331C" w14:textId="3FA6FBAC" w:rsidR="00582EBE" w:rsidRPr="008E68DC" w:rsidRDefault="00582EBE" w:rsidP="001D72C1">
      <w:pPr>
        <w:ind w:left="720" w:right="-90"/>
        <w:rPr>
          <w:rFonts w:ascii="Tahoma" w:hAnsi="Tahoma" w:cs="Tahoma"/>
        </w:rPr>
      </w:pPr>
      <w:r w:rsidRPr="008E68DC">
        <w:rPr>
          <w:rFonts w:ascii="Tahoma" w:hAnsi="Tahoma" w:cs="Tahoma"/>
        </w:rPr>
        <w:t xml:space="preserve">If an Applicant plans to </w:t>
      </w:r>
      <w:proofErr w:type="gramStart"/>
      <w:r w:rsidRPr="008E68DC">
        <w:rPr>
          <w:rFonts w:ascii="Tahoma" w:hAnsi="Tahoma" w:cs="Tahoma"/>
        </w:rPr>
        <w:t>submit an application</w:t>
      </w:r>
      <w:proofErr w:type="gramEnd"/>
      <w:r w:rsidRPr="008E68DC">
        <w:rPr>
          <w:rFonts w:ascii="Tahoma" w:hAnsi="Tahoma" w:cs="Tahoma"/>
        </w:rPr>
        <w:t xml:space="preserve"> for a Small Ports project that focuses on installing charging or hydrogen refueling infrastructure, and another separate and distinct application for a Large Ports project that focuses on installing charging or hydrogen refueling infrastructure, the Applicant may be eligible for the maximum award amount in both groups, totaling $15 million. Applicants may submit multiple applications for each Applicant Group as long as each application is separate and distinct</w:t>
      </w:r>
      <w:r w:rsidRPr="008E68DC">
        <w:rPr>
          <w:rFonts w:ascii="Tahoma" w:hAnsi="Tahoma" w:cs="Tahoma"/>
          <w:b/>
          <w:bCs/>
          <w:u w:val="single"/>
        </w:rPr>
        <w:t xml:space="preserve"> and each proposed project lists the specific site address where the </w:t>
      </w:r>
      <w:r w:rsidR="005A2820" w:rsidRPr="008E68DC">
        <w:rPr>
          <w:rFonts w:ascii="Tahoma" w:hAnsi="Tahoma" w:cs="Tahoma"/>
          <w:b/>
          <w:bCs/>
          <w:u w:val="single"/>
        </w:rPr>
        <w:t>charging ports or heavy-duty hydrogen fueling positions</w:t>
      </w:r>
      <w:r w:rsidRPr="008E68DC">
        <w:rPr>
          <w:rFonts w:ascii="Tahoma" w:hAnsi="Tahoma" w:cs="Tahoma"/>
          <w:b/>
          <w:bCs/>
          <w:u w:val="single"/>
        </w:rPr>
        <w:t xml:space="preserve"> will be installed</w:t>
      </w:r>
      <w:r w:rsidRPr="008E68DC">
        <w:rPr>
          <w:rFonts w:ascii="Tahoma" w:hAnsi="Tahoma" w:cs="Tahoma"/>
        </w:rPr>
        <w:t xml:space="preserve">; however, no Applicant will be eligible for more than a total of $15 million. </w:t>
      </w:r>
    </w:p>
    <w:p w14:paraId="6A0C95DB" w14:textId="77777777" w:rsidR="00582EBE" w:rsidRPr="008E68DC" w:rsidRDefault="00582EBE" w:rsidP="00582EBE">
      <w:pPr>
        <w:ind w:left="720"/>
        <w:rPr>
          <w:rFonts w:ascii="Tahoma" w:hAnsi="Tahoma" w:cs="Tahoma"/>
        </w:rPr>
      </w:pPr>
    </w:p>
    <w:p w14:paraId="7FDDE6D8" w14:textId="13A75406" w:rsidR="00582EBE" w:rsidRPr="008E68DC" w:rsidRDefault="00582EBE" w:rsidP="00582EBE">
      <w:pPr>
        <w:spacing w:line="259" w:lineRule="auto"/>
        <w:ind w:left="720"/>
        <w:rPr>
          <w:rFonts w:ascii="Tahoma" w:hAnsi="Tahoma" w:cs="Tahoma"/>
        </w:rPr>
      </w:pPr>
      <w:r w:rsidRPr="008E68DC">
        <w:rPr>
          <w:rFonts w:ascii="Tahoma" w:hAnsi="Tahoma" w:cs="Tahoma"/>
        </w:rPr>
        <w:t xml:space="preserve">Please note that Applicants </w:t>
      </w:r>
      <w:r w:rsidRPr="008E68DC">
        <w:rPr>
          <w:rFonts w:ascii="Tahoma" w:hAnsi="Tahoma" w:cs="Tahoma"/>
          <w:b/>
          <w:bCs/>
          <w:u w:val="single"/>
        </w:rPr>
        <w:t>must request a minimum award amount of $4.0 million for Group 1 and $8.0 million for Group 2</w:t>
      </w:r>
      <w:r w:rsidR="000968A0" w:rsidRPr="008E68DC">
        <w:rPr>
          <w:rFonts w:ascii="Tahoma" w:hAnsi="Tahoma" w:cs="Tahoma"/>
          <w:b/>
          <w:bCs/>
          <w:u w:val="single"/>
        </w:rPr>
        <w:t>. While Applicants</w:t>
      </w:r>
      <w:r w:rsidRPr="008E68DC">
        <w:rPr>
          <w:rFonts w:ascii="Tahoma" w:hAnsi="Tahoma" w:cs="Tahoma"/>
          <w:b/>
          <w:bCs/>
          <w:u w:val="single"/>
        </w:rPr>
        <w:t xml:space="preserve"> </w:t>
      </w:r>
      <w:r w:rsidRPr="008E68DC">
        <w:rPr>
          <w:rFonts w:ascii="Tahoma" w:hAnsi="Tahoma" w:cs="Tahoma"/>
        </w:rPr>
        <w:t>are not required to submit an application that requests the maximum award amount</w:t>
      </w:r>
      <w:r w:rsidR="00D920A8" w:rsidRPr="008E68DC">
        <w:rPr>
          <w:rFonts w:ascii="Tahoma" w:hAnsi="Tahoma" w:cs="Tahoma"/>
          <w:b/>
          <w:bCs/>
          <w:u w:val="single"/>
        </w:rPr>
        <w:t xml:space="preserve">, they must request at least the minimum award amount for their </w:t>
      </w:r>
      <w:r w:rsidR="001A01DA" w:rsidRPr="008E68DC">
        <w:rPr>
          <w:rFonts w:ascii="Tahoma" w:hAnsi="Tahoma" w:cs="Tahoma"/>
          <w:b/>
          <w:bCs/>
          <w:u w:val="single"/>
        </w:rPr>
        <w:t>proposed</w:t>
      </w:r>
      <w:r w:rsidR="00552C5A" w:rsidRPr="008E68DC">
        <w:rPr>
          <w:rFonts w:ascii="Tahoma" w:hAnsi="Tahoma" w:cs="Tahoma"/>
          <w:b/>
          <w:bCs/>
          <w:u w:val="single"/>
        </w:rPr>
        <w:t xml:space="preserve"> project</w:t>
      </w:r>
      <w:r w:rsidRPr="008E68DC">
        <w:rPr>
          <w:rFonts w:ascii="Tahoma" w:hAnsi="Tahoma" w:cs="Tahoma"/>
          <w:b/>
          <w:bCs/>
          <w:u w:val="single"/>
        </w:rPr>
        <w:t>.</w:t>
      </w:r>
      <w:r w:rsidRPr="008E68DC">
        <w:rPr>
          <w:rFonts w:ascii="Tahoma" w:hAnsi="Tahoma" w:cs="Tahoma"/>
        </w:rPr>
        <w:t xml:space="preserve"> </w:t>
      </w:r>
      <w:r w:rsidR="00552C5A" w:rsidRPr="008E68DC">
        <w:rPr>
          <w:rFonts w:ascii="Tahoma" w:hAnsi="Tahoma" w:cs="Tahoma"/>
        </w:rPr>
        <w:t>[</w:t>
      </w:r>
      <w:r w:rsidRPr="008E68DC">
        <w:rPr>
          <w:rFonts w:ascii="Tahoma" w:hAnsi="Tahoma" w:cs="Tahoma"/>
          <w:strike/>
        </w:rPr>
        <w:t>Applicants may submit applications that request less funding.</w:t>
      </w:r>
      <w:r w:rsidR="00552C5A" w:rsidRPr="008E68DC">
        <w:rPr>
          <w:rFonts w:ascii="Tahoma" w:hAnsi="Tahoma" w:cs="Tahoma"/>
        </w:rPr>
        <w:t>]</w:t>
      </w:r>
      <w:r w:rsidRPr="008E68DC">
        <w:rPr>
          <w:rFonts w:ascii="Tahoma" w:hAnsi="Tahoma" w:cs="Tahoma"/>
        </w:rPr>
        <w:t xml:space="preserve"> Applicants must identify which Applicant Group the proposed project will address. The CEC expects to award at least four projects for Applicant </w:t>
      </w:r>
      <w:r w:rsidRPr="008E68DC" w:rsidDel="00D42868">
        <w:rPr>
          <w:rFonts w:ascii="Tahoma" w:hAnsi="Tahoma" w:cs="Tahoma"/>
        </w:rPr>
        <w:t>Group</w:t>
      </w:r>
      <w:r w:rsidRPr="008E68DC">
        <w:rPr>
          <w:rFonts w:ascii="Tahoma" w:hAnsi="Tahoma" w:cs="Tahoma"/>
        </w:rPr>
        <w:t xml:space="preserve"> 1: Small Ports and at least two projects for Applicant </w:t>
      </w:r>
      <w:r w:rsidRPr="008E68DC" w:rsidDel="00D42868">
        <w:rPr>
          <w:rFonts w:ascii="Tahoma" w:hAnsi="Tahoma" w:cs="Tahoma"/>
        </w:rPr>
        <w:t>Group</w:t>
      </w:r>
      <w:r w:rsidRPr="008E68DC">
        <w:rPr>
          <w:rFonts w:ascii="Tahoma" w:hAnsi="Tahoma" w:cs="Tahoma"/>
        </w:rPr>
        <w:t xml:space="preserve"> 2: Large Ports. Once the Applications achieving at least the minimum </w:t>
      </w:r>
      <w:r w:rsidRPr="008E68DC">
        <w:rPr>
          <w:rFonts w:ascii="Tahoma" w:hAnsi="Tahoma" w:cs="Tahoma"/>
        </w:rPr>
        <w:lastRenderedPageBreak/>
        <w:t>passing score in each Applicant Group are recommended for funding, if funding remains available, the CEC may shift remaining funds between Applicant Groups.</w:t>
      </w:r>
    </w:p>
    <w:p w14:paraId="7EA3ECCC" w14:textId="77777777" w:rsidR="0010091D" w:rsidRPr="008E68DC" w:rsidRDefault="0010091D" w:rsidP="0010091D">
      <w:pPr>
        <w:ind w:left="720"/>
        <w:rPr>
          <w:rFonts w:ascii="Tahoma" w:hAnsi="Tahoma" w:cs="Tahoma"/>
        </w:rPr>
      </w:pPr>
    </w:p>
    <w:p w14:paraId="128B33DA" w14:textId="457A9A44" w:rsidR="00350CD0" w:rsidRDefault="00350CD0" w:rsidP="00735035">
      <w:pPr>
        <w:pStyle w:val="Heading2"/>
        <w:keepNext w:val="0"/>
        <w:numPr>
          <w:ilvl w:val="0"/>
          <w:numId w:val="1"/>
        </w:numPr>
        <w:spacing w:before="0" w:after="0"/>
        <w:ind w:left="720" w:hanging="720"/>
        <w:rPr>
          <w:rFonts w:ascii="Tahoma" w:hAnsi="Tahoma" w:cs="Tahoma"/>
          <w:sz w:val="24"/>
          <w:szCs w:val="24"/>
        </w:rPr>
      </w:pPr>
      <w:r>
        <w:rPr>
          <w:rFonts w:ascii="Tahoma" w:eastAsiaTheme="majorEastAsia" w:hAnsi="Tahoma" w:cs="Tahoma"/>
          <w:bCs/>
          <w:smallCaps w:val="0"/>
          <w:sz w:val="24"/>
          <w:szCs w:val="24"/>
          <w:lang w:val="en-US" w:eastAsia="en-US"/>
        </w:rPr>
        <w:t xml:space="preserve">Section I.L. </w:t>
      </w:r>
      <w:r w:rsidRPr="00350CD0">
        <w:rPr>
          <w:rFonts w:ascii="Tahoma" w:hAnsi="Tahoma" w:cs="Tahoma"/>
          <w:sz w:val="24"/>
          <w:szCs w:val="24"/>
        </w:rPr>
        <w:t>CONTACT INFORMATION</w:t>
      </w:r>
    </w:p>
    <w:p w14:paraId="6BCB40FE" w14:textId="77777777" w:rsidR="00350CD0" w:rsidRPr="00350CD0" w:rsidRDefault="00350CD0" w:rsidP="00350CD0">
      <w:pPr>
        <w:pStyle w:val="Heading3"/>
        <w:rPr>
          <w:lang w:val="x-none" w:eastAsia="x-none"/>
        </w:rPr>
      </w:pPr>
    </w:p>
    <w:p w14:paraId="4852E493" w14:textId="77777777" w:rsidR="00350CD0" w:rsidRPr="00A31904" w:rsidRDefault="00350CD0" w:rsidP="00350CD0">
      <w:pPr>
        <w:keepNext/>
        <w:keepLines/>
        <w:ind w:left="360"/>
        <w:jc w:val="center"/>
        <w:rPr>
          <w:rFonts w:ascii="Tahoma" w:hAnsi="Tahoma" w:cs="Tahoma"/>
        </w:rPr>
      </w:pPr>
      <w:r w:rsidRPr="0085544A">
        <w:rPr>
          <w:rFonts w:ascii="Tahoma" w:hAnsi="Tahoma" w:cs="Tahoma"/>
          <w:strike/>
        </w:rPr>
        <w:t>[Phil Dyer</w:t>
      </w:r>
      <w:r>
        <w:rPr>
          <w:rFonts w:ascii="Tahoma" w:hAnsi="Tahoma" w:cs="Tahoma"/>
        </w:rPr>
        <w:t xml:space="preserve">] </w:t>
      </w:r>
      <w:r>
        <w:rPr>
          <w:rFonts w:ascii="Tahoma" w:hAnsi="Tahoma" w:cs="Tahoma"/>
          <w:b/>
          <w:bCs/>
          <w:u w:val="single"/>
        </w:rPr>
        <w:t>Natalie Johnson</w:t>
      </w:r>
      <w:r w:rsidRPr="000118B8">
        <w:rPr>
          <w:rFonts w:ascii="Tahoma" w:hAnsi="Tahoma" w:cs="Tahoma"/>
        </w:rPr>
        <w:t>,</w:t>
      </w:r>
      <w:r w:rsidRPr="00A31904">
        <w:rPr>
          <w:rFonts w:ascii="Tahoma" w:hAnsi="Tahoma" w:cs="Tahoma"/>
        </w:rPr>
        <w:t xml:space="preserve"> Commission Agreement Officer</w:t>
      </w:r>
    </w:p>
    <w:p w14:paraId="2F17BE75" w14:textId="77777777" w:rsidR="00350CD0" w:rsidRPr="00A31904" w:rsidRDefault="00350CD0" w:rsidP="00350CD0">
      <w:pPr>
        <w:keepNext/>
        <w:keepLines/>
        <w:ind w:left="360"/>
        <w:jc w:val="center"/>
        <w:rPr>
          <w:rFonts w:ascii="Tahoma" w:hAnsi="Tahoma" w:cs="Tahoma"/>
        </w:rPr>
      </w:pPr>
      <w:r w:rsidRPr="00A31904">
        <w:rPr>
          <w:rFonts w:ascii="Tahoma" w:hAnsi="Tahoma" w:cs="Tahoma"/>
        </w:rPr>
        <w:t>California Energy Commission</w:t>
      </w:r>
    </w:p>
    <w:p w14:paraId="3CF26D4A" w14:textId="77777777" w:rsidR="00350CD0" w:rsidRPr="00A31904" w:rsidRDefault="00350CD0" w:rsidP="00350CD0">
      <w:pPr>
        <w:keepNext/>
        <w:keepLines/>
        <w:ind w:left="360"/>
        <w:jc w:val="center"/>
        <w:rPr>
          <w:rFonts w:ascii="Tahoma" w:hAnsi="Tahoma" w:cs="Tahoma"/>
        </w:rPr>
      </w:pPr>
      <w:r w:rsidRPr="00A31904">
        <w:rPr>
          <w:rFonts w:ascii="Tahoma" w:hAnsi="Tahoma" w:cs="Tahoma"/>
        </w:rPr>
        <w:t>715 P Street</w:t>
      </w:r>
      <w:r>
        <w:rPr>
          <w:rFonts w:ascii="Tahoma" w:hAnsi="Tahoma" w:cs="Tahoma"/>
        </w:rPr>
        <w:t xml:space="preserve"> – 3</w:t>
      </w:r>
      <w:r w:rsidRPr="007746A2">
        <w:rPr>
          <w:rFonts w:ascii="Tahoma" w:hAnsi="Tahoma" w:cs="Tahoma"/>
          <w:vertAlign w:val="superscript"/>
        </w:rPr>
        <w:t>rd</w:t>
      </w:r>
      <w:r>
        <w:rPr>
          <w:rFonts w:ascii="Tahoma" w:hAnsi="Tahoma" w:cs="Tahoma"/>
        </w:rPr>
        <w:t xml:space="preserve"> Floor, </w:t>
      </w:r>
      <w:r w:rsidRPr="00A31904">
        <w:rPr>
          <w:rFonts w:ascii="Tahoma" w:hAnsi="Tahoma" w:cs="Tahoma"/>
        </w:rPr>
        <w:t>MS-1</w:t>
      </w:r>
      <w:r>
        <w:rPr>
          <w:rFonts w:ascii="Tahoma" w:hAnsi="Tahoma" w:cs="Tahoma"/>
        </w:rPr>
        <w:t>8</w:t>
      </w:r>
    </w:p>
    <w:p w14:paraId="3B57811B" w14:textId="77777777" w:rsidR="00350CD0" w:rsidRPr="00A31904" w:rsidRDefault="00350CD0" w:rsidP="00350CD0">
      <w:pPr>
        <w:keepNext/>
        <w:keepLines/>
        <w:ind w:left="360"/>
        <w:jc w:val="center"/>
        <w:rPr>
          <w:rFonts w:ascii="Tahoma" w:hAnsi="Tahoma" w:cs="Tahoma"/>
        </w:rPr>
      </w:pPr>
      <w:r w:rsidRPr="00A31904">
        <w:rPr>
          <w:rFonts w:ascii="Tahoma" w:hAnsi="Tahoma" w:cs="Tahoma"/>
        </w:rPr>
        <w:t>Sacramento, California 95814</w:t>
      </w:r>
    </w:p>
    <w:p w14:paraId="2700BEC1" w14:textId="57412F0C" w:rsidR="00350CD0" w:rsidRPr="00A31904" w:rsidRDefault="009042FD" w:rsidP="00350CD0">
      <w:pPr>
        <w:keepNext/>
        <w:keepLines/>
        <w:ind w:left="360"/>
        <w:jc w:val="center"/>
        <w:rPr>
          <w:rFonts w:ascii="Tahoma" w:hAnsi="Tahoma" w:cs="Tahoma"/>
        </w:rPr>
      </w:pPr>
      <w:r w:rsidRPr="00620922">
        <w:rPr>
          <w:rFonts w:ascii="Tahoma" w:hAnsi="Tahoma" w:cs="Tahoma"/>
          <w:strike/>
        </w:rPr>
        <w:t>[</w:t>
      </w:r>
      <w:r w:rsidR="00350CD0" w:rsidRPr="00620922">
        <w:rPr>
          <w:rFonts w:ascii="Tahoma" w:hAnsi="Tahoma" w:cs="Tahoma"/>
          <w:strike/>
        </w:rPr>
        <w:t>Telephone:</w:t>
      </w:r>
      <w:r w:rsidRPr="00620922" w:rsidDel="009042FD">
        <w:rPr>
          <w:rFonts w:ascii="Tahoma" w:hAnsi="Tahoma" w:cs="Tahoma"/>
          <w:strike/>
        </w:rPr>
        <w:t xml:space="preserve"> </w:t>
      </w:r>
      <w:r w:rsidR="00350CD0" w:rsidRPr="002506B7">
        <w:rPr>
          <w:rFonts w:ascii="Tahoma" w:hAnsi="Tahoma" w:cs="Tahoma"/>
          <w:strike/>
        </w:rPr>
        <w:t>(916) 891-8474</w:t>
      </w:r>
      <w:r w:rsidR="002506B7">
        <w:rPr>
          <w:rFonts w:ascii="Tahoma" w:hAnsi="Tahoma" w:cs="Tahoma"/>
        </w:rPr>
        <w:t>]</w:t>
      </w:r>
      <w:r w:rsidR="00350CD0">
        <w:rPr>
          <w:rFonts w:ascii="Tahoma" w:hAnsi="Tahoma" w:cs="Tahoma"/>
        </w:rPr>
        <w:t xml:space="preserve"> </w:t>
      </w:r>
    </w:p>
    <w:p w14:paraId="62A2B2B3" w14:textId="77777777" w:rsidR="00350CD0" w:rsidRPr="0085544A" w:rsidRDefault="00350CD0" w:rsidP="00350CD0">
      <w:pPr>
        <w:keepNext/>
        <w:keepLines/>
        <w:ind w:left="360"/>
        <w:jc w:val="center"/>
        <w:rPr>
          <w:rFonts w:ascii="Tahoma" w:hAnsi="Tahoma" w:cs="Tahoma"/>
          <w:b/>
          <w:bCs/>
          <w:u w:val="single"/>
          <w:lang w:val="de-DE"/>
        </w:rPr>
      </w:pPr>
      <w:r w:rsidRPr="007746A2">
        <w:rPr>
          <w:rFonts w:ascii="Tahoma" w:hAnsi="Tahoma" w:cs="Tahoma"/>
          <w:lang w:val="de-DE"/>
        </w:rPr>
        <w:t>E-mail:</w:t>
      </w:r>
      <w:r w:rsidRPr="00D06E93">
        <w:rPr>
          <w:rFonts w:ascii="Tahoma" w:hAnsi="Tahoma" w:cs="Tahoma"/>
          <w:lang w:val="de-DE"/>
        </w:rPr>
        <w:t xml:space="preserve"> [</w:t>
      </w:r>
      <w:hyperlink r:id="rId11" w:history="1">
        <w:r w:rsidRPr="0085544A">
          <w:rPr>
            <w:rStyle w:val="Hyperlink"/>
            <w:rFonts w:ascii="Tahoma" w:hAnsi="Tahoma" w:cs="Tahoma"/>
            <w:strike/>
            <w:lang w:val="de-DE"/>
          </w:rPr>
          <w:t>Phil.Dyer@energy.ca.gov</w:t>
        </w:r>
      </w:hyperlink>
      <w:r w:rsidRPr="0085544A">
        <w:rPr>
          <w:rFonts w:ascii="Tahoma" w:hAnsi="Tahoma" w:cs="Tahoma"/>
        </w:rPr>
        <w:t xml:space="preserve">] </w:t>
      </w:r>
      <w:r w:rsidRPr="0085544A">
        <w:rPr>
          <w:rFonts w:ascii="Tahoma" w:hAnsi="Tahoma" w:cs="Tahoma"/>
          <w:b/>
          <w:bCs/>
          <w:u w:val="single"/>
        </w:rPr>
        <w:t>Natalie.Johnson@energy.ca.gov</w:t>
      </w:r>
    </w:p>
    <w:p w14:paraId="2F1C7013" w14:textId="77777777" w:rsidR="00350CD0" w:rsidRPr="00350CD0" w:rsidRDefault="00350CD0" w:rsidP="00350CD0">
      <w:pPr>
        <w:rPr>
          <w:lang w:val="x-none" w:eastAsia="x-none"/>
        </w:rPr>
      </w:pPr>
    </w:p>
    <w:p w14:paraId="2C8DEB6D" w14:textId="58CE1A2A" w:rsidR="00F157B5" w:rsidRDefault="00F157B5" w:rsidP="00735035">
      <w:pPr>
        <w:pStyle w:val="Heading2"/>
        <w:keepNext w:val="0"/>
        <w:numPr>
          <w:ilvl w:val="0"/>
          <w:numId w:val="1"/>
        </w:numPr>
        <w:spacing w:before="0" w:after="0"/>
        <w:ind w:left="720" w:hanging="720"/>
        <w:rPr>
          <w:rFonts w:ascii="Tahoma" w:eastAsiaTheme="majorEastAsia" w:hAnsi="Tahoma" w:cs="Tahoma"/>
          <w:bCs/>
          <w:smallCaps w:val="0"/>
          <w:sz w:val="24"/>
          <w:szCs w:val="24"/>
          <w:lang w:val="en-US" w:eastAsia="en-US"/>
        </w:rPr>
      </w:pPr>
      <w:r>
        <w:rPr>
          <w:rFonts w:ascii="Tahoma" w:eastAsiaTheme="majorEastAsia" w:hAnsi="Tahoma" w:cs="Tahoma"/>
          <w:bCs/>
          <w:smallCaps w:val="0"/>
          <w:sz w:val="24"/>
          <w:szCs w:val="24"/>
          <w:lang w:val="en-US" w:eastAsia="en-US"/>
        </w:rPr>
        <w:t>Section II.A.</w:t>
      </w:r>
      <w:r w:rsidR="00263E66">
        <w:rPr>
          <w:rFonts w:ascii="Tahoma" w:eastAsiaTheme="majorEastAsia" w:hAnsi="Tahoma" w:cs="Tahoma"/>
          <w:bCs/>
          <w:smallCaps w:val="0"/>
          <w:sz w:val="24"/>
          <w:szCs w:val="24"/>
          <w:lang w:val="en-US" w:eastAsia="en-US"/>
        </w:rPr>
        <w:t xml:space="preserve"> APPLICANT REQUIREMENT</w:t>
      </w:r>
    </w:p>
    <w:p w14:paraId="63013CBA" w14:textId="77777777" w:rsidR="00A57A33" w:rsidRPr="00620922" w:rsidRDefault="00A57A33" w:rsidP="00620922">
      <w:pPr>
        <w:pStyle w:val="Heading3"/>
        <w:rPr>
          <w:smallCaps/>
        </w:rPr>
      </w:pPr>
    </w:p>
    <w:p w14:paraId="6BEB6D26" w14:textId="77777777" w:rsidR="00194C90" w:rsidRPr="00A31904" w:rsidRDefault="00194C90" w:rsidP="00194C90">
      <w:pPr>
        <w:numPr>
          <w:ilvl w:val="0"/>
          <w:numId w:val="41"/>
        </w:numPr>
        <w:ind w:left="1440" w:hanging="720"/>
        <w:jc w:val="both"/>
        <w:rPr>
          <w:rFonts w:ascii="Tahoma" w:hAnsi="Tahoma" w:cs="Tahoma"/>
          <w:b/>
        </w:rPr>
      </w:pPr>
      <w:r w:rsidRPr="00A31904">
        <w:rPr>
          <w:rFonts w:ascii="Tahoma" w:hAnsi="Tahoma" w:cs="Tahoma"/>
          <w:b/>
        </w:rPr>
        <w:t>Eligibility</w:t>
      </w:r>
    </w:p>
    <w:p w14:paraId="41C73BA6" w14:textId="77777777" w:rsidR="00194C90" w:rsidRPr="00A31904" w:rsidRDefault="00194C90" w:rsidP="00194C90">
      <w:pPr>
        <w:pStyle w:val="ListParagraph"/>
        <w:ind w:left="1440"/>
        <w:rPr>
          <w:rFonts w:ascii="Tahoma" w:hAnsi="Tahoma" w:cs="Tahoma"/>
        </w:rPr>
      </w:pPr>
      <w:r w:rsidRPr="643DF41B">
        <w:rPr>
          <w:rFonts w:ascii="Tahoma" w:hAnsi="Tahoma" w:cs="Tahoma"/>
        </w:rPr>
        <w:t xml:space="preserve">This solicitation is open to all California ports and all public and private entities serving or supporting a California port. Non-port applicants will be required to </w:t>
      </w:r>
      <w:r>
        <w:rPr>
          <w:rFonts w:ascii="Tahoma" w:hAnsi="Tahoma" w:cs="Tahoma"/>
        </w:rPr>
        <w:t>[</w:t>
      </w:r>
      <w:r w:rsidRPr="00351B94">
        <w:rPr>
          <w:rFonts w:ascii="Tahoma" w:hAnsi="Tahoma" w:cs="Tahoma"/>
          <w:strike/>
        </w:rPr>
        <w:t>either</w:t>
      </w:r>
      <w:r>
        <w:rPr>
          <w:rFonts w:ascii="Tahoma" w:hAnsi="Tahoma" w:cs="Tahoma"/>
        </w:rPr>
        <w:t>]</w:t>
      </w:r>
      <w:r w:rsidRPr="643DF41B">
        <w:rPr>
          <w:rFonts w:ascii="Tahoma" w:hAnsi="Tahoma" w:cs="Tahoma"/>
        </w:rPr>
        <w:t xml:space="preserve"> provide a letter of support from a port </w:t>
      </w:r>
      <w:r>
        <w:rPr>
          <w:rFonts w:ascii="Tahoma" w:hAnsi="Tahoma" w:cs="Tahoma"/>
          <w:b/>
          <w:bCs/>
          <w:u w:val="single"/>
        </w:rPr>
        <w:t>and</w:t>
      </w:r>
      <w:r>
        <w:rPr>
          <w:rFonts w:ascii="Tahoma" w:hAnsi="Tahoma" w:cs="Tahoma"/>
        </w:rPr>
        <w:t xml:space="preserve"> [</w:t>
      </w:r>
      <w:r w:rsidRPr="00351B94">
        <w:rPr>
          <w:rFonts w:ascii="Tahoma" w:hAnsi="Tahoma" w:cs="Tahoma"/>
          <w:strike/>
        </w:rPr>
        <w:t>or otherwise</w:t>
      </w:r>
      <w:r>
        <w:rPr>
          <w:rFonts w:ascii="Tahoma" w:hAnsi="Tahoma" w:cs="Tahoma"/>
        </w:rPr>
        <w:t>]</w:t>
      </w:r>
      <w:r w:rsidRPr="643DF41B">
        <w:rPr>
          <w:rFonts w:ascii="Tahoma" w:hAnsi="Tahoma" w:cs="Tahoma"/>
        </w:rPr>
        <w:t xml:space="preserve"> describe in the project narrative how the project will support a port or ports.</w:t>
      </w:r>
    </w:p>
    <w:p w14:paraId="029129DB" w14:textId="77777777" w:rsidR="00263E66" w:rsidRPr="009B5B82" w:rsidRDefault="00263E66" w:rsidP="00620922">
      <w:pPr>
        <w:pStyle w:val="Heading3"/>
        <w:rPr>
          <w:smallCaps/>
        </w:rPr>
      </w:pPr>
    </w:p>
    <w:p w14:paraId="586A9C68" w14:textId="1559AEA7" w:rsidR="76B59733" w:rsidRPr="008E68DC" w:rsidRDefault="76B59733" w:rsidP="000A1F01">
      <w:pPr>
        <w:pStyle w:val="Heading2"/>
        <w:keepNext w:val="0"/>
        <w:numPr>
          <w:ilvl w:val="0"/>
          <w:numId w:val="1"/>
        </w:numPr>
        <w:spacing w:before="0" w:after="0"/>
        <w:ind w:left="720" w:hanging="720"/>
        <w:rPr>
          <w:rFonts w:ascii="Tahoma" w:eastAsiaTheme="majorEastAsia" w:hAnsi="Tahoma" w:cs="Tahoma"/>
          <w:bCs/>
          <w:smallCaps w:val="0"/>
          <w:sz w:val="24"/>
          <w:szCs w:val="24"/>
          <w:lang w:val="en-US" w:eastAsia="en-US"/>
        </w:rPr>
      </w:pPr>
      <w:r w:rsidRPr="008E68DC">
        <w:rPr>
          <w:rFonts w:ascii="Tahoma" w:eastAsiaTheme="majorEastAsia" w:hAnsi="Tahoma" w:cs="Tahoma"/>
          <w:bCs/>
          <w:smallCaps w:val="0"/>
          <w:sz w:val="24"/>
          <w:szCs w:val="24"/>
          <w:lang w:val="en-US" w:eastAsia="en-US"/>
        </w:rPr>
        <w:t xml:space="preserve">Section </w:t>
      </w:r>
      <w:r w:rsidR="00A17643" w:rsidRPr="008E68DC">
        <w:rPr>
          <w:rFonts w:ascii="Tahoma" w:eastAsiaTheme="majorEastAsia" w:hAnsi="Tahoma" w:cs="Tahoma"/>
          <w:bCs/>
          <w:smallCaps w:val="0"/>
          <w:sz w:val="24"/>
          <w:szCs w:val="24"/>
          <w:lang w:val="en-US" w:eastAsia="en-US"/>
        </w:rPr>
        <w:t>II.B. PROJECT REQUIREMENTS</w:t>
      </w:r>
    </w:p>
    <w:p w14:paraId="251601DB" w14:textId="77777777" w:rsidR="008974C0" w:rsidRPr="008E68DC" w:rsidRDefault="008974C0" w:rsidP="00735035">
      <w:pPr>
        <w:pStyle w:val="ListParagraph"/>
        <w:numPr>
          <w:ilvl w:val="0"/>
          <w:numId w:val="12"/>
        </w:numPr>
        <w:spacing w:before="100" w:beforeAutospacing="1" w:after="100" w:afterAutospacing="1"/>
        <w:ind w:left="1440" w:hanging="720"/>
        <w:contextualSpacing w:val="0"/>
        <w:rPr>
          <w:rFonts w:ascii="Tahoma" w:eastAsia="Tahoma" w:hAnsi="Tahoma" w:cs="Tahoma"/>
        </w:rPr>
      </w:pPr>
      <w:r w:rsidRPr="008E68DC">
        <w:rPr>
          <w:rFonts w:ascii="Tahoma" w:eastAsia="Tahoma" w:hAnsi="Tahoma" w:cs="Tahoma"/>
          <w:b/>
          <w:bCs/>
        </w:rPr>
        <w:t>Eligible Projects</w:t>
      </w:r>
      <w:r w:rsidRPr="008E68DC">
        <w:rPr>
          <w:rFonts w:ascii="Tahoma" w:eastAsia="Tahoma" w:hAnsi="Tahoma" w:cs="Tahoma"/>
        </w:rPr>
        <w:t xml:space="preserve"> </w:t>
      </w:r>
    </w:p>
    <w:p w14:paraId="5851E39C" w14:textId="77777777" w:rsidR="008974C0" w:rsidRPr="008E68DC" w:rsidRDefault="008974C0" w:rsidP="008974C0">
      <w:pPr>
        <w:pStyle w:val="ListParagraph"/>
        <w:ind w:left="1440"/>
        <w:rPr>
          <w:rFonts w:ascii="Tahoma" w:eastAsia="Tahoma" w:hAnsi="Tahoma" w:cs="Tahoma"/>
          <w:color w:val="000000" w:themeColor="text1"/>
        </w:rPr>
      </w:pPr>
      <w:r w:rsidRPr="008E68DC">
        <w:rPr>
          <w:rFonts w:ascii="Tahoma" w:eastAsia="Tahoma" w:hAnsi="Tahoma" w:cs="Tahoma"/>
        </w:rPr>
        <w:t xml:space="preserve">All proposed projects </w:t>
      </w:r>
      <w:r w:rsidRPr="008E68DC">
        <w:rPr>
          <w:rFonts w:ascii="Tahoma" w:eastAsia="Tahoma" w:hAnsi="Tahoma" w:cs="Tahoma"/>
          <w:color w:val="000000" w:themeColor="text1"/>
        </w:rPr>
        <w:t>must include the installation, deployment, and demonstration of electric vehicle charging or hydrogen refueling stations for MDHD vehicles, defined as Class [</w:t>
      </w:r>
      <w:r w:rsidRPr="008E68DC">
        <w:rPr>
          <w:rFonts w:ascii="Tahoma" w:eastAsia="Tahoma" w:hAnsi="Tahoma" w:cs="Tahoma"/>
          <w:strike/>
          <w:color w:val="000000" w:themeColor="text1"/>
        </w:rPr>
        <w:t>2b</w:t>
      </w:r>
      <w:r w:rsidRPr="008E68DC">
        <w:rPr>
          <w:rFonts w:ascii="Tahoma" w:eastAsia="Tahoma" w:hAnsi="Tahoma" w:cs="Tahoma"/>
          <w:color w:val="000000" w:themeColor="text1"/>
        </w:rPr>
        <w:t>]</w:t>
      </w:r>
      <w:r w:rsidRPr="008E68DC">
        <w:rPr>
          <w:rFonts w:ascii="Tahoma" w:eastAsia="Tahoma" w:hAnsi="Tahoma" w:cs="Tahoma"/>
          <w:b/>
          <w:bCs/>
          <w:color w:val="000000" w:themeColor="text1"/>
          <w:u w:val="single"/>
        </w:rPr>
        <w:t>3</w:t>
      </w:r>
      <w:r w:rsidRPr="008E68DC">
        <w:rPr>
          <w:rFonts w:ascii="Tahoma" w:eastAsia="Tahoma" w:hAnsi="Tahoma" w:cs="Tahoma"/>
          <w:color w:val="000000" w:themeColor="text1"/>
        </w:rPr>
        <w:t>-8 on-road vehicles, and/or port equipment and/or off-road equipment (e.g. gantries, cargo handling equipment, etc.) at a seaport or land port of entry,</w:t>
      </w:r>
      <w:r w:rsidRPr="008E68DC">
        <w:rPr>
          <w:rFonts w:ascii="Tahoma" w:hAnsi="Tahoma" w:cs="Tahoma"/>
        </w:rPr>
        <w:t xml:space="preserve"> </w:t>
      </w:r>
      <w:r w:rsidRPr="008E68DC">
        <w:rPr>
          <w:rFonts w:ascii="Tahoma" w:eastAsia="Tahoma" w:hAnsi="Tahoma" w:cs="Tahoma"/>
          <w:color w:val="000000" w:themeColor="text1"/>
        </w:rPr>
        <w:t>and meet the minimum deployment requirements noted in Section I.G.</w:t>
      </w:r>
    </w:p>
    <w:p w14:paraId="5895ADBA" w14:textId="77777777" w:rsidR="008974C0" w:rsidRPr="008E68DC" w:rsidRDefault="008974C0" w:rsidP="008974C0">
      <w:pPr>
        <w:pStyle w:val="ListParagraph"/>
        <w:ind w:left="1440"/>
        <w:rPr>
          <w:rFonts w:ascii="Tahoma" w:eastAsia="Tahoma" w:hAnsi="Tahoma" w:cs="Tahoma"/>
          <w:color w:val="000000" w:themeColor="text1"/>
        </w:rPr>
      </w:pPr>
    </w:p>
    <w:p w14:paraId="013696D6" w14:textId="77777777" w:rsidR="008974C0" w:rsidRPr="008E68DC" w:rsidRDefault="008974C0" w:rsidP="008974C0">
      <w:pPr>
        <w:pStyle w:val="ListParagraph"/>
        <w:keepNext/>
        <w:ind w:left="1440"/>
        <w:rPr>
          <w:rFonts w:ascii="Tahoma" w:eastAsia="Arial" w:hAnsi="Tahoma" w:cs="Tahoma"/>
          <w:b/>
          <w:bCs/>
          <w:u w:val="single"/>
        </w:rPr>
      </w:pPr>
      <w:r w:rsidRPr="008E68DC">
        <w:rPr>
          <w:rFonts w:ascii="Tahoma" w:eastAsia="Arial" w:hAnsi="Tahoma" w:cs="Tahoma"/>
          <w:b/>
          <w:bCs/>
          <w:u w:val="single"/>
        </w:rPr>
        <w:t>For the purpose of this solicitation, an application is one project, and the project may have only one location.</w:t>
      </w:r>
    </w:p>
    <w:p w14:paraId="26453030" w14:textId="77777777" w:rsidR="008974C0" w:rsidRPr="008E68DC" w:rsidRDefault="008974C0" w:rsidP="008974C0">
      <w:pPr>
        <w:pStyle w:val="ListParagraph"/>
        <w:keepNext/>
        <w:ind w:left="1440"/>
        <w:rPr>
          <w:rFonts w:ascii="Tahoma" w:eastAsia="Arial" w:hAnsi="Tahoma" w:cs="Tahoma"/>
        </w:rPr>
      </w:pPr>
    </w:p>
    <w:p w14:paraId="47566DDE" w14:textId="77777777" w:rsidR="008974C0" w:rsidRPr="008E68DC" w:rsidRDefault="008974C0" w:rsidP="008974C0">
      <w:pPr>
        <w:pStyle w:val="ListParagraph"/>
        <w:keepNext/>
        <w:ind w:left="1440"/>
        <w:rPr>
          <w:rFonts w:ascii="Tahoma" w:eastAsia="Arial" w:hAnsi="Tahoma" w:cs="Tahoma"/>
          <w:b/>
          <w:bCs/>
          <w:u w:val="single"/>
        </w:rPr>
      </w:pPr>
      <w:r w:rsidRPr="008E68DC">
        <w:rPr>
          <w:rFonts w:ascii="Tahoma" w:eastAsia="Arial" w:hAnsi="Tahoma" w:cs="Tahoma"/>
          <w:b/>
          <w:bCs/>
          <w:u w:val="single"/>
        </w:rPr>
        <w:t xml:space="preserve">For the purpose of this solicitation, medium-duty vehicles are defined as having a Gross Vehicle Weight Rating (GVWR) between 10,000 – 26,000 pounds and includes weight classes 3, 4, 5, and 6. Heavy-Duty vehicles are vehicles 26,001 pounds and above, and it includes weight classes 7 and 8. </w:t>
      </w:r>
    </w:p>
    <w:p w14:paraId="59C1A71D" w14:textId="77777777" w:rsidR="008974C0" w:rsidRPr="008E68DC" w:rsidRDefault="008974C0" w:rsidP="008974C0">
      <w:pPr>
        <w:pStyle w:val="ListParagraph"/>
        <w:ind w:left="1440"/>
        <w:rPr>
          <w:rFonts w:ascii="Tahoma" w:eastAsia="Arial" w:hAnsi="Tahoma" w:cs="Tahoma"/>
          <w:b/>
          <w:bCs/>
          <w:u w:val="single"/>
        </w:rPr>
      </w:pPr>
    </w:p>
    <w:p w14:paraId="7534F460" w14:textId="5EAD6B6C" w:rsidR="008974C0" w:rsidRPr="008E68DC" w:rsidRDefault="008974C0" w:rsidP="008974C0">
      <w:pPr>
        <w:pStyle w:val="ListParagraph"/>
        <w:ind w:left="1440"/>
        <w:rPr>
          <w:rFonts w:ascii="Tahoma" w:hAnsi="Tahoma" w:cs="Tahoma"/>
          <w:b/>
          <w:bCs/>
          <w:u w:val="single"/>
        </w:rPr>
      </w:pPr>
      <w:r w:rsidRPr="008E68DC">
        <w:rPr>
          <w:rFonts w:ascii="Tahoma" w:eastAsia="Arial" w:hAnsi="Tahoma" w:cs="Tahoma"/>
          <w:b/>
          <w:bCs/>
          <w:u w:val="single"/>
        </w:rPr>
        <w:t>For the purposes of this solicitation, off-road applications include vehicles or equipment that do not perform their primary operations on a road or highway. “Off-road” may include, but is not limited to, cargo-handling equipment, yard tractors, as well as marine</w:t>
      </w:r>
      <w:r w:rsidR="009B51AA" w:rsidRPr="008E68DC">
        <w:rPr>
          <w:rFonts w:ascii="Tahoma" w:eastAsia="Arial" w:hAnsi="Tahoma" w:cs="Tahoma"/>
          <w:b/>
          <w:bCs/>
          <w:u w:val="single"/>
        </w:rPr>
        <w:t xml:space="preserve"> or </w:t>
      </w:r>
      <w:r w:rsidRPr="008E68DC">
        <w:rPr>
          <w:rFonts w:ascii="Tahoma" w:eastAsia="Arial" w:hAnsi="Tahoma" w:cs="Tahoma"/>
          <w:b/>
          <w:bCs/>
          <w:u w:val="single"/>
        </w:rPr>
        <w:t xml:space="preserve">rail. </w:t>
      </w:r>
    </w:p>
    <w:p w14:paraId="0B8FF5D9" w14:textId="77777777" w:rsidR="008974C0" w:rsidRPr="008E68DC" w:rsidRDefault="008974C0" w:rsidP="008974C0">
      <w:pPr>
        <w:pStyle w:val="ListParagraph"/>
        <w:ind w:left="1440"/>
        <w:rPr>
          <w:rFonts w:ascii="Tahoma" w:eastAsia="Tahoma" w:hAnsi="Tahoma" w:cs="Tahoma"/>
          <w:color w:val="000000" w:themeColor="text1"/>
        </w:rPr>
      </w:pPr>
    </w:p>
    <w:p w14:paraId="2CD739C2" w14:textId="370CBA33" w:rsidR="008974C0" w:rsidRPr="008E68DC" w:rsidRDefault="008974C0" w:rsidP="008974C0">
      <w:pPr>
        <w:pStyle w:val="ListParagraph"/>
        <w:ind w:left="1440"/>
        <w:rPr>
          <w:rFonts w:ascii="Tahoma" w:eastAsia="Tahoma" w:hAnsi="Tahoma" w:cs="Tahoma"/>
          <w:color w:val="000000" w:themeColor="text1"/>
        </w:rPr>
      </w:pPr>
      <w:r w:rsidRPr="008E68DC">
        <w:rPr>
          <w:rFonts w:ascii="Tahoma" w:eastAsia="Tahoma" w:hAnsi="Tahoma" w:cs="Tahoma"/>
          <w:color w:val="000000" w:themeColor="text1"/>
        </w:rPr>
        <w:t>The Applicant or a key project partner must operate each proposed station and maintain its [</w:t>
      </w:r>
      <w:r w:rsidRPr="008E68DC">
        <w:rPr>
          <w:rFonts w:ascii="Tahoma" w:eastAsia="Tahoma" w:hAnsi="Tahoma" w:cs="Tahoma"/>
          <w:strike/>
          <w:color w:val="000000" w:themeColor="text1"/>
        </w:rPr>
        <w:t>open</w:t>
      </w:r>
      <w:r w:rsidRPr="008E68DC">
        <w:rPr>
          <w:rFonts w:ascii="Tahoma" w:eastAsia="Tahoma" w:hAnsi="Tahoma" w:cs="Tahoma"/>
          <w:color w:val="000000" w:themeColor="text1"/>
        </w:rPr>
        <w:t xml:space="preserve">] </w:t>
      </w:r>
      <w:r w:rsidRPr="008E68DC">
        <w:rPr>
          <w:rFonts w:ascii="Tahoma" w:eastAsia="Tahoma" w:hAnsi="Tahoma" w:cs="Tahoma"/>
          <w:b/>
          <w:bCs/>
          <w:color w:val="000000" w:themeColor="text1"/>
          <w:u w:val="single"/>
        </w:rPr>
        <w:t xml:space="preserve">operational </w:t>
      </w:r>
      <w:r w:rsidRPr="008E68DC">
        <w:rPr>
          <w:rFonts w:ascii="Tahoma" w:eastAsia="Tahoma" w:hAnsi="Tahoma" w:cs="Tahoma"/>
          <w:color w:val="000000" w:themeColor="text1"/>
        </w:rPr>
        <w:t>status for a minimum of six years</w:t>
      </w:r>
      <w:r w:rsidRPr="008E68DC">
        <w:rPr>
          <w:rFonts w:ascii="Tahoma" w:eastAsia="Tahoma" w:hAnsi="Tahoma" w:cs="Tahoma"/>
          <w:b/>
          <w:bCs/>
          <w:color w:val="000000" w:themeColor="text1"/>
          <w:u w:val="single"/>
        </w:rPr>
        <w:t xml:space="preserve"> </w:t>
      </w:r>
      <w:r w:rsidRPr="008E68DC">
        <w:rPr>
          <w:rFonts w:ascii="Tahoma" w:hAnsi="Tahoma" w:cs="Tahoma"/>
          <w:b/>
          <w:bCs/>
          <w:u w:val="single"/>
        </w:rPr>
        <w:t>whether the station is public or private</w:t>
      </w:r>
      <w:r w:rsidRPr="008E68DC">
        <w:rPr>
          <w:rFonts w:ascii="Tahoma" w:hAnsi="Tahoma" w:cs="Tahoma"/>
        </w:rPr>
        <w:t xml:space="preserve">. </w:t>
      </w:r>
      <w:r w:rsidRPr="008E68DC">
        <w:rPr>
          <w:rFonts w:ascii="Tahoma" w:hAnsi="Tahoma" w:cs="Tahoma"/>
          <w:b/>
          <w:bCs/>
          <w:u w:val="single"/>
        </w:rPr>
        <w:t>If the current lease agreement for an eligible project site is valid for less than the required six years, the Applicant must commit to operating that station until the current lease ends and make a good faith effort to extend the lease to continue operation for the full six years. Applicants must submit a commitment letter as described in Section III.D. Application Content, to confirm their commitment to operate each eligible charging or refueling station included in the application and explain any lease agreement limitations</w:t>
      </w:r>
      <w:r w:rsidRPr="008E68DC">
        <w:rPr>
          <w:rFonts w:ascii="Tahoma" w:eastAsia="Tahoma" w:hAnsi="Tahoma" w:cs="Tahoma"/>
          <w:color w:val="000000" w:themeColor="text1"/>
        </w:rPr>
        <w:t>.</w:t>
      </w:r>
    </w:p>
    <w:p w14:paraId="57CF9C98" w14:textId="77777777" w:rsidR="008974C0" w:rsidRPr="008E68DC" w:rsidRDefault="008974C0" w:rsidP="008974C0">
      <w:pPr>
        <w:pStyle w:val="ListParagraph"/>
        <w:ind w:left="1800"/>
        <w:rPr>
          <w:rFonts w:ascii="Tahoma" w:eastAsia="Tahoma" w:hAnsi="Tahoma" w:cs="Tahoma"/>
          <w:b/>
          <w:bCs/>
        </w:rPr>
      </w:pPr>
    </w:p>
    <w:p w14:paraId="52B75A3F" w14:textId="45DB2295" w:rsidR="008974C0" w:rsidRPr="008E68DC" w:rsidRDefault="008974C0" w:rsidP="00735035">
      <w:pPr>
        <w:pStyle w:val="ListParagraph"/>
        <w:numPr>
          <w:ilvl w:val="0"/>
          <w:numId w:val="12"/>
        </w:numPr>
        <w:spacing w:before="100" w:beforeAutospacing="1" w:after="100" w:afterAutospacing="1"/>
        <w:ind w:left="1440" w:hanging="720"/>
        <w:contextualSpacing w:val="0"/>
        <w:rPr>
          <w:rFonts w:ascii="Tahoma" w:eastAsia="Tahoma" w:hAnsi="Tahoma" w:cs="Tahoma"/>
          <w:b/>
          <w:bCs/>
        </w:rPr>
      </w:pPr>
      <w:r w:rsidRPr="008E68DC">
        <w:rPr>
          <w:rFonts w:ascii="Tahoma" w:eastAsia="Tahoma" w:hAnsi="Tahoma" w:cs="Tahoma"/>
          <w:b/>
          <w:bCs/>
        </w:rPr>
        <w:t xml:space="preserve">Charger Port/Hydrogen Refueling </w:t>
      </w:r>
      <w:r w:rsidR="00596F27" w:rsidRPr="008E68DC">
        <w:rPr>
          <w:rFonts w:ascii="Tahoma" w:eastAsia="Tahoma" w:hAnsi="Tahoma" w:cs="Tahoma"/>
          <w:b/>
          <w:bCs/>
        </w:rPr>
        <w:t>[</w:t>
      </w:r>
      <w:r w:rsidRPr="008E68DC">
        <w:rPr>
          <w:rFonts w:ascii="Tahoma" w:eastAsia="Tahoma" w:hAnsi="Tahoma" w:cs="Tahoma"/>
          <w:b/>
          <w:strike/>
        </w:rPr>
        <w:t>Dispenser</w:t>
      </w:r>
      <w:r w:rsidR="00596F27" w:rsidRPr="008E68DC">
        <w:rPr>
          <w:rFonts w:ascii="Tahoma" w:eastAsia="Tahoma" w:hAnsi="Tahoma" w:cs="Tahoma"/>
          <w:b/>
          <w:bCs/>
        </w:rPr>
        <w:t>]</w:t>
      </w:r>
      <w:r w:rsidRPr="008E68DC">
        <w:rPr>
          <w:rFonts w:ascii="Tahoma" w:eastAsia="Tahoma" w:hAnsi="Tahoma" w:cs="Tahoma"/>
          <w:b/>
          <w:bCs/>
        </w:rPr>
        <w:t xml:space="preserve"> </w:t>
      </w:r>
      <w:r w:rsidR="00596F27" w:rsidRPr="008E68DC">
        <w:rPr>
          <w:rFonts w:ascii="Tahoma" w:eastAsia="Tahoma" w:hAnsi="Tahoma" w:cs="Tahoma"/>
          <w:b/>
          <w:bCs/>
          <w:u w:val="single"/>
        </w:rPr>
        <w:t>Position</w:t>
      </w:r>
      <w:r w:rsidRPr="008E68DC">
        <w:rPr>
          <w:rFonts w:ascii="Tahoma" w:eastAsia="Tahoma" w:hAnsi="Tahoma" w:cs="Tahoma"/>
          <w:b/>
          <w:bCs/>
        </w:rPr>
        <w:t xml:space="preserve"> Minimums</w:t>
      </w:r>
    </w:p>
    <w:p w14:paraId="5F0DF35C" w14:textId="77777777" w:rsidR="008974C0" w:rsidRPr="008E68DC" w:rsidRDefault="008974C0" w:rsidP="00735035">
      <w:pPr>
        <w:pStyle w:val="ListParagraph"/>
        <w:numPr>
          <w:ilvl w:val="1"/>
          <w:numId w:val="2"/>
        </w:numPr>
        <w:spacing w:after="120"/>
        <w:ind w:left="1800"/>
        <w:contextualSpacing w:val="0"/>
        <w:rPr>
          <w:rFonts w:ascii="Tahoma" w:eastAsia="Tahoma" w:hAnsi="Tahoma" w:cs="Tahoma"/>
          <w:color w:val="000000" w:themeColor="text1"/>
        </w:rPr>
      </w:pPr>
      <w:r w:rsidRPr="008E68DC">
        <w:rPr>
          <w:rFonts w:ascii="Tahoma" w:eastAsia="Tahoma" w:hAnsi="Tahoma" w:cs="Tahoma"/>
          <w:color w:val="000000" w:themeColor="text1"/>
        </w:rPr>
        <w:t>Electric charging infrastructure for MDHD battery electric vehicles (BEVs) and/or port and/or off-road equipment:</w:t>
      </w:r>
    </w:p>
    <w:p w14:paraId="353DED69" w14:textId="77777777" w:rsidR="008974C0" w:rsidRPr="008E68DC" w:rsidRDefault="008974C0" w:rsidP="00735035">
      <w:pPr>
        <w:pStyle w:val="ListParagraph"/>
        <w:numPr>
          <w:ilvl w:val="0"/>
          <w:numId w:val="11"/>
        </w:numPr>
        <w:spacing w:after="120"/>
        <w:ind w:left="2160"/>
        <w:contextualSpacing w:val="0"/>
        <w:rPr>
          <w:rFonts w:ascii="Tahoma" w:eastAsia="Tahoma" w:hAnsi="Tahoma" w:cs="Tahoma"/>
        </w:rPr>
      </w:pPr>
      <w:r w:rsidRPr="008E68DC">
        <w:rPr>
          <w:rFonts w:ascii="Tahoma" w:eastAsia="Tahoma" w:hAnsi="Tahoma" w:cs="Tahoma"/>
        </w:rPr>
        <w:t>If applying as a Small Port, a minimum of 20 high-powered (at least [</w:t>
      </w:r>
      <w:r w:rsidRPr="008E68DC">
        <w:rPr>
          <w:rFonts w:ascii="Tahoma" w:eastAsia="Tahoma" w:hAnsi="Tahoma" w:cs="Tahoma"/>
          <w:strike/>
        </w:rPr>
        <w:t>200</w:t>
      </w:r>
      <w:r w:rsidRPr="008E68DC">
        <w:rPr>
          <w:rFonts w:ascii="Tahoma" w:eastAsia="Tahoma" w:hAnsi="Tahoma" w:cs="Tahoma"/>
        </w:rPr>
        <w:t xml:space="preserve">] </w:t>
      </w:r>
      <w:r w:rsidRPr="008E68DC">
        <w:rPr>
          <w:rFonts w:ascii="Tahoma" w:eastAsia="Tahoma" w:hAnsi="Tahoma" w:cs="Tahoma"/>
          <w:b/>
          <w:bCs/>
          <w:u w:val="single"/>
        </w:rPr>
        <w:t>150</w:t>
      </w:r>
      <w:r w:rsidRPr="008E68DC">
        <w:rPr>
          <w:rFonts w:ascii="Tahoma" w:eastAsia="Tahoma" w:hAnsi="Tahoma" w:cs="Tahoma"/>
        </w:rPr>
        <w:t xml:space="preserve"> kW) direct current fast chargers (DCFCs) or charging ports for simultaneous charging.</w:t>
      </w:r>
    </w:p>
    <w:p w14:paraId="23C99895" w14:textId="77777777" w:rsidR="008974C0" w:rsidRPr="008E68DC" w:rsidRDefault="008974C0" w:rsidP="00735035">
      <w:pPr>
        <w:pStyle w:val="ListParagraph"/>
        <w:numPr>
          <w:ilvl w:val="0"/>
          <w:numId w:val="11"/>
        </w:numPr>
        <w:spacing w:after="120"/>
        <w:ind w:left="2160"/>
        <w:contextualSpacing w:val="0"/>
        <w:rPr>
          <w:rFonts w:ascii="Tahoma" w:eastAsia="Tahoma" w:hAnsi="Tahoma" w:cs="Tahoma"/>
        </w:rPr>
      </w:pPr>
      <w:r w:rsidRPr="008E68DC">
        <w:rPr>
          <w:rFonts w:ascii="Tahoma" w:eastAsia="Tahoma" w:hAnsi="Tahoma" w:cs="Tahoma"/>
        </w:rPr>
        <w:t>If applying as a Large Port, a minimum of 40 high-powered (at least [</w:t>
      </w:r>
      <w:r w:rsidRPr="008E68DC">
        <w:rPr>
          <w:rFonts w:ascii="Tahoma" w:eastAsia="Tahoma" w:hAnsi="Tahoma" w:cs="Tahoma"/>
          <w:strike/>
        </w:rPr>
        <w:t>200</w:t>
      </w:r>
      <w:r w:rsidRPr="008E68DC">
        <w:rPr>
          <w:rFonts w:ascii="Tahoma" w:eastAsia="Tahoma" w:hAnsi="Tahoma" w:cs="Tahoma"/>
        </w:rPr>
        <w:t xml:space="preserve">] </w:t>
      </w:r>
      <w:r w:rsidRPr="008E68DC">
        <w:rPr>
          <w:rFonts w:ascii="Tahoma" w:eastAsia="Tahoma" w:hAnsi="Tahoma" w:cs="Tahoma"/>
          <w:b/>
          <w:bCs/>
          <w:u w:val="single"/>
        </w:rPr>
        <w:t>150</w:t>
      </w:r>
      <w:r w:rsidRPr="008E68DC">
        <w:rPr>
          <w:rFonts w:ascii="Tahoma" w:eastAsia="Tahoma" w:hAnsi="Tahoma" w:cs="Tahoma"/>
        </w:rPr>
        <w:t xml:space="preserve"> kW) direct current fast chargers (DCFCs) or charging ports for simultaneous charging. </w:t>
      </w:r>
    </w:p>
    <w:p w14:paraId="07EF51E4" w14:textId="77777777" w:rsidR="008974C0" w:rsidRPr="008E68DC" w:rsidRDefault="008974C0" w:rsidP="00735035">
      <w:pPr>
        <w:pStyle w:val="ListParagraph"/>
        <w:numPr>
          <w:ilvl w:val="0"/>
          <w:numId w:val="11"/>
        </w:numPr>
        <w:spacing w:after="120"/>
        <w:ind w:left="2160"/>
        <w:contextualSpacing w:val="0"/>
        <w:rPr>
          <w:rFonts w:ascii="Tahoma" w:eastAsia="Tahoma" w:hAnsi="Tahoma" w:cs="Tahoma"/>
          <w:b/>
          <w:bCs/>
          <w:u w:val="single"/>
        </w:rPr>
      </w:pPr>
      <w:r w:rsidRPr="008E68DC">
        <w:rPr>
          <w:rFonts w:ascii="Tahoma" w:eastAsia="Tahoma" w:hAnsi="Tahoma" w:cs="Tahoma"/>
        </w:rPr>
        <w:t>Each port must be capable of [</w:t>
      </w:r>
      <w:r w:rsidRPr="008E68DC">
        <w:rPr>
          <w:rFonts w:ascii="Tahoma" w:eastAsia="Tahoma" w:hAnsi="Tahoma" w:cs="Tahoma"/>
          <w:strike/>
        </w:rPr>
        <w:t>200</w:t>
      </w:r>
      <w:r w:rsidRPr="008E68DC">
        <w:rPr>
          <w:rFonts w:ascii="Tahoma" w:eastAsia="Tahoma" w:hAnsi="Tahoma" w:cs="Tahoma"/>
        </w:rPr>
        <w:t>]</w:t>
      </w:r>
      <w:r w:rsidRPr="008E68DC">
        <w:rPr>
          <w:rFonts w:ascii="Tahoma" w:eastAsia="Tahoma" w:hAnsi="Tahoma" w:cs="Tahoma"/>
          <w:b/>
          <w:bCs/>
        </w:rPr>
        <w:t xml:space="preserve"> </w:t>
      </w:r>
      <w:r w:rsidRPr="008E68DC">
        <w:rPr>
          <w:rFonts w:ascii="Tahoma" w:eastAsia="Tahoma" w:hAnsi="Tahoma" w:cs="Tahoma"/>
          <w:b/>
          <w:bCs/>
          <w:u w:val="single"/>
        </w:rPr>
        <w:t>at least 150</w:t>
      </w:r>
      <w:r w:rsidRPr="008E68DC">
        <w:rPr>
          <w:rFonts w:ascii="Tahoma" w:eastAsia="Tahoma" w:hAnsi="Tahoma" w:cs="Tahoma"/>
        </w:rPr>
        <w:t xml:space="preserve"> kW.</w:t>
      </w:r>
    </w:p>
    <w:p w14:paraId="03254F6E" w14:textId="77777777" w:rsidR="008974C0" w:rsidRPr="008E68DC" w:rsidRDefault="008974C0" w:rsidP="00735035">
      <w:pPr>
        <w:pStyle w:val="ListParagraph"/>
        <w:numPr>
          <w:ilvl w:val="0"/>
          <w:numId w:val="11"/>
        </w:numPr>
        <w:spacing w:after="120"/>
        <w:ind w:left="2160"/>
        <w:contextualSpacing w:val="0"/>
        <w:rPr>
          <w:rFonts w:ascii="Tahoma" w:eastAsia="Tahoma" w:hAnsi="Tahoma" w:cs="Tahoma"/>
        </w:rPr>
      </w:pPr>
      <w:r w:rsidRPr="008E68DC">
        <w:rPr>
          <w:rFonts w:ascii="Tahoma" w:eastAsia="Tahoma" w:hAnsi="Tahoma" w:cs="Tahoma"/>
        </w:rPr>
        <w:t xml:space="preserve">If </w:t>
      </w:r>
      <w:r w:rsidRPr="008E68DC">
        <w:rPr>
          <w:rFonts w:ascii="Tahoma" w:eastAsia="Tahoma" w:hAnsi="Tahoma" w:cs="Tahoma"/>
          <w:b/>
          <w:bCs/>
          <w:u w:val="single"/>
        </w:rPr>
        <w:t xml:space="preserve">the electric vehicle charging station will be open retail, each charging station port must be capable of providing at least 200 kW. If </w:t>
      </w:r>
      <w:r w:rsidRPr="008E68DC">
        <w:rPr>
          <w:rFonts w:ascii="Tahoma" w:eastAsia="Tahoma" w:hAnsi="Tahoma" w:cs="Tahoma"/>
        </w:rPr>
        <w:t>using Automated Load Management (ALM), which is not a requirement for this solicitation, the following applies:</w:t>
      </w:r>
    </w:p>
    <w:p w14:paraId="4964D9E5" w14:textId="2B7DAFCE" w:rsidR="008974C0" w:rsidRPr="008E68DC" w:rsidRDefault="008974C0" w:rsidP="00735035">
      <w:pPr>
        <w:pStyle w:val="ListParagraph"/>
        <w:numPr>
          <w:ilvl w:val="0"/>
          <w:numId w:val="13"/>
        </w:numPr>
        <w:spacing w:after="120"/>
        <w:ind w:left="2520"/>
        <w:contextualSpacing w:val="0"/>
        <w:rPr>
          <w:rFonts w:ascii="Tahoma" w:eastAsia="Tahoma" w:hAnsi="Tahoma" w:cs="Tahoma"/>
        </w:rPr>
      </w:pPr>
      <w:r w:rsidRPr="008E68DC">
        <w:rPr>
          <w:rFonts w:ascii="Tahoma" w:eastAsia="Tahoma" w:hAnsi="Tahoma" w:cs="Tahoma"/>
        </w:rPr>
        <w:t>Each port would need to be capable of simultaneously delivering at least 150 kW when all ports are in use.</w:t>
      </w:r>
      <w:r w:rsidR="00161A58" w:rsidRPr="008E68DC">
        <w:rPr>
          <w:rStyle w:val="FootnoteReference"/>
          <w:rFonts w:ascii="Tahoma" w:eastAsia="Tahoma" w:hAnsi="Tahoma" w:cs="Tahoma"/>
        </w:rPr>
        <w:footnoteReference w:id="2"/>
      </w:r>
    </w:p>
    <w:p w14:paraId="3D08031B" w14:textId="77777777" w:rsidR="008974C0" w:rsidRPr="008E68DC" w:rsidRDefault="008974C0" w:rsidP="00735035">
      <w:pPr>
        <w:pStyle w:val="ListParagraph"/>
        <w:numPr>
          <w:ilvl w:val="1"/>
          <w:numId w:val="2"/>
        </w:numPr>
        <w:spacing w:after="120"/>
        <w:ind w:left="1800"/>
        <w:contextualSpacing w:val="0"/>
        <w:rPr>
          <w:rFonts w:ascii="Tahoma" w:eastAsia="Tahoma" w:hAnsi="Tahoma" w:cs="Tahoma"/>
          <w:color w:val="000000" w:themeColor="text1"/>
        </w:rPr>
      </w:pPr>
      <w:r w:rsidRPr="008E68DC">
        <w:rPr>
          <w:rFonts w:ascii="Tahoma" w:eastAsia="Tahoma" w:hAnsi="Tahoma" w:cs="Tahoma"/>
          <w:color w:val="000000" w:themeColor="text1"/>
        </w:rPr>
        <w:t xml:space="preserve">Hydrogen refueling infrastructure for MDHD fuel cell electric vehicles (FCEVs) and/or port or off-road equipment: </w:t>
      </w:r>
    </w:p>
    <w:p w14:paraId="776BF647" w14:textId="5AE6EB1D" w:rsidR="008974C0" w:rsidRPr="008E68DC" w:rsidRDefault="008974C0" w:rsidP="00735035">
      <w:pPr>
        <w:pStyle w:val="ListParagraph"/>
        <w:numPr>
          <w:ilvl w:val="0"/>
          <w:numId w:val="11"/>
        </w:numPr>
        <w:spacing w:after="120"/>
        <w:ind w:left="2160"/>
        <w:contextualSpacing w:val="0"/>
        <w:rPr>
          <w:rFonts w:ascii="Tahoma" w:eastAsia="Tahoma" w:hAnsi="Tahoma" w:cs="Tahoma"/>
        </w:rPr>
      </w:pPr>
      <w:r w:rsidRPr="008E68DC">
        <w:rPr>
          <w:rFonts w:ascii="Tahoma" w:eastAsia="Tahoma" w:hAnsi="Tahoma" w:cs="Tahoma"/>
        </w:rPr>
        <w:t xml:space="preserve">If applying as a Small Port, a minimum of 2 heavy-duty hydrogen dispensing </w:t>
      </w:r>
      <w:r w:rsidR="005762EF" w:rsidRPr="008E68DC">
        <w:rPr>
          <w:rFonts w:ascii="Tahoma" w:eastAsia="Tahoma" w:hAnsi="Tahoma" w:cs="Tahoma"/>
        </w:rPr>
        <w:t>[</w:t>
      </w:r>
      <w:r w:rsidRPr="008E68DC">
        <w:rPr>
          <w:rFonts w:ascii="Tahoma" w:eastAsia="Tahoma" w:hAnsi="Tahoma" w:cs="Tahoma"/>
          <w:strike/>
        </w:rPr>
        <w:t>platforms</w:t>
      </w:r>
      <w:r w:rsidR="005762EF" w:rsidRPr="008E68DC">
        <w:rPr>
          <w:rFonts w:ascii="Tahoma" w:eastAsia="Tahoma" w:hAnsi="Tahoma" w:cs="Tahoma"/>
        </w:rPr>
        <w:t xml:space="preserve">] </w:t>
      </w:r>
      <w:r w:rsidR="005762EF" w:rsidRPr="008E68DC">
        <w:rPr>
          <w:rFonts w:ascii="Tahoma" w:eastAsia="Tahoma" w:hAnsi="Tahoma" w:cs="Tahoma"/>
          <w:b/>
          <w:bCs/>
          <w:u w:val="single"/>
        </w:rPr>
        <w:t>positions</w:t>
      </w:r>
      <w:r w:rsidRPr="008E68DC">
        <w:rPr>
          <w:rFonts w:ascii="Tahoma" w:eastAsia="Tahoma" w:hAnsi="Tahoma" w:cs="Tahoma"/>
        </w:rPr>
        <w:t xml:space="preserve"> for simultaneous refueling must be included in the proposed project. At least 1 of the </w:t>
      </w:r>
      <w:r w:rsidR="005762EF" w:rsidRPr="008E68DC">
        <w:rPr>
          <w:rFonts w:ascii="Tahoma" w:eastAsia="Tahoma" w:hAnsi="Tahoma" w:cs="Tahoma"/>
        </w:rPr>
        <w:t>[</w:t>
      </w:r>
      <w:r w:rsidRPr="008E68DC">
        <w:rPr>
          <w:rFonts w:ascii="Tahoma" w:eastAsia="Tahoma" w:hAnsi="Tahoma" w:cs="Tahoma"/>
          <w:strike/>
        </w:rPr>
        <w:t>platforms</w:t>
      </w:r>
      <w:r w:rsidR="005762EF" w:rsidRPr="008E68DC">
        <w:rPr>
          <w:rFonts w:ascii="Tahoma" w:eastAsia="Tahoma" w:hAnsi="Tahoma" w:cs="Tahoma"/>
        </w:rPr>
        <w:t xml:space="preserve">] </w:t>
      </w:r>
      <w:r w:rsidR="005762EF" w:rsidRPr="008E68DC">
        <w:rPr>
          <w:rFonts w:ascii="Tahoma" w:eastAsia="Tahoma" w:hAnsi="Tahoma" w:cs="Tahoma"/>
          <w:b/>
          <w:bCs/>
          <w:u w:val="single"/>
        </w:rPr>
        <w:t>positions</w:t>
      </w:r>
      <w:r w:rsidRPr="008E68DC">
        <w:rPr>
          <w:rFonts w:ascii="Tahoma" w:eastAsia="Tahoma" w:hAnsi="Tahoma" w:cs="Tahoma"/>
        </w:rPr>
        <w:t xml:space="preserve"> must dispense at 700-bar.  </w:t>
      </w:r>
    </w:p>
    <w:p w14:paraId="03D3E8F9" w14:textId="51EDE2A5" w:rsidR="008974C0" w:rsidRPr="008E68DC" w:rsidRDefault="008974C0" w:rsidP="00735035">
      <w:pPr>
        <w:pStyle w:val="ListParagraph"/>
        <w:numPr>
          <w:ilvl w:val="0"/>
          <w:numId w:val="11"/>
        </w:numPr>
        <w:spacing w:after="120"/>
        <w:ind w:left="2160"/>
        <w:contextualSpacing w:val="0"/>
        <w:rPr>
          <w:rFonts w:ascii="Tahoma" w:eastAsia="Tahoma" w:hAnsi="Tahoma" w:cs="Tahoma"/>
        </w:rPr>
      </w:pPr>
      <w:r w:rsidRPr="008E68DC">
        <w:rPr>
          <w:rFonts w:ascii="Tahoma" w:eastAsia="Tahoma" w:hAnsi="Tahoma" w:cs="Tahoma"/>
        </w:rPr>
        <w:lastRenderedPageBreak/>
        <w:t xml:space="preserve">If applying as a Large Port, a minimum of 4 heavy-duty hydrogen dispensing </w:t>
      </w:r>
      <w:r w:rsidR="000C6F07" w:rsidRPr="008E68DC">
        <w:rPr>
          <w:rFonts w:ascii="Tahoma" w:eastAsia="Tahoma" w:hAnsi="Tahoma" w:cs="Tahoma"/>
        </w:rPr>
        <w:t>[</w:t>
      </w:r>
      <w:r w:rsidRPr="008E68DC">
        <w:rPr>
          <w:rFonts w:ascii="Tahoma" w:eastAsia="Tahoma" w:hAnsi="Tahoma" w:cs="Tahoma"/>
          <w:strike/>
        </w:rPr>
        <w:t>platforms</w:t>
      </w:r>
      <w:r w:rsidR="000C6F07" w:rsidRPr="008E68DC">
        <w:rPr>
          <w:rFonts w:ascii="Tahoma" w:eastAsia="Tahoma" w:hAnsi="Tahoma" w:cs="Tahoma"/>
        </w:rPr>
        <w:t xml:space="preserve">] </w:t>
      </w:r>
      <w:r w:rsidR="000C6F07" w:rsidRPr="008E68DC">
        <w:rPr>
          <w:rFonts w:ascii="Tahoma" w:eastAsia="Tahoma" w:hAnsi="Tahoma" w:cs="Tahoma"/>
          <w:b/>
          <w:bCs/>
          <w:u w:val="single"/>
        </w:rPr>
        <w:t>positions</w:t>
      </w:r>
      <w:r w:rsidRPr="008E68DC">
        <w:rPr>
          <w:rFonts w:ascii="Tahoma" w:eastAsia="Tahoma" w:hAnsi="Tahoma" w:cs="Tahoma"/>
        </w:rPr>
        <w:t xml:space="preserve"> for simultaneous refueling must be included in the proposed project. At least 2 of the </w:t>
      </w:r>
      <w:r w:rsidR="000C6F07" w:rsidRPr="008E68DC">
        <w:rPr>
          <w:rFonts w:ascii="Tahoma" w:eastAsia="Tahoma" w:hAnsi="Tahoma" w:cs="Tahoma"/>
        </w:rPr>
        <w:t>[</w:t>
      </w:r>
      <w:r w:rsidRPr="008E68DC">
        <w:rPr>
          <w:rFonts w:ascii="Tahoma" w:eastAsia="Tahoma" w:hAnsi="Tahoma" w:cs="Tahoma"/>
          <w:strike/>
        </w:rPr>
        <w:t>platforms</w:t>
      </w:r>
      <w:r w:rsidR="000C6F07" w:rsidRPr="008E68DC">
        <w:rPr>
          <w:rFonts w:ascii="Tahoma" w:eastAsia="Tahoma" w:hAnsi="Tahoma" w:cs="Tahoma"/>
        </w:rPr>
        <w:t xml:space="preserve">] </w:t>
      </w:r>
      <w:r w:rsidR="000C6F07" w:rsidRPr="008E68DC">
        <w:rPr>
          <w:rFonts w:ascii="Tahoma" w:eastAsia="Tahoma" w:hAnsi="Tahoma" w:cs="Tahoma"/>
          <w:b/>
          <w:bCs/>
          <w:u w:val="single"/>
        </w:rPr>
        <w:t>positions</w:t>
      </w:r>
      <w:r w:rsidRPr="008E68DC">
        <w:rPr>
          <w:rFonts w:ascii="Tahoma" w:eastAsia="Tahoma" w:hAnsi="Tahoma" w:cs="Tahoma"/>
        </w:rPr>
        <w:t xml:space="preserve"> must dispense at 700-bar.  </w:t>
      </w:r>
    </w:p>
    <w:p w14:paraId="739D5093" w14:textId="77777777" w:rsidR="008974C0" w:rsidRPr="008E68DC" w:rsidRDefault="008974C0" w:rsidP="005A09CA">
      <w:pPr>
        <w:pStyle w:val="ListParagraph"/>
        <w:numPr>
          <w:ilvl w:val="0"/>
          <w:numId w:val="11"/>
        </w:numPr>
        <w:ind w:left="2160"/>
        <w:contextualSpacing w:val="0"/>
        <w:rPr>
          <w:rFonts w:ascii="Tahoma" w:eastAsia="Tahoma" w:hAnsi="Tahoma" w:cs="Tahoma"/>
        </w:rPr>
      </w:pPr>
      <w:r w:rsidRPr="008E68DC">
        <w:rPr>
          <w:rFonts w:ascii="Tahoma" w:eastAsia="Tahoma" w:hAnsi="Tahoma" w:cs="Tahoma"/>
          <w:b/>
          <w:bCs/>
          <w:u w:val="single"/>
        </w:rPr>
        <w:t>Hydrogen refueling position(s) must be capable of simultaneous refueling.</w:t>
      </w:r>
    </w:p>
    <w:p w14:paraId="2FC519FD" w14:textId="77777777" w:rsidR="005A09CA" w:rsidRPr="008E68DC" w:rsidRDefault="005A09CA" w:rsidP="005A09CA">
      <w:pPr>
        <w:pStyle w:val="ListParagraph"/>
        <w:ind w:left="2160"/>
        <w:contextualSpacing w:val="0"/>
        <w:rPr>
          <w:rFonts w:ascii="Tahoma" w:eastAsia="Tahoma" w:hAnsi="Tahoma" w:cs="Tahoma"/>
        </w:rPr>
      </w:pPr>
    </w:p>
    <w:p w14:paraId="7529197A" w14:textId="77777777" w:rsidR="008974C0" w:rsidRPr="008E68DC" w:rsidRDefault="008974C0" w:rsidP="005A09CA">
      <w:pPr>
        <w:pStyle w:val="ListParagraph"/>
        <w:numPr>
          <w:ilvl w:val="0"/>
          <w:numId w:val="12"/>
        </w:numPr>
        <w:ind w:left="1440" w:hanging="720"/>
        <w:contextualSpacing w:val="0"/>
        <w:rPr>
          <w:rFonts w:ascii="Tahoma" w:eastAsia="Tahoma" w:hAnsi="Tahoma" w:cs="Tahoma"/>
          <w:b/>
          <w:bCs/>
          <w:color w:val="000000" w:themeColor="text1"/>
        </w:rPr>
      </w:pPr>
      <w:r w:rsidRPr="008E68DC">
        <w:rPr>
          <w:rFonts w:ascii="Tahoma" w:eastAsia="Tahoma" w:hAnsi="Tahoma" w:cs="Tahoma"/>
          <w:b/>
          <w:bCs/>
          <w:color w:val="000000" w:themeColor="text1"/>
        </w:rPr>
        <w:t>Project Location</w:t>
      </w:r>
    </w:p>
    <w:p w14:paraId="44C343BF" w14:textId="77777777" w:rsidR="008974C0" w:rsidRPr="008E68DC" w:rsidRDefault="008974C0" w:rsidP="008974C0">
      <w:pPr>
        <w:pStyle w:val="ListParagraph"/>
        <w:spacing w:before="100" w:beforeAutospacing="1" w:after="100" w:afterAutospacing="1"/>
        <w:ind w:left="1440"/>
        <w:rPr>
          <w:rFonts w:ascii="Tahoma" w:eastAsia="Tahoma" w:hAnsi="Tahoma" w:cs="Tahoma"/>
          <w:color w:val="000000" w:themeColor="text1"/>
        </w:rPr>
      </w:pPr>
      <w:r w:rsidRPr="008E68DC">
        <w:rPr>
          <w:rFonts w:ascii="Tahoma" w:eastAsia="Tahoma" w:hAnsi="Tahoma" w:cs="Tahoma"/>
          <w:color w:val="000000" w:themeColor="text1"/>
        </w:rPr>
        <w:t>The project must be located on the port or at a location that directly serves the port. If not located at a port, the project narrative should describe how the location directly supports the port operations.</w:t>
      </w:r>
    </w:p>
    <w:p w14:paraId="6C3E4B6F" w14:textId="77777777" w:rsidR="00F243B9" w:rsidRPr="008E68DC" w:rsidRDefault="00F243B9" w:rsidP="008974C0">
      <w:pPr>
        <w:pStyle w:val="ListParagraph"/>
        <w:spacing w:before="100" w:beforeAutospacing="1" w:after="100" w:afterAutospacing="1"/>
        <w:ind w:left="1440"/>
        <w:rPr>
          <w:rFonts w:ascii="Tahoma" w:eastAsia="Tahoma" w:hAnsi="Tahoma" w:cs="Tahoma"/>
          <w:color w:val="000000" w:themeColor="text1"/>
        </w:rPr>
      </w:pPr>
    </w:p>
    <w:p w14:paraId="120ADBEB" w14:textId="52C69A24" w:rsidR="008974C0" w:rsidRPr="0085719F" w:rsidRDefault="00851047" w:rsidP="008974C0">
      <w:pPr>
        <w:pStyle w:val="ListParagraph"/>
        <w:spacing w:before="100" w:beforeAutospacing="1" w:after="100" w:afterAutospacing="1"/>
        <w:ind w:left="1440"/>
        <w:rPr>
          <w:rFonts w:ascii="Tahoma" w:eastAsia="Tahoma" w:hAnsi="Tahoma" w:cs="Tahoma"/>
        </w:rPr>
      </w:pPr>
      <w:r w:rsidRPr="008E68DC">
        <w:rPr>
          <w:rFonts w:ascii="Tahoma" w:eastAsia="Tahoma" w:hAnsi="Tahoma" w:cs="Tahoma"/>
          <w:b/>
          <w:bCs/>
          <w:color w:val="000000" w:themeColor="text1"/>
          <w:u w:val="single"/>
        </w:rPr>
        <w:t xml:space="preserve">Multiple project locations are not allowed within a single application. </w:t>
      </w:r>
      <w:r w:rsidR="008974C0" w:rsidRPr="008E68DC">
        <w:rPr>
          <w:rFonts w:ascii="Tahoma" w:eastAsia="Tahoma" w:hAnsi="Tahoma" w:cs="Tahoma"/>
          <w:b/>
          <w:bCs/>
          <w:color w:val="000000" w:themeColor="text1"/>
          <w:u w:val="single"/>
        </w:rPr>
        <w:t xml:space="preserve">A </w:t>
      </w:r>
      <w:r w:rsidRPr="008E68DC">
        <w:rPr>
          <w:rFonts w:ascii="Tahoma" w:eastAsia="Tahoma" w:hAnsi="Tahoma" w:cs="Tahoma"/>
          <w:b/>
          <w:bCs/>
          <w:color w:val="000000" w:themeColor="text1"/>
          <w:u w:val="single"/>
        </w:rPr>
        <w:t xml:space="preserve">project </w:t>
      </w:r>
      <w:r w:rsidR="008974C0" w:rsidRPr="008E68DC">
        <w:rPr>
          <w:rFonts w:ascii="Tahoma" w:eastAsia="Tahoma" w:hAnsi="Tahoma" w:cs="Tahoma"/>
          <w:b/>
          <w:bCs/>
          <w:color w:val="000000" w:themeColor="text1"/>
          <w:u w:val="single"/>
        </w:rPr>
        <w:t xml:space="preserve">location is defined as </w:t>
      </w:r>
      <w:r w:rsidRPr="008E68DC">
        <w:rPr>
          <w:rFonts w:ascii="Tahoma" w:eastAsia="Tahoma" w:hAnsi="Tahoma" w:cs="Tahoma"/>
          <w:b/>
          <w:bCs/>
          <w:color w:val="000000" w:themeColor="text1"/>
          <w:u w:val="single"/>
        </w:rPr>
        <w:t>a single</w:t>
      </w:r>
      <w:r w:rsidR="008974C0" w:rsidRPr="008E68DC">
        <w:rPr>
          <w:rFonts w:ascii="Tahoma" w:eastAsia="Tahoma" w:hAnsi="Tahoma" w:cs="Tahoma"/>
          <w:b/>
          <w:bCs/>
          <w:color w:val="000000" w:themeColor="text1"/>
          <w:u w:val="single"/>
        </w:rPr>
        <w:t xml:space="preserve"> project </w:t>
      </w:r>
      <w:r w:rsidRPr="008E68DC">
        <w:rPr>
          <w:rFonts w:ascii="Tahoma" w:eastAsia="Tahoma" w:hAnsi="Tahoma" w:cs="Tahoma"/>
          <w:b/>
          <w:bCs/>
          <w:color w:val="000000" w:themeColor="text1"/>
          <w:u w:val="single"/>
        </w:rPr>
        <w:t xml:space="preserve">site </w:t>
      </w:r>
      <w:r w:rsidR="008974C0" w:rsidRPr="008E68DC">
        <w:rPr>
          <w:rFonts w:ascii="Tahoma" w:eastAsia="Tahoma" w:hAnsi="Tahoma" w:cs="Tahoma"/>
          <w:b/>
          <w:bCs/>
          <w:color w:val="000000" w:themeColor="text1"/>
          <w:u w:val="single"/>
        </w:rPr>
        <w:t>address</w:t>
      </w:r>
      <w:r w:rsidRPr="008E68DC">
        <w:rPr>
          <w:rFonts w:ascii="Tahoma" w:eastAsia="Tahoma" w:hAnsi="Tahoma" w:cs="Tahoma"/>
          <w:b/>
          <w:bCs/>
          <w:color w:val="000000" w:themeColor="text1"/>
          <w:u w:val="single"/>
        </w:rPr>
        <w:t>, however if the</w:t>
      </w:r>
      <w:r w:rsidR="008974C0" w:rsidRPr="008E68DC">
        <w:rPr>
          <w:rFonts w:ascii="Tahoma" w:eastAsia="Tahoma" w:hAnsi="Tahoma" w:cs="Tahoma"/>
          <w:b/>
          <w:bCs/>
          <w:color w:val="000000" w:themeColor="text1"/>
          <w:u w:val="single"/>
        </w:rPr>
        <w:t xml:space="preserve"> Port </w:t>
      </w:r>
      <w:r w:rsidRPr="008E68DC">
        <w:rPr>
          <w:rFonts w:ascii="Tahoma" w:eastAsia="Tahoma" w:hAnsi="Tahoma" w:cs="Tahoma"/>
          <w:b/>
          <w:bCs/>
          <w:color w:val="000000" w:themeColor="text1"/>
          <w:u w:val="single"/>
        </w:rPr>
        <w:t xml:space="preserve">is the </w:t>
      </w:r>
      <w:r w:rsidR="008974C0" w:rsidRPr="008E68DC">
        <w:rPr>
          <w:rFonts w:ascii="Tahoma" w:eastAsia="Tahoma" w:hAnsi="Tahoma" w:cs="Tahoma"/>
          <w:b/>
          <w:bCs/>
          <w:color w:val="000000" w:themeColor="text1"/>
          <w:u w:val="single"/>
        </w:rPr>
        <w:t xml:space="preserve">Prime Applicant </w:t>
      </w:r>
      <w:r w:rsidRPr="008E68DC">
        <w:rPr>
          <w:rFonts w:ascii="Tahoma" w:eastAsia="Tahoma" w:hAnsi="Tahoma" w:cs="Tahoma"/>
          <w:b/>
          <w:bCs/>
          <w:color w:val="000000" w:themeColor="text1"/>
          <w:u w:val="single"/>
        </w:rPr>
        <w:t xml:space="preserve">and the project is located on-port, the application </w:t>
      </w:r>
      <w:r w:rsidR="008974C0" w:rsidRPr="008E68DC">
        <w:rPr>
          <w:rFonts w:ascii="Tahoma" w:eastAsia="Tahoma" w:hAnsi="Tahoma" w:cs="Tahoma"/>
          <w:b/>
          <w:bCs/>
          <w:color w:val="000000" w:themeColor="text1"/>
          <w:u w:val="single"/>
        </w:rPr>
        <w:t xml:space="preserve">may </w:t>
      </w:r>
      <w:r w:rsidRPr="008E68DC">
        <w:rPr>
          <w:rFonts w:ascii="Tahoma" w:eastAsia="Tahoma" w:hAnsi="Tahoma" w:cs="Tahoma"/>
          <w:b/>
          <w:bCs/>
          <w:color w:val="000000" w:themeColor="text1"/>
          <w:u w:val="single"/>
        </w:rPr>
        <w:t>include</w:t>
      </w:r>
      <w:r w:rsidR="008974C0" w:rsidRPr="008E68DC">
        <w:rPr>
          <w:rFonts w:ascii="Tahoma" w:eastAsia="Tahoma" w:hAnsi="Tahoma" w:cs="Tahoma"/>
          <w:b/>
          <w:bCs/>
          <w:color w:val="000000" w:themeColor="text1"/>
          <w:u w:val="single"/>
        </w:rPr>
        <w:t xml:space="preserve"> multiple sites within </w:t>
      </w:r>
      <w:r w:rsidRPr="008E68DC">
        <w:rPr>
          <w:rFonts w:ascii="Tahoma" w:eastAsia="Tahoma" w:hAnsi="Tahoma" w:cs="Tahoma"/>
          <w:b/>
          <w:bCs/>
          <w:color w:val="000000" w:themeColor="text1"/>
          <w:u w:val="single"/>
        </w:rPr>
        <w:t xml:space="preserve">the </w:t>
      </w:r>
      <w:r w:rsidR="008974C0" w:rsidRPr="008E68DC">
        <w:rPr>
          <w:rFonts w:ascii="Tahoma" w:eastAsia="Tahoma" w:hAnsi="Tahoma" w:cs="Tahoma"/>
          <w:b/>
          <w:bCs/>
          <w:color w:val="000000" w:themeColor="text1"/>
          <w:u w:val="single"/>
        </w:rPr>
        <w:t xml:space="preserve">port boundaries (e.g., </w:t>
      </w:r>
      <w:r w:rsidRPr="008E68DC">
        <w:rPr>
          <w:rFonts w:ascii="Tahoma" w:eastAsia="Tahoma" w:hAnsi="Tahoma" w:cs="Tahoma"/>
          <w:b/>
          <w:bCs/>
          <w:color w:val="000000" w:themeColor="text1"/>
          <w:u w:val="single"/>
        </w:rPr>
        <w:t>across terminals), provided all sites collectively meet the minimum infrastructure deployment requirements and support the port’s operations.</w:t>
      </w:r>
      <w:r w:rsidR="008974C0" w:rsidRPr="008E68DC">
        <w:rPr>
          <w:rFonts w:ascii="Tahoma" w:eastAsia="Tahoma" w:hAnsi="Tahoma" w:cs="Tahoma"/>
          <w:b/>
          <w:bCs/>
          <w:color w:val="000000" w:themeColor="text1"/>
          <w:u w:val="single"/>
        </w:rPr>
        <w:t xml:space="preserve"> </w:t>
      </w:r>
    </w:p>
    <w:p w14:paraId="4567A158" w14:textId="77777777" w:rsidR="00F243B9" w:rsidRPr="008E68DC" w:rsidRDefault="00F243B9" w:rsidP="008974C0">
      <w:pPr>
        <w:pStyle w:val="ListParagraph"/>
        <w:spacing w:before="100" w:beforeAutospacing="1" w:after="100" w:afterAutospacing="1"/>
        <w:ind w:left="1440"/>
        <w:rPr>
          <w:rFonts w:ascii="Tahoma" w:eastAsia="Tahoma" w:hAnsi="Tahoma" w:cs="Tahoma"/>
          <w:color w:val="000000" w:themeColor="text1"/>
        </w:rPr>
      </w:pPr>
    </w:p>
    <w:p w14:paraId="45A37E91" w14:textId="2CE0C162" w:rsidR="008974C0" w:rsidRPr="008E68DC" w:rsidRDefault="008974C0" w:rsidP="00735AA5">
      <w:pPr>
        <w:pStyle w:val="ListParagraph"/>
        <w:ind w:left="1440"/>
        <w:rPr>
          <w:rFonts w:ascii="Tahoma" w:eastAsia="Tahoma" w:hAnsi="Tahoma" w:cs="Tahoma"/>
          <w:color w:val="000000" w:themeColor="text1"/>
        </w:rPr>
      </w:pPr>
      <w:r w:rsidRPr="008E68DC">
        <w:rPr>
          <w:rFonts w:ascii="Tahoma" w:eastAsia="Tahoma" w:hAnsi="Tahoma" w:cs="Tahoma"/>
          <w:color w:val="000000" w:themeColor="text1"/>
        </w:rPr>
        <w:t xml:space="preserve">The project must also be able to demonstrate documentation from the utility showing adequate electrical capacity at the proposed site or a timeline for energization at the proposed site. </w:t>
      </w:r>
    </w:p>
    <w:p w14:paraId="21808365" w14:textId="77777777" w:rsidR="00735AA5" w:rsidRPr="008E68DC" w:rsidRDefault="00735AA5" w:rsidP="00735AA5">
      <w:pPr>
        <w:pStyle w:val="ListParagraph"/>
        <w:ind w:left="1440"/>
        <w:rPr>
          <w:rFonts w:ascii="Tahoma" w:eastAsia="Tahoma" w:hAnsi="Tahoma" w:cs="Tahoma"/>
          <w:color w:val="000000" w:themeColor="text1"/>
        </w:rPr>
      </w:pPr>
    </w:p>
    <w:p w14:paraId="590DC482" w14:textId="4F27FCA6" w:rsidR="00BD4389" w:rsidRPr="008E68DC" w:rsidRDefault="00BD4389" w:rsidP="00677C75">
      <w:pPr>
        <w:ind w:left="1440"/>
        <w:rPr>
          <w:rFonts w:ascii="Tahoma" w:eastAsia="Tahoma" w:hAnsi="Tahoma" w:cs="Tahoma"/>
          <w:b/>
          <w:bCs/>
          <w:color w:val="000000"/>
          <w:u w:val="single"/>
        </w:rPr>
      </w:pPr>
      <w:r w:rsidRPr="008E68DC">
        <w:rPr>
          <w:rFonts w:ascii="Tahoma" w:eastAsia="Tahoma" w:hAnsi="Tahoma" w:cs="Tahoma"/>
          <w:b/>
          <w:bCs/>
          <w:color w:val="000000"/>
          <w:u w:val="single"/>
        </w:rPr>
        <w:t xml:space="preserve">Priority Populations: </w:t>
      </w:r>
      <w:r w:rsidR="00F17EFB" w:rsidRPr="00F17EFB">
        <w:rPr>
          <w:rFonts w:ascii="Tahoma" w:eastAsia="Tahoma" w:hAnsi="Tahoma" w:cs="Tahoma"/>
          <w:b/>
          <w:bCs/>
          <w:color w:val="000000"/>
          <w:u w:val="single"/>
        </w:rPr>
        <w:t>At least 50% of allocated funds shall directly benefit or serve residents of low-income communities and disadvantaged communities</w:t>
      </w:r>
      <w:r w:rsidRPr="008E68DC">
        <w:rPr>
          <w:rFonts w:ascii="Tahoma" w:eastAsia="Tahoma" w:hAnsi="Tahoma" w:cs="Tahoma"/>
          <w:b/>
          <w:bCs/>
          <w:color w:val="000000"/>
          <w:u w:val="single"/>
        </w:rPr>
        <w:t xml:space="preserve"> with the map provided at Priority Populations — California Climate Investments </w:t>
      </w:r>
      <w:hyperlink r:id="rId12" w:history="1">
        <w:r w:rsidR="0095156A" w:rsidRPr="008E68DC">
          <w:rPr>
            <w:rStyle w:val="Hyperlink"/>
            <w:rFonts w:ascii="Tahoma" w:eastAsia="Tahoma" w:hAnsi="Tahoma" w:cs="Tahoma"/>
            <w:b/>
            <w:bCs/>
          </w:rPr>
          <w:t>https://www.caclimateinvestments.ca.gov/priority-populations</w:t>
        </w:r>
      </w:hyperlink>
      <w:r w:rsidRPr="008E68DC">
        <w:rPr>
          <w:rFonts w:ascii="Tahoma" w:eastAsia="Tahoma" w:hAnsi="Tahoma" w:cs="Tahoma"/>
          <w:b/>
          <w:bCs/>
          <w:color w:val="000000"/>
          <w:u w:val="single"/>
        </w:rPr>
        <w:t>.</w:t>
      </w:r>
    </w:p>
    <w:p w14:paraId="3C1A09E8" w14:textId="77777777" w:rsidR="0095156A" w:rsidRPr="008E68DC" w:rsidRDefault="0095156A" w:rsidP="00677C75">
      <w:pPr>
        <w:ind w:left="1440"/>
        <w:rPr>
          <w:rFonts w:ascii="Tahoma" w:eastAsia="Tahoma" w:hAnsi="Tahoma" w:cs="Tahoma"/>
          <w:b/>
          <w:bCs/>
          <w:color w:val="000000"/>
          <w:u w:val="single"/>
        </w:rPr>
      </w:pPr>
    </w:p>
    <w:p w14:paraId="10FC7AC2" w14:textId="77777777" w:rsidR="0095156A" w:rsidRPr="008E68DC" w:rsidRDefault="0095156A" w:rsidP="0085719F">
      <w:pPr>
        <w:pStyle w:val="ListParagraph"/>
        <w:numPr>
          <w:ilvl w:val="0"/>
          <w:numId w:val="34"/>
        </w:numPr>
        <w:contextualSpacing w:val="0"/>
        <w:rPr>
          <w:rFonts w:ascii="Tahoma" w:eastAsia="Tahoma" w:hAnsi="Tahoma" w:cs="Tahoma"/>
          <w:b/>
          <w:bCs/>
          <w:i/>
          <w:iCs/>
          <w:color w:val="000000" w:themeColor="text1"/>
        </w:rPr>
      </w:pPr>
      <w:r w:rsidRPr="008E68DC">
        <w:rPr>
          <w:rFonts w:ascii="Tahoma" w:eastAsia="Tahoma" w:hAnsi="Tahoma" w:cs="Tahoma"/>
          <w:b/>
          <w:bCs/>
          <w:i/>
          <w:iCs/>
          <w:color w:val="000000" w:themeColor="text1"/>
        </w:rPr>
        <w:t xml:space="preserve">For </w:t>
      </w:r>
      <w:r w:rsidRPr="008E68DC">
        <w:rPr>
          <w:rFonts w:ascii="Tahoma" w:eastAsia="Tahoma" w:hAnsi="Tahoma" w:cs="Tahoma"/>
          <w:b/>
          <w:i/>
          <w:color w:val="000000" w:themeColor="text1"/>
        </w:rPr>
        <w:t>H</w:t>
      </w:r>
      <w:r w:rsidRPr="008E68DC">
        <w:rPr>
          <w:rFonts w:ascii="Tahoma" w:eastAsia="Tahoma" w:hAnsi="Tahoma" w:cs="Tahoma"/>
          <w:b/>
          <w:bCs/>
          <w:i/>
          <w:iCs/>
          <w:color w:val="000000" w:themeColor="text1"/>
        </w:rPr>
        <w:t xml:space="preserve">ydrogen </w:t>
      </w:r>
      <w:r w:rsidRPr="008E68DC">
        <w:rPr>
          <w:rFonts w:ascii="Tahoma" w:eastAsia="Tahoma" w:hAnsi="Tahoma" w:cs="Tahoma"/>
          <w:b/>
          <w:i/>
          <w:color w:val="000000" w:themeColor="text1"/>
        </w:rPr>
        <w:t>R</w:t>
      </w:r>
      <w:r w:rsidRPr="008E68DC">
        <w:rPr>
          <w:rFonts w:ascii="Tahoma" w:eastAsia="Tahoma" w:hAnsi="Tahoma" w:cs="Tahoma"/>
          <w:b/>
          <w:bCs/>
          <w:i/>
          <w:iCs/>
          <w:color w:val="000000" w:themeColor="text1"/>
        </w:rPr>
        <w:t xml:space="preserve">efueling </w:t>
      </w:r>
      <w:r w:rsidRPr="008E68DC">
        <w:rPr>
          <w:rFonts w:ascii="Tahoma" w:eastAsia="Tahoma" w:hAnsi="Tahoma" w:cs="Tahoma"/>
          <w:b/>
          <w:i/>
          <w:color w:val="000000" w:themeColor="text1"/>
        </w:rPr>
        <w:t>P</w:t>
      </w:r>
      <w:r w:rsidRPr="008E68DC">
        <w:rPr>
          <w:rFonts w:ascii="Tahoma" w:eastAsia="Tahoma" w:hAnsi="Tahoma" w:cs="Tahoma"/>
          <w:b/>
          <w:bCs/>
          <w:i/>
          <w:iCs/>
          <w:color w:val="000000" w:themeColor="text1"/>
        </w:rPr>
        <w:t xml:space="preserve">rojects </w:t>
      </w:r>
      <w:r w:rsidRPr="008E68DC">
        <w:rPr>
          <w:rFonts w:ascii="Tahoma" w:eastAsia="Tahoma" w:hAnsi="Tahoma" w:cs="Tahoma"/>
          <w:b/>
          <w:i/>
          <w:color w:val="000000" w:themeColor="text1"/>
        </w:rPr>
        <w:t>O</w:t>
      </w:r>
      <w:r w:rsidRPr="008E68DC">
        <w:rPr>
          <w:rFonts w:ascii="Tahoma" w:eastAsia="Tahoma" w:hAnsi="Tahoma" w:cs="Tahoma"/>
          <w:b/>
          <w:bCs/>
          <w:i/>
          <w:iCs/>
          <w:color w:val="000000" w:themeColor="text1"/>
        </w:rPr>
        <w:t xml:space="preserve">nly: </w:t>
      </w:r>
    </w:p>
    <w:p w14:paraId="40FE1794" w14:textId="77777777" w:rsidR="0095156A" w:rsidRPr="008E68DC" w:rsidRDefault="0095156A" w:rsidP="0095156A">
      <w:pPr>
        <w:pStyle w:val="ListParagraph"/>
        <w:numPr>
          <w:ilvl w:val="2"/>
          <w:numId w:val="28"/>
        </w:numPr>
        <w:spacing w:before="100" w:beforeAutospacing="1" w:after="100" w:afterAutospacing="1"/>
        <w:ind w:left="1800"/>
        <w:contextualSpacing w:val="0"/>
        <w:rPr>
          <w:rFonts w:ascii="Tahoma" w:eastAsia="Tahoma" w:hAnsi="Tahoma" w:cs="Tahoma"/>
        </w:rPr>
      </w:pPr>
      <w:r w:rsidRPr="008E68DC">
        <w:rPr>
          <w:rFonts w:ascii="Tahoma" w:eastAsia="Tahoma" w:hAnsi="Tahoma" w:cs="Tahoma"/>
          <w:b/>
          <w:bCs/>
        </w:rPr>
        <w:t>[</w:t>
      </w:r>
      <w:r w:rsidRPr="008E68DC">
        <w:rPr>
          <w:rFonts w:ascii="Tahoma" w:eastAsia="Tahoma" w:hAnsi="Tahoma" w:cs="Tahoma"/>
          <w:b/>
          <w:bCs/>
          <w:strike/>
        </w:rPr>
        <w:t xml:space="preserve">Priority Populations: </w:t>
      </w:r>
      <w:r w:rsidRPr="008E68DC">
        <w:rPr>
          <w:rFonts w:ascii="Tahoma" w:eastAsia="Tahoma" w:hAnsi="Tahoma" w:cs="Tahoma"/>
          <w:strike/>
        </w:rPr>
        <w:t xml:space="preserve">At least 50% of the locations in the application must directly benefit or serve residents of disadvantaged and low-income communities and low-income Californians in accordance with the map provided at </w:t>
      </w:r>
      <w:r w:rsidRPr="008E68DC">
        <w:rPr>
          <w:rStyle w:val="Hyperlink"/>
          <w:rFonts w:ascii="Tahoma" w:eastAsia="Tahoma" w:hAnsi="Tahoma" w:cs="Tahoma"/>
          <w:strike/>
          <w:color w:val="0000CC"/>
        </w:rPr>
        <w:t xml:space="preserve">Priority Populations — California Climate Investments </w:t>
      </w:r>
      <w:r w:rsidRPr="008E68DC">
        <w:rPr>
          <w:rFonts w:ascii="Tahoma" w:eastAsia="Tahoma" w:hAnsi="Tahoma" w:cs="Tahoma"/>
          <w:strike/>
        </w:rPr>
        <w:t>https://www.caclimateinvestments.ca.gov/priority-populations.</w:t>
      </w:r>
      <w:r w:rsidRPr="008E68DC">
        <w:rPr>
          <w:rFonts w:ascii="Tahoma" w:eastAsia="Tahoma" w:hAnsi="Tahoma" w:cs="Tahoma"/>
        </w:rPr>
        <w:t>]</w:t>
      </w:r>
    </w:p>
    <w:p w14:paraId="199760D0" w14:textId="0994748D" w:rsidR="00BD4389" w:rsidRPr="0085719F" w:rsidRDefault="00BD4389" w:rsidP="00271061">
      <w:pPr>
        <w:pStyle w:val="ListParagraph"/>
        <w:ind w:left="1440"/>
        <w:rPr>
          <w:rFonts w:ascii="Tahoma" w:eastAsia="Tahoma" w:hAnsi="Tahoma" w:cs="Tahoma"/>
        </w:rPr>
      </w:pPr>
    </w:p>
    <w:p w14:paraId="55D7CB17" w14:textId="76747BF4" w:rsidR="00174ACC" w:rsidRDefault="00174ACC" w:rsidP="00735035">
      <w:pPr>
        <w:pStyle w:val="Heading2"/>
        <w:keepNext w:val="0"/>
        <w:numPr>
          <w:ilvl w:val="0"/>
          <w:numId w:val="1"/>
        </w:numPr>
        <w:spacing w:before="0" w:after="0"/>
        <w:ind w:left="720" w:hanging="720"/>
        <w:rPr>
          <w:rFonts w:ascii="Tahoma" w:hAnsi="Tahoma" w:cs="Tahoma"/>
          <w:smallCaps w:val="0"/>
          <w:sz w:val="24"/>
          <w:szCs w:val="24"/>
          <w:lang w:val="en-US"/>
        </w:rPr>
      </w:pPr>
      <w:bookmarkStart w:id="2" w:name="_Toc155803490"/>
      <w:r>
        <w:rPr>
          <w:rFonts w:ascii="Tahoma" w:hAnsi="Tahoma" w:cs="Tahoma"/>
          <w:smallCaps w:val="0"/>
          <w:sz w:val="24"/>
          <w:szCs w:val="24"/>
          <w:lang w:val="en-US"/>
        </w:rPr>
        <w:t>Section II.C. MINIMUM TECHNICAL REQUIREMENTS FOR OPEN RETAIL ELECTRIC VEHICLE CHARGING STATIONS</w:t>
      </w:r>
    </w:p>
    <w:p w14:paraId="2DBF69B2" w14:textId="77777777" w:rsidR="00174ACC" w:rsidRDefault="00174ACC" w:rsidP="00174ACC">
      <w:pPr>
        <w:pStyle w:val="Heading3"/>
        <w:rPr>
          <w:lang w:eastAsia="x-none"/>
        </w:rPr>
      </w:pPr>
    </w:p>
    <w:p w14:paraId="192C82A6" w14:textId="77777777" w:rsidR="00104723" w:rsidRPr="006A6CAD" w:rsidRDefault="00104723" w:rsidP="006A6CAD">
      <w:pPr>
        <w:pStyle w:val="NormalWeb"/>
        <w:spacing w:before="0" w:beforeAutospacing="0" w:after="0" w:afterAutospacing="0"/>
        <w:ind w:left="720"/>
        <w:rPr>
          <w:rFonts w:ascii="Tahoma" w:hAnsi="Tahoma" w:cs="Tahoma"/>
          <w:b/>
          <w:bCs/>
          <w:u w:val="single"/>
        </w:rPr>
      </w:pPr>
      <w:r w:rsidRPr="006A6CAD">
        <w:rPr>
          <w:rFonts w:ascii="Tahoma" w:hAnsi="Tahoma" w:cs="Tahoma"/>
          <w:b/>
          <w:bCs/>
          <w:u w:val="single"/>
        </w:rPr>
        <w:t>This section does not apply to behind-the-fence or private station infrastructure.</w:t>
      </w:r>
    </w:p>
    <w:p w14:paraId="6A2DB52D" w14:textId="77777777" w:rsidR="00104723" w:rsidRPr="00D750C1" w:rsidRDefault="00104723" w:rsidP="00D750C1">
      <w:pPr>
        <w:rPr>
          <w:smallCaps/>
        </w:rPr>
      </w:pPr>
    </w:p>
    <w:p w14:paraId="2FA6AA08" w14:textId="2655FC2A" w:rsidR="00104723" w:rsidRDefault="00104723" w:rsidP="00735035">
      <w:pPr>
        <w:pStyle w:val="Heading2"/>
        <w:keepNext w:val="0"/>
        <w:numPr>
          <w:ilvl w:val="0"/>
          <w:numId w:val="1"/>
        </w:numPr>
        <w:spacing w:before="0" w:after="0"/>
        <w:ind w:left="720" w:hanging="720"/>
        <w:rPr>
          <w:rFonts w:ascii="Tahoma" w:hAnsi="Tahoma" w:cs="Tahoma"/>
          <w:smallCaps w:val="0"/>
          <w:sz w:val="24"/>
          <w:szCs w:val="24"/>
          <w:lang w:val="en-US"/>
        </w:rPr>
      </w:pPr>
      <w:r>
        <w:rPr>
          <w:rFonts w:ascii="Tahoma" w:hAnsi="Tahoma" w:cs="Tahoma"/>
          <w:smallCaps w:val="0"/>
          <w:sz w:val="24"/>
          <w:szCs w:val="24"/>
          <w:lang w:val="en-US"/>
        </w:rPr>
        <w:t xml:space="preserve">Section II.D. </w:t>
      </w:r>
      <w:r w:rsidR="00A75105">
        <w:rPr>
          <w:rFonts w:ascii="Tahoma" w:hAnsi="Tahoma" w:cs="Tahoma"/>
          <w:smallCaps w:val="0"/>
          <w:sz w:val="24"/>
          <w:szCs w:val="24"/>
          <w:lang w:val="en-US"/>
        </w:rPr>
        <w:t>MINIMUM TECHNICAL REQUIREMENTS FOR OPEN RETAIL HYDROGEN REFUELING STATIONS</w:t>
      </w:r>
    </w:p>
    <w:p w14:paraId="22BC0EC7" w14:textId="77777777" w:rsidR="00A75105" w:rsidRDefault="00A75105" w:rsidP="00A75105">
      <w:pPr>
        <w:pStyle w:val="Heading3"/>
        <w:rPr>
          <w:lang w:eastAsia="x-none"/>
        </w:rPr>
      </w:pPr>
    </w:p>
    <w:p w14:paraId="6A1A379F" w14:textId="77777777" w:rsidR="00A75105" w:rsidRPr="006A6CAD" w:rsidRDefault="00A75105" w:rsidP="006A6CAD">
      <w:pPr>
        <w:pStyle w:val="NormalWeb"/>
        <w:spacing w:before="0" w:beforeAutospacing="0" w:after="0" w:afterAutospacing="0"/>
        <w:ind w:left="720"/>
        <w:rPr>
          <w:rFonts w:ascii="Tahoma" w:hAnsi="Tahoma" w:cs="Tahoma"/>
          <w:b/>
          <w:bCs/>
          <w:u w:val="single"/>
        </w:rPr>
      </w:pPr>
      <w:r w:rsidRPr="006A6CAD">
        <w:rPr>
          <w:rFonts w:ascii="Tahoma" w:hAnsi="Tahoma" w:cs="Tahoma"/>
          <w:b/>
          <w:bCs/>
          <w:u w:val="single"/>
        </w:rPr>
        <w:t>This section does not apply to behind-the-fence or private station infrastructure.</w:t>
      </w:r>
    </w:p>
    <w:p w14:paraId="112D7C7F" w14:textId="77777777" w:rsidR="00A75105" w:rsidRPr="00D750C1" w:rsidRDefault="00A75105" w:rsidP="00D750C1">
      <w:pPr>
        <w:rPr>
          <w:smallCaps/>
        </w:rPr>
      </w:pPr>
    </w:p>
    <w:p w14:paraId="1FADC658" w14:textId="0B03E64C" w:rsidR="00BF7DDA" w:rsidRPr="008E68DC" w:rsidRDefault="00BF7DDA" w:rsidP="00735035">
      <w:pPr>
        <w:pStyle w:val="Heading2"/>
        <w:keepNext w:val="0"/>
        <w:numPr>
          <w:ilvl w:val="0"/>
          <w:numId w:val="1"/>
        </w:numPr>
        <w:spacing w:before="0" w:after="0"/>
        <w:ind w:left="720" w:hanging="720"/>
        <w:rPr>
          <w:rFonts w:ascii="Tahoma" w:hAnsi="Tahoma" w:cs="Tahoma"/>
          <w:smallCaps w:val="0"/>
          <w:sz w:val="24"/>
          <w:szCs w:val="24"/>
          <w:lang w:val="en-US"/>
        </w:rPr>
      </w:pPr>
      <w:r w:rsidRPr="008E68DC">
        <w:rPr>
          <w:rFonts w:ascii="Tahoma" w:hAnsi="Tahoma" w:cs="Tahoma"/>
          <w:smallCaps w:val="0"/>
          <w:sz w:val="24"/>
          <w:szCs w:val="24"/>
          <w:lang w:val="en-US"/>
        </w:rPr>
        <w:t>Section II.</w:t>
      </w:r>
      <w:r w:rsidR="00FE7497" w:rsidRPr="008E68DC">
        <w:rPr>
          <w:rFonts w:ascii="Tahoma" w:hAnsi="Tahoma" w:cs="Tahoma"/>
          <w:smallCaps w:val="0"/>
          <w:sz w:val="24"/>
          <w:szCs w:val="24"/>
          <w:lang w:val="en-US"/>
        </w:rPr>
        <w:t>E.</w:t>
      </w:r>
      <w:r w:rsidRPr="008E68DC">
        <w:rPr>
          <w:rFonts w:ascii="Tahoma" w:hAnsi="Tahoma" w:cs="Tahoma"/>
          <w:smallCaps w:val="0"/>
          <w:sz w:val="24"/>
          <w:szCs w:val="24"/>
          <w:lang w:val="en-US"/>
        </w:rPr>
        <w:t xml:space="preserve"> </w:t>
      </w:r>
      <w:r w:rsidR="00FE7497" w:rsidRPr="008E68DC">
        <w:rPr>
          <w:rFonts w:ascii="Tahoma" w:hAnsi="Tahoma" w:cs="Tahoma"/>
          <w:smallCaps w:val="0"/>
          <w:sz w:val="24"/>
          <w:szCs w:val="24"/>
          <w:lang w:val="en-US"/>
        </w:rPr>
        <w:t>ELIGIBLE PROJECT COSTS</w:t>
      </w:r>
    </w:p>
    <w:p w14:paraId="59D1AA87" w14:textId="77777777" w:rsidR="0065707B" w:rsidRPr="0085719F" w:rsidRDefault="0065707B" w:rsidP="0065707B">
      <w:pPr>
        <w:pStyle w:val="Heading3"/>
        <w:rPr>
          <w:rFonts w:ascii="Tahoma" w:hAnsi="Tahoma" w:cs="Tahoma"/>
          <w:lang w:eastAsia="x-none"/>
        </w:rPr>
      </w:pPr>
    </w:p>
    <w:p w14:paraId="740385C5" w14:textId="77777777" w:rsidR="00CA5ECE" w:rsidRPr="008E68DC" w:rsidRDefault="00CA5ECE" w:rsidP="00CA5ECE">
      <w:pPr>
        <w:ind w:left="1080"/>
        <w:rPr>
          <w:rFonts w:ascii="Tahoma" w:hAnsi="Tahoma" w:cs="Tahoma"/>
        </w:rPr>
      </w:pPr>
      <w:r w:rsidRPr="008E68DC">
        <w:rPr>
          <w:rFonts w:ascii="Tahoma" w:hAnsi="Tahoma" w:cs="Tahoma"/>
        </w:rPr>
        <w:t xml:space="preserve">The following are </w:t>
      </w:r>
      <w:r w:rsidRPr="008E68DC">
        <w:rPr>
          <w:rFonts w:ascii="Tahoma" w:hAnsi="Tahoma" w:cs="Tahoma"/>
          <w:b/>
          <w:bCs/>
        </w:rPr>
        <w:t>not eligible</w:t>
      </w:r>
      <w:r w:rsidRPr="008E68DC">
        <w:rPr>
          <w:rFonts w:ascii="Tahoma" w:hAnsi="Tahoma" w:cs="Tahoma"/>
        </w:rPr>
        <w:t xml:space="preserve"> for CEC reimbursement but may be included as an Applicant’s match share.</w:t>
      </w:r>
    </w:p>
    <w:p w14:paraId="462FCD7A" w14:textId="77777777" w:rsidR="00CA5ECE" w:rsidRPr="008E68DC" w:rsidRDefault="00CA5ECE" w:rsidP="00CA5ECE">
      <w:pPr>
        <w:ind w:left="1080"/>
        <w:rPr>
          <w:rFonts w:ascii="Tahoma" w:hAnsi="Tahoma" w:cs="Tahoma"/>
        </w:rPr>
      </w:pPr>
    </w:p>
    <w:p w14:paraId="32EAA55A" w14:textId="77777777"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 xml:space="preserve">Level 2 or greater chargers for light-duty electric vehicle charging </w:t>
      </w:r>
    </w:p>
    <w:p w14:paraId="6ED633FA" w14:textId="77777777"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 xml:space="preserve">Light-duty H70 dispensers for passenger FCEVs </w:t>
      </w:r>
    </w:p>
    <w:p w14:paraId="2A94E632" w14:textId="77777777"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 xml:space="preserve">Renewable hydrogen production equipment </w:t>
      </w:r>
    </w:p>
    <w:p w14:paraId="2D4FE70E" w14:textId="77777777"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 xml:space="preserve">Warranties for term of the agreement </w:t>
      </w:r>
    </w:p>
    <w:p w14:paraId="6D5FC439" w14:textId="77777777"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 xml:space="preserve">Equipment maintenance for term of the agreement </w:t>
      </w:r>
    </w:p>
    <w:p w14:paraId="0DF7AB22" w14:textId="77777777"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Network agreement with network provider</w:t>
      </w:r>
    </w:p>
    <w:p w14:paraId="716CE488" w14:textId="2D87953A"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Make-ready</w:t>
      </w:r>
      <w:r w:rsidR="003E291A" w:rsidRPr="008E68DC">
        <w:rPr>
          <w:rStyle w:val="FootnoteReference"/>
          <w:rFonts w:ascii="Tahoma" w:hAnsi="Tahoma" w:cs="Tahoma"/>
          <w:b/>
          <w:bCs/>
          <w:u w:val="single"/>
        </w:rPr>
        <w:t>9</w:t>
      </w:r>
      <w:r w:rsidR="0081650F" w:rsidRPr="008E68DC">
        <w:rPr>
          <w:rStyle w:val="FootnoteReference"/>
          <w:rFonts w:ascii="Tahoma" w:hAnsi="Tahoma" w:cs="Tahoma"/>
          <w:strike/>
          <w:color w:val="FFFFFF" w:themeColor="background1"/>
        </w:rPr>
        <w:footnoteReference w:id="3"/>
      </w:r>
      <w:r w:rsidRPr="008E68DC">
        <w:rPr>
          <w:rFonts w:ascii="Tahoma" w:hAnsi="Tahoma" w:cs="Tahoma"/>
        </w:rPr>
        <w:t>equipment</w:t>
      </w:r>
    </w:p>
    <w:p w14:paraId="7988238C" w14:textId="77777777"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Signage</w:t>
      </w:r>
    </w:p>
    <w:p w14:paraId="76C8B2A8" w14:textId="77777777"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Tests for regulatory compliance</w:t>
      </w:r>
    </w:p>
    <w:p w14:paraId="0C7AE087" w14:textId="6AC33372" w:rsidR="00CA5ECE" w:rsidRPr="008E68DC" w:rsidRDefault="00CA5ECE" w:rsidP="00735035">
      <w:pPr>
        <w:numPr>
          <w:ilvl w:val="2"/>
          <w:numId w:val="14"/>
        </w:numPr>
        <w:spacing w:after="60"/>
        <w:ind w:left="1440"/>
        <w:rPr>
          <w:rFonts w:ascii="Tahoma" w:hAnsi="Tahoma" w:cs="Tahoma"/>
        </w:rPr>
      </w:pPr>
      <w:r w:rsidRPr="008E68DC">
        <w:rPr>
          <w:rFonts w:ascii="Tahoma" w:hAnsi="Tahoma" w:cs="Tahoma"/>
        </w:rPr>
        <w:t>Permitting, insurance, land purchases, and land leases</w:t>
      </w:r>
    </w:p>
    <w:p w14:paraId="1173A866" w14:textId="3B0E75FB" w:rsidR="005D7C16" w:rsidRPr="008E68DC" w:rsidRDefault="005D7C16" w:rsidP="00735035">
      <w:pPr>
        <w:numPr>
          <w:ilvl w:val="2"/>
          <w:numId w:val="14"/>
        </w:numPr>
        <w:spacing w:after="60"/>
        <w:ind w:left="1440"/>
        <w:rPr>
          <w:rFonts w:ascii="Tahoma" w:hAnsi="Tahoma" w:cs="Tahoma"/>
          <w:b/>
          <w:bCs/>
          <w:u w:val="single"/>
        </w:rPr>
      </w:pPr>
      <w:r w:rsidRPr="008E68DC">
        <w:rPr>
          <w:rFonts w:ascii="Tahoma" w:hAnsi="Tahoma" w:cs="Tahoma"/>
          <w:b/>
          <w:bCs/>
          <w:u w:val="single"/>
        </w:rPr>
        <w:t xml:space="preserve">Security </w:t>
      </w:r>
      <w:r w:rsidR="00971E16" w:rsidRPr="008E68DC">
        <w:rPr>
          <w:rFonts w:ascii="Tahoma" w:hAnsi="Tahoma" w:cs="Tahoma"/>
          <w:b/>
          <w:bCs/>
          <w:u w:val="single"/>
        </w:rPr>
        <w:t>fencing and other security measures</w:t>
      </w:r>
    </w:p>
    <w:p w14:paraId="1FB09427" w14:textId="77777777" w:rsidR="0081650F" w:rsidRPr="008E68DC" w:rsidRDefault="0081650F" w:rsidP="003E291A">
      <w:pPr>
        <w:rPr>
          <w:rFonts w:ascii="Tahoma" w:hAnsi="Tahoma" w:cs="Tahoma"/>
          <w:b/>
          <w:bCs/>
          <w:sz w:val="20"/>
          <w:szCs w:val="20"/>
          <w:u w:val="single"/>
        </w:rPr>
      </w:pPr>
    </w:p>
    <w:p w14:paraId="7F11014B" w14:textId="63F48451" w:rsidR="00CA5ECE" w:rsidRPr="008E68DC" w:rsidRDefault="00CA5ECE" w:rsidP="0085719F">
      <w:pPr>
        <w:pStyle w:val="ListParagraph"/>
        <w:numPr>
          <w:ilvl w:val="0"/>
          <w:numId w:val="36"/>
        </w:numPr>
        <w:ind w:left="1080"/>
        <w:rPr>
          <w:rFonts w:ascii="Tahoma" w:hAnsi="Tahoma" w:cs="Tahoma"/>
        </w:rPr>
      </w:pPr>
      <w:r w:rsidRPr="008E68DC">
        <w:rPr>
          <w:rFonts w:ascii="Tahoma" w:hAnsi="Tahoma" w:cs="Tahoma"/>
        </w:rPr>
        <w:t>Commercially available energy storage, renewable distributed energy resources (DER), and/or renewable energy generation equipment such as photovoltaic solar panels separately metered for electric charging</w:t>
      </w:r>
      <w:r w:rsidR="196A81F1" w:rsidRPr="3DE115BD">
        <w:rPr>
          <w:rFonts w:ascii="Tahoma" w:hAnsi="Tahoma" w:cs="Tahoma"/>
        </w:rPr>
        <w:t xml:space="preserve"> </w:t>
      </w:r>
      <w:r w:rsidR="196A81F1" w:rsidRPr="13E72ACD">
        <w:rPr>
          <w:rFonts w:ascii="Tahoma" w:hAnsi="Tahoma" w:cs="Tahoma"/>
          <w:b/>
          <w:bCs/>
          <w:u w:val="single"/>
        </w:rPr>
        <w:t>(match share</w:t>
      </w:r>
      <w:r w:rsidR="196A81F1" w:rsidRPr="4250AD9D">
        <w:rPr>
          <w:rFonts w:ascii="Tahoma" w:hAnsi="Tahoma" w:cs="Tahoma"/>
          <w:b/>
          <w:bCs/>
          <w:u w:val="single"/>
        </w:rPr>
        <w:t xml:space="preserve"> only</w:t>
      </w:r>
      <w:r w:rsidR="196A81F1" w:rsidRPr="4E055B34">
        <w:rPr>
          <w:rFonts w:ascii="Tahoma" w:hAnsi="Tahoma" w:cs="Tahoma"/>
          <w:b/>
          <w:bCs/>
          <w:u w:val="single"/>
        </w:rPr>
        <w:t>)</w:t>
      </w:r>
      <w:r w:rsidRPr="4E055B34">
        <w:rPr>
          <w:rFonts w:ascii="Tahoma" w:hAnsi="Tahoma" w:cs="Tahoma"/>
        </w:rPr>
        <w:t>.</w:t>
      </w:r>
      <w:r w:rsidRPr="008E68DC">
        <w:rPr>
          <w:rFonts w:ascii="Tahoma" w:hAnsi="Tahoma" w:cs="Tahoma"/>
        </w:rPr>
        <w:t xml:space="preserve"> Mobile refuelers and chargers and temporary power solutions, such as 100% renewable linear generators (a linear generator may use 100% renewable natural gas, 100% renewable hydrogen, or a combination of both totaling 100% renewable fuel)</w:t>
      </w:r>
      <w:r w:rsidR="00CA3970" w:rsidRPr="008E68DC">
        <w:rPr>
          <w:rFonts w:ascii="Tahoma" w:hAnsi="Tahoma" w:cs="Tahoma"/>
          <w:vertAlign w:val="superscript"/>
        </w:rPr>
        <w:t>10</w:t>
      </w:r>
      <w:r w:rsidRPr="008E68DC">
        <w:rPr>
          <w:rFonts w:ascii="Tahoma" w:hAnsi="Tahoma" w:cs="Tahoma"/>
          <w:vertAlign w:val="superscript"/>
        </w:rPr>
        <w:t xml:space="preserve"> </w:t>
      </w:r>
      <w:r w:rsidRPr="008E68DC">
        <w:rPr>
          <w:rFonts w:ascii="Tahoma" w:hAnsi="Tahoma" w:cs="Tahoma"/>
        </w:rPr>
        <w:t>(match share only).</w:t>
      </w:r>
    </w:p>
    <w:p w14:paraId="4A6B92CE" w14:textId="77777777" w:rsidR="00CA5ECE" w:rsidRPr="008E68DC" w:rsidRDefault="00CA5ECE" w:rsidP="002219C9">
      <w:pPr>
        <w:ind w:left="1080" w:hanging="360"/>
        <w:rPr>
          <w:rFonts w:ascii="Tahoma" w:hAnsi="Tahoma" w:cs="Tahoma"/>
        </w:rPr>
      </w:pPr>
    </w:p>
    <w:p w14:paraId="1BEBCCB8" w14:textId="1385762D" w:rsidR="00CA5ECE" w:rsidRPr="008E68DC" w:rsidRDefault="00CA5ECE" w:rsidP="0085719F">
      <w:pPr>
        <w:numPr>
          <w:ilvl w:val="0"/>
          <w:numId w:val="36"/>
        </w:numPr>
        <w:ind w:left="1080"/>
        <w:rPr>
          <w:rFonts w:ascii="Tahoma" w:hAnsi="Tahoma" w:cs="Tahoma"/>
        </w:rPr>
      </w:pPr>
      <w:r w:rsidRPr="008E68DC">
        <w:rPr>
          <w:rFonts w:ascii="Tahoma" w:hAnsi="Tahoma" w:cs="Tahoma"/>
        </w:rPr>
        <w:t xml:space="preserve">Zero-emission vehicles </w:t>
      </w:r>
      <w:r w:rsidRPr="008E68DC">
        <w:rPr>
          <w:rFonts w:ascii="Tahoma" w:hAnsi="Tahoma" w:cs="Tahoma"/>
          <w:b/>
          <w:u w:val="single"/>
        </w:rPr>
        <w:t>(purchased, rented, or leased)</w:t>
      </w:r>
      <w:r w:rsidRPr="008E68DC">
        <w:rPr>
          <w:rFonts w:ascii="Tahoma" w:hAnsi="Tahoma" w:cs="Tahoma"/>
        </w:rPr>
        <w:t xml:space="preserve"> and</w:t>
      </w:r>
      <w:r w:rsidRPr="008E68DC" w:rsidDel="00C31425">
        <w:rPr>
          <w:rFonts w:ascii="Tahoma" w:hAnsi="Tahoma" w:cs="Tahoma"/>
        </w:rPr>
        <w:t xml:space="preserve"> </w:t>
      </w:r>
      <w:r w:rsidRPr="008E68DC">
        <w:rPr>
          <w:rFonts w:ascii="Tahoma" w:hAnsi="Tahoma" w:cs="Tahoma"/>
        </w:rPr>
        <w:t xml:space="preserve">vehicle modifications to support charging, i.e., pantograph and wireless/inductive charging applications </w:t>
      </w:r>
      <w:r w:rsidRPr="008E68DC">
        <w:rPr>
          <w:rFonts w:ascii="Tahoma" w:hAnsi="Tahoma" w:cs="Tahoma"/>
        </w:rPr>
        <w:br/>
        <w:t>applicable to the project (match share only).</w:t>
      </w:r>
      <w:r w:rsidRPr="0085719F">
        <w:rPr>
          <w:rFonts w:ascii="Tahoma" w:hAnsi="Tahoma" w:cs="Tahoma"/>
        </w:rPr>
        <w:t xml:space="preserve"> </w:t>
      </w:r>
    </w:p>
    <w:p w14:paraId="40196731" w14:textId="77777777" w:rsidR="00CA5ECE" w:rsidRPr="008E68DC" w:rsidRDefault="00CA5ECE" w:rsidP="002219C9">
      <w:pPr>
        <w:pStyle w:val="ListParagraph"/>
        <w:ind w:left="1080" w:hanging="360"/>
        <w:rPr>
          <w:rFonts w:ascii="Tahoma" w:hAnsi="Tahoma" w:cs="Tahoma"/>
        </w:rPr>
      </w:pPr>
    </w:p>
    <w:p w14:paraId="56758C07" w14:textId="364F3371" w:rsidR="00387491" w:rsidRPr="008E68DC" w:rsidRDefault="00CA5ECE" w:rsidP="0085719F">
      <w:pPr>
        <w:numPr>
          <w:ilvl w:val="0"/>
          <w:numId w:val="36"/>
        </w:numPr>
        <w:ind w:left="1080"/>
        <w:rPr>
          <w:rFonts w:ascii="Tahoma" w:hAnsi="Tahoma" w:cs="Tahoma"/>
        </w:rPr>
      </w:pPr>
      <w:r w:rsidRPr="008E68DC">
        <w:rPr>
          <w:rFonts w:ascii="Tahoma" w:hAnsi="Tahoma" w:cs="Tahoma"/>
        </w:rPr>
        <w:t>If both [</w:t>
      </w:r>
      <w:r w:rsidRPr="008E68DC">
        <w:rPr>
          <w:rFonts w:ascii="Tahoma" w:hAnsi="Tahoma" w:cs="Tahoma"/>
          <w:strike/>
        </w:rPr>
        <w:t>technology</w:t>
      </w:r>
      <w:r w:rsidRPr="008E68DC">
        <w:rPr>
          <w:rFonts w:ascii="Tahoma" w:hAnsi="Tahoma" w:cs="Tahoma"/>
        </w:rPr>
        <w:t xml:space="preserve">] </w:t>
      </w:r>
      <w:r w:rsidRPr="008E68DC">
        <w:rPr>
          <w:rFonts w:ascii="Tahoma" w:hAnsi="Tahoma" w:cs="Tahoma"/>
          <w:b/>
          <w:bCs/>
          <w:u w:val="single"/>
        </w:rPr>
        <w:t>infrastructure</w:t>
      </w:r>
      <w:r w:rsidRPr="008E68DC">
        <w:rPr>
          <w:rFonts w:ascii="Tahoma" w:hAnsi="Tahoma" w:cs="Tahoma"/>
        </w:rPr>
        <w:t xml:space="preserve"> types are installed at the location(s), the [</w:t>
      </w:r>
      <w:r w:rsidRPr="008E68DC">
        <w:rPr>
          <w:rFonts w:ascii="Tahoma" w:hAnsi="Tahoma" w:cs="Tahoma"/>
          <w:strike/>
        </w:rPr>
        <w:t>technology</w:t>
      </w:r>
      <w:r w:rsidRPr="008E68DC">
        <w:rPr>
          <w:rFonts w:ascii="Tahoma" w:hAnsi="Tahoma" w:cs="Tahoma"/>
        </w:rPr>
        <w:t xml:space="preserve">] </w:t>
      </w:r>
      <w:r w:rsidRPr="008E68DC">
        <w:rPr>
          <w:rFonts w:ascii="Tahoma" w:hAnsi="Tahoma" w:cs="Tahoma"/>
          <w:b/>
          <w:bCs/>
          <w:u w:val="single"/>
        </w:rPr>
        <w:t xml:space="preserve">infrastructure </w:t>
      </w:r>
      <w:r w:rsidRPr="008E68DC">
        <w:rPr>
          <w:rFonts w:ascii="Tahoma" w:hAnsi="Tahoma" w:cs="Tahoma"/>
        </w:rPr>
        <w:t xml:space="preserve">type that is not applied for in this solicitation may be used as match. For example, if the Applicant submits a charging project, if hydrogen </w:t>
      </w:r>
      <w:r w:rsidRPr="008E68DC">
        <w:rPr>
          <w:rFonts w:ascii="Tahoma" w:hAnsi="Tahoma" w:cs="Tahoma"/>
        </w:rPr>
        <w:lastRenderedPageBreak/>
        <w:t xml:space="preserve">dispensers are included with that project, they may be eligible as match (match share only). </w:t>
      </w:r>
      <w:r w:rsidRPr="008E68DC">
        <w:rPr>
          <w:rFonts w:ascii="Tahoma" w:hAnsi="Tahoma" w:cs="Tahoma"/>
        </w:rPr>
        <w:tab/>
      </w:r>
    </w:p>
    <w:p w14:paraId="755C5BF0" w14:textId="77777777" w:rsidR="009D1D07" w:rsidRPr="008E68DC" w:rsidRDefault="009D1D07" w:rsidP="003D792B">
      <w:pPr>
        <w:pStyle w:val="ListParagraph"/>
        <w:ind w:left="2160"/>
        <w:rPr>
          <w:rFonts w:ascii="Tahoma" w:hAnsi="Tahoma" w:cs="Tahoma"/>
        </w:rPr>
      </w:pPr>
    </w:p>
    <w:p w14:paraId="625DFDBD" w14:textId="1BC6C1E4" w:rsidR="004672BA" w:rsidRPr="008E68DC" w:rsidRDefault="00482EE2" w:rsidP="001E0B2D">
      <w:pPr>
        <w:pStyle w:val="Heading2"/>
        <w:keepNext w:val="0"/>
        <w:spacing w:before="0" w:after="0"/>
        <w:rPr>
          <w:rFonts w:ascii="Tahoma" w:hAnsi="Tahoma" w:cs="Tahoma"/>
          <w:sz w:val="24"/>
          <w:szCs w:val="24"/>
        </w:rPr>
      </w:pPr>
      <w:r>
        <w:rPr>
          <w:rFonts w:ascii="Tahoma" w:hAnsi="Tahoma" w:cs="Tahoma"/>
          <w:sz w:val="24"/>
          <w:szCs w:val="24"/>
        </w:rPr>
        <w:t>9</w:t>
      </w:r>
      <w:r w:rsidR="004672BA" w:rsidRPr="008E68DC">
        <w:rPr>
          <w:rFonts w:ascii="Tahoma" w:hAnsi="Tahoma" w:cs="Tahoma"/>
          <w:sz w:val="24"/>
          <w:szCs w:val="24"/>
        </w:rPr>
        <w:t>.</w:t>
      </w:r>
      <w:r w:rsidR="004672BA" w:rsidRPr="008E68DC">
        <w:rPr>
          <w:rFonts w:ascii="Tahoma" w:hAnsi="Tahoma" w:cs="Tahoma"/>
          <w:sz w:val="24"/>
          <w:szCs w:val="24"/>
        </w:rPr>
        <w:tab/>
      </w:r>
      <w:r w:rsidR="004672BA" w:rsidRPr="008E68DC">
        <w:rPr>
          <w:rFonts w:ascii="Tahoma" w:eastAsiaTheme="majorEastAsia" w:hAnsi="Tahoma" w:cs="Tahoma"/>
          <w:bCs/>
          <w:smallCaps w:val="0"/>
          <w:sz w:val="24"/>
          <w:szCs w:val="24"/>
          <w:lang w:val="en-US" w:eastAsia="en-US"/>
        </w:rPr>
        <w:t xml:space="preserve">Section </w:t>
      </w:r>
      <w:r w:rsidR="004672BA" w:rsidRPr="008E68DC">
        <w:rPr>
          <w:rFonts w:ascii="Tahoma" w:hAnsi="Tahoma" w:cs="Tahoma"/>
          <w:sz w:val="24"/>
          <w:szCs w:val="24"/>
        </w:rPr>
        <w:t>I</w:t>
      </w:r>
      <w:r w:rsidR="00084749" w:rsidRPr="008E68DC">
        <w:rPr>
          <w:rFonts w:ascii="Tahoma" w:hAnsi="Tahoma" w:cs="Tahoma"/>
          <w:sz w:val="24"/>
          <w:szCs w:val="24"/>
        </w:rPr>
        <w:t>I</w:t>
      </w:r>
      <w:r w:rsidR="004672BA" w:rsidRPr="008E68DC">
        <w:rPr>
          <w:rFonts w:ascii="Tahoma" w:hAnsi="Tahoma" w:cs="Tahoma"/>
          <w:sz w:val="24"/>
          <w:szCs w:val="24"/>
        </w:rPr>
        <w:t>I.C. PAGE LIMITATIONS</w:t>
      </w:r>
    </w:p>
    <w:p w14:paraId="6FCA1E86" w14:textId="05FBC6BF" w:rsidR="004672BA" w:rsidRPr="008E68DC" w:rsidRDefault="001E217A" w:rsidP="001E217A">
      <w:pPr>
        <w:pStyle w:val="Heading3"/>
        <w:ind w:left="720"/>
        <w:rPr>
          <w:rFonts w:ascii="Tahoma" w:hAnsi="Tahoma" w:cs="Tahoma"/>
          <w:color w:val="auto"/>
          <w:lang w:val="x-none" w:eastAsia="x-none"/>
        </w:rPr>
      </w:pPr>
      <w:r w:rsidRPr="008E68DC">
        <w:rPr>
          <w:rFonts w:ascii="Tahoma" w:hAnsi="Tahoma" w:cs="Tahoma"/>
          <w:color w:val="auto"/>
          <w:lang w:val="x-none" w:eastAsia="x-none"/>
        </w:rPr>
        <w:t xml:space="preserve">The total number of pages for an Application’s Project Narrative is limited to 20 pages. The Cover Page, Table of Contents, and Executive Summary do not count towards this page limitation. </w:t>
      </w:r>
      <w:r w:rsidRPr="008E68DC">
        <w:rPr>
          <w:rFonts w:ascii="Tahoma" w:hAnsi="Tahoma" w:cs="Tahoma"/>
          <w:b/>
          <w:bCs/>
          <w:color w:val="auto"/>
          <w:u w:val="single"/>
          <w:lang w:val="x-none" w:eastAsia="x-none"/>
        </w:rPr>
        <w:t>However, the Executive Summary is limited to two pages.</w:t>
      </w:r>
    </w:p>
    <w:p w14:paraId="3D113468" w14:textId="77777777" w:rsidR="001E217A" w:rsidRPr="0085719F" w:rsidRDefault="001E217A" w:rsidP="00084749">
      <w:pPr>
        <w:rPr>
          <w:rFonts w:ascii="Tahoma" w:hAnsi="Tahoma" w:cs="Tahoma"/>
          <w:lang w:val="x-none" w:eastAsia="x-none"/>
        </w:rPr>
      </w:pPr>
    </w:p>
    <w:p w14:paraId="788E6A06" w14:textId="6021D4FA" w:rsidR="00745F00" w:rsidRPr="008E68DC" w:rsidRDefault="00482EE2" w:rsidP="001E0B2D">
      <w:pPr>
        <w:pStyle w:val="Heading2"/>
        <w:keepNext w:val="0"/>
        <w:spacing w:before="0" w:after="0"/>
        <w:rPr>
          <w:rFonts w:ascii="Tahoma" w:eastAsiaTheme="majorEastAsia" w:hAnsi="Tahoma" w:cs="Tahoma"/>
          <w:bCs/>
          <w:smallCaps w:val="0"/>
          <w:sz w:val="24"/>
          <w:szCs w:val="24"/>
          <w:lang w:val="en-US" w:eastAsia="en-US"/>
        </w:rPr>
      </w:pPr>
      <w:r>
        <w:rPr>
          <w:rFonts w:ascii="Tahoma" w:hAnsi="Tahoma" w:cs="Tahoma"/>
          <w:sz w:val="24"/>
          <w:szCs w:val="24"/>
        </w:rPr>
        <w:t>10</w:t>
      </w:r>
      <w:r w:rsidR="0052093D" w:rsidRPr="008E68DC">
        <w:rPr>
          <w:rFonts w:ascii="Tahoma" w:hAnsi="Tahoma" w:cs="Tahoma"/>
          <w:sz w:val="24"/>
          <w:szCs w:val="24"/>
        </w:rPr>
        <w:t xml:space="preserve">. </w:t>
      </w:r>
      <w:r w:rsidR="0052093D" w:rsidRPr="008E68DC">
        <w:rPr>
          <w:rFonts w:ascii="Tahoma" w:hAnsi="Tahoma" w:cs="Tahoma"/>
          <w:sz w:val="24"/>
          <w:szCs w:val="24"/>
        </w:rPr>
        <w:tab/>
      </w:r>
      <w:bookmarkEnd w:id="2"/>
      <w:r w:rsidR="00745F00" w:rsidRPr="008E68DC">
        <w:rPr>
          <w:rFonts w:ascii="Tahoma" w:eastAsiaTheme="majorEastAsia" w:hAnsi="Tahoma" w:cs="Tahoma"/>
          <w:bCs/>
          <w:smallCaps w:val="0"/>
          <w:sz w:val="24"/>
          <w:szCs w:val="24"/>
          <w:lang w:val="en-US" w:eastAsia="en-US"/>
        </w:rPr>
        <w:t>Section III.D</w:t>
      </w:r>
      <w:r w:rsidR="00920453" w:rsidRPr="008E68DC">
        <w:rPr>
          <w:rFonts w:ascii="Tahoma" w:eastAsiaTheme="majorEastAsia" w:hAnsi="Tahoma" w:cs="Tahoma"/>
          <w:bCs/>
          <w:smallCaps w:val="0"/>
          <w:sz w:val="24"/>
          <w:szCs w:val="24"/>
          <w:lang w:val="en-US" w:eastAsia="en-US"/>
        </w:rPr>
        <w:t>.</w:t>
      </w:r>
      <w:r w:rsidR="00375A65" w:rsidRPr="008E68DC">
        <w:rPr>
          <w:rFonts w:ascii="Tahoma" w:eastAsiaTheme="majorEastAsia" w:hAnsi="Tahoma" w:cs="Tahoma"/>
          <w:bCs/>
          <w:smallCaps w:val="0"/>
          <w:sz w:val="24"/>
          <w:szCs w:val="24"/>
          <w:lang w:val="en-US" w:eastAsia="en-US"/>
        </w:rPr>
        <w:t xml:space="preserve"> </w:t>
      </w:r>
      <w:r w:rsidR="001E0B2D" w:rsidRPr="008E68DC">
        <w:rPr>
          <w:rFonts w:ascii="Tahoma" w:eastAsiaTheme="majorEastAsia" w:hAnsi="Tahoma" w:cs="Tahoma"/>
          <w:bCs/>
          <w:smallCaps w:val="0"/>
          <w:sz w:val="24"/>
          <w:szCs w:val="24"/>
          <w:lang w:val="en-US" w:eastAsia="en-US"/>
        </w:rPr>
        <w:t>APPLICATION CONTENT</w:t>
      </w:r>
    </w:p>
    <w:p w14:paraId="757DE324" w14:textId="77777777" w:rsidR="00D45AA4" w:rsidRPr="0085719F" w:rsidRDefault="00D45AA4" w:rsidP="00D45AA4">
      <w:pPr>
        <w:pStyle w:val="Heading3"/>
        <w:rPr>
          <w:rFonts w:ascii="Tahoma" w:hAnsi="Tahoma" w:cs="Tahoma"/>
        </w:rPr>
      </w:pPr>
    </w:p>
    <w:p w14:paraId="000DE2FA" w14:textId="77777777" w:rsidR="00FA4BB3" w:rsidRPr="008E68DC" w:rsidRDefault="00FA4BB3" w:rsidP="00735035">
      <w:pPr>
        <w:keepNext/>
        <w:numPr>
          <w:ilvl w:val="0"/>
          <w:numId w:val="16"/>
        </w:numPr>
        <w:spacing w:after="120"/>
        <w:ind w:left="1080" w:hanging="360"/>
        <w:rPr>
          <w:rFonts w:ascii="Tahoma" w:eastAsia="Times New Roman" w:hAnsi="Tahoma" w:cs="Tahoma"/>
          <w:b/>
        </w:rPr>
      </w:pPr>
      <w:r w:rsidRPr="008E68DC">
        <w:rPr>
          <w:rFonts w:ascii="Tahoma" w:eastAsia="Times New Roman" w:hAnsi="Tahoma" w:cs="Tahoma"/>
          <w:b/>
        </w:rPr>
        <w:t>Project Narrative (Attachment 1)</w:t>
      </w:r>
    </w:p>
    <w:p w14:paraId="2FC9481E" w14:textId="37ED7D6D" w:rsidR="00FA4BB3" w:rsidRPr="008E68DC" w:rsidRDefault="00FA4BB3" w:rsidP="00FA4BB3">
      <w:pPr>
        <w:ind w:left="1080"/>
        <w:rPr>
          <w:rFonts w:ascii="Tahoma" w:eastAsia="Times New Roman" w:hAnsi="Tahoma" w:cs="Tahoma"/>
        </w:rPr>
      </w:pPr>
      <w:r w:rsidRPr="008E68DC">
        <w:rPr>
          <w:rFonts w:ascii="Tahoma" w:eastAsia="Times New Roman" w:hAnsi="Tahoma" w:cs="Tahoma"/>
        </w:rPr>
        <w:t xml:space="preserve">The Project Narrative must include a cover page, table of contents, and an Executive Summary </w:t>
      </w:r>
      <w:r w:rsidR="00C60858" w:rsidRPr="008E68DC">
        <w:rPr>
          <w:rFonts w:ascii="Tahoma" w:eastAsia="Times New Roman" w:hAnsi="Tahoma" w:cs="Tahoma"/>
        </w:rPr>
        <w:t>[</w:t>
      </w:r>
      <w:r w:rsidRPr="008E68DC">
        <w:rPr>
          <w:rFonts w:ascii="Tahoma" w:eastAsia="Times New Roman" w:hAnsi="Tahoma" w:cs="Tahoma"/>
          <w:strike/>
        </w:rPr>
        <w:t>(which will not count towards the page limitations)</w:t>
      </w:r>
      <w:r w:rsidR="00C60858" w:rsidRPr="008E68DC">
        <w:rPr>
          <w:rFonts w:ascii="Tahoma" w:eastAsia="Times New Roman" w:hAnsi="Tahoma" w:cs="Tahoma"/>
        </w:rPr>
        <w:t>]</w:t>
      </w:r>
      <w:r w:rsidRPr="008E68DC">
        <w:rPr>
          <w:rFonts w:ascii="Tahoma" w:eastAsia="Times New Roman" w:hAnsi="Tahoma" w:cs="Tahoma"/>
        </w:rPr>
        <w:t xml:space="preserve"> and a detailed description of the proposed project, its operational goals and objectives, and an explanation of how these will be implemented through the tasks described in the Scope of Work.</w:t>
      </w:r>
    </w:p>
    <w:p w14:paraId="57E082B0" w14:textId="77777777" w:rsidR="00FA4BB3" w:rsidRPr="008E68DC" w:rsidRDefault="00FA4BB3" w:rsidP="00FA4BB3">
      <w:pPr>
        <w:ind w:left="1080"/>
        <w:rPr>
          <w:rFonts w:ascii="Tahoma" w:eastAsia="Times New Roman" w:hAnsi="Tahoma" w:cs="Tahoma"/>
        </w:rPr>
      </w:pPr>
    </w:p>
    <w:p w14:paraId="5B026E9B" w14:textId="63951415" w:rsidR="00FA4BB3" w:rsidRPr="008E68DC" w:rsidRDefault="00FA4BB3" w:rsidP="00FA4BB3">
      <w:pPr>
        <w:spacing w:after="120"/>
        <w:ind w:left="1080"/>
        <w:rPr>
          <w:rFonts w:ascii="Tahoma" w:eastAsia="Times New Roman" w:hAnsi="Tahoma" w:cs="Tahoma"/>
        </w:rPr>
      </w:pPr>
      <w:r w:rsidRPr="008E68DC">
        <w:rPr>
          <w:rFonts w:ascii="Tahoma" w:eastAsia="Times New Roman" w:hAnsi="Tahoma" w:cs="Tahoma"/>
          <w:lang w:eastAsia="ja-JP"/>
        </w:rPr>
        <w:t xml:space="preserve">The </w:t>
      </w:r>
      <w:r w:rsidRPr="008E68DC">
        <w:rPr>
          <w:rFonts w:ascii="Tahoma" w:eastAsia="Times New Roman" w:hAnsi="Tahoma" w:cs="Tahoma"/>
        </w:rPr>
        <w:t xml:space="preserve">Executive Summary </w:t>
      </w:r>
      <w:r w:rsidRPr="008E68DC">
        <w:rPr>
          <w:rFonts w:ascii="Tahoma" w:eastAsia="Times New Roman" w:hAnsi="Tahoma" w:cs="Tahoma"/>
          <w:lang w:eastAsia="ja-JP"/>
        </w:rPr>
        <w:t xml:space="preserve">must identify the seaport or land port of entry that the infrastructure will serve and include the </w:t>
      </w:r>
      <w:r w:rsidRPr="008E68DC">
        <w:rPr>
          <w:rFonts w:ascii="Tahoma" w:eastAsia="Times New Roman" w:hAnsi="Tahoma" w:cs="Tahoma"/>
        </w:rPr>
        <w:t>project location</w:t>
      </w:r>
      <w:r w:rsidRPr="008E68DC">
        <w:rPr>
          <w:rFonts w:ascii="Tahoma" w:eastAsia="Times New Roman" w:hAnsi="Tahoma" w:cs="Tahoma"/>
          <w:lang w:eastAsia="ja-JP"/>
        </w:rPr>
        <w:t>,</w:t>
      </w:r>
      <w:r w:rsidRPr="008E68DC">
        <w:rPr>
          <w:rFonts w:ascii="Tahoma" w:eastAsia="Times New Roman" w:hAnsi="Tahoma" w:cs="Tahoma"/>
        </w:rPr>
        <w:t xml:space="preserve"> what equipment/vehicles will be supported by </w:t>
      </w:r>
      <w:r w:rsidRPr="008E68DC">
        <w:rPr>
          <w:rFonts w:ascii="Tahoma" w:eastAsia="Times New Roman" w:hAnsi="Tahoma" w:cs="Tahoma"/>
          <w:lang w:eastAsia="ja-JP"/>
        </w:rPr>
        <w:t xml:space="preserve">the proposed infrastructure, </w:t>
      </w:r>
      <w:r w:rsidRPr="008E68DC">
        <w:rPr>
          <w:rFonts w:ascii="Tahoma" w:eastAsia="Times New Roman" w:hAnsi="Tahoma" w:cs="Tahoma"/>
        </w:rPr>
        <w:t xml:space="preserve">proposed number of chargers or hydrogen refueling dispensers, number of charging ports or hydrogen refueling </w:t>
      </w:r>
      <w:r w:rsidRPr="008E68DC">
        <w:rPr>
          <w:rFonts w:ascii="Tahoma" w:eastAsia="Times New Roman" w:hAnsi="Tahoma" w:cs="Tahoma"/>
          <w:b/>
          <w:bCs/>
          <w:u w:val="single"/>
        </w:rPr>
        <w:t xml:space="preserve">positions </w:t>
      </w:r>
      <w:r w:rsidRPr="008E68DC">
        <w:rPr>
          <w:rFonts w:ascii="Tahoma" w:eastAsia="Times New Roman" w:hAnsi="Tahoma" w:cs="Tahoma"/>
        </w:rPr>
        <w:t>[</w:t>
      </w:r>
      <w:r w:rsidRPr="008E68DC">
        <w:rPr>
          <w:rFonts w:ascii="Tahoma" w:eastAsia="Times New Roman" w:hAnsi="Tahoma" w:cs="Tahoma"/>
          <w:strike/>
          <w:lang w:eastAsia="ja-JP"/>
        </w:rPr>
        <w:t>nozzles</w:t>
      </w:r>
      <w:r w:rsidRPr="008E68DC">
        <w:rPr>
          <w:rFonts w:ascii="Tahoma" w:eastAsia="Times New Roman" w:hAnsi="Tahoma" w:cs="Tahoma"/>
          <w:lang w:eastAsia="ja-JP"/>
        </w:rPr>
        <w:t>]</w:t>
      </w:r>
      <w:r w:rsidRPr="008E68DC">
        <w:rPr>
          <w:rFonts w:ascii="Tahoma" w:eastAsia="Times New Roman" w:hAnsi="Tahoma" w:cs="Tahoma"/>
        </w:rPr>
        <w:t xml:space="preserve">, power level </w:t>
      </w:r>
      <w:r w:rsidRPr="008E68DC">
        <w:rPr>
          <w:rFonts w:ascii="Tahoma" w:eastAsia="Times New Roman" w:hAnsi="Tahoma" w:cs="Tahoma"/>
          <w:lang w:eastAsia="ja-JP"/>
        </w:rPr>
        <w:t>o</w:t>
      </w:r>
      <w:r w:rsidRPr="008E68DC">
        <w:rPr>
          <w:rFonts w:ascii="Tahoma" w:eastAsia="Times New Roman" w:hAnsi="Tahoma" w:cs="Tahoma"/>
        </w:rPr>
        <w:t xml:space="preserve">f each charging port or the dispensing pressure level of each hydrogen refueling </w:t>
      </w:r>
      <w:r w:rsidRPr="008E68DC">
        <w:rPr>
          <w:rFonts w:ascii="Tahoma" w:eastAsia="Times New Roman" w:hAnsi="Tahoma" w:cs="Tahoma"/>
          <w:b/>
          <w:bCs/>
          <w:u w:val="single"/>
        </w:rPr>
        <w:t xml:space="preserve">position </w:t>
      </w:r>
      <w:r w:rsidRPr="008E68DC">
        <w:rPr>
          <w:rFonts w:ascii="Tahoma" w:eastAsia="Times New Roman" w:hAnsi="Tahoma" w:cs="Tahoma"/>
        </w:rPr>
        <w:t>[</w:t>
      </w:r>
      <w:r w:rsidRPr="008E68DC">
        <w:rPr>
          <w:rFonts w:ascii="Tahoma" w:eastAsia="Times New Roman" w:hAnsi="Tahoma" w:cs="Tahoma"/>
          <w:strike/>
        </w:rPr>
        <w:t>nozzle</w:t>
      </w:r>
      <w:r w:rsidRPr="008E68DC">
        <w:rPr>
          <w:rFonts w:ascii="Tahoma" w:eastAsia="Times New Roman" w:hAnsi="Tahoma" w:cs="Tahoma"/>
        </w:rPr>
        <w:t xml:space="preserve">] </w:t>
      </w:r>
      <w:r w:rsidRPr="008E68DC">
        <w:rPr>
          <w:rFonts w:ascii="Tahoma" w:eastAsia="Times New Roman" w:hAnsi="Tahoma" w:cs="Tahoma"/>
          <w:b/>
          <w:bCs/>
          <w:u w:val="single"/>
        </w:rPr>
        <w:t>and fueling capacity of hydrogen dispensers</w:t>
      </w:r>
      <w:r w:rsidRPr="008E68DC">
        <w:rPr>
          <w:rFonts w:ascii="Tahoma" w:eastAsia="Times New Roman" w:hAnsi="Tahoma" w:cs="Tahoma"/>
        </w:rPr>
        <w:t xml:space="preserve">, and the types of chargers or dispensers to be installed. The Executive Summary </w:t>
      </w:r>
      <w:r w:rsidRPr="008E68DC">
        <w:rPr>
          <w:rFonts w:ascii="Tahoma" w:eastAsia="Times New Roman" w:hAnsi="Tahoma" w:cs="Tahoma"/>
          <w:lang w:eastAsia="ja-JP"/>
        </w:rPr>
        <w:t>must also i</w:t>
      </w:r>
      <w:r w:rsidRPr="008E68DC">
        <w:rPr>
          <w:rFonts w:ascii="Tahoma" w:eastAsia="Times New Roman" w:hAnsi="Tahoma" w:cs="Tahoma"/>
        </w:rPr>
        <w:t xml:space="preserve">nclude a table </w:t>
      </w:r>
      <w:r w:rsidRPr="008E68DC">
        <w:rPr>
          <w:rFonts w:ascii="Tahoma" w:eastAsia="Times New Roman" w:hAnsi="Tahoma" w:cs="Tahoma"/>
          <w:lang w:eastAsia="ja-JP"/>
        </w:rPr>
        <w:t xml:space="preserve">summarizing </w:t>
      </w:r>
      <w:r w:rsidRPr="008E68DC">
        <w:rPr>
          <w:rFonts w:ascii="Tahoma" w:eastAsia="Times New Roman" w:hAnsi="Tahoma" w:cs="Tahoma"/>
        </w:rPr>
        <w:t xml:space="preserve">the numbers of chargers or hydrogen refueling dispensers </w:t>
      </w:r>
      <w:r w:rsidRPr="008E68DC">
        <w:rPr>
          <w:rFonts w:ascii="Tahoma" w:eastAsia="Times New Roman" w:hAnsi="Tahoma" w:cs="Tahoma"/>
          <w:lang w:eastAsia="ja-JP"/>
        </w:rPr>
        <w:t>proposed</w:t>
      </w:r>
      <w:r w:rsidRPr="008E68DC">
        <w:rPr>
          <w:rFonts w:ascii="Tahoma" w:eastAsia="Times New Roman" w:hAnsi="Tahoma" w:cs="Tahoma"/>
        </w:rPr>
        <w:t xml:space="preserve">, </w:t>
      </w:r>
      <w:r w:rsidRPr="008E68DC">
        <w:rPr>
          <w:rFonts w:ascii="Tahoma" w:eastAsia="Times New Roman" w:hAnsi="Tahoma" w:cs="Tahoma"/>
          <w:b/>
          <w:bCs/>
          <w:u w:val="single"/>
        </w:rPr>
        <w:t>the number of charging ports or hydrogen fueling positions proposed,</w:t>
      </w:r>
      <w:r w:rsidRPr="008E68DC">
        <w:rPr>
          <w:rFonts w:ascii="Tahoma" w:eastAsia="Times New Roman" w:hAnsi="Tahoma" w:cs="Tahoma"/>
        </w:rPr>
        <w:t xml:space="preserve"> what fleet(s) or equipment the chargers </w:t>
      </w:r>
      <w:r w:rsidR="0099533E" w:rsidRPr="008E68DC">
        <w:rPr>
          <w:rFonts w:ascii="Tahoma" w:eastAsia="Times New Roman" w:hAnsi="Tahoma" w:cs="Tahoma"/>
          <w:b/>
          <w:bCs/>
          <w:u w:val="single"/>
        </w:rPr>
        <w:t xml:space="preserve">or hydrogen </w:t>
      </w:r>
      <w:r w:rsidR="009A47EE" w:rsidRPr="008E68DC">
        <w:rPr>
          <w:rFonts w:ascii="Tahoma" w:eastAsia="Times New Roman" w:hAnsi="Tahoma" w:cs="Tahoma"/>
          <w:b/>
          <w:bCs/>
          <w:u w:val="single"/>
        </w:rPr>
        <w:t xml:space="preserve">dispensers </w:t>
      </w:r>
      <w:r w:rsidRPr="008E68DC">
        <w:rPr>
          <w:rFonts w:ascii="Tahoma" w:eastAsia="Times New Roman" w:hAnsi="Tahoma" w:cs="Tahoma"/>
        </w:rPr>
        <w:t>are supporting, and the costs of the chargers</w:t>
      </w:r>
      <w:r w:rsidR="3798A1C1" w:rsidRPr="008E68DC">
        <w:rPr>
          <w:rFonts w:ascii="Tahoma" w:eastAsia="Times New Roman" w:hAnsi="Tahoma" w:cs="Tahoma"/>
        </w:rPr>
        <w:t xml:space="preserve"> </w:t>
      </w:r>
      <w:r w:rsidR="3798A1C1" w:rsidRPr="0085719F">
        <w:rPr>
          <w:rFonts w:ascii="Tahoma" w:eastAsia="Times New Roman" w:hAnsi="Tahoma" w:cs="Tahoma"/>
          <w:b/>
          <w:bCs/>
          <w:u w:val="single"/>
        </w:rPr>
        <w:t>or hydrogen dispensers</w:t>
      </w:r>
      <w:r w:rsidRPr="008E68DC">
        <w:rPr>
          <w:rFonts w:ascii="Tahoma" w:eastAsia="Times New Roman" w:hAnsi="Tahoma" w:cs="Tahoma"/>
        </w:rPr>
        <w:t>. </w:t>
      </w:r>
      <w:r w:rsidRPr="008E68DC">
        <w:rPr>
          <w:rFonts w:ascii="Tahoma" w:eastAsia="Times New Roman" w:hAnsi="Tahoma" w:cs="Tahoma"/>
          <w:lang w:eastAsia="ja-JP"/>
        </w:rPr>
        <w:t xml:space="preserve">The </w:t>
      </w:r>
      <w:r w:rsidRPr="008E68DC">
        <w:rPr>
          <w:rFonts w:ascii="Tahoma" w:eastAsia="Times New Roman" w:hAnsi="Tahoma" w:cs="Tahoma"/>
        </w:rPr>
        <w:t xml:space="preserve">Executive Summary </w:t>
      </w:r>
      <w:r w:rsidRPr="008E68DC">
        <w:rPr>
          <w:rFonts w:ascii="Tahoma" w:eastAsia="Times New Roman" w:hAnsi="Tahoma" w:cs="Tahoma"/>
          <w:lang w:eastAsia="ja-JP"/>
        </w:rPr>
        <w:t xml:space="preserve">must also state </w:t>
      </w:r>
      <w:r w:rsidRPr="008E68DC">
        <w:rPr>
          <w:rFonts w:ascii="Tahoma" w:eastAsia="Times New Roman" w:hAnsi="Tahoma" w:cs="Tahoma"/>
        </w:rPr>
        <w:t>any existing infrastructure located on site.</w:t>
      </w:r>
    </w:p>
    <w:p w14:paraId="3E812EF0" w14:textId="77777777" w:rsidR="00A2273E" w:rsidRPr="008E68DC" w:rsidRDefault="00A2273E" w:rsidP="00A2273E">
      <w:pPr>
        <w:ind w:left="1080"/>
        <w:rPr>
          <w:rFonts w:ascii="Tahoma" w:eastAsia="Times New Roman" w:hAnsi="Tahoma" w:cs="Tahoma"/>
        </w:rPr>
      </w:pPr>
      <w:r w:rsidRPr="008E68DC">
        <w:rPr>
          <w:rFonts w:ascii="Tahoma" w:eastAsia="Times New Roman" w:hAnsi="Tahoma" w:cs="Tahoma"/>
        </w:rPr>
        <w:t>Applicants must address each of the scoring criteria described in this solicitation by providing sufficient, unambiguous detail so that the evaluation team will be able to evaluate the application against each scoring criterion.</w:t>
      </w:r>
    </w:p>
    <w:p w14:paraId="7CF27F28" w14:textId="77777777" w:rsidR="00A2273E" w:rsidRPr="008E68DC" w:rsidRDefault="00A2273E" w:rsidP="00A2273E">
      <w:pPr>
        <w:ind w:left="360"/>
        <w:rPr>
          <w:rFonts w:ascii="Tahoma" w:eastAsia="Times New Roman" w:hAnsi="Tahoma" w:cs="Tahoma"/>
        </w:rPr>
      </w:pPr>
    </w:p>
    <w:p w14:paraId="7E0516CA" w14:textId="77777777" w:rsidR="00A2273E" w:rsidRPr="008E68DC" w:rsidRDefault="00A2273E" w:rsidP="00A2273E">
      <w:pPr>
        <w:ind w:left="1080"/>
        <w:rPr>
          <w:rFonts w:ascii="Tahoma" w:eastAsia="Times New Roman" w:hAnsi="Tahoma" w:cs="Tahoma"/>
        </w:rPr>
      </w:pPr>
      <w:r w:rsidRPr="008E68DC">
        <w:rPr>
          <w:rFonts w:ascii="Tahoma" w:eastAsia="Times New Roman" w:hAnsi="Tahoma" w:cs="Tahoma"/>
        </w:rPr>
        <w:t>The Project Narrative must respond directly to each criterion with the headings as titled below, and must include the following information:</w:t>
      </w:r>
    </w:p>
    <w:p w14:paraId="7E5FEF98" w14:textId="77777777" w:rsidR="00F75B60" w:rsidRPr="008E68DC" w:rsidRDefault="00F75B60" w:rsidP="00A2273E">
      <w:pPr>
        <w:ind w:left="1080"/>
        <w:rPr>
          <w:rFonts w:ascii="Tahoma" w:eastAsia="Times New Roman" w:hAnsi="Tahoma" w:cs="Tahoma"/>
        </w:rPr>
      </w:pPr>
    </w:p>
    <w:p w14:paraId="24484DED" w14:textId="77777777" w:rsidR="00A2273E" w:rsidRPr="008E68DC" w:rsidRDefault="00A2273E" w:rsidP="00735035">
      <w:pPr>
        <w:numPr>
          <w:ilvl w:val="0"/>
          <w:numId w:val="17"/>
        </w:numPr>
        <w:spacing w:before="100" w:beforeAutospacing="1" w:after="100" w:afterAutospacing="1"/>
        <w:rPr>
          <w:rFonts w:ascii="Tahoma" w:eastAsia="Times New Roman" w:hAnsi="Tahoma" w:cs="Tahoma"/>
        </w:rPr>
      </w:pPr>
      <w:r w:rsidRPr="008E68DC">
        <w:rPr>
          <w:rFonts w:ascii="Tahoma" w:eastAsia="Times New Roman" w:hAnsi="Tahoma" w:cs="Tahoma"/>
          <w:b/>
        </w:rPr>
        <w:t>Project Readiness</w:t>
      </w:r>
    </w:p>
    <w:p w14:paraId="04E25165" w14:textId="77777777" w:rsidR="00A2273E" w:rsidRPr="008E68DC" w:rsidRDefault="00A2273E" w:rsidP="00735035">
      <w:pPr>
        <w:numPr>
          <w:ilvl w:val="0"/>
          <w:numId w:val="18"/>
        </w:numPr>
        <w:spacing w:after="240"/>
        <w:ind w:left="1980"/>
        <w:textAlignment w:val="baseline"/>
        <w:rPr>
          <w:rFonts w:ascii="Tahoma" w:eastAsia="Times New Roman" w:hAnsi="Tahoma" w:cs="Tahoma"/>
        </w:rPr>
      </w:pPr>
      <w:r w:rsidRPr="008E68DC">
        <w:rPr>
          <w:rFonts w:ascii="Tahoma" w:eastAsia="Times New Roman" w:hAnsi="Tahoma" w:cs="Tahoma"/>
        </w:rPr>
        <w:t xml:space="preserve">Describe the proposed project site and document site control. Site control includes, but is not limited to leases, ownership, or access rights. If the project site(s) have not been secured, describe the process for obtaining a </w:t>
      </w:r>
      <w:r w:rsidRPr="008E68DC">
        <w:rPr>
          <w:rFonts w:ascii="Tahoma" w:eastAsia="Times New Roman" w:hAnsi="Tahoma" w:cs="Tahoma"/>
        </w:rPr>
        <w:lastRenderedPageBreak/>
        <w:t xml:space="preserve">host agreement or lease and provide an estimated timeline for securing all sites and how this process can be expedited. </w:t>
      </w:r>
    </w:p>
    <w:p w14:paraId="7959506D" w14:textId="77777777" w:rsidR="00A2273E" w:rsidRPr="008E68DC" w:rsidRDefault="00A2273E" w:rsidP="00735035">
      <w:pPr>
        <w:numPr>
          <w:ilvl w:val="0"/>
          <w:numId w:val="18"/>
        </w:numPr>
        <w:spacing w:after="240"/>
        <w:ind w:left="1980"/>
        <w:textAlignment w:val="baseline"/>
        <w:rPr>
          <w:rFonts w:ascii="Tahoma" w:eastAsia="Times New Roman" w:hAnsi="Tahoma" w:cs="Tahoma"/>
        </w:rPr>
      </w:pPr>
      <w:r w:rsidRPr="008E68DC">
        <w:rPr>
          <w:rFonts w:ascii="Tahoma" w:eastAsia="Times New Roman" w:hAnsi="Tahoma" w:cs="Tahoma"/>
        </w:rPr>
        <w:t xml:space="preserve">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 Indicate current progress towards CEQA compliance and timelines for completion. </w:t>
      </w:r>
      <w:r w:rsidRPr="008E68DC">
        <w:rPr>
          <w:rFonts w:ascii="Tahoma" w:eastAsia="Tahoma" w:hAnsi="Tahoma" w:cs="Tahoma"/>
          <w:b/>
          <w:u w:val="single"/>
        </w:rPr>
        <w:t>Projects recommended for funding must complete the CEQA process within 6 months of the release date of the NOPA. The CEC reserves the right to cancel proposed awards that do not meet this CEQA compliance deadline and recommend funding for the next, highest-scoring passing proposal submitted under this solicitation.</w:t>
      </w:r>
      <w:r w:rsidRPr="008E68DC">
        <w:rPr>
          <w:rFonts w:ascii="Tahoma" w:eastAsia="Times New Roman" w:hAnsi="Tahoma" w:cs="Tahoma"/>
        </w:rPr>
        <w:t xml:space="preserve">  </w:t>
      </w:r>
    </w:p>
    <w:p w14:paraId="2FF1A8DF" w14:textId="75D8EE91" w:rsidR="00BE0B82" w:rsidRPr="0085719F" w:rsidRDefault="00BE0B82" w:rsidP="00735035">
      <w:pPr>
        <w:pStyle w:val="ListParagraph"/>
        <w:numPr>
          <w:ilvl w:val="3"/>
          <w:numId w:val="14"/>
        </w:numPr>
        <w:spacing w:before="100" w:beforeAutospacing="1" w:after="100" w:afterAutospacing="1"/>
        <w:ind w:left="1440"/>
        <w:rPr>
          <w:rFonts w:ascii="Tahoma" w:hAnsi="Tahoma" w:cs="Tahoma"/>
          <w:b/>
        </w:rPr>
      </w:pPr>
      <w:r w:rsidRPr="008E68DC">
        <w:rPr>
          <w:rFonts w:ascii="Tahoma" w:hAnsi="Tahoma" w:cs="Tahoma"/>
          <w:b/>
        </w:rPr>
        <w:t>Project Budget</w:t>
      </w:r>
    </w:p>
    <w:p w14:paraId="530CDDCB" w14:textId="6A7DF22E" w:rsidR="00BE0B82" w:rsidRPr="008E68DC" w:rsidRDefault="00BE0B82" w:rsidP="00735035">
      <w:pPr>
        <w:pStyle w:val="paragraph"/>
        <w:numPr>
          <w:ilvl w:val="0"/>
          <w:numId w:val="19"/>
        </w:numPr>
        <w:spacing w:before="0" w:beforeAutospacing="0" w:after="0" w:afterAutospacing="0"/>
        <w:ind w:left="1987"/>
        <w:textAlignment w:val="baseline"/>
        <w:rPr>
          <w:rStyle w:val="normaltextrun"/>
          <w:rFonts w:ascii="Tahoma" w:eastAsiaTheme="minorEastAsia" w:hAnsi="Tahoma" w:cs="Tahoma"/>
          <w:b/>
          <w:bCs/>
          <w:u w:val="single"/>
        </w:rPr>
      </w:pPr>
      <w:r w:rsidRPr="008E68DC">
        <w:rPr>
          <w:rStyle w:val="normaltextrun"/>
          <w:rFonts w:ascii="Tahoma" w:hAnsi="Tahoma" w:cs="Tahoma"/>
        </w:rPr>
        <w:t>Explain how the proposed budget is justifiable and reasonable relative to the project goals, objectives, and tasks defined in the scope of work.</w:t>
      </w:r>
    </w:p>
    <w:p w14:paraId="774B8AA0" w14:textId="77777777" w:rsidR="00BE0B82" w:rsidRPr="008E68DC" w:rsidRDefault="00BE0B82" w:rsidP="00BE0B82">
      <w:pPr>
        <w:pStyle w:val="paragraph"/>
        <w:spacing w:before="0" w:beforeAutospacing="0" w:after="0" w:afterAutospacing="0"/>
        <w:ind w:left="1987"/>
        <w:textAlignment w:val="baseline"/>
        <w:rPr>
          <w:rStyle w:val="normaltextrun"/>
          <w:rFonts w:ascii="Tahoma" w:eastAsiaTheme="minorEastAsia" w:hAnsi="Tahoma" w:cs="Tahoma"/>
          <w:b/>
          <w:bCs/>
          <w:u w:val="single"/>
        </w:rPr>
      </w:pPr>
    </w:p>
    <w:p w14:paraId="3B35C2C5" w14:textId="12F4C3EC" w:rsidR="00BE0B82" w:rsidRPr="008E68DC" w:rsidRDefault="00BE0B82" w:rsidP="00735035">
      <w:pPr>
        <w:pStyle w:val="paragraph"/>
        <w:numPr>
          <w:ilvl w:val="0"/>
          <w:numId w:val="19"/>
        </w:numPr>
        <w:spacing w:before="0" w:beforeAutospacing="0" w:after="0" w:afterAutospacing="0"/>
        <w:ind w:left="1987" w:hanging="450"/>
        <w:textAlignment w:val="baseline"/>
        <w:rPr>
          <w:rFonts w:ascii="Tahoma" w:eastAsiaTheme="minorEastAsia" w:hAnsi="Tahoma" w:cs="Tahoma"/>
          <w:b/>
          <w:bCs/>
          <w:u w:val="single"/>
        </w:rPr>
      </w:pPr>
      <w:r w:rsidRPr="008E68DC">
        <w:rPr>
          <w:rStyle w:val="normaltextrun"/>
          <w:rFonts w:ascii="Tahoma" w:hAnsi="Tahoma" w:cs="Tahoma"/>
          <w:b/>
          <w:bCs/>
          <w:u w:val="single"/>
        </w:rPr>
        <w:t>Discuss how the amount of CEC funding per port/refueling position is minimized and justified for the proposed infrastructure power level/refueling capacity</w:t>
      </w:r>
      <w:r w:rsidRPr="008E68DC">
        <w:rPr>
          <w:rFonts w:ascii="Tahoma" w:hAnsi="Tahoma" w:cs="Tahoma"/>
          <w:b/>
          <w:bCs/>
          <w:u w:val="single"/>
        </w:rPr>
        <w:t>.</w:t>
      </w:r>
    </w:p>
    <w:p w14:paraId="72E28426" w14:textId="77777777" w:rsidR="008A226D" w:rsidRPr="008E68DC" w:rsidRDefault="008A226D" w:rsidP="0085719F">
      <w:pPr>
        <w:numPr>
          <w:ilvl w:val="0"/>
          <w:numId w:val="33"/>
        </w:numPr>
        <w:spacing w:before="100" w:beforeAutospacing="1" w:after="100" w:afterAutospacing="1"/>
        <w:rPr>
          <w:rFonts w:ascii="Tahoma" w:hAnsi="Tahoma" w:cs="Tahoma"/>
          <w:b/>
        </w:rPr>
      </w:pPr>
      <w:r w:rsidRPr="008E68DC">
        <w:rPr>
          <w:rFonts w:ascii="Tahoma" w:hAnsi="Tahoma" w:cs="Tahoma"/>
          <w:b/>
        </w:rPr>
        <w:t>Economic, Social, and Environmental Benefits</w:t>
      </w:r>
    </w:p>
    <w:p w14:paraId="76F48CE7" w14:textId="77777777" w:rsidR="008A226D" w:rsidRPr="008E68DC" w:rsidRDefault="008A226D" w:rsidP="008A226D">
      <w:pPr>
        <w:pStyle w:val="paragraph"/>
        <w:numPr>
          <w:ilvl w:val="0"/>
          <w:numId w:val="30"/>
        </w:numPr>
        <w:textAlignment w:val="baseline"/>
        <w:rPr>
          <w:rStyle w:val="normaltextrun"/>
          <w:rFonts w:ascii="Tahoma" w:hAnsi="Tahoma" w:cs="Tahoma"/>
        </w:rPr>
      </w:pPr>
      <w:r w:rsidRPr="008E68DC">
        <w:rPr>
          <w:rStyle w:val="normaltextrun"/>
          <w:rFonts w:ascii="Tahoma" w:hAnsi="Tahoma" w:cs="Tahoma"/>
        </w:rPr>
        <w:t xml:space="preserve">Describe how the proposed project will support the larger economic and reduced emission goals of the port and compliance with state regulations.  </w:t>
      </w:r>
    </w:p>
    <w:p w14:paraId="1ECE77BA" w14:textId="77777777" w:rsidR="008A226D" w:rsidRPr="008E68DC" w:rsidRDefault="008A226D" w:rsidP="008A226D">
      <w:pPr>
        <w:pStyle w:val="paragraph"/>
        <w:numPr>
          <w:ilvl w:val="0"/>
          <w:numId w:val="30"/>
        </w:numPr>
        <w:textAlignment w:val="baseline"/>
        <w:rPr>
          <w:rStyle w:val="normaltextrun"/>
          <w:rFonts w:ascii="Tahoma" w:hAnsi="Tahoma" w:cs="Tahoma"/>
        </w:rPr>
      </w:pPr>
      <w:r w:rsidRPr="008E68DC">
        <w:rPr>
          <w:rStyle w:val="normaltextrun"/>
          <w:rFonts w:ascii="Tahoma" w:hAnsi="Tahoma" w:cs="Tahoma"/>
        </w:rPr>
        <w:t>Provide the total weight of CO2 displaced in metric tons resulting from the proposed project on an annual basis and substantiate calculations.</w:t>
      </w:r>
    </w:p>
    <w:p w14:paraId="71D3CD25" w14:textId="77777777" w:rsidR="008A226D" w:rsidRPr="008E68DC" w:rsidRDefault="008A226D" w:rsidP="008A226D">
      <w:pPr>
        <w:pStyle w:val="NormalWeb"/>
        <w:numPr>
          <w:ilvl w:val="2"/>
          <w:numId w:val="31"/>
        </w:numPr>
        <w:ind w:left="2160"/>
        <w:rPr>
          <w:rFonts w:ascii="Tahoma" w:hAnsi="Tahoma" w:cs="Tahoma"/>
        </w:rPr>
      </w:pPr>
      <w:r w:rsidRPr="008E68DC">
        <w:rPr>
          <w:rFonts w:ascii="Tahoma" w:hAnsi="Tahoma" w:cs="Tahoma"/>
          <w:bCs/>
          <w:color w:val="000000"/>
        </w:rPr>
        <w:t xml:space="preserve">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The CARB </w:t>
      </w:r>
      <w:hyperlink r:id="rId13" w:history="1">
        <w:r w:rsidRPr="008E68DC">
          <w:rPr>
            <w:rStyle w:val="Hyperlink"/>
            <w:rFonts w:ascii="Tahoma" w:hAnsi="Tahoma" w:cs="Tahoma"/>
            <w:bCs/>
            <w:color w:val="0000CC"/>
          </w:rPr>
          <w:t>calculation methodology guidance</w:t>
        </w:r>
      </w:hyperlink>
      <w:r w:rsidRPr="008E68DC">
        <w:rPr>
          <w:rFonts w:ascii="Tahoma" w:hAnsi="Tahoma" w:cs="Tahoma"/>
          <w:bCs/>
          <w:color w:val="000000"/>
        </w:rPr>
        <w:t xml:space="preserve"> is available at: </w:t>
      </w:r>
      <w:hyperlink r:id="rId14" w:history="1">
        <w:r w:rsidRPr="008E68DC">
          <w:rPr>
            <w:rStyle w:val="Hyperlink"/>
            <w:rFonts w:ascii="Tahoma" w:hAnsi="Tahoma" w:cs="Tahoma"/>
            <w:bCs/>
            <w:color w:val="0000CC"/>
          </w:rPr>
          <w:t>https://ww2.arb.ca.gov/our-work/programs/low-carbon-fuel-standard/lcfs-guidance-documents-user-guides-and-faqs</w:t>
        </w:r>
      </w:hyperlink>
      <w:r w:rsidRPr="008E68DC">
        <w:rPr>
          <w:rFonts w:ascii="Tahoma" w:hAnsi="Tahoma" w:cs="Tahoma"/>
          <w:bCs/>
          <w:color w:val="000000"/>
          <w:u w:val="single"/>
        </w:rPr>
        <w:t>.</w:t>
      </w:r>
    </w:p>
    <w:p w14:paraId="6571F595" w14:textId="77777777" w:rsidR="008A226D" w:rsidRPr="008E68DC" w:rsidRDefault="008A226D" w:rsidP="008A226D">
      <w:pPr>
        <w:pStyle w:val="ListParagraph"/>
        <w:numPr>
          <w:ilvl w:val="4"/>
          <w:numId w:val="32"/>
        </w:numPr>
        <w:autoSpaceDE w:val="0"/>
        <w:autoSpaceDN w:val="0"/>
        <w:adjustRightInd w:val="0"/>
        <w:spacing w:before="100" w:beforeAutospacing="1" w:after="100" w:afterAutospacing="1"/>
        <w:ind w:left="2160"/>
        <w:contextualSpacing w:val="0"/>
        <w:rPr>
          <w:rFonts w:ascii="Tahoma" w:hAnsi="Tahoma" w:cs="Tahoma"/>
          <w:color w:val="000000" w:themeColor="text1"/>
        </w:rPr>
      </w:pPr>
      <w:r w:rsidRPr="008E68DC">
        <w:rPr>
          <w:rFonts w:ascii="Tahoma" w:hAnsi="Tahoma" w:cs="Tahoma"/>
          <w:bCs/>
          <w:color w:val="000000"/>
        </w:rPr>
        <w:t>If the carbon intensity pathway of the proposed project has already been calculated through CARB’s LCFS process, Applicant must so state and provide the carbon intensity of the project’s fuel and the pathway identifier(s) from the Low Carbon Fuel Standard</w:t>
      </w:r>
      <w:r w:rsidRPr="008E68DC">
        <w:rPr>
          <w:rFonts w:ascii="Tahoma" w:hAnsi="Tahoma" w:cs="Tahoma"/>
          <w:bCs/>
          <w:color w:val="000000"/>
          <w:u w:val="single"/>
        </w:rPr>
        <w:t xml:space="preserve"> </w:t>
      </w:r>
      <w:hyperlink r:id="rId15" w:history="1">
        <w:r w:rsidRPr="008E68DC">
          <w:rPr>
            <w:rStyle w:val="Hyperlink"/>
            <w:rFonts w:ascii="Tahoma" w:hAnsi="Tahoma" w:cs="Tahoma"/>
            <w:bCs/>
            <w:color w:val="0000CC"/>
          </w:rPr>
          <w:t xml:space="preserve">Reporting Tool and Credit </w:t>
        </w:r>
        <w:r w:rsidRPr="008E68DC">
          <w:rPr>
            <w:rStyle w:val="Hyperlink"/>
            <w:rFonts w:ascii="Tahoma" w:hAnsi="Tahoma" w:cs="Tahoma"/>
            <w:bCs/>
            <w:color w:val="0000CC"/>
          </w:rPr>
          <w:lastRenderedPageBreak/>
          <w:t>Bank &amp; Transfer System</w:t>
        </w:r>
      </w:hyperlink>
      <w:r w:rsidRPr="008E68DC">
        <w:rPr>
          <w:rFonts w:ascii="Tahoma" w:hAnsi="Tahoma" w:cs="Tahoma"/>
          <w:bCs/>
          <w:color w:val="000000"/>
          <w:u w:val="single"/>
        </w:rPr>
        <w:t xml:space="preserve"> (LRT-CBTS) (</w:t>
      </w:r>
      <w:hyperlink r:id="rId16" w:history="1">
        <w:r w:rsidRPr="008E68DC">
          <w:rPr>
            <w:rStyle w:val="Hyperlink"/>
            <w:rFonts w:ascii="Tahoma" w:hAnsi="Tahoma" w:cs="Tahoma"/>
            <w:bCs/>
            <w:color w:val="0000CC"/>
          </w:rPr>
          <w:t>https://ssl.arb.ca.gov/lcfsrt/Login.aspx</w:t>
        </w:r>
      </w:hyperlink>
      <w:r w:rsidRPr="008E68DC">
        <w:rPr>
          <w:rFonts w:ascii="Tahoma" w:hAnsi="Tahoma" w:cs="Tahoma"/>
          <w:bCs/>
          <w:color w:val="000000"/>
        </w:rPr>
        <w:t xml:space="preserve">), in lieu of the </w:t>
      </w:r>
      <w:r w:rsidRPr="008E68DC">
        <w:rPr>
          <w:rFonts w:ascii="Tahoma" w:hAnsi="Tahoma" w:cs="Tahoma"/>
          <w:color w:val="000000" w:themeColor="text1"/>
        </w:rPr>
        <w:t>above.</w:t>
      </w:r>
    </w:p>
    <w:p w14:paraId="5FE739C2" w14:textId="77777777" w:rsidR="008A226D" w:rsidRPr="008E68DC" w:rsidRDefault="008A226D" w:rsidP="008A226D">
      <w:pPr>
        <w:pStyle w:val="ListParagraph"/>
        <w:numPr>
          <w:ilvl w:val="4"/>
          <w:numId w:val="32"/>
        </w:numPr>
        <w:autoSpaceDE w:val="0"/>
        <w:autoSpaceDN w:val="0"/>
        <w:adjustRightInd w:val="0"/>
        <w:spacing w:before="100" w:beforeAutospacing="1" w:after="100" w:afterAutospacing="1"/>
        <w:ind w:left="2160"/>
        <w:contextualSpacing w:val="0"/>
        <w:rPr>
          <w:rFonts w:ascii="Tahoma" w:hAnsi="Tahoma" w:cs="Tahoma"/>
          <w:color w:val="000000" w:themeColor="text1"/>
        </w:rPr>
      </w:pPr>
      <w:r w:rsidRPr="008E68DC">
        <w:rPr>
          <w:rFonts w:ascii="Tahoma" w:hAnsi="Tahoma" w:cs="Tahoma"/>
          <w:color w:val="000000" w:themeColor="text1"/>
        </w:rPr>
        <w:t>For hydrogen projects, calculate and present the carbon intensity of the hydrogen fuel to be dispensed at the proposed station(s), measured well-to-gate, consistent with the clean hydrogen federal tax credit created by Section 45V of Title 26 of the United States Code.</w:t>
      </w:r>
      <w:r w:rsidRPr="008E68DC">
        <w:rPr>
          <w:rFonts w:ascii="Tahoma" w:hAnsi="Tahoma" w:cs="Tahoma"/>
          <w:color w:val="000000" w:themeColor="text1"/>
          <w:u w:val="single"/>
        </w:rPr>
        <w:t xml:space="preserve"> </w:t>
      </w:r>
    </w:p>
    <w:p w14:paraId="449F9F25" w14:textId="77777777" w:rsidR="008A226D" w:rsidRPr="008E68DC" w:rsidRDefault="008A226D" w:rsidP="008A226D">
      <w:pPr>
        <w:pStyle w:val="ListParagraph"/>
        <w:numPr>
          <w:ilvl w:val="4"/>
          <w:numId w:val="32"/>
        </w:numPr>
        <w:autoSpaceDE w:val="0"/>
        <w:autoSpaceDN w:val="0"/>
        <w:adjustRightInd w:val="0"/>
        <w:spacing w:before="100" w:beforeAutospacing="1" w:after="100" w:afterAutospacing="1"/>
        <w:ind w:left="2160"/>
        <w:contextualSpacing w:val="0"/>
        <w:rPr>
          <w:rFonts w:ascii="Tahoma" w:hAnsi="Tahoma" w:cs="Tahoma"/>
          <w:color w:val="000000" w:themeColor="text1"/>
        </w:rPr>
      </w:pPr>
      <w:r w:rsidRPr="008E68DC">
        <w:rPr>
          <w:rFonts w:ascii="Tahoma" w:hAnsi="Tahoma" w:cs="Tahoma"/>
          <w:color w:val="000000" w:themeColor="text1"/>
        </w:rPr>
        <w:t>Provide the estimated utilization rates of infrastructure on a daily and annual basis and substantiate calculations. Assumptions and calculations should include number of ZEVs utilizing infrastructure per day, average charging time, and average power utilized per sessions. For hydrogen refueling stations, provide average refueling time for an average fill.</w:t>
      </w:r>
    </w:p>
    <w:p w14:paraId="3AA915D9" w14:textId="70EBF85A" w:rsidR="008A226D" w:rsidRPr="008E68DC" w:rsidRDefault="008A226D" w:rsidP="008A226D">
      <w:pPr>
        <w:pStyle w:val="ListParagraph"/>
        <w:numPr>
          <w:ilvl w:val="4"/>
          <w:numId w:val="32"/>
        </w:numPr>
        <w:autoSpaceDE w:val="0"/>
        <w:autoSpaceDN w:val="0"/>
        <w:adjustRightInd w:val="0"/>
        <w:spacing w:before="100" w:beforeAutospacing="1" w:after="100" w:afterAutospacing="1"/>
        <w:ind w:left="2160"/>
        <w:contextualSpacing w:val="0"/>
        <w:rPr>
          <w:rFonts w:ascii="Tahoma" w:hAnsi="Tahoma" w:cs="Tahoma"/>
          <w:color w:val="000000" w:themeColor="text1"/>
        </w:rPr>
      </w:pPr>
      <w:r w:rsidRPr="008E68DC">
        <w:rPr>
          <w:rFonts w:ascii="Tahoma" w:hAnsi="Tahoma" w:cs="Tahoma"/>
          <w:color w:val="000000" w:themeColor="text1"/>
        </w:rPr>
        <w:t>If located in a community with a priority population, describe how the proposed project will provide direct, meaningful and assured benefits to priority populations and if the project will displace current sources of emissions. Describe how benefits to these communities will be evaluated. (NOTE: [</w:t>
      </w:r>
      <w:r w:rsidRPr="008E68DC">
        <w:rPr>
          <w:rFonts w:ascii="Tahoma" w:hAnsi="Tahoma" w:cs="Tahoma"/>
          <w:strike/>
          <w:color w:val="000000" w:themeColor="text1"/>
        </w:rPr>
        <w:t xml:space="preserve">For hydrogen refueling stations, </w:t>
      </w:r>
      <w:r w:rsidRPr="008E68DC">
        <w:rPr>
          <w:rFonts w:ascii="Tahoma" w:hAnsi="Tahoma" w:cs="Tahoma"/>
          <w:color w:val="000000" w:themeColor="text1"/>
        </w:rPr>
        <w:t>]</w:t>
      </w:r>
      <w:r w:rsidR="00A73036">
        <w:rPr>
          <w:rFonts w:ascii="Tahoma" w:hAnsi="Tahoma" w:cs="Tahoma"/>
          <w:color w:val="000000" w:themeColor="text1"/>
        </w:rPr>
        <w:t xml:space="preserve"> </w:t>
      </w:r>
      <w:r w:rsidR="00A73036">
        <w:rPr>
          <w:rFonts w:ascii="Tahoma" w:hAnsi="Tahoma" w:cs="Tahoma"/>
          <w:b/>
          <w:bCs/>
          <w:color w:val="000000" w:themeColor="text1"/>
          <w:u w:val="single"/>
        </w:rPr>
        <w:t xml:space="preserve">at least </w:t>
      </w:r>
      <w:r w:rsidRPr="008E68DC">
        <w:rPr>
          <w:rFonts w:ascii="Tahoma" w:hAnsi="Tahoma" w:cs="Tahoma"/>
          <w:color w:val="000000" w:themeColor="text1"/>
        </w:rPr>
        <w:t xml:space="preserve">50% of allocated funds shall directly benefit or serve residents of low-income communities and disadvantaged communities </w:t>
      </w:r>
      <w:r w:rsidR="00B43A14">
        <w:rPr>
          <w:rFonts w:ascii="Tahoma" w:hAnsi="Tahoma" w:cs="Tahoma"/>
          <w:color w:val="000000" w:themeColor="text1"/>
        </w:rPr>
        <w:t>[</w:t>
      </w:r>
      <w:r w:rsidRPr="007B40DA">
        <w:rPr>
          <w:rFonts w:ascii="Tahoma" w:hAnsi="Tahoma" w:cs="Tahoma"/>
          <w:strike/>
          <w:color w:val="000000" w:themeColor="text1"/>
        </w:rPr>
        <w:t>as defined by CalEnviroScreen.</w:t>
      </w:r>
      <w:r w:rsidR="00B43A14" w:rsidRPr="007B40DA">
        <w:rPr>
          <w:rFonts w:ascii="Tahoma" w:hAnsi="Tahoma" w:cs="Tahoma"/>
          <w:strike/>
          <w:color w:val="000000" w:themeColor="text1"/>
        </w:rPr>
        <w:t>]</w:t>
      </w:r>
      <w:r w:rsidR="00EF2ED3" w:rsidRPr="00EF2ED3">
        <w:rPr>
          <w:rFonts w:ascii="Tahoma" w:hAnsi="Tahoma" w:cs="Tahoma"/>
          <w:b/>
          <w:bCs/>
          <w:u w:val="single"/>
        </w:rPr>
        <w:t xml:space="preserve"> </w:t>
      </w:r>
      <w:r w:rsidR="00EF2ED3" w:rsidRPr="00351B94">
        <w:rPr>
          <w:rFonts w:ascii="Tahoma" w:hAnsi="Tahoma" w:cs="Tahoma"/>
          <w:b/>
          <w:bCs/>
          <w:u w:val="single"/>
        </w:rPr>
        <w:t>with the map provided at Priority Populations — California Climate Investments https://www.caclimateinvestments.ca.gov/priority-populations. Refer to Section II.B.</w:t>
      </w:r>
      <w:r w:rsidR="00EF2ED3">
        <w:rPr>
          <w:rFonts w:ascii="Tahoma" w:hAnsi="Tahoma" w:cs="Tahoma"/>
          <w:b/>
          <w:bCs/>
          <w:u w:val="single"/>
        </w:rPr>
        <w:t>3</w:t>
      </w:r>
      <w:r w:rsidR="00CB1278">
        <w:rPr>
          <w:rFonts w:ascii="Tahoma" w:hAnsi="Tahoma" w:cs="Tahoma"/>
          <w:b/>
          <w:bCs/>
          <w:u w:val="single"/>
        </w:rPr>
        <w:t>.</w:t>
      </w:r>
      <w:r w:rsidRPr="008E68DC">
        <w:rPr>
          <w:rFonts w:ascii="Tahoma" w:hAnsi="Tahoma" w:cs="Tahoma"/>
          <w:color w:val="000000" w:themeColor="text1"/>
        </w:rPr>
        <w:t>)</w:t>
      </w:r>
      <w:r w:rsidR="00EF2ED3">
        <w:rPr>
          <w:rFonts w:ascii="Tahoma" w:hAnsi="Tahoma" w:cs="Tahoma"/>
          <w:color w:val="000000" w:themeColor="text1"/>
        </w:rPr>
        <w:t xml:space="preserve"> </w:t>
      </w:r>
    </w:p>
    <w:p w14:paraId="253FB02A" w14:textId="77777777" w:rsidR="007E5D5F" w:rsidRPr="008E68DC" w:rsidRDefault="007E5D5F" w:rsidP="007E5D5F">
      <w:pPr>
        <w:pStyle w:val="ListParagraph"/>
        <w:rPr>
          <w:rStyle w:val="normaltextrun"/>
          <w:rFonts w:ascii="Tahoma" w:hAnsi="Tahoma" w:cs="Tahoma"/>
          <w:b/>
          <w:bCs/>
          <w:u w:val="single"/>
        </w:rPr>
      </w:pPr>
    </w:p>
    <w:p w14:paraId="67BEAFB7" w14:textId="77777777" w:rsidR="007E5D5F" w:rsidRPr="008E68DC" w:rsidRDefault="007E5D5F" w:rsidP="00056A73">
      <w:pPr>
        <w:numPr>
          <w:ilvl w:val="0"/>
          <w:numId w:val="26"/>
        </w:numPr>
        <w:ind w:left="1080" w:hanging="360"/>
        <w:rPr>
          <w:rFonts w:ascii="Tahoma" w:hAnsi="Tahoma" w:cs="Tahoma"/>
          <w:b/>
          <w:bCs/>
        </w:rPr>
      </w:pPr>
      <w:r w:rsidRPr="008E68DC">
        <w:rPr>
          <w:rFonts w:ascii="Tahoma" w:hAnsi="Tahoma" w:cs="Tahoma"/>
          <w:b/>
          <w:bCs/>
        </w:rPr>
        <w:t>Letters of Commitment (Attachment 8)</w:t>
      </w:r>
    </w:p>
    <w:p w14:paraId="1967F6B2" w14:textId="77777777" w:rsidR="007E5D5F" w:rsidRPr="008E68DC" w:rsidRDefault="007E5D5F" w:rsidP="007E5D5F">
      <w:pPr>
        <w:ind w:left="1080"/>
        <w:rPr>
          <w:rFonts w:ascii="Tahoma" w:hAnsi="Tahoma" w:cs="Tahoma"/>
        </w:rPr>
      </w:pPr>
      <w:r w:rsidRPr="008E68DC">
        <w:rPr>
          <w:rFonts w:ascii="Tahoma" w:hAnsi="Tahoma" w:cs="Tahoma"/>
        </w:rPr>
        <w:t>Applicants must submit a match funding commitment letter from each entity that is committing to providing match funding. A commitment letter commits an entity or individual to providing the service or funding described in the letter. Letters are limited to two-pages each.</w:t>
      </w:r>
    </w:p>
    <w:p w14:paraId="446FBDC4" w14:textId="77777777" w:rsidR="007E5D5F" w:rsidRPr="008E68DC" w:rsidRDefault="007E5D5F" w:rsidP="007E5D5F">
      <w:pPr>
        <w:ind w:left="1440"/>
        <w:rPr>
          <w:rFonts w:ascii="Tahoma" w:hAnsi="Tahoma" w:cs="Tahoma"/>
        </w:rPr>
      </w:pPr>
    </w:p>
    <w:p w14:paraId="7A6D59AF" w14:textId="5BD1EC17" w:rsidR="007E5D5F" w:rsidRPr="008E68DC" w:rsidRDefault="007E5D5F" w:rsidP="00DA418C">
      <w:pPr>
        <w:numPr>
          <w:ilvl w:val="1"/>
          <w:numId w:val="26"/>
        </w:numPr>
        <w:rPr>
          <w:rFonts w:ascii="Tahoma" w:hAnsi="Tahoma" w:cs="Tahoma"/>
        </w:rPr>
      </w:pPr>
      <w:r w:rsidRPr="008E68DC">
        <w:rPr>
          <w:rFonts w:ascii="Tahoma" w:hAnsi="Tahoma" w:cs="Tahoma"/>
          <w:b/>
          <w:bCs/>
        </w:rPr>
        <w:t xml:space="preserve">Key Project Partners: </w:t>
      </w:r>
      <w:r w:rsidRPr="008E68DC">
        <w:rPr>
          <w:rFonts w:ascii="Tahoma" w:hAnsi="Tahoma" w:cs="Tahoma"/>
        </w:rPr>
        <w:t>Key project partners identified in the application must provide letters demonstrating their ability to fulfill their identified roles.</w:t>
      </w:r>
    </w:p>
    <w:p w14:paraId="5016814A" w14:textId="77777777" w:rsidR="007E5D5F" w:rsidRPr="008E68DC" w:rsidRDefault="007E5D5F" w:rsidP="00DA418C">
      <w:pPr>
        <w:numPr>
          <w:ilvl w:val="1"/>
          <w:numId w:val="26"/>
        </w:numPr>
        <w:rPr>
          <w:rFonts w:ascii="Tahoma" w:hAnsi="Tahoma" w:cs="Tahoma"/>
        </w:rPr>
      </w:pPr>
      <w:r w:rsidRPr="008E68DC">
        <w:rPr>
          <w:rFonts w:ascii="Tahoma" w:hAnsi="Tahoma" w:cs="Tahoma"/>
          <w:b/>
        </w:rPr>
        <w:t xml:space="preserve">Match Share Contributors Letters of Commitment: </w:t>
      </w:r>
      <w:r w:rsidRPr="008E68DC">
        <w:rPr>
          <w:rFonts w:ascii="Tahoma" w:hAnsi="Tahoma" w:cs="Tahoma"/>
        </w:rPr>
        <w:t>Any match share contributors (including the Applicant and/or a third-party) must identify the intended amount of match that will be committed to the project, the funding source(s), and state that the match share contributor will provide the identified match funding. Letters of commitment from match share contributors must contain a telephone number and email address to allow CEC to contact the match share partner or representative to confirm their authority to commit matching funds to the proposed project.</w:t>
      </w:r>
    </w:p>
    <w:p w14:paraId="0A6AD152" w14:textId="77777777" w:rsidR="007E5D5F" w:rsidRPr="008E68DC" w:rsidRDefault="007E5D5F" w:rsidP="00A2534E">
      <w:pPr>
        <w:pStyle w:val="ListParagraph"/>
        <w:numPr>
          <w:ilvl w:val="1"/>
          <w:numId w:val="26"/>
        </w:numPr>
        <w:spacing w:before="100" w:beforeAutospacing="1" w:after="100" w:afterAutospacing="1"/>
        <w:contextualSpacing w:val="0"/>
        <w:rPr>
          <w:rFonts w:ascii="Tahoma" w:hAnsi="Tahoma" w:cs="Tahoma"/>
        </w:rPr>
      </w:pPr>
      <w:r w:rsidRPr="008E68DC">
        <w:rPr>
          <w:rFonts w:ascii="Tahoma" w:hAnsi="Tahoma" w:cs="Tahoma"/>
          <w:b/>
        </w:rPr>
        <w:t>Station Site Owner Letter of Commitment</w:t>
      </w:r>
      <w:r w:rsidRPr="008E68DC">
        <w:rPr>
          <w:rFonts w:ascii="Tahoma" w:hAnsi="Tahoma" w:cs="Tahoma"/>
        </w:rPr>
        <w:t xml:space="preserve">: Applications must include a letter of commitment from the current owner of the site for each proposed station location. The letter must be signed and dated by the site owner or representative who is duly authorized to commit the site as a location of a </w:t>
      </w:r>
      <w:r w:rsidRPr="008E68DC">
        <w:rPr>
          <w:rFonts w:ascii="Tahoma" w:hAnsi="Tahoma" w:cs="Tahoma"/>
        </w:rPr>
        <w:lastRenderedPageBreak/>
        <w:t xml:space="preserve">station. The letter must also contain a telephone number and email address to allow the CEC to contact the site owner or representative to confirm the commitment and authority to commit to the proposed project. If a proposed site is owned AND operated by the same entity or individual, the letter shall state so. </w:t>
      </w:r>
    </w:p>
    <w:p w14:paraId="3EECFDAC" w14:textId="77777777" w:rsidR="007E5D5F" w:rsidRPr="008E68DC" w:rsidRDefault="007E5D5F" w:rsidP="00A2534E">
      <w:pPr>
        <w:pStyle w:val="ListParagraph"/>
        <w:numPr>
          <w:ilvl w:val="1"/>
          <w:numId w:val="26"/>
        </w:numPr>
        <w:spacing w:before="100" w:beforeAutospacing="1" w:after="100" w:afterAutospacing="1"/>
        <w:contextualSpacing w:val="0"/>
        <w:rPr>
          <w:rFonts w:ascii="Tahoma" w:hAnsi="Tahoma" w:cs="Tahoma"/>
        </w:rPr>
      </w:pPr>
      <w:r w:rsidRPr="008E68DC">
        <w:rPr>
          <w:rFonts w:ascii="Tahoma" w:hAnsi="Tahoma" w:cs="Tahoma"/>
          <w:b/>
        </w:rPr>
        <w:t>Station Site Operator Letter of Commitment</w:t>
      </w:r>
      <w:r w:rsidRPr="008E68DC">
        <w:rPr>
          <w:rFonts w:ascii="Tahoma" w:hAnsi="Tahoma" w:cs="Tahoma"/>
        </w:rPr>
        <w:t xml:space="preserve">: If a proposed site is operated by a different entity or individual than the site owner, applications must also include a letter of commitment from the current operator of the site for each proposed station location. The letter must be signed and dated by a representative of the site operator and must contain a telephone number and email address to allow the CEC to contact the site operator to confirm commitment and authority to commit to the proposed project. </w:t>
      </w:r>
    </w:p>
    <w:p w14:paraId="24CC82E2" w14:textId="77777777" w:rsidR="007E5D5F" w:rsidRPr="008E68DC" w:rsidRDefault="007E5D5F" w:rsidP="00A2534E">
      <w:pPr>
        <w:pStyle w:val="ListParagraph"/>
        <w:numPr>
          <w:ilvl w:val="1"/>
          <w:numId w:val="26"/>
        </w:numPr>
        <w:spacing w:before="120" w:after="120"/>
        <w:contextualSpacing w:val="0"/>
        <w:rPr>
          <w:rFonts w:ascii="Tahoma" w:hAnsi="Tahoma" w:cs="Tahoma"/>
          <w:b/>
          <w:u w:val="single"/>
        </w:rPr>
      </w:pPr>
      <w:r w:rsidRPr="008E68DC">
        <w:rPr>
          <w:rFonts w:ascii="Tahoma" w:hAnsi="Tahoma" w:cs="Tahoma"/>
          <w:b/>
          <w:u w:val="single"/>
        </w:rPr>
        <w:t>Fleet Operator Letter of Commitment: If an Applicant does not own and will not be purchasing ZEV MDHD vehicles for the proposed project, applicants must include a letter of commitment from the fleet operator of vehicles that will be used to demonstrate the infrastructure. The letter must be signed and dated by a representative of the fleet operator and must contain a telephone number and email address to allow the CEC to contact the fleet operator to confirm commitment and authority to commit to the proposed project.</w:t>
      </w:r>
    </w:p>
    <w:p w14:paraId="28FEF76C" w14:textId="77777777" w:rsidR="003830DF" w:rsidRPr="000819FA" w:rsidRDefault="003830DF" w:rsidP="003830DF">
      <w:pPr>
        <w:numPr>
          <w:ilvl w:val="0"/>
          <w:numId w:val="26"/>
        </w:numPr>
        <w:rPr>
          <w:rFonts w:ascii="Tahoma" w:hAnsi="Tahoma" w:cs="Tahoma"/>
          <w:b/>
          <w:bCs/>
        </w:rPr>
      </w:pPr>
      <w:r w:rsidRPr="00A31904">
        <w:rPr>
          <w:rFonts w:ascii="Tahoma" w:hAnsi="Tahoma" w:cs="Tahoma"/>
          <w:b/>
          <w:bCs/>
        </w:rPr>
        <w:t>Letters of Support (</w:t>
      </w:r>
      <w:r w:rsidRPr="00BA3215">
        <w:rPr>
          <w:rFonts w:ascii="Tahoma" w:hAnsi="Tahoma" w:cs="Tahoma"/>
          <w:b/>
          <w:bCs/>
        </w:rPr>
        <w:t xml:space="preserve">Attachment 9 - optional) </w:t>
      </w:r>
    </w:p>
    <w:p w14:paraId="5866B7C9" w14:textId="77777777" w:rsidR="003830DF" w:rsidRPr="00BA3215" w:rsidRDefault="003830DF" w:rsidP="003830DF">
      <w:pPr>
        <w:ind w:left="1080"/>
        <w:rPr>
          <w:rFonts w:ascii="Tahoma" w:hAnsi="Tahoma" w:cs="Tahoma"/>
        </w:rPr>
      </w:pPr>
      <w:r w:rsidRPr="00351B94">
        <w:rPr>
          <w:rFonts w:ascii="Tahoma" w:hAnsi="Tahoma" w:cs="Tahoma"/>
          <w:b/>
          <w:bCs/>
          <w:u w:val="single"/>
        </w:rPr>
        <w:t>Non-port</w:t>
      </w:r>
      <w:r>
        <w:rPr>
          <w:rFonts w:ascii="Tahoma" w:hAnsi="Tahoma" w:cs="Tahoma"/>
        </w:rPr>
        <w:t xml:space="preserve"> </w:t>
      </w:r>
      <w:r w:rsidRPr="00BA3215">
        <w:rPr>
          <w:rFonts w:ascii="Tahoma" w:hAnsi="Tahoma" w:cs="Tahoma"/>
        </w:rPr>
        <w:t xml:space="preserve">Applicants </w:t>
      </w:r>
      <w:r>
        <w:rPr>
          <w:rFonts w:ascii="Tahoma" w:hAnsi="Tahoma" w:cs="Tahoma"/>
        </w:rPr>
        <w:t>[</w:t>
      </w:r>
      <w:r w:rsidRPr="00351B94">
        <w:rPr>
          <w:rFonts w:ascii="Tahoma" w:hAnsi="Tahoma" w:cs="Tahoma"/>
          <w:strike/>
        </w:rPr>
        <w:t>are encouraged to</w:t>
      </w:r>
      <w:r>
        <w:rPr>
          <w:rFonts w:ascii="Tahoma" w:hAnsi="Tahoma" w:cs="Tahoma"/>
        </w:rPr>
        <w:t xml:space="preserve">] </w:t>
      </w:r>
      <w:r>
        <w:rPr>
          <w:rFonts w:ascii="Tahoma" w:hAnsi="Tahoma" w:cs="Tahoma"/>
          <w:b/>
          <w:bCs/>
          <w:u w:val="single"/>
        </w:rPr>
        <w:t>MUST</w:t>
      </w:r>
      <w:r w:rsidRPr="00BA3215">
        <w:rPr>
          <w:rFonts w:ascii="Tahoma" w:hAnsi="Tahoma" w:cs="Tahoma"/>
        </w:rPr>
        <w:t xml:space="preserve"> submit letter(s) of support</w:t>
      </w:r>
      <w:r>
        <w:rPr>
          <w:rFonts w:ascii="Tahoma" w:hAnsi="Tahoma" w:cs="Tahoma"/>
        </w:rPr>
        <w:t>, including letter(s) from the seaport or land port of entry being supported in the Application,</w:t>
      </w:r>
      <w:r w:rsidRPr="00BA3215">
        <w:rPr>
          <w:rFonts w:ascii="Tahoma" w:hAnsi="Tahoma" w:cs="Tahoma"/>
        </w:rPr>
        <w:t xml:space="preserve"> that substantiate the estimated demand and/or the potential benefits of the proposed project. Third-party letters of support </w:t>
      </w:r>
      <w:r>
        <w:rPr>
          <w:rFonts w:ascii="Tahoma" w:hAnsi="Tahoma" w:cs="Tahoma"/>
          <w:b/>
          <w:bCs/>
          <w:u w:val="single"/>
        </w:rPr>
        <w:t xml:space="preserve">are optional, and </w:t>
      </w:r>
      <w:r w:rsidRPr="00BA3215">
        <w:rPr>
          <w:rFonts w:ascii="Tahoma" w:hAnsi="Tahoma" w:cs="Tahoma"/>
        </w:rPr>
        <w:t xml:space="preserve">can be provided by, but are not limited </w:t>
      </w:r>
      <w:proofErr w:type="gramStart"/>
      <w:r w:rsidRPr="00BA3215">
        <w:rPr>
          <w:rFonts w:ascii="Tahoma" w:hAnsi="Tahoma" w:cs="Tahoma"/>
        </w:rPr>
        <w:t>to:</w:t>
      </w:r>
      <w:proofErr w:type="gramEnd"/>
      <w:r w:rsidRPr="00BA3215">
        <w:rPr>
          <w:rFonts w:ascii="Tahoma" w:hAnsi="Tahoma" w:cs="Tahoma"/>
        </w:rPr>
        <w:t xml:space="preserve"> air districts, state or federal agencies, local safety officials, potential users of the proposed project, and any other relevant organizations. Letters are limited to two-pages each.</w:t>
      </w:r>
    </w:p>
    <w:p w14:paraId="1AB2B649" w14:textId="77777777" w:rsidR="00EC0D38" w:rsidRPr="008E68DC" w:rsidRDefault="00EC0D38" w:rsidP="00EC0D38">
      <w:pPr>
        <w:pStyle w:val="ListParagraph"/>
        <w:spacing w:before="120" w:after="120"/>
        <w:ind w:left="1440"/>
        <w:contextualSpacing w:val="0"/>
        <w:rPr>
          <w:rFonts w:ascii="Tahoma" w:hAnsi="Tahoma" w:cs="Tahoma"/>
          <w:b/>
          <w:u w:val="single"/>
        </w:rPr>
      </w:pPr>
    </w:p>
    <w:p w14:paraId="6E8A7054" w14:textId="5E15E4C4" w:rsidR="00EC0D38" w:rsidRPr="008E68DC" w:rsidRDefault="00EC0D38" w:rsidP="00735035">
      <w:pPr>
        <w:keepNext/>
        <w:numPr>
          <w:ilvl w:val="0"/>
          <w:numId w:val="20"/>
        </w:numPr>
        <w:ind w:left="1080" w:hanging="360"/>
        <w:rPr>
          <w:rFonts w:ascii="Tahoma" w:hAnsi="Tahoma" w:cs="Tahoma"/>
          <w:b/>
          <w:bCs/>
        </w:rPr>
      </w:pPr>
      <w:r w:rsidRPr="008E68DC">
        <w:rPr>
          <w:rFonts w:ascii="Tahoma" w:hAnsi="Tahoma" w:cs="Tahoma"/>
          <w:b/>
          <w:bCs/>
        </w:rPr>
        <w:t>CEQA Worksheet (Attachment 10)</w:t>
      </w:r>
    </w:p>
    <w:p w14:paraId="500432B6" w14:textId="77777777" w:rsidR="00EC0D38" w:rsidRPr="008E68DC" w:rsidRDefault="00EC0D38" w:rsidP="00EC0D38">
      <w:pPr>
        <w:ind w:left="1080"/>
        <w:rPr>
          <w:rFonts w:ascii="Tahoma" w:hAnsi="Tahoma" w:cs="Tahoma"/>
        </w:rPr>
      </w:pPr>
      <w:r w:rsidRPr="008E68DC">
        <w:rPr>
          <w:rFonts w:ascii="Tahoma" w:hAnsi="Tahoma" w:cs="Tahoma"/>
        </w:rPr>
        <w:t xml:space="preserve">Applicants must include a completed CEQA Worksheet. CEC requires this information to assist it in making its own determination under the California Environmental Quality Act (Public Resources Code Section </w:t>
      </w:r>
      <w:r w:rsidRPr="008E68DC">
        <w:rPr>
          <w:rFonts w:ascii="Tahoma" w:hAnsi="Tahoma" w:cs="Tahoma"/>
          <w:szCs w:val="22"/>
        </w:rPr>
        <w:t xml:space="preserve">§§ </w:t>
      </w:r>
      <w:r w:rsidRPr="008E68DC">
        <w:rPr>
          <w:rFonts w:ascii="Tahoma" w:hAnsi="Tahoma" w:cs="Tahoma"/>
        </w:rPr>
        <w:t>21000 et seq).</w:t>
      </w:r>
    </w:p>
    <w:p w14:paraId="4C1A550C" w14:textId="77777777" w:rsidR="00EC0D38" w:rsidRPr="008E68DC" w:rsidRDefault="00EC0D38" w:rsidP="00EC0D38">
      <w:pPr>
        <w:ind w:left="1080" w:hanging="360"/>
        <w:rPr>
          <w:rFonts w:ascii="Tahoma" w:hAnsi="Tahoma" w:cs="Tahoma"/>
        </w:rPr>
      </w:pPr>
    </w:p>
    <w:p w14:paraId="293D7A8A" w14:textId="77777777" w:rsidR="00EC0D38" w:rsidRPr="008E68DC" w:rsidRDefault="00EC0D38" w:rsidP="00EC0D38">
      <w:pPr>
        <w:ind w:left="1080"/>
        <w:rPr>
          <w:rFonts w:ascii="Tahoma" w:hAnsi="Tahoma" w:cs="Tahoma"/>
        </w:rPr>
      </w:pPr>
      <w:r w:rsidRPr="008E68DC">
        <w:rPr>
          <w:rFonts w:ascii="Tahoma" w:hAnsi="Tahoma" w:cs="Tahoma"/>
        </w:rPr>
        <w:t>Applicants must complete the detailed CEQA Worksheet and submit it with their application. This worksheet will help Applicants and CEC to determine CEQA compliance obligations by identifying which projects may require more extensive CEQA review. Failure to complete the worksheet may lead to disqualification of the application.</w:t>
      </w:r>
    </w:p>
    <w:p w14:paraId="3692B70E" w14:textId="77777777" w:rsidR="00EC0D38" w:rsidRPr="008E68DC" w:rsidRDefault="00EC0D38" w:rsidP="00EC0D38">
      <w:pPr>
        <w:ind w:left="1080" w:hanging="360"/>
        <w:rPr>
          <w:rFonts w:ascii="Tahoma" w:hAnsi="Tahoma" w:cs="Tahoma"/>
        </w:rPr>
      </w:pPr>
    </w:p>
    <w:p w14:paraId="35857365" w14:textId="77777777" w:rsidR="00EC0D38" w:rsidRPr="008E68DC" w:rsidRDefault="00EC0D38" w:rsidP="00DA418C">
      <w:pPr>
        <w:ind w:left="1080"/>
        <w:rPr>
          <w:rFonts w:ascii="Tahoma" w:hAnsi="Tahoma" w:cs="Tahoma"/>
        </w:rPr>
      </w:pPr>
      <w:r w:rsidRPr="008E68DC">
        <w:rPr>
          <w:rFonts w:ascii="Tahoma" w:hAnsi="Tahoma" w:cs="Tahoma"/>
        </w:rPr>
        <w:t xml:space="preserve">Applicants are encouraged to provide documentation of communication with the local lead agency, if one exists (e.g., a county or city). Documentation may include a completed notice of exemption, a letter from the local agency acknowledging its role in the CEQA process, or a permit application to the lead agency that is stamped as </w:t>
      </w:r>
      <w:r w:rsidRPr="008E68DC">
        <w:rPr>
          <w:rFonts w:ascii="Tahoma" w:hAnsi="Tahoma" w:cs="Tahoma"/>
        </w:rPr>
        <w:lastRenderedPageBreak/>
        <w:t>received. If no CEQA review would be required by the local lead agency, provide documentation (e.g. a letter or e-mail) from the local agency explaining why CEQA review is not required.</w:t>
      </w:r>
    </w:p>
    <w:p w14:paraId="5BA8C554" w14:textId="77777777" w:rsidR="00EC0D38" w:rsidRPr="008E68DC" w:rsidRDefault="00EC0D38" w:rsidP="00EC0D38">
      <w:pPr>
        <w:ind w:left="1440"/>
        <w:rPr>
          <w:rFonts w:ascii="Tahoma" w:hAnsi="Tahoma" w:cs="Tahoma"/>
        </w:rPr>
      </w:pPr>
    </w:p>
    <w:p w14:paraId="74A706F9" w14:textId="77777777" w:rsidR="00EC0D38" w:rsidRPr="008E68DC" w:rsidRDefault="00EC0D38" w:rsidP="00735035">
      <w:pPr>
        <w:pStyle w:val="ListParagraph"/>
        <w:numPr>
          <w:ilvl w:val="0"/>
          <w:numId w:val="8"/>
        </w:numPr>
        <w:spacing w:after="120"/>
        <w:ind w:left="1440"/>
        <w:contextualSpacing w:val="0"/>
        <w:rPr>
          <w:rFonts w:ascii="Tahoma" w:eastAsia="Arial" w:hAnsi="Tahoma" w:cs="Tahoma"/>
          <w:color w:val="000000" w:themeColor="text1"/>
        </w:rPr>
      </w:pPr>
      <w:r w:rsidRPr="008E68DC">
        <w:rPr>
          <w:rFonts w:ascii="Tahoma" w:eastAsia="Arial" w:hAnsi="Tahoma" w:cs="Tahoma"/>
          <w:b/>
          <w:bCs/>
          <w:color w:val="000000" w:themeColor="text1"/>
        </w:rPr>
        <w:t>Additional Requirements</w:t>
      </w:r>
    </w:p>
    <w:p w14:paraId="46C36808" w14:textId="77777777" w:rsidR="00EC0D38" w:rsidRPr="008E68DC" w:rsidRDefault="00EC0D38" w:rsidP="00735035">
      <w:pPr>
        <w:pStyle w:val="ListParagraph"/>
        <w:numPr>
          <w:ilvl w:val="0"/>
          <w:numId w:val="7"/>
        </w:numPr>
        <w:spacing w:after="120"/>
        <w:ind w:left="1800"/>
        <w:contextualSpacing w:val="0"/>
        <w:rPr>
          <w:rFonts w:ascii="Tahoma" w:eastAsia="Arial" w:hAnsi="Tahoma" w:cs="Tahoma"/>
          <w:color w:val="000000" w:themeColor="text1"/>
        </w:rPr>
      </w:pPr>
      <w:r w:rsidRPr="008E68DC">
        <w:rPr>
          <w:rFonts w:ascii="Tahoma" w:eastAsia="Arial" w:hAnsi="Tahoma" w:cs="Tahoma"/>
          <w:b/>
          <w:bCs/>
          <w:color w:val="000000" w:themeColor="text1"/>
        </w:rPr>
        <w:t>Time is of the essence.</w:t>
      </w:r>
      <w:r w:rsidRPr="008E68DC">
        <w:rPr>
          <w:rFonts w:ascii="Tahoma" w:eastAsia="Arial" w:hAnsi="Tahoma" w:cs="Tahoma"/>
          <w:color w:val="000000" w:themeColor="text1"/>
        </w:rPr>
        <w:t xml:space="preserve"> Funds available under this solicitation have encumbrance deadlines and the CEC must approve proposed awards at a business meeting (usually held monthly) prior to those deadlines, in order to avoid expiration of the funds. Prior to approval and encumbrance, the CEC must comply with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 </w:t>
      </w:r>
      <w:r w:rsidRPr="008E68DC">
        <w:rPr>
          <w:rFonts w:ascii="Tahoma" w:eastAsia="Arial" w:hAnsi="Tahoma" w:cs="Tahoma"/>
          <w:b/>
          <w:bCs/>
          <w:color w:val="000000" w:themeColor="text1"/>
          <w:u w:val="single"/>
        </w:rPr>
        <w:t>Projects recommended for funding must complete the CEQA process within 6 months of the release date of the NOPA. The CEC reserves the right to cancel proposed awards that do not meet this CEQA compliance deadline and recommend funding for the next, highest-scoring passing proposal submitted under this solicitation.</w:t>
      </w:r>
    </w:p>
    <w:p w14:paraId="1DAB6174" w14:textId="517AD232" w:rsidR="00AF34F7" w:rsidRPr="008E68DC" w:rsidRDefault="00AF34F7" w:rsidP="001C3FB3">
      <w:pPr>
        <w:rPr>
          <w:rFonts w:ascii="Tahoma" w:hAnsi="Tahoma" w:cs="Tahoma"/>
          <w:b/>
          <w:bCs/>
        </w:rPr>
      </w:pPr>
    </w:p>
    <w:p w14:paraId="30A62EA6" w14:textId="5B3966A9" w:rsidR="00972966" w:rsidRPr="008E68DC" w:rsidRDefault="00482EE2" w:rsidP="00B1122A">
      <w:pPr>
        <w:rPr>
          <w:rFonts w:ascii="Tahoma" w:hAnsi="Tahoma" w:cs="Tahoma"/>
          <w:b/>
          <w:bCs/>
        </w:rPr>
      </w:pPr>
      <w:r>
        <w:rPr>
          <w:rFonts w:ascii="Tahoma" w:hAnsi="Tahoma" w:cs="Tahoma"/>
          <w:b/>
          <w:bCs/>
        </w:rPr>
        <w:t>11</w:t>
      </w:r>
      <w:r w:rsidR="00E87130" w:rsidRPr="008E68DC">
        <w:rPr>
          <w:rFonts w:ascii="Tahoma" w:hAnsi="Tahoma" w:cs="Tahoma"/>
          <w:b/>
          <w:bCs/>
        </w:rPr>
        <w:t>.</w:t>
      </w:r>
      <w:r w:rsidR="0028754A" w:rsidRPr="008E68DC">
        <w:rPr>
          <w:rFonts w:ascii="Tahoma" w:hAnsi="Tahoma" w:cs="Tahoma"/>
          <w:b/>
          <w:bCs/>
        </w:rPr>
        <w:tab/>
      </w:r>
      <w:r w:rsidR="0028754A" w:rsidRPr="008E68DC">
        <w:rPr>
          <w:rFonts w:ascii="Tahoma" w:eastAsiaTheme="majorEastAsia" w:hAnsi="Tahoma" w:cs="Tahoma"/>
          <w:b/>
        </w:rPr>
        <w:t>Section IV.A</w:t>
      </w:r>
      <w:r w:rsidR="00E87130" w:rsidRPr="008E68DC">
        <w:rPr>
          <w:rFonts w:ascii="Tahoma" w:eastAsiaTheme="majorEastAsia" w:hAnsi="Tahoma" w:cs="Tahoma"/>
          <w:b/>
          <w:bCs/>
        </w:rPr>
        <w:t>.</w:t>
      </w:r>
      <w:r w:rsidR="003E42EE" w:rsidRPr="008E68DC">
        <w:rPr>
          <w:rFonts w:ascii="Tahoma" w:eastAsiaTheme="majorEastAsia" w:hAnsi="Tahoma" w:cs="Tahoma"/>
          <w:b/>
        </w:rPr>
        <w:t xml:space="preserve"> APPLICATION EVALUATION</w:t>
      </w:r>
    </w:p>
    <w:p w14:paraId="0C38A313" w14:textId="77777777" w:rsidR="003E42EE" w:rsidRPr="008E68DC" w:rsidRDefault="003E42EE" w:rsidP="00B1122A">
      <w:pPr>
        <w:rPr>
          <w:rFonts w:ascii="Tahoma" w:hAnsi="Tahoma" w:cs="Tahoma"/>
          <w:b/>
          <w:bCs/>
        </w:rPr>
      </w:pPr>
    </w:p>
    <w:p w14:paraId="04D6E730" w14:textId="504380CB" w:rsidR="003E42EE" w:rsidRPr="008E68DC" w:rsidRDefault="003E42EE" w:rsidP="00735035">
      <w:pPr>
        <w:pStyle w:val="ListParagraph"/>
        <w:numPr>
          <w:ilvl w:val="0"/>
          <w:numId w:val="21"/>
        </w:numPr>
        <w:rPr>
          <w:rFonts w:ascii="Tahoma" w:hAnsi="Tahoma" w:cs="Tahoma"/>
          <w:b/>
        </w:rPr>
      </w:pPr>
      <w:r w:rsidRPr="008E68DC">
        <w:rPr>
          <w:rFonts w:ascii="Tahoma" w:hAnsi="Tahoma" w:cs="Tahoma"/>
          <w:b/>
        </w:rPr>
        <w:t>Grounds to Reject an Application or Cancel an Award</w:t>
      </w:r>
    </w:p>
    <w:p w14:paraId="436FD2D6" w14:textId="77777777" w:rsidR="003E42EE" w:rsidRPr="008E68DC" w:rsidRDefault="003E42EE" w:rsidP="003E42EE">
      <w:pPr>
        <w:ind w:left="1080"/>
        <w:rPr>
          <w:rFonts w:ascii="Tahoma" w:hAnsi="Tahoma" w:cs="Tahoma"/>
        </w:rPr>
      </w:pPr>
      <w:r w:rsidRPr="008E68DC">
        <w:rPr>
          <w:rFonts w:ascii="Tahoma" w:hAnsi="Tahoma" w:cs="Tahoma"/>
        </w:rPr>
        <w:t>In addition to the Screening Criteria identified within this solicitation, CEC reserves the right to reject an application and/or cancel an award for reasons including, but not limited to the following:</w:t>
      </w:r>
    </w:p>
    <w:p w14:paraId="33F830A3" w14:textId="77777777" w:rsidR="003E42EE" w:rsidRPr="008E68DC" w:rsidRDefault="003E42EE" w:rsidP="003E42EE">
      <w:pPr>
        <w:rPr>
          <w:rFonts w:ascii="Tahoma" w:hAnsi="Tahoma" w:cs="Tahoma"/>
        </w:rPr>
      </w:pPr>
    </w:p>
    <w:p w14:paraId="536EAF56" w14:textId="77777777" w:rsidR="003E42EE" w:rsidRPr="008E68DC" w:rsidRDefault="003E42EE" w:rsidP="00735035">
      <w:pPr>
        <w:numPr>
          <w:ilvl w:val="0"/>
          <w:numId w:val="5"/>
        </w:numPr>
        <w:ind w:left="1440"/>
        <w:rPr>
          <w:rFonts w:ascii="Tahoma" w:hAnsi="Tahoma" w:cs="Tahoma"/>
        </w:rPr>
      </w:pPr>
      <w:r w:rsidRPr="008E68DC">
        <w:rPr>
          <w:rFonts w:ascii="Tahoma" w:hAnsi="Tahoma" w:cs="Tahoma"/>
        </w:rPr>
        <w:t>The application contains false or intentionally misleading statements or references which do not support an attribute or condition contended by the Applicant.</w:t>
      </w:r>
    </w:p>
    <w:p w14:paraId="58495314" w14:textId="77777777" w:rsidR="003E42EE" w:rsidRPr="008E68DC" w:rsidRDefault="003E42EE" w:rsidP="003E42EE">
      <w:pPr>
        <w:ind w:left="1440" w:hanging="360"/>
        <w:rPr>
          <w:rFonts w:ascii="Tahoma" w:hAnsi="Tahoma" w:cs="Tahoma"/>
        </w:rPr>
      </w:pPr>
    </w:p>
    <w:p w14:paraId="10050222" w14:textId="77777777" w:rsidR="003E42EE" w:rsidRPr="008E68DC" w:rsidRDefault="003E42EE" w:rsidP="00735035">
      <w:pPr>
        <w:numPr>
          <w:ilvl w:val="0"/>
          <w:numId w:val="5"/>
        </w:numPr>
        <w:ind w:left="1440"/>
        <w:rPr>
          <w:rFonts w:ascii="Tahoma" w:hAnsi="Tahoma" w:cs="Tahoma"/>
        </w:rPr>
      </w:pPr>
      <w:r w:rsidRPr="008E68DC">
        <w:rPr>
          <w:rFonts w:ascii="Tahoma" w:hAnsi="Tahoma" w:cs="Tahoma"/>
        </w:rPr>
        <w:t>The application is intended to erroneously and fallaciously mislead the State in its evaluation of the application and the attribute, condition, or capability is a requirement of this solicitation.</w:t>
      </w:r>
    </w:p>
    <w:p w14:paraId="2B2F79FD" w14:textId="77777777" w:rsidR="003E42EE" w:rsidRPr="008E68DC" w:rsidRDefault="003E42EE" w:rsidP="003E42EE">
      <w:pPr>
        <w:ind w:left="1440" w:hanging="360"/>
        <w:rPr>
          <w:rFonts w:ascii="Tahoma" w:hAnsi="Tahoma" w:cs="Tahoma"/>
        </w:rPr>
      </w:pPr>
    </w:p>
    <w:p w14:paraId="5767BC1F" w14:textId="77777777" w:rsidR="003E42EE" w:rsidRPr="008E68DC" w:rsidRDefault="003E42EE" w:rsidP="00735035">
      <w:pPr>
        <w:numPr>
          <w:ilvl w:val="0"/>
          <w:numId w:val="5"/>
        </w:numPr>
        <w:ind w:left="1440"/>
        <w:rPr>
          <w:rFonts w:ascii="Tahoma" w:hAnsi="Tahoma" w:cs="Tahoma"/>
        </w:rPr>
      </w:pPr>
      <w:r w:rsidRPr="008E68DC">
        <w:rPr>
          <w:rFonts w:ascii="Tahoma" w:hAnsi="Tahoma" w:cs="Tahoma"/>
        </w:rPr>
        <w:lastRenderedPageBreak/>
        <w:t>The application does not comply or contains caveats that conflict with the solicitation and the variation or deviation is material, or it is otherwise non-responsive.</w:t>
      </w:r>
    </w:p>
    <w:p w14:paraId="41A8C99A" w14:textId="77777777" w:rsidR="003E42EE" w:rsidRPr="008E68DC" w:rsidRDefault="003E42EE" w:rsidP="003E42EE">
      <w:pPr>
        <w:pStyle w:val="ListParagraph"/>
        <w:ind w:left="1440" w:hanging="360"/>
        <w:rPr>
          <w:rFonts w:ascii="Tahoma" w:hAnsi="Tahoma" w:cs="Tahoma"/>
        </w:rPr>
      </w:pPr>
    </w:p>
    <w:p w14:paraId="034AF8B5" w14:textId="77777777" w:rsidR="003E42EE" w:rsidRPr="008E68DC" w:rsidRDefault="003E42EE" w:rsidP="00735035">
      <w:pPr>
        <w:numPr>
          <w:ilvl w:val="0"/>
          <w:numId w:val="5"/>
        </w:numPr>
        <w:ind w:left="1440"/>
        <w:rPr>
          <w:rFonts w:ascii="Tahoma" w:hAnsi="Tahoma" w:cs="Tahoma"/>
        </w:rPr>
      </w:pPr>
      <w:r w:rsidRPr="008E68DC">
        <w:rPr>
          <w:rFonts w:ascii="Tahoma" w:hAnsi="Tahoma" w:cs="Tahoma"/>
        </w:rPr>
        <w:t>The CEC, in its sole discretion, determines the Applicant’s</w:t>
      </w:r>
      <w:r w:rsidRPr="008E68DC">
        <w:rPr>
          <w:rFonts w:ascii="Tahoma" w:hAnsi="Tahoma" w:cs="Tahoma"/>
          <w:b/>
          <w:bCs/>
          <w:u w:val="single"/>
        </w:rPr>
        <w:t>, a subrecipient’s, or a vendor’s</w:t>
      </w:r>
      <w:r w:rsidRPr="008E68DC">
        <w:rPr>
          <w:rFonts w:ascii="Tahoma" w:hAnsi="Tahoma" w:cs="Tahoma"/>
        </w:rPr>
        <w:t xml:space="preserve"> financial condition may materially impact its ability to complete the proposed project.</w:t>
      </w:r>
    </w:p>
    <w:p w14:paraId="1D77ECE4" w14:textId="77777777" w:rsidR="00D651FE" w:rsidRPr="008E68DC" w:rsidRDefault="00D651FE" w:rsidP="00D651FE">
      <w:pPr>
        <w:rPr>
          <w:rFonts w:ascii="Tahoma" w:hAnsi="Tahoma" w:cs="Tahoma"/>
          <w:b/>
          <w:szCs w:val="22"/>
        </w:rPr>
      </w:pPr>
    </w:p>
    <w:p w14:paraId="1CC7A086" w14:textId="77777777" w:rsidR="00D651FE" w:rsidRPr="008E68DC" w:rsidRDefault="00D651FE" w:rsidP="00735035">
      <w:pPr>
        <w:pStyle w:val="ListParagraph"/>
        <w:numPr>
          <w:ilvl w:val="0"/>
          <w:numId w:val="22"/>
        </w:numPr>
        <w:contextualSpacing w:val="0"/>
        <w:rPr>
          <w:rFonts w:ascii="Tahoma" w:hAnsi="Tahoma" w:cs="Tahoma"/>
          <w:b/>
        </w:rPr>
      </w:pPr>
      <w:r w:rsidRPr="008E68DC">
        <w:rPr>
          <w:rFonts w:ascii="Tahoma" w:hAnsi="Tahoma" w:cs="Tahoma"/>
          <w:b/>
        </w:rPr>
        <w:t>Technical Evaluation</w:t>
      </w:r>
    </w:p>
    <w:p w14:paraId="427B0761" w14:textId="77777777" w:rsidR="003E42EE" w:rsidRPr="008E68DC" w:rsidRDefault="003E42EE" w:rsidP="00B1122A">
      <w:pPr>
        <w:rPr>
          <w:rFonts w:ascii="Tahoma" w:hAnsi="Tahoma" w:cs="Tahoma"/>
          <w:b/>
          <w:bCs/>
        </w:rPr>
      </w:pPr>
    </w:p>
    <w:p w14:paraId="558A97CA" w14:textId="0098E05E" w:rsidR="0028754A" w:rsidRPr="008E68DC" w:rsidRDefault="00482EE2" w:rsidP="00B1122A">
      <w:pPr>
        <w:rPr>
          <w:rFonts w:ascii="Tahoma" w:hAnsi="Tahoma" w:cs="Tahoma"/>
          <w:b/>
          <w:bCs/>
        </w:rPr>
      </w:pPr>
      <w:r>
        <w:rPr>
          <w:rFonts w:ascii="Tahoma" w:hAnsi="Tahoma" w:cs="Tahoma"/>
          <w:b/>
          <w:bCs/>
        </w:rPr>
        <w:t>12</w:t>
      </w:r>
      <w:r w:rsidR="00637630" w:rsidRPr="008E68DC">
        <w:rPr>
          <w:rFonts w:ascii="Tahoma" w:hAnsi="Tahoma" w:cs="Tahoma"/>
          <w:b/>
          <w:bCs/>
        </w:rPr>
        <w:t>.</w:t>
      </w:r>
      <w:r w:rsidR="000662A1" w:rsidRPr="008E68DC">
        <w:rPr>
          <w:rFonts w:ascii="Tahoma" w:hAnsi="Tahoma" w:cs="Tahoma"/>
          <w:b/>
          <w:bCs/>
        </w:rPr>
        <w:tab/>
      </w:r>
      <w:r w:rsidR="00DB22B9" w:rsidRPr="008E68DC">
        <w:rPr>
          <w:rFonts w:ascii="Tahoma" w:hAnsi="Tahoma" w:cs="Tahoma"/>
          <w:b/>
          <w:bCs/>
        </w:rPr>
        <w:t>Section IV.E. EVALUATION CRITERIA</w:t>
      </w:r>
    </w:p>
    <w:p w14:paraId="4244DD54" w14:textId="77777777" w:rsidR="00DB22B9" w:rsidRPr="008E68DC" w:rsidRDefault="00DB22B9" w:rsidP="00B1122A">
      <w:pPr>
        <w:rPr>
          <w:rFonts w:ascii="Tahoma" w:hAnsi="Tahoma" w:cs="Tahoma"/>
          <w:b/>
          <w:bCs/>
        </w:rPr>
      </w:pPr>
    </w:p>
    <w:tbl>
      <w:tblPr>
        <w:tblStyle w:val="TableGrid"/>
        <w:tblW w:w="0" w:type="auto"/>
        <w:tblLook w:val="04A0" w:firstRow="1" w:lastRow="0" w:firstColumn="1" w:lastColumn="0" w:noHBand="0" w:noVBand="1"/>
      </w:tblPr>
      <w:tblGrid>
        <w:gridCol w:w="7410"/>
        <w:gridCol w:w="1940"/>
      </w:tblGrid>
      <w:tr w:rsidR="009F1D82" w:rsidRPr="008E68DC" w14:paraId="0B5A2AE3" w14:textId="77777777" w:rsidTr="00F10412">
        <w:tc>
          <w:tcPr>
            <w:tcW w:w="7410" w:type="dxa"/>
          </w:tcPr>
          <w:p w14:paraId="373E61F1" w14:textId="74EA956F" w:rsidR="009F1D82" w:rsidRPr="008E68DC" w:rsidRDefault="009F1D82" w:rsidP="0085719F">
            <w:pPr>
              <w:pStyle w:val="ListParagraph"/>
              <w:keepLines/>
              <w:numPr>
                <w:ilvl w:val="0"/>
                <w:numId w:val="23"/>
              </w:numPr>
              <w:rPr>
                <w:rFonts w:ascii="Tahoma" w:hAnsi="Tahoma" w:cs="Tahoma"/>
                <w:b/>
              </w:rPr>
            </w:pPr>
            <w:r w:rsidRPr="008E68DC">
              <w:rPr>
                <w:rFonts w:ascii="Tahoma" w:hAnsi="Tahoma" w:cs="Tahoma"/>
                <w:b/>
              </w:rPr>
              <w:t>Project Budget</w:t>
            </w:r>
          </w:p>
          <w:p w14:paraId="6F401AE9" w14:textId="77777777" w:rsidR="009F1D82" w:rsidRPr="008E68DC" w:rsidRDefault="009F1D82" w:rsidP="0085719F">
            <w:pPr>
              <w:keepLines/>
              <w:rPr>
                <w:rFonts w:ascii="Tahoma" w:hAnsi="Tahoma" w:cs="Tahoma"/>
              </w:rPr>
            </w:pPr>
            <w:r w:rsidRPr="008E68DC">
              <w:rPr>
                <w:rFonts w:ascii="Tahoma" w:hAnsi="Tahoma" w:cs="Tahoma"/>
              </w:rPr>
              <w:t>Applications will be evaluated on the degree to which:</w:t>
            </w:r>
          </w:p>
          <w:p w14:paraId="09555DF9" w14:textId="77777777" w:rsidR="009F1D82" w:rsidRPr="008E68DC" w:rsidRDefault="009F1D82" w:rsidP="0085719F">
            <w:pPr>
              <w:keepLines/>
              <w:numPr>
                <w:ilvl w:val="0"/>
                <w:numId w:val="4"/>
              </w:numPr>
              <w:textAlignment w:val="baseline"/>
              <w:rPr>
                <w:rFonts w:ascii="Tahoma" w:hAnsi="Tahoma" w:cs="Tahoma"/>
              </w:rPr>
            </w:pPr>
            <w:r w:rsidRPr="008E68DC">
              <w:rPr>
                <w:rFonts w:ascii="Tahoma" w:hAnsi="Tahoma" w:cs="Tahoma"/>
              </w:rPr>
              <w:t xml:space="preserve">The proposed budget is justifiable and reasonable relative to the project goals, objectives, and tasks defined in the scope of work. </w:t>
            </w:r>
          </w:p>
          <w:p w14:paraId="2B02E0B7" w14:textId="77777777" w:rsidR="009F1D82" w:rsidRPr="008E68DC" w:rsidRDefault="009F1D82" w:rsidP="0085719F">
            <w:pPr>
              <w:keepLines/>
              <w:numPr>
                <w:ilvl w:val="0"/>
                <w:numId w:val="4"/>
              </w:numPr>
              <w:spacing w:after="60" w:line="259" w:lineRule="auto"/>
              <w:rPr>
                <w:rFonts w:ascii="Tahoma" w:hAnsi="Tahoma" w:cs="Tahoma"/>
                <w:b/>
                <w:bCs/>
                <w:u w:val="single"/>
              </w:rPr>
            </w:pPr>
            <w:r w:rsidRPr="008E68DC">
              <w:rPr>
                <w:rFonts w:ascii="Tahoma" w:hAnsi="Tahoma" w:cs="Tahoma"/>
                <w:b/>
                <w:bCs/>
                <w:u w:val="single"/>
              </w:rPr>
              <w:t>The a</w:t>
            </w:r>
            <w:r w:rsidRPr="008E68DC">
              <w:rPr>
                <w:rFonts w:ascii="Tahoma" w:hAnsi="Tahoma" w:cs="Tahoma"/>
                <w:b/>
                <w:u w:val="single"/>
              </w:rPr>
              <w:t xml:space="preserve">mount of </w:t>
            </w:r>
            <w:r w:rsidRPr="008E68DC">
              <w:rPr>
                <w:rStyle w:val="normaltextrun"/>
                <w:rFonts w:ascii="Tahoma" w:hAnsi="Tahoma" w:cs="Tahoma"/>
                <w:b/>
                <w:bCs/>
                <w:u w:val="single"/>
              </w:rPr>
              <w:t>CEC</w:t>
            </w:r>
            <w:r w:rsidRPr="008E68DC" w:rsidDel="00E768E3">
              <w:rPr>
                <w:rStyle w:val="normaltextrun"/>
                <w:rFonts w:ascii="Tahoma" w:hAnsi="Tahoma" w:cs="Tahoma"/>
                <w:b/>
                <w:bCs/>
                <w:u w:val="single"/>
              </w:rPr>
              <w:t xml:space="preserve"> </w:t>
            </w:r>
            <w:r w:rsidRPr="008E68DC">
              <w:rPr>
                <w:rStyle w:val="normaltextrun"/>
                <w:rFonts w:ascii="Tahoma" w:hAnsi="Tahoma" w:cs="Tahoma"/>
                <w:b/>
                <w:bCs/>
                <w:u w:val="single"/>
              </w:rPr>
              <w:t>f</w:t>
            </w:r>
            <w:r w:rsidRPr="008E68DC">
              <w:rPr>
                <w:rStyle w:val="normaltextrun"/>
                <w:rFonts w:ascii="Tahoma" w:hAnsi="Tahoma" w:cs="Tahoma"/>
                <w:b/>
                <w:u w:val="single"/>
              </w:rPr>
              <w:t>unding</w:t>
            </w:r>
            <w:r w:rsidRPr="008E68DC">
              <w:rPr>
                <w:rStyle w:val="normaltextrun"/>
                <w:rFonts w:ascii="Tahoma" w:hAnsi="Tahoma" w:cs="Tahoma"/>
                <w:u w:val="single"/>
              </w:rPr>
              <w:t xml:space="preserve"> </w:t>
            </w:r>
            <w:r w:rsidRPr="008E68DC">
              <w:rPr>
                <w:rStyle w:val="normaltextrun"/>
                <w:rFonts w:ascii="Tahoma" w:hAnsi="Tahoma" w:cs="Tahoma"/>
                <w:b/>
                <w:bCs/>
                <w:u w:val="single"/>
              </w:rPr>
              <w:t>per port/r</w:t>
            </w:r>
            <w:r w:rsidRPr="008E68DC">
              <w:rPr>
                <w:rStyle w:val="normaltextrun"/>
                <w:rFonts w:ascii="Tahoma" w:hAnsi="Tahoma" w:cs="Tahoma"/>
                <w:b/>
                <w:u w:val="single"/>
              </w:rPr>
              <w:t>efueling position</w:t>
            </w:r>
            <w:r w:rsidRPr="008E68DC">
              <w:rPr>
                <w:rStyle w:val="normaltextrun"/>
                <w:rFonts w:ascii="Tahoma" w:hAnsi="Tahoma" w:cs="Tahoma"/>
                <w:b/>
                <w:bCs/>
                <w:u w:val="single"/>
              </w:rPr>
              <w:t xml:space="preserve"> is minimized and justified for the proposed infrastructure power level/refueling capacity</w:t>
            </w:r>
            <w:r w:rsidRPr="008E68DC">
              <w:rPr>
                <w:rStyle w:val="normaltextrun"/>
                <w:rFonts w:ascii="Tahoma" w:hAnsi="Tahoma" w:cs="Tahoma"/>
                <w:b/>
                <w:u w:val="single"/>
              </w:rPr>
              <w:t>.</w:t>
            </w:r>
          </w:p>
          <w:p w14:paraId="28739C5B" w14:textId="77777777" w:rsidR="009F1D82" w:rsidRPr="008E68DC" w:rsidRDefault="009F1D82" w:rsidP="0085719F">
            <w:pPr>
              <w:keepLines/>
              <w:numPr>
                <w:ilvl w:val="0"/>
                <w:numId w:val="4"/>
              </w:numPr>
              <w:textAlignment w:val="baseline"/>
              <w:rPr>
                <w:rFonts w:ascii="Tahoma" w:hAnsi="Tahoma" w:cs="Tahoma"/>
              </w:rPr>
            </w:pPr>
            <w:r w:rsidRPr="008E68DC">
              <w:rPr>
                <w:rFonts w:ascii="Tahoma" w:hAnsi="Tahoma" w:cs="Tahoma"/>
              </w:rPr>
              <w:t>Administrative and overhead expenses are minimized.</w:t>
            </w:r>
          </w:p>
          <w:p w14:paraId="76421AA9" w14:textId="77777777" w:rsidR="009F1D82" w:rsidRPr="008E68DC" w:rsidRDefault="009F1D82" w:rsidP="0085719F">
            <w:pPr>
              <w:keepLines/>
              <w:numPr>
                <w:ilvl w:val="0"/>
                <w:numId w:val="4"/>
              </w:numPr>
              <w:textAlignment w:val="baseline"/>
              <w:rPr>
                <w:rFonts w:ascii="Tahoma" w:hAnsi="Tahoma" w:cs="Tahoma"/>
              </w:rPr>
            </w:pPr>
            <w:r w:rsidRPr="008E68DC">
              <w:rPr>
                <w:rFonts w:ascii="Tahoma" w:hAnsi="Tahoma" w:cs="Tahoma"/>
              </w:rPr>
              <w:t xml:space="preserve">The proposed project cost effectively deploys ZEV infrastructure. </w:t>
            </w:r>
          </w:p>
          <w:p w14:paraId="6105A9CC" w14:textId="77777777" w:rsidR="009F1D82" w:rsidRPr="008E68DC" w:rsidRDefault="009F1D82" w:rsidP="0085719F">
            <w:pPr>
              <w:keepLines/>
              <w:numPr>
                <w:ilvl w:val="0"/>
                <w:numId w:val="4"/>
              </w:numPr>
              <w:textAlignment w:val="baseline"/>
              <w:rPr>
                <w:rFonts w:ascii="Tahoma" w:hAnsi="Tahoma" w:cs="Tahoma"/>
              </w:rPr>
            </w:pPr>
            <w:r w:rsidRPr="008E68DC">
              <w:rPr>
                <w:rFonts w:ascii="Tahoma" w:hAnsi="Tahoma" w:cs="Tahoma"/>
              </w:rPr>
              <w:t xml:space="preserve">The proposed project cost effectively reduces GHG emissions. </w:t>
            </w:r>
          </w:p>
          <w:p w14:paraId="314FE03C" w14:textId="77777777" w:rsidR="009F1D82" w:rsidRPr="008E68DC" w:rsidRDefault="009F1D82" w:rsidP="0085719F">
            <w:pPr>
              <w:keepLines/>
              <w:numPr>
                <w:ilvl w:val="0"/>
                <w:numId w:val="4"/>
              </w:numPr>
              <w:textAlignment w:val="baseline"/>
              <w:rPr>
                <w:rFonts w:ascii="Tahoma" w:hAnsi="Tahoma" w:cs="Tahoma"/>
              </w:rPr>
            </w:pPr>
            <w:r w:rsidRPr="008E68DC">
              <w:rPr>
                <w:rFonts w:ascii="Tahoma" w:hAnsi="Tahoma" w:cs="Tahoma"/>
              </w:rPr>
              <w:t>The proposed match funding commitments are documented and verifiable. </w:t>
            </w:r>
          </w:p>
          <w:p w14:paraId="7F2C645C" w14:textId="54370B1F" w:rsidR="009F1D82" w:rsidRPr="008E68DC" w:rsidRDefault="009F1D82" w:rsidP="0085719F">
            <w:pPr>
              <w:keepLines/>
              <w:numPr>
                <w:ilvl w:val="0"/>
                <w:numId w:val="4"/>
              </w:numPr>
              <w:textAlignment w:val="baseline"/>
              <w:rPr>
                <w:rFonts w:ascii="Tahoma" w:hAnsi="Tahoma" w:cs="Tahoma"/>
              </w:rPr>
            </w:pPr>
            <w:r w:rsidRPr="008E68DC">
              <w:rPr>
                <w:rFonts w:ascii="Tahoma" w:hAnsi="Tahoma" w:cs="Tahoma"/>
              </w:rPr>
              <w:t>The Applicant demonstrates the need for state funding for the proposed project.  </w:t>
            </w:r>
          </w:p>
        </w:tc>
        <w:tc>
          <w:tcPr>
            <w:tcW w:w="1940" w:type="dxa"/>
          </w:tcPr>
          <w:p w14:paraId="651311B5" w14:textId="77777777" w:rsidR="009F1D82" w:rsidRPr="008E68DC" w:rsidRDefault="009F1D82" w:rsidP="0085719F">
            <w:pPr>
              <w:keepLines/>
              <w:jc w:val="center"/>
              <w:rPr>
                <w:rFonts w:ascii="Tahoma" w:hAnsi="Tahoma" w:cs="Tahoma"/>
              </w:rPr>
            </w:pPr>
          </w:p>
          <w:p w14:paraId="279B495D" w14:textId="77777777" w:rsidR="009F1D82" w:rsidRPr="008E68DC" w:rsidRDefault="009F1D82" w:rsidP="0085719F">
            <w:pPr>
              <w:keepLines/>
              <w:jc w:val="center"/>
              <w:rPr>
                <w:rFonts w:ascii="Tahoma" w:hAnsi="Tahoma" w:cs="Tahoma"/>
              </w:rPr>
            </w:pPr>
            <w:r w:rsidRPr="008E68DC">
              <w:rPr>
                <w:rFonts w:ascii="Tahoma" w:hAnsi="Tahoma" w:cs="Tahoma"/>
                <w:b/>
                <w:bCs/>
              </w:rPr>
              <w:t>20</w:t>
            </w:r>
          </w:p>
        </w:tc>
      </w:tr>
    </w:tbl>
    <w:p w14:paraId="7E12B421" w14:textId="77777777" w:rsidR="00DB22B9" w:rsidRPr="008E68DC" w:rsidRDefault="00DB22B9" w:rsidP="0085719F">
      <w:pPr>
        <w:keepLines/>
        <w:rPr>
          <w:rFonts w:ascii="Tahoma" w:hAnsi="Tahoma" w:cs="Tahoma"/>
          <w:b/>
          <w:bCs/>
        </w:rPr>
      </w:pPr>
    </w:p>
    <w:tbl>
      <w:tblPr>
        <w:tblStyle w:val="TableGrid"/>
        <w:tblW w:w="0" w:type="auto"/>
        <w:tblLook w:val="04A0" w:firstRow="1" w:lastRow="0" w:firstColumn="1" w:lastColumn="0" w:noHBand="0" w:noVBand="1"/>
      </w:tblPr>
      <w:tblGrid>
        <w:gridCol w:w="7410"/>
        <w:gridCol w:w="1940"/>
      </w:tblGrid>
      <w:tr w:rsidR="00537A72" w:rsidRPr="008E68DC" w14:paraId="669D2A47" w14:textId="1BE7149F">
        <w:tc>
          <w:tcPr>
            <w:tcW w:w="7410" w:type="dxa"/>
          </w:tcPr>
          <w:p w14:paraId="2F1D3C95" w14:textId="77777777" w:rsidR="00537A72" w:rsidRPr="008E68DC" w:rsidRDefault="00537A72" w:rsidP="0085719F">
            <w:pPr>
              <w:pStyle w:val="ListParagraph"/>
              <w:keepLines/>
              <w:numPr>
                <w:ilvl w:val="0"/>
                <w:numId w:val="23"/>
              </w:numPr>
              <w:rPr>
                <w:rFonts w:ascii="Tahoma" w:hAnsi="Tahoma" w:cs="Tahoma"/>
                <w:b/>
              </w:rPr>
            </w:pPr>
            <w:r w:rsidRPr="008E68DC">
              <w:rPr>
                <w:rFonts w:ascii="Tahoma" w:hAnsi="Tahoma" w:cs="Tahoma"/>
                <w:b/>
              </w:rPr>
              <w:t>Economic, Social, and Environmental Benefits</w:t>
            </w:r>
          </w:p>
          <w:p w14:paraId="0FA9F254" w14:textId="77777777" w:rsidR="00537A72" w:rsidRPr="008E68DC" w:rsidRDefault="00537A72" w:rsidP="0085719F">
            <w:pPr>
              <w:keepLines/>
              <w:rPr>
                <w:rFonts w:ascii="Tahoma" w:hAnsi="Tahoma" w:cs="Tahoma"/>
              </w:rPr>
            </w:pPr>
            <w:r w:rsidRPr="008E68DC">
              <w:rPr>
                <w:rFonts w:ascii="Tahoma" w:hAnsi="Tahoma" w:cs="Tahoma"/>
              </w:rPr>
              <w:t>Applications will be evaluated on the degree to which:</w:t>
            </w:r>
          </w:p>
          <w:p w14:paraId="05C23DF6" w14:textId="77777777" w:rsidR="00537A72" w:rsidRPr="008E68DC" w:rsidRDefault="00537A72" w:rsidP="0085719F">
            <w:pPr>
              <w:pStyle w:val="ListParagraph"/>
              <w:keepLines/>
              <w:numPr>
                <w:ilvl w:val="0"/>
                <w:numId w:val="4"/>
              </w:numPr>
              <w:spacing w:after="120"/>
              <w:contextualSpacing w:val="0"/>
              <w:rPr>
                <w:rFonts w:ascii="Tahoma" w:hAnsi="Tahoma" w:cs="Tahoma"/>
              </w:rPr>
            </w:pPr>
            <w:r w:rsidRPr="008E68DC">
              <w:rPr>
                <w:rFonts w:ascii="Tahoma" w:hAnsi="Tahoma" w:cs="Tahoma"/>
              </w:rPr>
              <w:t>The proposed project supports the larger economic and reduced emission goals of the port and compliance with state regulations.</w:t>
            </w:r>
          </w:p>
          <w:p w14:paraId="07CFB7C0" w14:textId="77777777" w:rsidR="00537A72" w:rsidRPr="008E68DC" w:rsidRDefault="00537A72" w:rsidP="0085719F">
            <w:pPr>
              <w:pStyle w:val="ListParagraph"/>
              <w:keepLines/>
              <w:numPr>
                <w:ilvl w:val="0"/>
                <w:numId w:val="4"/>
              </w:numPr>
              <w:spacing w:after="120"/>
              <w:contextualSpacing w:val="0"/>
              <w:rPr>
                <w:rFonts w:ascii="Tahoma" w:hAnsi="Tahoma" w:cs="Tahoma"/>
              </w:rPr>
            </w:pPr>
            <w:r w:rsidRPr="008E68DC">
              <w:rPr>
                <w:rFonts w:ascii="Tahoma" w:hAnsi="Tahoma" w:cs="Tahoma"/>
              </w:rPr>
              <w:t>The proposed project reduces carbon intensity relative to the relevant fossil fuel baseline as measured in gCO2e/MJ.</w:t>
            </w:r>
          </w:p>
          <w:p w14:paraId="46C8E8C3" w14:textId="77777777" w:rsidR="00537A72" w:rsidRPr="008E68DC" w:rsidRDefault="00537A72" w:rsidP="0085719F">
            <w:pPr>
              <w:pStyle w:val="ListParagraph"/>
              <w:keepLines/>
              <w:numPr>
                <w:ilvl w:val="0"/>
                <w:numId w:val="4"/>
              </w:numPr>
              <w:spacing w:after="120"/>
              <w:contextualSpacing w:val="0"/>
              <w:rPr>
                <w:rFonts w:ascii="Tahoma" w:hAnsi="Tahoma" w:cs="Tahoma"/>
              </w:rPr>
            </w:pPr>
            <w:r w:rsidRPr="008E68DC">
              <w:rPr>
                <w:rFonts w:ascii="Tahoma" w:hAnsi="Tahoma" w:cs="Tahoma"/>
              </w:rPr>
              <w:t>The proposed project reduces total GHG emissions (metric tons).</w:t>
            </w:r>
          </w:p>
          <w:p w14:paraId="24965A88" w14:textId="77777777" w:rsidR="00537A72" w:rsidRPr="008E68DC" w:rsidRDefault="00537A72" w:rsidP="0085719F">
            <w:pPr>
              <w:pStyle w:val="ListParagraph"/>
              <w:keepLines/>
              <w:numPr>
                <w:ilvl w:val="0"/>
                <w:numId w:val="4"/>
              </w:numPr>
              <w:spacing w:after="120"/>
              <w:contextualSpacing w:val="0"/>
              <w:rPr>
                <w:rFonts w:ascii="Tahoma" w:hAnsi="Tahoma" w:cs="Tahoma"/>
              </w:rPr>
            </w:pPr>
            <w:r w:rsidRPr="008E68DC">
              <w:rPr>
                <w:rFonts w:ascii="Tahoma" w:hAnsi="Tahoma" w:cs="Tahoma"/>
              </w:rPr>
              <w:t>The infrastructure installed under the proposed project will be utilized by MDHD vehicles. Estimated utilization rates are provided and calculations are substantiated.</w:t>
            </w:r>
          </w:p>
          <w:p w14:paraId="371BD724" w14:textId="7160FA1B" w:rsidR="00537A72" w:rsidRPr="008E68DC" w:rsidRDefault="00537A72" w:rsidP="0085719F">
            <w:pPr>
              <w:pStyle w:val="ListParagraph"/>
              <w:keepLines/>
              <w:numPr>
                <w:ilvl w:val="0"/>
                <w:numId w:val="4"/>
              </w:numPr>
              <w:spacing w:after="120"/>
              <w:contextualSpacing w:val="0"/>
              <w:rPr>
                <w:rFonts w:ascii="Tahoma" w:hAnsi="Tahoma" w:cs="Tahoma"/>
              </w:rPr>
            </w:pPr>
            <w:r w:rsidRPr="008E68DC">
              <w:rPr>
                <w:rFonts w:ascii="Tahoma" w:hAnsi="Tahoma" w:cs="Tahoma"/>
              </w:rPr>
              <w:lastRenderedPageBreak/>
              <w:t xml:space="preserve">The proposed project provides air quality benefits, as well as health and safety, access, education, financial benefits, economic development, and consumer protection to California’s priority populations or adjacent communities. </w:t>
            </w:r>
            <w:r w:rsidRPr="008E68DC">
              <w:rPr>
                <w:rFonts w:ascii="Tahoma" w:hAnsi="Tahoma" w:cs="Tahoma"/>
                <w:b/>
                <w:bCs/>
                <w:u w:val="single"/>
              </w:rPr>
              <w:t xml:space="preserve">(NOTE: </w:t>
            </w:r>
            <w:r w:rsidR="00A0743A">
              <w:rPr>
                <w:rFonts w:ascii="Tahoma" w:hAnsi="Tahoma" w:cs="Tahoma"/>
                <w:b/>
                <w:bCs/>
                <w:u w:val="single"/>
              </w:rPr>
              <w:t xml:space="preserve">at least </w:t>
            </w:r>
            <w:r w:rsidRPr="008E68DC">
              <w:rPr>
                <w:rFonts w:ascii="Tahoma" w:hAnsi="Tahoma" w:cs="Tahoma"/>
                <w:b/>
                <w:bCs/>
                <w:u w:val="single"/>
              </w:rPr>
              <w:t>50% of allocated funds shall directly benefit or serve residents of low-income communities and disadvantaged communities</w:t>
            </w:r>
            <w:r w:rsidR="00A0743A">
              <w:rPr>
                <w:rFonts w:ascii="Tahoma" w:hAnsi="Tahoma" w:cs="Tahoma"/>
                <w:b/>
                <w:bCs/>
                <w:u w:val="single"/>
              </w:rPr>
              <w:t xml:space="preserve"> </w:t>
            </w:r>
            <w:r w:rsidR="00AE113A" w:rsidRPr="00904429">
              <w:rPr>
                <w:rFonts w:ascii="Tahoma" w:hAnsi="Tahoma" w:cs="Tahoma"/>
                <w:b/>
                <w:bCs/>
                <w:u w:val="single"/>
              </w:rPr>
              <w:t>with the map provided at Priority Populations — California Climate Investments https://www.caclimateinvestments.ca.gov/priority-populations. Refer to Section II.B.</w:t>
            </w:r>
            <w:r w:rsidR="00AE113A">
              <w:rPr>
                <w:rFonts w:ascii="Tahoma" w:hAnsi="Tahoma" w:cs="Tahoma"/>
                <w:b/>
                <w:bCs/>
                <w:u w:val="single"/>
              </w:rPr>
              <w:t>3</w:t>
            </w:r>
            <w:r w:rsidR="00AE113A" w:rsidRPr="00904429">
              <w:rPr>
                <w:rFonts w:ascii="Tahoma" w:hAnsi="Tahoma" w:cs="Tahoma"/>
                <w:b/>
                <w:bCs/>
                <w:u w:val="single"/>
              </w:rPr>
              <w:t>.</w:t>
            </w:r>
            <w:r w:rsidRPr="008E68DC">
              <w:rPr>
                <w:rFonts w:ascii="Tahoma" w:hAnsi="Tahoma" w:cs="Tahoma"/>
                <w:b/>
                <w:bCs/>
                <w:u w:val="single"/>
              </w:rPr>
              <w:t>)</w:t>
            </w:r>
          </w:p>
          <w:p w14:paraId="421961B6" w14:textId="77777777" w:rsidR="00537A72" w:rsidRPr="008E68DC" w:rsidRDefault="00537A72" w:rsidP="0085719F">
            <w:pPr>
              <w:pStyle w:val="ListParagraph"/>
              <w:keepLines/>
              <w:numPr>
                <w:ilvl w:val="0"/>
                <w:numId w:val="4"/>
              </w:numPr>
              <w:spacing w:after="120"/>
              <w:contextualSpacing w:val="0"/>
              <w:rPr>
                <w:rFonts w:ascii="Tahoma" w:hAnsi="Tahoma" w:cs="Tahoma"/>
              </w:rPr>
            </w:pPr>
            <w:r w:rsidRPr="008E68DC">
              <w:rPr>
                <w:rFonts w:ascii="Tahoma" w:hAnsi="Tahoma" w:cs="Tahoma"/>
              </w:rPr>
              <w:t>The proposed project addresses resiliency in order to carry out the goals of the project during an emergency.</w:t>
            </w:r>
          </w:p>
          <w:p w14:paraId="62C65097" w14:textId="77777777" w:rsidR="00537A72" w:rsidRPr="008E68DC" w:rsidRDefault="00537A72" w:rsidP="0085719F">
            <w:pPr>
              <w:pStyle w:val="ListParagraph"/>
              <w:keepLines/>
              <w:numPr>
                <w:ilvl w:val="0"/>
                <w:numId w:val="4"/>
              </w:numPr>
              <w:spacing w:after="120"/>
              <w:contextualSpacing w:val="0"/>
              <w:rPr>
                <w:rFonts w:ascii="Tahoma" w:hAnsi="Tahoma" w:cs="Tahoma"/>
              </w:rPr>
            </w:pPr>
            <w:r w:rsidRPr="008E68DC">
              <w:rPr>
                <w:rFonts w:ascii="Tahoma" w:hAnsi="Tahoma" w:cs="Tahoma"/>
              </w:rPr>
              <w:t>The proposed project engages regional community-based organizations, community leaders, and potentially affected local residents in the planning process and education on the benefits of ZEV transportation.</w:t>
            </w:r>
          </w:p>
          <w:p w14:paraId="6D0EAA03" w14:textId="77777777" w:rsidR="00537A72" w:rsidRPr="0085719F" w:rsidRDefault="00537A72" w:rsidP="0085719F">
            <w:pPr>
              <w:pStyle w:val="ListParagraph"/>
              <w:keepLines/>
              <w:numPr>
                <w:ilvl w:val="0"/>
                <w:numId w:val="4"/>
              </w:numPr>
              <w:spacing w:after="120"/>
              <w:contextualSpacing w:val="0"/>
              <w:rPr>
                <w:rFonts w:ascii="Tahoma" w:hAnsi="Tahoma" w:cs="Tahoma"/>
              </w:rPr>
            </w:pPr>
            <w:r w:rsidRPr="008E68DC">
              <w:rPr>
                <w:rFonts w:ascii="Tahoma" w:hAnsi="Tahoma" w:cs="Tahoma"/>
              </w:rPr>
              <w:t>The proposed project expands certified businesses and California supply chains for California-based businesses, result in high-quality jobs in terms of compensation, duration, and related project payroll, and increase state and local tax revenues.</w:t>
            </w:r>
          </w:p>
        </w:tc>
        <w:tc>
          <w:tcPr>
            <w:tcW w:w="1940" w:type="dxa"/>
          </w:tcPr>
          <w:p w14:paraId="547793B9" w14:textId="77777777" w:rsidR="00537A72" w:rsidRPr="008E68DC" w:rsidRDefault="00537A72" w:rsidP="0085719F">
            <w:pPr>
              <w:keepLines/>
              <w:jc w:val="center"/>
              <w:rPr>
                <w:rFonts w:ascii="Tahoma" w:hAnsi="Tahoma" w:cs="Tahoma"/>
              </w:rPr>
            </w:pPr>
          </w:p>
          <w:p w14:paraId="0B0EDE6C" w14:textId="0A6B0CC8" w:rsidR="00537A72" w:rsidRPr="008E68DC" w:rsidRDefault="00537A72">
            <w:pPr>
              <w:keepLines/>
              <w:jc w:val="center"/>
              <w:rPr>
                <w:rFonts w:ascii="Tahoma" w:hAnsi="Tahoma" w:cs="Tahoma"/>
              </w:rPr>
            </w:pPr>
            <w:r w:rsidRPr="008E68DC">
              <w:rPr>
                <w:rFonts w:ascii="Tahoma" w:hAnsi="Tahoma" w:cs="Tahoma"/>
                <w:b/>
                <w:bCs/>
              </w:rPr>
              <w:t>25</w:t>
            </w:r>
          </w:p>
        </w:tc>
      </w:tr>
    </w:tbl>
    <w:p w14:paraId="15F439BA" w14:textId="77777777" w:rsidR="00A913DF" w:rsidRPr="008E68DC" w:rsidRDefault="00A913DF" w:rsidP="00B1122A">
      <w:pPr>
        <w:rPr>
          <w:rFonts w:ascii="Tahoma" w:hAnsi="Tahoma" w:cs="Tahoma"/>
          <w:b/>
          <w:bCs/>
        </w:rPr>
      </w:pPr>
    </w:p>
    <w:p w14:paraId="3260443E" w14:textId="712C4CCD" w:rsidR="00DB22B9" w:rsidRPr="008E68DC" w:rsidRDefault="00482EE2" w:rsidP="00B1122A">
      <w:pPr>
        <w:rPr>
          <w:rFonts w:ascii="Tahoma" w:hAnsi="Tahoma" w:cs="Tahoma"/>
          <w:b/>
          <w:bCs/>
        </w:rPr>
      </w:pPr>
      <w:r>
        <w:rPr>
          <w:rFonts w:ascii="Tahoma" w:hAnsi="Tahoma" w:cs="Tahoma"/>
          <w:b/>
          <w:bCs/>
        </w:rPr>
        <w:t>13</w:t>
      </w:r>
      <w:r w:rsidR="000662A1" w:rsidRPr="008E68DC">
        <w:rPr>
          <w:rFonts w:ascii="Tahoma" w:hAnsi="Tahoma" w:cs="Tahoma"/>
          <w:b/>
          <w:bCs/>
        </w:rPr>
        <w:t>.</w:t>
      </w:r>
      <w:r w:rsidR="000662A1" w:rsidRPr="008E68DC">
        <w:rPr>
          <w:rFonts w:ascii="Tahoma" w:hAnsi="Tahoma" w:cs="Tahoma"/>
          <w:b/>
          <w:bCs/>
        </w:rPr>
        <w:tab/>
      </w:r>
      <w:r w:rsidR="000D713B" w:rsidRPr="008E68DC">
        <w:rPr>
          <w:rFonts w:ascii="Tahoma" w:hAnsi="Tahoma" w:cs="Tahoma"/>
          <w:b/>
          <w:bCs/>
        </w:rPr>
        <w:t>Section V.</w:t>
      </w:r>
      <w:r w:rsidR="00FC3C14">
        <w:rPr>
          <w:rFonts w:ascii="Tahoma" w:hAnsi="Tahoma" w:cs="Tahoma"/>
          <w:b/>
          <w:bCs/>
        </w:rPr>
        <w:t xml:space="preserve">A. </w:t>
      </w:r>
      <w:r w:rsidR="000D713B" w:rsidRPr="008E68DC">
        <w:rPr>
          <w:rFonts w:ascii="Tahoma" w:hAnsi="Tahoma" w:cs="Tahoma"/>
          <w:b/>
          <w:bCs/>
        </w:rPr>
        <w:t xml:space="preserve"> </w:t>
      </w:r>
      <w:r w:rsidR="0009330D">
        <w:rPr>
          <w:rFonts w:ascii="Tahoma" w:hAnsi="Tahoma" w:cs="Tahoma"/>
          <w:b/>
          <w:bCs/>
        </w:rPr>
        <w:t xml:space="preserve"> DEFINITION OF KEY WORDS</w:t>
      </w:r>
    </w:p>
    <w:p w14:paraId="4E530ED5" w14:textId="77777777" w:rsidR="003B4699" w:rsidRPr="008E68DC" w:rsidRDefault="003B4699" w:rsidP="00D83918">
      <w:pPr>
        <w:ind w:left="720" w:firstLine="720"/>
        <w:rPr>
          <w:rFonts w:ascii="Tahoma" w:hAnsi="Tahoma" w:cs="Tahoma"/>
        </w:rPr>
      </w:pPr>
    </w:p>
    <w:tbl>
      <w:tblPr>
        <w:tblStyle w:val="TableGrid"/>
        <w:tblW w:w="9360" w:type="dxa"/>
        <w:tblLayout w:type="fixed"/>
        <w:tblLook w:val="0020" w:firstRow="1" w:lastRow="0" w:firstColumn="0" w:lastColumn="0" w:noHBand="0" w:noVBand="0"/>
      </w:tblPr>
      <w:tblGrid>
        <w:gridCol w:w="2430"/>
        <w:gridCol w:w="6930"/>
      </w:tblGrid>
      <w:tr w:rsidR="003B4699" w:rsidRPr="008E68DC" w14:paraId="51EACA88" w14:textId="77777777">
        <w:trPr>
          <w:trHeight w:val="300"/>
        </w:trPr>
        <w:tc>
          <w:tcPr>
            <w:tcW w:w="2430" w:type="dxa"/>
          </w:tcPr>
          <w:p w14:paraId="6721B589" w14:textId="77777777" w:rsidR="003B4699" w:rsidRPr="008E68DC" w:rsidRDefault="003B4699">
            <w:pPr>
              <w:rPr>
                <w:rFonts w:ascii="Tahoma" w:hAnsi="Tahoma" w:cs="Tahoma"/>
                <w:b/>
                <w:bCs/>
                <w:u w:val="single"/>
              </w:rPr>
            </w:pPr>
            <w:r w:rsidRPr="008E68DC">
              <w:rPr>
                <w:rFonts w:ascii="Tahoma" w:hAnsi="Tahoma" w:cs="Tahoma"/>
                <w:b/>
                <w:bCs/>
                <w:u w:val="single"/>
              </w:rPr>
              <w:t>Hydrogen Dispenser</w:t>
            </w:r>
          </w:p>
        </w:tc>
        <w:tc>
          <w:tcPr>
            <w:tcW w:w="6930" w:type="dxa"/>
          </w:tcPr>
          <w:p w14:paraId="4C41A774" w14:textId="77777777" w:rsidR="003B4699" w:rsidRPr="008E68DC" w:rsidRDefault="003B4699">
            <w:pPr>
              <w:rPr>
                <w:rFonts w:ascii="Tahoma" w:hAnsi="Tahoma" w:cs="Tahoma"/>
                <w:b/>
                <w:u w:val="single"/>
              </w:rPr>
            </w:pPr>
            <w:r w:rsidRPr="0085719F">
              <w:rPr>
                <w:rFonts w:ascii="Tahoma" w:hAnsi="Tahoma" w:cs="Tahoma"/>
                <w:b/>
                <w:u w:val="single"/>
              </w:rPr>
              <w:t>A dispenser that supplies hydrogen to a fuel cell electric vehicle and may have multiple positions, hoses, or nozzles for simultaneous refueling.</w:t>
            </w:r>
          </w:p>
        </w:tc>
      </w:tr>
      <w:tr w:rsidR="003B4699" w:rsidRPr="008E68DC" w14:paraId="74471B38" w14:textId="77777777">
        <w:trPr>
          <w:trHeight w:val="300"/>
        </w:trPr>
        <w:tc>
          <w:tcPr>
            <w:tcW w:w="2430" w:type="dxa"/>
          </w:tcPr>
          <w:p w14:paraId="3768AFD4" w14:textId="77777777" w:rsidR="003B4699" w:rsidRPr="008E68DC" w:rsidRDefault="003B4699">
            <w:pPr>
              <w:rPr>
                <w:rFonts w:ascii="Tahoma" w:hAnsi="Tahoma" w:cs="Tahoma"/>
                <w:b/>
                <w:bCs/>
                <w:u w:val="single"/>
              </w:rPr>
            </w:pPr>
            <w:r w:rsidRPr="008E68DC">
              <w:rPr>
                <w:rFonts w:ascii="Tahoma" w:hAnsi="Tahoma" w:cs="Tahoma"/>
                <w:b/>
                <w:bCs/>
                <w:u w:val="single"/>
              </w:rPr>
              <w:t>Hydrogen Refueling Position</w:t>
            </w:r>
          </w:p>
        </w:tc>
        <w:tc>
          <w:tcPr>
            <w:tcW w:w="6930" w:type="dxa"/>
          </w:tcPr>
          <w:p w14:paraId="462E2B7C" w14:textId="77777777" w:rsidR="003B4699" w:rsidRPr="0085719F" w:rsidRDefault="003B4699">
            <w:pPr>
              <w:rPr>
                <w:rFonts w:ascii="Tahoma" w:hAnsi="Tahoma" w:cs="Tahoma"/>
                <w:b/>
                <w:u w:val="single"/>
              </w:rPr>
            </w:pPr>
            <w:r w:rsidRPr="008E68DC">
              <w:rPr>
                <w:rFonts w:ascii="Tahoma" w:hAnsi="Tahoma" w:cs="Tahoma"/>
                <w:b/>
                <w:bCs/>
                <w:u w:val="single"/>
              </w:rPr>
              <w:t>Refers to a unique physical location in which an FCEV can fuel from a hose/nozzle simultaneously with other vehicles from other hoses/nozzles/dispensers.</w:t>
            </w:r>
          </w:p>
        </w:tc>
      </w:tr>
      <w:tr w:rsidR="003B4699" w:rsidRPr="008E68DC" w14:paraId="7F929D1F" w14:textId="77777777">
        <w:trPr>
          <w:trHeight w:val="300"/>
        </w:trPr>
        <w:tc>
          <w:tcPr>
            <w:tcW w:w="2430" w:type="dxa"/>
          </w:tcPr>
          <w:p w14:paraId="66EC381D" w14:textId="77777777" w:rsidR="003B4699" w:rsidRPr="008E68DC" w:rsidRDefault="003B4699">
            <w:pPr>
              <w:rPr>
                <w:rFonts w:ascii="Tahoma" w:hAnsi="Tahoma" w:cs="Tahoma"/>
                <w:b/>
                <w:bCs/>
                <w:u w:val="single"/>
              </w:rPr>
            </w:pPr>
            <w:r w:rsidRPr="008E68DC">
              <w:rPr>
                <w:rFonts w:ascii="Tahoma" w:hAnsi="Tahoma" w:cs="Tahoma"/>
                <w:b/>
                <w:bCs/>
                <w:u w:val="single"/>
              </w:rPr>
              <w:t>Hydrogen Refueling Station</w:t>
            </w:r>
          </w:p>
        </w:tc>
        <w:tc>
          <w:tcPr>
            <w:tcW w:w="6930" w:type="dxa"/>
          </w:tcPr>
          <w:p w14:paraId="0F31ABA5" w14:textId="77777777" w:rsidR="003B4699" w:rsidRPr="0085719F" w:rsidRDefault="003B4699">
            <w:pPr>
              <w:rPr>
                <w:rFonts w:ascii="Tahoma" w:hAnsi="Tahoma" w:cs="Tahoma"/>
                <w:b/>
                <w:u w:val="single"/>
              </w:rPr>
            </w:pPr>
            <w:r w:rsidRPr="008E68DC">
              <w:rPr>
                <w:rFonts w:ascii="Tahoma" w:hAnsi="Tahoma" w:cs="Tahoma"/>
                <w:b/>
                <w:bCs/>
                <w:u w:val="single"/>
              </w:rPr>
              <w:t>A hydrogen refueling station has equipment such as dispensers, hoses, nozzles, hydrogen storage tanks, compressors, chillers, cryogenic pumps, and point of sale (POS) systems.</w:t>
            </w:r>
          </w:p>
        </w:tc>
      </w:tr>
    </w:tbl>
    <w:p w14:paraId="1D9BC080" w14:textId="77777777" w:rsidR="00375F34" w:rsidRPr="008E68DC" w:rsidRDefault="00375F34" w:rsidP="00375F34">
      <w:pPr>
        <w:rPr>
          <w:rFonts w:ascii="Tahoma" w:hAnsi="Tahoma" w:cs="Tahoma"/>
          <w:szCs w:val="22"/>
        </w:rPr>
      </w:pPr>
    </w:p>
    <w:p w14:paraId="075C4EB0" w14:textId="278A7B2E" w:rsidR="00AA0BC4" w:rsidRPr="008E68DC" w:rsidRDefault="006B34CF" w:rsidP="00B1122A">
      <w:pPr>
        <w:rPr>
          <w:rFonts w:ascii="Tahoma" w:hAnsi="Tahoma" w:cs="Tahoma"/>
          <w:b/>
          <w:bCs/>
        </w:rPr>
      </w:pPr>
      <w:r>
        <w:rPr>
          <w:rFonts w:ascii="Tahoma" w:hAnsi="Tahoma" w:cs="Tahoma"/>
          <w:b/>
          <w:bCs/>
        </w:rPr>
        <w:t>1</w:t>
      </w:r>
      <w:r w:rsidR="000E08A6">
        <w:rPr>
          <w:rFonts w:ascii="Tahoma" w:hAnsi="Tahoma" w:cs="Tahoma"/>
          <w:b/>
          <w:bCs/>
        </w:rPr>
        <w:t>4</w:t>
      </w:r>
      <w:r w:rsidRPr="008E68DC">
        <w:rPr>
          <w:rFonts w:ascii="Tahoma" w:hAnsi="Tahoma" w:cs="Tahoma"/>
          <w:b/>
          <w:bCs/>
        </w:rPr>
        <w:t>.</w:t>
      </w:r>
      <w:r w:rsidRPr="008E68DC">
        <w:rPr>
          <w:rFonts w:ascii="Tahoma" w:hAnsi="Tahoma" w:cs="Tahoma"/>
          <w:b/>
          <w:bCs/>
        </w:rPr>
        <w:tab/>
        <w:t>Section V.</w:t>
      </w:r>
      <w:r>
        <w:rPr>
          <w:rFonts w:ascii="Tahoma" w:hAnsi="Tahoma" w:cs="Tahoma"/>
          <w:b/>
          <w:bCs/>
        </w:rPr>
        <w:t>K</w:t>
      </w:r>
      <w:r w:rsidRPr="008E68DC">
        <w:rPr>
          <w:rFonts w:ascii="Tahoma" w:hAnsi="Tahoma" w:cs="Tahoma"/>
          <w:b/>
          <w:bCs/>
        </w:rPr>
        <w:t xml:space="preserve">. </w:t>
      </w:r>
      <w:r>
        <w:rPr>
          <w:rFonts w:ascii="Tahoma" w:hAnsi="Tahoma" w:cs="Tahoma"/>
          <w:b/>
          <w:bCs/>
        </w:rPr>
        <w:t>AGREEMENT REQUIREMENTS</w:t>
      </w:r>
    </w:p>
    <w:p w14:paraId="1DAA1989" w14:textId="77777777" w:rsidR="006B34CF" w:rsidRDefault="006B34CF" w:rsidP="00A4578D">
      <w:pPr>
        <w:ind w:left="1440"/>
        <w:rPr>
          <w:rFonts w:ascii="Tahoma" w:hAnsi="Tahoma" w:cs="Tahoma"/>
        </w:rPr>
      </w:pPr>
    </w:p>
    <w:p w14:paraId="7F7E5937" w14:textId="0713CCF2" w:rsidR="006B34CF" w:rsidRDefault="00A4578D" w:rsidP="00AC5D88">
      <w:pPr>
        <w:ind w:firstLine="720"/>
        <w:rPr>
          <w:rFonts w:ascii="Tahoma" w:hAnsi="Tahoma" w:cs="Tahoma"/>
        </w:rPr>
      </w:pPr>
      <w:r w:rsidRPr="008E68DC">
        <w:rPr>
          <w:rFonts w:ascii="Tahoma" w:hAnsi="Tahoma" w:cs="Tahoma"/>
        </w:rPr>
        <w:t xml:space="preserve">The content of this solicitation shall be incorporated by reference into the final </w:t>
      </w:r>
    </w:p>
    <w:p w14:paraId="68B9DCED" w14:textId="17B7C146" w:rsidR="00A4578D" w:rsidRPr="008E68DC" w:rsidRDefault="00A4578D" w:rsidP="00AC5D88">
      <w:pPr>
        <w:ind w:left="720"/>
        <w:rPr>
          <w:rFonts w:ascii="Tahoma" w:hAnsi="Tahoma" w:cs="Tahoma"/>
        </w:rPr>
      </w:pPr>
      <w:r w:rsidRPr="008E68DC">
        <w:rPr>
          <w:rFonts w:ascii="Tahoma" w:hAnsi="Tahoma" w:cs="Tahoma"/>
        </w:rPr>
        <w:t xml:space="preserve">agreement. See the standard terms and conditions on the </w:t>
      </w:r>
      <w:hyperlink r:id="rId17" w:history="1">
        <w:r w:rsidRPr="008E68DC">
          <w:rPr>
            <w:rStyle w:val="Hyperlink"/>
            <w:rFonts w:ascii="Tahoma" w:hAnsi="Tahoma" w:cs="Tahoma"/>
            <w:color w:val="0000CC"/>
          </w:rPr>
          <w:t>CEC Funding Resources</w:t>
        </w:r>
      </w:hyperlink>
      <w:r w:rsidRPr="008E68DC">
        <w:rPr>
          <w:rFonts w:ascii="Tahoma" w:hAnsi="Tahoma" w:cs="Tahoma"/>
        </w:rPr>
        <w:t xml:space="preserve"> page at: https://www.energy.ca.gov/funding-opportunities/funding-resources. This information is also in Section II.A.2.</w:t>
      </w:r>
    </w:p>
    <w:p w14:paraId="3D5D5002" w14:textId="77777777" w:rsidR="00A4578D" w:rsidRPr="008E68DC" w:rsidRDefault="00A4578D" w:rsidP="00A4578D">
      <w:pPr>
        <w:ind w:left="1440" w:hanging="720"/>
        <w:rPr>
          <w:rFonts w:ascii="Tahoma" w:hAnsi="Tahoma" w:cs="Tahoma"/>
        </w:rPr>
      </w:pPr>
    </w:p>
    <w:p w14:paraId="3FD32362" w14:textId="77777777" w:rsidR="00A4578D" w:rsidRPr="008E68DC" w:rsidRDefault="00A4578D" w:rsidP="00AC5D88">
      <w:pPr>
        <w:ind w:left="720"/>
        <w:rPr>
          <w:rFonts w:ascii="Tahoma" w:hAnsi="Tahoma" w:cs="Tahoma"/>
        </w:rPr>
      </w:pPr>
      <w:r w:rsidRPr="008E68DC">
        <w:rPr>
          <w:rFonts w:ascii="Tahoma" w:hAnsi="Tahoma" w:cs="Tahoma"/>
        </w:rPr>
        <w:t>CEC reserves the right to negotiate with Applicants to modify the project scope, the level of funding, or both. If CEC is unable to successfully negotiate and execute a funding agreement with an Applicant, CEC, at its sole discretion, reserves the right to cancel the pending award and fund the next highest ranked eligible project in the same Applicant Group. The CEC may shift remaining funds to the other Applicant Group if funding remains available.</w:t>
      </w:r>
    </w:p>
    <w:p w14:paraId="22014B75" w14:textId="77777777" w:rsidR="00A4578D" w:rsidRPr="008E68DC" w:rsidRDefault="00A4578D" w:rsidP="00A4578D">
      <w:pPr>
        <w:ind w:left="1440" w:hanging="720"/>
        <w:rPr>
          <w:rFonts w:ascii="Tahoma" w:hAnsi="Tahoma" w:cs="Tahoma"/>
        </w:rPr>
      </w:pPr>
    </w:p>
    <w:p w14:paraId="26B88DB7" w14:textId="77777777" w:rsidR="00A4578D" w:rsidRPr="008E68DC" w:rsidRDefault="00A4578D" w:rsidP="00AC5D88">
      <w:pPr>
        <w:ind w:left="720"/>
        <w:rPr>
          <w:rFonts w:ascii="Tahoma" w:hAnsi="Tahoma" w:cs="Tahoma"/>
        </w:rPr>
      </w:pPr>
      <w:r w:rsidRPr="008E68DC">
        <w:rPr>
          <w:rStyle w:val="normaltextrun"/>
          <w:rFonts w:ascii="Tahoma" w:hAnsi="Tahoma" w:cs="Tahoma"/>
          <w:color w:val="000000" w:themeColor="text1"/>
        </w:rPr>
        <w:t xml:space="preserve">If proposed for an award, the CEC reserves the right to request information it deems appropriate to evaluate the </w:t>
      </w:r>
      <w:r w:rsidRPr="008E68DC">
        <w:rPr>
          <w:rStyle w:val="findhit"/>
          <w:rFonts w:ascii="Tahoma" w:hAnsi="Tahoma" w:cs="Tahoma"/>
          <w:color w:val="000000" w:themeColor="text1"/>
        </w:rPr>
        <w:t>financial</w:t>
      </w:r>
      <w:r w:rsidRPr="008E68DC">
        <w:rPr>
          <w:rStyle w:val="normaltextrun"/>
          <w:rFonts w:ascii="Tahoma" w:hAnsi="Tahoma" w:cs="Tahoma"/>
          <w:color w:val="000000" w:themeColor="text1"/>
        </w:rPr>
        <w:t xml:space="preserve"> condition of a proposed awardee</w:t>
      </w:r>
      <w:r w:rsidRPr="008E68DC">
        <w:rPr>
          <w:rStyle w:val="normaltextrun"/>
          <w:rFonts w:ascii="Tahoma" w:hAnsi="Tahoma" w:cs="Tahoma"/>
          <w:b/>
          <w:bCs/>
          <w:color w:val="000000" w:themeColor="text1"/>
          <w:u w:val="single"/>
        </w:rPr>
        <w:t>, subrecipients, and vendors</w:t>
      </w:r>
      <w:r w:rsidRPr="008E68DC">
        <w:rPr>
          <w:rStyle w:val="normaltextrun"/>
          <w:rFonts w:ascii="Tahoma" w:hAnsi="Tahoma" w:cs="Tahoma"/>
          <w:color w:val="000000" w:themeColor="text1"/>
        </w:rPr>
        <w:t xml:space="preserve"> prior to approval of a grant award. If CEC, in its sole discretion, determines that a proposed awardee’s</w:t>
      </w:r>
      <w:r w:rsidRPr="008E68DC">
        <w:rPr>
          <w:rStyle w:val="normaltextrun"/>
          <w:rFonts w:ascii="Tahoma" w:hAnsi="Tahoma" w:cs="Tahoma"/>
          <w:b/>
          <w:bCs/>
          <w:color w:val="000000" w:themeColor="text1"/>
          <w:u w:val="single"/>
        </w:rPr>
        <w:t>, a subrecipient’s, or a vendor’s</w:t>
      </w:r>
      <w:r w:rsidRPr="008E68DC">
        <w:rPr>
          <w:rStyle w:val="normaltextrun"/>
          <w:rFonts w:ascii="Tahoma" w:hAnsi="Tahoma" w:cs="Tahoma"/>
          <w:color w:val="000000" w:themeColor="text1"/>
        </w:rPr>
        <w:t xml:space="preserve"> </w:t>
      </w:r>
      <w:r w:rsidRPr="008E68DC">
        <w:rPr>
          <w:rStyle w:val="findhit"/>
          <w:rFonts w:ascii="Tahoma" w:hAnsi="Tahoma" w:cs="Tahoma"/>
          <w:color w:val="000000" w:themeColor="text1"/>
        </w:rPr>
        <w:t>financial</w:t>
      </w:r>
      <w:r w:rsidRPr="008E68DC">
        <w:rPr>
          <w:rStyle w:val="normaltextrun"/>
          <w:rFonts w:ascii="Tahoma" w:hAnsi="Tahoma" w:cs="Tahoma"/>
          <w:color w:val="000000" w:themeColor="text1"/>
        </w:rPr>
        <w:t xml:space="preserve"> condition may materially impact its ability to complete the proposed project, CEC reserves the right to cancel the proposed award.</w:t>
      </w:r>
      <w:r w:rsidRPr="008E68DC">
        <w:rPr>
          <w:rStyle w:val="eop"/>
          <w:rFonts w:ascii="Tahoma" w:hAnsi="Tahoma" w:cs="Tahoma"/>
          <w:color w:val="000000" w:themeColor="text1"/>
        </w:rPr>
        <w:t> </w:t>
      </w:r>
    </w:p>
    <w:p w14:paraId="4BA2F097" w14:textId="77777777" w:rsidR="00A4578D" w:rsidRPr="008E68DC" w:rsidRDefault="00A4578D" w:rsidP="00B1122A">
      <w:pPr>
        <w:rPr>
          <w:rFonts w:ascii="Tahoma" w:hAnsi="Tahoma" w:cs="Tahoma"/>
          <w:b/>
          <w:bCs/>
        </w:rPr>
      </w:pPr>
    </w:p>
    <w:p w14:paraId="2294E38F" w14:textId="0AD78896" w:rsidR="00481B8A" w:rsidRPr="008E68DC" w:rsidRDefault="004D1F5D" w:rsidP="00AA3B54">
      <w:pPr>
        <w:pStyle w:val="Heading2"/>
        <w:tabs>
          <w:tab w:val="left" w:pos="720"/>
        </w:tabs>
        <w:spacing w:before="0" w:after="0"/>
        <w:rPr>
          <w:rFonts w:ascii="Tahoma" w:hAnsi="Tahoma" w:cs="Tahoma"/>
          <w:sz w:val="24"/>
          <w:szCs w:val="24"/>
          <w:lang w:val="en-US"/>
        </w:rPr>
      </w:pPr>
      <w:r w:rsidRPr="008E68DC">
        <w:rPr>
          <w:rFonts w:ascii="Tahoma" w:eastAsiaTheme="majorEastAsia" w:hAnsi="Tahoma" w:cs="Tahoma"/>
          <w:smallCaps w:val="0"/>
          <w:sz w:val="24"/>
          <w:szCs w:val="24"/>
          <w:lang w:val="en-US" w:eastAsia="en-US"/>
        </w:rPr>
        <w:t>SCOPE OF WORK</w:t>
      </w:r>
      <w:r w:rsidR="00B40211" w:rsidRPr="008E68DC">
        <w:rPr>
          <w:rFonts w:ascii="Tahoma" w:eastAsiaTheme="majorEastAsia" w:hAnsi="Tahoma" w:cs="Tahoma"/>
          <w:smallCaps w:val="0"/>
          <w:sz w:val="24"/>
          <w:szCs w:val="24"/>
          <w:lang w:val="en-US" w:eastAsia="en-US"/>
        </w:rPr>
        <w:t xml:space="preserve"> (Attachment </w:t>
      </w:r>
      <w:r w:rsidR="00BD7B80" w:rsidRPr="008E68DC">
        <w:rPr>
          <w:rFonts w:ascii="Tahoma" w:eastAsiaTheme="majorEastAsia" w:hAnsi="Tahoma" w:cs="Tahoma"/>
          <w:smallCaps w:val="0"/>
          <w:sz w:val="24"/>
          <w:szCs w:val="24"/>
          <w:lang w:val="en-US" w:eastAsia="en-US"/>
        </w:rPr>
        <w:t>2)</w:t>
      </w:r>
    </w:p>
    <w:p w14:paraId="0216BA81" w14:textId="77777777" w:rsidR="002D74C3" w:rsidRPr="0085719F" w:rsidRDefault="002D74C3" w:rsidP="00FE32C2">
      <w:pPr>
        <w:rPr>
          <w:rFonts w:ascii="Tahoma" w:hAnsi="Tahoma" w:cs="Tahoma"/>
        </w:rPr>
      </w:pPr>
    </w:p>
    <w:p w14:paraId="442D3D3C" w14:textId="77777777" w:rsidR="005F79FD" w:rsidRPr="008E68DC" w:rsidRDefault="005F79FD" w:rsidP="0085719F">
      <w:pPr>
        <w:pStyle w:val="ListParagraph"/>
        <w:keepNext/>
        <w:keepLines/>
        <w:widowControl w:val="0"/>
        <w:numPr>
          <w:ilvl w:val="0"/>
          <w:numId w:val="38"/>
        </w:numPr>
        <w:spacing w:after="120"/>
        <w:rPr>
          <w:rFonts w:ascii="Tahoma" w:hAnsi="Tahoma" w:cs="Tahoma"/>
          <w:b/>
          <w:bCs/>
        </w:rPr>
      </w:pPr>
      <w:r w:rsidRPr="008E68DC">
        <w:rPr>
          <w:rFonts w:ascii="Tahoma" w:hAnsi="Tahoma" w:cs="Tahoma"/>
          <w:b/>
          <w:bCs/>
        </w:rPr>
        <w:t xml:space="preserve">TASK </w:t>
      </w:r>
      <w:r w:rsidRPr="008E68DC">
        <w:rPr>
          <w:rFonts w:ascii="Tahoma" w:eastAsia="Times New Roman" w:hAnsi="Tahoma" w:cs="Tahoma"/>
          <w:b/>
          <w:i/>
          <w:color w:val="0000FF"/>
        </w:rPr>
        <w:t>&lt;Second to Last &gt;</w:t>
      </w:r>
      <w:r w:rsidRPr="0085719F">
        <w:rPr>
          <w:rFonts w:ascii="Tahoma" w:hAnsi="Tahoma" w:cs="Tahoma"/>
          <w:b/>
          <w:bCs/>
        </w:rPr>
        <w:t xml:space="preserve">.1 </w:t>
      </w:r>
      <w:r w:rsidRPr="008E68DC">
        <w:rPr>
          <w:rFonts w:ascii="Tahoma" w:hAnsi="Tahoma" w:cs="Tahoma"/>
          <w:b/>
          <w:bCs/>
        </w:rPr>
        <w:t>Utilization</w:t>
      </w:r>
    </w:p>
    <w:p w14:paraId="169305F5" w14:textId="77777777" w:rsidR="005F79FD" w:rsidRPr="008E68DC" w:rsidRDefault="005F79FD" w:rsidP="005F79FD">
      <w:pPr>
        <w:pStyle w:val="paragraph"/>
        <w:spacing w:before="0" w:beforeAutospacing="0" w:after="0" w:afterAutospacing="0"/>
        <w:jc w:val="both"/>
        <w:textAlignment w:val="baseline"/>
        <w:rPr>
          <w:rFonts w:ascii="Tahoma" w:hAnsi="Tahoma" w:cs="Tahoma"/>
          <w:b/>
          <w:bCs/>
        </w:rPr>
      </w:pPr>
    </w:p>
    <w:p w14:paraId="215855B5" w14:textId="77777777" w:rsidR="005F79FD" w:rsidRPr="008E68DC" w:rsidRDefault="005F79FD" w:rsidP="005F79FD">
      <w:pPr>
        <w:pStyle w:val="paragraph"/>
        <w:spacing w:before="0" w:beforeAutospacing="0" w:after="0" w:afterAutospacing="0"/>
        <w:jc w:val="both"/>
        <w:textAlignment w:val="baseline"/>
        <w:rPr>
          <w:rFonts w:ascii="Tahoma" w:hAnsi="Tahoma" w:cs="Tahoma"/>
          <w:b/>
          <w:bCs/>
        </w:rPr>
      </w:pPr>
      <w:r w:rsidRPr="008E68DC">
        <w:rPr>
          <w:rFonts w:ascii="Tahoma" w:hAnsi="Tahoma" w:cs="Tahoma"/>
          <w:b/>
          <w:bCs/>
        </w:rPr>
        <w:t>The Recipient shall:</w:t>
      </w:r>
    </w:p>
    <w:p w14:paraId="7BD8D72B" w14:textId="7DCA85CA" w:rsidR="009642B4" w:rsidRPr="008E68DC" w:rsidRDefault="005F79FD" w:rsidP="009642B4">
      <w:pPr>
        <w:pStyle w:val="ListParagraph"/>
        <w:numPr>
          <w:ilvl w:val="0"/>
          <w:numId w:val="6"/>
        </w:numPr>
        <w:rPr>
          <w:rFonts w:ascii="Tahoma" w:hAnsi="Tahoma" w:cs="Tahoma"/>
        </w:rPr>
      </w:pPr>
      <w:r w:rsidRPr="008E68DC">
        <w:rPr>
          <w:rFonts w:ascii="Tahoma" w:hAnsi="Tahoma" w:cs="Tahoma"/>
        </w:rPr>
        <w:t xml:space="preserve">Collect and provide to the CAM, </w:t>
      </w:r>
      <w:r w:rsidR="00252A7B">
        <w:rPr>
          <w:rFonts w:ascii="Tahoma" w:hAnsi="Tahoma" w:cs="Tahoma"/>
          <w:b/>
          <w:bCs/>
          <w:u w:val="single"/>
        </w:rPr>
        <w:t>12 months</w:t>
      </w:r>
      <w:r w:rsidRPr="008E68DC">
        <w:rPr>
          <w:rFonts w:ascii="Tahoma" w:hAnsi="Tahoma" w:cs="Tahoma"/>
          <w:b/>
          <w:bCs/>
          <w:u w:val="single"/>
        </w:rPr>
        <w:t xml:space="preserve"> of </w:t>
      </w:r>
      <w:r w:rsidRPr="008E68DC">
        <w:rPr>
          <w:rFonts w:ascii="Tahoma" w:hAnsi="Tahoma" w:cs="Tahoma"/>
        </w:rPr>
        <w:t>[</w:t>
      </w:r>
      <w:r w:rsidRPr="008E68DC">
        <w:rPr>
          <w:rFonts w:ascii="Tahoma" w:hAnsi="Tahoma" w:cs="Tahoma"/>
          <w:strike/>
        </w:rPr>
        <w:t>at minimum, quarterly</w:t>
      </w:r>
      <w:r w:rsidRPr="008E68DC">
        <w:rPr>
          <w:rFonts w:ascii="Tahoma" w:hAnsi="Tahoma" w:cs="Tahoma"/>
        </w:rPr>
        <w:t xml:space="preserve">] utilization data </w:t>
      </w:r>
      <w:r w:rsidRPr="008E68DC">
        <w:rPr>
          <w:rFonts w:ascii="Tahoma" w:hAnsi="Tahoma" w:cs="Tahoma"/>
          <w:b/>
          <w:bCs/>
          <w:u w:val="single"/>
        </w:rPr>
        <w:t xml:space="preserve">(reporting, at minimum, quarterly) </w:t>
      </w:r>
      <w:r w:rsidRPr="008E68DC">
        <w:rPr>
          <w:rFonts w:ascii="Tahoma" w:hAnsi="Tahoma" w:cs="Tahoma"/>
        </w:rPr>
        <w:t xml:space="preserve">from the project for all installed chargers in an </w:t>
      </w:r>
      <w:r w:rsidRPr="008E68DC">
        <w:rPr>
          <w:rFonts w:ascii="Tahoma" w:hAnsi="Tahoma" w:cs="Tahoma"/>
          <w:i/>
          <w:iCs/>
        </w:rPr>
        <w:t xml:space="preserve">EV Utilization Data Report </w:t>
      </w:r>
      <w:r w:rsidRPr="008E68DC">
        <w:rPr>
          <w:rFonts w:ascii="Tahoma" w:hAnsi="Tahoma" w:cs="Tahoma"/>
        </w:rPr>
        <w:t>and/or hydrogen refueling stations in the NREL Data Collection Tool, in the format of the CEC’s choosing, including, but not limited to:</w:t>
      </w:r>
    </w:p>
    <w:p w14:paraId="6D7614CC" w14:textId="77777777" w:rsidR="00471D76" w:rsidRPr="008E68DC" w:rsidRDefault="00471D76" w:rsidP="0085719F">
      <w:pPr>
        <w:pStyle w:val="ListParagraph"/>
        <w:rPr>
          <w:rFonts w:ascii="Tahoma" w:hAnsi="Tahoma" w:cs="Tahoma"/>
        </w:rPr>
      </w:pPr>
    </w:p>
    <w:p w14:paraId="76EDF38D" w14:textId="675E2F43" w:rsidR="005F3C15" w:rsidRPr="0085719F" w:rsidRDefault="005F3C15" w:rsidP="0085719F">
      <w:pPr>
        <w:pStyle w:val="ListParagraph"/>
        <w:keepNext/>
        <w:keepLines/>
        <w:widowControl w:val="0"/>
        <w:numPr>
          <w:ilvl w:val="0"/>
          <w:numId w:val="38"/>
        </w:numPr>
        <w:spacing w:after="120"/>
        <w:rPr>
          <w:rFonts w:ascii="Tahoma" w:hAnsi="Tahoma" w:cs="Tahoma"/>
          <w:b/>
          <w:bCs/>
        </w:rPr>
      </w:pPr>
      <w:r w:rsidRPr="0085719F">
        <w:rPr>
          <w:rFonts w:ascii="Tahoma" w:hAnsi="Tahoma" w:cs="Tahoma"/>
          <w:b/>
          <w:bCs/>
        </w:rPr>
        <w:t xml:space="preserve">TASK </w:t>
      </w:r>
      <w:r w:rsidRPr="0085719F">
        <w:rPr>
          <w:rFonts w:ascii="Tahoma" w:hAnsi="Tahoma" w:cs="Tahoma"/>
          <w:b/>
          <w:i/>
          <w:color w:val="0000FF"/>
        </w:rPr>
        <w:t>&lt;Second to Last&gt;</w:t>
      </w:r>
      <w:r w:rsidRPr="0085719F">
        <w:rPr>
          <w:rFonts w:ascii="Tahoma" w:hAnsi="Tahoma" w:cs="Tahoma"/>
          <w:b/>
          <w:bCs/>
          <w:i/>
        </w:rPr>
        <w:t xml:space="preserve">.4 </w:t>
      </w:r>
      <w:r w:rsidRPr="0085719F">
        <w:rPr>
          <w:rFonts w:ascii="Tahoma" w:hAnsi="Tahoma" w:cs="Tahoma"/>
          <w:b/>
          <w:bCs/>
          <w:iCs/>
        </w:rPr>
        <w:t>Data Sharing Agreement</w:t>
      </w:r>
      <w:r w:rsidRPr="0085719F">
        <w:rPr>
          <w:rFonts w:ascii="Tahoma" w:hAnsi="Tahoma" w:cs="Tahoma"/>
          <w:b/>
          <w:bCs/>
          <w:highlight w:val="yellow"/>
        </w:rPr>
        <w:t xml:space="preserve"> [This task is only used when an EVSP / network provider is </w:t>
      </w:r>
      <w:r w:rsidRPr="0085719F">
        <w:rPr>
          <w:rFonts w:ascii="Tahoma" w:hAnsi="Tahoma" w:cs="Tahoma"/>
          <w:b/>
          <w:bCs/>
          <w:highlight w:val="yellow"/>
          <w:u w:val="single"/>
        </w:rPr>
        <w:t>NOT</w:t>
      </w:r>
      <w:r w:rsidRPr="0085719F">
        <w:rPr>
          <w:rFonts w:ascii="Tahoma" w:hAnsi="Tahoma" w:cs="Tahoma"/>
          <w:b/>
          <w:bCs/>
          <w:highlight w:val="yellow"/>
        </w:rPr>
        <w:t xml:space="preserve"> the Recipient.]</w:t>
      </w:r>
    </w:p>
    <w:p w14:paraId="21A55180" w14:textId="77777777" w:rsidR="005F3C15" w:rsidRPr="0085719F" w:rsidRDefault="005F3C15" w:rsidP="005F3C15">
      <w:pPr>
        <w:keepLines/>
        <w:widowControl w:val="0"/>
        <w:spacing w:after="120"/>
        <w:rPr>
          <w:rFonts w:ascii="Tahoma" w:hAnsi="Tahoma" w:cs="Tahoma"/>
        </w:rPr>
      </w:pPr>
      <w:r w:rsidRPr="0085719F">
        <w:rPr>
          <w:rFonts w:ascii="Tahoma" w:hAnsi="Tahoma" w:cs="Tahoma"/>
        </w:rPr>
        <w:t>The goal of this task is to ensure a data sharing agreement with the parameters outlined below, is in place for the purposes of facilitating data collection and reporting.</w:t>
      </w:r>
    </w:p>
    <w:p w14:paraId="5E3456EB" w14:textId="77777777" w:rsidR="005F3C15" w:rsidRPr="0085719F" w:rsidRDefault="005F3C15" w:rsidP="005F3C15">
      <w:pPr>
        <w:keepLines/>
        <w:widowControl w:val="0"/>
        <w:spacing w:after="120"/>
        <w:rPr>
          <w:rFonts w:ascii="Tahoma" w:hAnsi="Tahoma" w:cs="Tahoma"/>
          <w:b/>
          <w:bCs/>
        </w:rPr>
      </w:pPr>
      <w:r w:rsidRPr="0085719F">
        <w:rPr>
          <w:rFonts w:ascii="Tahoma" w:hAnsi="Tahoma" w:cs="Tahoma"/>
          <w:b/>
          <w:bCs/>
        </w:rPr>
        <w:t>The Recipient shall:</w:t>
      </w:r>
    </w:p>
    <w:p w14:paraId="18F750C9" w14:textId="77777777" w:rsidR="005F3C15" w:rsidRPr="0085719F" w:rsidRDefault="005F3C15" w:rsidP="005F3C15">
      <w:pPr>
        <w:keepLines/>
        <w:widowControl w:val="0"/>
        <w:numPr>
          <w:ilvl w:val="0"/>
          <w:numId w:val="39"/>
        </w:numPr>
        <w:spacing w:after="120"/>
        <w:ind w:left="1440" w:hanging="720"/>
        <w:rPr>
          <w:rFonts w:ascii="Tahoma" w:hAnsi="Tahoma" w:cs="Tahoma"/>
        </w:rPr>
      </w:pPr>
      <w:r w:rsidRPr="0085719F">
        <w:rPr>
          <w:rFonts w:ascii="Tahoma" w:hAnsi="Tahoma" w:cs="Tahoma"/>
        </w:rPr>
        <w:t>Enter into a data-sharing agreement with a charging network provider that shall include the following:</w:t>
      </w:r>
    </w:p>
    <w:p w14:paraId="62E2F992" w14:textId="77777777" w:rsidR="005F3C15" w:rsidRPr="0085719F" w:rsidRDefault="005F3C15" w:rsidP="005F3C15">
      <w:pPr>
        <w:keepLines/>
        <w:widowControl w:val="0"/>
        <w:numPr>
          <w:ilvl w:val="1"/>
          <w:numId w:val="39"/>
        </w:numPr>
        <w:spacing w:after="120"/>
        <w:ind w:left="2160" w:hanging="720"/>
        <w:rPr>
          <w:rFonts w:ascii="Tahoma" w:hAnsi="Tahoma" w:cs="Tahoma"/>
        </w:rPr>
      </w:pPr>
      <w:r w:rsidRPr="0085719F">
        <w:rPr>
          <w:rFonts w:ascii="Tahoma" w:hAnsi="Tahoma" w:cs="Tahoma"/>
        </w:rPr>
        <w:t>Recipient maintains responsibility for ensuring all data collection and reporting requirements of this agreement are met.</w:t>
      </w:r>
    </w:p>
    <w:p w14:paraId="388D4BFA" w14:textId="77777777" w:rsidR="005F3C15" w:rsidRPr="0085719F" w:rsidRDefault="005F3C15" w:rsidP="005F3C15">
      <w:pPr>
        <w:keepLines/>
        <w:widowControl w:val="0"/>
        <w:numPr>
          <w:ilvl w:val="1"/>
          <w:numId w:val="39"/>
        </w:numPr>
        <w:spacing w:after="120"/>
        <w:ind w:left="2160" w:hanging="720"/>
        <w:rPr>
          <w:rFonts w:ascii="Tahoma" w:hAnsi="Tahoma" w:cs="Tahoma"/>
        </w:rPr>
      </w:pPr>
      <w:r w:rsidRPr="0085719F">
        <w:rPr>
          <w:rFonts w:ascii="Tahoma" w:hAnsi="Tahoma" w:cs="Tahoma"/>
        </w:rPr>
        <w:t xml:space="preserve">Recipient designates the charging network provider to fulfill the data collection and reporting responsibilities related to </w:t>
      </w:r>
      <w:r w:rsidRPr="0085719F">
        <w:rPr>
          <w:rFonts w:ascii="Tahoma" w:hAnsi="Tahoma" w:cs="Tahoma"/>
          <w:highlight w:val="yellow"/>
        </w:rPr>
        <w:t>TASK &lt;Fourth to Last&gt; Recordkeeping and Transmittals.2 (excluding Maintenance Records), Task &lt;Fourth to Last&gt;.3 Reporting, TASK &lt;Third to Last&gt; SEMI-ANNUAL ELECTRIC VEHICLE CHARGER INVENTORY REPORTS, and TASK &lt;Second to Last &gt;.1</w:t>
      </w:r>
      <w:r w:rsidRPr="0085719F">
        <w:rPr>
          <w:rFonts w:ascii="Tahoma" w:hAnsi="Tahoma" w:cs="Tahoma"/>
        </w:rPr>
        <w:t xml:space="preserve"> Utilization on behalf of Recipient.</w:t>
      </w:r>
    </w:p>
    <w:p w14:paraId="1FA88BEA" w14:textId="77777777" w:rsidR="005F3C15" w:rsidRPr="0085719F" w:rsidRDefault="005F3C15" w:rsidP="005F3C15">
      <w:pPr>
        <w:keepLines/>
        <w:widowControl w:val="0"/>
        <w:numPr>
          <w:ilvl w:val="1"/>
          <w:numId w:val="39"/>
        </w:numPr>
        <w:spacing w:after="120"/>
        <w:ind w:left="2160" w:hanging="720"/>
        <w:rPr>
          <w:rFonts w:ascii="Tahoma" w:hAnsi="Tahoma" w:cs="Tahoma"/>
        </w:rPr>
      </w:pPr>
      <w:r w:rsidRPr="0085719F">
        <w:rPr>
          <w:rFonts w:ascii="Tahoma" w:hAnsi="Tahoma" w:cs="Tahoma"/>
        </w:rPr>
        <w:lastRenderedPageBreak/>
        <w:t xml:space="preserve">The charging network provider submits all required reports, per the requirements stated, from </w:t>
      </w:r>
      <w:r w:rsidRPr="0085719F">
        <w:rPr>
          <w:rFonts w:ascii="Tahoma" w:hAnsi="Tahoma" w:cs="Tahoma"/>
          <w:highlight w:val="yellow"/>
        </w:rPr>
        <w:t>TASK &lt;Fourth to Last&gt; Recordkeeping and Transmittals.2 (excluding Maintenance Records), Task &lt;Fourth to Last&gt;.3 Reporting, TASK &lt;Third to Last&gt; SEMI-ANNUAL ELECTRIC VEHICLE CHARGER INVENTORY REPORTS, and TASK &lt;Second to Last &gt;.</w:t>
      </w:r>
      <w:r w:rsidRPr="0085719F">
        <w:rPr>
          <w:rFonts w:ascii="Tahoma" w:hAnsi="Tahoma" w:cs="Tahoma"/>
        </w:rPr>
        <w:t>1 Utilization directly to the CEC.</w:t>
      </w:r>
    </w:p>
    <w:p w14:paraId="200C5E89" w14:textId="77777777" w:rsidR="005F3C15" w:rsidRPr="0085719F" w:rsidRDefault="005F3C15" w:rsidP="005F3C15">
      <w:pPr>
        <w:keepLines/>
        <w:widowControl w:val="0"/>
        <w:numPr>
          <w:ilvl w:val="1"/>
          <w:numId w:val="39"/>
        </w:numPr>
        <w:spacing w:after="120"/>
        <w:ind w:left="2160" w:hanging="720"/>
        <w:rPr>
          <w:rFonts w:ascii="Tahoma" w:hAnsi="Tahoma" w:cs="Tahoma"/>
        </w:rPr>
      </w:pPr>
      <w:r w:rsidRPr="0085719F">
        <w:rPr>
          <w:rFonts w:ascii="Tahoma" w:hAnsi="Tahoma" w:cs="Tahoma"/>
        </w:rPr>
        <w:t>The charging network provider’s reports adhere to CEC-approved formatting, report templating, and delivery methods.</w:t>
      </w:r>
    </w:p>
    <w:p w14:paraId="15936F09" w14:textId="77777777" w:rsidR="005F3C15" w:rsidRPr="0085719F" w:rsidRDefault="005F3C15" w:rsidP="005F3C15">
      <w:pPr>
        <w:keepLines/>
        <w:widowControl w:val="0"/>
        <w:numPr>
          <w:ilvl w:val="0"/>
          <w:numId w:val="39"/>
        </w:numPr>
        <w:spacing w:after="120"/>
        <w:ind w:left="1440" w:hanging="720"/>
        <w:rPr>
          <w:rFonts w:ascii="Tahoma" w:hAnsi="Tahoma" w:cs="Tahoma"/>
        </w:rPr>
      </w:pPr>
      <w:r w:rsidRPr="0085719F">
        <w:rPr>
          <w:rFonts w:ascii="Tahoma" w:hAnsi="Tahoma" w:cs="Tahoma"/>
        </w:rPr>
        <w:t xml:space="preserve">Submit the </w:t>
      </w:r>
      <w:r w:rsidRPr="0085719F">
        <w:rPr>
          <w:rFonts w:ascii="Tahoma" w:hAnsi="Tahoma" w:cs="Tahoma"/>
          <w:i/>
          <w:iCs/>
        </w:rPr>
        <w:t>dually signed data-sharing agreement</w:t>
      </w:r>
      <w:r w:rsidRPr="0085719F">
        <w:rPr>
          <w:rFonts w:ascii="Tahoma" w:hAnsi="Tahoma" w:cs="Tahoma"/>
        </w:rPr>
        <w:t xml:space="preserve"> to the CEC within 30 calendar days of selecting a charging network provider. </w:t>
      </w:r>
    </w:p>
    <w:p w14:paraId="541767C3" w14:textId="77777777" w:rsidR="005F3C15" w:rsidRPr="0085719F" w:rsidRDefault="005F3C15" w:rsidP="005F3C15">
      <w:pPr>
        <w:keepLines/>
        <w:widowControl w:val="0"/>
        <w:numPr>
          <w:ilvl w:val="0"/>
          <w:numId w:val="39"/>
        </w:numPr>
        <w:spacing w:after="120"/>
        <w:ind w:left="1440" w:hanging="720"/>
        <w:rPr>
          <w:rFonts w:ascii="Tahoma" w:hAnsi="Tahoma" w:cs="Tahoma"/>
        </w:rPr>
      </w:pPr>
      <w:r w:rsidRPr="0085719F">
        <w:rPr>
          <w:rFonts w:ascii="Tahoma" w:hAnsi="Tahoma" w:cs="Tahoma"/>
        </w:rPr>
        <w:t>Notify the CEC within 30 calendar days if Recipient changes its selected charging network provider.</w:t>
      </w:r>
    </w:p>
    <w:p w14:paraId="20F48639" w14:textId="77777777" w:rsidR="005F3C15" w:rsidRPr="0085719F" w:rsidRDefault="005F3C15" w:rsidP="005F3C15">
      <w:pPr>
        <w:keepLines/>
        <w:widowControl w:val="0"/>
        <w:numPr>
          <w:ilvl w:val="0"/>
          <w:numId w:val="39"/>
        </w:numPr>
        <w:spacing w:after="120"/>
        <w:ind w:left="1440" w:hanging="720"/>
        <w:rPr>
          <w:rFonts w:ascii="Tahoma" w:hAnsi="Tahoma" w:cs="Tahoma"/>
        </w:rPr>
      </w:pPr>
      <w:r w:rsidRPr="0085719F">
        <w:rPr>
          <w:rFonts w:ascii="Tahoma" w:hAnsi="Tahoma" w:cs="Tahoma"/>
        </w:rPr>
        <w:t>If a new charging network provider is selected, the new dually signed data-sharing agreement shall be submitted to the CEC within 30 calendar days of the charging network provider’s hiring.</w:t>
      </w:r>
    </w:p>
    <w:p w14:paraId="1256969E" w14:textId="69686F49" w:rsidR="00471D76" w:rsidRPr="0085719F" w:rsidRDefault="005F3C15" w:rsidP="0085719F">
      <w:pPr>
        <w:keepLines/>
        <w:widowControl w:val="0"/>
        <w:numPr>
          <w:ilvl w:val="0"/>
          <w:numId w:val="39"/>
        </w:numPr>
        <w:spacing w:after="120"/>
        <w:ind w:left="1440" w:hanging="720"/>
        <w:rPr>
          <w:rFonts w:ascii="Tahoma" w:hAnsi="Tahoma" w:cs="Tahoma"/>
        </w:rPr>
      </w:pPr>
      <w:r w:rsidRPr="0085719F">
        <w:rPr>
          <w:rFonts w:ascii="Tahoma" w:hAnsi="Tahoma" w:cs="Tahoma"/>
        </w:rPr>
        <w:t>Collect and provide [</w:t>
      </w:r>
      <w:r w:rsidRPr="0085719F">
        <w:rPr>
          <w:rFonts w:ascii="Tahoma" w:hAnsi="Tahoma" w:cs="Tahoma"/>
          <w:strike/>
        </w:rPr>
        <w:t xml:space="preserve">at least 6 years of </w:t>
      </w:r>
      <w:r w:rsidRPr="0085719F">
        <w:rPr>
          <w:rFonts w:ascii="Tahoma" w:hAnsi="Tahoma" w:cs="Tahoma"/>
        </w:rPr>
        <w:t xml:space="preserve">]throughput, usage, and operations data from each charging port, including but not limited to the requirements stated in </w:t>
      </w:r>
      <w:r w:rsidRPr="0085719F">
        <w:rPr>
          <w:rFonts w:ascii="Tahoma" w:hAnsi="Tahoma" w:cs="Tahoma"/>
          <w:highlight w:val="yellow"/>
        </w:rPr>
        <w:t>TASK &lt;Fourth to Last&gt; Recordkeeping and Transmittals.2 (excluding Maintenance Records), Task &lt;Fourth to Last&gt;.3 Reporting, TASK &lt;Third to Last&gt; SEMI-ANNUAL ELECTRIC VEHICLE CHARGER INVENTORY REPORTS, and TASK &lt;Second to Last &gt;.1</w:t>
      </w:r>
      <w:r w:rsidRPr="0085719F">
        <w:rPr>
          <w:rFonts w:ascii="Tahoma" w:hAnsi="Tahoma" w:cs="Tahoma"/>
        </w:rPr>
        <w:t xml:space="preserve"> Utilization. </w:t>
      </w:r>
      <w:r w:rsidRPr="0085719F">
        <w:rPr>
          <w:rFonts w:ascii="Tahoma" w:hAnsi="Tahoma" w:cs="Tahoma"/>
          <w:b/>
          <w:bCs/>
          <w:u w:val="single"/>
        </w:rPr>
        <w:t>Data should be provided according to the details specified in each referenced task.</w:t>
      </w:r>
    </w:p>
    <w:p w14:paraId="03744D0F" w14:textId="77777777" w:rsidR="00C73D9D" w:rsidRPr="008E68DC" w:rsidRDefault="00C73D9D" w:rsidP="00B1122A">
      <w:pPr>
        <w:rPr>
          <w:rFonts w:ascii="Tahoma" w:hAnsi="Tahoma" w:cs="Tahoma"/>
          <w:b/>
          <w:bCs/>
        </w:rPr>
      </w:pPr>
    </w:p>
    <w:p w14:paraId="347C880F" w14:textId="16F53461" w:rsidR="004D1F5D" w:rsidRDefault="004D1F5D" w:rsidP="00B1122A">
      <w:pPr>
        <w:rPr>
          <w:rFonts w:ascii="Tahoma" w:hAnsi="Tahoma" w:cs="Tahoma"/>
          <w:b/>
          <w:bCs/>
        </w:rPr>
      </w:pPr>
      <w:r w:rsidRPr="008E68DC">
        <w:rPr>
          <w:rFonts w:ascii="Tahoma" w:hAnsi="Tahoma" w:cs="Tahoma"/>
          <w:b/>
          <w:bCs/>
        </w:rPr>
        <w:t>APPLICATION FORM (Attachment 15)</w:t>
      </w:r>
    </w:p>
    <w:p w14:paraId="7A3D19A3" w14:textId="77777777" w:rsidR="00653A87" w:rsidRPr="008E68DC" w:rsidRDefault="00653A87" w:rsidP="00B1122A">
      <w:pPr>
        <w:rPr>
          <w:rFonts w:ascii="Tahoma" w:hAnsi="Tahoma" w:cs="Tahoma"/>
          <w:b/>
          <w:bCs/>
        </w:rPr>
      </w:pPr>
    </w:p>
    <w:p w14:paraId="375FB28E" w14:textId="45687556" w:rsidR="001E293D" w:rsidRPr="0085719F" w:rsidRDefault="001E293D" w:rsidP="0085719F">
      <w:pPr>
        <w:pStyle w:val="ListParagraph"/>
        <w:keepNext/>
        <w:keepLines/>
        <w:widowControl w:val="0"/>
        <w:numPr>
          <w:ilvl w:val="0"/>
          <w:numId w:val="40"/>
        </w:numPr>
        <w:spacing w:after="120"/>
        <w:rPr>
          <w:rFonts w:ascii="Tahoma" w:hAnsi="Tahoma" w:cs="Tahoma"/>
        </w:rPr>
      </w:pPr>
    </w:p>
    <w:tbl>
      <w:tblPr>
        <w:tblStyle w:val="TableGrid"/>
        <w:tblW w:w="10432" w:type="dxa"/>
        <w:tblLook w:val="04A0" w:firstRow="1" w:lastRow="0" w:firstColumn="1" w:lastColumn="0" w:noHBand="0" w:noVBand="1"/>
      </w:tblPr>
      <w:tblGrid>
        <w:gridCol w:w="10432"/>
      </w:tblGrid>
      <w:tr w:rsidR="001E293D" w:rsidRPr="008E68DC" w14:paraId="75496E07" w14:textId="77777777" w:rsidTr="00CF113E">
        <w:trPr>
          <w:trHeight w:val="420"/>
        </w:trPr>
        <w:tc>
          <w:tcPr>
            <w:tcW w:w="10432" w:type="dxa"/>
            <w:hideMark/>
          </w:tcPr>
          <w:p w14:paraId="6D51C6ED" w14:textId="77777777" w:rsidR="001E293D" w:rsidRPr="008E68DC" w:rsidRDefault="001E293D" w:rsidP="00F10412">
            <w:pPr>
              <w:rPr>
                <w:rFonts w:ascii="Tahoma" w:hAnsi="Tahoma" w:cs="Tahoma"/>
                <w:b/>
                <w:bCs/>
                <w:u w:val="single"/>
              </w:rPr>
            </w:pPr>
            <w:r w:rsidRPr="008E68DC">
              <w:rPr>
                <w:rFonts w:ascii="Tahoma" w:hAnsi="Tahoma" w:cs="Tahoma"/>
                <w:b/>
                <w:bCs/>
                <w:u w:val="single"/>
              </w:rPr>
              <w:t>Project Site Address(es) (must be in California) </w:t>
            </w:r>
          </w:p>
        </w:tc>
      </w:tr>
      <w:tr w:rsidR="001E293D" w:rsidRPr="008E68DC" w14:paraId="60AD5061" w14:textId="77777777" w:rsidTr="00CF113E">
        <w:trPr>
          <w:trHeight w:val="420"/>
        </w:trPr>
        <w:tc>
          <w:tcPr>
            <w:tcW w:w="10432" w:type="dxa"/>
            <w:hideMark/>
          </w:tcPr>
          <w:p w14:paraId="1D0EED2B" w14:textId="77777777" w:rsidR="001E293D" w:rsidRPr="008E68DC" w:rsidRDefault="001E293D" w:rsidP="00F10412">
            <w:pPr>
              <w:rPr>
                <w:rFonts w:ascii="Tahoma" w:hAnsi="Tahoma" w:cs="Tahoma"/>
              </w:rPr>
            </w:pPr>
            <w:r w:rsidRPr="008E68DC">
              <w:rPr>
                <w:rFonts w:ascii="Tahoma" w:hAnsi="Tahoma" w:cs="Tahoma"/>
              </w:rPr>
              <w:t> </w:t>
            </w:r>
            <w:r w:rsidRPr="008E68DC">
              <w:rPr>
                <w:rFonts w:ascii="Tahoma" w:hAnsi="Tahoma" w:cs="Tahoma"/>
              </w:rPr>
              <w:t> </w:t>
            </w:r>
            <w:r w:rsidRPr="008E68DC">
              <w:rPr>
                <w:rFonts w:ascii="Tahoma" w:hAnsi="Tahoma" w:cs="Tahoma"/>
              </w:rPr>
              <w:t> </w:t>
            </w:r>
            <w:r w:rsidRPr="008E68DC">
              <w:rPr>
                <w:rFonts w:ascii="Tahoma" w:hAnsi="Tahoma" w:cs="Tahoma"/>
              </w:rPr>
              <w:t> </w:t>
            </w:r>
            <w:r w:rsidRPr="008E68DC">
              <w:rPr>
                <w:rFonts w:ascii="Tahoma" w:hAnsi="Tahoma" w:cs="Tahoma"/>
              </w:rPr>
              <w:t> </w:t>
            </w:r>
            <w:r w:rsidRPr="008E68DC">
              <w:rPr>
                <w:rFonts w:ascii="Tahoma" w:hAnsi="Tahoma" w:cs="Tahoma"/>
              </w:rPr>
              <w:t> </w:t>
            </w:r>
          </w:p>
        </w:tc>
      </w:tr>
      <w:tr w:rsidR="001E293D" w:rsidRPr="008E68DC" w14:paraId="1176B0D4" w14:textId="77777777" w:rsidTr="00CF113E">
        <w:trPr>
          <w:trHeight w:val="420"/>
        </w:trPr>
        <w:tc>
          <w:tcPr>
            <w:tcW w:w="10432" w:type="dxa"/>
            <w:hideMark/>
          </w:tcPr>
          <w:p w14:paraId="73F17732" w14:textId="77777777" w:rsidR="001E293D" w:rsidRPr="008E68DC" w:rsidRDefault="001E293D" w:rsidP="00F10412">
            <w:pPr>
              <w:rPr>
                <w:rFonts w:ascii="Tahoma" w:hAnsi="Tahoma" w:cs="Tahoma"/>
              </w:rPr>
            </w:pPr>
            <w:r w:rsidRPr="008E68DC">
              <w:rPr>
                <w:rFonts w:ascii="Tahoma" w:hAnsi="Tahoma" w:cs="Tahoma"/>
              </w:rPr>
              <w:t> </w:t>
            </w:r>
          </w:p>
        </w:tc>
      </w:tr>
    </w:tbl>
    <w:p w14:paraId="48D64D73" w14:textId="64D0090E" w:rsidR="004D1F5D" w:rsidRPr="00725F9F" w:rsidRDefault="004D1F5D" w:rsidP="00725F9F">
      <w:pPr>
        <w:pStyle w:val="ListParagraph"/>
        <w:numPr>
          <w:ilvl w:val="0"/>
          <w:numId w:val="40"/>
        </w:numPr>
        <w:rPr>
          <w:rFonts w:ascii="Tahoma" w:hAnsi="Tahoma" w:cs="Tahoma"/>
          <w:b/>
          <w:bCs/>
        </w:rPr>
      </w:pPr>
    </w:p>
    <w:tbl>
      <w:tblPr>
        <w:tblStyle w:val="TableGrid"/>
        <w:tblW w:w="10440" w:type="dxa"/>
        <w:tblLook w:val="04A0" w:firstRow="1" w:lastRow="0" w:firstColumn="1" w:lastColumn="0" w:noHBand="0" w:noVBand="1"/>
      </w:tblPr>
      <w:tblGrid>
        <w:gridCol w:w="6030"/>
        <w:gridCol w:w="4410"/>
      </w:tblGrid>
      <w:tr w:rsidR="005A74FF" w:rsidRPr="008E68DC" w14:paraId="45BC83A9" w14:textId="77777777" w:rsidTr="00093356">
        <w:trPr>
          <w:trHeight w:val="432"/>
        </w:trPr>
        <w:tc>
          <w:tcPr>
            <w:tcW w:w="10440" w:type="dxa"/>
            <w:gridSpan w:val="2"/>
            <w:shd w:val="clear" w:color="auto" w:fill="D9D9D9" w:themeFill="background1" w:themeFillShade="D9"/>
          </w:tcPr>
          <w:p w14:paraId="1D6EFBBF" w14:textId="77777777" w:rsidR="005A74FF" w:rsidRPr="008E68DC" w:rsidRDefault="005A74FF" w:rsidP="00F10412">
            <w:pPr>
              <w:keepLines/>
              <w:widowControl w:val="0"/>
              <w:ind w:left="-30" w:right="-72" w:hanging="42"/>
              <w:rPr>
                <w:rFonts w:ascii="Tahoma" w:hAnsi="Tahoma" w:cs="Tahoma"/>
                <w:sz w:val="20"/>
                <w:szCs w:val="20"/>
              </w:rPr>
            </w:pPr>
            <w:r w:rsidRPr="008E68DC">
              <w:rPr>
                <w:rFonts w:ascii="Tahoma" w:hAnsi="Tahoma" w:cs="Tahoma"/>
                <w:b/>
              </w:rPr>
              <w:t>Applicant Group</w:t>
            </w:r>
          </w:p>
        </w:tc>
      </w:tr>
      <w:tr w:rsidR="005A74FF" w:rsidRPr="008E68DC" w14:paraId="75512A3F" w14:textId="77777777" w:rsidTr="00F10412">
        <w:trPr>
          <w:trHeight w:val="1059"/>
        </w:trPr>
        <w:tc>
          <w:tcPr>
            <w:tcW w:w="10440" w:type="dxa"/>
            <w:gridSpan w:val="2"/>
          </w:tcPr>
          <w:p w14:paraId="6C13C9DA" w14:textId="77777777" w:rsidR="005A74FF" w:rsidRPr="008E68DC" w:rsidRDefault="005A74FF" w:rsidP="00F10412">
            <w:pPr>
              <w:autoSpaceDE w:val="0"/>
              <w:autoSpaceDN w:val="0"/>
              <w:adjustRightInd w:val="0"/>
              <w:ind w:left="-30" w:hanging="42"/>
              <w:jc w:val="both"/>
              <w:rPr>
                <w:rFonts w:ascii="Tahoma" w:hAnsi="Tahoma" w:cs="Tahoma"/>
                <w:i/>
                <w:sz w:val="20"/>
              </w:rPr>
            </w:pPr>
            <w:r w:rsidRPr="008E68DC">
              <w:rPr>
                <w:rFonts w:ascii="Tahoma" w:hAnsi="Tahoma" w:cs="Tahoma"/>
                <w:b/>
                <w:szCs w:val="22"/>
              </w:rPr>
              <w:t>Applicant Groups</w:t>
            </w:r>
            <w:r w:rsidRPr="008E68DC">
              <w:rPr>
                <w:rFonts w:ascii="Tahoma" w:hAnsi="Tahoma" w:cs="Tahoma"/>
                <w:sz w:val="20"/>
              </w:rPr>
              <w:t xml:space="preserve"> </w:t>
            </w:r>
            <w:r w:rsidRPr="008E68DC">
              <w:rPr>
                <w:rFonts w:ascii="Tahoma" w:hAnsi="Tahoma" w:cs="Tahoma"/>
                <w:i/>
                <w:sz w:val="20"/>
              </w:rPr>
              <w:t xml:space="preserve">(Place a check in the box applicable to the proposed applicant group. Select only </w:t>
            </w:r>
            <w:r w:rsidRPr="008E68DC">
              <w:rPr>
                <w:rFonts w:ascii="Tahoma" w:hAnsi="Tahoma" w:cs="Tahoma"/>
                <w:b/>
                <w:bCs/>
                <w:i/>
                <w:sz w:val="20"/>
                <w:u w:val="single"/>
              </w:rPr>
              <w:t>one</w:t>
            </w:r>
            <w:r w:rsidRPr="008E68DC">
              <w:rPr>
                <w:rFonts w:ascii="Tahoma" w:hAnsi="Tahoma" w:cs="Tahoma"/>
                <w:i/>
                <w:sz w:val="20"/>
              </w:rPr>
              <w:t xml:space="preserve"> group per application. See Section I.G of the solicitation manual for an explanation of each project group.)</w:t>
            </w:r>
          </w:p>
          <w:p w14:paraId="4E3399C5" w14:textId="77777777" w:rsidR="005A74FF" w:rsidRPr="008E68DC" w:rsidRDefault="005A74FF" w:rsidP="00F10412">
            <w:pPr>
              <w:keepLines/>
              <w:widowControl w:val="0"/>
              <w:spacing w:before="240"/>
              <w:ind w:left="-30" w:right="-72" w:hanging="42"/>
              <w:rPr>
                <w:rStyle w:val="Strong"/>
                <w:rFonts w:ascii="Tahoma" w:hAnsi="Tahoma" w:cs="Tahoma"/>
              </w:rPr>
            </w:pPr>
            <w:r w:rsidRPr="008E68DC">
              <w:rPr>
                <w:rStyle w:val="Strong"/>
                <w:rFonts w:ascii="Tahoma" w:hAnsi="Tahoma" w:cs="Tahoma"/>
              </w:rPr>
              <w:fldChar w:fldCharType="begin">
                <w:ffData>
                  <w:name w:val="Check31"/>
                  <w:enabled/>
                  <w:calcOnExit w:val="0"/>
                  <w:checkBox>
                    <w:sizeAuto/>
                    <w:default w:val="0"/>
                  </w:checkBox>
                </w:ffData>
              </w:fldChar>
            </w:r>
            <w:r w:rsidRPr="008E68DC">
              <w:rPr>
                <w:rStyle w:val="Strong"/>
                <w:rFonts w:ascii="Tahoma" w:hAnsi="Tahoma" w:cs="Tahoma"/>
              </w:rPr>
              <w:instrText xml:space="preserve"> FORMCHECKBOX </w:instrText>
            </w:r>
            <w:r w:rsidR="001A44EE">
              <w:rPr>
                <w:rStyle w:val="Strong"/>
                <w:rFonts w:ascii="Tahoma" w:hAnsi="Tahoma" w:cs="Tahoma"/>
              </w:rPr>
            </w:r>
            <w:r w:rsidR="001A44EE">
              <w:rPr>
                <w:rStyle w:val="Strong"/>
                <w:rFonts w:ascii="Tahoma" w:hAnsi="Tahoma" w:cs="Tahoma"/>
              </w:rPr>
              <w:fldChar w:fldCharType="separate"/>
            </w:r>
            <w:r w:rsidRPr="008E68DC">
              <w:rPr>
                <w:rStyle w:val="Strong"/>
                <w:rFonts w:ascii="Tahoma" w:hAnsi="Tahoma" w:cs="Tahoma"/>
              </w:rPr>
              <w:fldChar w:fldCharType="end"/>
            </w:r>
            <w:r w:rsidRPr="008E68DC">
              <w:rPr>
                <w:rStyle w:val="Strong"/>
                <w:rFonts w:ascii="Tahoma" w:hAnsi="Tahoma" w:cs="Tahoma"/>
              </w:rPr>
              <w:t xml:space="preserve"> Group 1: Small Ports</w:t>
            </w:r>
          </w:p>
          <w:p w14:paraId="2C9EF1DC" w14:textId="77777777" w:rsidR="005A74FF" w:rsidRPr="008E68DC" w:rsidRDefault="005A74FF" w:rsidP="00F10412">
            <w:pPr>
              <w:keepLines/>
              <w:widowControl w:val="0"/>
              <w:spacing w:before="240"/>
              <w:ind w:left="-30" w:right="-72" w:hanging="42"/>
              <w:rPr>
                <w:rStyle w:val="Strong"/>
                <w:rFonts w:ascii="Tahoma" w:hAnsi="Tahoma" w:cs="Tahoma"/>
              </w:rPr>
            </w:pPr>
            <w:r w:rsidRPr="008E68DC">
              <w:rPr>
                <w:rStyle w:val="Strong"/>
                <w:rFonts w:ascii="Tahoma" w:hAnsi="Tahoma" w:cs="Tahoma"/>
              </w:rPr>
              <w:fldChar w:fldCharType="begin">
                <w:ffData>
                  <w:name w:val="Check32"/>
                  <w:enabled/>
                  <w:calcOnExit w:val="0"/>
                  <w:checkBox>
                    <w:sizeAuto/>
                    <w:default w:val="0"/>
                  </w:checkBox>
                </w:ffData>
              </w:fldChar>
            </w:r>
            <w:r w:rsidRPr="008E68DC">
              <w:rPr>
                <w:rStyle w:val="Strong"/>
                <w:rFonts w:ascii="Tahoma" w:hAnsi="Tahoma" w:cs="Tahoma"/>
              </w:rPr>
              <w:instrText xml:space="preserve"> FORMCHECKBOX </w:instrText>
            </w:r>
            <w:r w:rsidR="001A44EE">
              <w:rPr>
                <w:rStyle w:val="Strong"/>
                <w:rFonts w:ascii="Tahoma" w:hAnsi="Tahoma" w:cs="Tahoma"/>
              </w:rPr>
            </w:r>
            <w:r w:rsidR="001A44EE">
              <w:rPr>
                <w:rStyle w:val="Strong"/>
                <w:rFonts w:ascii="Tahoma" w:hAnsi="Tahoma" w:cs="Tahoma"/>
              </w:rPr>
              <w:fldChar w:fldCharType="separate"/>
            </w:r>
            <w:r w:rsidRPr="008E68DC">
              <w:rPr>
                <w:rStyle w:val="Strong"/>
                <w:rFonts w:ascii="Tahoma" w:hAnsi="Tahoma" w:cs="Tahoma"/>
              </w:rPr>
              <w:fldChar w:fldCharType="end"/>
            </w:r>
            <w:r w:rsidRPr="008E68DC">
              <w:rPr>
                <w:rStyle w:val="Strong"/>
                <w:rFonts w:ascii="Tahoma" w:hAnsi="Tahoma" w:cs="Tahoma"/>
              </w:rPr>
              <w:t xml:space="preserve"> Group 2: Large Ports</w:t>
            </w:r>
          </w:p>
          <w:p w14:paraId="68B14FD9" w14:textId="47F4E54C" w:rsidR="005A74FF" w:rsidRPr="008E68DC" w:rsidRDefault="005A74FF" w:rsidP="00F10412">
            <w:pPr>
              <w:keepLines/>
              <w:widowControl w:val="0"/>
              <w:spacing w:before="240"/>
              <w:ind w:left="-30" w:right="-72" w:hanging="42"/>
              <w:rPr>
                <w:rStyle w:val="Strong"/>
                <w:rFonts w:ascii="Tahoma" w:hAnsi="Tahoma" w:cs="Tahoma"/>
              </w:rPr>
            </w:pPr>
            <w:r w:rsidRPr="008E68DC">
              <w:rPr>
                <w:rStyle w:val="Strong"/>
                <w:rFonts w:ascii="Tahoma" w:hAnsi="Tahoma" w:cs="Tahoma"/>
              </w:rPr>
              <w:t xml:space="preserve">What seaport or land port of entry will be supported? </w:t>
            </w:r>
            <w:r w:rsidRPr="008E68DC">
              <w:rPr>
                <w:rStyle w:val="Strong"/>
                <w:rFonts w:ascii="Tahoma" w:hAnsi="Tahoma" w:cs="Tahoma"/>
                <w:u w:val="single"/>
              </w:rPr>
              <w:fldChar w:fldCharType="begin">
                <w:ffData>
                  <w:name w:val="Text14"/>
                  <w:enabled/>
                  <w:calcOnExit w:val="0"/>
                  <w:textInput/>
                </w:ffData>
              </w:fldChar>
            </w:r>
            <w:r w:rsidRPr="008E68DC">
              <w:rPr>
                <w:rStyle w:val="Strong"/>
                <w:rFonts w:ascii="Tahoma" w:hAnsi="Tahoma" w:cs="Tahoma"/>
                <w:u w:val="single"/>
              </w:rPr>
              <w:instrText xml:space="preserve"> </w:instrText>
            </w:r>
            <w:bookmarkStart w:id="3" w:name="Text14"/>
            <w:r w:rsidRPr="008E68DC">
              <w:rPr>
                <w:rStyle w:val="Strong"/>
                <w:rFonts w:ascii="Tahoma" w:hAnsi="Tahoma" w:cs="Tahoma"/>
                <w:u w:val="single"/>
              </w:rPr>
              <w:instrText xml:space="preserve">FORMTEXT </w:instrText>
            </w:r>
            <w:r w:rsidRPr="008E68DC">
              <w:rPr>
                <w:rStyle w:val="Strong"/>
                <w:rFonts w:ascii="Tahoma" w:hAnsi="Tahoma" w:cs="Tahoma"/>
                <w:u w:val="single"/>
              </w:rPr>
            </w:r>
            <w:r w:rsidRPr="008E68DC">
              <w:rPr>
                <w:rStyle w:val="Strong"/>
                <w:rFonts w:ascii="Tahoma" w:hAnsi="Tahoma" w:cs="Tahoma"/>
                <w:u w:val="single"/>
              </w:rPr>
              <w:fldChar w:fldCharType="separate"/>
            </w:r>
            <w:r w:rsidRPr="008E68DC">
              <w:rPr>
                <w:rStyle w:val="Strong"/>
                <w:rFonts w:ascii="Tahoma" w:hAnsi="Tahoma" w:cs="Tahoma"/>
                <w:noProof/>
                <w:u w:val="single"/>
              </w:rPr>
              <w:t> </w:t>
            </w:r>
            <w:r w:rsidRPr="008E68DC">
              <w:rPr>
                <w:rStyle w:val="Strong"/>
                <w:rFonts w:ascii="Tahoma" w:hAnsi="Tahoma" w:cs="Tahoma"/>
                <w:noProof/>
                <w:u w:val="single"/>
              </w:rPr>
              <w:t> </w:t>
            </w:r>
            <w:r w:rsidRPr="008E68DC">
              <w:rPr>
                <w:rStyle w:val="Strong"/>
                <w:rFonts w:ascii="Tahoma" w:hAnsi="Tahoma" w:cs="Tahoma"/>
                <w:noProof/>
                <w:u w:val="single"/>
              </w:rPr>
              <w:t> </w:t>
            </w:r>
            <w:r w:rsidRPr="008E68DC">
              <w:rPr>
                <w:rStyle w:val="Strong"/>
                <w:rFonts w:ascii="Tahoma" w:hAnsi="Tahoma" w:cs="Tahoma"/>
                <w:noProof/>
                <w:u w:val="single"/>
              </w:rPr>
              <w:t> </w:t>
            </w:r>
            <w:r w:rsidRPr="008E68DC">
              <w:rPr>
                <w:rStyle w:val="Strong"/>
                <w:rFonts w:ascii="Tahoma" w:hAnsi="Tahoma" w:cs="Tahoma"/>
                <w:noProof/>
                <w:u w:val="single"/>
              </w:rPr>
              <w:t> </w:t>
            </w:r>
            <w:r w:rsidRPr="008E68DC">
              <w:rPr>
                <w:rStyle w:val="Strong"/>
                <w:rFonts w:ascii="Tahoma" w:hAnsi="Tahoma" w:cs="Tahoma"/>
                <w:u w:val="single"/>
              </w:rPr>
              <w:fldChar w:fldCharType="end"/>
            </w:r>
            <w:bookmarkEnd w:id="3"/>
          </w:p>
        </w:tc>
      </w:tr>
      <w:tr w:rsidR="005A74FF" w:rsidRPr="008E68DC" w14:paraId="0BC0B4EF" w14:textId="77777777" w:rsidTr="00F10412">
        <w:trPr>
          <w:trHeight w:val="1059"/>
        </w:trPr>
        <w:tc>
          <w:tcPr>
            <w:tcW w:w="10440" w:type="dxa"/>
            <w:gridSpan w:val="2"/>
          </w:tcPr>
          <w:p w14:paraId="45CE9ABD" w14:textId="77777777" w:rsidR="005A74FF" w:rsidRPr="008E68DC" w:rsidRDefault="005A74FF" w:rsidP="00F10412">
            <w:pPr>
              <w:autoSpaceDE w:val="0"/>
              <w:autoSpaceDN w:val="0"/>
              <w:adjustRightInd w:val="0"/>
              <w:ind w:left="-30" w:hanging="42"/>
              <w:jc w:val="both"/>
              <w:rPr>
                <w:rFonts w:ascii="Tahoma" w:hAnsi="Tahoma" w:cs="Tahoma"/>
                <w:i/>
                <w:strike/>
                <w:sz w:val="20"/>
              </w:rPr>
            </w:pPr>
            <w:r w:rsidRPr="008E68DC">
              <w:rPr>
                <w:rFonts w:ascii="Tahoma" w:hAnsi="Tahoma" w:cs="Tahoma"/>
                <w:bCs/>
                <w:szCs w:val="22"/>
              </w:rPr>
              <w:lastRenderedPageBreak/>
              <w:t>[</w:t>
            </w:r>
            <w:r w:rsidRPr="008E68DC">
              <w:rPr>
                <w:rFonts w:ascii="Tahoma" w:hAnsi="Tahoma" w:cs="Tahoma"/>
                <w:b/>
                <w:strike/>
                <w:szCs w:val="22"/>
              </w:rPr>
              <w:t xml:space="preserve">Fueling Type </w:t>
            </w:r>
            <w:r w:rsidRPr="008E68DC">
              <w:rPr>
                <w:rFonts w:ascii="Tahoma" w:hAnsi="Tahoma" w:cs="Tahoma"/>
                <w:i/>
                <w:strike/>
                <w:sz w:val="20"/>
              </w:rPr>
              <w:t xml:space="preserve">(Place a check in the box applicable to the proposed technology and indicate proposed number of charging ports / hydrogen refueling positions. Select only </w:t>
            </w:r>
            <w:r w:rsidRPr="008E68DC">
              <w:rPr>
                <w:rFonts w:ascii="Tahoma" w:hAnsi="Tahoma" w:cs="Tahoma"/>
                <w:b/>
                <w:bCs/>
                <w:i/>
                <w:strike/>
                <w:sz w:val="20"/>
                <w:u w:val="single"/>
              </w:rPr>
              <w:t>one</w:t>
            </w:r>
            <w:r w:rsidRPr="008E68DC">
              <w:rPr>
                <w:rFonts w:ascii="Tahoma" w:hAnsi="Tahoma" w:cs="Tahoma"/>
                <w:i/>
                <w:strike/>
                <w:sz w:val="20"/>
              </w:rPr>
              <w:t xml:space="preserve"> fueling type per application. See Section I.G of the solicitation manual for an explanation of each and minimum number of charging ports / hydrogen fueling positions required.)</w:t>
            </w:r>
          </w:p>
          <w:p w14:paraId="22131536" w14:textId="77777777" w:rsidR="005A74FF" w:rsidRPr="008E68DC" w:rsidRDefault="005A74FF" w:rsidP="00F10412">
            <w:pPr>
              <w:keepLines/>
              <w:widowControl w:val="0"/>
              <w:spacing w:before="240"/>
              <w:ind w:left="-30" w:right="-72" w:hanging="42"/>
              <w:rPr>
                <w:rStyle w:val="Strong"/>
                <w:rFonts w:ascii="Tahoma" w:hAnsi="Tahoma" w:cs="Tahoma"/>
                <w:strike/>
              </w:rPr>
            </w:pPr>
            <w:r w:rsidRPr="008E68DC">
              <w:rPr>
                <w:rStyle w:val="Strong"/>
                <w:rFonts w:ascii="Tahoma" w:hAnsi="Tahoma" w:cs="Tahoma"/>
                <w:strike/>
              </w:rPr>
              <w:fldChar w:fldCharType="begin">
                <w:ffData>
                  <w:name w:val="Check31"/>
                  <w:enabled/>
                  <w:calcOnExit w:val="0"/>
                  <w:checkBox>
                    <w:sizeAuto/>
                    <w:default w:val="0"/>
                  </w:checkBox>
                </w:ffData>
              </w:fldChar>
            </w:r>
            <w:r w:rsidRPr="008E68DC">
              <w:rPr>
                <w:rStyle w:val="Strong"/>
                <w:rFonts w:ascii="Tahoma" w:hAnsi="Tahoma" w:cs="Tahoma"/>
                <w:strike/>
              </w:rPr>
              <w:instrText xml:space="preserve"> FORMCHECKBOX </w:instrText>
            </w:r>
            <w:r w:rsidR="001A44EE">
              <w:rPr>
                <w:rStyle w:val="Strong"/>
                <w:rFonts w:ascii="Tahoma" w:hAnsi="Tahoma" w:cs="Tahoma"/>
                <w:strike/>
              </w:rPr>
            </w:r>
            <w:r w:rsidR="001A44EE">
              <w:rPr>
                <w:rStyle w:val="Strong"/>
                <w:rFonts w:ascii="Tahoma" w:hAnsi="Tahoma" w:cs="Tahoma"/>
                <w:strike/>
              </w:rPr>
              <w:fldChar w:fldCharType="separate"/>
            </w:r>
            <w:r w:rsidRPr="008E68DC">
              <w:rPr>
                <w:rStyle w:val="Strong"/>
                <w:rFonts w:ascii="Tahoma" w:hAnsi="Tahoma" w:cs="Tahoma"/>
                <w:strike/>
              </w:rPr>
              <w:fldChar w:fldCharType="end"/>
            </w:r>
            <w:r w:rsidRPr="008E68DC">
              <w:rPr>
                <w:rStyle w:val="Strong"/>
                <w:rFonts w:ascii="Tahoma" w:hAnsi="Tahoma" w:cs="Tahoma"/>
                <w:strike/>
              </w:rPr>
              <w:t xml:space="preserve"> Electric Charging (# of ports proposed _______)</w:t>
            </w:r>
          </w:p>
          <w:p w14:paraId="51217635" w14:textId="77777777" w:rsidR="005A74FF" w:rsidRPr="008E68DC" w:rsidRDefault="005A74FF" w:rsidP="00F10412">
            <w:pPr>
              <w:keepLines/>
              <w:widowControl w:val="0"/>
              <w:tabs>
                <w:tab w:val="left" w:pos="8520"/>
              </w:tabs>
              <w:spacing w:before="240"/>
              <w:ind w:left="-30" w:right="-72" w:hanging="42"/>
              <w:rPr>
                <w:rStyle w:val="Strong"/>
                <w:rFonts w:ascii="Tahoma" w:hAnsi="Tahoma" w:cs="Tahoma"/>
              </w:rPr>
            </w:pPr>
            <w:r w:rsidRPr="008E68DC">
              <w:rPr>
                <w:rStyle w:val="Strong"/>
                <w:rFonts w:ascii="Tahoma" w:hAnsi="Tahoma" w:cs="Tahoma"/>
                <w:strike/>
              </w:rPr>
              <w:fldChar w:fldCharType="begin">
                <w:ffData>
                  <w:name w:val="Check32"/>
                  <w:enabled/>
                  <w:calcOnExit w:val="0"/>
                  <w:checkBox>
                    <w:sizeAuto/>
                    <w:default w:val="0"/>
                  </w:checkBox>
                </w:ffData>
              </w:fldChar>
            </w:r>
            <w:r w:rsidRPr="008E68DC">
              <w:rPr>
                <w:rStyle w:val="Strong"/>
                <w:rFonts w:ascii="Tahoma" w:hAnsi="Tahoma" w:cs="Tahoma"/>
                <w:strike/>
              </w:rPr>
              <w:instrText xml:space="preserve"> FORMCHECKBOX </w:instrText>
            </w:r>
            <w:r w:rsidR="001A44EE">
              <w:rPr>
                <w:rStyle w:val="Strong"/>
                <w:rFonts w:ascii="Tahoma" w:hAnsi="Tahoma" w:cs="Tahoma"/>
                <w:strike/>
              </w:rPr>
            </w:r>
            <w:r w:rsidR="001A44EE">
              <w:rPr>
                <w:rStyle w:val="Strong"/>
                <w:rFonts w:ascii="Tahoma" w:hAnsi="Tahoma" w:cs="Tahoma"/>
                <w:strike/>
              </w:rPr>
              <w:fldChar w:fldCharType="separate"/>
            </w:r>
            <w:r w:rsidRPr="008E68DC">
              <w:rPr>
                <w:rStyle w:val="Strong"/>
                <w:rFonts w:ascii="Tahoma" w:hAnsi="Tahoma" w:cs="Tahoma"/>
                <w:strike/>
              </w:rPr>
              <w:fldChar w:fldCharType="end"/>
            </w:r>
            <w:r w:rsidRPr="008E68DC">
              <w:rPr>
                <w:rStyle w:val="Strong"/>
                <w:rFonts w:ascii="Tahoma" w:hAnsi="Tahoma" w:cs="Tahoma"/>
                <w:strike/>
              </w:rPr>
              <w:t xml:space="preserve"> Hydrogen Refueling (# of refueling positions proposed _______)</w:t>
            </w:r>
            <w:r w:rsidRPr="008E68DC">
              <w:rPr>
                <w:rStyle w:val="Strong"/>
                <w:rFonts w:ascii="Tahoma" w:hAnsi="Tahoma" w:cs="Tahoma"/>
                <w:b w:val="0"/>
                <w:bCs w:val="0"/>
              </w:rPr>
              <w:t>]</w:t>
            </w:r>
          </w:p>
        </w:tc>
      </w:tr>
      <w:tr w:rsidR="00EF2C8F" w:rsidRPr="00C90D30" w14:paraId="5BE49797" w14:textId="77777777" w:rsidTr="005F7427">
        <w:trPr>
          <w:trHeight w:val="699"/>
        </w:trPr>
        <w:tc>
          <w:tcPr>
            <w:tcW w:w="6030" w:type="dxa"/>
          </w:tcPr>
          <w:p w14:paraId="6A7594D2" w14:textId="77777777" w:rsidR="00EF2C8F" w:rsidRPr="001E571D" w:rsidRDefault="00EF2C8F" w:rsidP="00351B94">
            <w:pPr>
              <w:keepLines/>
              <w:rPr>
                <w:rFonts w:ascii="Tahoma" w:eastAsia="Tahoma" w:hAnsi="Tahoma" w:cs="Tahoma"/>
                <w:b/>
                <w:bCs/>
                <w:u w:val="single"/>
              </w:rPr>
            </w:pPr>
            <w:r w:rsidRPr="001E571D">
              <w:rPr>
                <w:rFonts w:ascii="Tahoma" w:eastAsia="Tahoma" w:hAnsi="Tahoma" w:cs="Tahoma"/>
                <w:b/>
                <w:bCs/>
                <w:u w:val="single"/>
              </w:rPr>
              <w:t>*Fueling Type</w:t>
            </w:r>
          </w:p>
          <w:p w14:paraId="3BDB2FC1" w14:textId="77777777" w:rsidR="00EF2C8F" w:rsidRPr="001E571D" w:rsidRDefault="00EF2C8F" w:rsidP="00351B94">
            <w:pPr>
              <w:keepLines/>
              <w:ind w:left="-30"/>
              <w:rPr>
                <w:rFonts w:ascii="Tahoma" w:eastAsia="Tahoma" w:hAnsi="Tahoma" w:cs="Tahoma"/>
                <w:b/>
                <w:bCs/>
                <w:u w:val="single"/>
              </w:rPr>
            </w:pPr>
            <w:r w:rsidRPr="001E571D">
              <w:rPr>
                <w:rFonts w:ascii="Tahoma" w:eastAsia="Tahoma" w:hAnsi="Tahoma" w:cs="Tahoma"/>
                <w:b/>
                <w:bCs/>
                <w:u w:val="single"/>
              </w:rPr>
              <w:t>(check only one box)</w:t>
            </w:r>
          </w:p>
        </w:tc>
        <w:tc>
          <w:tcPr>
            <w:tcW w:w="4410" w:type="dxa"/>
          </w:tcPr>
          <w:p w14:paraId="62C3D56E" w14:textId="77777777" w:rsidR="00EF2C8F" w:rsidRPr="001E571D" w:rsidRDefault="001A44EE" w:rsidP="00351B94">
            <w:pPr>
              <w:keepLines/>
              <w:ind w:left="-30"/>
              <w:rPr>
                <w:rFonts w:ascii="Tahoma" w:eastAsia="Tahoma" w:hAnsi="Tahoma" w:cs="Tahoma"/>
                <w:b/>
                <w:bCs/>
                <w:u w:val="single"/>
              </w:rPr>
            </w:pPr>
            <w:sdt>
              <w:sdtPr>
                <w:rPr>
                  <w:rFonts w:ascii="Tahoma" w:eastAsia="Tahoma" w:hAnsi="Tahoma" w:cs="Tahoma"/>
                  <w:b/>
                  <w:bCs/>
                  <w:sz w:val="28"/>
                  <w:szCs w:val="28"/>
                  <w:u w:val="single"/>
                </w:rPr>
                <w:id w:val="1513954287"/>
                <w14:checkbox>
                  <w14:checked w14:val="0"/>
                  <w14:checkedState w14:val="2612" w14:font="MS Gothic"/>
                  <w14:uncheckedState w14:val="2610" w14:font="MS Gothic"/>
                </w14:checkbox>
              </w:sdtPr>
              <w:sdtEndPr/>
              <w:sdtContent>
                <w:r w:rsidR="00EF2C8F" w:rsidRPr="001E571D">
                  <w:rPr>
                    <w:rFonts w:ascii="Segoe UI Symbol" w:eastAsia="MS Gothic" w:hAnsi="Segoe UI Symbol" w:cs="Segoe UI Symbol"/>
                    <w:b/>
                    <w:bCs/>
                    <w:sz w:val="28"/>
                    <w:szCs w:val="28"/>
                    <w:u w:val="single"/>
                  </w:rPr>
                  <w:t>☐</w:t>
                </w:r>
              </w:sdtContent>
            </w:sdt>
            <w:r w:rsidR="00EF2C8F" w:rsidRPr="001E571D">
              <w:rPr>
                <w:rFonts w:ascii="Tahoma" w:eastAsia="Tahoma" w:hAnsi="Tahoma" w:cs="Tahoma"/>
                <w:b/>
                <w:bCs/>
                <w:u w:val="single"/>
              </w:rPr>
              <w:t xml:space="preserve"> EV Charging </w:t>
            </w:r>
          </w:p>
          <w:p w14:paraId="0DDFC065" w14:textId="77777777" w:rsidR="00EF2C8F" w:rsidRPr="001E571D" w:rsidRDefault="001A44EE" w:rsidP="00351B94">
            <w:pPr>
              <w:keepLines/>
              <w:ind w:left="-30"/>
              <w:rPr>
                <w:rFonts w:ascii="Tahoma" w:eastAsia="Tahoma" w:hAnsi="Tahoma" w:cs="Tahoma"/>
                <w:b/>
                <w:bCs/>
                <w:u w:val="single"/>
              </w:rPr>
            </w:pPr>
            <w:sdt>
              <w:sdtPr>
                <w:rPr>
                  <w:rFonts w:ascii="Tahoma" w:eastAsia="Tahoma" w:hAnsi="Tahoma" w:cs="Tahoma"/>
                  <w:b/>
                  <w:bCs/>
                  <w:sz w:val="28"/>
                  <w:szCs w:val="28"/>
                  <w:u w:val="single"/>
                </w:rPr>
                <w:id w:val="952749486"/>
                <w14:checkbox>
                  <w14:checked w14:val="0"/>
                  <w14:checkedState w14:val="2612" w14:font="MS Gothic"/>
                  <w14:uncheckedState w14:val="2610" w14:font="MS Gothic"/>
                </w14:checkbox>
              </w:sdtPr>
              <w:sdtEndPr/>
              <w:sdtContent>
                <w:r w:rsidR="00EF2C8F" w:rsidRPr="001E571D">
                  <w:rPr>
                    <w:rFonts w:ascii="Segoe UI Symbol" w:eastAsia="MS Gothic" w:hAnsi="Segoe UI Symbol" w:cs="Segoe UI Symbol"/>
                    <w:b/>
                    <w:bCs/>
                    <w:sz w:val="28"/>
                    <w:szCs w:val="28"/>
                    <w:u w:val="single"/>
                  </w:rPr>
                  <w:t>☐</w:t>
                </w:r>
              </w:sdtContent>
            </w:sdt>
            <w:r w:rsidR="00EF2C8F" w:rsidRPr="001E571D">
              <w:rPr>
                <w:rFonts w:ascii="Tahoma" w:eastAsia="Tahoma" w:hAnsi="Tahoma" w:cs="Tahoma"/>
                <w:b/>
                <w:bCs/>
                <w:u w:val="single"/>
              </w:rPr>
              <w:t xml:space="preserve"> Hydrogen Refueling</w:t>
            </w:r>
          </w:p>
        </w:tc>
      </w:tr>
      <w:tr w:rsidR="00EF2C8F" w:rsidRPr="00C90D30" w14:paraId="3F10B64B" w14:textId="77777777" w:rsidTr="005F7427">
        <w:trPr>
          <w:trHeight w:val="233"/>
        </w:trPr>
        <w:tc>
          <w:tcPr>
            <w:tcW w:w="6030" w:type="dxa"/>
          </w:tcPr>
          <w:p w14:paraId="6B985ED5" w14:textId="77777777" w:rsidR="00EF2C8F" w:rsidRPr="001E571D" w:rsidRDefault="00EF2C8F" w:rsidP="00351B94">
            <w:pPr>
              <w:keepLines/>
              <w:ind w:left="-30"/>
              <w:rPr>
                <w:rFonts w:ascii="Tahoma" w:eastAsia="Tahoma" w:hAnsi="Tahoma" w:cs="Tahoma"/>
                <w:b/>
                <w:bCs/>
                <w:u w:val="single"/>
              </w:rPr>
            </w:pPr>
            <w:r w:rsidRPr="001E571D">
              <w:rPr>
                <w:rFonts w:ascii="Tahoma" w:eastAsia="Tahoma" w:hAnsi="Tahoma" w:cs="Tahoma"/>
                <w:b/>
                <w:bCs/>
                <w:u w:val="single"/>
              </w:rPr>
              <w:t># of new charging ports or new hydrogen fueling positions planned for this project to support medium- and heavy-duty zero-emission vehicles (class [</w:t>
            </w:r>
            <w:r w:rsidRPr="001E571D">
              <w:rPr>
                <w:rFonts w:ascii="Tahoma" w:eastAsia="Tahoma" w:hAnsi="Tahoma" w:cs="Tahoma"/>
                <w:b/>
                <w:bCs/>
                <w:strike/>
                <w:u w:val="single"/>
              </w:rPr>
              <w:t>2b</w:t>
            </w:r>
            <w:r w:rsidRPr="001E571D">
              <w:rPr>
                <w:rFonts w:ascii="Tahoma" w:eastAsia="Tahoma" w:hAnsi="Tahoma" w:cs="Tahoma"/>
                <w:b/>
                <w:bCs/>
                <w:u w:val="single"/>
              </w:rPr>
              <w:t>] 3 – 8), off-road equipment, or specialty vehicles:</w:t>
            </w:r>
          </w:p>
        </w:tc>
        <w:tc>
          <w:tcPr>
            <w:tcW w:w="4410" w:type="dxa"/>
          </w:tcPr>
          <w:p w14:paraId="4F7B0F8F" w14:textId="77777777" w:rsidR="00EF2C8F" w:rsidRPr="001E571D" w:rsidRDefault="00EF2C8F" w:rsidP="00351B94">
            <w:pPr>
              <w:keepLines/>
              <w:ind w:left="-30"/>
              <w:rPr>
                <w:rFonts w:ascii="Tahoma" w:eastAsia="Tahoma" w:hAnsi="Tahoma" w:cs="Tahoma"/>
                <w:b/>
                <w:bCs/>
                <w:u w:val="single"/>
              </w:rPr>
            </w:pPr>
            <w:r w:rsidRPr="001E571D">
              <w:rPr>
                <w:rFonts w:ascii="Tahoma" w:hAnsi="Tahoma" w:cs="Tahoma"/>
                <w:b/>
                <w:bCs/>
                <w:u w:val="single"/>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1E571D">
              <w:rPr>
                <w:rFonts w:ascii="Tahoma" w:hAnsi="Tahoma" w:cs="Tahoma"/>
                <w:b/>
                <w:bCs/>
                <w:u w:val="single"/>
              </w:rPr>
              <w:instrText xml:space="preserve"> FORMTEXT </w:instrText>
            </w:r>
            <w:r w:rsidRPr="001E571D">
              <w:rPr>
                <w:rFonts w:ascii="Tahoma" w:hAnsi="Tahoma" w:cs="Tahoma"/>
                <w:b/>
                <w:bCs/>
                <w:u w:val="single"/>
              </w:rPr>
            </w:r>
            <w:r w:rsidRPr="001E571D">
              <w:rPr>
                <w:rFonts w:ascii="Tahoma" w:hAnsi="Tahoma" w:cs="Tahoma"/>
                <w:b/>
                <w:bCs/>
                <w:u w:val="single"/>
              </w:rPr>
              <w:fldChar w:fldCharType="separate"/>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u w:val="single"/>
              </w:rPr>
              <w:fldChar w:fldCharType="end"/>
            </w:r>
          </w:p>
        </w:tc>
      </w:tr>
      <w:tr w:rsidR="00EF2C8F" w:rsidRPr="003652AC" w14:paraId="5DEB05D4" w14:textId="77777777" w:rsidTr="005F7427">
        <w:trPr>
          <w:trHeight w:val="233"/>
        </w:trPr>
        <w:tc>
          <w:tcPr>
            <w:tcW w:w="6030" w:type="dxa"/>
          </w:tcPr>
          <w:p w14:paraId="7F2E30D0" w14:textId="77777777" w:rsidR="00EF2C8F" w:rsidRPr="001E571D" w:rsidRDefault="00EF2C8F" w:rsidP="00351B94">
            <w:pPr>
              <w:keepLines/>
              <w:ind w:left="-30"/>
              <w:rPr>
                <w:rFonts w:ascii="Tahoma" w:eastAsia="Tahoma" w:hAnsi="Tahoma" w:cs="Tahoma"/>
                <w:b/>
                <w:bCs/>
                <w:u w:val="single"/>
              </w:rPr>
            </w:pPr>
            <w:r w:rsidRPr="001E571D">
              <w:rPr>
                <w:rFonts w:ascii="Tahoma" w:eastAsia="Tahoma" w:hAnsi="Tahoma" w:cs="Tahoma"/>
                <w:b/>
                <w:bCs/>
                <w:u w:val="single"/>
              </w:rPr>
              <w:t>EV port charging power in kW</w:t>
            </w:r>
          </w:p>
          <w:p w14:paraId="2A13860A" w14:textId="77777777" w:rsidR="00EF2C8F" w:rsidRPr="001E571D" w:rsidRDefault="00EF2C8F" w:rsidP="00351B94">
            <w:pPr>
              <w:keepLines/>
              <w:ind w:left="-30"/>
              <w:rPr>
                <w:rFonts w:ascii="Tahoma" w:eastAsia="Tahoma" w:hAnsi="Tahoma" w:cs="Tahoma"/>
                <w:b/>
                <w:bCs/>
                <w:u w:val="single"/>
              </w:rPr>
            </w:pPr>
          </w:p>
          <w:p w14:paraId="4A09E574" w14:textId="77777777" w:rsidR="00EF2C8F" w:rsidRPr="001E571D" w:rsidRDefault="00EF2C8F" w:rsidP="00351B94">
            <w:pPr>
              <w:keepLines/>
              <w:ind w:left="-30"/>
              <w:rPr>
                <w:rFonts w:ascii="Tahoma" w:eastAsia="Tahoma" w:hAnsi="Tahoma" w:cs="Tahoma"/>
                <w:b/>
                <w:bCs/>
                <w:u w:val="single"/>
              </w:rPr>
            </w:pPr>
            <w:r w:rsidRPr="001E571D">
              <w:rPr>
                <w:rFonts w:ascii="Tahoma" w:eastAsia="Tahoma" w:hAnsi="Tahoma" w:cs="Tahoma"/>
                <w:b/>
                <w:bCs/>
                <w:u w:val="single"/>
              </w:rPr>
              <w:t>Fueling capacity of the hydrogen refueling station</w:t>
            </w:r>
          </w:p>
        </w:tc>
        <w:tc>
          <w:tcPr>
            <w:tcW w:w="4410" w:type="dxa"/>
          </w:tcPr>
          <w:p w14:paraId="78B47957" w14:textId="77777777" w:rsidR="00EF2C8F" w:rsidRPr="001E571D" w:rsidRDefault="00EF2C8F" w:rsidP="00351B94">
            <w:pPr>
              <w:keepLines/>
              <w:ind w:left="-30"/>
              <w:rPr>
                <w:rFonts w:ascii="Tahoma" w:hAnsi="Tahoma" w:cs="Tahoma"/>
                <w:b/>
                <w:bCs/>
                <w:u w:val="single"/>
              </w:rPr>
            </w:pPr>
            <w:r w:rsidRPr="001E571D">
              <w:rPr>
                <w:rFonts w:ascii="Tahoma" w:hAnsi="Tahoma" w:cs="Tahoma"/>
                <w:b/>
                <w:bCs/>
                <w:u w:val="single"/>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1E571D">
              <w:rPr>
                <w:rFonts w:ascii="Tahoma" w:hAnsi="Tahoma" w:cs="Tahoma"/>
                <w:b/>
                <w:bCs/>
                <w:u w:val="single"/>
              </w:rPr>
              <w:instrText xml:space="preserve"> FORMTEXT </w:instrText>
            </w:r>
            <w:r w:rsidRPr="001E571D">
              <w:rPr>
                <w:rFonts w:ascii="Tahoma" w:hAnsi="Tahoma" w:cs="Tahoma"/>
                <w:b/>
                <w:bCs/>
                <w:u w:val="single"/>
              </w:rPr>
            </w:r>
            <w:r w:rsidRPr="001E571D">
              <w:rPr>
                <w:rFonts w:ascii="Tahoma" w:hAnsi="Tahoma" w:cs="Tahoma"/>
                <w:b/>
                <w:bCs/>
                <w:u w:val="single"/>
              </w:rPr>
              <w:fldChar w:fldCharType="separate"/>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u w:val="single"/>
              </w:rPr>
              <w:fldChar w:fldCharType="end"/>
            </w:r>
          </w:p>
          <w:p w14:paraId="3E9FF584" w14:textId="77777777" w:rsidR="00EF2C8F" w:rsidRPr="001E571D" w:rsidRDefault="00EF2C8F" w:rsidP="00351B94">
            <w:pPr>
              <w:keepLines/>
              <w:ind w:left="-30"/>
              <w:rPr>
                <w:rFonts w:ascii="Tahoma" w:hAnsi="Tahoma" w:cs="Tahoma"/>
                <w:b/>
                <w:bCs/>
                <w:u w:val="single"/>
              </w:rPr>
            </w:pPr>
          </w:p>
          <w:p w14:paraId="199AACFC" w14:textId="77777777" w:rsidR="00EF2C8F" w:rsidRPr="001E571D" w:rsidRDefault="00EF2C8F" w:rsidP="00351B94">
            <w:pPr>
              <w:keepLines/>
              <w:ind w:left="-30"/>
              <w:rPr>
                <w:rFonts w:ascii="Tahoma" w:hAnsi="Tahoma" w:cs="Tahoma"/>
                <w:b/>
                <w:bCs/>
                <w:u w:val="single"/>
              </w:rPr>
            </w:pPr>
            <w:r w:rsidRPr="001E571D">
              <w:rPr>
                <w:rFonts w:ascii="Tahoma" w:hAnsi="Tahoma" w:cs="Tahoma"/>
                <w:b/>
                <w:bCs/>
                <w:u w:val="single"/>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1E571D">
              <w:rPr>
                <w:rFonts w:ascii="Tahoma" w:hAnsi="Tahoma" w:cs="Tahoma"/>
                <w:b/>
                <w:bCs/>
                <w:u w:val="single"/>
              </w:rPr>
              <w:instrText xml:space="preserve"> FORMTEXT </w:instrText>
            </w:r>
            <w:r w:rsidRPr="001E571D">
              <w:rPr>
                <w:rFonts w:ascii="Tahoma" w:hAnsi="Tahoma" w:cs="Tahoma"/>
                <w:b/>
                <w:bCs/>
                <w:u w:val="single"/>
              </w:rPr>
            </w:r>
            <w:r w:rsidRPr="001E571D">
              <w:rPr>
                <w:rFonts w:ascii="Tahoma" w:hAnsi="Tahoma" w:cs="Tahoma"/>
                <w:b/>
                <w:bCs/>
                <w:u w:val="single"/>
              </w:rPr>
              <w:fldChar w:fldCharType="separate"/>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noProof/>
                <w:u w:val="single"/>
              </w:rPr>
              <w:t> </w:t>
            </w:r>
            <w:r w:rsidRPr="001E571D">
              <w:rPr>
                <w:rFonts w:ascii="Tahoma" w:hAnsi="Tahoma" w:cs="Tahoma"/>
                <w:b/>
                <w:bCs/>
                <w:u w:val="single"/>
              </w:rPr>
              <w:fldChar w:fldCharType="end"/>
            </w:r>
          </w:p>
        </w:tc>
      </w:tr>
    </w:tbl>
    <w:p w14:paraId="43F3514C" w14:textId="770AB60E" w:rsidR="00511D19" w:rsidRDefault="00511D19" w:rsidP="007F71F3">
      <w:pPr>
        <w:rPr>
          <w:rFonts w:ascii="Tahoma" w:hAnsi="Tahoma" w:cs="Tahoma"/>
          <w:b/>
          <w:bCs/>
        </w:rPr>
      </w:pPr>
    </w:p>
    <w:p w14:paraId="08C6E22C" w14:textId="77777777" w:rsidR="00735035" w:rsidRPr="008E68DC" w:rsidRDefault="00735035" w:rsidP="00DF6247">
      <w:pPr>
        <w:rPr>
          <w:rFonts w:ascii="Tahoma" w:hAnsi="Tahoma" w:cs="Tahoma"/>
          <w:b/>
          <w:bCs/>
        </w:rPr>
      </w:pPr>
    </w:p>
    <w:p w14:paraId="376168AB" w14:textId="001F2A3A" w:rsidR="00DF6247" w:rsidRPr="008E68DC" w:rsidRDefault="0085719F" w:rsidP="00DF6247">
      <w:pPr>
        <w:rPr>
          <w:rFonts w:ascii="Tahoma" w:hAnsi="Tahoma" w:cs="Tahoma"/>
          <w:b/>
          <w:bCs/>
        </w:rPr>
      </w:pPr>
      <w:r>
        <w:rPr>
          <w:rFonts w:ascii="Tahoma" w:hAnsi="Tahoma" w:cs="Tahoma"/>
          <w:b/>
          <w:bCs/>
        </w:rPr>
        <w:t>Natalie Johnson</w:t>
      </w:r>
    </w:p>
    <w:p w14:paraId="11973288" w14:textId="03A04AC7" w:rsidR="00E74FF1" w:rsidRPr="008E68DC" w:rsidRDefault="00B1122A" w:rsidP="00DF6247">
      <w:pPr>
        <w:rPr>
          <w:rFonts w:ascii="Tahoma" w:hAnsi="Tahoma" w:cs="Tahoma"/>
          <w:b/>
          <w:bCs/>
        </w:rPr>
      </w:pPr>
      <w:r w:rsidRPr="008E68DC">
        <w:rPr>
          <w:rFonts w:ascii="Tahoma" w:hAnsi="Tahoma" w:cs="Tahoma"/>
          <w:b/>
          <w:bCs/>
        </w:rPr>
        <w:t>Commission Agreement Officer</w:t>
      </w:r>
    </w:p>
    <w:p w14:paraId="7BE46C3E" w14:textId="77777777" w:rsidR="00CA59EA" w:rsidRPr="008E68DC" w:rsidRDefault="00CA59EA" w:rsidP="00B1122A">
      <w:pPr>
        <w:spacing w:after="480"/>
        <w:rPr>
          <w:rFonts w:ascii="Tahoma" w:hAnsi="Tahoma" w:cs="Tahoma"/>
          <w:b/>
          <w:bCs/>
        </w:rPr>
      </w:pPr>
    </w:p>
    <w:sectPr w:rsidR="00CA59EA" w:rsidRPr="008E68DC" w:rsidSect="00FF2F99">
      <w:headerReference w:type="default" r:id="rId18"/>
      <w:headerReference w:type="first" r:id="rId19"/>
      <w:footerReference w:type="first" r:id="rId20"/>
      <w:pgSz w:w="12240" w:h="15840"/>
      <w:pgMar w:top="1440" w:right="1080" w:bottom="1440" w:left="1080" w:header="3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3BE3" w14:textId="77777777" w:rsidR="00F108E6" w:rsidRDefault="00F108E6" w:rsidP="00F86D2B">
      <w:r>
        <w:separator/>
      </w:r>
    </w:p>
  </w:endnote>
  <w:endnote w:type="continuationSeparator" w:id="0">
    <w:p w14:paraId="12D67CF8" w14:textId="77777777" w:rsidR="00F108E6" w:rsidRDefault="00F108E6" w:rsidP="00F86D2B">
      <w:r>
        <w:continuationSeparator/>
      </w:r>
    </w:p>
  </w:endnote>
  <w:endnote w:type="continuationNotice" w:id="1">
    <w:p w14:paraId="09B3E6B7" w14:textId="77777777" w:rsidR="00F108E6" w:rsidRDefault="00F1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79024267" name="Picture 379024267"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3F17" w14:textId="77777777" w:rsidR="00F108E6" w:rsidRDefault="00F108E6" w:rsidP="00F86D2B">
      <w:r>
        <w:separator/>
      </w:r>
    </w:p>
  </w:footnote>
  <w:footnote w:type="continuationSeparator" w:id="0">
    <w:p w14:paraId="1C1FFB27" w14:textId="77777777" w:rsidR="00F108E6" w:rsidRDefault="00F108E6" w:rsidP="00F86D2B">
      <w:r>
        <w:continuationSeparator/>
      </w:r>
    </w:p>
  </w:footnote>
  <w:footnote w:type="continuationNotice" w:id="1">
    <w:p w14:paraId="28FD5175" w14:textId="77777777" w:rsidR="00F108E6" w:rsidRDefault="00F108E6"/>
  </w:footnote>
  <w:footnote w:id="2">
    <w:p w14:paraId="013BA24C" w14:textId="203417F4" w:rsidR="00161A58" w:rsidRDefault="00161A58">
      <w:pPr>
        <w:pStyle w:val="FootnoteText"/>
      </w:pPr>
      <w:r w:rsidRPr="00FD7A80">
        <w:rPr>
          <w:rStyle w:val="FootnoteReference"/>
          <w:rFonts w:ascii="Tahoma" w:hAnsi="Tahoma" w:cs="Tahoma"/>
        </w:rPr>
        <w:footnoteRef/>
      </w:r>
      <w:r w:rsidRPr="00FD7A80">
        <w:rPr>
          <w:rFonts w:ascii="Tahoma" w:hAnsi="Tahoma" w:cs="Tahoma"/>
        </w:rPr>
        <w:t xml:space="preserve"> For example, at a site with 20 chargers, if only five chargers are actively in use, those five chargers would each need to deliver 200 kW output if requested by the vehicle. However, if all 20 chargers are in use, all chargers must simultaneously be capable of 150 kW output.</w:t>
      </w:r>
    </w:p>
  </w:footnote>
  <w:footnote w:id="3">
    <w:p w14:paraId="600F94B6" w14:textId="0AE46A23" w:rsidR="0081650F" w:rsidRPr="0081650F" w:rsidRDefault="0081650F" w:rsidP="0081650F">
      <w:pPr>
        <w:rPr>
          <w:rFonts w:ascii="Tahoma" w:hAnsi="Tahoma" w:cs="Tahoma"/>
          <w:b/>
          <w:bCs/>
          <w:sz w:val="20"/>
          <w:szCs w:val="20"/>
          <w:u w:val="single"/>
        </w:rPr>
      </w:pPr>
      <w:r w:rsidRPr="0081650F">
        <w:rPr>
          <w:rFonts w:ascii="Tahoma" w:hAnsi="Tahoma" w:cs="Tahoma"/>
          <w:b/>
          <w:bCs/>
          <w:sz w:val="20"/>
          <w:szCs w:val="20"/>
          <w:u w:val="single"/>
          <w:vertAlign w:val="superscript"/>
        </w:rPr>
        <w:t>9</w:t>
      </w:r>
      <w:r w:rsidRPr="0081650F">
        <w:rPr>
          <w:rFonts w:ascii="Tahoma" w:hAnsi="Tahoma" w:cs="Tahoma"/>
          <w:b/>
          <w:bCs/>
          <w:sz w:val="20"/>
          <w:szCs w:val="20"/>
          <w:u w:val="single"/>
        </w:rPr>
        <w:t xml:space="preserve"> </w:t>
      </w:r>
      <w:r w:rsidR="007A3F5D" w:rsidRPr="007A3F5D">
        <w:rPr>
          <w:rFonts w:ascii="Tahoma" w:hAnsi="Tahoma" w:cs="Tahoma"/>
          <w:b/>
          <w:bCs/>
          <w:sz w:val="20"/>
          <w:szCs w:val="20"/>
          <w:u w:val="single"/>
        </w:rPr>
        <w:t xml:space="preserve">Make-ready </w:t>
      </w:r>
      <w:r w:rsidR="0096698A">
        <w:rPr>
          <w:rFonts w:ascii="Tahoma" w:hAnsi="Tahoma" w:cs="Tahoma"/>
          <w:b/>
          <w:bCs/>
          <w:sz w:val="20"/>
          <w:szCs w:val="20"/>
          <w:u w:val="single"/>
        </w:rPr>
        <w:t>equipment</w:t>
      </w:r>
      <w:r w:rsidR="0096698A" w:rsidRPr="007A3F5D">
        <w:rPr>
          <w:rFonts w:ascii="Tahoma" w:hAnsi="Tahoma" w:cs="Tahoma"/>
          <w:b/>
          <w:bCs/>
          <w:sz w:val="20"/>
          <w:szCs w:val="20"/>
          <w:u w:val="single"/>
        </w:rPr>
        <w:t xml:space="preserve"> </w:t>
      </w:r>
      <w:r w:rsidR="007A3F5D" w:rsidRPr="007A3F5D">
        <w:rPr>
          <w:rFonts w:ascii="Tahoma" w:hAnsi="Tahoma" w:cs="Tahoma"/>
          <w:b/>
          <w:bCs/>
          <w:sz w:val="20"/>
          <w:szCs w:val="20"/>
          <w:u w:val="single"/>
        </w:rPr>
        <w:t>includes installation of wiring, conduit, etc. for a charging or refueling site without installing the actual charging system or dispensing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A84E83">
    <w:pPr>
      <w:pStyle w:val="Header"/>
      <w:ind w:hanging="1800"/>
      <w:jc w:val="center"/>
    </w:pPr>
    <w:r>
      <w:rPr>
        <w:noProof/>
      </w:rPr>
      <w:drawing>
        <wp:inline distT="0" distB="0" distL="0" distR="0" wp14:anchorId="59ACF5EB" wp14:editId="18EE85DE">
          <wp:extent cx="7858125" cy="977900"/>
          <wp:effectExtent l="0" t="0" r="9525" b="0"/>
          <wp:docPr id="926051861" name="Picture 926051861"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858125" cy="9779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LWdrEu5DZtRWi" int2:id="8wBrPBh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05BB1"/>
    <w:multiLevelType w:val="hybridMultilevel"/>
    <w:tmpl w:val="B69877F6"/>
    <w:lvl w:ilvl="0" w:tplc="FFFFFFFF">
      <w:start w:val="1"/>
      <w:numFmt w:val="decimal"/>
      <w:lvlText w:val="%1."/>
      <w:lvlJc w:val="left"/>
      <w:pPr>
        <w:ind w:left="360" w:hanging="360"/>
      </w:pPr>
      <w:rPr>
        <w:rFonts w:ascii="Tahoma" w:hAnsi="Tahoma" w:cs="Tahoma"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35661"/>
    <w:multiLevelType w:val="hybridMultilevel"/>
    <w:tmpl w:val="7E063ABE"/>
    <w:lvl w:ilvl="0" w:tplc="EAFECCC8">
      <w:start w:val="1"/>
      <w:numFmt w:val="lowerRoman"/>
      <w:lvlText w:val="%1."/>
      <w:lvlJc w:val="right"/>
      <w:pPr>
        <w:ind w:left="1890" w:hanging="360"/>
      </w:pPr>
      <w:rPr>
        <w:b w:val="0"/>
        <w:bCs w:val="0"/>
        <w:u w:val="none"/>
      </w:rPr>
    </w:lvl>
    <w:lvl w:ilvl="1" w:tplc="FFFFFFFF">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4" w15:restartNumberingAfterBreak="0">
    <w:nsid w:val="16ED33FA"/>
    <w:multiLevelType w:val="hybridMultilevel"/>
    <w:tmpl w:val="9BAC7C8C"/>
    <w:lvl w:ilvl="0" w:tplc="7310CC5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048B"/>
    <w:multiLevelType w:val="hybridMultilevel"/>
    <w:tmpl w:val="A908079C"/>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7" w15:restartNumberingAfterBreak="0">
    <w:nsid w:val="18396B1C"/>
    <w:multiLevelType w:val="hybridMultilevel"/>
    <w:tmpl w:val="DC902E60"/>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1ABE31DE"/>
    <w:multiLevelType w:val="hybridMultilevel"/>
    <w:tmpl w:val="715A1732"/>
    <w:lvl w:ilvl="0" w:tplc="04090001">
      <w:start w:val="1"/>
      <w:numFmt w:val="bullet"/>
      <w:lvlText w:val=""/>
      <w:lvlJc w:val="left"/>
      <w:pPr>
        <w:ind w:left="720" w:hanging="360"/>
      </w:pPr>
      <w:rPr>
        <w:rFonts w:ascii="Symbol" w:hAnsi="Symbol" w:hint="default"/>
      </w:rPr>
    </w:lvl>
    <w:lvl w:ilvl="1" w:tplc="C8F27C8C">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24E6FE6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E5285"/>
    <w:multiLevelType w:val="hybridMultilevel"/>
    <w:tmpl w:val="72E4EE1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F1504BEA">
      <w:start w:val="1"/>
      <w:numFmt w:val="bullet"/>
      <w:lvlText w:val="o"/>
      <w:lvlJc w:val="left"/>
      <w:pPr>
        <w:ind w:left="2880" w:hanging="360"/>
      </w:pPr>
      <w:rPr>
        <w:rFonts w:ascii="Courier New" w:hAnsi="Courier New" w:cs="Courier New" w:hint="default"/>
      </w:rPr>
    </w:lvl>
    <w:lvl w:ilvl="4" w:tplc="2F620D0C">
      <w:start w:val="1"/>
      <w:numFmt w:val="bullet"/>
      <w:pStyle w:val="List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8A7FD9"/>
    <w:multiLevelType w:val="hybridMultilevel"/>
    <w:tmpl w:val="B69877F6"/>
    <w:lvl w:ilvl="0" w:tplc="7F241796">
      <w:start w:val="1"/>
      <w:numFmt w:val="decimal"/>
      <w:lvlText w:val="%1."/>
      <w:lvlJc w:val="left"/>
      <w:pPr>
        <w:ind w:left="360" w:hanging="360"/>
      </w:pPr>
      <w:rPr>
        <w:rFonts w:ascii="Tahoma" w:hAnsi="Tahoma" w:cs="Tahoma"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275B06"/>
    <w:multiLevelType w:val="hybridMultilevel"/>
    <w:tmpl w:val="93AA4C0E"/>
    <w:lvl w:ilvl="0" w:tplc="0270F6F2">
      <w:start w:val="8"/>
      <w:numFmt w:val="decimal"/>
      <w:lvlText w:val="%1."/>
      <w:lvlJc w:val="left"/>
      <w:pPr>
        <w:ind w:left="1152"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961AA"/>
    <w:multiLevelType w:val="hybridMultilevel"/>
    <w:tmpl w:val="18A01E60"/>
    <w:lvl w:ilvl="0" w:tplc="D764A696">
      <w:start w:val="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80856"/>
    <w:multiLevelType w:val="hybridMultilevel"/>
    <w:tmpl w:val="1A1C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10358"/>
    <w:multiLevelType w:val="hybridMultilevel"/>
    <w:tmpl w:val="120241FC"/>
    <w:lvl w:ilvl="0" w:tplc="FB90886E">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F0273"/>
    <w:multiLevelType w:val="hybridMultilevel"/>
    <w:tmpl w:val="E7C87964"/>
    <w:lvl w:ilvl="0" w:tplc="62A86664">
      <w:start w:val="1"/>
      <w:numFmt w:val="lowerRoman"/>
      <w:lvlText w:val="%1."/>
      <w:lvlJc w:val="right"/>
      <w:pPr>
        <w:ind w:left="3240" w:hanging="360"/>
      </w:pPr>
      <w:rPr>
        <w:rFonts w:ascii="Tahoma" w:hAnsi="Tahoma" w:cs="Tahoma"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2F6569A5"/>
    <w:multiLevelType w:val="hybridMultilevel"/>
    <w:tmpl w:val="3CA02202"/>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732E70"/>
    <w:multiLevelType w:val="multilevel"/>
    <w:tmpl w:val="2EE8EE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3"/>
      <w:numFmt w:val="lowerLetter"/>
      <w:lvlText w:val="%4."/>
      <w:lvlJc w:val="left"/>
      <w:pPr>
        <w:ind w:left="2880" w:hanging="360"/>
      </w:pPr>
      <w:rPr>
        <w:rFonts w:ascii="Tahoma" w:hAnsi="Tahoma" w:cs="Tahoma" w:hint="default"/>
        <w:b w:val="0"/>
        <w:bCs/>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F214C"/>
    <w:multiLevelType w:val="hybridMultilevel"/>
    <w:tmpl w:val="D8ACB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21" w15:restartNumberingAfterBreak="0">
    <w:nsid w:val="3C2470C5"/>
    <w:multiLevelType w:val="hybridMultilevel"/>
    <w:tmpl w:val="EF74B946"/>
    <w:lvl w:ilvl="0" w:tplc="47866A26">
      <w:start w:val="10"/>
      <w:numFmt w:val="decimal"/>
      <w:lvlText w:val="%1."/>
      <w:lvlJc w:val="left"/>
      <w:pPr>
        <w:ind w:left="1152" w:hanging="432"/>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F2B19"/>
    <w:multiLevelType w:val="hybridMultilevel"/>
    <w:tmpl w:val="2DC2EFEC"/>
    <w:lvl w:ilvl="0" w:tplc="3AD2E0C8">
      <w:start w:val="6"/>
      <w:numFmt w:val="decimal"/>
      <w:lvlText w:val="%1."/>
      <w:lvlJc w:val="left"/>
      <w:pPr>
        <w:ind w:left="1080" w:hanging="360"/>
      </w:pPr>
      <w:rPr>
        <w:rFonts w:ascii="Tahoma" w:hAnsi="Tahoma" w:cs="Tahoma"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C0B3F"/>
    <w:multiLevelType w:val="hybridMultilevel"/>
    <w:tmpl w:val="6B94A984"/>
    <w:lvl w:ilvl="0" w:tplc="CBDEA5A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21D98"/>
    <w:multiLevelType w:val="hybridMultilevel"/>
    <w:tmpl w:val="5FD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B2D7A"/>
    <w:multiLevelType w:val="hybridMultilevel"/>
    <w:tmpl w:val="76C4C2BA"/>
    <w:lvl w:ilvl="0" w:tplc="124C4904">
      <w:start w:val="1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C83FF5"/>
    <w:multiLevelType w:val="hybridMultilevel"/>
    <w:tmpl w:val="9D148E76"/>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27" w15:restartNumberingAfterBreak="0">
    <w:nsid w:val="5DA545F1"/>
    <w:multiLevelType w:val="hybridMultilevel"/>
    <w:tmpl w:val="DDF8336C"/>
    <w:lvl w:ilvl="0" w:tplc="49EC3730">
      <w:start w:val="6"/>
      <w:numFmt w:val="decimal"/>
      <w:lvlText w:val="%1."/>
      <w:lvlJc w:val="left"/>
      <w:pPr>
        <w:ind w:left="1080" w:hanging="360"/>
      </w:pPr>
      <w:rPr>
        <w:rFonts w:ascii="Tahoma" w:hAnsi="Tahoma" w:cs="Tahoma"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62102"/>
    <w:multiLevelType w:val="hybridMultilevel"/>
    <w:tmpl w:val="3288F1FC"/>
    <w:lvl w:ilvl="0" w:tplc="F5FEA210">
      <w:start w:val="1"/>
      <w:numFmt w:val="lowerLetter"/>
      <w:lvlText w:val="%1."/>
      <w:lvlJc w:val="left"/>
      <w:pPr>
        <w:ind w:left="0" w:hanging="360"/>
      </w:pPr>
      <w:rPr>
        <w:rFonts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220212E"/>
    <w:multiLevelType w:val="multilevel"/>
    <w:tmpl w:val="6576F8D4"/>
    <w:lvl w:ilvl="0">
      <w:start w:val="4"/>
      <w:numFmt w:val="decimal"/>
      <w:lvlText w:val="%1."/>
      <w:lvlJc w:val="left"/>
      <w:pPr>
        <w:ind w:left="1080" w:hanging="360"/>
      </w:pPr>
      <w:rPr>
        <w:rFonts w:hint="default"/>
        <w:b/>
        <w:bCs/>
        <w:u w:val="single"/>
      </w:rPr>
    </w:lvl>
    <w:lvl w:ilvl="1">
      <w:start w:val="1"/>
      <w:numFmt w:val="decimal"/>
      <w:lvlText w:val="%2."/>
      <w:lvlJc w:val="left"/>
      <w:pPr>
        <w:ind w:left="1440" w:hanging="360"/>
      </w:pPr>
      <w:rPr>
        <w:rFonts w:hint="default"/>
        <w:b w:val="0"/>
      </w:rPr>
    </w:lvl>
    <w:lvl w:ilvl="2">
      <w:start w:val="1"/>
      <w:numFmt w:val="lowerLetter"/>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628674AF"/>
    <w:multiLevelType w:val="hybridMultilevel"/>
    <w:tmpl w:val="5774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B71C2"/>
    <w:multiLevelType w:val="hybridMultilevel"/>
    <w:tmpl w:val="0CF69056"/>
    <w:lvl w:ilvl="0" w:tplc="A9FCDCF2">
      <w:start w:val="3"/>
      <w:numFmt w:val="decimal"/>
      <w:lvlText w:val="%1."/>
      <w:lvlJc w:val="left"/>
      <w:pPr>
        <w:ind w:left="1152" w:hanging="432"/>
      </w:pPr>
      <w:rPr>
        <w:rFonts w:hint="default"/>
        <w:b/>
        <w:b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4B7011B"/>
    <w:multiLevelType w:val="hybridMultilevel"/>
    <w:tmpl w:val="D11A8C42"/>
    <w:lvl w:ilvl="0" w:tplc="E098B442">
      <w:start w:val="1"/>
      <w:numFmt w:val="lowerRoman"/>
      <w:lvlText w:val="%1."/>
      <w:lvlJc w:val="righ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4" w15:restartNumberingAfterBreak="0">
    <w:nsid w:val="6575769C"/>
    <w:multiLevelType w:val="hybridMultilevel"/>
    <w:tmpl w:val="C058A2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0563CA"/>
    <w:multiLevelType w:val="multilevel"/>
    <w:tmpl w:val="AE9C242A"/>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4"/>
      <w:numFmt w:val="decimal"/>
      <w:lvlText w:val="%7."/>
      <w:lvlJc w:val="left"/>
      <w:pPr>
        <w:ind w:left="4500" w:hanging="360"/>
      </w:pPr>
      <w:rPr>
        <w:rFonts w:ascii="Tahoma" w:hAnsi="Tahoma" w:cs="Tahoma" w:hint="default"/>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D300C14"/>
    <w:multiLevelType w:val="hybridMultilevel"/>
    <w:tmpl w:val="1DD4AC50"/>
    <w:lvl w:ilvl="0" w:tplc="2C96DC16">
      <w:start w:val="2"/>
      <w:numFmt w:val="decimal"/>
      <w:lvlText w:val="%1."/>
      <w:lvlJc w:val="left"/>
      <w:pPr>
        <w:ind w:left="1152"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30C1B"/>
    <w:multiLevelType w:val="hybridMultilevel"/>
    <w:tmpl w:val="7F681648"/>
    <w:lvl w:ilvl="0" w:tplc="241CB9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807CAF"/>
    <w:multiLevelType w:val="hybridMultilevel"/>
    <w:tmpl w:val="53320492"/>
    <w:lvl w:ilvl="0" w:tplc="99F254B8">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C390E"/>
    <w:multiLevelType w:val="hybridMultilevel"/>
    <w:tmpl w:val="87E6F9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6B2825"/>
    <w:multiLevelType w:val="hybridMultilevel"/>
    <w:tmpl w:val="B03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54B4C"/>
    <w:multiLevelType w:val="hybridMultilevel"/>
    <w:tmpl w:val="C3EE04E2"/>
    <w:lvl w:ilvl="0" w:tplc="96024414">
      <w:start w:val="1"/>
      <w:numFmt w:val="decimal"/>
      <w:lvlText w:val="%1."/>
      <w:lvlJc w:val="left"/>
      <w:pPr>
        <w:ind w:left="1080" w:hanging="360"/>
      </w:pPr>
      <w:rPr>
        <w:rFonts w:ascii="Tahoma" w:hAnsi="Tahoma" w:cs="Tahoma" w:hint="default"/>
        <w:b w:val="0"/>
        <w:bCs w:val="0"/>
        <w:i w:val="0"/>
        <w:i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2884978">
    <w:abstractNumId w:val="23"/>
  </w:num>
  <w:num w:numId="2" w16cid:durableId="621424096">
    <w:abstractNumId w:val="8"/>
  </w:num>
  <w:num w:numId="3" w16cid:durableId="149292626">
    <w:abstractNumId w:val="9"/>
  </w:num>
  <w:num w:numId="4" w16cid:durableId="850022999">
    <w:abstractNumId w:val="18"/>
  </w:num>
  <w:num w:numId="5" w16cid:durableId="1432821712">
    <w:abstractNumId w:val="28"/>
  </w:num>
  <w:num w:numId="6" w16cid:durableId="657614064">
    <w:abstractNumId w:val="2"/>
  </w:num>
  <w:num w:numId="7" w16cid:durableId="1738287604">
    <w:abstractNumId w:val="20"/>
  </w:num>
  <w:num w:numId="8" w16cid:durableId="658579094">
    <w:abstractNumId w:val="6"/>
  </w:num>
  <w:num w:numId="9" w16cid:durableId="506018853">
    <w:abstractNumId w:val="13"/>
  </w:num>
  <w:num w:numId="10" w16cid:durableId="367729330">
    <w:abstractNumId w:val="30"/>
  </w:num>
  <w:num w:numId="11" w16cid:durableId="185604631">
    <w:abstractNumId w:val="0"/>
  </w:num>
  <w:num w:numId="12" w16cid:durableId="1351444845">
    <w:abstractNumId w:val="41"/>
  </w:num>
  <w:num w:numId="13" w16cid:durableId="618217416">
    <w:abstractNumId w:val="7"/>
  </w:num>
  <w:num w:numId="14" w16cid:durableId="1036080101">
    <w:abstractNumId w:val="17"/>
  </w:num>
  <w:num w:numId="15" w16cid:durableId="1312757981">
    <w:abstractNumId w:val="37"/>
  </w:num>
  <w:num w:numId="16" w16cid:durableId="2118019158">
    <w:abstractNumId w:val="36"/>
  </w:num>
  <w:num w:numId="17" w16cid:durableId="1148785204">
    <w:abstractNumId w:val="16"/>
  </w:num>
  <w:num w:numId="18" w16cid:durableId="834995770">
    <w:abstractNumId w:val="15"/>
  </w:num>
  <w:num w:numId="19" w16cid:durableId="88086484">
    <w:abstractNumId w:val="3"/>
  </w:num>
  <w:num w:numId="20" w16cid:durableId="1659111195">
    <w:abstractNumId w:val="21"/>
  </w:num>
  <w:num w:numId="21" w16cid:durableId="760222436">
    <w:abstractNumId w:val="31"/>
  </w:num>
  <w:num w:numId="22" w16cid:durableId="133103624">
    <w:abstractNumId w:val="29"/>
  </w:num>
  <w:num w:numId="23" w16cid:durableId="1273711083">
    <w:abstractNumId w:val="38"/>
  </w:num>
  <w:num w:numId="24" w16cid:durableId="1011835622">
    <w:abstractNumId w:val="19"/>
  </w:num>
  <w:num w:numId="25" w16cid:durableId="1664694974">
    <w:abstractNumId w:val="25"/>
  </w:num>
  <w:num w:numId="26" w16cid:durableId="780413771">
    <w:abstractNumId w:val="11"/>
  </w:num>
  <w:num w:numId="27" w16cid:durableId="980379485">
    <w:abstractNumId w:val="14"/>
  </w:num>
  <w:num w:numId="28" w16cid:durableId="1590580665">
    <w:abstractNumId w:val="26"/>
  </w:num>
  <w:num w:numId="29" w16cid:durableId="51585287">
    <w:abstractNumId w:val="22"/>
  </w:num>
  <w:num w:numId="30" w16cid:durableId="692607915">
    <w:abstractNumId w:val="33"/>
  </w:num>
  <w:num w:numId="31" w16cid:durableId="126895713">
    <w:abstractNumId w:val="39"/>
  </w:num>
  <w:num w:numId="32" w16cid:durableId="2133086525">
    <w:abstractNumId w:val="34"/>
  </w:num>
  <w:num w:numId="33" w16cid:durableId="433597109">
    <w:abstractNumId w:val="12"/>
  </w:num>
  <w:num w:numId="34" w16cid:durableId="1573542172">
    <w:abstractNumId w:val="27"/>
  </w:num>
  <w:num w:numId="35" w16cid:durableId="2781295">
    <w:abstractNumId w:val="35"/>
  </w:num>
  <w:num w:numId="36" w16cid:durableId="1321541564">
    <w:abstractNumId w:val="4"/>
  </w:num>
  <w:num w:numId="37" w16cid:durableId="872499377">
    <w:abstractNumId w:val="40"/>
  </w:num>
  <w:num w:numId="38" w16cid:durableId="1785877419">
    <w:abstractNumId w:val="10"/>
  </w:num>
  <w:num w:numId="39" w16cid:durableId="1890418040">
    <w:abstractNumId w:val="24"/>
  </w:num>
  <w:num w:numId="40" w16cid:durableId="1323436306">
    <w:abstractNumId w:val="1"/>
  </w:num>
  <w:num w:numId="41" w16cid:durableId="36125900">
    <w:abstractNumId w:val="32"/>
  </w:num>
  <w:num w:numId="42" w16cid:durableId="31433756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8DD"/>
    <w:rsid w:val="00003191"/>
    <w:rsid w:val="00003CFA"/>
    <w:rsid w:val="00004317"/>
    <w:rsid w:val="00004A6A"/>
    <w:rsid w:val="0000514E"/>
    <w:rsid w:val="000054E0"/>
    <w:rsid w:val="00005D84"/>
    <w:rsid w:val="00005DA1"/>
    <w:rsid w:val="000063B5"/>
    <w:rsid w:val="00006CBE"/>
    <w:rsid w:val="00006D74"/>
    <w:rsid w:val="000073B8"/>
    <w:rsid w:val="00007C86"/>
    <w:rsid w:val="000105CB"/>
    <w:rsid w:val="00013BAA"/>
    <w:rsid w:val="00013BB8"/>
    <w:rsid w:val="0001408A"/>
    <w:rsid w:val="00015969"/>
    <w:rsid w:val="00016A31"/>
    <w:rsid w:val="000172D2"/>
    <w:rsid w:val="00017455"/>
    <w:rsid w:val="00017C73"/>
    <w:rsid w:val="00020457"/>
    <w:rsid w:val="0002369F"/>
    <w:rsid w:val="00024043"/>
    <w:rsid w:val="000262D4"/>
    <w:rsid w:val="00027125"/>
    <w:rsid w:val="00031252"/>
    <w:rsid w:val="000328B0"/>
    <w:rsid w:val="00033473"/>
    <w:rsid w:val="00033524"/>
    <w:rsid w:val="00033827"/>
    <w:rsid w:val="00035532"/>
    <w:rsid w:val="00035D03"/>
    <w:rsid w:val="00035DE2"/>
    <w:rsid w:val="00036F34"/>
    <w:rsid w:val="00037F66"/>
    <w:rsid w:val="000436D3"/>
    <w:rsid w:val="000442AD"/>
    <w:rsid w:val="00044F17"/>
    <w:rsid w:val="0004522D"/>
    <w:rsid w:val="00046233"/>
    <w:rsid w:val="00046413"/>
    <w:rsid w:val="0004705B"/>
    <w:rsid w:val="0004705D"/>
    <w:rsid w:val="000510AC"/>
    <w:rsid w:val="000557AC"/>
    <w:rsid w:val="00056A73"/>
    <w:rsid w:val="00057AB2"/>
    <w:rsid w:val="00060591"/>
    <w:rsid w:val="00060A6F"/>
    <w:rsid w:val="000611BE"/>
    <w:rsid w:val="0006377F"/>
    <w:rsid w:val="00063941"/>
    <w:rsid w:val="00063B9D"/>
    <w:rsid w:val="00064191"/>
    <w:rsid w:val="000653A6"/>
    <w:rsid w:val="00066161"/>
    <w:rsid w:val="000662A1"/>
    <w:rsid w:val="00066AFA"/>
    <w:rsid w:val="0006729F"/>
    <w:rsid w:val="00067503"/>
    <w:rsid w:val="000677AE"/>
    <w:rsid w:val="0007042E"/>
    <w:rsid w:val="000705C3"/>
    <w:rsid w:val="00071316"/>
    <w:rsid w:val="00071594"/>
    <w:rsid w:val="000728DA"/>
    <w:rsid w:val="000747B0"/>
    <w:rsid w:val="000748FC"/>
    <w:rsid w:val="00074E58"/>
    <w:rsid w:val="00076083"/>
    <w:rsid w:val="00081864"/>
    <w:rsid w:val="00082D36"/>
    <w:rsid w:val="00084005"/>
    <w:rsid w:val="00084749"/>
    <w:rsid w:val="000849FC"/>
    <w:rsid w:val="0009064B"/>
    <w:rsid w:val="000910BD"/>
    <w:rsid w:val="00091227"/>
    <w:rsid w:val="000922CE"/>
    <w:rsid w:val="00092384"/>
    <w:rsid w:val="00092DF0"/>
    <w:rsid w:val="00093184"/>
    <w:rsid w:val="0009330D"/>
    <w:rsid w:val="00093356"/>
    <w:rsid w:val="0009684A"/>
    <w:rsid w:val="000968A0"/>
    <w:rsid w:val="00096A8B"/>
    <w:rsid w:val="0009741A"/>
    <w:rsid w:val="00097BFF"/>
    <w:rsid w:val="000A0748"/>
    <w:rsid w:val="000A0FA4"/>
    <w:rsid w:val="000A133D"/>
    <w:rsid w:val="000A1F01"/>
    <w:rsid w:val="000A2B9D"/>
    <w:rsid w:val="000A560E"/>
    <w:rsid w:val="000A6CE7"/>
    <w:rsid w:val="000A6D50"/>
    <w:rsid w:val="000A7195"/>
    <w:rsid w:val="000B06C0"/>
    <w:rsid w:val="000B2DF5"/>
    <w:rsid w:val="000B39C3"/>
    <w:rsid w:val="000B3A58"/>
    <w:rsid w:val="000B6ADA"/>
    <w:rsid w:val="000B71AD"/>
    <w:rsid w:val="000B78A7"/>
    <w:rsid w:val="000C16AE"/>
    <w:rsid w:val="000C2B73"/>
    <w:rsid w:val="000C69AF"/>
    <w:rsid w:val="000C6F07"/>
    <w:rsid w:val="000D4A7B"/>
    <w:rsid w:val="000D53E1"/>
    <w:rsid w:val="000D56E0"/>
    <w:rsid w:val="000D57D7"/>
    <w:rsid w:val="000D6791"/>
    <w:rsid w:val="000D713B"/>
    <w:rsid w:val="000D79C3"/>
    <w:rsid w:val="000E01FA"/>
    <w:rsid w:val="000E08A6"/>
    <w:rsid w:val="000E0A56"/>
    <w:rsid w:val="000E2D6D"/>
    <w:rsid w:val="000E3096"/>
    <w:rsid w:val="000E31D6"/>
    <w:rsid w:val="000E3651"/>
    <w:rsid w:val="000E433B"/>
    <w:rsid w:val="000E6CD9"/>
    <w:rsid w:val="000E728A"/>
    <w:rsid w:val="000F0D5B"/>
    <w:rsid w:val="000F3E5F"/>
    <w:rsid w:val="000F515C"/>
    <w:rsid w:val="000F57C6"/>
    <w:rsid w:val="000F5BE1"/>
    <w:rsid w:val="000F7242"/>
    <w:rsid w:val="0010091D"/>
    <w:rsid w:val="001017D1"/>
    <w:rsid w:val="00103791"/>
    <w:rsid w:val="001038B7"/>
    <w:rsid w:val="00104045"/>
    <w:rsid w:val="00104723"/>
    <w:rsid w:val="00105209"/>
    <w:rsid w:val="00106742"/>
    <w:rsid w:val="00106C10"/>
    <w:rsid w:val="00107958"/>
    <w:rsid w:val="001101F1"/>
    <w:rsid w:val="00111BA4"/>
    <w:rsid w:val="00112C11"/>
    <w:rsid w:val="00113B54"/>
    <w:rsid w:val="00114EBC"/>
    <w:rsid w:val="001151E5"/>
    <w:rsid w:val="00117CB8"/>
    <w:rsid w:val="00120E27"/>
    <w:rsid w:val="00121E8F"/>
    <w:rsid w:val="0012201F"/>
    <w:rsid w:val="00122045"/>
    <w:rsid w:val="00122116"/>
    <w:rsid w:val="00123E80"/>
    <w:rsid w:val="0012428F"/>
    <w:rsid w:val="00124FD9"/>
    <w:rsid w:val="00125468"/>
    <w:rsid w:val="001261BE"/>
    <w:rsid w:val="001270F4"/>
    <w:rsid w:val="0013208E"/>
    <w:rsid w:val="00133186"/>
    <w:rsid w:val="001343E8"/>
    <w:rsid w:val="0013506C"/>
    <w:rsid w:val="00135B57"/>
    <w:rsid w:val="0013667A"/>
    <w:rsid w:val="001375AF"/>
    <w:rsid w:val="00140123"/>
    <w:rsid w:val="0014043C"/>
    <w:rsid w:val="00142AD3"/>
    <w:rsid w:val="001448B6"/>
    <w:rsid w:val="001449AA"/>
    <w:rsid w:val="001457B1"/>
    <w:rsid w:val="00146C62"/>
    <w:rsid w:val="0014731B"/>
    <w:rsid w:val="00147457"/>
    <w:rsid w:val="001477A0"/>
    <w:rsid w:val="0015411D"/>
    <w:rsid w:val="00154D6D"/>
    <w:rsid w:val="001575A5"/>
    <w:rsid w:val="00157F88"/>
    <w:rsid w:val="00160236"/>
    <w:rsid w:val="0016033C"/>
    <w:rsid w:val="00161A58"/>
    <w:rsid w:val="00162611"/>
    <w:rsid w:val="00162B26"/>
    <w:rsid w:val="00163485"/>
    <w:rsid w:val="00164745"/>
    <w:rsid w:val="001665C7"/>
    <w:rsid w:val="00167654"/>
    <w:rsid w:val="00167A11"/>
    <w:rsid w:val="001716C3"/>
    <w:rsid w:val="00172B68"/>
    <w:rsid w:val="00173265"/>
    <w:rsid w:val="00174014"/>
    <w:rsid w:val="00174A2D"/>
    <w:rsid w:val="00174ACC"/>
    <w:rsid w:val="00174E34"/>
    <w:rsid w:val="001760FE"/>
    <w:rsid w:val="00176A45"/>
    <w:rsid w:val="00177AF6"/>
    <w:rsid w:val="00182580"/>
    <w:rsid w:val="00183BEA"/>
    <w:rsid w:val="00183CAC"/>
    <w:rsid w:val="00185E8D"/>
    <w:rsid w:val="00186890"/>
    <w:rsid w:val="00186DCB"/>
    <w:rsid w:val="00187140"/>
    <w:rsid w:val="00187E1A"/>
    <w:rsid w:val="00190B05"/>
    <w:rsid w:val="00192A55"/>
    <w:rsid w:val="00193972"/>
    <w:rsid w:val="0019407E"/>
    <w:rsid w:val="00194910"/>
    <w:rsid w:val="00194C90"/>
    <w:rsid w:val="00196F52"/>
    <w:rsid w:val="00197C74"/>
    <w:rsid w:val="001A01DA"/>
    <w:rsid w:val="001A2082"/>
    <w:rsid w:val="001A20BF"/>
    <w:rsid w:val="001A2C58"/>
    <w:rsid w:val="001A44EE"/>
    <w:rsid w:val="001A5AF3"/>
    <w:rsid w:val="001A5B69"/>
    <w:rsid w:val="001A7FEC"/>
    <w:rsid w:val="001B0E48"/>
    <w:rsid w:val="001B0F25"/>
    <w:rsid w:val="001B110C"/>
    <w:rsid w:val="001B1757"/>
    <w:rsid w:val="001B19C3"/>
    <w:rsid w:val="001B1AB3"/>
    <w:rsid w:val="001B2889"/>
    <w:rsid w:val="001B2D6F"/>
    <w:rsid w:val="001B4C06"/>
    <w:rsid w:val="001B4C38"/>
    <w:rsid w:val="001B4F1B"/>
    <w:rsid w:val="001C3201"/>
    <w:rsid w:val="001C3CDA"/>
    <w:rsid w:val="001C3FB3"/>
    <w:rsid w:val="001C4AE1"/>
    <w:rsid w:val="001C5631"/>
    <w:rsid w:val="001C605E"/>
    <w:rsid w:val="001C6339"/>
    <w:rsid w:val="001C6A3B"/>
    <w:rsid w:val="001D1BAA"/>
    <w:rsid w:val="001D2298"/>
    <w:rsid w:val="001D48CF"/>
    <w:rsid w:val="001D535B"/>
    <w:rsid w:val="001D6254"/>
    <w:rsid w:val="001D6C4D"/>
    <w:rsid w:val="001D6CF5"/>
    <w:rsid w:val="001D72C1"/>
    <w:rsid w:val="001E0B2D"/>
    <w:rsid w:val="001E217A"/>
    <w:rsid w:val="001E293D"/>
    <w:rsid w:val="001E2EF8"/>
    <w:rsid w:val="001E440F"/>
    <w:rsid w:val="001E48E1"/>
    <w:rsid w:val="001E571D"/>
    <w:rsid w:val="001E73D1"/>
    <w:rsid w:val="001F0E43"/>
    <w:rsid w:val="001F1FC1"/>
    <w:rsid w:val="001F2E2E"/>
    <w:rsid w:val="001F3152"/>
    <w:rsid w:val="001F3540"/>
    <w:rsid w:val="001F45E9"/>
    <w:rsid w:val="001F478B"/>
    <w:rsid w:val="001F4B3F"/>
    <w:rsid w:val="001F5214"/>
    <w:rsid w:val="001F5445"/>
    <w:rsid w:val="001F62F3"/>
    <w:rsid w:val="001F6300"/>
    <w:rsid w:val="001F76B3"/>
    <w:rsid w:val="00203587"/>
    <w:rsid w:val="0020433D"/>
    <w:rsid w:val="00204718"/>
    <w:rsid w:val="0020542A"/>
    <w:rsid w:val="00205D2C"/>
    <w:rsid w:val="00205D3F"/>
    <w:rsid w:val="0020648F"/>
    <w:rsid w:val="00206D7E"/>
    <w:rsid w:val="00207ACD"/>
    <w:rsid w:val="00210322"/>
    <w:rsid w:val="00210F3E"/>
    <w:rsid w:val="002121E7"/>
    <w:rsid w:val="00213566"/>
    <w:rsid w:val="002137AE"/>
    <w:rsid w:val="002168C6"/>
    <w:rsid w:val="00216A85"/>
    <w:rsid w:val="002213E0"/>
    <w:rsid w:val="00221879"/>
    <w:rsid w:val="002219C9"/>
    <w:rsid w:val="00221C82"/>
    <w:rsid w:val="00221CEC"/>
    <w:rsid w:val="00223876"/>
    <w:rsid w:val="00227C4F"/>
    <w:rsid w:val="00231B50"/>
    <w:rsid w:val="00233170"/>
    <w:rsid w:val="002345F4"/>
    <w:rsid w:val="00235167"/>
    <w:rsid w:val="00237A03"/>
    <w:rsid w:val="00242B10"/>
    <w:rsid w:val="00242D2C"/>
    <w:rsid w:val="00243E4F"/>
    <w:rsid w:val="00243E84"/>
    <w:rsid w:val="002506B7"/>
    <w:rsid w:val="00250A70"/>
    <w:rsid w:val="002512E1"/>
    <w:rsid w:val="00252A7B"/>
    <w:rsid w:val="00252EA8"/>
    <w:rsid w:val="00253974"/>
    <w:rsid w:val="00253E80"/>
    <w:rsid w:val="00255270"/>
    <w:rsid w:val="00255BCA"/>
    <w:rsid w:val="00255FC5"/>
    <w:rsid w:val="00256C04"/>
    <w:rsid w:val="002572D4"/>
    <w:rsid w:val="002577F3"/>
    <w:rsid w:val="00260EBB"/>
    <w:rsid w:val="00261A28"/>
    <w:rsid w:val="00262018"/>
    <w:rsid w:val="00262D0D"/>
    <w:rsid w:val="002636E7"/>
    <w:rsid w:val="0026385E"/>
    <w:rsid w:val="00263E66"/>
    <w:rsid w:val="00264EA1"/>
    <w:rsid w:val="002652F2"/>
    <w:rsid w:val="00266739"/>
    <w:rsid w:val="00266F5B"/>
    <w:rsid w:val="002670B3"/>
    <w:rsid w:val="0026739C"/>
    <w:rsid w:val="00267429"/>
    <w:rsid w:val="00271061"/>
    <w:rsid w:val="002714E1"/>
    <w:rsid w:val="00273E3B"/>
    <w:rsid w:val="002747CF"/>
    <w:rsid w:val="00274C4C"/>
    <w:rsid w:val="0027534D"/>
    <w:rsid w:val="00281BB0"/>
    <w:rsid w:val="002829DB"/>
    <w:rsid w:val="0028737C"/>
    <w:rsid w:val="0028754A"/>
    <w:rsid w:val="00292E6D"/>
    <w:rsid w:val="00292F10"/>
    <w:rsid w:val="00293842"/>
    <w:rsid w:val="00293B7C"/>
    <w:rsid w:val="00294C1C"/>
    <w:rsid w:val="002956DF"/>
    <w:rsid w:val="002958E2"/>
    <w:rsid w:val="002977F8"/>
    <w:rsid w:val="002A088D"/>
    <w:rsid w:val="002A2C80"/>
    <w:rsid w:val="002A312D"/>
    <w:rsid w:val="002A5B2E"/>
    <w:rsid w:val="002A5E85"/>
    <w:rsid w:val="002A5F7A"/>
    <w:rsid w:val="002A6474"/>
    <w:rsid w:val="002B16A4"/>
    <w:rsid w:val="002B3D9A"/>
    <w:rsid w:val="002B4FE5"/>
    <w:rsid w:val="002B6615"/>
    <w:rsid w:val="002C3A9E"/>
    <w:rsid w:val="002C6259"/>
    <w:rsid w:val="002D0481"/>
    <w:rsid w:val="002D0ACB"/>
    <w:rsid w:val="002D11A5"/>
    <w:rsid w:val="002D3299"/>
    <w:rsid w:val="002D3F4D"/>
    <w:rsid w:val="002D42B5"/>
    <w:rsid w:val="002D506D"/>
    <w:rsid w:val="002D5459"/>
    <w:rsid w:val="002D56D7"/>
    <w:rsid w:val="002D5865"/>
    <w:rsid w:val="002D6D64"/>
    <w:rsid w:val="002D74C3"/>
    <w:rsid w:val="002E1315"/>
    <w:rsid w:val="002E2687"/>
    <w:rsid w:val="002E34D0"/>
    <w:rsid w:val="002E34FB"/>
    <w:rsid w:val="002E6E83"/>
    <w:rsid w:val="002F1429"/>
    <w:rsid w:val="002F2B94"/>
    <w:rsid w:val="002F3357"/>
    <w:rsid w:val="00300FB1"/>
    <w:rsid w:val="00303130"/>
    <w:rsid w:val="0030376E"/>
    <w:rsid w:val="0030410C"/>
    <w:rsid w:val="00305227"/>
    <w:rsid w:val="003057C2"/>
    <w:rsid w:val="00305FB8"/>
    <w:rsid w:val="0030692B"/>
    <w:rsid w:val="00306AA9"/>
    <w:rsid w:val="00306C82"/>
    <w:rsid w:val="003077B7"/>
    <w:rsid w:val="00310A92"/>
    <w:rsid w:val="00311B14"/>
    <w:rsid w:val="00311FCA"/>
    <w:rsid w:val="00313A53"/>
    <w:rsid w:val="00313B02"/>
    <w:rsid w:val="003142CC"/>
    <w:rsid w:val="0031556C"/>
    <w:rsid w:val="00315B1A"/>
    <w:rsid w:val="00315EC9"/>
    <w:rsid w:val="0031616A"/>
    <w:rsid w:val="00316BAC"/>
    <w:rsid w:val="003172B7"/>
    <w:rsid w:val="003201A2"/>
    <w:rsid w:val="00320AD2"/>
    <w:rsid w:val="00321832"/>
    <w:rsid w:val="00321F3B"/>
    <w:rsid w:val="0032310B"/>
    <w:rsid w:val="0032368E"/>
    <w:rsid w:val="00327299"/>
    <w:rsid w:val="003273DD"/>
    <w:rsid w:val="00331BA0"/>
    <w:rsid w:val="00331C75"/>
    <w:rsid w:val="00331C81"/>
    <w:rsid w:val="0033283A"/>
    <w:rsid w:val="00332A3E"/>
    <w:rsid w:val="00333419"/>
    <w:rsid w:val="00333768"/>
    <w:rsid w:val="00335863"/>
    <w:rsid w:val="00337025"/>
    <w:rsid w:val="00340ABF"/>
    <w:rsid w:val="00341A82"/>
    <w:rsid w:val="00344417"/>
    <w:rsid w:val="00346B06"/>
    <w:rsid w:val="00350CD0"/>
    <w:rsid w:val="00351A8D"/>
    <w:rsid w:val="00351E37"/>
    <w:rsid w:val="003526C5"/>
    <w:rsid w:val="00352D33"/>
    <w:rsid w:val="00352EF2"/>
    <w:rsid w:val="00353981"/>
    <w:rsid w:val="0035492F"/>
    <w:rsid w:val="00355865"/>
    <w:rsid w:val="00355CE1"/>
    <w:rsid w:val="0035689F"/>
    <w:rsid w:val="00356F9C"/>
    <w:rsid w:val="00357F24"/>
    <w:rsid w:val="00360BE0"/>
    <w:rsid w:val="00360ED1"/>
    <w:rsid w:val="0037114C"/>
    <w:rsid w:val="003711C1"/>
    <w:rsid w:val="003714BA"/>
    <w:rsid w:val="00372794"/>
    <w:rsid w:val="003729D0"/>
    <w:rsid w:val="00372A57"/>
    <w:rsid w:val="00373169"/>
    <w:rsid w:val="00375727"/>
    <w:rsid w:val="00375A65"/>
    <w:rsid w:val="00375F34"/>
    <w:rsid w:val="00375F4A"/>
    <w:rsid w:val="0037614B"/>
    <w:rsid w:val="00376F8E"/>
    <w:rsid w:val="00377E7A"/>
    <w:rsid w:val="0038240B"/>
    <w:rsid w:val="00382D10"/>
    <w:rsid w:val="00382D53"/>
    <w:rsid w:val="003830DF"/>
    <w:rsid w:val="00387491"/>
    <w:rsid w:val="00387642"/>
    <w:rsid w:val="00390E43"/>
    <w:rsid w:val="003913D5"/>
    <w:rsid w:val="00391FC2"/>
    <w:rsid w:val="003938F1"/>
    <w:rsid w:val="00394083"/>
    <w:rsid w:val="0039603E"/>
    <w:rsid w:val="00396780"/>
    <w:rsid w:val="00397367"/>
    <w:rsid w:val="003A14C0"/>
    <w:rsid w:val="003A1602"/>
    <w:rsid w:val="003A178C"/>
    <w:rsid w:val="003A3A36"/>
    <w:rsid w:val="003A4749"/>
    <w:rsid w:val="003A605D"/>
    <w:rsid w:val="003A685E"/>
    <w:rsid w:val="003A7300"/>
    <w:rsid w:val="003B0CF8"/>
    <w:rsid w:val="003B149F"/>
    <w:rsid w:val="003B2535"/>
    <w:rsid w:val="003B2D4A"/>
    <w:rsid w:val="003B3345"/>
    <w:rsid w:val="003B39C4"/>
    <w:rsid w:val="003B4699"/>
    <w:rsid w:val="003B4C06"/>
    <w:rsid w:val="003B5010"/>
    <w:rsid w:val="003B5619"/>
    <w:rsid w:val="003B56FA"/>
    <w:rsid w:val="003B7607"/>
    <w:rsid w:val="003B787B"/>
    <w:rsid w:val="003C0B8E"/>
    <w:rsid w:val="003C19A2"/>
    <w:rsid w:val="003C36DE"/>
    <w:rsid w:val="003C44FA"/>
    <w:rsid w:val="003C47B8"/>
    <w:rsid w:val="003C55A4"/>
    <w:rsid w:val="003C6F16"/>
    <w:rsid w:val="003C746B"/>
    <w:rsid w:val="003C7B84"/>
    <w:rsid w:val="003D0C68"/>
    <w:rsid w:val="003D1C5E"/>
    <w:rsid w:val="003D21A6"/>
    <w:rsid w:val="003D359D"/>
    <w:rsid w:val="003D4669"/>
    <w:rsid w:val="003D46C1"/>
    <w:rsid w:val="003D5695"/>
    <w:rsid w:val="003D575C"/>
    <w:rsid w:val="003D5F92"/>
    <w:rsid w:val="003D738A"/>
    <w:rsid w:val="003D792B"/>
    <w:rsid w:val="003D7F82"/>
    <w:rsid w:val="003E05A6"/>
    <w:rsid w:val="003E0914"/>
    <w:rsid w:val="003E0AD6"/>
    <w:rsid w:val="003E0B97"/>
    <w:rsid w:val="003E0D2D"/>
    <w:rsid w:val="003E0EB3"/>
    <w:rsid w:val="003E291A"/>
    <w:rsid w:val="003E36FF"/>
    <w:rsid w:val="003E3CF9"/>
    <w:rsid w:val="003E404D"/>
    <w:rsid w:val="003E404F"/>
    <w:rsid w:val="003E42EE"/>
    <w:rsid w:val="003E7824"/>
    <w:rsid w:val="003F0F25"/>
    <w:rsid w:val="003F1FDC"/>
    <w:rsid w:val="003F3137"/>
    <w:rsid w:val="003F3ABD"/>
    <w:rsid w:val="003F3B07"/>
    <w:rsid w:val="003F3D3C"/>
    <w:rsid w:val="003F62A8"/>
    <w:rsid w:val="003F6DB4"/>
    <w:rsid w:val="003F6FD8"/>
    <w:rsid w:val="00400838"/>
    <w:rsid w:val="00403DAB"/>
    <w:rsid w:val="00405296"/>
    <w:rsid w:val="004076CF"/>
    <w:rsid w:val="004076D6"/>
    <w:rsid w:val="004104AF"/>
    <w:rsid w:val="00410AC7"/>
    <w:rsid w:val="00410EC9"/>
    <w:rsid w:val="004140C9"/>
    <w:rsid w:val="00415DE9"/>
    <w:rsid w:val="00416213"/>
    <w:rsid w:val="00416ABE"/>
    <w:rsid w:val="00417BCD"/>
    <w:rsid w:val="00420C53"/>
    <w:rsid w:val="00425B76"/>
    <w:rsid w:val="004276CE"/>
    <w:rsid w:val="00427DF2"/>
    <w:rsid w:val="00430859"/>
    <w:rsid w:val="004318AF"/>
    <w:rsid w:val="00432FB1"/>
    <w:rsid w:val="00433228"/>
    <w:rsid w:val="00434731"/>
    <w:rsid w:val="00434A01"/>
    <w:rsid w:val="00434AE1"/>
    <w:rsid w:val="00435278"/>
    <w:rsid w:val="004352FC"/>
    <w:rsid w:val="00436340"/>
    <w:rsid w:val="004379A5"/>
    <w:rsid w:val="00437D5F"/>
    <w:rsid w:val="00441467"/>
    <w:rsid w:val="00441FE9"/>
    <w:rsid w:val="00442A02"/>
    <w:rsid w:val="00445151"/>
    <w:rsid w:val="00447777"/>
    <w:rsid w:val="004504D5"/>
    <w:rsid w:val="00451977"/>
    <w:rsid w:val="00455E79"/>
    <w:rsid w:val="00455EAE"/>
    <w:rsid w:val="00456A58"/>
    <w:rsid w:val="00456FB3"/>
    <w:rsid w:val="00457358"/>
    <w:rsid w:val="00457770"/>
    <w:rsid w:val="0045786A"/>
    <w:rsid w:val="0046003A"/>
    <w:rsid w:val="00463011"/>
    <w:rsid w:val="004634AD"/>
    <w:rsid w:val="00464E2C"/>
    <w:rsid w:val="004672BA"/>
    <w:rsid w:val="00470EF0"/>
    <w:rsid w:val="00471C5A"/>
    <w:rsid w:val="00471D76"/>
    <w:rsid w:val="00472C70"/>
    <w:rsid w:val="004739CE"/>
    <w:rsid w:val="00474F40"/>
    <w:rsid w:val="00475B35"/>
    <w:rsid w:val="004766AD"/>
    <w:rsid w:val="00477160"/>
    <w:rsid w:val="004772EB"/>
    <w:rsid w:val="004813ED"/>
    <w:rsid w:val="0048178F"/>
    <w:rsid w:val="00481B8A"/>
    <w:rsid w:val="00482167"/>
    <w:rsid w:val="00482EE2"/>
    <w:rsid w:val="00483F19"/>
    <w:rsid w:val="00483F3B"/>
    <w:rsid w:val="004848CD"/>
    <w:rsid w:val="0048657F"/>
    <w:rsid w:val="004874F1"/>
    <w:rsid w:val="00491630"/>
    <w:rsid w:val="00493781"/>
    <w:rsid w:val="0049454E"/>
    <w:rsid w:val="00495D9E"/>
    <w:rsid w:val="00496116"/>
    <w:rsid w:val="004965B0"/>
    <w:rsid w:val="00496EDF"/>
    <w:rsid w:val="0049713B"/>
    <w:rsid w:val="004977A8"/>
    <w:rsid w:val="004A0E02"/>
    <w:rsid w:val="004A1AAA"/>
    <w:rsid w:val="004A2C25"/>
    <w:rsid w:val="004A316B"/>
    <w:rsid w:val="004A3C3C"/>
    <w:rsid w:val="004A3C42"/>
    <w:rsid w:val="004A3FE3"/>
    <w:rsid w:val="004A45E3"/>
    <w:rsid w:val="004A4C18"/>
    <w:rsid w:val="004A5733"/>
    <w:rsid w:val="004A69AA"/>
    <w:rsid w:val="004B1D69"/>
    <w:rsid w:val="004B2C25"/>
    <w:rsid w:val="004B3345"/>
    <w:rsid w:val="004B3A11"/>
    <w:rsid w:val="004C0E3C"/>
    <w:rsid w:val="004C1FFA"/>
    <w:rsid w:val="004C2F0F"/>
    <w:rsid w:val="004C38F8"/>
    <w:rsid w:val="004C6662"/>
    <w:rsid w:val="004C666C"/>
    <w:rsid w:val="004D0158"/>
    <w:rsid w:val="004D128F"/>
    <w:rsid w:val="004D1F5D"/>
    <w:rsid w:val="004D3758"/>
    <w:rsid w:val="004D38C1"/>
    <w:rsid w:val="004D5823"/>
    <w:rsid w:val="004D5A79"/>
    <w:rsid w:val="004D5C28"/>
    <w:rsid w:val="004D6F08"/>
    <w:rsid w:val="004E0805"/>
    <w:rsid w:val="004E1EA3"/>
    <w:rsid w:val="004E2814"/>
    <w:rsid w:val="004E45E3"/>
    <w:rsid w:val="004E64D2"/>
    <w:rsid w:val="004E72B5"/>
    <w:rsid w:val="004EEFCF"/>
    <w:rsid w:val="004F0546"/>
    <w:rsid w:val="004F0C72"/>
    <w:rsid w:val="004F14FE"/>
    <w:rsid w:val="004F1541"/>
    <w:rsid w:val="004F1B07"/>
    <w:rsid w:val="004F220E"/>
    <w:rsid w:val="004F2BCA"/>
    <w:rsid w:val="004F477F"/>
    <w:rsid w:val="004F5603"/>
    <w:rsid w:val="004F76BA"/>
    <w:rsid w:val="004F79A9"/>
    <w:rsid w:val="00500234"/>
    <w:rsid w:val="0050279B"/>
    <w:rsid w:val="00503C6B"/>
    <w:rsid w:val="00504629"/>
    <w:rsid w:val="00505044"/>
    <w:rsid w:val="00505C2A"/>
    <w:rsid w:val="00505F62"/>
    <w:rsid w:val="005100D5"/>
    <w:rsid w:val="00510D27"/>
    <w:rsid w:val="00511D19"/>
    <w:rsid w:val="00511F4E"/>
    <w:rsid w:val="00512A41"/>
    <w:rsid w:val="005135E7"/>
    <w:rsid w:val="00513978"/>
    <w:rsid w:val="00514143"/>
    <w:rsid w:val="00514442"/>
    <w:rsid w:val="005153CF"/>
    <w:rsid w:val="00515618"/>
    <w:rsid w:val="00515927"/>
    <w:rsid w:val="00515A05"/>
    <w:rsid w:val="005201E6"/>
    <w:rsid w:val="0052093D"/>
    <w:rsid w:val="00520C75"/>
    <w:rsid w:val="0052189E"/>
    <w:rsid w:val="00523770"/>
    <w:rsid w:val="00524EA9"/>
    <w:rsid w:val="00525E2C"/>
    <w:rsid w:val="00527817"/>
    <w:rsid w:val="005307F4"/>
    <w:rsid w:val="00530F97"/>
    <w:rsid w:val="005322F2"/>
    <w:rsid w:val="00532B97"/>
    <w:rsid w:val="00534797"/>
    <w:rsid w:val="0053616E"/>
    <w:rsid w:val="00536616"/>
    <w:rsid w:val="00537A72"/>
    <w:rsid w:val="00537AB1"/>
    <w:rsid w:val="0054094D"/>
    <w:rsid w:val="00541330"/>
    <w:rsid w:val="00541DB3"/>
    <w:rsid w:val="005427D3"/>
    <w:rsid w:val="00544069"/>
    <w:rsid w:val="00544461"/>
    <w:rsid w:val="00544845"/>
    <w:rsid w:val="005454B5"/>
    <w:rsid w:val="00545635"/>
    <w:rsid w:val="00546140"/>
    <w:rsid w:val="00546779"/>
    <w:rsid w:val="005467BE"/>
    <w:rsid w:val="00547FB1"/>
    <w:rsid w:val="005504D3"/>
    <w:rsid w:val="00551452"/>
    <w:rsid w:val="00552BB9"/>
    <w:rsid w:val="00552C5A"/>
    <w:rsid w:val="00554C47"/>
    <w:rsid w:val="00555607"/>
    <w:rsid w:val="00555AF9"/>
    <w:rsid w:val="00555FC3"/>
    <w:rsid w:val="005561A1"/>
    <w:rsid w:val="005568CA"/>
    <w:rsid w:val="005573C8"/>
    <w:rsid w:val="005608A7"/>
    <w:rsid w:val="00561990"/>
    <w:rsid w:val="005631B1"/>
    <w:rsid w:val="00563F2B"/>
    <w:rsid w:val="00566D9C"/>
    <w:rsid w:val="00567218"/>
    <w:rsid w:val="00570E78"/>
    <w:rsid w:val="00572577"/>
    <w:rsid w:val="00573655"/>
    <w:rsid w:val="005738B6"/>
    <w:rsid w:val="00573A15"/>
    <w:rsid w:val="00573A51"/>
    <w:rsid w:val="00575118"/>
    <w:rsid w:val="0057562D"/>
    <w:rsid w:val="005762EF"/>
    <w:rsid w:val="00576A7D"/>
    <w:rsid w:val="00577D95"/>
    <w:rsid w:val="00580EDD"/>
    <w:rsid w:val="0058138E"/>
    <w:rsid w:val="005826B3"/>
    <w:rsid w:val="00582EA5"/>
    <w:rsid w:val="00582EBE"/>
    <w:rsid w:val="0058395D"/>
    <w:rsid w:val="0058670A"/>
    <w:rsid w:val="00586F2D"/>
    <w:rsid w:val="005879A0"/>
    <w:rsid w:val="00590648"/>
    <w:rsid w:val="005920C9"/>
    <w:rsid w:val="00593743"/>
    <w:rsid w:val="0059473D"/>
    <w:rsid w:val="00594764"/>
    <w:rsid w:val="0059609D"/>
    <w:rsid w:val="00596F27"/>
    <w:rsid w:val="00597734"/>
    <w:rsid w:val="005A09CA"/>
    <w:rsid w:val="005A2820"/>
    <w:rsid w:val="005A3623"/>
    <w:rsid w:val="005A47F6"/>
    <w:rsid w:val="005A4B19"/>
    <w:rsid w:val="005A74FF"/>
    <w:rsid w:val="005B3FF2"/>
    <w:rsid w:val="005B451E"/>
    <w:rsid w:val="005B5E51"/>
    <w:rsid w:val="005B61B8"/>
    <w:rsid w:val="005B645F"/>
    <w:rsid w:val="005B6D27"/>
    <w:rsid w:val="005C2666"/>
    <w:rsid w:val="005C29A3"/>
    <w:rsid w:val="005C2A35"/>
    <w:rsid w:val="005C33FC"/>
    <w:rsid w:val="005C3A4F"/>
    <w:rsid w:val="005C3EA7"/>
    <w:rsid w:val="005C4BEA"/>
    <w:rsid w:val="005C73E0"/>
    <w:rsid w:val="005D0769"/>
    <w:rsid w:val="005D1DB4"/>
    <w:rsid w:val="005D230E"/>
    <w:rsid w:val="005D32E7"/>
    <w:rsid w:val="005D3FA4"/>
    <w:rsid w:val="005D41EC"/>
    <w:rsid w:val="005D4EE4"/>
    <w:rsid w:val="005D57D4"/>
    <w:rsid w:val="005D7C16"/>
    <w:rsid w:val="005E1E2D"/>
    <w:rsid w:val="005E2CA5"/>
    <w:rsid w:val="005E4468"/>
    <w:rsid w:val="005E5713"/>
    <w:rsid w:val="005E5A04"/>
    <w:rsid w:val="005E62D0"/>
    <w:rsid w:val="005E6FA2"/>
    <w:rsid w:val="005F3C15"/>
    <w:rsid w:val="005F6DE1"/>
    <w:rsid w:val="005F7427"/>
    <w:rsid w:val="005F79FD"/>
    <w:rsid w:val="00600FDF"/>
    <w:rsid w:val="00601F17"/>
    <w:rsid w:val="0060233D"/>
    <w:rsid w:val="006024EA"/>
    <w:rsid w:val="006025AA"/>
    <w:rsid w:val="00603E43"/>
    <w:rsid w:val="006041E3"/>
    <w:rsid w:val="00604510"/>
    <w:rsid w:val="006047FF"/>
    <w:rsid w:val="006050E2"/>
    <w:rsid w:val="00606298"/>
    <w:rsid w:val="00606ED7"/>
    <w:rsid w:val="0061048E"/>
    <w:rsid w:val="00611BCD"/>
    <w:rsid w:val="00612AE0"/>
    <w:rsid w:val="00614E46"/>
    <w:rsid w:val="006157EC"/>
    <w:rsid w:val="00615E32"/>
    <w:rsid w:val="006170F8"/>
    <w:rsid w:val="006172CE"/>
    <w:rsid w:val="006208A3"/>
    <w:rsid w:val="00620922"/>
    <w:rsid w:val="00621D6F"/>
    <w:rsid w:val="00622867"/>
    <w:rsid w:val="006241B1"/>
    <w:rsid w:val="00624429"/>
    <w:rsid w:val="0062485E"/>
    <w:rsid w:val="00625B2A"/>
    <w:rsid w:val="0062615E"/>
    <w:rsid w:val="00626F99"/>
    <w:rsid w:val="00627501"/>
    <w:rsid w:val="00627607"/>
    <w:rsid w:val="00630520"/>
    <w:rsid w:val="006330B9"/>
    <w:rsid w:val="006347DF"/>
    <w:rsid w:val="00635ABF"/>
    <w:rsid w:val="00637630"/>
    <w:rsid w:val="00640470"/>
    <w:rsid w:val="00640BB6"/>
    <w:rsid w:val="0064142B"/>
    <w:rsid w:val="00641A3F"/>
    <w:rsid w:val="00642441"/>
    <w:rsid w:val="00642E2A"/>
    <w:rsid w:val="00643061"/>
    <w:rsid w:val="0064402D"/>
    <w:rsid w:val="0064527B"/>
    <w:rsid w:val="00646CD2"/>
    <w:rsid w:val="006474A8"/>
    <w:rsid w:val="0064776D"/>
    <w:rsid w:val="0065002A"/>
    <w:rsid w:val="006507AC"/>
    <w:rsid w:val="00651103"/>
    <w:rsid w:val="006511D6"/>
    <w:rsid w:val="006518BC"/>
    <w:rsid w:val="006525EE"/>
    <w:rsid w:val="00653A87"/>
    <w:rsid w:val="00654150"/>
    <w:rsid w:val="0065465F"/>
    <w:rsid w:val="00654BE4"/>
    <w:rsid w:val="006552AC"/>
    <w:rsid w:val="0065707B"/>
    <w:rsid w:val="006575F3"/>
    <w:rsid w:val="00657758"/>
    <w:rsid w:val="00657CFA"/>
    <w:rsid w:val="00657D5A"/>
    <w:rsid w:val="0066086B"/>
    <w:rsid w:val="00661706"/>
    <w:rsid w:val="00661F69"/>
    <w:rsid w:val="006621DF"/>
    <w:rsid w:val="00662548"/>
    <w:rsid w:val="00662A16"/>
    <w:rsid w:val="00663283"/>
    <w:rsid w:val="00671C28"/>
    <w:rsid w:val="0067221B"/>
    <w:rsid w:val="00673BF4"/>
    <w:rsid w:val="00674D7D"/>
    <w:rsid w:val="006757C4"/>
    <w:rsid w:val="0067629E"/>
    <w:rsid w:val="006769B3"/>
    <w:rsid w:val="0067702F"/>
    <w:rsid w:val="00677C75"/>
    <w:rsid w:val="00677E50"/>
    <w:rsid w:val="00680FC7"/>
    <w:rsid w:val="00681CAD"/>
    <w:rsid w:val="00684695"/>
    <w:rsid w:val="00684CF5"/>
    <w:rsid w:val="00685B54"/>
    <w:rsid w:val="00685F5C"/>
    <w:rsid w:val="00686294"/>
    <w:rsid w:val="006862DF"/>
    <w:rsid w:val="00687606"/>
    <w:rsid w:val="006921E4"/>
    <w:rsid w:val="00693454"/>
    <w:rsid w:val="006939D5"/>
    <w:rsid w:val="00693DDE"/>
    <w:rsid w:val="0069706C"/>
    <w:rsid w:val="006972F9"/>
    <w:rsid w:val="00697408"/>
    <w:rsid w:val="006A0281"/>
    <w:rsid w:val="006A3AD8"/>
    <w:rsid w:val="006A44A6"/>
    <w:rsid w:val="006A57AF"/>
    <w:rsid w:val="006A5A55"/>
    <w:rsid w:val="006A6CAD"/>
    <w:rsid w:val="006A7856"/>
    <w:rsid w:val="006B135B"/>
    <w:rsid w:val="006B13F0"/>
    <w:rsid w:val="006B34CF"/>
    <w:rsid w:val="006B3BF4"/>
    <w:rsid w:val="006B5394"/>
    <w:rsid w:val="006B554B"/>
    <w:rsid w:val="006B56B4"/>
    <w:rsid w:val="006B75A6"/>
    <w:rsid w:val="006C1977"/>
    <w:rsid w:val="006C3488"/>
    <w:rsid w:val="006C4389"/>
    <w:rsid w:val="006C56EA"/>
    <w:rsid w:val="006C60D5"/>
    <w:rsid w:val="006C7442"/>
    <w:rsid w:val="006D0B6E"/>
    <w:rsid w:val="006D25B2"/>
    <w:rsid w:val="006D2898"/>
    <w:rsid w:val="006D3827"/>
    <w:rsid w:val="006D4420"/>
    <w:rsid w:val="006D459B"/>
    <w:rsid w:val="006D498C"/>
    <w:rsid w:val="006D5209"/>
    <w:rsid w:val="006D58EE"/>
    <w:rsid w:val="006D6734"/>
    <w:rsid w:val="006D6AD0"/>
    <w:rsid w:val="006D7942"/>
    <w:rsid w:val="006D7BE1"/>
    <w:rsid w:val="006E06BB"/>
    <w:rsid w:val="006E146A"/>
    <w:rsid w:val="006E3B99"/>
    <w:rsid w:val="006E6CC0"/>
    <w:rsid w:val="006E6D68"/>
    <w:rsid w:val="006F0C23"/>
    <w:rsid w:val="006F1578"/>
    <w:rsid w:val="006F1B0E"/>
    <w:rsid w:val="006F207B"/>
    <w:rsid w:val="006F3005"/>
    <w:rsid w:val="006F6339"/>
    <w:rsid w:val="007032F3"/>
    <w:rsid w:val="007046B1"/>
    <w:rsid w:val="007063FC"/>
    <w:rsid w:val="007079B2"/>
    <w:rsid w:val="00711696"/>
    <w:rsid w:val="007134AE"/>
    <w:rsid w:val="00714B88"/>
    <w:rsid w:val="0071547B"/>
    <w:rsid w:val="00716A49"/>
    <w:rsid w:val="00716C87"/>
    <w:rsid w:val="00716E92"/>
    <w:rsid w:val="0072006A"/>
    <w:rsid w:val="00720723"/>
    <w:rsid w:val="0072118B"/>
    <w:rsid w:val="007211FC"/>
    <w:rsid w:val="00725F9F"/>
    <w:rsid w:val="00727A15"/>
    <w:rsid w:val="00731C4D"/>
    <w:rsid w:val="00732160"/>
    <w:rsid w:val="00732702"/>
    <w:rsid w:val="0073342D"/>
    <w:rsid w:val="00733501"/>
    <w:rsid w:val="00734C5A"/>
    <w:rsid w:val="00735035"/>
    <w:rsid w:val="007350B5"/>
    <w:rsid w:val="00735AA5"/>
    <w:rsid w:val="0073776C"/>
    <w:rsid w:val="00737D0C"/>
    <w:rsid w:val="007413D6"/>
    <w:rsid w:val="007414A6"/>
    <w:rsid w:val="00743ADF"/>
    <w:rsid w:val="00744367"/>
    <w:rsid w:val="00744EE3"/>
    <w:rsid w:val="00745F00"/>
    <w:rsid w:val="00746790"/>
    <w:rsid w:val="0074779B"/>
    <w:rsid w:val="00747BAC"/>
    <w:rsid w:val="007504F1"/>
    <w:rsid w:val="00751C0F"/>
    <w:rsid w:val="00752F4B"/>
    <w:rsid w:val="007531C4"/>
    <w:rsid w:val="0075488F"/>
    <w:rsid w:val="00761F8B"/>
    <w:rsid w:val="00762BBF"/>
    <w:rsid w:val="00763547"/>
    <w:rsid w:val="00763870"/>
    <w:rsid w:val="007638BB"/>
    <w:rsid w:val="00764102"/>
    <w:rsid w:val="00764361"/>
    <w:rsid w:val="007668C2"/>
    <w:rsid w:val="0077041B"/>
    <w:rsid w:val="00772408"/>
    <w:rsid w:val="0077265A"/>
    <w:rsid w:val="0077301E"/>
    <w:rsid w:val="0077367D"/>
    <w:rsid w:val="00773B52"/>
    <w:rsid w:val="00774EA9"/>
    <w:rsid w:val="00777798"/>
    <w:rsid w:val="0078154A"/>
    <w:rsid w:val="00781E8B"/>
    <w:rsid w:val="00783717"/>
    <w:rsid w:val="00784246"/>
    <w:rsid w:val="00784F35"/>
    <w:rsid w:val="00787349"/>
    <w:rsid w:val="007900F2"/>
    <w:rsid w:val="00790EEE"/>
    <w:rsid w:val="0079120A"/>
    <w:rsid w:val="00791211"/>
    <w:rsid w:val="00791376"/>
    <w:rsid w:val="00793199"/>
    <w:rsid w:val="00794224"/>
    <w:rsid w:val="00796B1D"/>
    <w:rsid w:val="007971BE"/>
    <w:rsid w:val="00797FC1"/>
    <w:rsid w:val="007A3876"/>
    <w:rsid w:val="007A3EEF"/>
    <w:rsid w:val="007A3F5D"/>
    <w:rsid w:val="007A42DF"/>
    <w:rsid w:val="007A5DD3"/>
    <w:rsid w:val="007A7AAB"/>
    <w:rsid w:val="007A7DF0"/>
    <w:rsid w:val="007B02F3"/>
    <w:rsid w:val="007B10A0"/>
    <w:rsid w:val="007B235E"/>
    <w:rsid w:val="007B239C"/>
    <w:rsid w:val="007B243B"/>
    <w:rsid w:val="007B314A"/>
    <w:rsid w:val="007B38BD"/>
    <w:rsid w:val="007B3922"/>
    <w:rsid w:val="007B3CC9"/>
    <w:rsid w:val="007B3F87"/>
    <w:rsid w:val="007B40DA"/>
    <w:rsid w:val="007C139E"/>
    <w:rsid w:val="007C2815"/>
    <w:rsid w:val="007C2D01"/>
    <w:rsid w:val="007C3C42"/>
    <w:rsid w:val="007C5894"/>
    <w:rsid w:val="007C6610"/>
    <w:rsid w:val="007C6C8A"/>
    <w:rsid w:val="007C73E4"/>
    <w:rsid w:val="007C7579"/>
    <w:rsid w:val="007C795F"/>
    <w:rsid w:val="007D05C8"/>
    <w:rsid w:val="007D2ED3"/>
    <w:rsid w:val="007D3F58"/>
    <w:rsid w:val="007D507B"/>
    <w:rsid w:val="007D545A"/>
    <w:rsid w:val="007D7DB4"/>
    <w:rsid w:val="007E1C46"/>
    <w:rsid w:val="007E1E04"/>
    <w:rsid w:val="007E4256"/>
    <w:rsid w:val="007E47D3"/>
    <w:rsid w:val="007E5D5F"/>
    <w:rsid w:val="007E6484"/>
    <w:rsid w:val="007E77CF"/>
    <w:rsid w:val="007E7A4E"/>
    <w:rsid w:val="007F0365"/>
    <w:rsid w:val="007F1128"/>
    <w:rsid w:val="007F199C"/>
    <w:rsid w:val="007F2908"/>
    <w:rsid w:val="007F2BA5"/>
    <w:rsid w:val="007F36D3"/>
    <w:rsid w:val="007F4720"/>
    <w:rsid w:val="007F4E54"/>
    <w:rsid w:val="007F55EF"/>
    <w:rsid w:val="007F5E9A"/>
    <w:rsid w:val="007F6063"/>
    <w:rsid w:val="007F6E09"/>
    <w:rsid w:val="007F71F3"/>
    <w:rsid w:val="007F7AA4"/>
    <w:rsid w:val="008008AA"/>
    <w:rsid w:val="00801B73"/>
    <w:rsid w:val="00803029"/>
    <w:rsid w:val="00803E15"/>
    <w:rsid w:val="0080408D"/>
    <w:rsid w:val="0080434A"/>
    <w:rsid w:val="0080478D"/>
    <w:rsid w:val="008049DB"/>
    <w:rsid w:val="00804FCD"/>
    <w:rsid w:val="00805AD3"/>
    <w:rsid w:val="00806195"/>
    <w:rsid w:val="0080669E"/>
    <w:rsid w:val="00806D47"/>
    <w:rsid w:val="0080736B"/>
    <w:rsid w:val="00807BAD"/>
    <w:rsid w:val="00812FE0"/>
    <w:rsid w:val="0081533B"/>
    <w:rsid w:val="0081551E"/>
    <w:rsid w:val="0081650F"/>
    <w:rsid w:val="008200ED"/>
    <w:rsid w:val="00820E41"/>
    <w:rsid w:val="008213B2"/>
    <w:rsid w:val="0082288F"/>
    <w:rsid w:val="00823A59"/>
    <w:rsid w:val="00824090"/>
    <w:rsid w:val="008253F2"/>
    <w:rsid w:val="00825D3E"/>
    <w:rsid w:val="008267FC"/>
    <w:rsid w:val="00826E92"/>
    <w:rsid w:val="00830D80"/>
    <w:rsid w:val="00831C8C"/>
    <w:rsid w:val="0083275C"/>
    <w:rsid w:val="00833081"/>
    <w:rsid w:val="008331C7"/>
    <w:rsid w:val="00833949"/>
    <w:rsid w:val="00833DDE"/>
    <w:rsid w:val="00833E69"/>
    <w:rsid w:val="00833F61"/>
    <w:rsid w:val="00835AFC"/>
    <w:rsid w:val="00840C0C"/>
    <w:rsid w:val="00841D92"/>
    <w:rsid w:val="00842176"/>
    <w:rsid w:val="00845D34"/>
    <w:rsid w:val="00846985"/>
    <w:rsid w:val="00850701"/>
    <w:rsid w:val="00851047"/>
    <w:rsid w:val="00851888"/>
    <w:rsid w:val="00851970"/>
    <w:rsid w:val="0085615C"/>
    <w:rsid w:val="0085719F"/>
    <w:rsid w:val="008571E9"/>
    <w:rsid w:val="008604AC"/>
    <w:rsid w:val="00860A6B"/>
    <w:rsid w:val="00863F52"/>
    <w:rsid w:val="00864FF0"/>
    <w:rsid w:val="00866A8B"/>
    <w:rsid w:val="00872F35"/>
    <w:rsid w:val="00873038"/>
    <w:rsid w:val="008731B4"/>
    <w:rsid w:val="00873303"/>
    <w:rsid w:val="00873B6E"/>
    <w:rsid w:val="00873C71"/>
    <w:rsid w:val="00874988"/>
    <w:rsid w:val="00876362"/>
    <w:rsid w:val="0087650F"/>
    <w:rsid w:val="008766D6"/>
    <w:rsid w:val="00876B2B"/>
    <w:rsid w:val="0087776A"/>
    <w:rsid w:val="008803FC"/>
    <w:rsid w:val="00880C0B"/>
    <w:rsid w:val="00881565"/>
    <w:rsid w:val="0088410B"/>
    <w:rsid w:val="00884D91"/>
    <w:rsid w:val="00885647"/>
    <w:rsid w:val="00886249"/>
    <w:rsid w:val="00886B6C"/>
    <w:rsid w:val="008873DA"/>
    <w:rsid w:val="00887C64"/>
    <w:rsid w:val="00887F04"/>
    <w:rsid w:val="00890B17"/>
    <w:rsid w:val="00890CD9"/>
    <w:rsid w:val="00890DED"/>
    <w:rsid w:val="00891290"/>
    <w:rsid w:val="00891410"/>
    <w:rsid w:val="008922D0"/>
    <w:rsid w:val="0089264A"/>
    <w:rsid w:val="00892A06"/>
    <w:rsid w:val="00896179"/>
    <w:rsid w:val="00896B6A"/>
    <w:rsid w:val="008974C0"/>
    <w:rsid w:val="00897F5B"/>
    <w:rsid w:val="008A07A1"/>
    <w:rsid w:val="008A166A"/>
    <w:rsid w:val="008A226D"/>
    <w:rsid w:val="008A2EC2"/>
    <w:rsid w:val="008A4634"/>
    <w:rsid w:val="008A6E2D"/>
    <w:rsid w:val="008A745C"/>
    <w:rsid w:val="008B02FE"/>
    <w:rsid w:val="008B3520"/>
    <w:rsid w:val="008B359C"/>
    <w:rsid w:val="008B48B0"/>
    <w:rsid w:val="008B4FD3"/>
    <w:rsid w:val="008B73B2"/>
    <w:rsid w:val="008B740B"/>
    <w:rsid w:val="008B7FCF"/>
    <w:rsid w:val="008C0696"/>
    <w:rsid w:val="008C0BBF"/>
    <w:rsid w:val="008C201D"/>
    <w:rsid w:val="008C2152"/>
    <w:rsid w:val="008C45EF"/>
    <w:rsid w:val="008C583A"/>
    <w:rsid w:val="008C5B69"/>
    <w:rsid w:val="008C7223"/>
    <w:rsid w:val="008C7F64"/>
    <w:rsid w:val="008D421C"/>
    <w:rsid w:val="008D49A1"/>
    <w:rsid w:val="008D6091"/>
    <w:rsid w:val="008D701B"/>
    <w:rsid w:val="008D7347"/>
    <w:rsid w:val="008D7686"/>
    <w:rsid w:val="008D7892"/>
    <w:rsid w:val="008E1433"/>
    <w:rsid w:val="008E1A1C"/>
    <w:rsid w:val="008E2179"/>
    <w:rsid w:val="008E292A"/>
    <w:rsid w:val="008E3926"/>
    <w:rsid w:val="008E3FD3"/>
    <w:rsid w:val="008E4794"/>
    <w:rsid w:val="008E58B6"/>
    <w:rsid w:val="008E68DC"/>
    <w:rsid w:val="008E74A5"/>
    <w:rsid w:val="008E76CC"/>
    <w:rsid w:val="008E7852"/>
    <w:rsid w:val="008E78F8"/>
    <w:rsid w:val="008E7C08"/>
    <w:rsid w:val="008F1C8C"/>
    <w:rsid w:val="008F1EC9"/>
    <w:rsid w:val="008F28FA"/>
    <w:rsid w:val="008F4EE9"/>
    <w:rsid w:val="008F4F98"/>
    <w:rsid w:val="008F5B28"/>
    <w:rsid w:val="008F7296"/>
    <w:rsid w:val="008F7767"/>
    <w:rsid w:val="008F7BB2"/>
    <w:rsid w:val="009006CE"/>
    <w:rsid w:val="00903112"/>
    <w:rsid w:val="00903675"/>
    <w:rsid w:val="009042FD"/>
    <w:rsid w:val="00904DB8"/>
    <w:rsid w:val="00904F8C"/>
    <w:rsid w:val="009057B4"/>
    <w:rsid w:val="0090646F"/>
    <w:rsid w:val="00910710"/>
    <w:rsid w:val="009108CA"/>
    <w:rsid w:val="009121F5"/>
    <w:rsid w:val="009124AA"/>
    <w:rsid w:val="00913AE1"/>
    <w:rsid w:val="00915426"/>
    <w:rsid w:val="00917995"/>
    <w:rsid w:val="00917C0C"/>
    <w:rsid w:val="00920453"/>
    <w:rsid w:val="009208E6"/>
    <w:rsid w:val="00920BCB"/>
    <w:rsid w:val="0092105D"/>
    <w:rsid w:val="009230DB"/>
    <w:rsid w:val="00923C09"/>
    <w:rsid w:val="00923C0F"/>
    <w:rsid w:val="009245F9"/>
    <w:rsid w:val="00925908"/>
    <w:rsid w:val="00926356"/>
    <w:rsid w:val="00926DAF"/>
    <w:rsid w:val="00930930"/>
    <w:rsid w:val="00930F91"/>
    <w:rsid w:val="0093107C"/>
    <w:rsid w:val="00931275"/>
    <w:rsid w:val="00934A76"/>
    <w:rsid w:val="00934FF9"/>
    <w:rsid w:val="00936AA9"/>
    <w:rsid w:val="0093796B"/>
    <w:rsid w:val="009406CE"/>
    <w:rsid w:val="009407F5"/>
    <w:rsid w:val="00943EDF"/>
    <w:rsid w:val="00944BB2"/>
    <w:rsid w:val="00950AF4"/>
    <w:rsid w:val="0095156A"/>
    <w:rsid w:val="0095255D"/>
    <w:rsid w:val="0095337F"/>
    <w:rsid w:val="00953BAF"/>
    <w:rsid w:val="00956B82"/>
    <w:rsid w:val="009570E0"/>
    <w:rsid w:val="00957692"/>
    <w:rsid w:val="00957DD8"/>
    <w:rsid w:val="00957ED2"/>
    <w:rsid w:val="0096014C"/>
    <w:rsid w:val="009609B3"/>
    <w:rsid w:val="00961E96"/>
    <w:rsid w:val="0096282D"/>
    <w:rsid w:val="00962BB3"/>
    <w:rsid w:val="009642B4"/>
    <w:rsid w:val="00964367"/>
    <w:rsid w:val="0096447E"/>
    <w:rsid w:val="00964764"/>
    <w:rsid w:val="00964C11"/>
    <w:rsid w:val="0096698A"/>
    <w:rsid w:val="00966E0A"/>
    <w:rsid w:val="00970562"/>
    <w:rsid w:val="00971E16"/>
    <w:rsid w:val="0097247B"/>
    <w:rsid w:val="00972867"/>
    <w:rsid w:val="00972966"/>
    <w:rsid w:val="009739B0"/>
    <w:rsid w:val="00974126"/>
    <w:rsid w:val="0097477F"/>
    <w:rsid w:val="00974BB8"/>
    <w:rsid w:val="00976840"/>
    <w:rsid w:val="009778CE"/>
    <w:rsid w:val="00977BE1"/>
    <w:rsid w:val="00977D82"/>
    <w:rsid w:val="0098072B"/>
    <w:rsid w:val="00980742"/>
    <w:rsid w:val="00981225"/>
    <w:rsid w:val="00982582"/>
    <w:rsid w:val="00983FF2"/>
    <w:rsid w:val="0098479F"/>
    <w:rsid w:val="00984D73"/>
    <w:rsid w:val="00985CBC"/>
    <w:rsid w:val="00986316"/>
    <w:rsid w:val="009872D6"/>
    <w:rsid w:val="0099013E"/>
    <w:rsid w:val="009904BD"/>
    <w:rsid w:val="00990693"/>
    <w:rsid w:val="00991A4A"/>
    <w:rsid w:val="00993CAB"/>
    <w:rsid w:val="0099533E"/>
    <w:rsid w:val="009970E9"/>
    <w:rsid w:val="00997501"/>
    <w:rsid w:val="009A02B8"/>
    <w:rsid w:val="009A0452"/>
    <w:rsid w:val="009A0B3E"/>
    <w:rsid w:val="009A17EF"/>
    <w:rsid w:val="009A47EE"/>
    <w:rsid w:val="009A7E63"/>
    <w:rsid w:val="009B0980"/>
    <w:rsid w:val="009B19E1"/>
    <w:rsid w:val="009B204F"/>
    <w:rsid w:val="009B2410"/>
    <w:rsid w:val="009B3212"/>
    <w:rsid w:val="009B4189"/>
    <w:rsid w:val="009B4AC9"/>
    <w:rsid w:val="009B51AA"/>
    <w:rsid w:val="009B5B82"/>
    <w:rsid w:val="009B5BD2"/>
    <w:rsid w:val="009B6E75"/>
    <w:rsid w:val="009B7817"/>
    <w:rsid w:val="009B7B6A"/>
    <w:rsid w:val="009C10E7"/>
    <w:rsid w:val="009C30C0"/>
    <w:rsid w:val="009C3566"/>
    <w:rsid w:val="009C4216"/>
    <w:rsid w:val="009C49F8"/>
    <w:rsid w:val="009C6B96"/>
    <w:rsid w:val="009D19BD"/>
    <w:rsid w:val="009D1D07"/>
    <w:rsid w:val="009D405B"/>
    <w:rsid w:val="009D5246"/>
    <w:rsid w:val="009D601D"/>
    <w:rsid w:val="009E08FD"/>
    <w:rsid w:val="009E11DE"/>
    <w:rsid w:val="009E4146"/>
    <w:rsid w:val="009E442D"/>
    <w:rsid w:val="009E4554"/>
    <w:rsid w:val="009E4F20"/>
    <w:rsid w:val="009E609D"/>
    <w:rsid w:val="009E6C35"/>
    <w:rsid w:val="009E754B"/>
    <w:rsid w:val="009F0221"/>
    <w:rsid w:val="009F1D82"/>
    <w:rsid w:val="009F1DB1"/>
    <w:rsid w:val="009F3084"/>
    <w:rsid w:val="00A00179"/>
    <w:rsid w:val="00A004CC"/>
    <w:rsid w:val="00A03DFA"/>
    <w:rsid w:val="00A05672"/>
    <w:rsid w:val="00A0626A"/>
    <w:rsid w:val="00A0743A"/>
    <w:rsid w:val="00A07BCC"/>
    <w:rsid w:val="00A10344"/>
    <w:rsid w:val="00A1281D"/>
    <w:rsid w:val="00A138C0"/>
    <w:rsid w:val="00A141CA"/>
    <w:rsid w:val="00A15FA8"/>
    <w:rsid w:val="00A17202"/>
    <w:rsid w:val="00A17643"/>
    <w:rsid w:val="00A204E0"/>
    <w:rsid w:val="00A207F2"/>
    <w:rsid w:val="00A21809"/>
    <w:rsid w:val="00A226DC"/>
    <w:rsid w:val="00A2273E"/>
    <w:rsid w:val="00A23EF9"/>
    <w:rsid w:val="00A24295"/>
    <w:rsid w:val="00A24C47"/>
    <w:rsid w:val="00A2534E"/>
    <w:rsid w:val="00A26C3E"/>
    <w:rsid w:val="00A27654"/>
    <w:rsid w:val="00A27B4C"/>
    <w:rsid w:val="00A309EB"/>
    <w:rsid w:val="00A30C8B"/>
    <w:rsid w:val="00A31411"/>
    <w:rsid w:val="00A32BD2"/>
    <w:rsid w:val="00A3384C"/>
    <w:rsid w:val="00A338B3"/>
    <w:rsid w:val="00A33904"/>
    <w:rsid w:val="00A33F28"/>
    <w:rsid w:val="00A36AE1"/>
    <w:rsid w:val="00A36CF5"/>
    <w:rsid w:val="00A44626"/>
    <w:rsid w:val="00A44D62"/>
    <w:rsid w:val="00A4578D"/>
    <w:rsid w:val="00A4614C"/>
    <w:rsid w:val="00A54BD2"/>
    <w:rsid w:val="00A552C2"/>
    <w:rsid w:val="00A55D18"/>
    <w:rsid w:val="00A568D1"/>
    <w:rsid w:val="00A57A33"/>
    <w:rsid w:val="00A60108"/>
    <w:rsid w:val="00A606EE"/>
    <w:rsid w:val="00A64C45"/>
    <w:rsid w:val="00A65007"/>
    <w:rsid w:val="00A66121"/>
    <w:rsid w:val="00A67079"/>
    <w:rsid w:val="00A673A4"/>
    <w:rsid w:val="00A676D7"/>
    <w:rsid w:val="00A70365"/>
    <w:rsid w:val="00A70581"/>
    <w:rsid w:val="00A70DFA"/>
    <w:rsid w:val="00A7125B"/>
    <w:rsid w:val="00A71CE9"/>
    <w:rsid w:val="00A72C3A"/>
    <w:rsid w:val="00A72CC1"/>
    <w:rsid w:val="00A73036"/>
    <w:rsid w:val="00A73089"/>
    <w:rsid w:val="00A74376"/>
    <w:rsid w:val="00A75105"/>
    <w:rsid w:val="00A76860"/>
    <w:rsid w:val="00A768E5"/>
    <w:rsid w:val="00A77A07"/>
    <w:rsid w:val="00A81A96"/>
    <w:rsid w:val="00A82448"/>
    <w:rsid w:val="00A82558"/>
    <w:rsid w:val="00A82982"/>
    <w:rsid w:val="00A8466F"/>
    <w:rsid w:val="00A84E83"/>
    <w:rsid w:val="00A8605B"/>
    <w:rsid w:val="00A86F1D"/>
    <w:rsid w:val="00A879C1"/>
    <w:rsid w:val="00A90471"/>
    <w:rsid w:val="00A90DC6"/>
    <w:rsid w:val="00A91080"/>
    <w:rsid w:val="00A91094"/>
    <w:rsid w:val="00A913DF"/>
    <w:rsid w:val="00A924E6"/>
    <w:rsid w:val="00A9411F"/>
    <w:rsid w:val="00A945C8"/>
    <w:rsid w:val="00A95510"/>
    <w:rsid w:val="00A96083"/>
    <w:rsid w:val="00A96E09"/>
    <w:rsid w:val="00AA0BC4"/>
    <w:rsid w:val="00AA3B54"/>
    <w:rsid w:val="00AA3F95"/>
    <w:rsid w:val="00AA6912"/>
    <w:rsid w:val="00AB0469"/>
    <w:rsid w:val="00AB095D"/>
    <w:rsid w:val="00AB2785"/>
    <w:rsid w:val="00AB45E0"/>
    <w:rsid w:val="00AB5858"/>
    <w:rsid w:val="00AB5F23"/>
    <w:rsid w:val="00AB65DD"/>
    <w:rsid w:val="00AC040A"/>
    <w:rsid w:val="00AC29DF"/>
    <w:rsid w:val="00AC2D36"/>
    <w:rsid w:val="00AC3B31"/>
    <w:rsid w:val="00AC5D88"/>
    <w:rsid w:val="00AC6E48"/>
    <w:rsid w:val="00AD021C"/>
    <w:rsid w:val="00AD06A6"/>
    <w:rsid w:val="00AD1D37"/>
    <w:rsid w:val="00AD21FC"/>
    <w:rsid w:val="00AD253D"/>
    <w:rsid w:val="00AD383D"/>
    <w:rsid w:val="00AD47C4"/>
    <w:rsid w:val="00AD5870"/>
    <w:rsid w:val="00AD5D23"/>
    <w:rsid w:val="00AD675E"/>
    <w:rsid w:val="00AD7584"/>
    <w:rsid w:val="00AD764E"/>
    <w:rsid w:val="00AE05B9"/>
    <w:rsid w:val="00AE113A"/>
    <w:rsid w:val="00AE1291"/>
    <w:rsid w:val="00AE1D13"/>
    <w:rsid w:val="00AE28FD"/>
    <w:rsid w:val="00AE2B23"/>
    <w:rsid w:val="00AE2CB4"/>
    <w:rsid w:val="00AE3D3E"/>
    <w:rsid w:val="00AE3DA6"/>
    <w:rsid w:val="00AE4413"/>
    <w:rsid w:val="00AE5C20"/>
    <w:rsid w:val="00AE5F71"/>
    <w:rsid w:val="00AF2371"/>
    <w:rsid w:val="00AF34F7"/>
    <w:rsid w:val="00AF56D5"/>
    <w:rsid w:val="00B00579"/>
    <w:rsid w:val="00B01D3C"/>
    <w:rsid w:val="00B03AD3"/>
    <w:rsid w:val="00B05919"/>
    <w:rsid w:val="00B07D66"/>
    <w:rsid w:val="00B100D6"/>
    <w:rsid w:val="00B10CF8"/>
    <w:rsid w:val="00B10F20"/>
    <w:rsid w:val="00B1122A"/>
    <w:rsid w:val="00B113F1"/>
    <w:rsid w:val="00B117E0"/>
    <w:rsid w:val="00B11AE4"/>
    <w:rsid w:val="00B172A3"/>
    <w:rsid w:val="00B2160E"/>
    <w:rsid w:val="00B231AD"/>
    <w:rsid w:val="00B2526A"/>
    <w:rsid w:val="00B2651A"/>
    <w:rsid w:val="00B30487"/>
    <w:rsid w:val="00B30EFA"/>
    <w:rsid w:val="00B32059"/>
    <w:rsid w:val="00B33439"/>
    <w:rsid w:val="00B33F69"/>
    <w:rsid w:val="00B34C41"/>
    <w:rsid w:val="00B36854"/>
    <w:rsid w:val="00B3765F"/>
    <w:rsid w:val="00B40211"/>
    <w:rsid w:val="00B404CE"/>
    <w:rsid w:val="00B406C9"/>
    <w:rsid w:val="00B41CF9"/>
    <w:rsid w:val="00B42C3A"/>
    <w:rsid w:val="00B430C6"/>
    <w:rsid w:val="00B43A14"/>
    <w:rsid w:val="00B4508D"/>
    <w:rsid w:val="00B50873"/>
    <w:rsid w:val="00B50F59"/>
    <w:rsid w:val="00B51D4C"/>
    <w:rsid w:val="00B55552"/>
    <w:rsid w:val="00B564F9"/>
    <w:rsid w:val="00B570A1"/>
    <w:rsid w:val="00B5781C"/>
    <w:rsid w:val="00B57F6D"/>
    <w:rsid w:val="00B6050E"/>
    <w:rsid w:val="00B60597"/>
    <w:rsid w:val="00B60A53"/>
    <w:rsid w:val="00B615B0"/>
    <w:rsid w:val="00B61A15"/>
    <w:rsid w:val="00B64DB2"/>
    <w:rsid w:val="00B65DC6"/>
    <w:rsid w:val="00B672EF"/>
    <w:rsid w:val="00B71292"/>
    <w:rsid w:val="00B72F5A"/>
    <w:rsid w:val="00B759EA"/>
    <w:rsid w:val="00B80E72"/>
    <w:rsid w:val="00B80F24"/>
    <w:rsid w:val="00B811C0"/>
    <w:rsid w:val="00B82679"/>
    <w:rsid w:val="00B84D31"/>
    <w:rsid w:val="00B85F4A"/>
    <w:rsid w:val="00B8624A"/>
    <w:rsid w:val="00B86C96"/>
    <w:rsid w:val="00B906E9"/>
    <w:rsid w:val="00B923F6"/>
    <w:rsid w:val="00B92742"/>
    <w:rsid w:val="00B9350F"/>
    <w:rsid w:val="00B965DF"/>
    <w:rsid w:val="00BA00CB"/>
    <w:rsid w:val="00BA1317"/>
    <w:rsid w:val="00BA200D"/>
    <w:rsid w:val="00BA25AD"/>
    <w:rsid w:val="00BA3F4C"/>
    <w:rsid w:val="00BA556B"/>
    <w:rsid w:val="00BA55D6"/>
    <w:rsid w:val="00BA56CE"/>
    <w:rsid w:val="00BA5A6D"/>
    <w:rsid w:val="00BA5C46"/>
    <w:rsid w:val="00BA6653"/>
    <w:rsid w:val="00BA7219"/>
    <w:rsid w:val="00BA7426"/>
    <w:rsid w:val="00BB00F8"/>
    <w:rsid w:val="00BB03D9"/>
    <w:rsid w:val="00BB09AB"/>
    <w:rsid w:val="00BB1D22"/>
    <w:rsid w:val="00BB2CCD"/>
    <w:rsid w:val="00BB3B50"/>
    <w:rsid w:val="00BB4489"/>
    <w:rsid w:val="00BB4E2B"/>
    <w:rsid w:val="00BB563A"/>
    <w:rsid w:val="00BB5DCD"/>
    <w:rsid w:val="00BB76D3"/>
    <w:rsid w:val="00BC184D"/>
    <w:rsid w:val="00BC60FE"/>
    <w:rsid w:val="00BC66CD"/>
    <w:rsid w:val="00BC7287"/>
    <w:rsid w:val="00BC76F0"/>
    <w:rsid w:val="00BC7BB4"/>
    <w:rsid w:val="00BD043B"/>
    <w:rsid w:val="00BD0C31"/>
    <w:rsid w:val="00BD1E96"/>
    <w:rsid w:val="00BD3438"/>
    <w:rsid w:val="00BD3A95"/>
    <w:rsid w:val="00BD4389"/>
    <w:rsid w:val="00BD4B6C"/>
    <w:rsid w:val="00BD4F34"/>
    <w:rsid w:val="00BD5FAA"/>
    <w:rsid w:val="00BD6ADA"/>
    <w:rsid w:val="00BD6C0F"/>
    <w:rsid w:val="00BD70A7"/>
    <w:rsid w:val="00BD77BE"/>
    <w:rsid w:val="00BD7B80"/>
    <w:rsid w:val="00BD7E6F"/>
    <w:rsid w:val="00BE0B82"/>
    <w:rsid w:val="00BE2012"/>
    <w:rsid w:val="00BE2F1F"/>
    <w:rsid w:val="00BE3708"/>
    <w:rsid w:val="00BE51FA"/>
    <w:rsid w:val="00BE7A05"/>
    <w:rsid w:val="00BF0705"/>
    <w:rsid w:val="00BF12F0"/>
    <w:rsid w:val="00BF17EC"/>
    <w:rsid w:val="00BF1830"/>
    <w:rsid w:val="00BF1FE6"/>
    <w:rsid w:val="00BF25A6"/>
    <w:rsid w:val="00BF2C96"/>
    <w:rsid w:val="00BF3D98"/>
    <w:rsid w:val="00BF3F29"/>
    <w:rsid w:val="00BF5A96"/>
    <w:rsid w:val="00BF6CAE"/>
    <w:rsid w:val="00BF7DDA"/>
    <w:rsid w:val="00C00FFC"/>
    <w:rsid w:val="00C018A9"/>
    <w:rsid w:val="00C01B52"/>
    <w:rsid w:val="00C01C97"/>
    <w:rsid w:val="00C022E9"/>
    <w:rsid w:val="00C0245B"/>
    <w:rsid w:val="00C02DC5"/>
    <w:rsid w:val="00C03527"/>
    <w:rsid w:val="00C03DF2"/>
    <w:rsid w:val="00C043A7"/>
    <w:rsid w:val="00C04BBB"/>
    <w:rsid w:val="00C0566C"/>
    <w:rsid w:val="00C0572D"/>
    <w:rsid w:val="00C07D3A"/>
    <w:rsid w:val="00C13CF0"/>
    <w:rsid w:val="00C142B7"/>
    <w:rsid w:val="00C20555"/>
    <w:rsid w:val="00C2116D"/>
    <w:rsid w:val="00C22AD3"/>
    <w:rsid w:val="00C2336E"/>
    <w:rsid w:val="00C23390"/>
    <w:rsid w:val="00C270BC"/>
    <w:rsid w:val="00C27B94"/>
    <w:rsid w:val="00C313DE"/>
    <w:rsid w:val="00C314AB"/>
    <w:rsid w:val="00C315CE"/>
    <w:rsid w:val="00C31A87"/>
    <w:rsid w:val="00C33FE7"/>
    <w:rsid w:val="00C406C1"/>
    <w:rsid w:val="00C41076"/>
    <w:rsid w:val="00C42BF8"/>
    <w:rsid w:val="00C434BC"/>
    <w:rsid w:val="00C44B92"/>
    <w:rsid w:val="00C47CDF"/>
    <w:rsid w:val="00C53FF3"/>
    <w:rsid w:val="00C60858"/>
    <w:rsid w:val="00C61929"/>
    <w:rsid w:val="00C61D9F"/>
    <w:rsid w:val="00C6234F"/>
    <w:rsid w:val="00C6235A"/>
    <w:rsid w:val="00C63056"/>
    <w:rsid w:val="00C634F1"/>
    <w:rsid w:val="00C63508"/>
    <w:rsid w:val="00C65B9A"/>
    <w:rsid w:val="00C66F57"/>
    <w:rsid w:val="00C67037"/>
    <w:rsid w:val="00C7080D"/>
    <w:rsid w:val="00C710C4"/>
    <w:rsid w:val="00C71578"/>
    <w:rsid w:val="00C722C4"/>
    <w:rsid w:val="00C73A1F"/>
    <w:rsid w:val="00C73D9D"/>
    <w:rsid w:val="00C773DC"/>
    <w:rsid w:val="00C77571"/>
    <w:rsid w:val="00C777E3"/>
    <w:rsid w:val="00C77D6A"/>
    <w:rsid w:val="00C82B96"/>
    <w:rsid w:val="00C82D00"/>
    <w:rsid w:val="00C82FCE"/>
    <w:rsid w:val="00C83639"/>
    <w:rsid w:val="00C83F63"/>
    <w:rsid w:val="00C85257"/>
    <w:rsid w:val="00C868F2"/>
    <w:rsid w:val="00C90306"/>
    <w:rsid w:val="00C905D7"/>
    <w:rsid w:val="00C90EDC"/>
    <w:rsid w:val="00C94212"/>
    <w:rsid w:val="00C956A2"/>
    <w:rsid w:val="00C95D7F"/>
    <w:rsid w:val="00C95FE7"/>
    <w:rsid w:val="00C96BDD"/>
    <w:rsid w:val="00C97B9A"/>
    <w:rsid w:val="00C97C61"/>
    <w:rsid w:val="00C97CEF"/>
    <w:rsid w:val="00CA0A80"/>
    <w:rsid w:val="00CA2124"/>
    <w:rsid w:val="00CA3970"/>
    <w:rsid w:val="00CA3C10"/>
    <w:rsid w:val="00CA44C0"/>
    <w:rsid w:val="00CA4725"/>
    <w:rsid w:val="00CA4A92"/>
    <w:rsid w:val="00CA4E46"/>
    <w:rsid w:val="00CA59EA"/>
    <w:rsid w:val="00CA5ECE"/>
    <w:rsid w:val="00CA6B2B"/>
    <w:rsid w:val="00CA766D"/>
    <w:rsid w:val="00CA7ADA"/>
    <w:rsid w:val="00CB0F6E"/>
    <w:rsid w:val="00CB1278"/>
    <w:rsid w:val="00CB2CFD"/>
    <w:rsid w:val="00CB3D8B"/>
    <w:rsid w:val="00CB53D3"/>
    <w:rsid w:val="00CB716D"/>
    <w:rsid w:val="00CB7ADA"/>
    <w:rsid w:val="00CC0077"/>
    <w:rsid w:val="00CC0884"/>
    <w:rsid w:val="00CC0BAF"/>
    <w:rsid w:val="00CC13C5"/>
    <w:rsid w:val="00CC2B47"/>
    <w:rsid w:val="00CC34C7"/>
    <w:rsid w:val="00CC3518"/>
    <w:rsid w:val="00CC36E0"/>
    <w:rsid w:val="00CC38CC"/>
    <w:rsid w:val="00CC4048"/>
    <w:rsid w:val="00CC66FF"/>
    <w:rsid w:val="00CC75A2"/>
    <w:rsid w:val="00CC772A"/>
    <w:rsid w:val="00CD0F6A"/>
    <w:rsid w:val="00CD1F64"/>
    <w:rsid w:val="00CD354D"/>
    <w:rsid w:val="00CD63CC"/>
    <w:rsid w:val="00CD7A1A"/>
    <w:rsid w:val="00CE1EC3"/>
    <w:rsid w:val="00CE41A5"/>
    <w:rsid w:val="00CE4624"/>
    <w:rsid w:val="00CE4A87"/>
    <w:rsid w:val="00CE5A37"/>
    <w:rsid w:val="00CE6F33"/>
    <w:rsid w:val="00CF113E"/>
    <w:rsid w:val="00CF1391"/>
    <w:rsid w:val="00CF287A"/>
    <w:rsid w:val="00CF2F33"/>
    <w:rsid w:val="00CF3AFB"/>
    <w:rsid w:val="00CF43C0"/>
    <w:rsid w:val="00CF51FB"/>
    <w:rsid w:val="00CF58C2"/>
    <w:rsid w:val="00CF6676"/>
    <w:rsid w:val="00CF7FA5"/>
    <w:rsid w:val="00D0111A"/>
    <w:rsid w:val="00D01A81"/>
    <w:rsid w:val="00D01D82"/>
    <w:rsid w:val="00D05E1C"/>
    <w:rsid w:val="00D06754"/>
    <w:rsid w:val="00D10746"/>
    <w:rsid w:val="00D10C00"/>
    <w:rsid w:val="00D125BB"/>
    <w:rsid w:val="00D12E4F"/>
    <w:rsid w:val="00D153E6"/>
    <w:rsid w:val="00D17966"/>
    <w:rsid w:val="00D21467"/>
    <w:rsid w:val="00D215EE"/>
    <w:rsid w:val="00D22FF9"/>
    <w:rsid w:val="00D23474"/>
    <w:rsid w:val="00D238C0"/>
    <w:rsid w:val="00D23A43"/>
    <w:rsid w:val="00D2465B"/>
    <w:rsid w:val="00D264AD"/>
    <w:rsid w:val="00D269D3"/>
    <w:rsid w:val="00D275E1"/>
    <w:rsid w:val="00D301D6"/>
    <w:rsid w:val="00D32C3D"/>
    <w:rsid w:val="00D32E77"/>
    <w:rsid w:val="00D33013"/>
    <w:rsid w:val="00D3336B"/>
    <w:rsid w:val="00D3388D"/>
    <w:rsid w:val="00D411B7"/>
    <w:rsid w:val="00D4211B"/>
    <w:rsid w:val="00D431C2"/>
    <w:rsid w:val="00D43B83"/>
    <w:rsid w:val="00D44167"/>
    <w:rsid w:val="00D45737"/>
    <w:rsid w:val="00D45AA4"/>
    <w:rsid w:val="00D46579"/>
    <w:rsid w:val="00D4680F"/>
    <w:rsid w:val="00D477ED"/>
    <w:rsid w:val="00D50759"/>
    <w:rsid w:val="00D53372"/>
    <w:rsid w:val="00D53574"/>
    <w:rsid w:val="00D54906"/>
    <w:rsid w:val="00D5515C"/>
    <w:rsid w:val="00D55BD4"/>
    <w:rsid w:val="00D57271"/>
    <w:rsid w:val="00D57D7A"/>
    <w:rsid w:val="00D618D9"/>
    <w:rsid w:val="00D61A7D"/>
    <w:rsid w:val="00D62310"/>
    <w:rsid w:val="00D62AF2"/>
    <w:rsid w:val="00D64A06"/>
    <w:rsid w:val="00D651FE"/>
    <w:rsid w:val="00D65F03"/>
    <w:rsid w:val="00D66430"/>
    <w:rsid w:val="00D66D99"/>
    <w:rsid w:val="00D673D0"/>
    <w:rsid w:val="00D678DD"/>
    <w:rsid w:val="00D7223C"/>
    <w:rsid w:val="00D727DC"/>
    <w:rsid w:val="00D74B15"/>
    <w:rsid w:val="00D750C1"/>
    <w:rsid w:val="00D758B1"/>
    <w:rsid w:val="00D7691D"/>
    <w:rsid w:val="00D80212"/>
    <w:rsid w:val="00D8072E"/>
    <w:rsid w:val="00D813CF"/>
    <w:rsid w:val="00D83918"/>
    <w:rsid w:val="00D843FE"/>
    <w:rsid w:val="00D85A36"/>
    <w:rsid w:val="00D85DBE"/>
    <w:rsid w:val="00D868F3"/>
    <w:rsid w:val="00D87AB9"/>
    <w:rsid w:val="00D87C37"/>
    <w:rsid w:val="00D903C5"/>
    <w:rsid w:val="00D9165C"/>
    <w:rsid w:val="00D920A8"/>
    <w:rsid w:val="00D92317"/>
    <w:rsid w:val="00D93715"/>
    <w:rsid w:val="00D96D06"/>
    <w:rsid w:val="00DA034F"/>
    <w:rsid w:val="00DA07CE"/>
    <w:rsid w:val="00DA1C3D"/>
    <w:rsid w:val="00DA418C"/>
    <w:rsid w:val="00DA5630"/>
    <w:rsid w:val="00DA7551"/>
    <w:rsid w:val="00DA77F2"/>
    <w:rsid w:val="00DA7E97"/>
    <w:rsid w:val="00DB1FA4"/>
    <w:rsid w:val="00DB22B9"/>
    <w:rsid w:val="00DB2B39"/>
    <w:rsid w:val="00DB52F5"/>
    <w:rsid w:val="00DB53FE"/>
    <w:rsid w:val="00DB730B"/>
    <w:rsid w:val="00DC0646"/>
    <w:rsid w:val="00DC1BDF"/>
    <w:rsid w:val="00DC585F"/>
    <w:rsid w:val="00DC6706"/>
    <w:rsid w:val="00DC7524"/>
    <w:rsid w:val="00DC758A"/>
    <w:rsid w:val="00DC7DDF"/>
    <w:rsid w:val="00DD1C8B"/>
    <w:rsid w:val="00DD5FDC"/>
    <w:rsid w:val="00DD6B1F"/>
    <w:rsid w:val="00DD6F07"/>
    <w:rsid w:val="00DD757A"/>
    <w:rsid w:val="00DE197F"/>
    <w:rsid w:val="00DE1A16"/>
    <w:rsid w:val="00DE20DA"/>
    <w:rsid w:val="00DE23E9"/>
    <w:rsid w:val="00DE708C"/>
    <w:rsid w:val="00DF02CF"/>
    <w:rsid w:val="00DF08AB"/>
    <w:rsid w:val="00DF0CE3"/>
    <w:rsid w:val="00DF133F"/>
    <w:rsid w:val="00DF6247"/>
    <w:rsid w:val="00DF67D9"/>
    <w:rsid w:val="00E0082E"/>
    <w:rsid w:val="00E00DE0"/>
    <w:rsid w:val="00E014EE"/>
    <w:rsid w:val="00E02DD0"/>
    <w:rsid w:val="00E04ADE"/>
    <w:rsid w:val="00E052AD"/>
    <w:rsid w:val="00E06114"/>
    <w:rsid w:val="00E07D71"/>
    <w:rsid w:val="00E110DD"/>
    <w:rsid w:val="00E118AA"/>
    <w:rsid w:val="00E11BC0"/>
    <w:rsid w:val="00E1306D"/>
    <w:rsid w:val="00E1391D"/>
    <w:rsid w:val="00E147E9"/>
    <w:rsid w:val="00E15203"/>
    <w:rsid w:val="00E16B2A"/>
    <w:rsid w:val="00E16BBA"/>
    <w:rsid w:val="00E210F6"/>
    <w:rsid w:val="00E23948"/>
    <w:rsid w:val="00E245A6"/>
    <w:rsid w:val="00E2461D"/>
    <w:rsid w:val="00E2662C"/>
    <w:rsid w:val="00E272F3"/>
    <w:rsid w:val="00E30D40"/>
    <w:rsid w:val="00E31621"/>
    <w:rsid w:val="00E31648"/>
    <w:rsid w:val="00E32EDE"/>
    <w:rsid w:val="00E346B0"/>
    <w:rsid w:val="00E37F69"/>
    <w:rsid w:val="00E420B6"/>
    <w:rsid w:val="00E438B1"/>
    <w:rsid w:val="00E4559D"/>
    <w:rsid w:val="00E46C5F"/>
    <w:rsid w:val="00E50C3A"/>
    <w:rsid w:val="00E5102A"/>
    <w:rsid w:val="00E54CEB"/>
    <w:rsid w:val="00E55399"/>
    <w:rsid w:val="00E57402"/>
    <w:rsid w:val="00E57B13"/>
    <w:rsid w:val="00E60C09"/>
    <w:rsid w:val="00E60C78"/>
    <w:rsid w:val="00E60FC1"/>
    <w:rsid w:val="00E610B5"/>
    <w:rsid w:val="00E61304"/>
    <w:rsid w:val="00E62715"/>
    <w:rsid w:val="00E649F7"/>
    <w:rsid w:val="00E67301"/>
    <w:rsid w:val="00E67676"/>
    <w:rsid w:val="00E70A8C"/>
    <w:rsid w:val="00E71480"/>
    <w:rsid w:val="00E72BA9"/>
    <w:rsid w:val="00E73CA6"/>
    <w:rsid w:val="00E74FF1"/>
    <w:rsid w:val="00E75A3B"/>
    <w:rsid w:val="00E75EF5"/>
    <w:rsid w:val="00E7703F"/>
    <w:rsid w:val="00E80ED0"/>
    <w:rsid w:val="00E80FCE"/>
    <w:rsid w:val="00E81B2F"/>
    <w:rsid w:val="00E81E0A"/>
    <w:rsid w:val="00E8320B"/>
    <w:rsid w:val="00E8363A"/>
    <w:rsid w:val="00E84A4D"/>
    <w:rsid w:val="00E84A78"/>
    <w:rsid w:val="00E86BAC"/>
    <w:rsid w:val="00E86C98"/>
    <w:rsid w:val="00E86DCC"/>
    <w:rsid w:val="00E87130"/>
    <w:rsid w:val="00E90797"/>
    <w:rsid w:val="00E91364"/>
    <w:rsid w:val="00E92103"/>
    <w:rsid w:val="00E92D86"/>
    <w:rsid w:val="00E9387A"/>
    <w:rsid w:val="00E95A89"/>
    <w:rsid w:val="00E95AA9"/>
    <w:rsid w:val="00E97822"/>
    <w:rsid w:val="00EA040A"/>
    <w:rsid w:val="00EA044B"/>
    <w:rsid w:val="00EA0EAE"/>
    <w:rsid w:val="00EA1B7A"/>
    <w:rsid w:val="00EA2D54"/>
    <w:rsid w:val="00EA30CF"/>
    <w:rsid w:val="00EA3A5C"/>
    <w:rsid w:val="00EA3F34"/>
    <w:rsid w:val="00EA4478"/>
    <w:rsid w:val="00EA4A9A"/>
    <w:rsid w:val="00EA4B3F"/>
    <w:rsid w:val="00EA4F6E"/>
    <w:rsid w:val="00EA583D"/>
    <w:rsid w:val="00EA58ED"/>
    <w:rsid w:val="00EA7BDE"/>
    <w:rsid w:val="00EB09C6"/>
    <w:rsid w:val="00EB0EF3"/>
    <w:rsid w:val="00EB23CA"/>
    <w:rsid w:val="00EB2A82"/>
    <w:rsid w:val="00EB4318"/>
    <w:rsid w:val="00EB5577"/>
    <w:rsid w:val="00EB64CF"/>
    <w:rsid w:val="00EB7055"/>
    <w:rsid w:val="00EB7062"/>
    <w:rsid w:val="00EB7097"/>
    <w:rsid w:val="00EC0862"/>
    <w:rsid w:val="00EC0D38"/>
    <w:rsid w:val="00EC1136"/>
    <w:rsid w:val="00EC1819"/>
    <w:rsid w:val="00EC182C"/>
    <w:rsid w:val="00EC417A"/>
    <w:rsid w:val="00EC58BA"/>
    <w:rsid w:val="00EC5CD3"/>
    <w:rsid w:val="00ED18F1"/>
    <w:rsid w:val="00ED29FE"/>
    <w:rsid w:val="00ED2D1E"/>
    <w:rsid w:val="00ED3142"/>
    <w:rsid w:val="00ED316B"/>
    <w:rsid w:val="00ED4D2D"/>
    <w:rsid w:val="00ED55A6"/>
    <w:rsid w:val="00EE107C"/>
    <w:rsid w:val="00EE14AF"/>
    <w:rsid w:val="00EE5826"/>
    <w:rsid w:val="00EE6322"/>
    <w:rsid w:val="00EE6CEC"/>
    <w:rsid w:val="00EE6EC7"/>
    <w:rsid w:val="00EE6FA2"/>
    <w:rsid w:val="00EE6FED"/>
    <w:rsid w:val="00EE72A1"/>
    <w:rsid w:val="00EE7957"/>
    <w:rsid w:val="00EF2C8F"/>
    <w:rsid w:val="00EF2ED3"/>
    <w:rsid w:val="00EF305B"/>
    <w:rsid w:val="00EF396A"/>
    <w:rsid w:val="00EF5F93"/>
    <w:rsid w:val="00EF68A9"/>
    <w:rsid w:val="00F01215"/>
    <w:rsid w:val="00F01341"/>
    <w:rsid w:val="00F053EC"/>
    <w:rsid w:val="00F061A1"/>
    <w:rsid w:val="00F072C6"/>
    <w:rsid w:val="00F10229"/>
    <w:rsid w:val="00F10412"/>
    <w:rsid w:val="00F108E6"/>
    <w:rsid w:val="00F10DFF"/>
    <w:rsid w:val="00F11CEB"/>
    <w:rsid w:val="00F12677"/>
    <w:rsid w:val="00F12B2F"/>
    <w:rsid w:val="00F1381B"/>
    <w:rsid w:val="00F1429D"/>
    <w:rsid w:val="00F14552"/>
    <w:rsid w:val="00F14875"/>
    <w:rsid w:val="00F14AFF"/>
    <w:rsid w:val="00F1560B"/>
    <w:rsid w:val="00F157B5"/>
    <w:rsid w:val="00F15C08"/>
    <w:rsid w:val="00F17C96"/>
    <w:rsid w:val="00F17EFB"/>
    <w:rsid w:val="00F20D55"/>
    <w:rsid w:val="00F20EAE"/>
    <w:rsid w:val="00F21931"/>
    <w:rsid w:val="00F220FC"/>
    <w:rsid w:val="00F22AD4"/>
    <w:rsid w:val="00F243B9"/>
    <w:rsid w:val="00F244C6"/>
    <w:rsid w:val="00F25347"/>
    <w:rsid w:val="00F26232"/>
    <w:rsid w:val="00F26729"/>
    <w:rsid w:val="00F270EB"/>
    <w:rsid w:val="00F30F61"/>
    <w:rsid w:val="00F30FBF"/>
    <w:rsid w:val="00F329E8"/>
    <w:rsid w:val="00F33C6C"/>
    <w:rsid w:val="00F3417E"/>
    <w:rsid w:val="00F34717"/>
    <w:rsid w:val="00F35411"/>
    <w:rsid w:val="00F35480"/>
    <w:rsid w:val="00F36546"/>
    <w:rsid w:val="00F36D45"/>
    <w:rsid w:val="00F37D8B"/>
    <w:rsid w:val="00F37E83"/>
    <w:rsid w:val="00F43AC1"/>
    <w:rsid w:val="00F46534"/>
    <w:rsid w:val="00F476ED"/>
    <w:rsid w:val="00F515AE"/>
    <w:rsid w:val="00F51D15"/>
    <w:rsid w:val="00F522DF"/>
    <w:rsid w:val="00F551BD"/>
    <w:rsid w:val="00F600B1"/>
    <w:rsid w:val="00F61A05"/>
    <w:rsid w:val="00F62B4C"/>
    <w:rsid w:val="00F676F0"/>
    <w:rsid w:val="00F7353A"/>
    <w:rsid w:val="00F73926"/>
    <w:rsid w:val="00F74293"/>
    <w:rsid w:val="00F74D44"/>
    <w:rsid w:val="00F75B60"/>
    <w:rsid w:val="00F75D8F"/>
    <w:rsid w:val="00F7696E"/>
    <w:rsid w:val="00F76AD2"/>
    <w:rsid w:val="00F81BEA"/>
    <w:rsid w:val="00F8324B"/>
    <w:rsid w:val="00F84D5F"/>
    <w:rsid w:val="00F85526"/>
    <w:rsid w:val="00F85C38"/>
    <w:rsid w:val="00F86D2B"/>
    <w:rsid w:val="00F871B1"/>
    <w:rsid w:val="00F90769"/>
    <w:rsid w:val="00F90F6B"/>
    <w:rsid w:val="00F92C5E"/>
    <w:rsid w:val="00F930BD"/>
    <w:rsid w:val="00F93710"/>
    <w:rsid w:val="00F947AC"/>
    <w:rsid w:val="00F95D8D"/>
    <w:rsid w:val="00F95DB1"/>
    <w:rsid w:val="00F967DF"/>
    <w:rsid w:val="00F96A2B"/>
    <w:rsid w:val="00F96F53"/>
    <w:rsid w:val="00F97A78"/>
    <w:rsid w:val="00FA0955"/>
    <w:rsid w:val="00FA0E13"/>
    <w:rsid w:val="00FA10EB"/>
    <w:rsid w:val="00FA197E"/>
    <w:rsid w:val="00FA2233"/>
    <w:rsid w:val="00FA2F49"/>
    <w:rsid w:val="00FA31F0"/>
    <w:rsid w:val="00FA372C"/>
    <w:rsid w:val="00FA3AC6"/>
    <w:rsid w:val="00FA3F7D"/>
    <w:rsid w:val="00FA4BB3"/>
    <w:rsid w:val="00FA64EB"/>
    <w:rsid w:val="00FA69FD"/>
    <w:rsid w:val="00FA6DF1"/>
    <w:rsid w:val="00FA7FD8"/>
    <w:rsid w:val="00FB0B75"/>
    <w:rsid w:val="00FB0CD4"/>
    <w:rsid w:val="00FB0EA8"/>
    <w:rsid w:val="00FB26E6"/>
    <w:rsid w:val="00FB4B85"/>
    <w:rsid w:val="00FB5303"/>
    <w:rsid w:val="00FB5EEF"/>
    <w:rsid w:val="00FC1BD6"/>
    <w:rsid w:val="00FC2E10"/>
    <w:rsid w:val="00FC382A"/>
    <w:rsid w:val="00FC3B7F"/>
    <w:rsid w:val="00FC3C14"/>
    <w:rsid w:val="00FC3F40"/>
    <w:rsid w:val="00FC4728"/>
    <w:rsid w:val="00FC47E2"/>
    <w:rsid w:val="00FC493E"/>
    <w:rsid w:val="00FC5626"/>
    <w:rsid w:val="00FC608B"/>
    <w:rsid w:val="00FC6CCC"/>
    <w:rsid w:val="00FD1620"/>
    <w:rsid w:val="00FD2542"/>
    <w:rsid w:val="00FD3FE9"/>
    <w:rsid w:val="00FD41EB"/>
    <w:rsid w:val="00FD441B"/>
    <w:rsid w:val="00FD57BB"/>
    <w:rsid w:val="00FD596F"/>
    <w:rsid w:val="00FD5F77"/>
    <w:rsid w:val="00FD61AC"/>
    <w:rsid w:val="00FD7E51"/>
    <w:rsid w:val="00FE31AA"/>
    <w:rsid w:val="00FE32C2"/>
    <w:rsid w:val="00FE4316"/>
    <w:rsid w:val="00FE4B9C"/>
    <w:rsid w:val="00FE5320"/>
    <w:rsid w:val="00FE7497"/>
    <w:rsid w:val="00FF0C3B"/>
    <w:rsid w:val="00FF14B5"/>
    <w:rsid w:val="00FF2675"/>
    <w:rsid w:val="00FF2F99"/>
    <w:rsid w:val="00FF3C00"/>
    <w:rsid w:val="00FF5BA9"/>
    <w:rsid w:val="00FF6FF5"/>
    <w:rsid w:val="00FF7117"/>
    <w:rsid w:val="00FF7303"/>
    <w:rsid w:val="023E72DD"/>
    <w:rsid w:val="032014FF"/>
    <w:rsid w:val="06CEB1BF"/>
    <w:rsid w:val="06E9E4A8"/>
    <w:rsid w:val="06FF9887"/>
    <w:rsid w:val="07E6AC85"/>
    <w:rsid w:val="09151448"/>
    <w:rsid w:val="0954EC99"/>
    <w:rsid w:val="0AB28F54"/>
    <w:rsid w:val="0CDE3617"/>
    <w:rsid w:val="0D9DC20C"/>
    <w:rsid w:val="0DAADCA1"/>
    <w:rsid w:val="0DBB5828"/>
    <w:rsid w:val="0DC949ED"/>
    <w:rsid w:val="0DFB8102"/>
    <w:rsid w:val="0E37A318"/>
    <w:rsid w:val="12228BC8"/>
    <w:rsid w:val="122F953E"/>
    <w:rsid w:val="125A3DC7"/>
    <w:rsid w:val="12EEDF39"/>
    <w:rsid w:val="12F5B478"/>
    <w:rsid w:val="13225FD6"/>
    <w:rsid w:val="13D93AF7"/>
    <w:rsid w:val="13E72ACD"/>
    <w:rsid w:val="14167674"/>
    <w:rsid w:val="16FBF3B6"/>
    <w:rsid w:val="18CADD46"/>
    <w:rsid w:val="196A81F1"/>
    <w:rsid w:val="19E6F2DF"/>
    <w:rsid w:val="1A7A3CCD"/>
    <w:rsid w:val="1A8CCA41"/>
    <w:rsid w:val="1B75446D"/>
    <w:rsid w:val="1C1F3A18"/>
    <w:rsid w:val="1C99A6B5"/>
    <w:rsid w:val="1CED7256"/>
    <w:rsid w:val="1E2C82B0"/>
    <w:rsid w:val="1F020BF3"/>
    <w:rsid w:val="1F55542A"/>
    <w:rsid w:val="201D6A2A"/>
    <w:rsid w:val="20C97E63"/>
    <w:rsid w:val="2342CFD3"/>
    <w:rsid w:val="23BA20C6"/>
    <w:rsid w:val="23DAF934"/>
    <w:rsid w:val="23F4DB2B"/>
    <w:rsid w:val="2407BBC1"/>
    <w:rsid w:val="25A02DD7"/>
    <w:rsid w:val="25ECEADF"/>
    <w:rsid w:val="26A48A3C"/>
    <w:rsid w:val="26ABAA1B"/>
    <w:rsid w:val="2706C4F7"/>
    <w:rsid w:val="274C0677"/>
    <w:rsid w:val="280B5F05"/>
    <w:rsid w:val="284E95FB"/>
    <w:rsid w:val="28CE4799"/>
    <w:rsid w:val="29E1349B"/>
    <w:rsid w:val="29E72730"/>
    <w:rsid w:val="29F8E530"/>
    <w:rsid w:val="2A1F8EB2"/>
    <w:rsid w:val="2A7A4F8E"/>
    <w:rsid w:val="2A96AAA8"/>
    <w:rsid w:val="2ACEB206"/>
    <w:rsid w:val="2AFADAF5"/>
    <w:rsid w:val="2AFC7ABA"/>
    <w:rsid w:val="2B249ABB"/>
    <w:rsid w:val="2C538143"/>
    <w:rsid w:val="2E114FE2"/>
    <w:rsid w:val="306B0D54"/>
    <w:rsid w:val="30D2BE5B"/>
    <w:rsid w:val="30DE83BD"/>
    <w:rsid w:val="329A82B1"/>
    <w:rsid w:val="33022F10"/>
    <w:rsid w:val="3340129D"/>
    <w:rsid w:val="34820857"/>
    <w:rsid w:val="34C67D2A"/>
    <w:rsid w:val="35E65CD7"/>
    <w:rsid w:val="363576A6"/>
    <w:rsid w:val="3798A1C1"/>
    <w:rsid w:val="37E61136"/>
    <w:rsid w:val="38136EDA"/>
    <w:rsid w:val="3842A9E7"/>
    <w:rsid w:val="390F0A72"/>
    <w:rsid w:val="3ABFF17D"/>
    <w:rsid w:val="3D5294F7"/>
    <w:rsid w:val="3D7165C6"/>
    <w:rsid w:val="3DD501D6"/>
    <w:rsid w:val="3DE115BD"/>
    <w:rsid w:val="3E07790D"/>
    <w:rsid w:val="3F7416C0"/>
    <w:rsid w:val="4006F6AD"/>
    <w:rsid w:val="40B5FC98"/>
    <w:rsid w:val="40D8209A"/>
    <w:rsid w:val="413A14A1"/>
    <w:rsid w:val="4152C8D3"/>
    <w:rsid w:val="4250AD9D"/>
    <w:rsid w:val="426D7197"/>
    <w:rsid w:val="4277A3C8"/>
    <w:rsid w:val="43198628"/>
    <w:rsid w:val="44230373"/>
    <w:rsid w:val="44BA3745"/>
    <w:rsid w:val="44C4E4ED"/>
    <w:rsid w:val="45C5FF60"/>
    <w:rsid w:val="45CB42D3"/>
    <w:rsid w:val="46BDEEAB"/>
    <w:rsid w:val="48C57877"/>
    <w:rsid w:val="4B9F3047"/>
    <w:rsid w:val="4C00BA8D"/>
    <w:rsid w:val="4D4C80AE"/>
    <w:rsid w:val="4D7C6706"/>
    <w:rsid w:val="4E055B34"/>
    <w:rsid w:val="4F3F5618"/>
    <w:rsid w:val="509E1228"/>
    <w:rsid w:val="51FBA2E8"/>
    <w:rsid w:val="520BD14C"/>
    <w:rsid w:val="5231C999"/>
    <w:rsid w:val="52521B09"/>
    <w:rsid w:val="52E71F1C"/>
    <w:rsid w:val="52F1C162"/>
    <w:rsid w:val="54A32051"/>
    <w:rsid w:val="54C9E59E"/>
    <w:rsid w:val="5626172F"/>
    <w:rsid w:val="572595AD"/>
    <w:rsid w:val="5770E9BA"/>
    <w:rsid w:val="57D3816A"/>
    <w:rsid w:val="59972986"/>
    <w:rsid w:val="59E0890A"/>
    <w:rsid w:val="59E793AF"/>
    <w:rsid w:val="5A20D253"/>
    <w:rsid w:val="5B0CE662"/>
    <w:rsid w:val="5B52F3FF"/>
    <w:rsid w:val="5D193FEE"/>
    <w:rsid w:val="5E55A65A"/>
    <w:rsid w:val="5F60242C"/>
    <w:rsid w:val="606BBBA1"/>
    <w:rsid w:val="60E052F1"/>
    <w:rsid w:val="62E84F04"/>
    <w:rsid w:val="62F7CE63"/>
    <w:rsid w:val="632BF4A0"/>
    <w:rsid w:val="643281C8"/>
    <w:rsid w:val="64750C6E"/>
    <w:rsid w:val="65B14D97"/>
    <w:rsid w:val="663E1245"/>
    <w:rsid w:val="664E4BF6"/>
    <w:rsid w:val="693E293C"/>
    <w:rsid w:val="6BF0E62C"/>
    <w:rsid w:val="6C6B8823"/>
    <w:rsid w:val="6C952B2A"/>
    <w:rsid w:val="6DF39696"/>
    <w:rsid w:val="6E28BA75"/>
    <w:rsid w:val="6F1FD0CC"/>
    <w:rsid w:val="6F3FDA6E"/>
    <w:rsid w:val="6F654CD4"/>
    <w:rsid w:val="7157A557"/>
    <w:rsid w:val="71ADE2AF"/>
    <w:rsid w:val="7213DA06"/>
    <w:rsid w:val="73241326"/>
    <w:rsid w:val="739E5687"/>
    <w:rsid w:val="74664E8B"/>
    <w:rsid w:val="74E997E9"/>
    <w:rsid w:val="7562B63C"/>
    <w:rsid w:val="76573138"/>
    <w:rsid w:val="76B59733"/>
    <w:rsid w:val="7733B0F3"/>
    <w:rsid w:val="78F69205"/>
    <w:rsid w:val="79A2C8D3"/>
    <w:rsid w:val="7B00825B"/>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0D614C9E-C4F0-4E01-86BF-207024F8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aliases w:val="Heading 2 Char1,Heading 2 Char Char"/>
    <w:basedOn w:val="Normal"/>
    <w:next w:val="Heading3"/>
    <w:link w:val="Heading2Char"/>
    <w:qFormat/>
    <w:rsid w:val="00292E6D"/>
    <w:pPr>
      <w:keepNext/>
      <w:spacing w:before="120" w:after="120"/>
      <w:outlineLvl w:val="1"/>
    </w:pPr>
    <w:rPr>
      <w:rFonts w:ascii="Arial" w:eastAsia="Times New Roman" w:hAnsi="Arial" w:cs="Times New Roman"/>
      <w:b/>
      <w:smallCaps/>
      <w:sz w:val="28"/>
      <w:szCs w:val="20"/>
      <w:lang w:val="x-none" w:eastAsia="x-none"/>
    </w:rPr>
  </w:style>
  <w:style w:type="paragraph" w:styleId="Heading3">
    <w:name w:val="heading 3"/>
    <w:basedOn w:val="Normal"/>
    <w:next w:val="Normal"/>
    <w:link w:val="Heading3Char"/>
    <w:uiPriority w:val="9"/>
    <w:semiHidden/>
    <w:unhideWhenUsed/>
    <w:qFormat/>
    <w:rsid w:val="00292E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rsid w:val="00F329E8"/>
    <w:rPr>
      <w:sz w:val="16"/>
    </w:rPr>
  </w:style>
  <w:style w:type="paragraph" w:styleId="CommentText">
    <w:name w:val="annotation text"/>
    <w:basedOn w:val="Normal"/>
    <w:link w:val="CommentTextChar"/>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aliases w:val="Heading 2 Char1 Char,Heading 2 Char Char Char"/>
    <w:basedOn w:val="DefaultParagraphFont"/>
    <w:link w:val="Heading2"/>
    <w:rsid w:val="00292E6D"/>
    <w:rPr>
      <w:rFonts w:ascii="Arial" w:eastAsia="Times New Roman" w:hAnsi="Arial" w:cs="Times New Roman"/>
      <w:b/>
      <w:smallCaps/>
      <w:sz w:val="28"/>
      <w:szCs w:val="20"/>
      <w:lang w:val="x-none" w:eastAsia="x-none"/>
    </w:rPr>
  </w:style>
  <w:style w:type="character" w:customStyle="1" w:styleId="Heading3Char">
    <w:name w:val="Heading 3 Char"/>
    <w:basedOn w:val="DefaultParagraphFont"/>
    <w:link w:val="Heading3"/>
    <w:uiPriority w:val="9"/>
    <w:semiHidden/>
    <w:rsid w:val="00292E6D"/>
    <w:rPr>
      <w:rFonts w:asciiTheme="majorHAnsi" w:eastAsiaTheme="majorEastAsia" w:hAnsiTheme="majorHAnsi" w:cstheme="majorBidi"/>
      <w:color w:val="243F60" w:themeColor="accent1" w:themeShade="7F"/>
    </w:rPr>
  </w:style>
  <w:style w:type="paragraph" w:styleId="ListBullet">
    <w:name w:val="List Bullet"/>
    <w:basedOn w:val="Normal"/>
    <w:autoRedefine/>
    <w:rsid w:val="00EE5826"/>
    <w:pPr>
      <w:keepLines/>
      <w:widowControl w:val="0"/>
      <w:numPr>
        <w:ilvl w:val="4"/>
        <w:numId w:val="3"/>
      </w:numPr>
      <w:spacing w:after="120"/>
      <w:ind w:left="2430"/>
    </w:pPr>
    <w:rPr>
      <w:rFonts w:ascii="Tahoma" w:eastAsia="Tahoma" w:hAnsi="Tahoma" w:cs="Tahoma"/>
    </w:rPr>
  </w:style>
  <w:style w:type="character" w:customStyle="1" w:styleId="cf01">
    <w:name w:val="cf01"/>
    <w:basedOn w:val="DefaultParagraphFont"/>
    <w:rsid w:val="002652F2"/>
    <w:rPr>
      <w:rFonts w:ascii="Segoe UI" w:hAnsi="Segoe UI" w:cs="Segoe UI" w:hint="default"/>
      <w:sz w:val="18"/>
      <w:szCs w:val="18"/>
    </w:rPr>
  </w:style>
  <w:style w:type="paragraph" w:styleId="EndnoteText">
    <w:name w:val="endnote text"/>
    <w:basedOn w:val="Normal"/>
    <w:link w:val="EndnoteTextChar"/>
    <w:uiPriority w:val="99"/>
    <w:semiHidden/>
    <w:unhideWhenUsed/>
    <w:rsid w:val="003E291A"/>
    <w:rPr>
      <w:sz w:val="20"/>
      <w:szCs w:val="20"/>
    </w:rPr>
  </w:style>
  <w:style w:type="character" w:customStyle="1" w:styleId="EndnoteTextChar">
    <w:name w:val="Endnote Text Char"/>
    <w:basedOn w:val="DefaultParagraphFont"/>
    <w:link w:val="EndnoteText"/>
    <w:uiPriority w:val="99"/>
    <w:semiHidden/>
    <w:rsid w:val="003E291A"/>
    <w:rPr>
      <w:sz w:val="20"/>
      <w:szCs w:val="20"/>
    </w:rPr>
  </w:style>
  <w:style w:type="character" w:styleId="EndnoteReference">
    <w:name w:val="endnote reference"/>
    <w:basedOn w:val="DefaultParagraphFont"/>
    <w:uiPriority w:val="99"/>
    <w:semiHidden/>
    <w:unhideWhenUsed/>
    <w:rsid w:val="003E291A"/>
    <w:rPr>
      <w:vertAlign w:val="superscript"/>
    </w:rPr>
  </w:style>
  <w:style w:type="character" w:customStyle="1" w:styleId="findhit">
    <w:name w:val="findhit"/>
    <w:basedOn w:val="DefaultParagraphFont"/>
    <w:rsid w:val="00A4578D"/>
  </w:style>
  <w:style w:type="character" w:styleId="Strong">
    <w:name w:val="Strong"/>
    <w:uiPriority w:val="22"/>
    <w:qFormat/>
    <w:rsid w:val="005A74FF"/>
    <w:rPr>
      <w:b/>
      <w:bCs/>
    </w:rPr>
  </w:style>
  <w:style w:type="paragraph" w:styleId="NormalWeb">
    <w:name w:val="Normal (Web)"/>
    <w:basedOn w:val="Normal"/>
    <w:uiPriority w:val="99"/>
    <w:rsid w:val="00B3765F"/>
    <w:pPr>
      <w:spacing w:before="100" w:beforeAutospacing="1" w:after="100" w:afterAutospacing="1"/>
    </w:pPr>
    <w:rPr>
      <w:rFonts w:ascii="Arial" w:eastAsia="Times New Roman" w:hAnsi="Arial" w:cs="Arial"/>
    </w:rPr>
  </w:style>
  <w:style w:type="table" w:customStyle="1" w:styleId="TableGrid1">
    <w:name w:val="Table Grid1"/>
    <w:basedOn w:val="TableNormal"/>
    <w:next w:val="TableGrid"/>
    <w:rsid w:val="0000431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309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D076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703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6084">
      <w:bodyDiv w:val="1"/>
      <w:marLeft w:val="0"/>
      <w:marRight w:val="0"/>
      <w:marTop w:val="0"/>
      <w:marBottom w:val="0"/>
      <w:divBdr>
        <w:top w:val="none" w:sz="0" w:space="0" w:color="auto"/>
        <w:left w:val="none" w:sz="0" w:space="0" w:color="auto"/>
        <w:bottom w:val="none" w:sz="0" w:space="0" w:color="auto"/>
        <w:right w:val="none" w:sz="0" w:space="0" w:color="auto"/>
      </w:divBdr>
      <w:divsChild>
        <w:div w:id="409734129">
          <w:marLeft w:val="0"/>
          <w:marRight w:val="0"/>
          <w:marTop w:val="0"/>
          <w:marBottom w:val="0"/>
          <w:divBdr>
            <w:top w:val="none" w:sz="0" w:space="0" w:color="auto"/>
            <w:left w:val="none" w:sz="0" w:space="0" w:color="auto"/>
            <w:bottom w:val="none" w:sz="0" w:space="0" w:color="auto"/>
            <w:right w:val="none" w:sz="0" w:space="0" w:color="auto"/>
          </w:divBdr>
        </w:div>
        <w:div w:id="697124411">
          <w:marLeft w:val="0"/>
          <w:marRight w:val="0"/>
          <w:marTop w:val="0"/>
          <w:marBottom w:val="0"/>
          <w:divBdr>
            <w:top w:val="none" w:sz="0" w:space="0" w:color="auto"/>
            <w:left w:val="none" w:sz="0" w:space="0" w:color="auto"/>
            <w:bottom w:val="none" w:sz="0" w:space="0" w:color="auto"/>
            <w:right w:val="none" w:sz="0" w:space="0" w:color="auto"/>
          </w:divBdr>
        </w:div>
        <w:div w:id="740980996">
          <w:marLeft w:val="0"/>
          <w:marRight w:val="0"/>
          <w:marTop w:val="0"/>
          <w:marBottom w:val="0"/>
          <w:divBdr>
            <w:top w:val="none" w:sz="0" w:space="0" w:color="auto"/>
            <w:left w:val="none" w:sz="0" w:space="0" w:color="auto"/>
            <w:bottom w:val="none" w:sz="0" w:space="0" w:color="auto"/>
            <w:right w:val="none" w:sz="0" w:space="0" w:color="auto"/>
          </w:divBdr>
        </w:div>
        <w:div w:id="1925332687">
          <w:marLeft w:val="0"/>
          <w:marRight w:val="0"/>
          <w:marTop w:val="0"/>
          <w:marBottom w:val="0"/>
          <w:divBdr>
            <w:top w:val="none" w:sz="0" w:space="0" w:color="auto"/>
            <w:left w:val="none" w:sz="0" w:space="0" w:color="auto"/>
            <w:bottom w:val="none" w:sz="0" w:space="0" w:color="auto"/>
            <w:right w:val="none" w:sz="0" w:space="0" w:color="auto"/>
          </w:divBdr>
        </w:div>
      </w:divsChild>
    </w:div>
    <w:div w:id="1159417695">
      <w:bodyDiv w:val="1"/>
      <w:marLeft w:val="0"/>
      <w:marRight w:val="0"/>
      <w:marTop w:val="0"/>
      <w:marBottom w:val="0"/>
      <w:divBdr>
        <w:top w:val="none" w:sz="0" w:space="0" w:color="auto"/>
        <w:left w:val="none" w:sz="0" w:space="0" w:color="auto"/>
        <w:bottom w:val="none" w:sz="0" w:space="0" w:color="auto"/>
        <w:right w:val="none" w:sz="0" w:space="0" w:color="auto"/>
      </w:divBdr>
      <w:divsChild>
        <w:div w:id="855771219">
          <w:marLeft w:val="0"/>
          <w:marRight w:val="0"/>
          <w:marTop w:val="0"/>
          <w:marBottom w:val="0"/>
          <w:divBdr>
            <w:top w:val="none" w:sz="0" w:space="0" w:color="auto"/>
            <w:left w:val="none" w:sz="0" w:space="0" w:color="auto"/>
            <w:bottom w:val="none" w:sz="0" w:space="0" w:color="auto"/>
            <w:right w:val="none" w:sz="0" w:space="0" w:color="auto"/>
          </w:divBdr>
          <w:divsChild>
            <w:div w:id="234244860">
              <w:marLeft w:val="0"/>
              <w:marRight w:val="0"/>
              <w:marTop w:val="0"/>
              <w:marBottom w:val="0"/>
              <w:divBdr>
                <w:top w:val="none" w:sz="0" w:space="0" w:color="auto"/>
                <w:left w:val="none" w:sz="0" w:space="0" w:color="auto"/>
                <w:bottom w:val="none" w:sz="0" w:space="0" w:color="auto"/>
                <w:right w:val="none" w:sz="0" w:space="0" w:color="auto"/>
              </w:divBdr>
            </w:div>
            <w:div w:id="872503236">
              <w:marLeft w:val="0"/>
              <w:marRight w:val="0"/>
              <w:marTop w:val="0"/>
              <w:marBottom w:val="0"/>
              <w:divBdr>
                <w:top w:val="none" w:sz="0" w:space="0" w:color="auto"/>
                <w:left w:val="none" w:sz="0" w:space="0" w:color="auto"/>
                <w:bottom w:val="none" w:sz="0" w:space="0" w:color="auto"/>
                <w:right w:val="none" w:sz="0" w:space="0" w:color="auto"/>
              </w:divBdr>
            </w:div>
            <w:div w:id="924070740">
              <w:marLeft w:val="0"/>
              <w:marRight w:val="0"/>
              <w:marTop w:val="0"/>
              <w:marBottom w:val="0"/>
              <w:divBdr>
                <w:top w:val="none" w:sz="0" w:space="0" w:color="auto"/>
                <w:left w:val="none" w:sz="0" w:space="0" w:color="auto"/>
                <w:bottom w:val="none" w:sz="0" w:space="0" w:color="auto"/>
                <w:right w:val="none" w:sz="0" w:space="0" w:color="auto"/>
              </w:divBdr>
            </w:div>
            <w:div w:id="1140923847">
              <w:marLeft w:val="0"/>
              <w:marRight w:val="0"/>
              <w:marTop w:val="0"/>
              <w:marBottom w:val="0"/>
              <w:divBdr>
                <w:top w:val="none" w:sz="0" w:space="0" w:color="auto"/>
                <w:left w:val="none" w:sz="0" w:space="0" w:color="auto"/>
                <w:bottom w:val="none" w:sz="0" w:space="0" w:color="auto"/>
                <w:right w:val="none" w:sz="0" w:space="0" w:color="auto"/>
              </w:divBdr>
            </w:div>
            <w:div w:id="1276869647">
              <w:marLeft w:val="0"/>
              <w:marRight w:val="0"/>
              <w:marTop w:val="0"/>
              <w:marBottom w:val="0"/>
              <w:divBdr>
                <w:top w:val="none" w:sz="0" w:space="0" w:color="auto"/>
                <w:left w:val="none" w:sz="0" w:space="0" w:color="auto"/>
                <w:bottom w:val="none" w:sz="0" w:space="0" w:color="auto"/>
                <w:right w:val="none" w:sz="0" w:space="0" w:color="auto"/>
              </w:divBdr>
            </w:div>
            <w:div w:id="1630358117">
              <w:marLeft w:val="0"/>
              <w:marRight w:val="0"/>
              <w:marTop w:val="0"/>
              <w:marBottom w:val="0"/>
              <w:divBdr>
                <w:top w:val="none" w:sz="0" w:space="0" w:color="auto"/>
                <w:left w:val="none" w:sz="0" w:space="0" w:color="auto"/>
                <w:bottom w:val="none" w:sz="0" w:space="0" w:color="auto"/>
                <w:right w:val="none" w:sz="0" w:space="0" w:color="auto"/>
              </w:divBdr>
            </w:div>
            <w:div w:id="1639917079">
              <w:marLeft w:val="0"/>
              <w:marRight w:val="0"/>
              <w:marTop w:val="0"/>
              <w:marBottom w:val="0"/>
              <w:divBdr>
                <w:top w:val="none" w:sz="0" w:space="0" w:color="auto"/>
                <w:left w:val="none" w:sz="0" w:space="0" w:color="auto"/>
                <w:bottom w:val="none" w:sz="0" w:space="0" w:color="auto"/>
                <w:right w:val="none" w:sz="0" w:space="0" w:color="auto"/>
              </w:divBdr>
            </w:div>
          </w:divsChild>
        </w:div>
        <w:div w:id="1986398015">
          <w:marLeft w:val="0"/>
          <w:marRight w:val="0"/>
          <w:marTop w:val="0"/>
          <w:marBottom w:val="0"/>
          <w:divBdr>
            <w:top w:val="none" w:sz="0" w:space="0" w:color="auto"/>
            <w:left w:val="none" w:sz="0" w:space="0" w:color="auto"/>
            <w:bottom w:val="none" w:sz="0" w:space="0" w:color="auto"/>
            <w:right w:val="none" w:sz="0" w:space="0" w:color="auto"/>
          </w:divBdr>
          <w:divsChild>
            <w:div w:id="1485391876">
              <w:marLeft w:val="0"/>
              <w:marRight w:val="0"/>
              <w:marTop w:val="0"/>
              <w:marBottom w:val="0"/>
              <w:divBdr>
                <w:top w:val="none" w:sz="0" w:space="0" w:color="auto"/>
                <w:left w:val="none" w:sz="0" w:space="0" w:color="auto"/>
                <w:bottom w:val="none" w:sz="0" w:space="0" w:color="auto"/>
                <w:right w:val="none" w:sz="0" w:space="0" w:color="auto"/>
              </w:divBdr>
            </w:div>
            <w:div w:id="18411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2.arb.ca.gov/our-work/programs/low-carbon-fuel-standard/lcfs-guidance-documents-user-guides-and-faq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climateinvestments.ca.gov/priority-populations" TargetMode="External"/><Relationship Id="rId17" Type="http://schemas.openxmlformats.org/officeDocument/2006/relationships/hyperlink" Target="https://www.energy.ca.gov/funding-opportunities/funding-resources" TargetMode="External"/><Relationship Id="rId2" Type="http://schemas.openxmlformats.org/officeDocument/2006/relationships/customXml" Target="../customXml/item2.xml"/><Relationship Id="rId16" Type="http://schemas.openxmlformats.org/officeDocument/2006/relationships/hyperlink" Target="https://ssl.arb.ca.gov/lcfsrt/Login.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Dyer@energy.ca.gov" TargetMode="External"/><Relationship Id="rId5" Type="http://schemas.openxmlformats.org/officeDocument/2006/relationships/numbering" Target="numbering.xml"/><Relationship Id="rId15" Type="http://schemas.openxmlformats.org/officeDocument/2006/relationships/hyperlink" Target="https://ssl.arb.ca.gov/lcfsrt/Login.aspx"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2.arb.ca.gov/our-work/programs/low-carbon-fuel-standard/lcfs-guidance-documents-user-guides-and-faq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38257D3E-F6AB-450C-9B72-248F8AAC3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17</Pages>
  <Words>5226</Words>
  <Characters>30050</Characters>
  <Application>Microsoft Office Word</Application>
  <DocSecurity>0</DocSecurity>
  <Lines>718</Lines>
  <Paragraphs>238</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Johnson, Natalie@Energy</cp:lastModifiedBy>
  <cp:revision>102</cp:revision>
  <cp:lastPrinted>2019-04-08T16:38:00Z</cp:lastPrinted>
  <dcterms:created xsi:type="dcterms:W3CDTF">2025-06-04T17:39:00Z</dcterms:created>
  <dcterms:modified xsi:type="dcterms:W3CDTF">2025-06-11T02:22:00Z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054cdcf2-4b13-480f-81af-1ac5b24acf16</vt:lpwstr>
  </property>
</Properties>
</file>