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8A47" w14:textId="24359512" w:rsidR="004F2C23" w:rsidRPr="00944CE5" w:rsidRDefault="004F2C23" w:rsidP="00944CE5">
      <w:pPr>
        <w:pStyle w:val="Heading1"/>
        <w:jc w:val="center"/>
        <w:rPr>
          <w:rStyle w:val="normaltextrun"/>
          <w:rFonts w:ascii="Tahoma" w:hAnsi="Tahoma" w:cs="Tahoma"/>
          <w:b/>
          <w:bCs/>
          <w:color w:val="000000" w:themeColor="text1"/>
          <w:sz w:val="24"/>
          <w:szCs w:val="24"/>
        </w:rPr>
      </w:pPr>
      <w:r w:rsidRPr="00944CE5">
        <w:rPr>
          <w:rStyle w:val="normaltextrun"/>
          <w:rFonts w:ascii="Tahoma" w:hAnsi="Tahoma" w:cs="Tahoma"/>
          <w:b/>
          <w:bCs/>
          <w:color w:val="000000" w:themeColor="text1"/>
          <w:sz w:val="24"/>
          <w:szCs w:val="24"/>
        </w:rPr>
        <w:t>Questions and Answers</w:t>
      </w:r>
    </w:p>
    <w:p w14:paraId="5AC52584" w14:textId="799DBC4D" w:rsidR="004F2C23" w:rsidRPr="005448F6" w:rsidRDefault="004F2C23" w:rsidP="004F2C23">
      <w:pPr>
        <w:spacing w:after="0" w:line="240" w:lineRule="auto"/>
        <w:ind w:left="720" w:hanging="360"/>
        <w:jc w:val="center"/>
        <w:rPr>
          <w:rStyle w:val="normaltextrun"/>
          <w:rFonts w:ascii="Tahoma" w:hAnsi="Tahoma" w:cs="Tahoma"/>
          <w:b/>
          <w:sz w:val="24"/>
          <w:szCs w:val="24"/>
        </w:rPr>
      </w:pPr>
      <w:r w:rsidRPr="005448F6">
        <w:rPr>
          <w:rStyle w:val="normaltextrun"/>
          <w:rFonts w:ascii="Tahoma" w:hAnsi="Tahoma" w:cs="Tahoma"/>
          <w:b/>
          <w:bCs/>
          <w:sz w:val="24"/>
          <w:szCs w:val="24"/>
        </w:rPr>
        <w:t>GFO-24-610</w:t>
      </w:r>
    </w:p>
    <w:p w14:paraId="5CD4E6B7" w14:textId="40DE6BFD" w:rsidR="002D2501" w:rsidRPr="005448F6" w:rsidRDefault="002D2501" w:rsidP="002D2501">
      <w:pPr>
        <w:spacing w:after="0"/>
        <w:jc w:val="center"/>
        <w:rPr>
          <w:rFonts w:ascii="Tahoma" w:hAnsi="Tahoma" w:cs="Tahoma"/>
          <w:b/>
          <w:sz w:val="24"/>
          <w:szCs w:val="24"/>
        </w:rPr>
      </w:pPr>
      <w:r w:rsidRPr="005448F6">
        <w:rPr>
          <w:rFonts w:ascii="Tahoma" w:hAnsi="Tahoma" w:cs="Tahoma"/>
          <w:b/>
          <w:sz w:val="24"/>
          <w:szCs w:val="24"/>
        </w:rPr>
        <w:t>Medium- and Heavy-Duty Zero-Emission Vehicle Port Infrastructure</w:t>
      </w:r>
    </w:p>
    <w:p w14:paraId="7E139826" w14:textId="0CFC0069" w:rsidR="00032A59" w:rsidRPr="005448F6" w:rsidRDefault="00CA1EAE" w:rsidP="002D2501">
      <w:pPr>
        <w:spacing w:after="0"/>
        <w:jc w:val="center"/>
        <w:rPr>
          <w:rFonts w:ascii="Tahoma" w:hAnsi="Tahoma" w:cs="Tahoma"/>
          <w:b/>
          <w:sz w:val="24"/>
          <w:szCs w:val="24"/>
        </w:rPr>
      </w:pPr>
      <w:r>
        <w:rPr>
          <w:rFonts w:ascii="Tahoma" w:hAnsi="Tahoma" w:cs="Tahoma"/>
          <w:b/>
          <w:sz w:val="24"/>
          <w:szCs w:val="24"/>
        </w:rPr>
        <w:t>June</w:t>
      </w:r>
      <w:r w:rsidR="00032A59" w:rsidRPr="005448F6">
        <w:rPr>
          <w:rFonts w:ascii="Tahoma" w:hAnsi="Tahoma" w:cs="Tahoma"/>
          <w:b/>
          <w:sz w:val="24"/>
          <w:szCs w:val="24"/>
        </w:rPr>
        <w:t xml:space="preserve"> </w:t>
      </w:r>
      <w:r w:rsidR="00EB7277">
        <w:rPr>
          <w:rFonts w:ascii="Tahoma" w:hAnsi="Tahoma" w:cs="Tahoma"/>
          <w:b/>
          <w:sz w:val="24"/>
          <w:szCs w:val="24"/>
        </w:rPr>
        <w:t>13</w:t>
      </w:r>
      <w:r w:rsidR="00032A59" w:rsidRPr="005448F6">
        <w:rPr>
          <w:rFonts w:ascii="Tahoma" w:hAnsi="Tahoma" w:cs="Tahoma"/>
          <w:b/>
          <w:sz w:val="24"/>
          <w:szCs w:val="24"/>
        </w:rPr>
        <w:t>, 2025</w:t>
      </w:r>
    </w:p>
    <w:p w14:paraId="7108B1F3" w14:textId="77777777" w:rsidR="002D2501" w:rsidRDefault="002D2501" w:rsidP="004F2C23">
      <w:pPr>
        <w:spacing w:after="0" w:line="240" w:lineRule="auto"/>
        <w:ind w:left="720" w:hanging="360"/>
        <w:jc w:val="center"/>
        <w:rPr>
          <w:rFonts w:ascii="Tahoma" w:hAnsi="Tahoma" w:cs="Tahoma"/>
          <w:sz w:val="24"/>
          <w:szCs w:val="24"/>
        </w:rPr>
      </w:pPr>
    </w:p>
    <w:p w14:paraId="6DE29E50" w14:textId="39D0D973" w:rsidR="003E0D63" w:rsidRPr="003E0D63" w:rsidRDefault="003E0D63" w:rsidP="004F2C23">
      <w:pPr>
        <w:spacing w:after="0" w:line="240" w:lineRule="auto"/>
        <w:ind w:left="720" w:hanging="360"/>
        <w:jc w:val="center"/>
        <w:rPr>
          <w:rFonts w:ascii="Tahoma" w:hAnsi="Tahoma" w:cs="Tahoma"/>
          <w:b/>
          <w:bCs/>
          <w:sz w:val="24"/>
          <w:szCs w:val="24"/>
          <w:u w:val="single"/>
        </w:rPr>
      </w:pPr>
      <w:r w:rsidRPr="003E0D63">
        <w:rPr>
          <w:rFonts w:ascii="Tahoma" w:hAnsi="Tahoma" w:cs="Tahoma"/>
          <w:b/>
          <w:bCs/>
          <w:sz w:val="24"/>
          <w:szCs w:val="24"/>
          <w:u w:val="single"/>
        </w:rPr>
        <w:t>Addendum 3</w:t>
      </w:r>
    </w:p>
    <w:p w14:paraId="3B4AA60B" w14:textId="77777777" w:rsidR="003E0D63" w:rsidRDefault="003E0D63" w:rsidP="004F2C23">
      <w:pPr>
        <w:spacing w:after="0" w:line="240" w:lineRule="auto"/>
        <w:ind w:left="720" w:hanging="360"/>
        <w:jc w:val="center"/>
        <w:rPr>
          <w:rFonts w:ascii="Tahoma" w:hAnsi="Tahoma" w:cs="Tahoma"/>
          <w:sz w:val="24"/>
          <w:szCs w:val="24"/>
        </w:rPr>
      </w:pPr>
    </w:p>
    <w:p w14:paraId="7FA12D00" w14:textId="2835DCD7" w:rsidR="00B32E1F" w:rsidRDefault="00AC23DD" w:rsidP="00B32E1F">
      <w:pPr>
        <w:pStyle w:val="paragraph"/>
        <w:spacing w:before="0" w:beforeAutospacing="0" w:after="0" w:afterAutospacing="0"/>
        <w:jc w:val="center"/>
        <w:textAlignment w:val="baseline"/>
      </w:pPr>
      <w:r>
        <w:rPr>
          <w:rStyle w:val="normaltextrun"/>
          <w:rFonts w:ascii="Tahoma" w:eastAsiaTheme="majorEastAsia" w:hAnsi="Tahoma" w:cs="Tahoma"/>
        </w:rPr>
        <w:t xml:space="preserve">The addendum includes revisions to A49. Added language appears in </w:t>
      </w:r>
      <w:r>
        <w:rPr>
          <w:rStyle w:val="normaltextrun"/>
          <w:rFonts w:ascii="Tahoma" w:eastAsiaTheme="majorEastAsia" w:hAnsi="Tahoma" w:cs="Tahoma"/>
          <w:b/>
          <w:bCs/>
          <w:u w:val="single"/>
        </w:rPr>
        <w:t>bold underline</w:t>
      </w:r>
      <w:r>
        <w:rPr>
          <w:rStyle w:val="normaltextrun"/>
          <w:rFonts w:ascii="Tahoma" w:eastAsiaTheme="majorEastAsia" w:hAnsi="Tahoma" w:cs="Tahoma"/>
        </w:rPr>
        <w:t>, and deleted language appears in [</w:t>
      </w:r>
      <w:r>
        <w:rPr>
          <w:rStyle w:val="normaltextrun"/>
          <w:rFonts w:ascii="Tahoma" w:eastAsiaTheme="majorEastAsia" w:hAnsi="Tahoma" w:cs="Tahoma"/>
          <w:strike/>
        </w:rPr>
        <w:t>strikethrough</w:t>
      </w:r>
      <w:r>
        <w:rPr>
          <w:rStyle w:val="normaltextrun"/>
          <w:rFonts w:ascii="Tahoma" w:eastAsiaTheme="majorEastAsia" w:hAnsi="Tahoma" w:cs="Tahoma"/>
        </w:rPr>
        <w:t>] and within square brackets.</w:t>
      </w:r>
      <w:r w:rsidR="00B32E1F">
        <w:rPr>
          <w:rStyle w:val="eop"/>
          <w:rFonts w:ascii="Tahoma" w:eastAsiaTheme="majorEastAsia" w:hAnsi="Tahoma" w:cs="Tahoma"/>
        </w:rPr>
        <w:t> </w:t>
      </w:r>
    </w:p>
    <w:p w14:paraId="293DFE75" w14:textId="77777777" w:rsidR="00B32E1F" w:rsidRPr="005448F6" w:rsidRDefault="00B32E1F" w:rsidP="004F2C23">
      <w:pPr>
        <w:spacing w:after="0" w:line="240" w:lineRule="auto"/>
        <w:ind w:left="720" w:hanging="360"/>
        <w:jc w:val="center"/>
        <w:rPr>
          <w:rFonts w:ascii="Tahoma" w:hAnsi="Tahoma" w:cs="Tahoma"/>
          <w:sz w:val="24"/>
          <w:szCs w:val="24"/>
        </w:rPr>
      </w:pPr>
    </w:p>
    <w:p w14:paraId="5DDCD002" w14:textId="1B9ED738" w:rsidR="00005B67" w:rsidRPr="005448F6" w:rsidRDefault="00005B67" w:rsidP="00B620F8">
      <w:pPr>
        <w:spacing w:after="0" w:line="240" w:lineRule="auto"/>
        <w:rPr>
          <w:rFonts w:ascii="Tahoma" w:hAnsi="Tahoma" w:cs="Tahoma"/>
          <w:sz w:val="24"/>
          <w:szCs w:val="24"/>
        </w:rPr>
      </w:pPr>
      <w:r w:rsidRPr="005448F6">
        <w:rPr>
          <w:rFonts w:ascii="Tahoma" w:hAnsi="Tahoma" w:cs="Tahoma"/>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19EB696A" w14:textId="77777777" w:rsidR="00B620F8" w:rsidRPr="005448F6" w:rsidRDefault="00B620F8" w:rsidP="00B620F8">
      <w:pPr>
        <w:spacing w:after="0" w:line="240" w:lineRule="auto"/>
        <w:rPr>
          <w:rStyle w:val="normaltextrun"/>
          <w:rFonts w:ascii="Tahoma" w:hAnsi="Tahoma" w:cs="Tahoma"/>
          <w:sz w:val="24"/>
          <w:szCs w:val="24"/>
        </w:rPr>
      </w:pPr>
    </w:p>
    <w:p w14:paraId="3FB0ABC8" w14:textId="47B18841" w:rsidR="00B620F8" w:rsidRPr="005448F6" w:rsidRDefault="00417D1D" w:rsidP="00596641">
      <w:pPr>
        <w:spacing w:after="0" w:line="240" w:lineRule="auto"/>
        <w:rPr>
          <w:rFonts w:ascii="Tahoma" w:eastAsia="Times New Roman" w:hAnsi="Tahoma" w:cs="Tahoma"/>
          <w:bCs/>
          <w:sz w:val="24"/>
          <w:szCs w:val="24"/>
        </w:rPr>
      </w:pPr>
      <w:r w:rsidRPr="00417D1D">
        <w:rPr>
          <w:rStyle w:val="normaltextrun"/>
          <w:rFonts w:ascii="Tahoma" w:hAnsi="Tahoma" w:cs="Tahoma"/>
          <w:sz w:val="24"/>
          <w:szCs w:val="24"/>
        </w:rPr>
        <w:t>Unless indicated otherwise, all section numbers identified are from Addendum #</w:t>
      </w:r>
      <w:r>
        <w:rPr>
          <w:rStyle w:val="normaltextrun"/>
          <w:rFonts w:ascii="Tahoma" w:hAnsi="Tahoma" w:cs="Tahoma"/>
          <w:sz w:val="24"/>
          <w:szCs w:val="24"/>
        </w:rPr>
        <w:t>2</w:t>
      </w:r>
      <w:r w:rsidRPr="00417D1D">
        <w:rPr>
          <w:rStyle w:val="normaltextrun"/>
          <w:rFonts w:ascii="Tahoma" w:hAnsi="Tahoma" w:cs="Tahoma"/>
          <w:sz w:val="24"/>
          <w:szCs w:val="24"/>
        </w:rPr>
        <w:t xml:space="preserve"> of the solicitation manual (Addendum #</w:t>
      </w:r>
      <w:r>
        <w:rPr>
          <w:rStyle w:val="normaltextrun"/>
          <w:rFonts w:ascii="Tahoma" w:hAnsi="Tahoma" w:cs="Tahoma"/>
          <w:sz w:val="24"/>
          <w:szCs w:val="24"/>
        </w:rPr>
        <w:t>2</w:t>
      </w:r>
      <w:r w:rsidRPr="00417D1D">
        <w:rPr>
          <w:rStyle w:val="normaltextrun"/>
          <w:rFonts w:ascii="Tahoma" w:hAnsi="Tahoma" w:cs="Tahoma"/>
          <w:sz w:val="24"/>
          <w:szCs w:val="24"/>
        </w:rPr>
        <w:t>) For example, “Section II.B” refers to Section II.B of Addendum #</w:t>
      </w:r>
      <w:r>
        <w:rPr>
          <w:rStyle w:val="normaltextrun"/>
          <w:rFonts w:ascii="Tahoma" w:hAnsi="Tahoma" w:cs="Tahoma"/>
          <w:sz w:val="24"/>
          <w:szCs w:val="24"/>
        </w:rPr>
        <w:t>2</w:t>
      </w:r>
      <w:r w:rsidRPr="00417D1D">
        <w:rPr>
          <w:rStyle w:val="normaltextrun"/>
          <w:rFonts w:ascii="Tahoma" w:hAnsi="Tahoma" w:cs="Tahoma"/>
          <w:sz w:val="24"/>
          <w:szCs w:val="24"/>
        </w:rPr>
        <w:t>.</w:t>
      </w:r>
    </w:p>
    <w:p w14:paraId="3CAA9466" w14:textId="77777777" w:rsidR="00487074" w:rsidRPr="005448F6" w:rsidRDefault="00487074" w:rsidP="00487074">
      <w:pPr>
        <w:spacing w:after="0" w:line="240" w:lineRule="auto"/>
        <w:ind w:left="720" w:hanging="720"/>
        <w:rPr>
          <w:rFonts w:ascii="Tahoma" w:eastAsia="Times New Roman" w:hAnsi="Tahoma" w:cs="Tahoma"/>
          <w:b/>
          <w:sz w:val="24"/>
          <w:szCs w:val="24"/>
        </w:rPr>
      </w:pPr>
    </w:p>
    <w:p w14:paraId="52C03367" w14:textId="19B12A25" w:rsidR="00487074" w:rsidRPr="00596641" w:rsidRDefault="00487074" w:rsidP="00487074">
      <w:pPr>
        <w:spacing w:after="0" w:line="240" w:lineRule="auto"/>
        <w:ind w:left="720" w:hanging="720"/>
        <w:rPr>
          <w:rFonts w:ascii="Tahoma" w:eastAsia="Times New Roman" w:hAnsi="Tahoma" w:cs="Tahoma"/>
          <w:b/>
          <w:i/>
          <w:sz w:val="24"/>
          <w:szCs w:val="24"/>
          <w:u w:val="single"/>
        </w:rPr>
      </w:pPr>
      <w:r w:rsidRPr="00596641">
        <w:rPr>
          <w:rFonts w:ascii="Tahoma" w:eastAsia="Times New Roman" w:hAnsi="Tahoma" w:cs="Tahoma"/>
          <w:b/>
          <w:i/>
          <w:sz w:val="24"/>
          <w:szCs w:val="24"/>
          <w:u w:val="single"/>
        </w:rPr>
        <w:t xml:space="preserve">Project Eligibility &amp; Requirements </w:t>
      </w:r>
    </w:p>
    <w:p w14:paraId="4683A0F7" w14:textId="77777777" w:rsidR="005C118C" w:rsidRPr="005448F6" w:rsidRDefault="005C118C" w:rsidP="00E378D0">
      <w:pPr>
        <w:spacing w:after="0" w:line="240" w:lineRule="auto"/>
        <w:ind w:left="720" w:hanging="720"/>
        <w:rPr>
          <w:rFonts w:ascii="Tahoma" w:eastAsia="Times New Roman" w:hAnsi="Tahoma" w:cs="Tahoma"/>
          <w:bCs/>
          <w:sz w:val="24"/>
          <w:szCs w:val="24"/>
        </w:rPr>
      </w:pPr>
    </w:p>
    <w:p w14:paraId="17CE613F" w14:textId="7F32D39E" w:rsidR="0035271C" w:rsidRPr="005448F6" w:rsidRDefault="00405665" w:rsidP="00CE249B">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Q1:</w:t>
      </w:r>
      <w:r w:rsidR="008A6FF3" w:rsidRPr="005448F6">
        <w:rPr>
          <w:rFonts w:ascii="Tahoma" w:eastAsia="Times New Roman" w:hAnsi="Tahoma" w:cs="Tahoma"/>
          <w:sz w:val="24"/>
          <w:szCs w:val="24"/>
        </w:rPr>
        <w:tab/>
      </w:r>
      <w:r w:rsidR="00CE249B" w:rsidRPr="005448F6">
        <w:rPr>
          <w:rFonts w:ascii="Tahoma" w:eastAsia="Times New Roman" w:hAnsi="Tahoma" w:cs="Tahoma"/>
          <w:b/>
          <w:sz w:val="24"/>
          <w:szCs w:val="24"/>
        </w:rPr>
        <w:t xml:space="preserve">We are considering applying to GFO-24-610 to support the installation of innovative electric, zero-emission mobile cargo handling equipment at a small California port located in an </w:t>
      </w:r>
      <w:r w:rsidR="00A03D3B">
        <w:rPr>
          <w:rFonts w:ascii="Tahoma" w:eastAsia="Times New Roman" w:hAnsi="Tahoma" w:cs="Tahoma"/>
          <w:b/>
          <w:sz w:val="24"/>
          <w:szCs w:val="24"/>
        </w:rPr>
        <w:t>Assembly Bill (</w:t>
      </w:r>
      <w:r w:rsidR="00CE249B" w:rsidRPr="005448F6">
        <w:rPr>
          <w:rFonts w:ascii="Tahoma" w:eastAsia="Times New Roman" w:hAnsi="Tahoma" w:cs="Tahoma"/>
          <w:b/>
          <w:sz w:val="24"/>
          <w:szCs w:val="24"/>
        </w:rPr>
        <w:t>AB</w:t>
      </w:r>
      <w:r w:rsidR="00A03D3B">
        <w:rPr>
          <w:rFonts w:ascii="Tahoma" w:eastAsia="Times New Roman" w:hAnsi="Tahoma" w:cs="Tahoma"/>
          <w:b/>
          <w:sz w:val="24"/>
          <w:szCs w:val="24"/>
        </w:rPr>
        <w:t>)</w:t>
      </w:r>
      <w:r w:rsidR="00CE249B" w:rsidRPr="005448F6">
        <w:rPr>
          <w:rFonts w:ascii="Tahoma" w:eastAsia="Times New Roman" w:hAnsi="Tahoma" w:cs="Tahoma"/>
          <w:b/>
          <w:sz w:val="24"/>
          <w:szCs w:val="24"/>
        </w:rPr>
        <w:t xml:space="preserve"> 617 community. The equipment is a </w:t>
      </w:r>
      <w:proofErr w:type="spellStart"/>
      <w:r w:rsidR="00CE249B" w:rsidRPr="005448F6">
        <w:rPr>
          <w:rFonts w:ascii="Tahoma" w:eastAsia="Times New Roman" w:hAnsi="Tahoma" w:cs="Tahoma"/>
          <w:b/>
          <w:sz w:val="24"/>
          <w:szCs w:val="24"/>
        </w:rPr>
        <w:t>shipload</w:t>
      </w:r>
      <w:r w:rsidR="00101293">
        <w:rPr>
          <w:rFonts w:ascii="Tahoma" w:eastAsia="Times New Roman" w:hAnsi="Tahoma" w:cs="Tahoma"/>
          <w:b/>
          <w:sz w:val="24"/>
          <w:szCs w:val="24"/>
        </w:rPr>
        <w:t>er</w:t>
      </w:r>
      <w:proofErr w:type="spellEnd"/>
      <w:r w:rsidR="00CE249B" w:rsidRPr="005448F6">
        <w:rPr>
          <w:rFonts w:ascii="Tahoma" w:eastAsia="Times New Roman" w:hAnsi="Tahoma" w:cs="Tahoma"/>
          <w:b/>
          <w:sz w:val="24"/>
          <w:szCs w:val="24"/>
        </w:rPr>
        <w:t xml:space="preserve"> that would be used for moving </w:t>
      </w:r>
      <w:r w:rsidR="00BE5044" w:rsidRPr="005448F6">
        <w:rPr>
          <w:rFonts w:ascii="Tahoma" w:eastAsia="Times New Roman" w:hAnsi="Tahoma" w:cs="Tahoma"/>
          <w:b/>
          <w:sz w:val="24"/>
          <w:szCs w:val="24"/>
        </w:rPr>
        <w:t>cargo</w:t>
      </w:r>
      <w:r w:rsidR="00CE249B" w:rsidRPr="005448F6">
        <w:rPr>
          <w:rFonts w:ascii="Tahoma" w:eastAsia="Times New Roman" w:hAnsi="Tahoma" w:cs="Tahoma"/>
          <w:b/>
          <w:sz w:val="24"/>
          <w:szCs w:val="24"/>
        </w:rPr>
        <w:t xml:space="preserve"> </w:t>
      </w:r>
      <w:r w:rsidR="00026A97" w:rsidRPr="005448F6">
        <w:rPr>
          <w:rFonts w:ascii="Tahoma" w:eastAsia="Times New Roman" w:hAnsi="Tahoma" w:cs="Tahoma"/>
          <w:b/>
          <w:sz w:val="24"/>
          <w:szCs w:val="24"/>
        </w:rPr>
        <w:t>that is</w:t>
      </w:r>
      <w:r w:rsidR="00CE249B" w:rsidRPr="005448F6">
        <w:rPr>
          <w:rFonts w:ascii="Tahoma" w:eastAsia="Times New Roman" w:hAnsi="Tahoma" w:cs="Tahoma"/>
          <w:b/>
          <w:sz w:val="24"/>
          <w:szCs w:val="24"/>
        </w:rPr>
        <w:t xml:space="preserve"> essential to clean energy and manufacturing supply chains. Would a project</w:t>
      </w:r>
      <w:r w:rsidR="00CE1D70" w:rsidRPr="005448F6">
        <w:rPr>
          <w:rFonts w:ascii="Tahoma" w:eastAsia="Times New Roman" w:hAnsi="Tahoma" w:cs="Tahoma"/>
          <w:b/>
          <w:sz w:val="24"/>
          <w:szCs w:val="24"/>
        </w:rPr>
        <w:t xml:space="preserve"> </w:t>
      </w:r>
      <w:r w:rsidR="00CE249B" w:rsidRPr="005448F6">
        <w:rPr>
          <w:rFonts w:ascii="Tahoma" w:eastAsia="Times New Roman" w:hAnsi="Tahoma" w:cs="Tahoma"/>
          <w:b/>
          <w:sz w:val="24"/>
          <w:szCs w:val="24"/>
        </w:rPr>
        <w:t xml:space="preserve">focused on zero-emission cargo handling equipment be considered </w:t>
      </w:r>
      <w:r w:rsidR="009853B5" w:rsidRPr="005448F6">
        <w:rPr>
          <w:rFonts w:ascii="Tahoma" w:eastAsia="Times New Roman" w:hAnsi="Tahoma" w:cs="Tahoma"/>
          <w:b/>
          <w:sz w:val="24"/>
          <w:szCs w:val="24"/>
        </w:rPr>
        <w:t xml:space="preserve">an </w:t>
      </w:r>
      <w:r w:rsidR="00CE249B" w:rsidRPr="005448F6">
        <w:rPr>
          <w:rFonts w:ascii="Tahoma" w:eastAsia="Times New Roman" w:hAnsi="Tahoma" w:cs="Tahoma"/>
          <w:b/>
          <w:sz w:val="24"/>
          <w:szCs w:val="24"/>
        </w:rPr>
        <w:t xml:space="preserve">eligible </w:t>
      </w:r>
      <w:r w:rsidR="009853B5" w:rsidRPr="005448F6">
        <w:rPr>
          <w:rFonts w:ascii="Tahoma" w:eastAsia="Times New Roman" w:hAnsi="Tahoma" w:cs="Tahoma"/>
          <w:b/>
          <w:sz w:val="24"/>
          <w:szCs w:val="24"/>
        </w:rPr>
        <w:t xml:space="preserve">project </w:t>
      </w:r>
      <w:r w:rsidR="00CE249B" w:rsidRPr="005448F6">
        <w:rPr>
          <w:rFonts w:ascii="Tahoma" w:eastAsia="Times New Roman" w:hAnsi="Tahoma" w:cs="Tahoma"/>
          <w:b/>
          <w:sz w:val="24"/>
          <w:szCs w:val="24"/>
        </w:rPr>
        <w:t>under this solicitation?</w:t>
      </w:r>
    </w:p>
    <w:p w14:paraId="4D30CF52" w14:textId="77777777" w:rsidR="00644A90" w:rsidRPr="005448F6" w:rsidRDefault="00644A90" w:rsidP="00CE249B">
      <w:pPr>
        <w:spacing w:after="0" w:line="240" w:lineRule="auto"/>
        <w:ind w:left="720" w:hanging="720"/>
        <w:rPr>
          <w:rFonts w:ascii="Tahoma" w:eastAsia="Times New Roman" w:hAnsi="Tahoma" w:cs="Tahoma"/>
          <w:sz w:val="24"/>
          <w:szCs w:val="24"/>
        </w:rPr>
      </w:pPr>
    </w:p>
    <w:p w14:paraId="57875095" w14:textId="27D8CDF5" w:rsidR="001916E6" w:rsidRPr="005448F6" w:rsidRDefault="00C16677" w:rsidP="003345F4">
      <w:pPr>
        <w:spacing w:after="0"/>
        <w:ind w:left="720" w:hanging="720"/>
        <w:rPr>
          <w:rFonts w:ascii="Tahoma" w:hAnsi="Tahoma" w:cs="Tahoma"/>
          <w:sz w:val="24"/>
          <w:szCs w:val="24"/>
        </w:rPr>
      </w:pPr>
      <w:r w:rsidRPr="005448F6">
        <w:rPr>
          <w:rFonts w:ascii="Tahoma" w:hAnsi="Tahoma" w:cs="Tahoma"/>
          <w:sz w:val="24"/>
          <w:szCs w:val="24"/>
        </w:rPr>
        <w:t>A1:</w:t>
      </w:r>
      <w:r w:rsidRPr="005448F6">
        <w:rPr>
          <w:rFonts w:ascii="Tahoma" w:hAnsi="Tahoma" w:cs="Tahoma"/>
          <w:sz w:val="24"/>
          <w:szCs w:val="24"/>
        </w:rPr>
        <w:tab/>
      </w:r>
      <w:r w:rsidR="00F744C7" w:rsidRPr="00F744C7">
        <w:rPr>
          <w:rFonts w:ascii="Tahoma" w:hAnsi="Tahoma" w:cs="Tahoma"/>
          <w:sz w:val="24"/>
          <w:szCs w:val="24"/>
        </w:rPr>
        <w:t xml:space="preserve">If the mobile </w:t>
      </w:r>
      <w:proofErr w:type="spellStart"/>
      <w:r w:rsidR="00F744C7" w:rsidRPr="00F744C7">
        <w:rPr>
          <w:rFonts w:ascii="Tahoma" w:hAnsi="Tahoma" w:cs="Tahoma"/>
          <w:sz w:val="24"/>
          <w:szCs w:val="24"/>
        </w:rPr>
        <w:t>shipload</w:t>
      </w:r>
      <w:r w:rsidR="00101293">
        <w:rPr>
          <w:rFonts w:ascii="Tahoma" w:hAnsi="Tahoma" w:cs="Tahoma"/>
          <w:sz w:val="24"/>
          <w:szCs w:val="24"/>
        </w:rPr>
        <w:t>er</w:t>
      </w:r>
      <w:proofErr w:type="spellEnd"/>
      <w:r w:rsidR="00F744C7" w:rsidRPr="00F744C7">
        <w:rPr>
          <w:rFonts w:ascii="Tahoma" w:hAnsi="Tahoma" w:cs="Tahoma"/>
          <w:sz w:val="24"/>
          <w:szCs w:val="24"/>
        </w:rPr>
        <w:t xml:space="preserve"> supports port operations, the electric charging </w:t>
      </w:r>
      <w:r w:rsidR="009E1599">
        <w:rPr>
          <w:rFonts w:ascii="Tahoma" w:hAnsi="Tahoma" w:cs="Tahoma"/>
          <w:sz w:val="24"/>
          <w:szCs w:val="24"/>
        </w:rPr>
        <w:t xml:space="preserve">or hydrogen refueling </w:t>
      </w:r>
      <w:r w:rsidR="00F744C7" w:rsidRPr="00F744C7">
        <w:rPr>
          <w:rFonts w:ascii="Tahoma" w:hAnsi="Tahoma" w:cs="Tahoma"/>
          <w:sz w:val="24"/>
          <w:szCs w:val="24"/>
        </w:rPr>
        <w:t xml:space="preserve">infrastructure necessary to fuel the </w:t>
      </w:r>
      <w:proofErr w:type="spellStart"/>
      <w:r w:rsidR="00F744C7" w:rsidRPr="00F744C7">
        <w:rPr>
          <w:rFonts w:ascii="Tahoma" w:hAnsi="Tahoma" w:cs="Tahoma"/>
          <w:sz w:val="24"/>
          <w:szCs w:val="24"/>
        </w:rPr>
        <w:t>shipload</w:t>
      </w:r>
      <w:r w:rsidR="00E62B67">
        <w:rPr>
          <w:rFonts w:ascii="Tahoma" w:hAnsi="Tahoma" w:cs="Tahoma"/>
          <w:sz w:val="24"/>
          <w:szCs w:val="24"/>
        </w:rPr>
        <w:t>er</w:t>
      </w:r>
      <w:proofErr w:type="spellEnd"/>
      <w:r w:rsidR="00F744C7" w:rsidRPr="00F744C7">
        <w:rPr>
          <w:rFonts w:ascii="Tahoma" w:hAnsi="Tahoma" w:cs="Tahoma"/>
          <w:sz w:val="24"/>
          <w:szCs w:val="24"/>
        </w:rPr>
        <w:t xml:space="preserve"> </w:t>
      </w:r>
      <w:r w:rsidR="002D2E1F">
        <w:rPr>
          <w:rFonts w:ascii="Tahoma" w:hAnsi="Tahoma" w:cs="Tahoma"/>
          <w:sz w:val="24"/>
          <w:szCs w:val="24"/>
        </w:rPr>
        <w:t>may</w:t>
      </w:r>
      <w:r w:rsidR="002D2E1F" w:rsidRPr="00F744C7">
        <w:rPr>
          <w:rFonts w:ascii="Tahoma" w:hAnsi="Tahoma" w:cs="Tahoma"/>
          <w:sz w:val="24"/>
          <w:szCs w:val="24"/>
        </w:rPr>
        <w:t xml:space="preserve"> </w:t>
      </w:r>
      <w:r w:rsidR="00F744C7" w:rsidRPr="00F744C7">
        <w:rPr>
          <w:rFonts w:ascii="Tahoma" w:hAnsi="Tahoma" w:cs="Tahoma"/>
          <w:sz w:val="24"/>
          <w:szCs w:val="24"/>
        </w:rPr>
        <w:t xml:space="preserve">be an eligible project </w:t>
      </w:r>
      <w:r w:rsidR="002D2E1F">
        <w:rPr>
          <w:rFonts w:ascii="Tahoma" w:hAnsi="Tahoma" w:cs="Tahoma"/>
          <w:sz w:val="24"/>
          <w:szCs w:val="24"/>
        </w:rPr>
        <w:t xml:space="preserve">if all </w:t>
      </w:r>
      <w:r w:rsidR="00EE11B8">
        <w:rPr>
          <w:rFonts w:ascii="Tahoma" w:hAnsi="Tahoma" w:cs="Tahoma"/>
          <w:sz w:val="24"/>
          <w:szCs w:val="24"/>
        </w:rPr>
        <w:t>GFO</w:t>
      </w:r>
      <w:r w:rsidR="002D2E1F">
        <w:rPr>
          <w:rFonts w:ascii="Tahoma" w:hAnsi="Tahoma" w:cs="Tahoma"/>
          <w:sz w:val="24"/>
          <w:szCs w:val="24"/>
        </w:rPr>
        <w:t xml:space="preserve"> requirements are met, including</w:t>
      </w:r>
      <w:r w:rsidR="00115A26">
        <w:rPr>
          <w:rFonts w:ascii="Tahoma" w:hAnsi="Tahoma" w:cs="Tahoma"/>
          <w:sz w:val="24"/>
          <w:szCs w:val="24"/>
        </w:rPr>
        <w:t xml:space="preserve"> but not limited to,</w:t>
      </w:r>
      <w:r w:rsidR="002D2E1F">
        <w:rPr>
          <w:rFonts w:ascii="Tahoma" w:hAnsi="Tahoma" w:cs="Tahoma"/>
          <w:sz w:val="24"/>
          <w:szCs w:val="24"/>
        </w:rPr>
        <w:t xml:space="preserve"> </w:t>
      </w:r>
      <w:r w:rsidR="00F744C7" w:rsidRPr="00F744C7">
        <w:rPr>
          <w:rFonts w:ascii="Tahoma" w:hAnsi="Tahoma" w:cs="Tahoma"/>
          <w:sz w:val="24"/>
          <w:szCs w:val="24"/>
        </w:rPr>
        <w:t>the</w:t>
      </w:r>
      <w:r w:rsidR="00196DC4">
        <w:rPr>
          <w:rFonts w:ascii="Tahoma" w:hAnsi="Tahoma" w:cs="Tahoma"/>
          <w:sz w:val="24"/>
          <w:szCs w:val="24"/>
        </w:rPr>
        <w:t xml:space="preserve"> purchase, installation, and deployment of the required</w:t>
      </w:r>
      <w:r w:rsidR="00F744C7" w:rsidRPr="00F744C7">
        <w:rPr>
          <w:rFonts w:ascii="Tahoma" w:hAnsi="Tahoma" w:cs="Tahoma"/>
          <w:sz w:val="24"/>
          <w:szCs w:val="24"/>
        </w:rPr>
        <w:t xml:space="preserve"> minimum number of charger ports</w:t>
      </w:r>
      <w:r w:rsidR="00EB0747">
        <w:rPr>
          <w:rFonts w:ascii="Tahoma" w:hAnsi="Tahoma" w:cs="Tahoma"/>
          <w:sz w:val="24"/>
          <w:szCs w:val="24"/>
        </w:rPr>
        <w:t xml:space="preserve"> or </w:t>
      </w:r>
      <w:r w:rsidR="009E1599">
        <w:rPr>
          <w:rFonts w:ascii="Tahoma" w:hAnsi="Tahoma" w:cs="Tahoma"/>
          <w:sz w:val="24"/>
          <w:szCs w:val="24"/>
        </w:rPr>
        <w:t>hydrogen fueling positions</w:t>
      </w:r>
      <w:r w:rsidR="005837C7">
        <w:rPr>
          <w:rFonts w:ascii="Tahoma" w:hAnsi="Tahoma" w:cs="Tahoma"/>
          <w:sz w:val="24"/>
          <w:szCs w:val="24"/>
        </w:rPr>
        <w:t>.</w:t>
      </w:r>
    </w:p>
    <w:p w14:paraId="31E19AA6" w14:textId="77777777" w:rsidR="00394395" w:rsidRPr="005448F6" w:rsidRDefault="00394395" w:rsidP="00CF1250">
      <w:pPr>
        <w:spacing w:after="0"/>
        <w:ind w:left="720" w:hanging="720"/>
        <w:rPr>
          <w:rFonts w:ascii="Tahoma" w:hAnsi="Tahoma" w:cs="Tahoma"/>
          <w:sz w:val="24"/>
          <w:szCs w:val="24"/>
        </w:rPr>
      </w:pPr>
    </w:p>
    <w:p w14:paraId="4E202D79" w14:textId="32D10D96" w:rsidR="00C16677" w:rsidRPr="003F0359" w:rsidRDefault="00C16677" w:rsidP="00C16677">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Q2</w:t>
      </w:r>
      <w:r w:rsidRPr="003F0359">
        <w:rPr>
          <w:rFonts w:ascii="Tahoma" w:eastAsia="Times New Roman" w:hAnsi="Tahoma" w:cs="Tahoma"/>
          <w:b/>
          <w:sz w:val="24"/>
          <w:szCs w:val="24"/>
        </w:rPr>
        <w:t>:</w:t>
      </w:r>
      <w:r w:rsidRPr="003F0359">
        <w:rPr>
          <w:rFonts w:ascii="Tahoma" w:eastAsia="Times New Roman" w:hAnsi="Tahoma" w:cs="Tahoma"/>
          <w:b/>
          <w:sz w:val="24"/>
          <w:szCs w:val="24"/>
        </w:rPr>
        <w:tab/>
      </w:r>
      <w:r w:rsidR="006F2190" w:rsidRPr="003F0359">
        <w:rPr>
          <w:rFonts w:ascii="Tahoma" w:eastAsia="Times New Roman" w:hAnsi="Tahoma" w:cs="Tahoma"/>
          <w:b/>
          <w:sz w:val="24"/>
          <w:szCs w:val="24"/>
        </w:rPr>
        <w:t xml:space="preserve">Would the CEC consider projects that meet the intended utility capacity requirements of the minimum charger counts, but deploy fewer, higher-powered chargers? There is a concern that the minimum required charger counts will restrict site designs and preclude sites </w:t>
      </w:r>
      <w:r w:rsidR="006F2190" w:rsidRPr="003F0359">
        <w:rPr>
          <w:rFonts w:ascii="Tahoma" w:eastAsia="Times New Roman" w:hAnsi="Tahoma" w:cs="Tahoma"/>
          <w:b/>
          <w:sz w:val="24"/>
          <w:szCs w:val="24"/>
        </w:rPr>
        <w:lastRenderedPageBreak/>
        <w:t xml:space="preserve">that can achieve the total throughput and site capacity of a 40x200 kW charger site (8MW) but may not have physical space for 40 individual chargers. This would also likely restrict applicants from developing </w:t>
      </w:r>
      <w:proofErr w:type="spellStart"/>
      <w:r w:rsidR="00AF3567" w:rsidRPr="003F0359">
        <w:rPr>
          <w:rFonts w:ascii="Tahoma" w:eastAsia="Times New Roman" w:hAnsi="Tahoma" w:cs="Tahoma"/>
          <w:b/>
          <w:sz w:val="24"/>
          <w:szCs w:val="24"/>
        </w:rPr>
        <w:t>MegaWatt</w:t>
      </w:r>
      <w:proofErr w:type="spellEnd"/>
      <w:r w:rsidR="00AF3567" w:rsidRPr="003F0359">
        <w:rPr>
          <w:rFonts w:ascii="Tahoma" w:eastAsia="Times New Roman" w:hAnsi="Tahoma" w:cs="Tahoma"/>
          <w:b/>
          <w:sz w:val="24"/>
          <w:szCs w:val="24"/>
        </w:rPr>
        <w:t xml:space="preserve"> Charging System (</w:t>
      </w:r>
      <w:r w:rsidR="006F2190" w:rsidRPr="003F0359">
        <w:rPr>
          <w:rFonts w:ascii="Tahoma" w:eastAsia="Times New Roman" w:hAnsi="Tahoma" w:cs="Tahoma"/>
          <w:b/>
          <w:sz w:val="24"/>
          <w:szCs w:val="24"/>
        </w:rPr>
        <w:t>MCS</w:t>
      </w:r>
      <w:r w:rsidR="00AF3567" w:rsidRPr="003F0359">
        <w:rPr>
          <w:rFonts w:ascii="Tahoma" w:eastAsia="Times New Roman" w:hAnsi="Tahoma" w:cs="Tahoma"/>
          <w:b/>
          <w:sz w:val="24"/>
          <w:szCs w:val="24"/>
        </w:rPr>
        <w:t>)</w:t>
      </w:r>
      <w:r w:rsidR="006F2190" w:rsidRPr="003F0359">
        <w:rPr>
          <w:rFonts w:ascii="Tahoma" w:eastAsia="Times New Roman" w:hAnsi="Tahoma" w:cs="Tahoma"/>
          <w:b/>
          <w:sz w:val="24"/>
          <w:szCs w:val="24"/>
        </w:rPr>
        <w:t>-capable charging infrastructure in or around Ports through this funding opportunity.</w:t>
      </w:r>
    </w:p>
    <w:p w14:paraId="6626C9A2" w14:textId="77777777" w:rsidR="00644A90" w:rsidRPr="003F0359" w:rsidRDefault="00644A90" w:rsidP="00C16677">
      <w:pPr>
        <w:spacing w:after="0" w:line="240" w:lineRule="auto"/>
        <w:ind w:left="720" w:hanging="720"/>
        <w:rPr>
          <w:rFonts w:ascii="Tahoma" w:eastAsia="Times New Roman" w:hAnsi="Tahoma" w:cs="Tahoma"/>
          <w:b/>
          <w:sz w:val="24"/>
          <w:szCs w:val="24"/>
        </w:rPr>
      </w:pPr>
    </w:p>
    <w:p w14:paraId="37BFA9A1" w14:textId="07844826" w:rsidR="00831401" w:rsidRPr="005448F6" w:rsidRDefault="00C16677" w:rsidP="00CF1250">
      <w:pPr>
        <w:ind w:left="720" w:hanging="720"/>
        <w:rPr>
          <w:rFonts w:ascii="Tahoma" w:eastAsia="Times New Roman" w:hAnsi="Tahoma" w:cs="Tahoma"/>
          <w:sz w:val="24"/>
          <w:szCs w:val="24"/>
        </w:rPr>
      </w:pPr>
      <w:r w:rsidRPr="003F0359">
        <w:rPr>
          <w:rFonts w:ascii="Tahoma" w:hAnsi="Tahoma" w:cs="Tahoma"/>
          <w:sz w:val="24"/>
          <w:szCs w:val="24"/>
        </w:rPr>
        <w:t>A2:</w:t>
      </w:r>
      <w:r w:rsidRPr="003F0359">
        <w:rPr>
          <w:rFonts w:ascii="Tahoma" w:hAnsi="Tahoma" w:cs="Tahoma"/>
          <w:sz w:val="24"/>
          <w:szCs w:val="24"/>
        </w:rPr>
        <w:tab/>
      </w:r>
      <w:r w:rsidR="00F64152" w:rsidRPr="003F0359">
        <w:rPr>
          <w:rFonts w:ascii="Tahoma" w:hAnsi="Tahoma" w:cs="Tahoma"/>
          <w:sz w:val="24"/>
          <w:szCs w:val="24"/>
        </w:rPr>
        <w:t xml:space="preserve">No, the minimum deployment requirement </w:t>
      </w:r>
      <w:r w:rsidR="00C3603A" w:rsidRPr="003F0359">
        <w:rPr>
          <w:rFonts w:ascii="Tahoma" w:hAnsi="Tahoma" w:cs="Tahoma"/>
          <w:sz w:val="24"/>
          <w:szCs w:val="24"/>
        </w:rPr>
        <w:t xml:space="preserve">for </w:t>
      </w:r>
      <w:r w:rsidR="00695046" w:rsidRPr="003F0359">
        <w:rPr>
          <w:rFonts w:ascii="Tahoma" w:hAnsi="Tahoma" w:cs="Tahoma"/>
          <w:sz w:val="24"/>
          <w:szCs w:val="24"/>
        </w:rPr>
        <w:t xml:space="preserve">charging ports or hydrogen fueling positions </w:t>
      </w:r>
      <w:r w:rsidR="00F64152" w:rsidRPr="003F0359">
        <w:rPr>
          <w:rFonts w:ascii="Tahoma" w:hAnsi="Tahoma" w:cs="Tahoma"/>
          <w:sz w:val="24"/>
          <w:szCs w:val="24"/>
        </w:rPr>
        <w:t xml:space="preserve">for the applicable Applicant Group must be met. </w:t>
      </w:r>
      <w:r w:rsidR="000B5693" w:rsidRPr="003F0359">
        <w:rPr>
          <w:rFonts w:ascii="Tahoma" w:hAnsi="Tahoma" w:cs="Tahoma"/>
          <w:sz w:val="24"/>
          <w:szCs w:val="24"/>
        </w:rPr>
        <w:t xml:space="preserve">Refer to Section </w:t>
      </w:r>
      <w:r w:rsidR="00695046" w:rsidRPr="003F0359">
        <w:rPr>
          <w:rFonts w:ascii="Tahoma" w:hAnsi="Tahoma" w:cs="Tahoma"/>
          <w:sz w:val="24"/>
          <w:szCs w:val="24"/>
        </w:rPr>
        <w:t xml:space="preserve">I.G. and Section </w:t>
      </w:r>
      <w:r w:rsidR="000B5693" w:rsidRPr="003F0359">
        <w:rPr>
          <w:rFonts w:ascii="Tahoma" w:hAnsi="Tahoma" w:cs="Tahoma"/>
          <w:sz w:val="24"/>
          <w:szCs w:val="24"/>
        </w:rPr>
        <w:t xml:space="preserve">II.B. </w:t>
      </w:r>
      <w:r w:rsidR="002161C8" w:rsidRPr="003F0359">
        <w:rPr>
          <w:rFonts w:ascii="Tahoma" w:hAnsi="Tahoma" w:cs="Tahoma"/>
          <w:sz w:val="24"/>
          <w:szCs w:val="24"/>
        </w:rPr>
        <w:t xml:space="preserve">Chargers </w:t>
      </w:r>
      <w:r w:rsidR="00BD35D1" w:rsidRPr="003F0359">
        <w:rPr>
          <w:rFonts w:ascii="Tahoma" w:hAnsi="Tahoma" w:cs="Tahoma"/>
          <w:sz w:val="24"/>
          <w:szCs w:val="24"/>
        </w:rPr>
        <w:t xml:space="preserve">proposed </w:t>
      </w:r>
      <w:r w:rsidR="002161C8" w:rsidRPr="003F0359">
        <w:rPr>
          <w:rFonts w:ascii="Tahoma" w:hAnsi="Tahoma" w:cs="Tahoma"/>
          <w:sz w:val="24"/>
          <w:szCs w:val="24"/>
        </w:rPr>
        <w:t>to be installed</w:t>
      </w:r>
      <w:r w:rsidR="001D623F" w:rsidRPr="003F0359">
        <w:rPr>
          <w:rFonts w:ascii="Tahoma" w:hAnsi="Tahoma" w:cs="Tahoma"/>
          <w:sz w:val="24"/>
          <w:szCs w:val="24"/>
        </w:rPr>
        <w:t xml:space="preserve"> at either a Small Port or a Large Port</w:t>
      </w:r>
      <w:r w:rsidR="002161C8" w:rsidRPr="003F0359">
        <w:rPr>
          <w:rFonts w:ascii="Tahoma" w:hAnsi="Tahoma" w:cs="Tahoma"/>
          <w:sz w:val="24"/>
          <w:szCs w:val="24"/>
        </w:rPr>
        <w:t xml:space="preserve"> may be </w:t>
      </w:r>
      <w:r w:rsidR="00C177EF" w:rsidRPr="003F0359">
        <w:rPr>
          <w:rFonts w:ascii="Tahoma" w:hAnsi="Tahoma" w:cs="Tahoma"/>
          <w:sz w:val="24"/>
          <w:szCs w:val="24"/>
        </w:rPr>
        <w:t>multi-port charg</w:t>
      </w:r>
      <w:r w:rsidR="00735A83" w:rsidRPr="003F0359">
        <w:rPr>
          <w:rFonts w:ascii="Tahoma" w:hAnsi="Tahoma" w:cs="Tahoma"/>
          <w:sz w:val="24"/>
          <w:szCs w:val="24"/>
        </w:rPr>
        <w:t>ers</w:t>
      </w:r>
      <w:r w:rsidR="001D623F" w:rsidRPr="003F0359">
        <w:rPr>
          <w:rFonts w:ascii="Tahoma" w:hAnsi="Tahoma" w:cs="Tahoma"/>
          <w:sz w:val="24"/>
          <w:szCs w:val="24"/>
        </w:rPr>
        <w:t>.</w:t>
      </w:r>
      <w:r w:rsidR="001D623F" w:rsidRPr="005448F6">
        <w:rPr>
          <w:rFonts w:ascii="Tahoma" w:hAnsi="Tahoma" w:cs="Tahoma"/>
          <w:sz w:val="24"/>
          <w:szCs w:val="24"/>
        </w:rPr>
        <w:t xml:space="preserve"> </w:t>
      </w:r>
    </w:p>
    <w:p w14:paraId="61690D99" w14:textId="266C11DC" w:rsidR="00651BE0" w:rsidRPr="005448F6" w:rsidRDefault="00C16677" w:rsidP="00C16677">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Q3:</w:t>
      </w:r>
      <w:r w:rsidRPr="005448F6">
        <w:rPr>
          <w:rFonts w:ascii="Tahoma" w:eastAsia="Times New Roman" w:hAnsi="Tahoma" w:cs="Tahoma"/>
          <w:b/>
          <w:sz w:val="24"/>
          <w:szCs w:val="24"/>
        </w:rPr>
        <w:tab/>
      </w:r>
      <w:r w:rsidR="006F2190" w:rsidRPr="005448F6">
        <w:rPr>
          <w:rFonts w:ascii="Tahoma" w:eastAsia="Times New Roman" w:hAnsi="Tahoma" w:cs="Tahoma"/>
          <w:b/>
          <w:sz w:val="24"/>
          <w:szCs w:val="24"/>
        </w:rPr>
        <w:t xml:space="preserve">Can you please confirm if </w:t>
      </w:r>
      <w:r w:rsidR="00D21E13" w:rsidRPr="005448F6">
        <w:rPr>
          <w:rFonts w:ascii="Tahoma" w:eastAsia="Times New Roman" w:hAnsi="Tahoma" w:cs="Tahoma"/>
          <w:b/>
          <w:sz w:val="24"/>
          <w:szCs w:val="24"/>
        </w:rPr>
        <w:t xml:space="preserve">Distributed Energy Resource (DER) </w:t>
      </w:r>
      <w:r w:rsidR="006F2190" w:rsidRPr="005448F6">
        <w:rPr>
          <w:rFonts w:ascii="Tahoma" w:eastAsia="Times New Roman" w:hAnsi="Tahoma" w:cs="Tahoma"/>
          <w:b/>
          <w:sz w:val="24"/>
          <w:szCs w:val="24"/>
        </w:rPr>
        <w:t xml:space="preserve">technologies listed under </w:t>
      </w:r>
      <w:r w:rsidR="00D21E13" w:rsidRPr="005448F6">
        <w:rPr>
          <w:rFonts w:ascii="Tahoma" w:eastAsia="Times New Roman" w:hAnsi="Tahoma" w:cs="Tahoma"/>
          <w:b/>
          <w:sz w:val="24"/>
          <w:szCs w:val="24"/>
        </w:rPr>
        <w:t>S</w:t>
      </w:r>
      <w:r w:rsidR="006F2190" w:rsidRPr="005448F6">
        <w:rPr>
          <w:rFonts w:ascii="Tahoma" w:eastAsia="Times New Roman" w:hAnsi="Tahoma" w:cs="Tahoma"/>
          <w:b/>
          <w:sz w:val="24"/>
          <w:szCs w:val="24"/>
        </w:rPr>
        <w:t>ection E. Eligible Project Costs are only eligible to use as match share, or if they would be reimbursable by the CEC under this GFO?</w:t>
      </w:r>
      <w:bookmarkStart w:id="0" w:name="_Hlk195171510"/>
    </w:p>
    <w:p w14:paraId="07448262" w14:textId="77777777" w:rsidR="00D21E13" w:rsidRPr="005448F6" w:rsidRDefault="00D21E13" w:rsidP="00C16677">
      <w:pPr>
        <w:spacing w:after="0" w:line="240" w:lineRule="auto"/>
        <w:ind w:left="720" w:hanging="720"/>
        <w:rPr>
          <w:rFonts w:ascii="Tahoma" w:eastAsia="Times New Roman" w:hAnsi="Tahoma" w:cs="Tahoma"/>
          <w:bCs/>
          <w:sz w:val="24"/>
          <w:szCs w:val="24"/>
        </w:rPr>
      </w:pPr>
    </w:p>
    <w:p w14:paraId="5EE13B27" w14:textId="7C06021F" w:rsidR="002A1089" w:rsidRPr="005448F6" w:rsidRDefault="00C16677" w:rsidP="009248D9">
      <w:pPr>
        <w:spacing w:after="0" w:line="240" w:lineRule="auto"/>
        <w:ind w:left="720" w:hanging="720"/>
        <w:rPr>
          <w:rFonts w:ascii="Tahoma" w:eastAsia="Times New Roman" w:hAnsi="Tahoma" w:cs="Tahoma"/>
          <w:sz w:val="24"/>
          <w:szCs w:val="24"/>
        </w:rPr>
      </w:pPr>
      <w:r w:rsidRPr="004821A9">
        <w:rPr>
          <w:rFonts w:ascii="Tahoma" w:eastAsia="Times New Roman" w:hAnsi="Tahoma" w:cs="Tahoma"/>
          <w:sz w:val="24"/>
          <w:szCs w:val="24"/>
        </w:rPr>
        <w:t>A3</w:t>
      </w:r>
      <w:r w:rsidRPr="007801B2">
        <w:rPr>
          <w:rFonts w:ascii="Tahoma" w:eastAsia="Times New Roman" w:hAnsi="Tahoma" w:cs="Tahoma"/>
          <w:sz w:val="24"/>
          <w:szCs w:val="24"/>
        </w:rPr>
        <w:t>:</w:t>
      </w:r>
      <w:r w:rsidRPr="005448F6">
        <w:rPr>
          <w:rFonts w:ascii="Tahoma" w:eastAsia="Times New Roman" w:hAnsi="Tahoma" w:cs="Tahoma"/>
          <w:b/>
          <w:bCs/>
          <w:sz w:val="24"/>
          <w:szCs w:val="24"/>
        </w:rPr>
        <w:tab/>
      </w:r>
      <w:r w:rsidR="00F47818" w:rsidRPr="005448F6">
        <w:rPr>
          <w:rFonts w:ascii="Tahoma" w:eastAsia="Times New Roman" w:hAnsi="Tahoma" w:cs="Tahoma"/>
          <w:sz w:val="24"/>
          <w:szCs w:val="24"/>
        </w:rPr>
        <w:t xml:space="preserve">Renewable </w:t>
      </w:r>
      <w:r w:rsidR="00B72E59" w:rsidRPr="005448F6">
        <w:rPr>
          <w:rFonts w:ascii="Tahoma" w:eastAsia="Times New Roman" w:hAnsi="Tahoma" w:cs="Tahoma"/>
          <w:sz w:val="24"/>
          <w:szCs w:val="24"/>
        </w:rPr>
        <w:t xml:space="preserve">Distributed Energy Resources (DER) technologies </w:t>
      </w:r>
      <w:r w:rsidR="00E721FB" w:rsidRPr="005448F6">
        <w:rPr>
          <w:rFonts w:ascii="Tahoma" w:eastAsia="Times New Roman" w:hAnsi="Tahoma" w:cs="Tahoma"/>
          <w:sz w:val="24"/>
          <w:szCs w:val="24"/>
        </w:rPr>
        <w:t>may be eligible as match share costs, but not as CEC reimbursable costs.</w:t>
      </w:r>
      <w:r w:rsidR="00E721FB" w:rsidRPr="005448F6">
        <w:rPr>
          <w:rFonts w:ascii="Tahoma" w:eastAsia="Times New Roman" w:hAnsi="Tahoma" w:cs="Tahoma"/>
          <w:b/>
          <w:bCs/>
          <w:sz w:val="24"/>
          <w:szCs w:val="24"/>
        </w:rPr>
        <w:t xml:space="preserve"> </w:t>
      </w:r>
      <w:r w:rsidR="00B72E59" w:rsidRPr="005448F6">
        <w:rPr>
          <w:rFonts w:ascii="Tahoma" w:eastAsia="Times New Roman" w:hAnsi="Tahoma" w:cs="Tahoma"/>
          <w:sz w:val="24"/>
          <w:szCs w:val="24"/>
        </w:rPr>
        <w:t xml:space="preserve">Also, please note that </w:t>
      </w:r>
      <w:r w:rsidR="009E5CB4" w:rsidRPr="005448F6">
        <w:rPr>
          <w:rFonts w:ascii="Tahoma" w:eastAsia="Times New Roman" w:hAnsi="Tahoma" w:cs="Tahoma"/>
          <w:sz w:val="24"/>
          <w:szCs w:val="24"/>
        </w:rPr>
        <w:t xml:space="preserve">nonrenewable </w:t>
      </w:r>
      <w:r w:rsidR="00B72E59" w:rsidRPr="005448F6">
        <w:rPr>
          <w:rFonts w:ascii="Tahoma" w:eastAsia="Times New Roman" w:hAnsi="Tahoma" w:cs="Tahoma"/>
          <w:sz w:val="24"/>
          <w:szCs w:val="24"/>
        </w:rPr>
        <w:t xml:space="preserve">DER technologies are </w:t>
      </w:r>
      <w:r w:rsidR="00B72E59" w:rsidRPr="005448F6">
        <w:rPr>
          <w:rFonts w:ascii="Tahoma" w:eastAsia="Times New Roman" w:hAnsi="Tahoma" w:cs="Tahoma"/>
          <w:b/>
          <w:bCs/>
          <w:sz w:val="24"/>
          <w:szCs w:val="24"/>
          <w:u w:val="single"/>
        </w:rPr>
        <w:t>NOT</w:t>
      </w:r>
      <w:r w:rsidR="00B72E59" w:rsidRPr="005448F6">
        <w:rPr>
          <w:rFonts w:ascii="Tahoma" w:eastAsia="Times New Roman" w:hAnsi="Tahoma" w:cs="Tahoma"/>
          <w:sz w:val="24"/>
          <w:szCs w:val="24"/>
        </w:rPr>
        <w:t xml:space="preserve"> eligible for CEC </w:t>
      </w:r>
      <w:r w:rsidR="009E599A">
        <w:rPr>
          <w:rFonts w:ascii="Tahoma" w:eastAsia="Times New Roman" w:hAnsi="Tahoma" w:cs="Tahoma"/>
          <w:sz w:val="24"/>
          <w:szCs w:val="24"/>
        </w:rPr>
        <w:t xml:space="preserve">reimbursement </w:t>
      </w:r>
      <w:r w:rsidR="00B72E59" w:rsidRPr="005448F6">
        <w:rPr>
          <w:rFonts w:ascii="Tahoma" w:eastAsia="Times New Roman" w:hAnsi="Tahoma" w:cs="Tahoma"/>
          <w:sz w:val="24"/>
          <w:szCs w:val="24"/>
        </w:rPr>
        <w:t xml:space="preserve">or </w:t>
      </w:r>
      <w:r w:rsidR="007F1532">
        <w:rPr>
          <w:rFonts w:ascii="Tahoma" w:eastAsia="Times New Roman" w:hAnsi="Tahoma" w:cs="Tahoma"/>
          <w:sz w:val="24"/>
          <w:szCs w:val="24"/>
        </w:rPr>
        <w:t xml:space="preserve">the Applicant’s </w:t>
      </w:r>
      <w:r w:rsidR="008F2BF9">
        <w:rPr>
          <w:rFonts w:ascii="Tahoma" w:eastAsia="Times New Roman" w:hAnsi="Tahoma" w:cs="Tahoma"/>
          <w:sz w:val="24"/>
          <w:szCs w:val="24"/>
        </w:rPr>
        <w:t>m</w:t>
      </w:r>
      <w:r w:rsidR="00B72E59" w:rsidRPr="005448F6">
        <w:rPr>
          <w:rFonts w:ascii="Tahoma" w:eastAsia="Times New Roman" w:hAnsi="Tahoma" w:cs="Tahoma"/>
          <w:sz w:val="24"/>
          <w:szCs w:val="24"/>
        </w:rPr>
        <w:t xml:space="preserve">atch </w:t>
      </w:r>
      <w:r w:rsidR="008F2BF9">
        <w:rPr>
          <w:rFonts w:ascii="Tahoma" w:eastAsia="Times New Roman" w:hAnsi="Tahoma" w:cs="Tahoma"/>
          <w:sz w:val="24"/>
          <w:szCs w:val="24"/>
        </w:rPr>
        <w:t>s</w:t>
      </w:r>
      <w:r w:rsidR="008F2BF9" w:rsidRPr="005448F6">
        <w:rPr>
          <w:rFonts w:ascii="Tahoma" w:eastAsia="Times New Roman" w:hAnsi="Tahoma" w:cs="Tahoma"/>
          <w:sz w:val="24"/>
          <w:szCs w:val="24"/>
        </w:rPr>
        <w:t>hare</w:t>
      </w:r>
      <w:r w:rsidR="00B72E59" w:rsidRPr="005448F6">
        <w:rPr>
          <w:rFonts w:ascii="Tahoma" w:eastAsia="Times New Roman" w:hAnsi="Tahoma" w:cs="Tahoma"/>
          <w:sz w:val="24"/>
          <w:szCs w:val="24"/>
        </w:rPr>
        <w:t>.</w:t>
      </w:r>
      <w:r w:rsidR="00A86176" w:rsidRPr="005448F6">
        <w:rPr>
          <w:rFonts w:ascii="Tahoma" w:eastAsia="Times New Roman" w:hAnsi="Tahoma" w:cs="Tahoma"/>
          <w:sz w:val="24"/>
          <w:szCs w:val="24"/>
        </w:rPr>
        <w:t xml:space="preserve"> </w:t>
      </w:r>
      <w:r w:rsidR="00E721FB" w:rsidRPr="005448F6">
        <w:rPr>
          <w:rFonts w:ascii="Tahoma" w:eastAsia="Times New Roman" w:hAnsi="Tahoma" w:cs="Tahoma"/>
          <w:sz w:val="24"/>
          <w:szCs w:val="24"/>
        </w:rPr>
        <w:t>As stated in Section II.E.</w:t>
      </w:r>
      <w:r w:rsidR="0018266C" w:rsidRPr="005448F6">
        <w:rPr>
          <w:rFonts w:ascii="Tahoma" w:eastAsia="Times New Roman" w:hAnsi="Tahoma" w:cs="Tahoma"/>
          <w:sz w:val="24"/>
          <w:szCs w:val="24"/>
        </w:rPr>
        <w:t>3.</w:t>
      </w:r>
      <w:r w:rsidR="00E721FB" w:rsidRPr="005448F6">
        <w:rPr>
          <w:rFonts w:ascii="Tahoma" w:eastAsia="Times New Roman" w:hAnsi="Tahoma" w:cs="Tahoma"/>
          <w:sz w:val="24"/>
          <w:szCs w:val="24"/>
        </w:rPr>
        <w:t>,</w:t>
      </w:r>
      <w:r w:rsidR="0018266C" w:rsidRPr="005448F6">
        <w:rPr>
          <w:rFonts w:ascii="Tahoma" w:eastAsia="Times New Roman" w:hAnsi="Tahoma" w:cs="Tahoma"/>
          <w:sz w:val="24"/>
          <w:szCs w:val="24"/>
        </w:rPr>
        <w:t xml:space="preserve"> “Commercially available energy storage, renewable distributed energy resources (DER), and/or renewable energy generation equipment such as photovoltaic solar panels separately metered for electric charging</w:t>
      </w:r>
      <w:r w:rsidR="00457563">
        <w:rPr>
          <w:rFonts w:ascii="Tahoma" w:eastAsia="Times New Roman" w:hAnsi="Tahoma" w:cs="Tahoma"/>
          <w:sz w:val="24"/>
          <w:szCs w:val="24"/>
        </w:rPr>
        <w:t xml:space="preserve"> (match share only)</w:t>
      </w:r>
      <w:r w:rsidR="0018266C" w:rsidRPr="005448F6">
        <w:rPr>
          <w:rFonts w:ascii="Tahoma" w:eastAsia="Times New Roman" w:hAnsi="Tahoma" w:cs="Tahoma"/>
          <w:sz w:val="24"/>
          <w:szCs w:val="24"/>
        </w:rPr>
        <w:t>. Mobile refuelers and chargers and temporary power solutions, such as 100% renewable linear generators (a linear generator may use 100% renewable natural gas, 100% renewable hydrogen, or a combination of both totaling 100% renewable fuel) (match share only).”</w:t>
      </w:r>
      <w:r w:rsidR="002A1089" w:rsidRPr="005448F6">
        <w:rPr>
          <w:rFonts w:ascii="Tahoma" w:eastAsia="Times New Roman" w:hAnsi="Tahoma" w:cs="Tahoma"/>
          <w:sz w:val="24"/>
          <w:szCs w:val="24"/>
        </w:rPr>
        <w:t xml:space="preserve"> </w:t>
      </w:r>
    </w:p>
    <w:p w14:paraId="288A1C7F" w14:textId="77777777" w:rsidR="002A1089" w:rsidRPr="005448F6" w:rsidRDefault="002A1089" w:rsidP="009248D9">
      <w:pPr>
        <w:spacing w:after="0" w:line="240" w:lineRule="auto"/>
        <w:ind w:left="720" w:hanging="720"/>
        <w:rPr>
          <w:rFonts w:ascii="Tahoma" w:eastAsia="Times New Roman" w:hAnsi="Tahoma" w:cs="Tahoma"/>
          <w:sz w:val="24"/>
          <w:szCs w:val="24"/>
        </w:rPr>
      </w:pPr>
    </w:p>
    <w:p w14:paraId="285832D5" w14:textId="1D9D14A4" w:rsidR="00B72E59" w:rsidRPr="005448F6" w:rsidRDefault="002A1089" w:rsidP="002A1089">
      <w:pPr>
        <w:spacing w:after="0" w:line="240" w:lineRule="auto"/>
        <w:ind w:left="720"/>
        <w:rPr>
          <w:rFonts w:ascii="Tahoma" w:eastAsia="Times New Roman" w:hAnsi="Tahoma" w:cs="Tahoma"/>
          <w:sz w:val="24"/>
          <w:szCs w:val="24"/>
        </w:rPr>
      </w:pPr>
      <w:r w:rsidRPr="005448F6">
        <w:rPr>
          <w:rFonts w:ascii="Tahoma" w:eastAsia="Times New Roman" w:hAnsi="Tahoma" w:cs="Tahoma"/>
          <w:sz w:val="24"/>
          <w:szCs w:val="24"/>
        </w:rPr>
        <w:t xml:space="preserve">As stated in Section II.E., “Costs incurred for the following are ineligible for reimbursement and match share cost. This is not an exhaustive list: </w:t>
      </w:r>
      <w:r w:rsidR="00605FBB" w:rsidRPr="005448F6">
        <w:rPr>
          <w:rFonts w:ascii="Tahoma" w:eastAsia="Times New Roman" w:hAnsi="Tahoma" w:cs="Tahoma"/>
          <w:sz w:val="24"/>
          <w:szCs w:val="24"/>
        </w:rPr>
        <w:t>…</w:t>
      </w:r>
    </w:p>
    <w:bookmarkEnd w:id="0"/>
    <w:p w14:paraId="3CE01BDC" w14:textId="37376290" w:rsidR="00605FBB" w:rsidRPr="005448F6" w:rsidRDefault="00605FBB" w:rsidP="00614F63">
      <w:pPr>
        <w:pStyle w:val="ListParagraph"/>
        <w:numPr>
          <w:ilvl w:val="0"/>
          <w:numId w:val="33"/>
        </w:numPr>
        <w:spacing w:after="0" w:line="240" w:lineRule="auto"/>
        <w:rPr>
          <w:rFonts w:ascii="Tahoma" w:eastAsia="Times New Roman" w:hAnsi="Tahoma" w:cs="Tahoma"/>
          <w:sz w:val="24"/>
          <w:szCs w:val="24"/>
        </w:rPr>
      </w:pPr>
      <w:r w:rsidRPr="005448F6">
        <w:rPr>
          <w:rFonts w:ascii="Tahoma" w:eastAsia="Times New Roman" w:hAnsi="Tahoma" w:cs="Tahoma"/>
          <w:sz w:val="24"/>
          <w:szCs w:val="24"/>
        </w:rPr>
        <w:t>Nonrenewable DERs, such as generators that use nonrenewable fossil fuels”</w:t>
      </w:r>
    </w:p>
    <w:p w14:paraId="4F74FBBE" w14:textId="77777777" w:rsidR="00831401" w:rsidRPr="005448F6" w:rsidRDefault="00831401" w:rsidP="00831401">
      <w:pPr>
        <w:pStyle w:val="ListParagraph"/>
        <w:spacing w:after="0" w:line="240" w:lineRule="auto"/>
        <w:contextualSpacing w:val="0"/>
        <w:rPr>
          <w:rFonts w:ascii="Tahoma" w:eastAsia="Times New Roman" w:hAnsi="Tahoma" w:cs="Tahoma"/>
          <w:sz w:val="24"/>
          <w:szCs w:val="24"/>
        </w:rPr>
      </w:pPr>
    </w:p>
    <w:p w14:paraId="0F233B3F" w14:textId="000F6E75" w:rsidR="00651BE0" w:rsidRPr="005448F6" w:rsidRDefault="00B82EED" w:rsidP="00B82EED">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Q4:</w:t>
      </w:r>
      <w:r w:rsidRPr="005448F6">
        <w:rPr>
          <w:rFonts w:ascii="Tahoma" w:eastAsia="Times New Roman" w:hAnsi="Tahoma" w:cs="Tahoma"/>
          <w:b/>
          <w:sz w:val="24"/>
          <w:szCs w:val="24"/>
        </w:rPr>
        <w:tab/>
      </w:r>
      <w:r w:rsidR="006F2190" w:rsidRPr="005448F6">
        <w:rPr>
          <w:rFonts w:ascii="Tahoma" w:eastAsia="Times New Roman" w:hAnsi="Tahoma" w:cs="Tahoma"/>
          <w:b/>
          <w:sz w:val="24"/>
          <w:szCs w:val="24"/>
        </w:rPr>
        <w:t xml:space="preserve">Would the CEC allow for an </w:t>
      </w:r>
      <w:r w:rsidR="00071E19" w:rsidRPr="005448F6">
        <w:rPr>
          <w:rFonts w:ascii="Tahoma" w:eastAsia="Times New Roman" w:hAnsi="Tahoma" w:cs="Tahoma"/>
          <w:b/>
          <w:sz w:val="24"/>
          <w:szCs w:val="24"/>
        </w:rPr>
        <w:t>A</w:t>
      </w:r>
      <w:r w:rsidR="006F2190" w:rsidRPr="005448F6">
        <w:rPr>
          <w:rFonts w:ascii="Tahoma" w:eastAsia="Times New Roman" w:hAnsi="Tahoma" w:cs="Tahoma"/>
          <w:b/>
          <w:sz w:val="24"/>
          <w:szCs w:val="24"/>
        </w:rPr>
        <w:t>pplicant to use this funding to expand an existing site’s current EV charging infrastructure (if they met all other GFO requirements)?</w:t>
      </w:r>
    </w:p>
    <w:p w14:paraId="630F8F48" w14:textId="77777777" w:rsidR="009248D9" w:rsidRPr="005448F6" w:rsidRDefault="009248D9" w:rsidP="00B82EED">
      <w:pPr>
        <w:spacing w:after="0" w:line="240" w:lineRule="auto"/>
        <w:ind w:left="720" w:hanging="720"/>
        <w:rPr>
          <w:rFonts w:ascii="Tahoma" w:eastAsia="Times New Roman" w:hAnsi="Tahoma" w:cs="Tahoma"/>
          <w:bCs/>
          <w:sz w:val="24"/>
          <w:szCs w:val="24"/>
        </w:rPr>
      </w:pPr>
    </w:p>
    <w:p w14:paraId="3927C4D3" w14:textId="3B3FBF87" w:rsidR="00CD5CDD" w:rsidRPr="005448F6" w:rsidRDefault="00B82EED" w:rsidP="00CF1250">
      <w:pPr>
        <w:spacing w:after="0"/>
        <w:ind w:left="720" w:hanging="720"/>
        <w:rPr>
          <w:rFonts w:ascii="Tahoma" w:hAnsi="Tahoma" w:cs="Tahoma"/>
          <w:sz w:val="24"/>
          <w:szCs w:val="24"/>
        </w:rPr>
      </w:pPr>
      <w:r w:rsidRPr="005448F6">
        <w:rPr>
          <w:rFonts w:ascii="Tahoma" w:hAnsi="Tahoma" w:cs="Tahoma"/>
          <w:sz w:val="24"/>
          <w:szCs w:val="24"/>
        </w:rPr>
        <w:t>A4:</w:t>
      </w:r>
      <w:r w:rsidRPr="005448F6">
        <w:rPr>
          <w:rFonts w:ascii="Tahoma" w:hAnsi="Tahoma" w:cs="Tahoma"/>
          <w:sz w:val="24"/>
          <w:szCs w:val="24"/>
        </w:rPr>
        <w:tab/>
      </w:r>
      <w:r w:rsidR="00CD5CDD" w:rsidRPr="005448F6">
        <w:rPr>
          <w:rFonts w:ascii="Tahoma" w:hAnsi="Tahoma" w:cs="Tahoma"/>
          <w:sz w:val="24"/>
          <w:szCs w:val="24"/>
        </w:rPr>
        <w:t>Yes</w:t>
      </w:r>
      <w:r w:rsidR="00391B43" w:rsidRPr="005448F6">
        <w:rPr>
          <w:rFonts w:ascii="Tahoma" w:hAnsi="Tahoma" w:cs="Tahoma"/>
          <w:sz w:val="24"/>
          <w:szCs w:val="24"/>
        </w:rPr>
        <w:t>, f</w:t>
      </w:r>
      <w:r w:rsidR="009248D9" w:rsidRPr="005448F6">
        <w:rPr>
          <w:rFonts w:ascii="Tahoma" w:hAnsi="Tahoma" w:cs="Tahoma"/>
          <w:sz w:val="24"/>
          <w:szCs w:val="24"/>
        </w:rPr>
        <w:t xml:space="preserve">unding </w:t>
      </w:r>
      <w:r w:rsidR="009B2E30">
        <w:rPr>
          <w:rFonts w:ascii="Tahoma" w:hAnsi="Tahoma" w:cs="Tahoma"/>
          <w:sz w:val="24"/>
          <w:szCs w:val="24"/>
        </w:rPr>
        <w:t>can</w:t>
      </w:r>
      <w:r w:rsidR="009248D9" w:rsidRPr="005448F6">
        <w:rPr>
          <w:rFonts w:ascii="Tahoma" w:hAnsi="Tahoma" w:cs="Tahoma"/>
          <w:sz w:val="24"/>
          <w:szCs w:val="24"/>
        </w:rPr>
        <w:t xml:space="preserve"> support </w:t>
      </w:r>
      <w:r w:rsidR="009B2E30">
        <w:rPr>
          <w:rFonts w:ascii="Tahoma" w:hAnsi="Tahoma" w:cs="Tahoma"/>
          <w:sz w:val="24"/>
          <w:szCs w:val="24"/>
        </w:rPr>
        <w:t>the</w:t>
      </w:r>
      <w:r w:rsidR="009248D9" w:rsidRPr="005448F6">
        <w:rPr>
          <w:rFonts w:ascii="Tahoma" w:hAnsi="Tahoma" w:cs="Tahoma"/>
          <w:sz w:val="24"/>
          <w:szCs w:val="24"/>
        </w:rPr>
        <w:t xml:space="preserve"> new installation of in-ground fueling infrastructure for battery electric or hydrogen fuel cell </w:t>
      </w:r>
      <w:r w:rsidR="009B2E30">
        <w:rPr>
          <w:rFonts w:ascii="Tahoma" w:hAnsi="Tahoma" w:cs="Tahoma"/>
          <w:sz w:val="24"/>
          <w:szCs w:val="24"/>
        </w:rPr>
        <w:t xml:space="preserve">electric </w:t>
      </w:r>
      <w:r w:rsidR="00692129" w:rsidRPr="005448F6">
        <w:rPr>
          <w:rFonts w:ascii="Tahoma" w:hAnsi="Tahoma" w:cs="Tahoma"/>
          <w:sz w:val="24"/>
          <w:szCs w:val="24"/>
        </w:rPr>
        <w:t>medium- and heavy-duty</w:t>
      </w:r>
      <w:r w:rsidR="009248D9" w:rsidRPr="005448F6">
        <w:rPr>
          <w:rFonts w:ascii="Tahoma" w:hAnsi="Tahoma" w:cs="Tahoma"/>
          <w:sz w:val="24"/>
          <w:szCs w:val="24"/>
        </w:rPr>
        <w:t xml:space="preserve"> vehicles and/or port equipment and/or off-road equipment</w:t>
      </w:r>
      <w:r w:rsidR="00692129" w:rsidRPr="005448F6">
        <w:rPr>
          <w:rFonts w:ascii="Tahoma" w:hAnsi="Tahoma" w:cs="Tahoma"/>
          <w:sz w:val="24"/>
          <w:szCs w:val="24"/>
        </w:rPr>
        <w:t xml:space="preserve">. </w:t>
      </w:r>
      <w:r w:rsidR="007D0A95">
        <w:rPr>
          <w:rFonts w:ascii="Tahoma" w:hAnsi="Tahoma" w:cs="Tahoma"/>
          <w:sz w:val="24"/>
          <w:szCs w:val="24"/>
        </w:rPr>
        <w:t xml:space="preserve">All reimbursable expenditures must be expended </w:t>
      </w:r>
      <w:r w:rsidR="00A86FB0">
        <w:rPr>
          <w:rFonts w:ascii="Tahoma" w:hAnsi="Tahoma" w:cs="Tahoma"/>
          <w:sz w:val="24"/>
          <w:szCs w:val="24"/>
        </w:rPr>
        <w:t xml:space="preserve">within the approved term of the grant agreement. CEC reimbursable funding cannot be used towards </w:t>
      </w:r>
      <w:r w:rsidR="002C2E1D">
        <w:rPr>
          <w:rFonts w:ascii="Tahoma" w:hAnsi="Tahoma" w:cs="Tahoma"/>
          <w:sz w:val="24"/>
          <w:szCs w:val="24"/>
        </w:rPr>
        <w:t>EV charging infrastructure purchased prior to an executed grant agreement</w:t>
      </w:r>
      <w:r w:rsidR="00F07299" w:rsidRPr="005448F6">
        <w:rPr>
          <w:rFonts w:ascii="Tahoma" w:hAnsi="Tahoma" w:cs="Tahoma"/>
          <w:sz w:val="24"/>
          <w:szCs w:val="24"/>
        </w:rPr>
        <w:t>.</w:t>
      </w:r>
      <w:r w:rsidR="00B90E27" w:rsidRPr="005448F6">
        <w:rPr>
          <w:rFonts w:ascii="Tahoma" w:hAnsi="Tahoma" w:cs="Tahoma"/>
          <w:sz w:val="24"/>
          <w:szCs w:val="24"/>
        </w:rPr>
        <w:t xml:space="preserve"> </w:t>
      </w:r>
    </w:p>
    <w:p w14:paraId="4050AC7D" w14:textId="77777777" w:rsidR="00AE481F" w:rsidRPr="005448F6" w:rsidRDefault="00AE481F" w:rsidP="00FD340E">
      <w:pPr>
        <w:spacing w:after="0" w:line="240" w:lineRule="auto"/>
        <w:ind w:left="720" w:hanging="720"/>
        <w:rPr>
          <w:rFonts w:ascii="Tahoma" w:eastAsia="Times New Roman" w:hAnsi="Tahoma" w:cs="Tahoma"/>
          <w:sz w:val="24"/>
          <w:szCs w:val="24"/>
        </w:rPr>
      </w:pPr>
    </w:p>
    <w:p w14:paraId="79282476" w14:textId="7E88B2BC" w:rsidR="00FD340E" w:rsidRPr="003F0359" w:rsidRDefault="004821A9" w:rsidP="00831F5E">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lastRenderedPageBreak/>
        <w:t>Q</w:t>
      </w:r>
      <w:r>
        <w:rPr>
          <w:rFonts w:ascii="Tahoma" w:eastAsia="Times New Roman" w:hAnsi="Tahoma" w:cs="Tahoma"/>
          <w:b/>
          <w:sz w:val="24"/>
          <w:szCs w:val="24"/>
        </w:rPr>
        <w:t>5</w:t>
      </w:r>
      <w:r w:rsidR="00FD340E" w:rsidRPr="005448F6">
        <w:rPr>
          <w:rFonts w:ascii="Tahoma" w:eastAsia="Times New Roman" w:hAnsi="Tahoma" w:cs="Tahoma"/>
          <w:b/>
          <w:sz w:val="24"/>
          <w:szCs w:val="24"/>
        </w:rPr>
        <w:t>:</w:t>
      </w:r>
      <w:r w:rsidR="00FD340E" w:rsidRPr="005448F6">
        <w:rPr>
          <w:rFonts w:ascii="Tahoma" w:eastAsia="Times New Roman" w:hAnsi="Tahoma" w:cs="Tahoma"/>
          <w:b/>
          <w:sz w:val="24"/>
          <w:szCs w:val="24"/>
        </w:rPr>
        <w:tab/>
      </w:r>
      <w:r w:rsidR="00EA1CFE" w:rsidRPr="003F0359">
        <w:rPr>
          <w:rFonts w:ascii="Tahoma" w:eastAsia="Times New Roman" w:hAnsi="Tahoma" w:cs="Tahoma"/>
          <w:b/>
          <w:sz w:val="24"/>
          <w:szCs w:val="24"/>
        </w:rPr>
        <w:t xml:space="preserve">If an Applicant </w:t>
      </w:r>
      <w:r w:rsidR="00527E3C" w:rsidRPr="003F0359">
        <w:rPr>
          <w:rFonts w:ascii="Tahoma" w:eastAsia="Times New Roman" w:hAnsi="Tahoma" w:cs="Tahoma"/>
          <w:b/>
          <w:sz w:val="24"/>
          <w:szCs w:val="24"/>
        </w:rPr>
        <w:t xml:space="preserve">proposed a project </w:t>
      </w:r>
      <w:r w:rsidR="00867F3E" w:rsidRPr="003F0359">
        <w:rPr>
          <w:rFonts w:ascii="Tahoma" w:eastAsia="Times New Roman" w:hAnsi="Tahoma" w:cs="Tahoma"/>
          <w:b/>
          <w:sz w:val="24"/>
          <w:szCs w:val="24"/>
        </w:rPr>
        <w:t xml:space="preserve">requesting CEC funding to expand </w:t>
      </w:r>
      <w:r w:rsidR="00F81F3F" w:rsidRPr="003F0359">
        <w:rPr>
          <w:rFonts w:ascii="Tahoma" w:eastAsia="Times New Roman" w:hAnsi="Tahoma" w:cs="Tahoma"/>
          <w:b/>
          <w:sz w:val="24"/>
          <w:szCs w:val="24"/>
        </w:rPr>
        <w:t>an existing site’s current charging infrastructure</w:t>
      </w:r>
      <w:r w:rsidR="003B5F11" w:rsidRPr="003F0359">
        <w:rPr>
          <w:rFonts w:ascii="Tahoma" w:eastAsia="Times New Roman" w:hAnsi="Tahoma" w:cs="Tahoma"/>
          <w:b/>
          <w:sz w:val="24"/>
          <w:szCs w:val="24"/>
        </w:rPr>
        <w:t xml:space="preserve">, </w:t>
      </w:r>
      <w:r w:rsidR="00EA1CFE" w:rsidRPr="003F0359">
        <w:rPr>
          <w:rFonts w:ascii="Tahoma" w:eastAsia="Times New Roman" w:hAnsi="Tahoma" w:cs="Tahoma"/>
          <w:b/>
          <w:sz w:val="24"/>
          <w:szCs w:val="24"/>
        </w:rPr>
        <w:t xml:space="preserve">can Applicants count existing chargers at the site toward </w:t>
      </w:r>
      <w:r w:rsidR="003B5F11" w:rsidRPr="003F0359">
        <w:rPr>
          <w:rFonts w:ascii="Tahoma" w:eastAsia="Times New Roman" w:hAnsi="Tahoma" w:cs="Tahoma"/>
          <w:b/>
          <w:sz w:val="24"/>
          <w:szCs w:val="24"/>
        </w:rPr>
        <w:t>the minimum number of charg</w:t>
      </w:r>
      <w:r w:rsidR="006F7E7F" w:rsidRPr="003F0359">
        <w:rPr>
          <w:rFonts w:ascii="Tahoma" w:eastAsia="Times New Roman" w:hAnsi="Tahoma" w:cs="Tahoma"/>
          <w:b/>
          <w:sz w:val="24"/>
          <w:szCs w:val="24"/>
        </w:rPr>
        <w:t>ing ports</w:t>
      </w:r>
      <w:r w:rsidR="003B5F11" w:rsidRPr="003F0359">
        <w:rPr>
          <w:rFonts w:ascii="Tahoma" w:eastAsia="Times New Roman" w:hAnsi="Tahoma" w:cs="Tahoma"/>
          <w:b/>
          <w:sz w:val="24"/>
          <w:szCs w:val="24"/>
        </w:rPr>
        <w:t xml:space="preserve"> to be deployed</w:t>
      </w:r>
      <w:r w:rsidR="00EA1CFE" w:rsidRPr="003F0359">
        <w:rPr>
          <w:rFonts w:ascii="Tahoma" w:eastAsia="Times New Roman" w:hAnsi="Tahoma" w:cs="Tahoma"/>
          <w:b/>
          <w:sz w:val="24"/>
          <w:szCs w:val="24"/>
        </w:rPr>
        <w:t xml:space="preserve"> total, or must the funded expansion alone meet the full requirement? For example, if a site at a </w:t>
      </w:r>
      <w:r w:rsidR="006F7E7F" w:rsidRPr="003F0359">
        <w:rPr>
          <w:rFonts w:ascii="Tahoma" w:eastAsia="Times New Roman" w:hAnsi="Tahoma" w:cs="Tahoma"/>
          <w:b/>
          <w:sz w:val="24"/>
          <w:szCs w:val="24"/>
        </w:rPr>
        <w:t>L</w:t>
      </w:r>
      <w:r w:rsidR="00EA1CFE" w:rsidRPr="003F0359">
        <w:rPr>
          <w:rFonts w:ascii="Tahoma" w:eastAsia="Times New Roman" w:hAnsi="Tahoma" w:cs="Tahoma"/>
          <w:b/>
          <w:sz w:val="24"/>
          <w:szCs w:val="24"/>
        </w:rPr>
        <w:t xml:space="preserve">arge </w:t>
      </w:r>
      <w:r w:rsidR="006F7E7F" w:rsidRPr="003F0359">
        <w:rPr>
          <w:rFonts w:ascii="Tahoma" w:eastAsia="Times New Roman" w:hAnsi="Tahoma" w:cs="Tahoma"/>
          <w:b/>
          <w:sz w:val="24"/>
          <w:szCs w:val="24"/>
        </w:rPr>
        <w:t>P</w:t>
      </w:r>
      <w:r w:rsidR="00EA1CFE" w:rsidRPr="003F0359">
        <w:rPr>
          <w:rFonts w:ascii="Tahoma" w:eastAsia="Times New Roman" w:hAnsi="Tahoma" w:cs="Tahoma"/>
          <w:b/>
          <w:sz w:val="24"/>
          <w:szCs w:val="24"/>
        </w:rPr>
        <w:t xml:space="preserve">ort already has 30 chargers, would the </w:t>
      </w:r>
      <w:r w:rsidR="006F7E7F" w:rsidRPr="003F0359">
        <w:rPr>
          <w:rFonts w:ascii="Tahoma" w:eastAsia="Times New Roman" w:hAnsi="Tahoma" w:cs="Tahoma"/>
          <w:b/>
          <w:sz w:val="24"/>
          <w:szCs w:val="24"/>
        </w:rPr>
        <w:t>A</w:t>
      </w:r>
      <w:r w:rsidR="00EA1CFE" w:rsidRPr="003F0359">
        <w:rPr>
          <w:rFonts w:ascii="Tahoma" w:eastAsia="Times New Roman" w:hAnsi="Tahoma" w:cs="Tahoma"/>
          <w:b/>
          <w:sz w:val="24"/>
          <w:szCs w:val="24"/>
        </w:rPr>
        <w:t>pplicant need to install 40 additional chargers, or just 10</w:t>
      </w:r>
      <w:r w:rsidR="006F7E7F" w:rsidRPr="003F0359">
        <w:rPr>
          <w:rFonts w:ascii="Tahoma" w:eastAsia="Times New Roman" w:hAnsi="Tahoma" w:cs="Tahoma"/>
          <w:b/>
          <w:sz w:val="24"/>
          <w:szCs w:val="24"/>
        </w:rPr>
        <w:t>?</w:t>
      </w:r>
    </w:p>
    <w:p w14:paraId="273EB928" w14:textId="77777777" w:rsidR="00125701" w:rsidRPr="003F0359" w:rsidRDefault="00125701" w:rsidP="00FD340E">
      <w:pPr>
        <w:spacing w:after="0" w:line="240" w:lineRule="auto"/>
        <w:ind w:left="720"/>
        <w:rPr>
          <w:rFonts w:ascii="Tahoma" w:eastAsia="Times New Roman" w:hAnsi="Tahoma" w:cs="Tahoma"/>
          <w:b/>
          <w:sz w:val="24"/>
          <w:szCs w:val="24"/>
        </w:rPr>
      </w:pPr>
    </w:p>
    <w:p w14:paraId="140BB5BC" w14:textId="2FEC6CF9" w:rsidR="00FD340E" w:rsidRPr="003F0359" w:rsidRDefault="004821A9" w:rsidP="00FD340E">
      <w:pPr>
        <w:spacing w:after="0"/>
        <w:ind w:left="720" w:hanging="720"/>
        <w:rPr>
          <w:rFonts w:ascii="Tahoma" w:hAnsi="Tahoma" w:cs="Tahoma"/>
          <w:sz w:val="24"/>
          <w:szCs w:val="24"/>
        </w:rPr>
      </w:pPr>
      <w:r w:rsidRPr="003F0359">
        <w:rPr>
          <w:rFonts w:ascii="Tahoma" w:hAnsi="Tahoma" w:cs="Tahoma"/>
          <w:sz w:val="24"/>
          <w:szCs w:val="24"/>
        </w:rPr>
        <w:t>A5</w:t>
      </w:r>
      <w:r w:rsidR="00FD340E" w:rsidRPr="003F0359">
        <w:rPr>
          <w:rFonts w:ascii="Tahoma" w:hAnsi="Tahoma" w:cs="Tahoma"/>
          <w:sz w:val="24"/>
          <w:szCs w:val="24"/>
        </w:rPr>
        <w:t>:</w:t>
      </w:r>
      <w:r w:rsidR="00FD340E" w:rsidRPr="003F0359">
        <w:rPr>
          <w:rFonts w:ascii="Tahoma" w:hAnsi="Tahoma" w:cs="Tahoma"/>
          <w:sz w:val="24"/>
          <w:szCs w:val="24"/>
        </w:rPr>
        <w:tab/>
        <w:t xml:space="preserve">To qualify as an eligible project, </w:t>
      </w:r>
      <w:r w:rsidR="00CC5D37" w:rsidRPr="003F0359">
        <w:rPr>
          <w:rFonts w:ascii="Tahoma" w:hAnsi="Tahoma" w:cs="Tahoma"/>
          <w:sz w:val="24"/>
          <w:szCs w:val="24"/>
        </w:rPr>
        <w:t xml:space="preserve">Applicants must meet the minimum </w:t>
      </w:r>
      <w:r w:rsidR="00FD340E" w:rsidRPr="003F0359">
        <w:rPr>
          <w:rFonts w:ascii="Tahoma" w:hAnsi="Tahoma" w:cs="Tahoma"/>
          <w:sz w:val="24"/>
          <w:szCs w:val="24"/>
        </w:rPr>
        <w:t xml:space="preserve">deployment </w:t>
      </w:r>
      <w:r w:rsidR="00CC5D37" w:rsidRPr="003F0359">
        <w:rPr>
          <w:rFonts w:ascii="Tahoma" w:hAnsi="Tahoma" w:cs="Tahoma"/>
          <w:sz w:val="24"/>
          <w:szCs w:val="24"/>
        </w:rPr>
        <w:t>requirements</w:t>
      </w:r>
      <w:r w:rsidR="00FD340E" w:rsidRPr="003F0359">
        <w:rPr>
          <w:rFonts w:ascii="Tahoma" w:hAnsi="Tahoma" w:cs="Tahoma"/>
          <w:sz w:val="24"/>
          <w:szCs w:val="24"/>
        </w:rPr>
        <w:t xml:space="preserve"> outlined in the solicitation manual. </w:t>
      </w:r>
      <w:r w:rsidR="00CC5D37" w:rsidRPr="003F0359">
        <w:rPr>
          <w:rFonts w:ascii="Tahoma" w:hAnsi="Tahoma" w:cs="Tahoma"/>
          <w:sz w:val="24"/>
          <w:szCs w:val="24"/>
        </w:rPr>
        <w:t xml:space="preserve">In the example provided, the proposed project would need to install </w:t>
      </w:r>
      <w:r w:rsidR="00041BE5" w:rsidRPr="003F0359">
        <w:rPr>
          <w:rFonts w:ascii="Tahoma" w:hAnsi="Tahoma" w:cs="Tahoma"/>
          <w:sz w:val="24"/>
          <w:szCs w:val="24"/>
        </w:rPr>
        <w:t xml:space="preserve">20 </w:t>
      </w:r>
      <w:r w:rsidR="00041BE5" w:rsidRPr="007801B2">
        <w:rPr>
          <w:rFonts w:ascii="Tahoma" w:hAnsi="Tahoma" w:cs="Tahoma"/>
          <w:b/>
          <w:sz w:val="24"/>
          <w:szCs w:val="24"/>
          <w:u w:val="single"/>
        </w:rPr>
        <w:t>new</w:t>
      </w:r>
      <w:r w:rsidR="00041BE5" w:rsidRPr="003F0359">
        <w:rPr>
          <w:rFonts w:ascii="Tahoma" w:hAnsi="Tahoma" w:cs="Tahoma"/>
          <w:sz w:val="24"/>
          <w:szCs w:val="24"/>
        </w:rPr>
        <w:t xml:space="preserve"> charging ports (for Group 1: Small Ports) or 40 </w:t>
      </w:r>
      <w:r w:rsidR="00041BE5" w:rsidRPr="007801B2">
        <w:rPr>
          <w:rFonts w:ascii="Tahoma" w:hAnsi="Tahoma" w:cs="Tahoma"/>
          <w:b/>
          <w:sz w:val="24"/>
          <w:szCs w:val="24"/>
          <w:u w:val="single"/>
        </w:rPr>
        <w:t>new</w:t>
      </w:r>
      <w:r w:rsidR="00041BE5" w:rsidRPr="003F0359">
        <w:rPr>
          <w:rFonts w:ascii="Tahoma" w:hAnsi="Tahoma" w:cs="Tahoma"/>
          <w:sz w:val="24"/>
          <w:szCs w:val="24"/>
        </w:rPr>
        <w:t xml:space="preserve"> charging ports</w:t>
      </w:r>
      <w:r w:rsidR="00F56E38" w:rsidRPr="003F0359">
        <w:rPr>
          <w:rFonts w:ascii="Tahoma" w:hAnsi="Tahoma" w:cs="Tahoma"/>
          <w:sz w:val="24"/>
          <w:szCs w:val="24"/>
        </w:rPr>
        <w:t xml:space="preserve"> (for Group 2: Large Ports)</w:t>
      </w:r>
      <w:r w:rsidR="008C1751" w:rsidRPr="003F0359">
        <w:rPr>
          <w:rFonts w:ascii="Tahoma" w:hAnsi="Tahoma" w:cs="Tahoma"/>
          <w:sz w:val="24"/>
          <w:szCs w:val="24"/>
        </w:rPr>
        <w:t xml:space="preserve">, regardless </w:t>
      </w:r>
      <w:r w:rsidR="008C1751" w:rsidRPr="007801B2" w:rsidDel="000D3801">
        <w:rPr>
          <w:rFonts w:ascii="Tahoma" w:hAnsi="Tahoma" w:cs="Tahoma"/>
          <w:sz w:val="24"/>
          <w:szCs w:val="24"/>
        </w:rPr>
        <w:t>o</w:t>
      </w:r>
      <w:r w:rsidR="008C1751" w:rsidRPr="007801B2">
        <w:rPr>
          <w:rFonts w:ascii="Tahoma" w:hAnsi="Tahoma" w:cs="Tahoma"/>
          <w:sz w:val="24"/>
          <w:szCs w:val="24"/>
        </w:rPr>
        <w:t>f any</w:t>
      </w:r>
      <w:r w:rsidR="008C1751" w:rsidRPr="003F0359">
        <w:rPr>
          <w:rFonts w:ascii="Tahoma" w:hAnsi="Tahoma" w:cs="Tahoma"/>
          <w:sz w:val="24"/>
          <w:szCs w:val="24"/>
        </w:rPr>
        <w:t xml:space="preserve"> existing chargers/charging ports already installed at the site.</w:t>
      </w:r>
    </w:p>
    <w:p w14:paraId="01F01E4F" w14:textId="77777777" w:rsidR="00FD340E" w:rsidRPr="003F0359" w:rsidRDefault="00FD340E" w:rsidP="00B24BF7">
      <w:pPr>
        <w:spacing w:after="0" w:line="240" w:lineRule="auto"/>
        <w:ind w:left="720" w:hanging="720"/>
        <w:rPr>
          <w:rFonts w:ascii="Tahoma" w:eastAsia="Times New Roman" w:hAnsi="Tahoma" w:cs="Tahoma"/>
          <w:b/>
          <w:sz w:val="24"/>
          <w:szCs w:val="24"/>
        </w:rPr>
      </w:pPr>
    </w:p>
    <w:p w14:paraId="6F440292" w14:textId="22C7C2D5" w:rsidR="000A1279" w:rsidRPr="0086587B" w:rsidRDefault="004821A9" w:rsidP="00B24BF7">
      <w:pPr>
        <w:spacing w:after="0" w:line="240" w:lineRule="auto"/>
        <w:ind w:left="720" w:hanging="720"/>
        <w:rPr>
          <w:rFonts w:ascii="Tahoma" w:eastAsia="Times New Roman" w:hAnsi="Tahoma" w:cs="Tahoma"/>
          <w:b/>
          <w:sz w:val="24"/>
          <w:szCs w:val="24"/>
        </w:rPr>
      </w:pPr>
      <w:r w:rsidRPr="003F0359">
        <w:rPr>
          <w:rFonts w:ascii="Tahoma" w:eastAsia="Times New Roman" w:hAnsi="Tahoma" w:cs="Tahoma"/>
          <w:b/>
          <w:sz w:val="24"/>
          <w:szCs w:val="24"/>
        </w:rPr>
        <w:t>Q6</w:t>
      </w:r>
      <w:r w:rsidR="00B12933" w:rsidRPr="003F0359">
        <w:rPr>
          <w:rFonts w:ascii="Tahoma" w:eastAsia="Times New Roman" w:hAnsi="Tahoma" w:cs="Tahoma"/>
          <w:b/>
          <w:sz w:val="24"/>
          <w:szCs w:val="24"/>
        </w:rPr>
        <w:t>:</w:t>
      </w:r>
      <w:r w:rsidR="00B24BF7" w:rsidRPr="003F0359">
        <w:rPr>
          <w:rFonts w:ascii="Tahoma" w:eastAsia="Times New Roman" w:hAnsi="Tahoma" w:cs="Tahoma"/>
          <w:b/>
          <w:sz w:val="24"/>
          <w:szCs w:val="24"/>
        </w:rPr>
        <w:tab/>
      </w:r>
      <w:r w:rsidR="00AE481F" w:rsidRPr="003F0359">
        <w:rPr>
          <w:rFonts w:ascii="Tahoma" w:eastAsia="Times New Roman" w:hAnsi="Tahoma" w:cs="Tahoma"/>
          <w:b/>
          <w:sz w:val="24"/>
          <w:szCs w:val="24"/>
        </w:rPr>
        <w:t xml:space="preserve">Can a single application be submitted including more than one charging location serving a single </w:t>
      </w:r>
      <w:r w:rsidR="00F07299" w:rsidRPr="003F0359">
        <w:rPr>
          <w:rFonts w:ascii="Tahoma" w:eastAsia="Times New Roman" w:hAnsi="Tahoma" w:cs="Tahoma"/>
          <w:b/>
          <w:sz w:val="24"/>
          <w:szCs w:val="24"/>
        </w:rPr>
        <w:t>S</w:t>
      </w:r>
      <w:r w:rsidR="00AE481F" w:rsidRPr="003F0359">
        <w:rPr>
          <w:rFonts w:ascii="Tahoma" w:eastAsia="Times New Roman" w:hAnsi="Tahoma" w:cs="Tahoma"/>
          <w:b/>
          <w:sz w:val="24"/>
          <w:szCs w:val="24"/>
        </w:rPr>
        <w:t xml:space="preserve">mall or </w:t>
      </w:r>
      <w:r w:rsidR="00F07299" w:rsidRPr="003F0359">
        <w:rPr>
          <w:rFonts w:ascii="Tahoma" w:eastAsia="Times New Roman" w:hAnsi="Tahoma" w:cs="Tahoma"/>
          <w:b/>
          <w:sz w:val="24"/>
          <w:szCs w:val="24"/>
        </w:rPr>
        <w:t>L</w:t>
      </w:r>
      <w:r w:rsidR="00AE481F" w:rsidRPr="003F0359">
        <w:rPr>
          <w:rFonts w:ascii="Tahoma" w:eastAsia="Times New Roman" w:hAnsi="Tahoma" w:cs="Tahoma"/>
          <w:b/>
          <w:sz w:val="24"/>
          <w:szCs w:val="24"/>
        </w:rPr>
        <w:t xml:space="preserve">arge </w:t>
      </w:r>
      <w:r w:rsidR="00F07299" w:rsidRPr="003F0359">
        <w:rPr>
          <w:rFonts w:ascii="Tahoma" w:eastAsia="Times New Roman" w:hAnsi="Tahoma" w:cs="Tahoma"/>
          <w:b/>
          <w:sz w:val="24"/>
          <w:szCs w:val="24"/>
        </w:rPr>
        <w:t>P</w:t>
      </w:r>
      <w:r w:rsidR="00AE481F" w:rsidRPr="003F0359">
        <w:rPr>
          <w:rFonts w:ascii="Tahoma" w:eastAsia="Times New Roman" w:hAnsi="Tahoma" w:cs="Tahoma"/>
          <w:b/>
          <w:sz w:val="24"/>
          <w:szCs w:val="24"/>
        </w:rPr>
        <w:t>ort so long as the requested funding</w:t>
      </w:r>
      <w:r w:rsidR="00AE481F" w:rsidRPr="0086587B">
        <w:rPr>
          <w:rFonts w:ascii="Tahoma" w:eastAsia="Times New Roman" w:hAnsi="Tahoma" w:cs="Tahoma"/>
          <w:b/>
          <w:sz w:val="24"/>
          <w:szCs w:val="24"/>
        </w:rPr>
        <w:t xml:space="preserve"> amount is less than $5M?  </w:t>
      </w:r>
    </w:p>
    <w:p w14:paraId="0C505F6F" w14:textId="77777777" w:rsidR="00F07299" w:rsidRPr="0086587B" w:rsidRDefault="00F07299" w:rsidP="00B24BF7">
      <w:pPr>
        <w:spacing w:after="0" w:line="240" w:lineRule="auto"/>
        <w:ind w:left="720" w:hanging="720"/>
        <w:rPr>
          <w:rFonts w:ascii="Tahoma" w:eastAsia="Times New Roman" w:hAnsi="Tahoma" w:cs="Tahoma"/>
          <w:sz w:val="24"/>
          <w:szCs w:val="24"/>
        </w:rPr>
      </w:pPr>
    </w:p>
    <w:p w14:paraId="7114D053" w14:textId="6BE6E627" w:rsidR="0094441D" w:rsidRPr="0086587B" w:rsidRDefault="004821A9" w:rsidP="00CF1250">
      <w:pPr>
        <w:spacing w:after="0"/>
        <w:ind w:left="720" w:hanging="720"/>
        <w:rPr>
          <w:rFonts w:ascii="Tahoma" w:hAnsi="Tahoma" w:cs="Tahoma"/>
          <w:sz w:val="24"/>
          <w:szCs w:val="24"/>
        </w:rPr>
      </w:pPr>
      <w:r w:rsidRPr="0086587B">
        <w:rPr>
          <w:rFonts w:ascii="Tahoma" w:hAnsi="Tahoma" w:cs="Tahoma"/>
          <w:sz w:val="24"/>
          <w:szCs w:val="24"/>
        </w:rPr>
        <w:t>A6</w:t>
      </w:r>
      <w:r w:rsidR="00B24BF7" w:rsidRPr="0086587B">
        <w:rPr>
          <w:rFonts w:ascii="Tahoma" w:hAnsi="Tahoma" w:cs="Tahoma"/>
          <w:sz w:val="24"/>
          <w:szCs w:val="24"/>
        </w:rPr>
        <w:t>:</w:t>
      </w:r>
      <w:r w:rsidR="00B24BF7" w:rsidRPr="0086587B">
        <w:rPr>
          <w:rFonts w:ascii="Tahoma" w:hAnsi="Tahoma" w:cs="Tahoma"/>
          <w:sz w:val="24"/>
          <w:szCs w:val="24"/>
        </w:rPr>
        <w:tab/>
      </w:r>
      <w:r w:rsidR="005908D4" w:rsidRPr="0086587B">
        <w:rPr>
          <w:rFonts w:ascii="Tahoma" w:hAnsi="Tahoma" w:cs="Tahoma"/>
          <w:sz w:val="24"/>
          <w:szCs w:val="24"/>
        </w:rPr>
        <w:t xml:space="preserve">Multiple project locations are not allowed within a single application. A project location is defined as a single project site address, however if the Port is the Prime Applicant and the project is located on-port, the application may include multiple sites within the port boundaries (e.g., across terminals), provided all sites </w:t>
      </w:r>
      <w:r w:rsidR="005908D4" w:rsidRPr="004A3AC6">
        <w:rPr>
          <w:rFonts w:ascii="Tahoma" w:hAnsi="Tahoma" w:cs="Tahoma"/>
          <w:b/>
          <w:sz w:val="24"/>
          <w:szCs w:val="24"/>
        </w:rPr>
        <w:t>collectively</w:t>
      </w:r>
      <w:r w:rsidR="005908D4" w:rsidRPr="0086587B">
        <w:rPr>
          <w:rFonts w:ascii="Tahoma" w:hAnsi="Tahoma" w:cs="Tahoma"/>
          <w:sz w:val="24"/>
          <w:szCs w:val="24"/>
        </w:rPr>
        <w:t xml:space="preserve"> meet the minimum infrastructure deployment requirements and support the port’s operations. </w:t>
      </w:r>
    </w:p>
    <w:p w14:paraId="23A94B54" w14:textId="77777777" w:rsidR="002215A9" w:rsidRPr="0086587B" w:rsidRDefault="002215A9" w:rsidP="00B24BF7">
      <w:pPr>
        <w:spacing w:after="0" w:line="240" w:lineRule="auto"/>
        <w:ind w:left="720" w:hanging="720"/>
        <w:rPr>
          <w:rFonts w:ascii="Tahoma" w:eastAsia="Times New Roman" w:hAnsi="Tahoma" w:cs="Tahoma"/>
          <w:sz w:val="24"/>
          <w:szCs w:val="24"/>
        </w:rPr>
      </w:pPr>
    </w:p>
    <w:p w14:paraId="2238341F" w14:textId="0690E4CA" w:rsidR="00AE481F" w:rsidRPr="0086587B" w:rsidRDefault="004821A9" w:rsidP="00B24BF7">
      <w:pPr>
        <w:spacing w:after="0" w:line="240" w:lineRule="auto"/>
        <w:ind w:left="720" w:hanging="720"/>
        <w:rPr>
          <w:rFonts w:ascii="Tahoma" w:eastAsia="Times New Roman" w:hAnsi="Tahoma" w:cs="Tahoma"/>
          <w:b/>
          <w:sz w:val="24"/>
          <w:szCs w:val="24"/>
        </w:rPr>
      </w:pPr>
      <w:r w:rsidRPr="0086587B">
        <w:rPr>
          <w:rFonts w:ascii="Tahoma" w:eastAsia="Times New Roman" w:hAnsi="Tahoma" w:cs="Tahoma"/>
          <w:b/>
          <w:sz w:val="24"/>
          <w:szCs w:val="24"/>
        </w:rPr>
        <w:t>Q7</w:t>
      </w:r>
      <w:r w:rsidR="00B24BF7" w:rsidRPr="0086587B">
        <w:rPr>
          <w:rFonts w:ascii="Tahoma" w:eastAsia="Times New Roman" w:hAnsi="Tahoma" w:cs="Tahoma"/>
          <w:b/>
          <w:sz w:val="24"/>
          <w:szCs w:val="24"/>
        </w:rPr>
        <w:t>:</w:t>
      </w:r>
      <w:r w:rsidR="00B24BF7" w:rsidRPr="0086587B">
        <w:rPr>
          <w:rFonts w:ascii="Tahoma" w:eastAsia="Times New Roman" w:hAnsi="Tahoma" w:cs="Tahoma"/>
          <w:b/>
          <w:sz w:val="24"/>
          <w:szCs w:val="24"/>
        </w:rPr>
        <w:tab/>
      </w:r>
      <w:r w:rsidR="00AE481F" w:rsidRPr="0086587B">
        <w:rPr>
          <w:rFonts w:ascii="Tahoma" w:eastAsia="Times New Roman" w:hAnsi="Tahoma" w:cs="Tahoma"/>
          <w:b/>
          <w:sz w:val="24"/>
          <w:szCs w:val="24"/>
        </w:rPr>
        <w:t xml:space="preserve">If multiple locations are submitted in one application, can either location be less than 20 </w:t>
      </w:r>
      <w:r w:rsidR="00231908">
        <w:rPr>
          <w:rFonts w:ascii="Tahoma" w:eastAsia="Times New Roman" w:hAnsi="Tahoma" w:cs="Tahoma"/>
          <w:b/>
          <w:sz w:val="24"/>
          <w:szCs w:val="24"/>
        </w:rPr>
        <w:t xml:space="preserve">charging </w:t>
      </w:r>
      <w:r w:rsidR="00AE481F" w:rsidRPr="0086587B">
        <w:rPr>
          <w:rFonts w:ascii="Tahoma" w:eastAsia="Times New Roman" w:hAnsi="Tahoma" w:cs="Tahoma"/>
          <w:b/>
          <w:sz w:val="24"/>
          <w:szCs w:val="24"/>
        </w:rPr>
        <w:t xml:space="preserve">ports (if for a small port) so long as the combined application includes greater than 20 </w:t>
      </w:r>
      <w:r w:rsidR="00231908">
        <w:rPr>
          <w:rFonts w:ascii="Tahoma" w:eastAsia="Times New Roman" w:hAnsi="Tahoma" w:cs="Tahoma"/>
          <w:b/>
          <w:sz w:val="24"/>
          <w:szCs w:val="24"/>
        </w:rPr>
        <w:t xml:space="preserve">charging </w:t>
      </w:r>
      <w:r w:rsidR="00AE481F" w:rsidRPr="0086587B">
        <w:rPr>
          <w:rFonts w:ascii="Tahoma" w:eastAsia="Times New Roman" w:hAnsi="Tahoma" w:cs="Tahoma"/>
          <w:b/>
          <w:sz w:val="24"/>
          <w:szCs w:val="24"/>
        </w:rPr>
        <w:t>ports (for a small port)?</w:t>
      </w:r>
    </w:p>
    <w:p w14:paraId="191D021F" w14:textId="77777777" w:rsidR="00052597" w:rsidRPr="0086587B" w:rsidRDefault="00052597" w:rsidP="00B24BF7">
      <w:pPr>
        <w:spacing w:after="0" w:line="240" w:lineRule="auto"/>
        <w:ind w:left="720" w:hanging="720"/>
        <w:rPr>
          <w:rFonts w:ascii="Tahoma" w:eastAsia="Times New Roman" w:hAnsi="Tahoma" w:cs="Tahoma"/>
          <w:sz w:val="24"/>
          <w:szCs w:val="24"/>
        </w:rPr>
      </w:pPr>
    </w:p>
    <w:p w14:paraId="69DC777D" w14:textId="2A51D977" w:rsidR="00084787" w:rsidRPr="005448F6" w:rsidRDefault="004821A9" w:rsidP="00CF1250">
      <w:pPr>
        <w:spacing w:after="0"/>
        <w:ind w:left="720" w:hanging="720"/>
        <w:rPr>
          <w:rFonts w:ascii="Tahoma" w:hAnsi="Tahoma" w:cs="Tahoma"/>
          <w:sz w:val="24"/>
          <w:szCs w:val="24"/>
        </w:rPr>
      </w:pPr>
      <w:r w:rsidRPr="0086587B">
        <w:rPr>
          <w:rFonts w:ascii="Tahoma" w:hAnsi="Tahoma" w:cs="Tahoma"/>
          <w:sz w:val="24"/>
          <w:szCs w:val="24"/>
        </w:rPr>
        <w:t>A7</w:t>
      </w:r>
      <w:r w:rsidR="00B24BF7" w:rsidRPr="0086587B">
        <w:rPr>
          <w:rFonts w:ascii="Tahoma" w:hAnsi="Tahoma" w:cs="Tahoma"/>
          <w:sz w:val="24"/>
          <w:szCs w:val="24"/>
        </w:rPr>
        <w:t>:</w:t>
      </w:r>
      <w:r w:rsidR="00B24BF7" w:rsidRPr="0086587B">
        <w:rPr>
          <w:rFonts w:ascii="Tahoma" w:hAnsi="Tahoma" w:cs="Tahoma"/>
          <w:sz w:val="24"/>
          <w:szCs w:val="24"/>
        </w:rPr>
        <w:tab/>
      </w:r>
      <w:r w:rsidR="0086587B" w:rsidRPr="0086587B">
        <w:rPr>
          <w:rFonts w:ascii="Tahoma" w:hAnsi="Tahoma" w:cs="Tahoma"/>
          <w:sz w:val="24"/>
          <w:szCs w:val="24"/>
        </w:rPr>
        <w:t>M</w:t>
      </w:r>
      <w:r w:rsidR="009365AC" w:rsidRPr="0086587B">
        <w:rPr>
          <w:rFonts w:ascii="Tahoma" w:hAnsi="Tahoma" w:cs="Tahoma"/>
          <w:sz w:val="24"/>
          <w:szCs w:val="24"/>
        </w:rPr>
        <w:t xml:space="preserve">ultiple project locations are not allowed within a single application. A project location is defined as a single project site address, however if the Port is the Prime Applicant and the project is located on-port, the application may include multiple sites within the port boundaries (e.g., across terminals), provided all sites </w:t>
      </w:r>
      <w:r w:rsidR="009365AC" w:rsidRPr="007801B2">
        <w:rPr>
          <w:rFonts w:ascii="Tahoma" w:hAnsi="Tahoma" w:cs="Tahoma"/>
          <w:b/>
          <w:sz w:val="24"/>
          <w:szCs w:val="24"/>
        </w:rPr>
        <w:t>collectively</w:t>
      </w:r>
      <w:r w:rsidR="009365AC" w:rsidRPr="0086587B">
        <w:rPr>
          <w:rFonts w:ascii="Tahoma" w:hAnsi="Tahoma" w:cs="Tahoma"/>
          <w:sz w:val="24"/>
          <w:szCs w:val="24"/>
        </w:rPr>
        <w:t xml:space="preserve"> meet the minimum infrastructure deployment requirements and support the port’s operations. </w:t>
      </w:r>
    </w:p>
    <w:p w14:paraId="7D851841" w14:textId="77777777" w:rsidR="00AE481F" w:rsidRPr="005448F6" w:rsidRDefault="00AE481F" w:rsidP="00AE481F">
      <w:pPr>
        <w:spacing w:after="0" w:line="240" w:lineRule="auto"/>
        <w:ind w:left="720"/>
        <w:rPr>
          <w:rFonts w:ascii="Tahoma" w:eastAsia="Times New Roman" w:hAnsi="Tahoma" w:cs="Tahoma"/>
          <w:sz w:val="24"/>
          <w:szCs w:val="24"/>
        </w:rPr>
      </w:pPr>
    </w:p>
    <w:p w14:paraId="61344368" w14:textId="2110863F" w:rsidR="00AE481F" w:rsidRPr="005448F6" w:rsidRDefault="004821A9" w:rsidP="002903A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8</w:t>
      </w:r>
      <w:r w:rsidR="002903A0" w:rsidRPr="005448F6">
        <w:rPr>
          <w:rFonts w:ascii="Tahoma" w:eastAsia="Times New Roman" w:hAnsi="Tahoma" w:cs="Tahoma"/>
          <w:b/>
          <w:sz w:val="24"/>
          <w:szCs w:val="24"/>
        </w:rPr>
        <w:t>:</w:t>
      </w:r>
      <w:r w:rsidR="002903A0" w:rsidRPr="005448F6">
        <w:rPr>
          <w:rFonts w:ascii="Tahoma" w:eastAsia="Times New Roman" w:hAnsi="Tahoma" w:cs="Tahoma"/>
          <w:b/>
          <w:sz w:val="24"/>
          <w:szCs w:val="24"/>
        </w:rPr>
        <w:tab/>
      </w:r>
      <w:r w:rsidR="00AE481F" w:rsidRPr="005448F6">
        <w:rPr>
          <w:rFonts w:ascii="Tahoma" w:eastAsia="Times New Roman" w:hAnsi="Tahoma" w:cs="Tahoma"/>
          <w:b/>
          <w:sz w:val="24"/>
          <w:szCs w:val="24"/>
        </w:rPr>
        <w:t>If a fleet is making a portion of its property available for public charging, can a certain number of hours per day, e.g., overnight hours, provide for limited access for the host fleet, while the remainder of the day is open to all fleet users? If so, is there a minimum number of hours required for public access and certain hours of day that must be publicly accessible?  </w:t>
      </w:r>
    </w:p>
    <w:p w14:paraId="5CD1DFB4" w14:textId="77777777" w:rsidR="003E6ABB" w:rsidRPr="005448F6" w:rsidRDefault="003E6ABB" w:rsidP="002903A0">
      <w:pPr>
        <w:spacing w:after="0" w:line="240" w:lineRule="auto"/>
        <w:ind w:left="720" w:hanging="720"/>
        <w:rPr>
          <w:rFonts w:ascii="Tahoma" w:eastAsia="Times New Roman" w:hAnsi="Tahoma" w:cs="Tahoma"/>
          <w:sz w:val="24"/>
          <w:szCs w:val="24"/>
        </w:rPr>
      </w:pPr>
    </w:p>
    <w:p w14:paraId="4DBD6E22" w14:textId="17A384B3" w:rsidR="0049661C" w:rsidRDefault="004821A9" w:rsidP="0069423F">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8</w:t>
      </w:r>
      <w:r w:rsidR="00A22F20" w:rsidRPr="005448F6">
        <w:rPr>
          <w:rFonts w:ascii="Tahoma" w:hAnsi="Tahoma" w:cs="Tahoma"/>
          <w:sz w:val="24"/>
          <w:szCs w:val="24"/>
        </w:rPr>
        <w:t>:</w:t>
      </w:r>
      <w:r w:rsidR="00A22F20">
        <w:tab/>
      </w:r>
      <w:r w:rsidR="005206B3" w:rsidRPr="005448F6">
        <w:rPr>
          <w:rFonts w:ascii="Tahoma" w:hAnsi="Tahoma" w:cs="Tahoma"/>
          <w:sz w:val="24"/>
          <w:szCs w:val="24"/>
        </w:rPr>
        <w:t xml:space="preserve">Yes, a fleet can designate limited public access hours. There is no minimum number of hours required for public access. </w:t>
      </w:r>
      <w:r w:rsidR="00073316">
        <w:rPr>
          <w:rFonts w:ascii="Tahoma" w:hAnsi="Tahoma" w:cs="Tahoma"/>
          <w:sz w:val="24"/>
          <w:szCs w:val="24"/>
        </w:rPr>
        <w:t>Refer to Section II.C., Minimum Technical Requirements for Open Retail Electric Vehicle Charging Stations.</w:t>
      </w:r>
    </w:p>
    <w:p w14:paraId="76C9629C" w14:textId="77777777" w:rsidR="0069423F" w:rsidRPr="0069423F" w:rsidRDefault="0069423F" w:rsidP="0069423F">
      <w:pPr>
        <w:spacing w:after="0"/>
        <w:ind w:left="720" w:hanging="720"/>
        <w:rPr>
          <w:rFonts w:ascii="Tahoma" w:hAnsi="Tahoma" w:cs="Tahoma"/>
          <w:sz w:val="24"/>
          <w:szCs w:val="24"/>
        </w:rPr>
      </w:pPr>
    </w:p>
    <w:p w14:paraId="7F3C4E77" w14:textId="5A24FF4D" w:rsidR="0049661C" w:rsidRPr="005448F6" w:rsidRDefault="004821A9" w:rsidP="00114172">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9</w:t>
      </w:r>
      <w:r w:rsidR="0049661C" w:rsidRPr="005448F6">
        <w:rPr>
          <w:rFonts w:ascii="Tahoma" w:eastAsia="Times New Roman" w:hAnsi="Tahoma" w:cs="Tahoma"/>
          <w:b/>
          <w:sz w:val="24"/>
          <w:szCs w:val="24"/>
        </w:rPr>
        <w:t>:</w:t>
      </w:r>
      <w:r w:rsidR="0049661C" w:rsidRPr="005448F6">
        <w:rPr>
          <w:rFonts w:ascii="Tahoma" w:eastAsia="Times New Roman" w:hAnsi="Tahoma" w:cs="Tahoma"/>
          <w:b/>
          <w:sz w:val="24"/>
          <w:szCs w:val="24"/>
        </w:rPr>
        <w:tab/>
      </w:r>
      <w:r w:rsidR="00DE7CDA">
        <w:rPr>
          <w:rFonts w:ascii="Tahoma" w:eastAsia="Times New Roman" w:hAnsi="Tahoma" w:cs="Tahoma"/>
          <w:b/>
          <w:sz w:val="24"/>
          <w:szCs w:val="24"/>
        </w:rPr>
        <w:t>Can the</w:t>
      </w:r>
      <w:r w:rsidR="0049661C" w:rsidRPr="005448F6">
        <w:rPr>
          <w:rFonts w:ascii="Tahoma" w:eastAsia="Times New Roman" w:hAnsi="Tahoma" w:cs="Tahoma"/>
          <w:b/>
          <w:sz w:val="24"/>
          <w:szCs w:val="24"/>
        </w:rPr>
        <w:t xml:space="preserve"> grant's scope </w:t>
      </w:r>
      <w:r w:rsidR="00DE7CDA">
        <w:rPr>
          <w:rFonts w:ascii="Tahoma" w:eastAsia="Times New Roman" w:hAnsi="Tahoma" w:cs="Tahoma"/>
          <w:b/>
          <w:sz w:val="24"/>
          <w:szCs w:val="24"/>
        </w:rPr>
        <w:t>of work</w:t>
      </w:r>
      <w:r w:rsidR="004503D4">
        <w:rPr>
          <w:rFonts w:ascii="Tahoma" w:eastAsia="Times New Roman" w:hAnsi="Tahoma" w:cs="Tahoma"/>
          <w:b/>
          <w:sz w:val="24"/>
          <w:szCs w:val="24"/>
        </w:rPr>
        <w:t xml:space="preserve"> </w:t>
      </w:r>
      <w:r w:rsidR="0049661C" w:rsidRPr="005448F6">
        <w:rPr>
          <w:rFonts w:ascii="Tahoma" w:eastAsia="Times New Roman" w:hAnsi="Tahoma" w:cs="Tahoma"/>
          <w:b/>
          <w:sz w:val="24"/>
          <w:szCs w:val="24"/>
        </w:rPr>
        <w:t>include electrified at-berth ships as zero-emission vehicles and ensure that cold-ironing counts as charging infrastructure</w:t>
      </w:r>
      <w:r w:rsidR="00295429">
        <w:rPr>
          <w:rFonts w:ascii="Tahoma" w:eastAsia="Times New Roman" w:hAnsi="Tahoma" w:cs="Tahoma"/>
          <w:b/>
          <w:sz w:val="24"/>
          <w:szCs w:val="24"/>
        </w:rPr>
        <w:t>?</w:t>
      </w:r>
      <w:r w:rsidR="0049661C" w:rsidRPr="005448F6">
        <w:rPr>
          <w:rFonts w:ascii="Tahoma" w:eastAsia="Times New Roman" w:hAnsi="Tahoma" w:cs="Tahoma"/>
          <w:b/>
          <w:sz w:val="24"/>
          <w:szCs w:val="24"/>
        </w:rPr>
        <w:t xml:space="preserve"> </w:t>
      </w:r>
    </w:p>
    <w:p w14:paraId="479B1B2C" w14:textId="77777777" w:rsidR="0049661C" w:rsidRPr="005448F6" w:rsidRDefault="0049661C" w:rsidP="00CF1250">
      <w:pPr>
        <w:spacing w:after="0" w:line="240" w:lineRule="auto"/>
        <w:ind w:left="720" w:hanging="720"/>
        <w:rPr>
          <w:rFonts w:ascii="Tahoma" w:eastAsia="Times New Roman" w:hAnsi="Tahoma" w:cs="Tahoma"/>
          <w:b/>
          <w:sz w:val="24"/>
          <w:szCs w:val="24"/>
        </w:rPr>
      </w:pPr>
    </w:p>
    <w:p w14:paraId="246E4F36" w14:textId="7B858865" w:rsidR="0049661C" w:rsidRPr="005448F6" w:rsidRDefault="0049661C" w:rsidP="00644A90">
      <w:pPr>
        <w:spacing w:after="0" w:line="240" w:lineRule="auto"/>
        <w:ind w:left="720"/>
        <w:rPr>
          <w:rFonts w:ascii="Tahoma" w:eastAsia="Times New Roman" w:hAnsi="Tahoma" w:cs="Tahoma"/>
          <w:b/>
          <w:sz w:val="24"/>
          <w:szCs w:val="24"/>
        </w:rPr>
      </w:pPr>
      <w:r w:rsidRPr="005448F6">
        <w:rPr>
          <w:rFonts w:ascii="Tahoma" w:eastAsia="Times New Roman" w:hAnsi="Tahoma" w:cs="Tahoma"/>
          <w:b/>
          <w:sz w:val="24"/>
          <w:szCs w:val="24"/>
        </w:rPr>
        <w:t xml:space="preserve">For background, a battery railcar </w:t>
      </w:r>
      <w:r w:rsidR="004503D4">
        <w:rPr>
          <w:rFonts w:ascii="Tahoma" w:eastAsia="Times New Roman" w:hAnsi="Tahoma" w:cs="Tahoma"/>
          <w:b/>
          <w:sz w:val="24"/>
          <w:szCs w:val="24"/>
        </w:rPr>
        <w:t xml:space="preserve">has been developed </w:t>
      </w:r>
      <w:r w:rsidRPr="005448F6">
        <w:rPr>
          <w:rFonts w:ascii="Tahoma" w:eastAsia="Times New Roman" w:hAnsi="Tahoma" w:cs="Tahoma"/>
          <w:b/>
          <w:sz w:val="24"/>
          <w:szCs w:val="24"/>
        </w:rPr>
        <w:t xml:space="preserve">that has a 17.2 MWH capacity and can discharge AC or DC. When moved together in a unit train, </w:t>
      </w:r>
      <w:r w:rsidR="008E512A">
        <w:rPr>
          <w:rFonts w:ascii="Tahoma" w:eastAsia="Times New Roman" w:hAnsi="Tahoma" w:cs="Tahoma"/>
          <w:b/>
          <w:sz w:val="24"/>
          <w:szCs w:val="24"/>
        </w:rPr>
        <w:t>it</w:t>
      </w:r>
      <w:r w:rsidR="008E512A" w:rsidRPr="005448F6">
        <w:rPr>
          <w:rFonts w:ascii="Tahoma" w:eastAsia="Times New Roman" w:hAnsi="Tahoma" w:cs="Tahoma"/>
          <w:b/>
          <w:sz w:val="24"/>
          <w:szCs w:val="24"/>
        </w:rPr>
        <w:t xml:space="preserve"> </w:t>
      </w:r>
      <w:r w:rsidRPr="005448F6">
        <w:rPr>
          <w:rFonts w:ascii="Tahoma" w:eastAsia="Times New Roman" w:hAnsi="Tahoma" w:cs="Tahoma"/>
          <w:b/>
          <w:sz w:val="24"/>
          <w:szCs w:val="24"/>
        </w:rPr>
        <w:t xml:space="preserve">can deliver 1.72 GWH of stored energy to </w:t>
      </w:r>
      <w:r w:rsidR="008E512A">
        <w:rPr>
          <w:rFonts w:ascii="Tahoma" w:eastAsia="Times New Roman" w:hAnsi="Tahoma" w:cs="Tahoma"/>
          <w:b/>
          <w:sz w:val="24"/>
          <w:szCs w:val="24"/>
        </w:rPr>
        <w:t>a specific Port</w:t>
      </w:r>
      <w:r w:rsidRPr="005448F6">
        <w:rPr>
          <w:rFonts w:ascii="Tahoma" w:eastAsia="Times New Roman" w:hAnsi="Tahoma" w:cs="Tahoma"/>
          <w:b/>
          <w:sz w:val="24"/>
          <w:szCs w:val="24"/>
        </w:rPr>
        <w:t xml:space="preserve">. </w:t>
      </w:r>
    </w:p>
    <w:p w14:paraId="2BB7CEDC" w14:textId="77777777" w:rsidR="00644A90" w:rsidRPr="005448F6" w:rsidRDefault="00644A90" w:rsidP="00CF1250">
      <w:pPr>
        <w:spacing w:after="0" w:line="240" w:lineRule="auto"/>
        <w:ind w:left="720"/>
        <w:rPr>
          <w:rFonts w:ascii="Tahoma" w:eastAsia="Times New Roman" w:hAnsi="Tahoma" w:cs="Tahoma"/>
          <w:b/>
          <w:sz w:val="24"/>
          <w:szCs w:val="24"/>
        </w:rPr>
      </w:pPr>
    </w:p>
    <w:p w14:paraId="36E1977F" w14:textId="3A8BBE4B" w:rsidR="0049661C" w:rsidRPr="005448F6" w:rsidRDefault="004821A9"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9</w:t>
      </w:r>
      <w:r w:rsidR="0049661C" w:rsidRPr="005448F6">
        <w:rPr>
          <w:rFonts w:ascii="Tahoma" w:hAnsi="Tahoma" w:cs="Tahoma"/>
          <w:sz w:val="24"/>
          <w:szCs w:val="24"/>
        </w:rPr>
        <w:t>:</w:t>
      </w:r>
      <w:r w:rsidR="0049661C" w:rsidRPr="005448F6">
        <w:rPr>
          <w:rFonts w:ascii="Tahoma" w:hAnsi="Tahoma" w:cs="Tahoma"/>
          <w:sz w:val="24"/>
          <w:szCs w:val="24"/>
        </w:rPr>
        <w:tab/>
        <w:t xml:space="preserve">Electrified at-berth ships may be eligible </w:t>
      </w:r>
      <w:r w:rsidR="008423E6">
        <w:rPr>
          <w:rFonts w:ascii="Tahoma" w:hAnsi="Tahoma" w:cs="Tahoma"/>
          <w:sz w:val="24"/>
          <w:szCs w:val="24"/>
        </w:rPr>
        <w:t>as a project</w:t>
      </w:r>
      <w:r w:rsidR="00FF4C4B">
        <w:rPr>
          <w:rFonts w:ascii="Tahoma" w:hAnsi="Tahoma" w:cs="Tahoma"/>
          <w:sz w:val="24"/>
          <w:szCs w:val="24"/>
        </w:rPr>
        <w:t xml:space="preserve"> as long as the proposed application is </w:t>
      </w:r>
      <w:r w:rsidR="0049661C" w:rsidRPr="005448F6">
        <w:rPr>
          <w:rFonts w:ascii="Tahoma" w:hAnsi="Tahoma" w:cs="Tahoma"/>
          <w:sz w:val="24"/>
          <w:szCs w:val="24"/>
        </w:rPr>
        <w:t xml:space="preserve">for </w:t>
      </w:r>
      <w:r w:rsidR="001B2FFC">
        <w:rPr>
          <w:rFonts w:ascii="Tahoma" w:hAnsi="Tahoma" w:cs="Tahoma"/>
          <w:sz w:val="24"/>
          <w:szCs w:val="24"/>
        </w:rPr>
        <w:t xml:space="preserve">new </w:t>
      </w:r>
      <w:r w:rsidR="0049661C" w:rsidRPr="005448F6">
        <w:rPr>
          <w:rFonts w:ascii="Tahoma" w:hAnsi="Tahoma" w:cs="Tahoma"/>
          <w:sz w:val="24"/>
          <w:szCs w:val="24"/>
        </w:rPr>
        <w:t xml:space="preserve">charging infrastructure </w:t>
      </w:r>
      <w:r w:rsidR="00C024E0">
        <w:rPr>
          <w:rFonts w:ascii="Tahoma" w:hAnsi="Tahoma" w:cs="Tahoma"/>
          <w:sz w:val="24"/>
          <w:szCs w:val="24"/>
        </w:rPr>
        <w:t xml:space="preserve">and </w:t>
      </w:r>
      <w:r w:rsidR="0049661C" w:rsidRPr="005448F6">
        <w:rPr>
          <w:rFonts w:ascii="Tahoma" w:hAnsi="Tahoma" w:cs="Tahoma"/>
          <w:sz w:val="24"/>
          <w:szCs w:val="24"/>
        </w:rPr>
        <w:t xml:space="preserve">if </w:t>
      </w:r>
      <w:r w:rsidR="00C024E0">
        <w:rPr>
          <w:rFonts w:ascii="Tahoma" w:hAnsi="Tahoma" w:cs="Tahoma"/>
          <w:sz w:val="24"/>
          <w:szCs w:val="24"/>
        </w:rPr>
        <w:t>the</w:t>
      </w:r>
      <w:r w:rsidR="0049661C" w:rsidRPr="005448F6">
        <w:rPr>
          <w:rFonts w:ascii="Tahoma" w:hAnsi="Tahoma" w:cs="Tahoma"/>
          <w:sz w:val="24"/>
          <w:szCs w:val="24"/>
        </w:rPr>
        <w:t xml:space="preserve"> installation meets </w:t>
      </w:r>
      <w:r w:rsidR="00C024E0">
        <w:rPr>
          <w:rFonts w:ascii="Tahoma" w:hAnsi="Tahoma" w:cs="Tahoma"/>
          <w:sz w:val="24"/>
          <w:szCs w:val="24"/>
        </w:rPr>
        <w:t>the</w:t>
      </w:r>
      <w:r w:rsidR="0049661C" w:rsidRPr="005448F6">
        <w:rPr>
          <w:rFonts w:ascii="Tahoma" w:hAnsi="Tahoma" w:cs="Tahoma"/>
          <w:sz w:val="24"/>
          <w:szCs w:val="24"/>
        </w:rPr>
        <w:t xml:space="preserve"> minimum </w:t>
      </w:r>
      <w:r w:rsidR="00C024E0">
        <w:rPr>
          <w:rFonts w:ascii="Tahoma" w:hAnsi="Tahoma" w:cs="Tahoma"/>
          <w:sz w:val="24"/>
          <w:szCs w:val="24"/>
        </w:rPr>
        <w:t xml:space="preserve">charging </w:t>
      </w:r>
      <w:r w:rsidR="0049661C" w:rsidRPr="005448F6">
        <w:rPr>
          <w:rFonts w:ascii="Tahoma" w:hAnsi="Tahoma" w:cs="Tahoma"/>
          <w:sz w:val="24"/>
          <w:szCs w:val="24"/>
        </w:rPr>
        <w:t>requirements in the GFO</w:t>
      </w:r>
      <w:r w:rsidR="001B2FFC">
        <w:rPr>
          <w:rFonts w:ascii="Tahoma" w:hAnsi="Tahoma" w:cs="Tahoma"/>
          <w:sz w:val="24"/>
          <w:szCs w:val="24"/>
        </w:rPr>
        <w:t>, along with all other requirements in the GFO</w:t>
      </w:r>
      <w:r w:rsidR="0049661C" w:rsidRPr="005448F6">
        <w:rPr>
          <w:rFonts w:ascii="Tahoma" w:hAnsi="Tahoma" w:cs="Tahoma"/>
          <w:sz w:val="24"/>
          <w:szCs w:val="24"/>
        </w:rPr>
        <w:t xml:space="preserve">. </w:t>
      </w:r>
      <w:r w:rsidR="00A57717">
        <w:rPr>
          <w:rFonts w:ascii="Tahoma" w:hAnsi="Tahoma" w:cs="Tahoma"/>
          <w:sz w:val="24"/>
          <w:szCs w:val="24"/>
        </w:rPr>
        <w:t>Refer to Section</w:t>
      </w:r>
      <w:r w:rsidR="00B9217D">
        <w:rPr>
          <w:rFonts w:ascii="Tahoma" w:hAnsi="Tahoma" w:cs="Tahoma"/>
          <w:sz w:val="24"/>
          <w:szCs w:val="24"/>
        </w:rPr>
        <w:t xml:space="preserve"> I.G. Maximum Award Amounts and Minimum Infrastructure Requirements and Section II.B., Project Requirements.</w:t>
      </w:r>
    </w:p>
    <w:p w14:paraId="0764C74B" w14:textId="77777777" w:rsidR="00DF3C09" w:rsidRPr="005448F6" w:rsidRDefault="00DF3C09" w:rsidP="00DF3C09">
      <w:pPr>
        <w:spacing w:after="0"/>
        <w:ind w:left="720" w:hanging="720"/>
        <w:rPr>
          <w:rFonts w:ascii="Tahoma" w:hAnsi="Tahoma" w:cs="Tahoma"/>
          <w:sz w:val="24"/>
          <w:szCs w:val="24"/>
        </w:rPr>
      </w:pPr>
    </w:p>
    <w:p w14:paraId="0ECE89D4" w14:textId="6FF8FEB1" w:rsidR="006C3955"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10</w:t>
      </w:r>
      <w:r w:rsidR="006C3955" w:rsidRPr="005448F6">
        <w:rPr>
          <w:rFonts w:ascii="Tahoma" w:eastAsia="Times New Roman" w:hAnsi="Tahoma" w:cs="Tahoma"/>
          <w:b/>
          <w:sz w:val="24"/>
          <w:szCs w:val="24"/>
        </w:rPr>
        <w:t>:</w:t>
      </w:r>
      <w:r w:rsidR="006C3955" w:rsidRPr="005448F6">
        <w:rPr>
          <w:rFonts w:ascii="Tahoma" w:eastAsia="Times New Roman" w:hAnsi="Tahoma" w:cs="Tahoma"/>
          <w:b/>
          <w:sz w:val="24"/>
          <w:szCs w:val="24"/>
        </w:rPr>
        <w:tab/>
        <w:t xml:space="preserve">Can a hydrogen dispenser project operating mobile hydrogen refuelers serving four different port terminal locations qualify as serving four different positions? </w:t>
      </w:r>
    </w:p>
    <w:p w14:paraId="215FAE82" w14:textId="77777777" w:rsidR="00644A90" w:rsidRPr="005448F6" w:rsidRDefault="00644A90" w:rsidP="00CF1250">
      <w:pPr>
        <w:spacing w:after="0" w:line="240" w:lineRule="auto"/>
        <w:ind w:left="720" w:hanging="720"/>
        <w:rPr>
          <w:rFonts w:ascii="Tahoma" w:eastAsia="Times New Roman" w:hAnsi="Tahoma" w:cs="Tahoma"/>
          <w:b/>
          <w:sz w:val="24"/>
          <w:szCs w:val="24"/>
        </w:rPr>
      </w:pPr>
    </w:p>
    <w:p w14:paraId="248A44B0" w14:textId="09F4D969" w:rsidR="006C3955" w:rsidRPr="005448F6" w:rsidRDefault="004821A9"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10</w:t>
      </w:r>
      <w:r w:rsidR="006C3955" w:rsidRPr="005448F6">
        <w:rPr>
          <w:rFonts w:ascii="Tahoma" w:hAnsi="Tahoma" w:cs="Tahoma"/>
          <w:sz w:val="24"/>
          <w:szCs w:val="24"/>
        </w:rPr>
        <w:t>:</w:t>
      </w:r>
      <w:r w:rsidR="006C3955" w:rsidRPr="005448F6">
        <w:rPr>
          <w:rFonts w:ascii="Tahoma" w:hAnsi="Tahoma" w:cs="Tahoma"/>
          <w:sz w:val="24"/>
          <w:szCs w:val="24"/>
        </w:rPr>
        <w:tab/>
        <w:t>No. In th</w:t>
      </w:r>
      <w:r w:rsidR="00B9217D">
        <w:rPr>
          <w:rFonts w:ascii="Tahoma" w:hAnsi="Tahoma" w:cs="Tahoma"/>
          <w:sz w:val="24"/>
          <w:szCs w:val="24"/>
        </w:rPr>
        <w:t xml:space="preserve">e </w:t>
      </w:r>
      <w:r w:rsidR="006C3955" w:rsidRPr="005448F6">
        <w:rPr>
          <w:rFonts w:ascii="Tahoma" w:hAnsi="Tahoma" w:cs="Tahoma"/>
          <w:sz w:val="24"/>
          <w:szCs w:val="24"/>
        </w:rPr>
        <w:t>example</w:t>
      </w:r>
      <w:r w:rsidR="00B9217D">
        <w:rPr>
          <w:rFonts w:ascii="Tahoma" w:hAnsi="Tahoma" w:cs="Tahoma"/>
          <w:sz w:val="24"/>
          <w:szCs w:val="24"/>
        </w:rPr>
        <w:t xml:space="preserve"> provided</w:t>
      </w:r>
      <w:r w:rsidR="006C3955" w:rsidRPr="005448F6">
        <w:rPr>
          <w:rFonts w:ascii="Tahoma" w:hAnsi="Tahoma" w:cs="Tahoma"/>
          <w:sz w:val="24"/>
          <w:szCs w:val="24"/>
        </w:rPr>
        <w:t xml:space="preserve">, one mobile </w:t>
      </w:r>
      <w:r w:rsidR="00B9217D">
        <w:rPr>
          <w:rFonts w:ascii="Tahoma" w:hAnsi="Tahoma" w:cs="Tahoma"/>
          <w:sz w:val="24"/>
          <w:szCs w:val="24"/>
        </w:rPr>
        <w:t xml:space="preserve">hydrogen </w:t>
      </w:r>
      <w:r w:rsidR="006C3955" w:rsidRPr="005448F6">
        <w:rPr>
          <w:rFonts w:ascii="Tahoma" w:hAnsi="Tahoma" w:cs="Tahoma"/>
          <w:sz w:val="24"/>
          <w:szCs w:val="24"/>
        </w:rPr>
        <w:t xml:space="preserve">refueler would count as one </w:t>
      </w:r>
      <w:r w:rsidR="00B9217D">
        <w:rPr>
          <w:rFonts w:ascii="Tahoma" w:hAnsi="Tahoma" w:cs="Tahoma"/>
          <w:sz w:val="24"/>
          <w:szCs w:val="24"/>
        </w:rPr>
        <w:t xml:space="preserve">fueling </w:t>
      </w:r>
      <w:r w:rsidR="006C3955" w:rsidRPr="005448F6">
        <w:rPr>
          <w:rFonts w:ascii="Tahoma" w:hAnsi="Tahoma" w:cs="Tahoma"/>
          <w:sz w:val="24"/>
          <w:szCs w:val="24"/>
        </w:rPr>
        <w:t>position</w:t>
      </w:r>
      <w:r w:rsidR="00B9217D">
        <w:rPr>
          <w:rFonts w:ascii="Tahoma" w:hAnsi="Tahoma" w:cs="Tahoma"/>
          <w:sz w:val="24"/>
          <w:szCs w:val="24"/>
        </w:rPr>
        <w:t>,</w:t>
      </w:r>
      <w:r w:rsidR="006C3955" w:rsidRPr="005448F6">
        <w:rPr>
          <w:rFonts w:ascii="Tahoma" w:hAnsi="Tahoma" w:cs="Tahoma"/>
          <w:sz w:val="24"/>
          <w:szCs w:val="24"/>
        </w:rPr>
        <w:t xml:space="preserve"> as it may only refuel one vehicle/vessel at a time. Note, that mobile refueling is eligible for match share only. </w:t>
      </w:r>
    </w:p>
    <w:p w14:paraId="29964D5F" w14:textId="77777777" w:rsidR="00DF3C09" w:rsidRPr="005448F6" w:rsidRDefault="00DF3C09" w:rsidP="00DF3C09">
      <w:pPr>
        <w:spacing w:after="0"/>
        <w:ind w:left="720" w:hanging="720"/>
        <w:rPr>
          <w:rFonts w:ascii="Tahoma" w:hAnsi="Tahoma" w:cs="Tahoma"/>
          <w:sz w:val="24"/>
          <w:szCs w:val="24"/>
        </w:rPr>
      </w:pPr>
    </w:p>
    <w:p w14:paraId="6779D007" w14:textId="42A1C57A" w:rsidR="006C3955"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11</w:t>
      </w:r>
      <w:r w:rsidR="006C3955" w:rsidRPr="005448F6">
        <w:rPr>
          <w:rFonts w:ascii="Tahoma" w:eastAsia="Times New Roman" w:hAnsi="Tahoma" w:cs="Tahoma"/>
          <w:b/>
          <w:sz w:val="24"/>
          <w:szCs w:val="24"/>
        </w:rPr>
        <w:t>:</w:t>
      </w:r>
      <w:r w:rsidR="006C3955" w:rsidRPr="005448F6">
        <w:rPr>
          <w:rFonts w:ascii="Tahoma" w:eastAsia="Times New Roman" w:hAnsi="Tahoma" w:cs="Tahoma"/>
          <w:b/>
          <w:sz w:val="24"/>
          <w:szCs w:val="24"/>
        </w:rPr>
        <w:tab/>
      </w:r>
      <w:r w:rsidR="00651C8B" w:rsidRPr="00651C8B">
        <w:rPr>
          <w:rFonts w:ascii="Tahoma" w:eastAsia="Times New Roman" w:hAnsi="Tahoma" w:cs="Tahoma"/>
          <w:b/>
          <w:sz w:val="24"/>
          <w:szCs w:val="24"/>
        </w:rPr>
        <w:t>Can proposed projects include existing medium- and heavy-duty (MDHD) vehicles, or must all vehicles be newly procured?</w:t>
      </w:r>
    </w:p>
    <w:p w14:paraId="5A4AA651" w14:textId="77777777" w:rsidR="00644A90" w:rsidRPr="005448F6" w:rsidRDefault="00644A90" w:rsidP="00CF1250">
      <w:pPr>
        <w:spacing w:after="0" w:line="240" w:lineRule="auto"/>
        <w:ind w:left="720" w:hanging="720"/>
        <w:rPr>
          <w:rFonts w:ascii="Tahoma" w:eastAsia="Times New Roman" w:hAnsi="Tahoma" w:cs="Tahoma"/>
          <w:b/>
          <w:sz w:val="24"/>
          <w:szCs w:val="24"/>
        </w:rPr>
      </w:pPr>
    </w:p>
    <w:p w14:paraId="472E904F" w14:textId="772674A8" w:rsidR="006C3955" w:rsidRDefault="004821A9" w:rsidP="00CF1250">
      <w:pPr>
        <w:spacing w:after="0"/>
        <w:ind w:left="720" w:hanging="720"/>
        <w:rPr>
          <w:rFonts w:ascii="Tahoma" w:hAnsi="Tahoma" w:cs="Tahoma"/>
          <w:sz w:val="24"/>
          <w:szCs w:val="24"/>
        </w:rPr>
      </w:pPr>
      <w:r w:rsidRPr="005448F6">
        <w:rPr>
          <w:rFonts w:ascii="Tahoma" w:hAnsi="Tahoma" w:cs="Tahoma"/>
          <w:sz w:val="24"/>
          <w:szCs w:val="24"/>
        </w:rPr>
        <w:t>A1</w:t>
      </w:r>
      <w:r>
        <w:rPr>
          <w:rFonts w:ascii="Tahoma" w:hAnsi="Tahoma" w:cs="Tahoma"/>
          <w:sz w:val="24"/>
          <w:szCs w:val="24"/>
        </w:rPr>
        <w:t>1</w:t>
      </w:r>
      <w:r w:rsidR="006C3955" w:rsidRPr="005448F6">
        <w:rPr>
          <w:rFonts w:ascii="Tahoma" w:hAnsi="Tahoma" w:cs="Tahoma"/>
          <w:sz w:val="24"/>
          <w:szCs w:val="24"/>
        </w:rPr>
        <w:t>:</w:t>
      </w:r>
      <w:r w:rsidR="006C3955" w:rsidRPr="005448F6">
        <w:rPr>
          <w:rFonts w:ascii="Tahoma" w:hAnsi="Tahoma" w:cs="Tahoma"/>
          <w:sz w:val="24"/>
          <w:szCs w:val="24"/>
        </w:rPr>
        <w:tab/>
        <w:t xml:space="preserve">There is no requirement that the MDHD zero-emission vehicles </w:t>
      </w:r>
      <w:r w:rsidR="006C30EA">
        <w:rPr>
          <w:rFonts w:ascii="Tahoma" w:hAnsi="Tahoma" w:cs="Tahoma"/>
          <w:sz w:val="24"/>
          <w:szCs w:val="24"/>
        </w:rPr>
        <w:t xml:space="preserve">(ZEVs) </w:t>
      </w:r>
      <w:r w:rsidR="006C3955" w:rsidRPr="005448F6">
        <w:rPr>
          <w:rFonts w:ascii="Tahoma" w:hAnsi="Tahoma" w:cs="Tahoma"/>
          <w:sz w:val="24"/>
          <w:szCs w:val="24"/>
        </w:rPr>
        <w:t>be new. The requirements for this solicitation are regarding installation and deployment</w:t>
      </w:r>
      <w:r w:rsidR="00042F13" w:rsidRPr="00042F13">
        <w:rPr>
          <w:rFonts w:ascii="Tahoma" w:hAnsi="Tahoma" w:cs="Tahoma"/>
          <w:sz w:val="24"/>
          <w:szCs w:val="24"/>
        </w:rPr>
        <w:t xml:space="preserve"> </w:t>
      </w:r>
      <w:r w:rsidR="00042F13">
        <w:rPr>
          <w:rFonts w:ascii="Tahoma" w:hAnsi="Tahoma" w:cs="Tahoma"/>
          <w:sz w:val="24"/>
          <w:szCs w:val="24"/>
        </w:rPr>
        <w:t xml:space="preserve">of </w:t>
      </w:r>
      <w:r w:rsidR="00C771E7">
        <w:rPr>
          <w:rFonts w:ascii="Tahoma" w:hAnsi="Tahoma" w:cs="Tahoma"/>
          <w:sz w:val="24"/>
          <w:szCs w:val="24"/>
        </w:rPr>
        <w:t xml:space="preserve">new </w:t>
      </w:r>
      <w:r w:rsidR="00042F13">
        <w:rPr>
          <w:rFonts w:ascii="Tahoma" w:hAnsi="Tahoma" w:cs="Tahoma"/>
          <w:sz w:val="24"/>
          <w:szCs w:val="24"/>
        </w:rPr>
        <w:t xml:space="preserve">charging or hydrogen refueling </w:t>
      </w:r>
      <w:r w:rsidR="00042F13" w:rsidRPr="005448F6">
        <w:rPr>
          <w:rFonts w:ascii="Tahoma" w:hAnsi="Tahoma" w:cs="Tahoma"/>
          <w:sz w:val="24"/>
          <w:szCs w:val="24"/>
        </w:rPr>
        <w:t>infrastructure</w:t>
      </w:r>
      <w:r w:rsidR="006C3955" w:rsidRPr="005448F6">
        <w:rPr>
          <w:rFonts w:ascii="Tahoma" w:hAnsi="Tahoma" w:cs="Tahoma"/>
          <w:sz w:val="24"/>
          <w:szCs w:val="24"/>
        </w:rPr>
        <w:t>, and existing vehicles may be supported by that infrastructure</w:t>
      </w:r>
      <w:r w:rsidR="00D45D5B">
        <w:rPr>
          <w:rFonts w:ascii="Tahoma" w:hAnsi="Tahoma" w:cs="Tahoma"/>
          <w:sz w:val="24"/>
          <w:szCs w:val="24"/>
        </w:rPr>
        <w:t xml:space="preserve"> </w:t>
      </w:r>
      <w:r w:rsidR="00042F13">
        <w:rPr>
          <w:rFonts w:ascii="Tahoma" w:hAnsi="Tahoma" w:cs="Tahoma"/>
          <w:sz w:val="24"/>
          <w:szCs w:val="24"/>
        </w:rPr>
        <w:t>for the duration</w:t>
      </w:r>
      <w:r w:rsidR="009C267A">
        <w:rPr>
          <w:rFonts w:ascii="Tahoma" w:hAnsi="Tahoma" w:cs="Tahoma"/>
          <w:sz w:val="24"/>
          <w:szCs w:val="24"/>
        </w:rPr>
        <w:t xml:space="preserve"> of this agreement</w:t>
      </w:r>
      <w:r w:rsidR="006C3955" w:rsidRPr="005448F6">
        <w:rPr>
          <w:rFonts w:ascii="Tahoma" w:hAnsi="Tahoma" w:cs="Tahoma"/>
          <w:sz w:val="24"/>
          <w:szCs w:val="24"/>
        </w:rPr>
        <w:t>.</w:t>
      </w:r>
      <w:r w:rsidR="00A36CB3">
        <w:rPr>
          <w:rFonts w:ascii="Tahoma" w:hAnsi="Tahoma" w:cs="Tahoma"/>
          <w:sz w:val="24"/>
          <w:szCs w:val="24"/>
        </w:rPr>
        <w:t xml:space="preserve"> </w:t>
      </w:r>
      <w:r w:rsidR="00FD3813" w:rsidRPr="00FD3813">
        <w:rPr>
          <w:rFonts w:ascii="Tahoma" w:hAnsi="Tahoma" w:cs="Tahoma"/>
          <w:sz w:val="24"/>
          <w:szCs w:val="24"/>
        </w:rPr>
        <w:t>Zero-emission vehicles (purchased, rented, or leased) and vehicle modifications to support charging, i.e., pantograph and wireless/inductive charging applications applicable to the project</w:t>
      </w:r>
      <w:r w:rsidR="00FD3813">
        <w:rPr>
          <w:rFonts w:ascii="Tahoma" w:hAnsi="Tahoma" w:cs="Tahoma"/>
          <w:sz w:val="24"/>
          <w:szCs w:val="24"/>
        </w:rPr>
        <w:t xml:space="preserve"> </w:t>
      </w:r>
      <w:r w:rsidR="002C772C">
        <w:rPr>
          <w:rFonts w:ascii="Tahoma" w:hAnsi="Tahoma" w:cs="Tahoma"/>
          <w:sz w:val="24"/>
          <w:szCs w:val="24"/>
        </w:rPr>
        <w:t>are not eligible for CEC reimbursement, but may be included in the Applicant’s Match Share. Refer to Section II.E.</w:t>
      </w:r>
      <w:r w:rsidR="008415FE">
        <w:rPr>
          <w:rFonts w:ascii="Tahoma" w:hAnsi="Tahoma" w:cs="Tahoma"/>
          <w:sz w:val="24"/>
          <w:szCs w:val="24"/>
        </w:rPr>
        <w:t>4</w:t>
      </w:r>
      <w:r w:rsidR="002C772C">
        <w:rPr>
          <w:rFonts w:ascii="Tahoma" w:hAnsi="Tahoma" w:cs="Tahoma"/>
          <w:sz w:val="24"/>
          <w:szCs w:val="24"/>
        </w:rPr>
        <w:t>.</w:t>
      </w:r>
      <w:r w:rsidR="003E1E33">
        <w:rPr>
          <w:rFonts w:ascii="Tahoma" w:hAnsi="Tahoma" w:cs="Tahoma"/>
          <w:sz w:val="24"/>
          <w:szCs w:val="24"/>
        </w:rPr>
        <w:t>, Eligible Project Costs</w:t>
      </w:r>
      <w:r w:rsidR="006C3955" w:rsidRPr="005448F6">
        <w:rPr>
          <w:rFonts w:ascii="Tahoma" w:hAnsi="Tahoma" w:cs="Tahoma"/>
          <w:sz w:val="24"/>
          <w:szCs w:val="24"/>
        </w:rPr>
        <w:t>.</w:t>
      </w:r>
    </w:p>
    <w:p w14:paraId="4D017940" w14:textId="77777777" w:rsidR="00EF3268" w:rsidRPr="005448F6" w:rsidRDefault="00EF3268" w:rsidP="00CF1250">
      <w:pPr>
        <w:spacing w:after="0"/>
        <w:ind w:left="720" w:hanging="720"/>
        <w:rPr>
          <w:rFonts w:ascii="Tahoma" w:hAnsi="Tahoma" w:cs="Tahoma"/>
          <w:sz w:val="24"/>
          <w:szCs w:val="24"/>
        </w:rPr>
      </w:pPr>
    </w:p>
    <w:p w14:paraId="6062F286" w14:textId="5BED03A8" w:rsidR="006C3955"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Q1</w:t>
      </w:r>
      <w:r>
        <w:rPr>
          <w:rFonts w:ascii="Tahoma" w:eastAsia="Times New Roman" w:hAnsi="Tahoma" w:cs="Tahoma"/>
          <w:b/>
          <w:sz w:val="24"/>
          <w:szCs w:val="24"/>
        </w:rPr>
        <w:t>2</w:t>
      </w:r>
      <w:r w:rsidR="006C3955" w:rsidRPr="005448F6">
        <w:rPr>
          <w:rFonts w:ascii="Tahoma" w:eastAsia="Times New Roman" w:hAnsi="Tahoma" w:cs="Tahoma"/>
          <w:b/>
          <w:sz w:val="24"/>
          <w:szCs w:val="24"/>
        </w:rPr>
        <w:t>:</w:t>
      </w:r>
      <w:r w:rsidR="006C3955" w:rsidRPr="005448F6">
        <w:rPr>
          <w:rFonts w:ascii="Tahoma" w:eastAsia="Times New Roman" w:hAnsi="Tahoma" w:cs="Tahoma"/>
          <w:b/>
          <w:sz w:val="24"/>
          <w:szCs w:val="24"/>
        </w:rPr>
        <w:tab/>
      </w:r>
      <w:r w:rsidR="00D16AF8" w:rsidRPr="00D16AF8">
        <w:rPr>
          <w:rFonts w:ascii="Tahoma" w:eastAsia="Times New Roman" w:hAnsi="Tahoma" w:cs="Tahoma"/>
          <w:b/>
          <w:sz w:val="24"/>
          <w:szCs w:val="24"/>
        </w:rPr>
        <w:t xml:space="preserve">Are investor-owned utilities </w:t>
      </w:r>
      <w:r w:rsidR="00417D1D">
        <w:rPr>
          <w:rFonts w:ascii="Tahoma" w:eastAsia="Times New Roman" w:hAnsi="Tahoma" w:cs="Tahoma"/>
          <w:b/>
          <w:sz w:val="24"/>
          <w:szCs w:val="24"/>
        </w:rPr>
        <w:t xml:space="preserve">(IOUs) </w:t>
      </w:r>
      <w:r w:rsidR="00D16AF8" w:rsidRPr="00D16AF8">
        <w:rPr>
          <w:rFonts w:ascii="Tahoma" w:eastAsia="Times New Roman" w:hAnsi="Tahoma" w:cs="Tahoma"/>
          <w:b/>
          <w:sz w:val="24"/>
          <w:szCs w:val="24"/>
        </w:rPr>
        <w:t>allowed to participate as project partners, even if they are not the lead applicant?</w:t>
      </w:r>
    </w:p>
    <w:p w14:paraId="3388B898" w14:textId="77777777" w:rsidR="00644A90" w:rsidRPr="005448F6" w:rsidRDefault="00644A90" w:rsidP="00CF1250">
      <w:pPr>
        <w:spacing w:after="0" w:line="240" w:lineRule="auto"/>
        <w:ind w:left="720" w:hanging="720"/>
        <w:rPr>
          <w:rFonts w:ascii="Tahoma" w:eastAsia="Times New Roman" w:hAnsi="Tahoma" w:cs="Tahoma"/>
          <w:b/>
          <w:sz w:val="24"/>
          <w:szCs w:val="24"/>
        </w:rPr>
      </w:pPr>
    </w:p>
    <w:p w14:paraId="4EFEF7FD" w14:textId="32443D1C" w:rsidR="006C3955" w:rsidRPr="005448F6" w:rsidRDefault="004821A9" w:rsidP="00394395">
      <w:pPr>
        <w:spacing w:after="0"/>
        <w:ind w:left="720" w:hanging="720"/>
        <w:rPr>
          <w:rFonts w:ascii="Tahoma" w:hAnsi="Tahoma" w:cs="Tahoma"/>
          <w:sz w:val="24"/>
          <w:szCs w:val="24"/>
        </w:rPr>
      </w:pPr>
      <w:r w:rsidRPr="005448F6">
        <w:rPr>
          <w:rFonts w:ascii="Tahoma" w:hAnsi="Tahoma" w:cs="Tahoma"/>
          <w:sz w:val="24"/>
          <w:szCs w:val="24"/>
        </w:rPr>
        <w:t>A1</w:t>
      </w:r>
      <w:r>
        <w:rPr>
          <w:rFonts w:ascii="Tahoma" w:hAnsi="Tahoma" w:cs="Tahoma"/>
          <w:sz w:val="24"/>
          <w:szCs w:val="24"/>
        </w:rPr>
        <w:t>2</w:t>
      </w:r>
      <w:r w:rsidR="006C3955" w:rsidRPr="005448F6">
        <w:rPr>
          <w:rFonts w:ascii="Tahoma" w:hAnsi="Tahoma" w:cs="Tahoma"/>
          <w:sz w:val="24"/>
          <w:szCs w:val="24"/>
        </w:rPr>
        <w:t>:</w:t>
      </w:r>
      <w:r w:rsidR="006C3955" w:rsidRPr="005448F6">
        <w:rPr>
          <w:rFonts w:ascii="Tahoma" w:hAnsi="Tahoma" w:cs="Tahoma"/>
          <w:sz w:val="24"/>
          <w:szCs w:val="24"/>
        </w:rPr>
        <w:tab/>
        <w:t>Yes</w:t>
      </w:r>
      <w:r w:rsidR="003F0359">
        <w:rPr>
          <w:rFonts w:ascii="Tahoma" w:hAnsi="Tahoma" w:cs="Tahoma"/>
          <w:sz w:val="24"/>
          <w:szCs w:val="24"/>
        </w:rPr>
        <w:t>, IOUs may participate as project partners; however, IOUs will not be eligible for CEC reimbursement</w:t>
      </w:r>
      <w:r w:rsidR="006C3955" w:rsidRPr="005448F6">
        <w:rPr>
          <w:rFonts w:ascii="Tahoma" w:hAnsi="Tahoma" w:cs="Tahoma"/>
          <w:sz w:val="24"/>
          <w:szCs w:val="24"/>
        </w:rPr>
        <w:t>.</w:t>
      </w:r>
      <w:r w:rsidR="003F0359">
        <w:rPr>
          <w:rFonts w:ascii="Tahoma" w:hAnsi="Tahoma" w:cs="Tahoma"/>
          <w:sz w:val="24"/>
          <w:szCs w:val="24"/>
        </w:rPr>
        <w:t xml:space="preserve"> IOUs may contribute match share funding.</w:t>
      </w:r>
    </w:p>
    <w:p w14:paraId="654F3B89" w14:textId="77777777" w:rsidR="00DF3C09" w:rsidRPr="005448F6" w:rsidRDefault="00DF3C09" w:rsidP="00DF3C09">
      <w:pPr>
        <w:spacing w:after="0"/>
        <w:ind w:left="720" w:hanging="720"/>
        <w:rPr>
          <w:rFonts w:ascii="Tahoma" w:hAnsi="Tahoma" w:cs="Tahoma"/>
          <w:sz w:val="24"/>
          <w:szCs w:val="24"/>
        </w:rPr>
      </w:pPr>
    </w:p>
    <w:p w14:paraId="267C81AC" w14:textId="55FC13E9" w:rsidR="006C3955"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Q1</w:t>
      </w:r>
      <w:r>
        <w:rPr>
          <w:rFonts w:ascii="Tahoma" w:eastAsia="Times New Roman" w:hAnsi="Tahoma" w:cs="Tahoma"/>
          <w:b/>
          <w:sz w:val="24"/>
          <w:szCs w:val="24"/>
        </w:rPr>
        <w:t>3</w:t>
      </w:r>
      <w:r w:rsidR="006C3955" w:rsidRPr="005448F6">
        <w:rPr>
          <w:rFonts w:ascii="Tahoma" w:eastAsia="Times New Roman" w:hAnsi="Tahoma" w:cs="Tahoma"/>
          <w:b/>
          <w:sz w:val="24"/>
          <w:szCs w:val="24"/>
        </w:rPr>
        <w:t>:</w:t>
      </w:r>
      <w:r w:rsidR="006C3955" w:rsidRPr="005448F6">
        <w:rPr>
          <w:rFonts w:ascii="Tahoma" w:eastAsia="Times New Roman" w:hAnsi="Tahoma" w:cs="Tahoma"/>
          <w:b/>
          <w:sz w:val="24"/>
          <w:szCs w:val="24"/>
        </w:rPr>
        <w:tab/>
        <w:t>Can hydrogen compression/distribution sites in addition to hydrogen dispensing positions qualify in the total hydrogen dispenser positions?</w:t>
      </w:r>
    </w:p>
    <w:p w14:paraId="113CE669" w14:textId="77777777" w:rsidR="00644A90" w:rsidRPr="005448F6" w:rsidRDefault="00644A90" w:rsidP="00CF1250">
      <w:pPr>
        <w:spacing w:after="0" w:line="240" w:lineRule="auto"/>
        <w:ind w:left="720" w:hanging="720"/>
        <w:rPr>
          <w:rFonts w:ascii="Tahoma" w:eastAsia="Times New Roman" w:hAnsi="Tahoma" w:cs="Tahoma"/>
          <w:b/>
          <w:sz w:val="24"/>
          <w:szCs w:val="24"/>
        </w:rPr>
      </w:pPr>
    </w:p>
    <w:p w14:paraId="11877862" w14:textId="40389C89" w:rsidR="006C3955" w:rsidRPr="005448F6" w:rsidRDefault="006C3955" w:rsidP="00394395">
      <w:pPr>
        <w:spacing w:after="0"/>
        <w:ind w:left="720" w:hanging="720"/>
        <w:rPr>
          <w:rFonts w:ascii="Tahoma" w:hAnsi="Tahoma" w:cs="Tahoma"/>
          <w:sz w:val="24"/>
          <w:szCs w:val="24"/>
        </w:rPr>
      </w:pPr>
      <w:r w:rsidRPr="005448F6">
        <w:rPr>
          <w:rFonts w:ascii="Tahoma" w:hAnsi="Tahoma" w:cs="Tahoma"/>
          <w:sz w:val="24"/>
          <w:szCs w:val="24"/>
        </w:rPr>
        <w:t>A1</w:t>
      </w:r>
      <w:r w:rsidR="004821A9">
        <w:rPr>
          <w:rFonts w:ascii="Tahoma" w:hAnsi="Tahoma" w:cs="Tahoma"/>
          <w:sz w:val="24"/>
          <w:szCs w:val="24"/>
        </w:rPr>
        <w:t>3</w:t>
      </w:r>
      <w:r w:rsidRPr="005448F6">
        <w:rPr>
          <w:rFonts w:ascii="Tahoma" w:hAnsi="Tahoma" w:cs="Tahoma"/>
          <w:sz w:val="24"/>
          <w:szCs w:val="24"/>
        </w:rPr>
        <w:t>:</w:t>
      </w:r>
      <w:r w:rsidRPr="005448F6">
        <w:rPr>
          <w:rFonts w:ascii="Tahoma" w:hAnsi="Tahoma" w:cs="Tahoma"/>
          <w:sz w:val="24"/>
          <w:szCs w:val="24"/>
        </w:rPr>
        <w:tab/>
        <w:t xml:space="preserve">No. Only dispenser positions count toward the minimum deployment requirement. </w:t>
      </w:r>
    </w:p>
    <w:p w14:paraId="09C00B3D" w14:textId="77777777" w:rsidR="00DF3C09" w:rsidRPr="005448F6" w:rsidRDefault="00DF3C09" w:rsidP="00DF3C09">
      <w:pPr>
        <w:spacing w:after="0"/>
        <w:ind w:left="720" w:hanging="720"/>
        <w:rPr>
          <w:rFonts w:ascii="Tahoma" w:hAnsi="Tahoma" w:cs="Tahoma"/>
          <w:sz w:val="24"/>
          <w:szCs w:val="24"/>
        </w:rPr>
      </w:pPr>
    </w:p>
    <w:p w14:paraId="08EDB400" w14:textId="322F2BCE" w:rsidR="006C3955"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1</w:t>
      </w:r>
      <w:r w:rsidRPr="005448F6">
        <w:rPr>
          <w:rFonts w:ascii="Tahoma" w:eastAsia="Times New Roman" w:hAnsi="Tahoma" w:cs="Tahoma"/>
          <w:b/>
          <w:sz w:val="24"/>
          <w:szCs w:val="24"/>
        </w:rPr>
        <w:t>4</w:t>
      </w:r>
      <w:r w:rsidR="006C3955" w:rsidRPr="005448F6">
        <w:rPr>
          <w:rFonts w:ascii="Tahoma" w:eastAsia="Times New Roman" w:hAnsi="Tahoma" w:cs="Tahoma"/>
          <w:b/>
          <w:sz w:val="24"/>
          <w:szCs w:val="24"/>
        </w:rPr>
        <w:t>:</w:t>
      </w:r>
      <w:r w:rsidR="006C3955" w:rsidRPr="005448F6">
        <w:rPr>
          <w:rFonts w:ascii="Tahoma" w:eastAsia="Times New Roman" w:hAnsi="Tahoma" w:cs="Tahoma"/>
          <w:b/>
          <w:sz w:val="24"/>
          <w:szCs w:val="24"/>
        </w:rPr>
        <w:tab/>
        <w:t>If a project propose</w:t>
      </w:r>
      <w:r w:rsidR="00C35287">
        <w:rPr>
          <w:rFonts w:ascii="Tahoma" w:eastAsia="Times New Roman" w:hAnsi="Tahoma" w:cs="Tahoma"/>
          <w:b/>
          <w:sz w:val="24"/>
          <w:szCs w:val="24"/>
        </w:rPr>
        <w:t>s</w:t>
      </w:r>
      <w:r w:rsidR="006C3955" w:rsidRPr="005448F6">
        <w:rPr>
          <w:rFonts w:ascii="Tahoma" w:eastAsia="Times New Roman" w:hAnsi="Tahoma" w:cs="Tahoma"/>
          <w:b/>
          <w:sz w:val="24"/>
          <w:szCs w:val="24"/>
        </w:rPr>
        <w:t xml:space="preserve"> 40 charging positions for some </w:t>
      </w:r>
      <w:r w:rsidR="00C35287">
        <w:rPr>
          <w:rFonts w:ascii="Tahoma" w:eastAsia="Times New Roman" w:hAnsi="Tahoma" w:cs="Tahoma"/>
          <w:b/>
          <w:sz w:val="24"/>
          <w:szCs w:val="24"/>
        </w:rPr>
        <w:t>p</w:t>
      </w:r>
      <w:r w:rsidR="006C3955" w:rsidRPr="005448F6">
        <w:rPr>
          <w:rFonts w:ascii="Tahoma" w:eastAsia="Times New Roman" w:hAnsi="Tahoma" w:cs="Tahoma"/>
          <w:b/>
          <w:sz w:val="24"/>
          <w:szCs w:val="24"/>
        </w:rPr>
        <w:t xml:space="preserve">ort cargo handling equipment, </w:t>
      </w:r>
      <w:r w:rsidR="00C35287">
        <w:rPr>
          <w:rFonts w:ascii="Tahoma" w:eastAsia="Times New Roman" w:hAnsi="Tahoma" w:cs="Tahoma"/>
          <w:b/>
          <w:sz w:val="24"/>
          <w:szCs w:val="24"/>
        </w:rPr>
        <w:t>can it also</w:t>
      </w:r>
      <w:r w:rsidR="006C3955" w:rsidRPr="005448F6">
        <w:rPr>
          <w:rFonts w:ascii="Tahoma" w:eastAsia="Times New Roman" w:hAnsi="Tahoma" w:cs="Tahoma"/>
          <w:b/>
          <w:sz w:val="24"/>
          <w:szCs w:val="24"/>
        </w:rPr>
        <w:t xml:space="preserve"> include charging </w:t>
      </w:r>
      <w:r w:rsidR="00C35287">
        <w:rPr>
          <w:rFonts w:ascii="Tahoma" w:eastAsia="Times New Roman" w:hAnsi="Tahoma" w:cs="Tahoma"/>
          <w:b/>
          <w:sz w:val="24"/>
          <w:szCs w:val="24"/>
        </w:rPr>
        <w:t xml:space="preserve">infrastructure </w:t>
      </w:r>
      <w:r w:rsidR="006C3955" w:rsidRPr="005448F6">
        <w:rPr>
          <w:rFonts w:ascii="Tahoma" w:eastAsia="Times New Roman" w:hAnsi="Tahoma" w:cs="Tahoma"/>
          <w:b/>
          <w:sz w:val="24"/>
          <w:szCs w:val="24"/>
        </w:rPr>
        <w:t>for a marine vessel that serves the port</w:t>
      </w:r>
      <w:r w:rsidR="00C35287">
        <w:rPr>
          <w:rFonts w:ascii="Tahoma" w:eastAsia="Times New Roman" w:hAnsi="Tahoma" w:cs="Tahoma"/>
          <w:b/>
          <w:sz w:val="24"/>
          <w:szCs w:val="24"/>
        </w:rPr>
        <w:t>?</w:t>
      </w:r>
      <w:r w:rsidR="006C3955" w:rsidRPr="005448F6">
        <w:rPr>
          <w:rFonts w:ascii="Tahoma" w:eastAsia="Times New Roman" w:hAnsi="Tahoma" w:cs="Tahoma"/>
          <w:b/>
          <w:sz w:val="24"/>
          <w:szCs w:val="24"/>
        </w:rPr>
        <w:t xml:space="preserve"> </w:t>
      </w:r>
      <w:r w:rsidR="003E66D7">
        <w:rPr>
          <w:rFonts w:ascii="Tahoma" w:eastAsia="Times New Roman" w:hAnsi="Tahoma" w:cs="Tahoma"/>
          <w:b/>
          <w:sz w:val="24"/>
          <w:szCs w:val="24"/>
        </w:rPr>
        <w:t>W</w:t>
      </w:r>
      <w:r w:rsidR="006C3955" w:rsidRPr="005448F6">
        <w:rPr>
          <w:rFonts w:ascii="Tahoma" w:eastAsia="Times New Roman" w:hAnsi="Tahoma" w:cs="Tahoma"/>
          <w:b/>
          <w:sz w:val="24"/>
          <w:szCs w:val="24"/>
        </w:rPr>
        <w:t xml:space="preserve">ould the marine vessel and its charging equipment be eligible for direct CEC funding and/or as match? </w:t>
      </w:r>
      <w:r w:rsidR="003E66D7">
        <w:rPr>
          <w:rFonts w:ascii="Tahoma" w:eastAsia="Times New Roman" w:hAnsi="Tahoma" w:cs="Tahoma"/>
          <w:b/>
          <w:sz w:val="24"/>
          <w:szCs w:val="24"/>
        </w:rPr>
        <w:t>Specifically, does</w:t>
      </w:r>
      <w:r w:rsidR="006C3955" w:rsidRPr="005448F6">
        <w:rPr>
          <w:rFonts w:ascii="Tahoma" w:eastAsia="Times New Roman" w:hAnsi="Tahoma" w:cs="Tahoma"/>
          <w:b/>
          <w:sz w:val="24"/>
          <w:szCs w:val="24"/>
        </w:rPr>
        <w:t xml:space="preserve"> “port equipment” include harbor craft </w:t>
      </w:r>
      <w:r w:rsidR="003E66D7">
        <w:rPr>
          <w:rFonts w:ascii="Tahoma" w:eastAsia="Times New Roman" w:hAnsi="Tahoma" w:cs="Tahoma"/>
          <w:b/>
          <w:sz w:val="24"/>
          <w:szCs w:val="24"/>
        </w:rPr>
        <w:t xml:space="preserve">such as </w:t>
      </w:r>
      <w:r w:rsidR="006C3955" w:rsidRPr="005448F6">
        <w:rPr>
          <w:rFonts w:ascii="Tahoma" w:eastAsia="Times New Roman" w:hAnsi="Tahoma" w:cs="Tahoma"/>
          <w:b/>
          <w:sz w:val="24"/>
          <w:szCs w:val="24"/>
        </w:rPr>
        <w:t>ferries</w:t>
      </w:r>
      <w:r w:rsidR="008E5A62">
        <w:rPr>
          <w:rFonts w:ascii="Tahoma" w:eastAsia="Times New Roman" w:hAnsi="Tahoma" w:cs="Tahoma"/>
          <w:b/>
          <w:sz w:val="24"/>
          <w:szCs w:val="24"/>
        </w:rPr>
        <w:t>?</w:t>
      </w:r>
    </w:p>
    <w:p w14:paraId="7FA85ADB" w14:textId="77777777" w:rsidR="00644A90" w:rsidRPr="005448F6" w:rsidRDefault="00644A90" w:rsidP="00CF1250">
      <w:pPr>
        <w:spacing w:after="0"/>
        <w:ind w:left="720" w:hanging="720"/>
        <w:rPr>
          <w:rFonts w:ascii="Tahoma" w:hAnsi="Tahoma" w:cs="Tahoma"/>
          <w:sz w:val="24"/>
          <w:szCs w:val="24"/>
        </w:rPr>
      </w:pPr>
    </w:p>
    <w:p w14:paraId="46A2B2F9" w14:textId="195642A0" w:rsidR="00644A90" w:rsidRPr="005448F6" w:rsidRDefault="004821A9" w:rsidP="007801B2">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1</w:t>
      </w:r>
      <w:r w:rsidRPr="005448F6">
        <w:rPr>
          <w:rFonts w:ascii="Tahoma" w:hAnsi="Tahoma" w:cs="Tahoma"/>
          <w:sz w:val="24"/>
          <w:szCs w:val="24"/>
        </w:rPr>
        <w:t>4</w:t>
      </w:r>
      <w:r w:rsidR="006C3955" w:rsidRPr="005448F6">
        <w:rPr>
          <w:rFonts w:ascii="Tahoma" w:hAnsi="Tahoma" w:cs="Tahoma"/>
          <w:sz w:val="24"/>
          <w:szCs w:val="24"/>
        </w:rPr>
        <w:t>:</w:t>
      </w:r>
      <w:r w:rsidR="006C3955" w:rsidRPr="005448F6">
        <w:rPr>
          <w:rFonts w:ascii="Tahoma" w:hAnsi="Tahoma" w:cs="Tahoma"/>
          <w:sz w:val="24"/>
          <w:szCs w:val="24"/>
        </w:rPr>
        <w:tab/>
      </w:r>
      <w:r w:rsidR="004B40B4">
        <w:rPr>
          <w:rFonts w:ascii="Tahoma" w:hAnsi="Tahoma" w:cs="Tahoma"/>
          <w:sz w:val="24"/>
          <w:szCs w:val="24"/>
        </w:rPr>
        <w:t>A</w:t>
      </w:r>
      <w:r w:rsidR="004B40B4" w:rsidRPr="004B40B4">
        <w:rPr>
          <w:rFonts w:ascii="Tahoma" w:hAnsi="Tahoma" w:cs="Tahoma"/>
          <w:sz w:val="24"/>
          <w:szCs w:val="24"/>
        </w:rPr>
        <w:t xml:space="preserve"> proposed project may include charging or hydrogen refueling infrastructure to support a </w:t>
      </w:r>
      <w:r w:rsidR="004B40B4">
        <w:rPr>
          <w:rFonts w:ascii="Tahoma" w:hAnsi="Tahoma" w:cs="Tahoma"/>
          <w:sz w:val="24"/>
          <w:szCs w:val="24"/>
        </w:rPr>
        <w:t>marine</w:t>
      </w:r>
      <w:r w:rsidR="00646C6D">
        <w:rPr>
          <w:rFonts w:ascii="Tahoma" w:hAnsi="Tahoma" w:cs="Tahoma"/>
          <w:sz w:val="24"/>
          <w:szCs w:val="24"/>
        </w:rPr>
        <w:t xml:space="preserve"> </w:t>
      </w:r>
      <w:r w:rsidR="004B40B4" w:rsidRPr="004B40B4">
        <w:rPr>
          <w:rFonts w:ascii="Tahoma" w:hAnsi="Tahoma" w:cs="Tahoma"/>
          <w:sz w:val="24"/>
          <w:szCs w:val="24"/>
        </w:rPr>
        <w:t>vessel</w:t>
      </w:r>
      <w:r w:rsidR="00D462AA">
        <w:rPr>
          <w:rFonts w:ascii="Tahoma" w:hAnsi="Tahoma" w:cs="Tahoma"/>
          <w:sz w:val="24"/>
          <w:szCs w:val="24"/>
        </w:rPr>
        <w:t xml:space="preserve"> or </w:t>
      </w:r>
      <w:r w:rsidR="004B40B4" w:rsidRPr="004B40B4">
        <w:rPr>
          <w:rFonts w:ascii="Tahoma" w:hAnsi="Tahoma" w:cs="Tahoma"/>
          <w:sz w:val="24"/>
          <w:szCs w:val="24"/>
        </w:rPr>
        <w:t xml:space="preserve">harbor </w:t>
      </w:r>
      <w:r w:rsidR="00D462AA">
        <w:rPr>
          <w:rFonts w:ascii="Tahoma" w:hAnsi="Tahoma" w:cs="Tahoma"/>
          <w:sz w:val="24"/>
          <w:szCs w:val="24"/>
        </w:rPr>
        <w:t>craft</w:t>
      </w:r>
      <w:r w:rsidR="004B40B4" w:rsidRPr="004B40B4">
        <w:rPr>
          <w:rFonts w:ascii="Tahoma" w:hAnsi="Tahoma" w:cs="Tahoma"/>
          <w:sz w:val="24"/>
          <w:szCs w:val="24"/>
        </w:rPr>
        <w:t xml:space="preserve">. The proposed project </w:t>
      </w:r>
      <w:r w:rsidR="00F07091">
        <w:rPr>
          <w:rFonts w:ascii="Tahoma" w:hAnsi="Tahoma" w:cs="Tahoma"/>
          <w:sz w:val="24"/>
          <w:szCs w:val="24"/>
        </w:rPr>
        <w:t>must</w:t>
      </w:r>
      <w:r w:rsidR="004B40B4" w:rsidRPr="004B40B4">
        <w:rPr>
          <w:rFonts w:ascii="Tahoma" w:hAnsi="Tahoma" w:cs="Tahoma"/>
          <w:sz w:val="24"/>
          <w:szCs w:val="24"/>
        </w:rPr>
        <w:t xml:space="preserve"> meet the minimum charger port or hydrogen fueling position deployment requirements outlined in Section I.G</w:t>
      </w:r>
      <w:r w:rsidR="00E9398D">
        <w:rPr>
          <w:rFonts w:ascii="Tahoma" w:hAnsi="Tahoma" w:cs="Tahoma"/>
          <w:sz w:val="24"/>
          <w:szCs w:val="24"/>
        </w:rPr>
        <w:t xml:space="preserve">. </w:t>
      </w:r>
      <w:r w:rsidR="00093319">
        <w:rPr>
          <w:rFonts w:ascii="Tahoma" w:hAnsi="Tahoma" w:cs="Tahoma"/>
          <w:sz w:val="24"/>
          <w:szCs w:val="24"/>
        </w:rPr>
        <w:t>However,</w:t>
      </w:r>
      <w:r w:rsidR="00BD508F" w:rsidRPr="005448F6">
        <w:rPr>
          <w:rFonts w:ascii="Tahoma" w:hAnsi="Tahoma" w:cs="Tahoma"/>
          <w:sz w:val="24"/>
          <w:szCs w:val="24"/>
        </w:rPr>
        <w:t xml:space="preserve"> </w:t>
      </w:r>
      <w:r w:rsidR="000F0E28">
        <w:rPr>
          <w:rFonts w:ascii="Tahoma" w:hAnsi="Tahoma" w:cs="Tahoma"/>
          <w:sz w:val="24"/>
          <w:szCs w:val="24"/>
        </w:rPr>
        <w:t>Zero-emission v</w:t>
      </w:r>
      <w:r w:rsidR="006C3955" w:rsidRPr="005448F6">
        <w:rPr>
          <w:rFonts w:ascii="Tahoma" w:hAnsi="Tahoma" w:cs="Tahoma"/>
          <w:sz w:val="24"/>
          <w:szCs w:val="24"/>
        </w:rPr>
        <w:t>ehicles</w:t>
      </w:r>
      <w:r w:rsidR="000F0E28">
        <w:rPr>
          <w:rFonts w:ascii="Tahoma" w:hAnsi="Tahoma" w:cs="Tahoma"/>
          <w:sz w:val="24"/>
          <w:szCs w:val="24"/>
        </w:rPr>
        <w:t xml:space="preserve"> (purchased, rented, or leased)</w:t>
      </w:r>
      <w:r w:rsidR="006C3955" w:rsidRPr="005448F6">
        <w:rPr>
          <w:rFonts w:ascii="Tahoma" w:hAnsi="Tahoma" w:cs="Tahoma"/>
          <w:sz w:val="24"/>
          <w:szCs w:val="24"/>
        </w:rPr>
        <w:t xml:space="preserve"> and vehicle-related expenses (e.g., vehicle parts, labor for vehicle repairs, etc.) are not eligible as </w:t>
      </w:r>
      <w:r w:rsidR="000F0E28">
        <w:rPr>
          <w:rFonts w:ascii="Tahoma" w:hAnsi="Tahoma" w:cs="Tahoma"/>
          <w:sz w:val="24"/>
          <w:szCs w:val="24"/>
        </w:rPr>
        <w:t xml:space="preserve">CEC </w:t>
      </w:r>
      <w:r w:rsidR="006C3955" w:rsidRPr="005448F6">
        <w:rPr>
          <w:rFonts w:ascii="Tahoma" w:hAnsi="Tahoma" w:cs="Tahoma"/>
          <w:sz w:val="24"/>
          <w:szCs w:val="24"/>
        </w:rPr>
        <w:t>reimbursable expenses</w:t>
      </w:r>
      <w:r w:rsidR="000F0E28" w:rsidRPr="000F0E28">
        <w:rPr>
          <w:rFonts w:ascii="Tahoma" w:hAnsi="Tahoma" w:cs="Tahoma"/>
          <w:sz w:val="24"/>
          <w:szCs w:val="24"/>
        </w:rPr>
        <w:t>, but may be included in the Applicant’s Match Share. Refer to Section II.E.</w:t>
      </w:r>
      <w:r w:rsidR="003E1E33">
        <w:rPr>
          <w:rFonts w:ascii="Tahoma" w:hAnsi="Tahoma" w:cs="Tahoma"/>
          <w:sz w:val="24"/>
          <w:szCs w:val="24"/>
        </w:rPr>
        <w:t>, Eligible Project Costs.</w:t>
      </w:r>
    </w:p>
    <w:p w14:paraId="07F057EB" w14:textId="77777777" w:rsidR="00AD2C2B" w:rsidRPr="005448F6" w:rsidRDefault="00AD2C2B" w:rsidP="00AD2C2B">
      <w:pPr>
        <w:spacing w:after="0"/>
        <w:ind w:left="720"/>
        <w:rPr>
          <w:rFonts w:ascii="Tahoma" w:hAnsi="Tahoma" w:cs="Tahoma"/>
          <w:sz w:val="24"/>
          <w:szCs w:val="24"/>
        </w:rPr>
      </w:pPr>
    </w:p>
    <w:p w14:paraId="29B3CC7B" w14:textId="49EE3549" w:rsidR="006C3955"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1</w:t>
      </w:r>
      <w:r w:rsidRPr="005448F6">
        <w:rPr>
          <w:rFonts w:ascii="Tahoma" w:eastAsia="Times New Roman" w:hAnsi="Tahoma" w:cs="Tahoma"/>
          <w:b/>
          <w:sz w:val="24"/>
          <w:szCs w:val="24"/>
        </w:rPr>
        <w:t>5</w:t>
      </w:r>
      <w:r w:rsidR="006C3955" w:rsidRPr="005448F6">
        <w:rPr>
          <w:rFonts w:ascii="Tahoma" w:eastAsia="Times New Roman" w:hAnsi="Tahoma" w:cs="Tahoma"/>
          <w:b/>
          <w:sz w:val="24"/>
          <w:szCs w:val="24"/>
        </w:rPr>
        <w:t>:</w:t>
      </w:r>
      <w:r w:rsidR="006C3955" w:rsidRPr="005448F6">
        <w:rPr>
          <w:rFonts w:ascii="Tahoma" w:eastAsia="Times New Roman" w:hAnsi="Tahoma" w:cs="Tahoma"/>
          <w:b/>
          <w:sz w:val="24"/>
          <w:szCs w:val="24"/>
        </w:rPr>
        <w:tab/>
        <w:t xml:space="preserve">If a </w:t>
      </w:r>
      <w:r w:rsidR="00143F7E">
        <w:rPr>
          <w:rFonts w:ascii="Tahoma" w:eastAsia="Times New Roman" w:hAnsi="Tahoma" w:cs="Tahoma"/>
          <w:b/>
          <w:sz w:val="24"/>
          <w:szCs w:val="24"/>
        </w:rPr>
        <w:t xml:space="preserve">proposed </w:t>
      </w:r>
      <w:r w:rsidR="006C3955" w:rsidRPr="005448F6">
        <w:rPr>
          <w:rFonts w:ascii="Tahoma" w:eastAsia="Times New Roman" w:hAnsi="Tahoma" w:cs="Tahoma"/>
          <w:b/>
          <w:sz w:val="24"/>
          <w:szCs w:val="24"/>
        </w:rPr>
        <w:t xml:space="preserve">project </w:t>
      </w:r>
      <w:r w:rsidR="00B5594D">
        <w:rPr>
          <w:rFonts w:ascii="Tahoma" w:eastAsia="Times New Roman" w:hAnsi="Tahoma" w:cs="Tahoma"/>
          <w:b/>
          <w:sz w:val="24"/>
          <w:szCs w:val="24"/>
        </w:rPr>
        <w:t>includes multiple types of charging</w:t>
      </w:r>
      <w:r w:rsidR="00143F7E">
        <w:rPr>
          <w:rFonts w:ascii="Tahoma" w:eastAsia="Times New Roman" w:hAnsi="Tahoma" w:cs="Tahoma"/>
          <w:b/>
          <w:sz w:val="24"/>
          <w:szCs w:val="24"/>
        </w:rPr>
        <w:t xml:space="preserve">, can a combination of </w:t>
      </w:r>
      <w:r w:rsidR="006C3955" w:rsidRPr="005448F6">
        <w:rPr>
          <w:rFonts w:ascii="Tahoma" w:eastAsia="Times New Roman" w:hAnsi="Tahoma" w:cs="Tahoma"/>
          <w:b/>
          <w:sz w:val="24"/>
          <w:szCs w:val="24"/>
        </w:rPr>
        <w:t xml:space="preserve">on-water MDHD vehicle hydrogen refuelers/charging </w:t>
      </w:r>
      <w:r w:rsidR="00E31740">
        <w:rPr>
          <w:rFonts w:ascii="Tahoma" w:eastAsia="Times New Roman" w:hAnsi="Tahoma" w:cs="Tahoma"/>
          <w:b/>
          <w:sz w:val="24"/>
          <w:szCs w:val="24"/>
        </w:rPr>
        <w:t xml:space="preserve">along with </w:t>
      </w:r>
      <w:r w:rsidR="006C3955" w:rsidRPr="005448F6">
        <w:rPr>
          <w:rFonts w:ascii="Tahoma" w:eastAsia="Times New Roman" w:hAnsi="Tahoma" w:cs="Tahoma"/>
          <w:b/>
          <w:sz w:val="24"/>
          <w:szCs w:val="24"/>
        </w:rPr>
        <w:t>shoreside or terminal charging infrastructure be combined to meet the positions threshold?</w:t>
      </w:r>
    </w:p>
    <w:p w14:paraId="31C0FE45" w14:textId="77777777" w:rsidR="00644A90" w:rsidRPr="005448F6" w:rsidRDefault="00644A90" w:rsidP="00CF1250">
      <w:pPr>
        <w:spacing w:after="0" w:line="240" w:lineRule="auto"/>
        <w:ind w:left="720" w:hanging="720"/>
        <w:rPr>
          <w:rFonts w:ascii="Tahoma" w:eastAsia="Times New Roman" w:hAnsi="Tahoma" w:cs="Tahoma"/>
          <w:b/>
          <w:sz w:val="24"/>
          <w:szCs w:val="24"/>
        </w:rPr>
      </w:pPr>
    </w:p>
    <w:p w14:paraId="15334FEE" w14:textId="1D46B5B1" w:rsidR="0069423F"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1</w:t>
      </w:r>
      <w:r w:rsidRPr="005448F6">
        <w:rPr>
          <w:rFonts w:ascii="Tahoma" w:hAnsi="Tahoma" w:cs="Tahoma"/>
          <w:sz w:val="24"/>
          <w:szCs w:val="24"/>
        </w:rPr>
        <w:t>5</w:t>
      </w:r>
      <w:r w:rsidR="006C3955" w:rsidRPr="005448F6">
        <w:rPr>
          <w:rFonts w:ascii="Tahoma" w:hAnsi="Tahoma" w:cs="Tahoma"/>
          <w:sz w:val="24"/>
          <w:szCs w:val="24"/>
        </w:rPr>
        <w:t>:</w:t>
      </w:r>
      <w:r w:rsidR="006C3955" w:rsidRPr="005448F6">
        <w:rPr>
          <w:rFonts w:ascii="Tahoma" w:hAnsi="Tahoma" w:cs="Tahoma"/>
          <w:sz w:val="24"/>
          <w:szCs w:val="24"/>
        </w:rPr>
        <w:tab/>
      </w:r>
      <w:r w:rsidR="00A70106">
        <w:rPr>
          <w:rFonts w:ascii="Tahoma" w:hAnsi="Tahoma" w:cs="Tahoma"/>
          <w:sz w:val="24"/>
          <w:szCs w:val="24"/>
        </w:rPr>
        <w:t xml:space="preserve">No. On-water MDHD vehicle </w:t>
      </w:r>
      <w:r w:rsidR="006B6346">
        <w:rPr>
          <w:rFonts w:ascii="Tahoma" w:hAnsi="Tahoma" w:cs="Tahoma"/>
          <w:sz w:val="24"/>
          <w:szCs w:val="24"/>
        </w:rPr>
        <w:t xml:space="preserve">hydrogen refuelers / </w:t>
      </w:r>
      <w:r w:rsidR="00274D34">
        <w:rPr>
          <w:rFonts w:ascii="Tahoma" w:hAnsi="Tahoma" w:cs="Tahoma"/>
          <w:sz w:val="24"/>
          <w:szCs w:val="24"/>
        </w:rPr>
        <w:t xml:space="preserve">electric </w:t>
      </w:r>
      <w:r w:rsidR="006B6346">
        <w:rPr>
          <w:rFonts w:ascii="Tahoma" w:hAnsi="Tahoma" w:cs="Tahoma"/>
          <w:sz w:val="24"/>
          <w:szCs w:val="24"/>
        </w:rPr>
        <w:t>chargers are not</w:t>
      </w:r>
      <w:r w:rsidR="005B06F9">
        <w:rPr>
          <w:rFonts w:ascii="Tahoma" w:hAnsi="Tahoma" w:cs="Tahoma"/>
          <w:sz w:val="24"/>
          <w:szCs w:val="24"/>
        </w:rPr>
        <w:t xml:space="preserve"> permitted. </w:t>
      </w:r>
      <w:r w:rsidR="00EC7EB8">
        <w:rPr>
          <w:rFonts w:ascii="Tahoma" w:hAnsi="Tahoma" w:cs="Tahoma"/>
          <w:sz w:val="24"/>
          <w:szCs w:val="24"/>
        </w:rPr>
        <w:t xml:space="preserve">Funding will </w:t>
      </w:r>
      <w:r w:rsidR="00387508">
        <w:rPr>
          <w:rFonts w:ascii="Tahoma" w:hAnsi="Tahoma" w:cs="Tahoma"/>
          <w:sz w:val="24"/>
          <w:szCs w:val="24"/>
        </w:rPr>
        <w:t>support</w:t>
      </w:r>
      <w:r w:rsidR="00EC7EB8">
        <w:rPr>
          <w:rFonts w:ascii="Tahoma" w:hAnsi="Tahoma" w:cs="Tahoma"/>
          <w:sz w:val="24"/>
          <w:szCs w:val="24"/>
        </w:rPr>
        <w:t xml:space="preserve"> new installation of in-ground</w:t>
      </w:r>
      <w:r w:rsidR="00387508">
        <w:rPr>
          <w:rFonts w:ascii="Tahoma" w:hAnsi="Tahoma" w:cs="Tahoma"/>
          <w:sz w:val="24"/>
          <w:szCs w:val="24"/>
        </w:rPr>
        <w:t xml:space="preserve"> </w:t>
      </w:r>
      <w:r w:rsidR="00EB3696">
        <w:rPr>
          <w:rFonts w:ascii="Tahoma" w:hAnsi="Tahoma" w:cs="Tahoma"/>
          <w:sz w:val="24"/>
          <w:szCs w:val="24"/>
        </w:rPr>
        <w:t>fueling</w:t>
      </w:r>
      <w:r w:rsidR="00387508">
        <w:rPr>
          <w:rFonts w:ascii="Tahoma" w:hAnsi="Tahoma" w:cs="Tahoma"/>
          <w:sz w:val="24"/>
          <w:szCs w:val="24"/>
        </w:rPr>
        <w:t xml:space="preserve"> </w:t>
      </w:r>
      <w:r w:rsidR="00AF2D8C">
        <w:rPr>
          <w:rFonts w:ascii="Tahoma" w:hAnsi="Tahoma" w:cs="Tahoma"/>
          <w:sz w:val="24"/>
          <w:szCs w:val="24"/>
        </w:rPr>
        <w:t>infrastructure</w:t>
      </w:r>
      <w:r w:rsidR="00121C30">
        <w:rPr>
          <w:rFonts w:ascii="Tahoma" w:hAnsi="Tahoma" w:cs="Tahoma"/>
          <w:sz w:val="24"/>
          <w:szCs w:val="24"/>
        </w:rPr>
        <w:t>, as stated in Section I.A</w:t>
      </w:r>
      <w:r w:rsidR="00F841A3">
        <w:rPr>
          <w:rFonts w:ascii="Tahoma" w:hAnsi="Tahoma" w:cs="Tahoma"/>
          <w:sz w:val="24"/>
          <w:szCs w:val="24"/>
        </w:rPr>
        <w:t xml:space="preserve"> and </w:t>
      </w:r>
      <w:r w:rsidR="002E1D97">
        <w:rPr>
          <w:rFonts w:ascii="Tahoma" w:hAnsi="Tahoma" w:cs="Tahoma"/>
          <w:sz w:val="24"/>
          <w:szCs w:val="24"/>
        </w:rPr>
        <w:t>Section II.E.</w:t>
      </w:r>
    </w:p>
    <w:p w14:paraId="472F3A4B" w14:textId="77777777" w:rsidR="006C3955" w:rsidRPr="005448F6" w:rsidRDefault="006C3955" w:rsidP="004038D1">
      <w:pPr>
        <w:spacing w:after="0"/>
        <w:ind w:left="720" w:hanging="720"/>
        <w:rPr>
          <w:rFonts w:ascii="Tahoma" w:hAnsi="Tahoma" w:cs="Tahoma"/>
          <w:sz w:val="24"/>
          <w:szCs w:val="24"/>
        </w:rPr>
      </w:pPr>
    </w:p>
    <w:p w14:paraId="11236002" w14:textId="6734E530" w:rsidR="006C3955"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1</w:t>
      </w:r>
      <w:r w:rsidRPr="005448F6">
        <w:rPr>
          <w:rFonts w:ascii="Tahoma" w:eastAsia="Times New Roman" w:hAnsi="Tahoma" w:cs="Tahoma"/>
          <w:b/>
          <w:sz w:val="24"/>
          <w:szCs w:val="24"/>
        </w:rPr>
        <w:t>6</w:t>
      </w:r>
      <w:r w:rsidR="006C3955" w:rsidRPr="005448F6">
        <w:rPr>
          <w:rFonts w:ascii="Tahoma" w:eastAsia="Times New Roman" w:hAnsi="Tahoma" w:cs="Tahoma"/>
          <w:b/>
          <w:sz w:val="24"/>
          <w:szCs w:val="24"/>
        </w:rPr>
        <w:t>:</w:t>
      </w:r>
      <w:r w:rsidR="006C3955" w:rsidRPr="005448F6">
        <w:rPr>
          <w:rFonts w:ascii="Tahoma" w:eastAsia="Times New Roman" w:hAnsi="Tahoma" w:cs="Tahoma"/>
          <w:b/>
          <w:sz w:val="24"/>
          <w:szCs w:val="24"/>
        </w:rPr>
        <w:tab/>
        <w:t xml:space="preserve">The solicitation requires a 40-port minimum for proposed </w:t>
      </w:r>
      <w:r w:rsidR="00970352">
        <w:rPr>
          <w:rFonts w:ascii="Tahoma" w:eastAsia="Times New Roman" w:hAnsi="Tahoma" w:cs="Tahoma"/>
          <w:b/>
          <w:sz w:val="24"/>
          <w:szCs w:val="24"/>
        </w:rPr>
        <w:t>medium- and heavy-duty</w:t>
      </w:r>
      <w:r w:rsidR="00970352" w:rsidRPr="005448F6">
        <w:rPr>
          <w:rFonts w:ascii="Tahoma" w:eastAsia="Times New Roman" w:hAnsi="Tahoma" w:cs="Tahoma"/>
          <w:b/>
          <w:sz w:val="24"/>
          <w:szCs w:val="24"/>
        </w:rPr>
        <w:t xml:space="preserve"> </w:t>
      </w:r>
      <w:r w:rsidR="006C3955" w:rsidRPr="005448F6">
        <w:rPr>
          <w:rFonts w:ascii="Tahoma" w:eastAsia="Times New Roman" w:hAnsi="Tahoma" w:cs="Tahoma"/>
          <w:b/>
          <w:sz w:val="24"/>
          <w:szCs w:val="24"/>
        </w:rPr>
        <w:t xml:space="preserve">sites at large ports, with a minimum of 200kW/port.  If a proposal </w:t>
      </w:r>
      <w:r w:rsidR="00C67650">
        <w:rPr>
          <w:rFonts w:ascii="Tahoma" w:eastAsia="Times New Roman" w:hAnsi="Tahoma" w:cs="Tahoma"/>
          <w:b/>
          <w:sz w:val="24"/>
          <w:szCs w:val="24"/>
        </w:rPr>
        <w:t>includes</w:t>
      </w:r>
      <w:r w:rsidR="006C3955" w:rsidRPr="005448F6">
        <w:rPr>
          <w:rFonts w:ascii="Tahoma" w:eastAsia="Times New Roman" w:hAnsi="Tahoma" w:cs="Tahoma"/>
          <w:b/>
          <w:sz w:val="24"/>
          <w:szCs w:val="24"/>
        </w:rPr>
        <w:t xml:space="preserve"> install</w:t>
      </w:r>
      <w:r w:rsidR="00C67650">
        <w:rPr>
          <w:rFonts w:ascii="Tahoma" w:eastAsia="Times New Roman" w:hAnsi="Tahoma" w:cs="Tahoma"/>
          <w:b/>
          <w:sz w:val="24"/>
          <w:szCs w:val="24"/>
        </w:rPr>
        <w:t>ing</w:t>
      </w:r>
      <w:r w:rsidR="00412BAD">
        <w:rPr>
          <w:rFonts w:ascii="Tahoma" w:eastAsia="Times New Roman" w:hAnsi="Tahoma" w:cs="Tahoma"/>
          <w:b/>
          <w:sz w:val="24"/>
          <w:szCs w:val="24"/>
        </w:rPr>
        <w:t xml:space="preserve"> only 10 charging ports, but provides a total of</w:t>
      </w:r>
      <w:r w:rsidR="006C3955" w:rsidRPr="005448F6">
        <w:rPr>
          <w:rFonts w:ascii="Tahoma" w:eastAsia="Times New Roman" w:hAnsi="Tahoma" w:cs="Tahoma"/>
          <w:b/>
          <w:sz w:val="24"/>
          <w:szCs w:val="24"/>
        </w:rPr>
        <w:t xml:space="preserve"> 1.2MW </w:t>
      </w:r>
      <w:r w:rsidR="00412BAD">
        <w:rPr>
          <w:rFonts w:ascii="Tahoma" w:eastAsia="Times New Roman" w:hAnsi="Tahoma" w:cs="Tahoma"/>
          <w:b/>
          <w:sz w:val="24"/>
          <w:szCs w:val="24"/>
        </w:rPr>
        <w:t xml:space="preserve">of </w:t>
      </w:r>
      <w:r w:rsidR="006C3955" w:rsidRPr="005448F6">
        <w:rPr>
          <w:rFonts w:ascii="Tahoma" w:eastAsia="Times New Roman" w:hAnsi="Tahoma" w:cs="Tahoma"/>
          <w:b/>
          <w:sz w:val="24"/>
          <w:szCs w:val="24"/>
        </w:rPr>
        <w:t xml:space="preserve">fast charging </w:t>
      </w:r>
      <w:r w:rsidR="007D0FB3">
        <w:rPr>
          <w:rFonts w:ascii="Tahoma" w:eastAsia="Times New Roman" w:hAnsi="Tahoma" w:cs="Tahoma"/>
          <w:b/>
          <w:sz w:val="24"/>
          <w:szCs w:val="24"/>
        </w:rPr>
        <w:t xml:space="preserve">capacity </w:t>
      </w:r>
      <w:r w:rsidR="006C3955" w:rsidRPr="005448F6">
        <w:rPr>
          <w:rFonts w:ascii="Tahoma" w:eastAsia="Times New Roman" w:hAnsi="Tahoma" w:cs="Tahoma"/>
          <w:b/>
          <w:sz w:val="24"/>
          <w:szCs w:val="24"/>
        </w:rPr>
        <w:t>(</w:t>
      </w:r>
      <w:r w:rsidR="007D0FB3">
        <w:rPr>
          <w:rFonts w:ascii="Tahoma" w:eastAsia="Times New Roman" w:hAnsi="Tahoma" w:cs="Tahoma"/>
          <w:b/>
          <w:sz w:val="24"/>
          <w:szCs w:val="24"/>
        </w:rPr>
        <w:t>meeting the overall power requirement</w:t>
      </w:r>
      <w:r w:rsidR="006C3955" w:rsidRPr="005448F6">
        <w:rPr>
          <w:rFonts w:ascii="Tahoma" w:eastAsia="Times New Roman" w:hAnsi="Tahoma" w:cs="Tahoma"/>
          <w:b/>
          <w:sz w:val="24"/>
          <w:szCs w:val="24"/>
        </w:rPr>
        <w:t xml:space="preserve">), </w:t>
      </w:r>
      <w:r w:rsidR="00540733">
        <w:rPr>
          <w:rFonts w:ascii="Tahoma" w:eastAsia="Times New Roman" w:hAnsi="Tahoma" w:cs="Tahoma"/>
          <w:b/>
          <w:sz w:val="24"/>
          <w:szCs w:val="24"/>
        </w:rPr>
        <w:t>would that be</w:t>
      </w:r>
      <w:r w:rsidR="006C3955" w:rsidRPr="005448F6">
        <w:rPr>
          <w:rFonts w:ascii="Tahoma" w:eastAsia="Times New Roman" w:hAnsi="Tahoma" w:cs="Tahoma"/>
          <w:b/>
          <w:sz w:val="24"/>
          <w:szCs w:val="24"/>
        </w:rPr>
        <w:t xml:space="preserve"> acceptable?</w:t>
      </w:r>
    </w:p>
    <w:p w14:paraId="1D648A7A" w14:textId="77777777" w:rsidR="00AD2C2B" w:rsidRPr="005448F6" w:rsidRDefault="00AD2C2B" w:rsidP="00AD2C2B">
      <w:pPr>
        <w:spacing w:after="0" w:line="240" w:lineRule="auto"/>
        <w:ind w:left="720" w:hanging="720"/>
        <w:rPr>
          <w:rFonts w:ascii="Tahoma" w:eastAsia="Times New Roman" w:hAnsi="Tahoma" w:cs="Tahoma"/>
          <w:b/>
          <w:sz w:val="24"/>
          <w:szCs w:val="24"/>
        </w:rPr>
      </w:pPr>
    </w:p>
    <w:p w14:paraId="1526E7FF" w14:textId="3CB4F84E" w:rsidR="006C3955" w:rsidRPr="005448F6" w:rsidRDefault="004821A9"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1</w:t>
      </w:r>
      <w:r w:rsidRPr="005448F6">
        <w:rPr>
          <w:rFonts w:ascii="Tahoma" w:hAnsi="Tahoma" w:cs="Tahoma"/>
          <w:sz w:val="24"/>
          <w:szCs w:val="24"/>
        </w:rPr>
        <w:t>6</w:t>
      </w:r>
      <w:r w:rsidR="006C3955" w:rsidRPr="005448F6">
        <w:rPr>
          <w:rFonts w:ascii="Tahoma" w:hAnsi="Tahoma" w:cs="Tahoma"/>
          <w:sz w:val="24"/>
          <w:szCs w:val="24"/>
        </w:rPr>
        <w:t>:</w:t>
      </w:r>
      <w:r w:rsidR="006C3955" w:rsidRPr="005448F6">
        <w:rPr>
          <w:rFonts w:ascii="Tahoma" w:hAnsi="Tahoma" w:cs="Tahoma"/>
          <w:sz w:val="24"/>
          <w:szCs w:val="24"/>
        </w:rPr>
        <w:tab/>
        <w:t>Per Addendum #</w:t>
      </w:r>
      <w:r w:rsidR="00540733">
        <w:rPr>
          <w:rFonts w:ascii="Tahoma" w:hAnsi="Tahoma" w:cs="Tahoma"/>
          <w:sz w:val="24"/>
          <w:szCs w:val="24"/>
        </w:rPr>
        <w:t>2</w:t>
      </w:r>
      <w:r w:rsidR="006C3955" w:rsidRPr="005448F6">
        <w:rPr>
          <w:rFonts w:ascii="Tahoma" w:hAnsi="Tahoma" w:cs="Tahoma"/>
          <w:sz w:val="24"/>
          <w:szCs w:val="24"/>
        </w:rPr>
        <w:t>, the minimum number of charging ports</w:t>
      </w:r>
      <w:r w:rsidR="00540733">
        <w:rPr>
          <w:rFonts w:ascii="Tahoma" w:hAnsi="Tahoma" w:cs="Tahoma"/>
          <w:sz w:val="24"/>
          <w:szCs w:val="24"/>
        </w:rPr>
        <w:t xml:space="preserve"> or hydrogen </w:t>
      </w:r>
      <w:r w:rsidR="006C3955" w:rsidRPr="005448F6">
        <w:rPr>
          <w:rFonts w:ascii="Tahoma" w:hAnsi="Tahoma" w:cs="Tahoma"/>
          <w:sz w:val="24"/>
          <w:szCs w:val="24"/>
        </w:rPr>
        <w:t xml:space="preserve">fueling positions must be met per the Applicant Group designation (i.e., Small Ports: 20 150 kW charging ports or 2 hydrogen fueling positions; Large Ports: 40 150 kW </w:t>
      </w:r>
      <w:r w:rsidR="006C3955" w:rsidRPr="005448F6">
        <w:rPr>
          <w:rFonts w:ascii="Tahoma" w:hAnsi="Tahoma" w:cs="Tahoma"/>
          <w:sz w:val="24"/>
          <w:szCs w:val="24"/>
        </w:rPr>
        <w:lastRenderedPageBreak/>
        <w:t xml:space="preserve">charging ports or 4 hydrogen fueling positions). </w:t>
      </w:r>
      <w:r w:rsidR="002A20F0">
        <w:rPr>
          <w:rFonts w:ascii="Tahoma" w:hAnsi="Tahoma" w:cs="Tahoma"/>
          <w:sz w:val="24"/>
          <w:szCs w:val="24"/>
        </w:rPr>
        <w:t xml:space="preserve">Refer to Section II.B.2., Charger Port/Hydrogen Refueling </w:t>
      </w:r>
      <w:r w:rsidR="00E03B81">
        <w:rPr>
          <w:rFonts w:ascii="Tahoma" w:hAnsi="Tahoma" w:cs="Tahoma"/>
          <w:sz w:val="24"/>
          <w:szCs w:val="24"/>
        </w:rPr>
        <w:t xml:space="preserve">Position </w:t>
      </w:r>
      <w:r w:rsidR="002A20F0">
        <w:rPr>
          <w:rFonts w:ascii="Tahoma" w:hAnsi="Tahoma" w:cs="Tahoma"/>
          <w:sz w:val="24"/>
          <w:szCs w:val="24"/>
        </w:rPr>
        <w:t>Minimums.</w:t>
      </w:r>
    </w:p>
    <w:p w14:paraId="36B7E93C" w14:textId="77777777" w:rsidR="00AD2C2B" w:rsidRPr="005448F6" w:rsidRDefault="00AD2C2B" w:rsidP="00AD2C2B">
      <w:pPr>
        <w:spacing w:after="0"/>
        <w:ind w:left="720" w:hanging="720"/>
        <w:rPr>
          <w:rFonts w:ascii="Tahoma" w:hAnsi="Tahoma" w:cs="Tahoma"/>
          <w:sz w:val="24"/>
          <w:szCs w:val="24"/>
        </w:rPr>
      </w:pPr>
    </w:p>
    <w:p w14:paraId="0C0D1EF7" w14:textId="5EB98CC1" w:rsidR="009C36AD"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17</w:t>
      </w:r>
      <w:r w:rsidR="009C36AD" w:rsidRPr="005448F6">
        <w:rPr>
          <w:rFonts w:ascii="Tahoma" w:eastAsia="Times New Roman" w:hAnsi="Tahoma" w:cs="Tahoma"/>
          <w:b/>
          <w:sz w:val="24"/>
          <w:szCs w:val="24"/>
        </w:rPr>
        <w:t>:</w:t>
      </w:r>
      <w:r w:rsidR="009C36AD" w:rsidRPr="005448F6">
        <w:rPr>
          <w:rFonts w:ascii="Tahoma" w:eastAsia="Times New Roman" w:hAnsi="Tahoma" w:cs="Tahoma"/>
          <w:b/>
          <w:sz w:val="24"/>
          <w:szCs w:val="24"/>
        </w:rPr>
        <w:tab/>
        <w:t xml:space="preserve">If an applicant’s selected </w:t>
      </w:r>
      <w:r w:rsidR="006916B4">
        <w:rPr>
          <w:rFonts w:ascii="Tahoma" w:eastAsia="Times New Roman" w:hAnsi="Tahoma" w:cs="Tahoma"/>
          <w:b/>
          <w:sz w:val="24"/>
          <w:szCs w:val="24"/>
        </w:rPr>
        <w:t>electric vehicle supply equipment (</w:t>
      </w:r>
      <w:r w:rsidR="009C36AD" w:rsidRPr="005448F6">
        <w:rPr>
          <w:rFonts w:ascii="Tahoma" w:eastAsia="Times New Roman" w:hAnsi="Tahoma" w:cs="Tahoma"/>
          <w:b/>
          <w:sz w:val="24"/>
          <w:szCs w:val="24"/>
        </w:rPr>
        <w:t>EVSE</w:t>
      </w:r>
      <w:r w:rsidR="006916B4">
        <w:rPr>
          <w:rFonts w:ascii="Tahoma" w:eastAsia="Times New Roman" w:hAnsi="Tahoma" w:cs="Tahoma"/>
          <w:b/>
          <w:sz w:val="24"/>
          <w:szCs w:val="24"/>
        </w:rPr>
        <w:t>)</w:t>
      </w:r>
      <w:r w:rsidR="009C36AD" w:rsidRPr="005448F6">
        <w:rPr>
          <w:rFonts w:ascii="Tahoma" w:eastAsia="Times New Roman" w:hAnsi="Tahoma" w:cs="Tahoma"/>
          <w:b/>
          <w:sz w:val="24"/>
          <w:szCs w:val="24"/>
        </w:rPr>
        <w:t xml:space="preserve"> has been independently certified for a California IOU make-ready program (SCE Charge Ready, PG&amp;E EV Fleet, SDG&amp;E Power Your Drive) but does not </w:t>
      </w:r>
      <w:r w:rsidR="005A7B55">
        <w:rPr>
          <w:rFonts w:ascii="Tahoma" w:eastAsia="Times New Roman" w:hAnsi="Tahoma" w:cs="Tahoma"/>
          <w:b/>
          <w:sz w:val="24"/>
          <w:szCs w:val="24"/>
        </w:rPr>
        <w:t>fully meet</w:t>
      </w:r>
      <w:r w:rsidR="009C36AD" w:rsidRPr="005448F6">
        <w:rPr>
          <w:rFonts w:ascii="Tahoma" w:eastAsia="Times New Roman" w:hAnsi="Tahoma" w:cs="Tahoma"/>
          <w:b/>
          <w:sz w:val="24"/>
          <w:szCs w:val="24"/>
        </w:rPr>
        <w:t xml:space="preserve"> all of the requirements listed in Section B.5. “Compliance with California EVSE Commercial Device Requirements</w:t>
      </w:r>
      <w:r w:rsidR="005A7B55">
        <w:rPr>
          <w:rFonts w:ascii="Tahoma" w:eastAsia="Times New Roman" w:hAnsi="Tahoma" w:cs="Tahoma"/>
          <w:b/>
          <w:sz w:val="24"/>
          <w:szCs w:val="24"/>
        </w:rPr>
        <w:t>”</w:t>
      </w:r>
      <w:r w:rsidR="009C36AD" w:rsidRPr="005448F6">
        <w:rPr>
          <w:rFonts w:ascii="Tahoma" w:eastAsia="Times New Roman" w:hAnsi="Tahoma" w:cs="Tahoma"/>
          <w:b/>
          <w:sz w:val="24"/>
          <w:szCs w:val="24"/>
        </w:rPr>
        <w:t xml:space="preserve"> and Section C “Minimum Technical Requirements for Open Retail Electric Vehicle Charging Stations,” will the CEC consider the EVSE as acceptable for participation in GFO-24-610?</w:t>
      </w:r>
    </w:p>
    <w:p w14:paraId="32837F4D" w14:textId="77777777" w:rsidR="00AD2C2B" w:rsidRPr="005448F6" w:rsidRDefault="00AD2C2B" w:rsidP="00AD2C2B">
      <w:pPr>
        <w:spacing w:after="0" w:line="240" w:lineRule="auto"/>
        <w:ind w:left="720" w:hanging="720"/>
        <w:rPr>
          <w:rFonts w:ascii="Tahoma" w:eastAsia="Times New Roman" w:hAnsi="Tahoma" w:cs="Tahoma"/>
          <w:b/>
          <w:sz w:val="24"/>
          <w:szCs w:val="24"/>
        </w:rPr>
      </w:pPr>
    </w:p>
    <w:p w14:paraId="720276F3" w14:textId="29F311B9" w:rsidR="00894514" w:rsidRDefault="004821A9" w:rsidP="0069423F">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17</w:t>
      </w:r>
      <w:r w:rsidR="009C36AD" w:rsidRPr="005448F6">
        <w:rPr>
          <w:rFonts w:ascii="Tahoma" w:hAnsi="Tahoma" w:cs="Tahoma"/>
          <w:sz w:val="24"/>
          <w:szCs w:val="24"/>
        </w:rPr>
        <w:t>:</w:t>
      </w:r>
      <w:r w:rsidR="009C36AD" w:rsidRPr="005448F6">
        <w:rPr>
          <w:rFonts w:ascii="Tahoma" w:hAnsi="Tahoma" w:cs="Tahoma"/>
          <w:sz w:val="24"/>
          <w:szCs w:val="24"/>
        </w:rPr>
        <w:tab/>
        <w:t xml:space="preserve">As stated in the Solicitation Manual, II.E.2., </w:t>
      </w:r>
      <w:r w:rsidR="00706499" w:rsidRPr="00052D26">
        <w:rPr>
          <w:rFonts w:ascii="Tahoma" w:hAnsi="Tahoma" w:cs="Tahoma"/>
          <w:sz w:val="24"/>
          <w:szCs w:val="24"/>
        </w:rPr>
        <w:t>m</w:t>
      </w:r>
      <w:r w:rsidR="009C36AD" w:rsidRPr="005448F6">
        <w:rPr>
          <w:rFonts w:ascii="Tahoma" w:hAnsi="Tahoma" w:cs="Tahoma"/>
          <w:sz w:val="24"/>
          <w:szCs w:val="24"/>
        </w:rPr>
        <w:t>ake-ready equipment</w:t>
      </w:r>
      <w:r w:rsidR="009C36AD" w:rsidRPr="0007583E">
        <w:rPr>
          <w:rFonts w:ascii="Tahoma" w:hAnsi="Tahoma" w:cs="Tahoma"/>
          <w:sz w:val="24"/>
          <w:szCs w:val="24"/>
        </w:rPr>
        <w:t xml:space="preserve"> </w:t>
      </w:r>
      <w:r w:rsidR="009C36AD" w:rsidRPr="005448F6">
        <w:rPr>
          <w:rFonts w:ascii="Tahoma" w:hAnsi="Tahoma" w:cs="Tahoma"/>
          <w:sz w:val="24"/>
          <w:szCs w:val="24"/>
        </w:rPr>
        <w:t>is not eligible for CEC reimbursement but may be included as an Applicant’s match share</w:t>
      </w:r>
      <w:r w:rsidR="00CE2CC0" w:rsidRPr="00052D26">
        <w:rPr>
          <w:rFonts w:ascii="Tahoma" w:hAnsi="Tahoma" w:cs="Tahoma"/>
          <w:sz w:val="24"/>
          <w:szCs w:val="24"/>
        </w:rPr>
        <w:t xml:space="preserve">, if it </w:t>
      </w:r>
      <w:r w:rsidR="000362CB" w:rsidRPr="00052D26">
        <w:rPr>
          <w:rFonts w:ascii="Tahoma" w:hAnsi="Tahoma" w:cs="Tahoma"/>
          <w:sz w:val="24"/>
          <w:szCs w:val="24"/>
        </w:rPr>
        <w:t>is being paid for by a</w:t>
      </w:r>
      <w:r w:rsidR="005B7B25" w:rsidRPr="00052D26">
        <w:rPr>
          <w:rFonts w:ascii="Tahoma" w:hAnsi="Tahoma" w:cs="Tahoma"/>
          <w:sz w:val="24"/>
          <w:szCs w:val="24"/>
        </w:rPr>
        <w:t xml:space="preserve">n IOU </w:t>
      </w:r>
      <w:r w:rsidR="000362CB" w:rsidRPr="00052D26">
        <w:rPr>
          <w:rFonts w:ascii="Tahoma" w:hAnsi="Tahoma" w:cs="Tahoma"/>
          <w:sz w:val="24"/>
          <w:szCs w:val="24"/>
        </w:rPr>
        <w:t>make-ready program</w:t>
      </w:r>
      <w:r w:rsidR="005B7B25" w:rsidRPr="00052D26">
        <w:rPr>
          <w:rFonts w:ascii="Tahoma" w:hAnsi="Tahoma" w:cs="Tahoma"/>
          <w:sz w:val="24"/>
          <w:szCs w:val="24"/>
        </w:rPr>
        <w:t>.</w:t>
      </w:r>
    </w:p>
    <w:p w14:paraId="2C300D2A" w14:textId="77777777" w:rsidR="00894514" w:rsidRDefault="00894514" w:rsidP="0069423F">
      <w:pPr>
        <w:spacing w:after="0"/>
        <w:ind w:left="720" w:hanging="720"/>
        <w:rPr>
          <w:rFonts w:ascii="Tahoma" w:hAnsi="Tahoma" w:cs="Tahoma"/>
          <w:sz w:val="24"/>
          <w:szCs w:val="24"/>
        </w:rPr>
      </w:pPr>
    </w:p>
    <w:p w14:paraId="0835DA69" w14:textId="60B946FA" w:rsidR="007363EB" w:rsidRPr="0086587B" w:rsidRDefault="004076F2" w:rsidP="00E026A0">
      <w:pPr>
        <w:spacing w:after="0"/>
        <w:ind w:left="720"/>
        <w:rPr>
          <w:rFonts w:ascii="Tahoma" w:hAnsi="Tahoma" w:cs="Tahoma"/>
          <w:sz w:val="24"/>
          <w:szCs w:val="24"/>
        </w:rPr>
      </w:pPr>
      <w:r>
        <w:rPr>
          <w:rFonts w:ascii="Tahoma" w:hAnsi="Tahoma" w:cs="Tahoma"/>
          <w:sz w:val="24"/>
          <w:szCs w:val="24"/>
        </w:rPr>
        <w:t xml:space="preserve">A link to </w:t>
      </w:r>
      <w:r w:rsidR="00E27D92">
        <w:rPr>
          <w:rFonts w:ascii="Tahoma" w:hAnsi="Tahoma" w:cs="Tahoma"/>
          <w:sz w:val="24"/>
          <w:szCs w:val="24"/>
        </w:rPr>
        <w:t xml:space="preserve">eligible </w:t>
      </w:r>
      <w:r w:rsidR="008822FF">
        <w:rPr>
          <w:rFonts w:ascii="Tahoma" w:hAnsi="Tahoma" w:cs="Tahoma"/>
          <w:sz w:val="24"/>
          <w:szCs w:val="24"/>
        </w:rPr>
        <w:t xml:space="preserve">electric </w:t>
      </w:r>
      <w:r w:rsidR="00691755">
        <w:rPr>
          <w:rFonts w:ascii="Tahoma" w:hAnsi="Tahoma" w:cs="Tahoma"/>
          <w:sz w:val="24"/>
          <w:szCs w:val="24"/>
        </w:rPr>
        <w:t xml:space="preserve">vehicle </w:t>
      </w:r>
      <w:r w:rsidR="008822FF">
        <w:rPr>
          <w:rFonts w:ascii="Tahoma" w:hAnsi="Tahoma" w:cs="Tahoma"/>
          <w:sz w:val="24"/>
          <w:szCs w:val="24"/>
        </w:rPr>
        <w:t>charging equipment</w:t>
      </w:r>
      <w:r w:rsidR="00691755">
        <w:rPr>
          <w:rFonts w:ascii="Tahoma" w:hAnsi="Tahoma" w:cs="Tahoma"/>
          <w:sz w:val="24"/>
          <w:szCs w:val="24"/>
        </w:rPr>
        <w:t xml:space="preserve"> </w:t>
      </w:r>
      <w:r w:rsidR="008822FF">
        <w:rPr>
          <w:rFonts w:ascii="Tahoma" w:hAnsi="Tahoma" w:cs="Tahoma"/>
          <w:sz w:val="24"/>
          <w:szCs w:val="24"/>
        </w:rPr>
        <w:t xml:space="preserve">is provided in Section </w:t>
      </w:r>
      <w:r w:rsidR="00E27D92">
        <w:rPr>
          <w:rFonts w:ascii="Tahoma" w:hAnsi="Tahoma" w:cs="Tahoma"/>
          <w:sz w:val="24"/>
          <w:szCs w:val="24"/>
        </w:rPr>
        <w:t>II.E., Eligible Project Costs</w:t>
      </w:r>
      <w:r w:rsidR="002C2D1E">
        <w:rPr>
          <w:rFonts w:ascii="Tahoma" w:hAnsi="Tahoma" w:cs="Tahoma"/>
          <w:sz w:val="24"/>
          <w:szCs w:val="24"/>
        </w:rPr>
        <w:t xml:space="preserve">, </w:t>
      </w:r>
      <w:hyperlink r:id="rId11" w:history="1">
        <w:r w:rsidR="00040111" w:rsidRPr="00717696">
          <w:rPr>
            <w:rStyle w:val="Hyperlink"/>
            <w:rFonts w:ascii="Tahoma" w:eastAsia="Tahoma" w:hAnsi="Tahoma" w:cs="Tahoma"/>
            <w:sz w:val="24"/>
            <w:szCs w:val="24"/>
          </w:rPr>
          <w:t>https://www.energiize.org/infrastructure?section=infrastructure.more-details.technology</w:t>
        </w:r>
      </w:hyperlink>
      <w:r w:rsidR="00040111">
        <w:rPr>
          <w:rFonts w:ascii="Tahoma" w:eastAsia="Tahoma" w:hAnsi="Tahoma" w:cs="Tahoma"/>
          <w:sz w:val="24"/>
          <w:szCs w:val="24"/>
        </w:rPr>
        <w:t>, which aligns with available utility make-ready programs.</w:t>
      </w:r>
      <w:r w:rsidR="00894514">
        <w:rPr>
          <w:rFonts w:ascii="Tahoma" w:eastAsia="Tahoma" w:hAnsi="Tahoma" w:cs="Tahoma"/>
          <w:sz w:val="24"/>
          <w:szCs w:val="24"/>
        </w:rPr>
        <w:t xml:space="preserve"> </w:t>
      </w:r>
      <w:r w:rsidR="0025465C">
        <w:rPr>
          <w:rFonts w:ascii="Tahoma" w:eastAsia="Tahoma" w:hAnsi="Tahoma" w:cs="Tahoma"/>
          <w:sz w:val="24"/>
          <w:szCs w:val="24"/>
        </w:rPr>
        <w:t>Infrastructure e</w:t>
      </w:r>
      <w:r w:rsidR="00124F93">
        <w:rPr>
          <w:rFonts w:ascii="Tahoma" w:eastAsia="Tahoma" w:hAnsi="Tahoma" w:cs="Tahoma"/>
          <w:sz w:val="24"/>
          <w:szCs w:val="24"/>
        </w:rPr>
        <w:t xml:space="preserve">quipment </w:t>
      </w:r>
      <w:r w:rsidR="0025465C">
        <w:rPr>
          <w:rFonts w:ascii="Tahoma" w:eastAsia="Tahoma" w:hAnsi="Tahoma" w:cs="Tahoma"/>
          <w:sz w:val="24"/>
          <w:szCs w:val="24"/>
        </w:rPr>
        <w:t xml:space="preserve">purchased and </w:t>
      </w:r>
      <w:r w:rsidR="00CE00D1">
        <w:rPr>
          <w:rFonts w:ascii="Tahoma" w:hAnsi="Tahoma" w:cs="Tahoma"/>
          <w:sz w:val="24"/>
          <w:szCs w:val="24"/>
        </w:rPr>
        <w:t xml:space="preserve">deployed </w:t>
      </w:r>
      <w:r w:rsidR="00BC18B0">
        <w:rPr>
          <w:rFonts w:ascii="Tahoma" w:hAnsi="Tahoma" w:cs="Tahoma"/>
          <w:sz w:val="24"/>
          <w:szCs w:val="24"/>
        </w:rPr>
        <w:t>in</w:t>
      </w:r>
      <w:r w:rsidR="002D5545">
        <w:rPr>
          <w:rFonts w:ascii="Tahoma" w:hAnsi="Tahoma" w:cs="Tahoma"/>
          <w:sz w:val="24"/>
          <w:szCs w:val="24"/>
        </w:rPr>
        <w:t xml:space="preserve"> the proposed project must meet the </w:t>
      </w:r>
      <w:r w:rsidR="00E03927">
        <w:rPr>
          <w:rFonts w:ascii="Tahoma" w:hAnsi="Tahoma" w:cs="Tahoma"/>
          <w:sz w:val="24"/>
          <w:szCs w:val="24"/>
        </w:rPr>
        <w:t>requirements outlined in the solicitation manual</w:t>
      </w:r>
      <w:r w:rsidR="00BC18B0">
        <w:rPr>
          <w:rFonts w:ascii="Tahoma" w:hAnsi="Tahoma" w:cs="Tahoma"/>
          <w:sz w:val="24"/>
          <w:szCs w:val="24"/>
        </w:rPr>
        <w:t xml:space="preserve">, including in Section B.5. and </w:t>
      </w:r>
      <w:r w:rsidR="00A15D3A">
        <w:rPr>
          <w:rFonts w:ascii="Tahoma" w:hAnsi="Tahoma" w:cs="Tahoma"/>
          <w:sz w:val="24"/>
          <w:szCs w:val="24"/>
        </w:rPr>
        <w:t>if the deployed charging equipment will be for open retail use</w:t>
      </w:r>
      <w:r w:rsidR="00AB7377">
        <w:rPr>
          <w:rFonts w:ascii="Tahoma" w:hAnsi="Tahoma" w:cs="Tahoma"/>
          <w:sz w:val="24"/>
          <w:szCs w:val="24"/>
        </w:rPr>
        <w:t xml:space="preserve">, the </w:t>
      </w:r>
      <w:r w:rsidR="00AB7377" w:rsidRPr="0086587B">
        <w:rPr>
          <w:rFonts w:ascii="Tahoma" w:hAnsi="Tahoma" w:cs="Tahoma"/>
          <w:sz w:val="24"/>
          <w:szCs w:val="24"/>
        </w:rPr>
        <w:t xml:space="preserve">requirements outlined in Section </w:t>
      </w:r>
      <w:r w:rsidR="004C1F59" w:rsidRPr="0086587B">
        <w:rPr>
          <w:rFonts w:ascii="Tahoma" w:hAnsi="Tahoma" w:cs="Tahoma"/>
          <w:sz w:val="24"/>
          <w:szCs w:val="24"/>
        </w:rPr>
        <w:t>II.C. must also be met.</w:t>
      </w:r>
    </w:p>
    <w:p w14:paraId="6392F981" w14:textId="77777777" w:rsidR="009C36AD" w:rsidRPr="0086587B" w:rsidRDefault="009C36AD" w:rsidP="00AD7455">
      <w:pPr>
        <w:spacing w:after="0"/>
        <w:ind w:left="720" w:hanging="720"/>
        <w:rPr>
          <w:rFonts w:ascii="Tahoma" w:hAnsi="Tahoma" w:cs="Tahoma"/>
          <w:sz w:val="24"/>
          <w:szCs w:val="24"/>
        </w:rPr>
      </w:pPr>
    </w:p>
    <w:p w14:paraId="3573B037" w14:textId="63A05522" w:rsidR="009C36AD" w:rsidRPr="0086587B" w:rsidRDefault="004821A9" w:rsidP="00644A90">
      <w:pPr>
        <w:spacing w:after="0" w:line="240" w:lineRule="auto"/>
        <w:ind w:left="720" w:hanging="720"/>
        <w:rPr>
          <w:rFonts w:ascii="Tahoma" w:eastAsia="Times New Roman" w:hAnsi="Tahoma" w:cs="Tahoma"/>
          <w:b/>
          <w:sz w:val="24"/>
          <w:szCs w:val="24"/>
        </w:rPr>
      </w:pPr>
      <w:r w:rsidRPr="0086587B">
        <w:rPr>
          <w:rFonts w:ascii="Tahoma" w:eastAsia="Times New Roman" w:hAnsi="Tahoma" w:cs="Tahoma"/>
          <w:b/>
          <w:sz w:val="24"/>
          <w:szCs w:val="24"/>
        </w:rPr>
        <w:t>Q18</w:t>
      </w:r>
      <w:r w:rsidR="009C36AD" w:rsidRPr="0086587B">
        <w:rPr>
          <w:rFonts w:ascii="Tahoma" w:eastAsia="Times New Roman" w:hAnsi="Tahoma" w:cs="Tahoma"/>
          <w:b/>
          <w:sz w:val="24"/>
          <w:szCs w:val="24"/>
        </w:rPr>
        <w:t>:</w:t>
      </w:r>
      <w:r w:rsidR="009C36AD" w:rsidRPr="0086587B">
        <w:rPr>
          <w:rFonts w:ascii="Tahoma" w:eastAsia="Times New Roman" w:hAnsi="Tahoma" w:cs="Tahoma"/>
          <w:b/>
          <w:sz w:val="24"/>
          <w:szCs w:val="24"/>
        </w:rPr>
        <w:tab/>
        <w:t xml:space="preserve">Can </w:t>
      </w:r>
      <w:r w:rsidR="0080381B" w:rsidRPr="0086587B">
        <w:rPr>
          <w:rFonts w:ascii="Tahoma" w:eastAsia="Times New Roman" w:hAnsi="Tahoma" w:cs="Tahoma"/>
          <w:b/>
          <w:sz w:val="24"/>
          <w:szCs w:val="24"/>
        </w:rPr>
        <w:t xml:space="preserve">a </w:t>
      </w:r>
      <w:r w:rsidR="009C36AD" w:rsidRPr="0086587B">
        <w:rPr>
          <w:rFonts w:ascii="Tahoma" w:eastAsia="Times New Roman" w:hAnsi="Tahoma" w:cs="Tahoma"/>
          <w:b/>
          <w:sz w:val="24"/>
          <w:szCs w:val="24"/>
        </w:rPr>
        <w:t xml:space="preserve">single project application include </w:t>
      </w:r>
      <w:r w:rsidR="0080381B" w:rsidRPr="0086587B">
        <w:rPr>
          <w:rFonts w:ascii="Tahoma" w:eastAsia="Times New Roman" w:hAnsi="Tahoma" w:cs="Tahoma"/>
          <w:b/>
          <w:sz w:val="24"/>
          <w:szCs w:val="24"/>
        </w:rPr>
        <w:t>multiple</w:t>
      </w:r>
      <w:r w:rsidR="009C36AD" w:rsidRPr="0086587B">
        <w:rPr>
          <w:rFonts w:ascii="Tahoma" w:eastAsia="Times New Roman" w:hAnsi="Tahoma" w:cs="Tahoma"/>
          <w:b/>
          <w:sz w:val="24"/>
          <w:szCs w:val="24"/>
        </w:rPr>
        <w:t xml:space="preserve"> project site</w:t>
      </w:r>
      <w:r w:rsidR="0080381B" w:rsidRPr="0086587B">
        <w:rPr>
          <w:rFonts w:ascii="Tahoma" w:eastAsia="Times New Roman" w:hAnsi="Tahoma" w:cs="Tahoma"/>
          <w:b/>
          <w:sz w:val="24"/>
          <w:szCs w:val="24"/>
        </w:rPr>
        <w:t>s</w:t>
      </w:r>
      <w:r w:rsidR="009C36AD" w:rsidRPr="0086587B">
        <w:rPr>
          <w:rFonts w:ascii="Tahoma" w:eastAsia="Times New Roman" w:hAnsi="Tahoma" w:cs="Tahoma"/>
          <w:b/>
          <w:sz w:val="24"/>
          <w:szCs w:val="24"/>
        </w:rPr>
        <w:t xml:space="preserve"> to achieve the minimum </w:t>
      </w:r>
      <w:r w:rsidR="0080381B" w:rsidRPr="0086587B">
        <w:rPr>
          <w:rFonts w:ascii="Tahoma" w:eastAsia="Times New Roman" w:hAnsi="Tahoma" w:cs="Tahoma"/>
          <w:b/>
          <w:sz w:val="24"/>
          <w:szCs w:val="24"/>
        </w:rPr>
        <w:t xml:space="preserve">required number of charging </w:t>
      </w:r>
      <w:r w:rsidR="009C36AD" w:rsidRPr="0086587B">
        <w:rPr>
          <w:rFonts w:ascii="Tahoma" w:eastAsia="Times New Roman" w:hAnsi="Tahoma" w:cs="Tahoma"/>
          <w:b/>
          <w:sz w:val="24"/>
          <w:szCs w:val="24"/>
        </w:rPr>
        <w:t>port</w:t>
      </w:r>
      <w:r w:rsidR="0080381B" w:rsidRPr="0086587B">
        <w:rPr>
          <w:rFonts w:ascii="Tahoma" w:eastAsia="Times New Roman" w:hAnsi="Tahoma" w:cs="Tahoma"/>
          <w:b/>
          <w:sz w:val="24"/>
          <w:szCs w:val="24"/>
        </w:rPr>
        <w:t>s</w:t>
      </w:r>
      <w:r w:rsidR="009C36AD" w:rsidRPr="0086587B">
        <w:rPr>
          <w:rFonts w:ascii="Tahoma" w:eastAsia="Times New Roman" w:hAnsi="Tahoma" w:cs="Tahoma"/>
          <w:b/>
          <w:sz w:val="24"/>
          <w:szCs w:val="24"/>
        </w:rPr>
        <w:t xml:space="preserve"> </w:t>
      </w:r>
      <w:r w:rsidR="0080381B" w:rsidRPr="0086587B">
        <w:rPr>
          <w:rFonts w:ascii="Tahoma" w:eastAsia="Times New Roman" w:hAnsi="Tahoma" w:cs="Tahoma"/>
          <w:b/>
          <w:sz w:val="24"/>
          <w:szCs w:val="24"/>
        </w:rPr>
        <w:t>deployed</w:t>
      </w:r>
      <w:r w:rsidR="009C36AD" w:rsidRPr="0086587B">
        <w:rPr>
          <w:rFonts w:ascii="Tahoma" w:eastAsia="Times New Roman" w:hAnsi="Tahoma" w:cs="Tahoma"/>
          <w:b/>
          <w:sz w:val="24"/>
          <w:szCs w:val="24"/>
        </w:rPr>
        <w:t>?</w:t>
      </w:r>
    </w:p>
    <w:p w14:paraId="42757757" w14:textId="77777777" w:rsidR="00AD2C2B" w:rsidRPr="0086587B" w:rsidRDefault="00AD2C2B" w:rsidP="00AD2C2B">
      <w:pPr>
        <w:spacing w:after="0" w:line="240" w:lineRule="auto"/>
        <w:ind w:left="720" w:hanging="720"/>
        <w:rPr>
          <w:rFonts w:ascii="Tahoma" w:eastAsia="Times New Roman" w:hAnsi="Tahoma" w:cs="Tahoma"/>
          <w:b/>
          <w:sz w:val="24"/>
          <w:szCs w:val="24"/>
        </w:rPr>
      </w:pPr>
    </w:p>
    <w:p w14:paraId="323C0E1D" w14:textId="048F8993" w:rsidR="009C36AD" w:rsidRPr="00C658D7" w:rsidRDefault="004821A9" w:rsidP="00CF1250">
      <w:pPr>
        <w:spacing w:after="0"/>
        <w:ind w:left="720" w:hanging="720"/>
        <w:rPr>
          <w:rFonts w:ascii="Tahoma" w:hAnsi="Tahoma" w:cs="Tahoma"/>
          <w:sz w:val="24"/>
          <w:szCs w:val="24"/>
        </w:rPr>
      </w:pPr>
      <w:r w:rsidRPr="0086587B">
        <w:rPr>
          <w:rFonts w:ascii="Tahoma" w:hAnsi="Tahoma" w:cs="Tahoma"/>
          <w:sz w:val="24"/>
          <w:szCs w:val="24"/>
        </w:rPr>
        <w:t>A18</w:t>
      </w:r>
      <w:r w:rsidR="009C36AD" w:rsidRPr="0086587B">
        <w:rPr>
          <w:rFonts w:ascii="Tahoma" w:hAnsi="Tahoma" w:cs="Tahoma"/>
          <w:sz w:val="24"/>
          <w:szCs w:val="24"/>
        </w:rPr>
        <w:t>:</w:t>
      </w:r>
      <w:r w:rsidR="009C36AD" w:rsidRPr="0086587B">
        <w:rPr>
          <w:rFonts w:ascii="Tahoma" w:hAnsi="Tahoma" w:cs="Tahoma"/>
          <w:sz w:val="24"/>
          <w:szCs w:val="24"/>
        </w:rPr>
        <w:tab/>
      </w:r>
      <w:r w:rsidR="00634E76" w:rsidRPr="0086587B">
        <w:rPr>
          <w:rFonts w:ascii="Tahoma" w:hAnsi="Tahoma" w:cs="Tahoma"/>
          <w:sz w:val="24"/>
          <w:szCs w:val="24"/>
        </w:rPr>
        <w:t xml:space="preserve">Multiple project locations are not allowed within a single application. A project location is defined as a single project site address, however if the Port is the Prime Applicant and the project is located on-port, the application may include multiple sites within the port boundaries (e.g., across terminals), provided all sites </w:t>
      </w:r>
      <w:r w:rsidR="00634E76" w:rsidRPr="00CA1EAE">
        <w:rPr>
          <w:rFonts w:ascii="Tahoma" w:hAnsi="Tahoma" w:cs="Tahoma"/>
          <w:b/>
          <w:sz w:val="24"/>
          <w:szCs w:val="24"/>
        </w:rPr>
        <w:t>collectively</w:t>
      </w:r>
      <w:r w:rsidR="00634E76" w:rsidRPr="0086587B">
        <w:rPr>
          <w:rFonts w:ascii="Tahoma" w:hAnsi="Tahoma" w:cs="Tahoma"/>
          <w:sz w:val="24"/>
          <w:szCs w:val="24"/>
        </w:rPr>
        <w:t xml:space="preserve"> meet the minimum infrastructure deployment requirements and support the port’s operations</w:t>
      </w:r>
      <w:r w:rsidR="00D46065" w:rsidRPr="0086587B">
        <w:rPr>
          <w:rFonts w:ascii="Tahoma" w:hAnsi="Tahoma" w:cs="Tahoma"/>
          <w:sz w:val="24"/>
          <w:szCs w:val="24"/>
        </w:rPr>
        <w:t>.</w:t>
      </w:r>
    </w:p>
    <w:p w14:paraId="766BCC1F" w14:textId="77777777" w:rsidR="0069423F" w:rsidRPr="00C658D7" w:rsidRDefault="0069423F" w:rsidP="00CF1250">
      <w:pPr>
        <w:spacing w:after="0"/>
        <w:ind w:left="720" w:hanging="720"/>
        <w:rPr>
          <w:rFonts w:ascii="Tahoma" w:hAnsi="Tahoma" w:cs="Tahoma"/>
          <w:sz w:val="24"/>
          <w:szCs w:val="24"/>
        </w:rPr>
      </w:pPr>
    </w:p>
    <w:p w14:paraId="37857993" w14:textId="6EA82946" w:rsidR="009C36AD" w:rsidRPr="00C658D7" w:rsidRDefault="004821A9" w:rsidP="00644A90">
      <w:pPr>
        <w:spacing w:after="0" w:line="240" w:lineRule="auto"/>
        <w:ind w:left="720" w:hanging="720"/>
        <w:rPr>
          <w:rFonts w:ascii="Tahoma" w:eastAsia="Times New Roman" w:hAnsi="Tahoma" w:cs="Tahoma"/>
          <w:b/>
          <w:sz w:val="24"/>
          <w:szCs w:val="24"/>
        </w:rPr>
      </w:pPr>
      <w:r w:rsidRPr="00C658D7">
        <w:rPr>
          <w:rFonts w:ascii="Tahoma" w:eastAsia="Times New Roman" w:hAnsi="Tahoma" w:cs="Tahoma"/>
          <w:b/>
          <w:sz w:val="24"/>
          <w:szCs w:val="24"/>
        </w:rPr>
        <w:t>Q19</w:t>
      </w:r>
      <w:r w:rsidR="009C36AD" w:rsidRPr="00C658D7">
        <w:rPr>
          <w:rFonts w:ascii="Tahoma" w:eastAsia="Times New Roman" w:hAnsi="Tahoma" w:cs="Tahoma"/>
          <w:b/>
          <w:sz w:val="24"/>
          <w:szCs w:val="24"/>
        </w:rPr>
        <w:t>:</w:t>
      </w:r>
      <w:r w:rsidR="009C36AD" w:rsidRPr="00C658D7">
        <w:rPr>
          <w:rFonts w:ascii="Tahoma" w:eastAsia="Times New Roman" w:hAnsi="Tahoma" w:cs="Tahoma"/>
          <w:b/>
          <w:sz w:val="24"/>
          <w:szCs w:val="24"/>
        </w:rPr>
        <w:tab/>
        <w:t>Do multiple sites proposed for charging infrastructure within a single application need to be in the same geographic area?</w:t>
      </w:r>
    </w:p>
    <w:p w14:paraId="25265680" w14:textId="77777777" w:rsidR="00AD2C2B" w:rsidRPr="00C658D7" w:rsidRDefault="00AD2C2B" w:rsidP="00AD2C2B">
      <w:pPr>
        <w:spacing w:after="0" w:line="240" w:lineRule="auto"/>
        <w:ind w:left="720" w:hanging="720"/>
        <w:rPr>
          <w:rFonts w:ascii="Tahoma" w:eastAsia="Times New Roman" w:hAnsi="Tahoma" w:cs="Tahoma"/>
          <w:b/>
          <w:sz w:val="24"/>
          <w:szCs w:val="24"/>
        </w:rPr>
      </w:pPr>
    </w:p>
    <w:p w14:paraId="0A82DA24" w14:textId="0F1238FD" w:rsidR="009C36AD" w:rsidRPr="005371B8" w:rsidRDefault="004821A9" w:rsidP="007801B2">
      <w:pPr>
        <w:spacing w:after="0"/>
        <w:ind w:left="720" w:hanging="720"/>
        <w:rPr>
          <w:rFonts w:ascii="Tahoma" w:hAnsi="Tahoma" w:cs="Tahoma"/>
          <w:sz w:val="24"/>
          <w:szCs w:val="24"/>
        </w:rPr>
      </w:pPr>
      <w:r w:rsidRPr="00C658D7">
        <w:rPr>
          <w:rFonts w:ascii="Tahoma" w:hAnsi="Tahoma" w:cs="Tahoma"/>
          <w:sz w:val="24"/>
          <w:szCs w:val="24"/>
        </w:rPr>
        <w:t>A19</w:t>
      </w:r>
      <w:r w:rsidR="009C36AD" w:rsidRPr="00C658D7">
        <w:rPr>
          <w:rFonts w:ascii="Tahoma" w:hAnsi="Tahoma" w:cs="Tahoma"/>
          <w:sz w:val="24"/>
          <w:szCs w:val="24"/>
        </w:rPr>
        <w:t>:</w:t>
      </w:r>
      <w:r w:rsidR="009C36AD" w:rsidRPr="00C658D7">
        <w:rPr>
          <w:rFonts w:ascii="Tahoma" w:hAnsi="Tahoma" w:cs="Tahoma"/>
          <w:sz w:val="24"/>
          <w:szCs w:val="24"/>
        </w:rPr>
        <w:tab/>
      </w:r>
      <w:r w:rsidR="003C19AD" w:rsidRPr="00C658D7">
        <w:rPr>
          <w:rFonts w:ascii="Tahoma" w:hAnsi="Tahoma" w:cs="Tahoma"/>
          <w:sz w:val="24"/>
          <w:szCs w:val="24"/>
        </w:rPr>
        <w:t xml:space="preserve">Multiple project locations are not allowed within a single application. A project location is defined as a single project site address, however if the Port is the Prime Applicant and the project is located on-port, the application may include multiple sites within the port boundaries (e.g., across terminals), provided all </w:t>
      </w:r>
      <w:r w:rsidR="003C19AD" w:rsidRPr="00C658D7">
        <w:rPr>
          <w:rFonts w:ascii="Tahoma" w:hAnsi="Tahoma" w:cs="Tahoma"/>
          <w:sz w:val="24"/>
          <w:szCs w:val="24"/>
        </w:rPr>
        <w:lastRenderedPageBreak/>
        <w:t xml:space="preserve">sites </w:t>
      </w:r>
      <w:r w:rsidR="003C19AD" w:rsidRPr="00CA1EAE">
        <w:rPr>
          <w:rFonts w:ascii="Tahoma" w:hAnsi="Tahoma" w:cs="Tahoma"/>
          <w:b/>
          <w:sz w:val="24"/>
          <w:szCs w:val="24"/>
        </w:rPr>
        <w:t>collectively</w:t>
      </w:r>
      <w:r w:rsidR="003C19AD" w:rsidRPr="00C658D7">
        <w:rPr>
          <w:rFonts w:ascii="Tahoma" w:hAnsi="Tahoma" w:cs="Tahoma"/>
          <w:sz w:val="24"/>
          <w:szCs w:val="24"/>
        </w:rPr>
        <w:t xml:space="preserve"> meet the minimum infrastructure deployment requirements and support the port’s operations</w:t>
      </w:r>
      <w:r w:rsidR="004B192F" w:rsidRPr="00C658D7">
        <w:rPr>
          <w:rFonts w:ascii="Tahoma" w:hAnsi="Tahoma" w:cs="Tahoma"/>
          <w:sz w:val="24"/>
          <w:szCs w:val="24"/>
        </w:rPr>
        <w:t>.</w:t>
      </w:r>
      <w:r w:rsidR="00263EB9" w:rsidRPr="007801B2">
        <w:rPr>
          <w:rFonts w:ascii="Tahoma" w:hAnsi="Tahoma" w:cs="Tahoma"/>
          <w:sz w:val="24"/>
          <w:szCs w:val="24"/>
          <w:highlight w:val="yellow"/>
        </w:rPr>
        <w:br/>
      </w:r>
    </w:p>
    <w:p w14:paraId="58F75E8F" w14:textId="73C2A32A" w:rsidR="009C36AD" w:rsidRPr="005371B8" w:rsidRDefault="004821A9" w:rsidP="00644A90">
      <w:pPr>
        <w:spacing w:after="0" w:line="240" w:lineRule="auto"/>
        <w:ind w:left="720" w:hanging="720"/>
        <w:rPr>
          <w:rFonts w:ascii="Tahoma" w:eastAsia="Times New Roman" w:hAnsi="Tahoma" w:cs="Tahoma"/>
          <w:b/>
          <w:sz w:val="24"/>
          <w:szCs w:val="24"/>
        </w:rPr>
      </w:pPr>
      <w:r w:rsidRPr="005371B8">
        <w:rPr>
          <w:rFonts w:ascii="Tahoma" w:eastAsia="Times New Roman" w:hAnsi="Tahoma" w:cs="Tahoma"/>
          <w:b/>
          <w:sz w:val="24"/>
          <w:szCs w:val="24"/>
        </w:rPr>
        <w:t>Q20</w:t>
      </w:r>
      <w:r w:rsidR="009C36AD" w:rsidRPr="005371B8">
        <w:rPr>
          <w:rFonts w:ascii="Tahoma" w:eastAsia="Times New Roman" w:hAnsi="Tahoma" w:cs="Tahoma"/>
          <w:b/>
          <w:sz w:val="24"/>
          <w:szCs w:val="24"/>
        </w:rPr>
        <w:t>:</w:t>
      </w:r>
      <w:r w:rsidR="009C36AD" w:rsidRPr="005371B8">
        <w:rPr>
          <w:rFonts w:ascii="Tahoma" w:eastAsia="Times New Roman" w:hAnsi="Tahoma" w:cs="Tahoma"/>
          <w:b/>
          <w:sz w:val="24"/>
          <w:szCs w:val="24"/>
        </w:rPr>
        <w:tab/>
        <w:t>Do multiple sites proposed for charging infrastructure within a single application need to serve the same port?</w:t>
      </w:r>
    </w:p>
    <w:p w14:paraId="730595A0" w14:textId="77777777" w:rsidR="00AD2C2B" w:rsidRPr="005371B8" w:rsidRDefault="00AD2C2B" w:rsidP="00AD2C2B">
      <w:pPr>
        <w:spacing w:after="0" w:line="240" w:lineRule="auto"/>
        <w:ind w:left="720" w:hanging="720"/>
        <w:rPr>
          <w:rFonts w:ascii="Tahoma" w:eastAsia="Times New Roman" w:hAnsi="Tahoma" w:cs="Tahoma"/>
          <w:b/>
          <w:sz w:val="24"/>
          <w:szCs w:val="24"/>
        </w:rPr>
      </w:pPr>
    </w:p>
    <w:p w14:paraId="649572C3" w14:textId="44719062" w:rsidR="00411917" w:rsidRPr="005371B8" w:rsidRDefault="004821A9" w:rsidP="00CF1250">
      <w:pPr>
        <w:spacing w:after="0"/>
        <w:ind w:left="720" w:hanging="720"/>
        <w:rPr>
          <w:rFonts w:ascii="Tahoma" w:hAnsi="Tahoma" w:cs="Tahoma"/>
          <w:sz w:val="24"/>
          <w:szCs w:val="24"/>
        </w:rPr>
      </w:pPr>
      <w:r w:rsidRPr="005371B8">
        <w:rPr>
          <w:rFonts w:ascii="Tahoma" w:hAnsi="Tahoma" w:cs="Tahoma"/>
          <w:sz w:val="24"/>
          <w:szCs w:val="24"/>
        </w:rPr>
        <w:t>A20</w:t>
      </w:r>
      <w:r w:rsidR="009C36AD" w:rsidRPr="005371B8">
        <w:rPr>
          <w:rFonts w:ascii="Tahoma" w:hAnsi="Tahoma" w:cs="Tahoma"/>
          <w:sz w:val="24"/>
          <w:szCs w:val="24"/>
        </w:rPr>
        <w:t>:</w:t>
      </w:r>
      <w:r w:rsidR="009C36AD" w:rsidRPr="005371B8">
        <w:rPr>
          <w:rFonts w:ascii="Tahoma" w:hAnsi="Tahoma" w:cs="Tahoma"/>
          <w:sz w:val="24"/>
          <w:szCs w:val="24"/>
        </w:rPr>
        <w:tab/>
      </w:r>
      <w:r w:rsidR="00A90442" w:rsidRPr="005371B8">
        <w:rPr>
          <w:rFonts w:ascii="Tahoma" w:hAnsi="Tahoma" w:cs="Tahoma"/>
          <w:sz w:val="24"/>
          <w:szCs w:val="24"/>
        </w:rPr>
        <w:t>Multiple project locations are not allowed within a single application. A project location is defined as a single project site address, however if the Port is the Prime Applicant and the project is located on-port, the application may include multiple sites within the port boundaries (e.g., across terminals), provided all sites collectively meet the minimum infrastructure deployment requirements and support the port’s operations.</w:t>
      </w:r>
    </w:p>
    <w:p w14:paraId="24F378BB" w14:textId="5004D613" w:rsidR="009C36AD" w:rsidRPr="005448F6" w:rsidRDefault="009C36AD" w:rsidP="00CF1250">
      <w:pPr>
        <w:spacing w:after="0"/>
        <w:ind w:left="720" w:hanging="720"/>
        <w:rPr>
          <w:rFonts w:ascii="Tahoma" w:hAnsi="Tahoma" w:cs="Tahoma"/>
          <w:sz w:val="24"/>
          <w:szCs w:val="24"/>
        </w:rPr>
      </w:pPr>
      <w:r w:rsidRPr="005371B8">
        <w:rPr>
          <w:rFonts w:ascii="Tahoma" w:hAnsi="Tahoma" w:cs="Tahoma"/>
          <w:sz w:val="24"/>
          <w:szCs w:val="24"/>
        </w:rPr>
        <w:t xml:space="preserve"> </w:t>
      </w:r>
    </w:p>
    <w:p w14:paraId="68DA8718" w14:textId="559C27CB" w:rsidR="009C36AD" w:rsidRDefault="004821A9" w:rsidP="00CF12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21</w:t>
      </w:r>
      <w:r w:rsidR="009C36AD" w:rsidRPr="005448F6">
        <w:rPr>
          <w:rFonts w:ascii="Tahoma" w:eastAsia="Times New Roman" w:hAnsi="Tahoma" w:cs="Tahoma"/>
          <w:b/>
          <w:sz w:val="24"/>
          <w:szCs w:val="24"/>
        </w:rPr>
        <w:t>:</w:t>
      </w:r>
      <w:r w:rsidR="009C36AD" w:rsidRPr="005448F6">
        <w:rPr>
          <w:rFonts w:ascii="Tahoma" w:eastAsia="Times New Roman" w:hAnsi="Tahoma" w:cs="Tahoma"/>
          <w:b/>
          <w:sz w:val="24"/>
          <w:szCs w:val="24"/>
        </w:rPr>
        <w:tab/>
        <w:t xml:space="preserve">If port-serving trucks travel inland to pick up or deliver cargo, would inland sites be eligible </w:t>
      </w:r>
      <w:r w:rsidR="00FB503A">
        <w:rPr>
          <w:rFonts w:ascii="Tahoma" w:eastAsia="Times New Roman" w:hAnsi="Tahoma" w:cs="Tahoma"/>
          <w:b/>
          <w:sz w:val="24"/>
          <w:szCs w:val="24"/>
        </w:rPr>
        <w:t>for</w:t>
      </w:r>
      <w:r w:rsidR="009C36AD" w:rsidRPr="005448F6">
        <w:rPr>
          <w:rFonts w:ascii="Tahoma" w:eastAsia="Times New Roman" w:hAnsi="Tahoma" w:cs="Tahoma"/>
          <w:b/>
          <w:sz w:val="24"/>
          <w:szCs w:val="24"/>
        </w:rPr>
        <w:t xml:space="preserve"> infrastructure</w:t>
      </w:r>
      <w:r w:rsidR="00FB503A" w:rsidRPr="005448F6">
        <w:rPr>
          <w:rFonts w:ascii="Tahoma" w:eastAsia="Times New Roman" w:hAnsi="Tahoma" w:cs="Tahoma"/>
          <w:b/>
          <w:sz w:val="24"/>
          <w:szCs w:val="24"/>
        </w:rPr>
        <w:t xml:space="preserve"> </w:t>
      </w:r>
      <w:r w:rsidR="009C36AD" w:rsidRPr="005448F6">
        <w:rPr>
          <w:rFonts w:ascii="Tahoma" w:eastAsia="Times New Roman" w:hAnsi="Tahoma" w:cs="Tahoma"/>
          <w:b/>
          <w:sz w:val="24"/>
          <w:szCs w:val="24"/>
        </w:rPr>
        <w:t>deploy</w:t>
      </w:r>
      <w:r w:rsidR="00FB503A">
        <w:rPr>
          <w:rFonts w:ascii="Tahoma" w:eastAsia="Times New Roman" w:hAnsi="Tahoma" w:cs="Tahoma"/>
          <w:b/>
          <w:sz w:val="24"/>
          <w:szCs w:val="24"/>
        </w:rPr>
        <w:t xml:space="preserve">ment as </w:t>
      </w:r>
      <w:r w:rsidR="009C36AD" w:rsidRPr="005448F6">
        <w:rPr>
          <w:rFonts w:ascii="Tahoma" w:eastAsia="Times New Roman" w:hAnsi="Tahoma" w:cs="Tahoma"/>
          <w:b/>
          <w:sz w:val="24"/>
          <w:szCs w:val="24"/>
        </w:rPr>
        <w:t xml:space="preserve">long as they directly </w:t>
      </w:r>
      <w:r w:rsidR="00FB503A">
        <w:rPr>
          <w:rFonts w:ascii="Tahoma" w:eastAsia="Times New Roman" w:hAnsi="Tahoma" w:cs="Tahoma"/>
          <w:b/>
          <w:sz w:val="24"/>
          <w:szCs w:val="24"/>
        </w:rPr>
        <w:t>support</w:t>
      </w:r>
      <w:r w:rsidR="00FB503A" w:rsidRPr="005448F6">
        <w:rPr>
          <w:rFonts w:ascii="Tahoma" w:eastAsia="Times New Roman" w:hAnsi="Tahoma" w:cs="Tahoma"/>
          <w:b/>
          <w:sz w:val="24"/>
          <w:szCs w:val="24"/>
        </w:rPr>
        <w:t xml:space="preserve"> </w:t>
      </w:r>
      <w:r w:rsidR="009C36AD" w:rsidRPr="005448F6">
        <w:rPr>
          <w:rFonts w:ascii="Tahoma" w:eastAsia="Times New Roman" w:hAnsi="Tahoma" w:cs="Tahoma"/>
          <w:b/>
          <w:sz w:val="24"/>
          <w:szCs w:val="24"/>
        </w:rPr>
        <w:t>port operations</w:t>
      </w:r>
      <w:r w:rsidR="00FB503A">
        <w:rPr>
          <w:rFonts w:ascii="Tahoma" w:eastAsia="Times New Roman" w:hAnsi="Tahoma" w:cs="Tahoma"/>
          <w:b/>
          <w:sz w:val="24"/>
          <w:szCs w:val="24"/>
        </w:rPr>
        <w:t>?</w:t>
      </w:r>
    </w:p>
    <w:p w14:paraId="2A1FAA2F" w14:textId="77777777" w:rsidR="0069423F" w:rsidRPr="005448F6" w:rsidRDefault="0069423F" w:rsidP="00CF1250">
      <w:pPr>
        <w:spacing w:after="0" w:line="240" w:lineRule="auto"/>
        <w:ind w:left="720" w:hanging="720"/>
        <w:rPr>
          <w:rFonts w:ascii="Tahoma" w:eastAsia="Times New Roman" w:hAnsi="Tahoma" w:cs="Tahoma"/>
          <w:b/>
          <w:sz w:val="24"/>
          <w:szCs w:val="24"/>
        </w:rPr>
      </w:pPr>
    </w:p>
    <w:p w14:paraId="09BC6017" w14:textId="471AFD22" w:rsidR="00FB503A" w:rsidRDefault="004821A9" w:rsidP="0069423F">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21</w:t>
      </w:r>
      <w:r w:rsidR="009C36AD" w:rsidRPr="005448F6">
        <w:rPr>
          <w:rFonts w:ascii="Tahoma" w:hAnsi="Tahoma" w:cs="Tahoma"/>
          <w:sz w:val="24"/>
          <w:szCs w:val="24"/>
        </w:rPr>
        <w:t>:</w:t>
      </w:r>
      <w:r w:rsidR="009C36AD" w:rsidRPr="005448F6">
        <w:rPr>
          <w:rFonts w:ascii="Tahoma" w:hAnsi="Tahoma" w:cs="Tahoma"/>
          <w:sz w:val="24"/>
          <w:szCs w:val="24"/>
        </w:rPr>
        <w:tab/>
        <w:t>Yes</w:t>
      </w:r>
      <w:r w:rsidR="00A01A51">
        <w:rPr>
          <w:rFonts w:ascii="Tahoma" w:hAnsi="Tahoma" w:cs="Tahoma"/>
          <w:sz w:val="24"/>
          <w:szCs w:val="24"/>
        </w:rPr>
        <w:t>. As referenced in Section II.B.3, Project Location, t</w:t>
      </w:r>
      <w:r w:rsidR="00A01A51" w:rsidRPr="00A01A51">
        <w:rPr>
          <w:rFonts w:ascii="Tahoma" w:hAnsi="Tahoma" w:cs="Tahoma"/>
          <w:sz w:val="24"/>
          <w:szCs w:val="24"/>
        </w:rPr>
        <w:t xml:space="preserve">he </w:t>
      </w:r>
      <w:r w:rsidR="00A01A51">
        <w:rPr>
          <w:rFonts w:ascii="Tahoma" w:hAnsi="Tahoma" w:cs="Tahoma"/>
          <w:sz w:val="24"/>
          <w:szCs w:val="24"/>
        </w:rPr>
        <w:t xml:space="preserve">proposed </w:t>
      </w:r>
      <w:r w:rsidR="00A01A51" w:rsidRPr="00A01A51">
        <w:rPr>
          <w:rFonts w:ascii="Tahoma" w:hAnsi="Tahoma" w:cs="Tahoma"/>
          <w:sz w:val="24"/>
          <w:szCs w:val="24"/>
        </w:rPr>
        <w:t xml:space="preserve">project must be located on the port </w:t>
      </w:r>
      <w:r w:rsidR="00A01A51" w:rsidRPr="007B02B7">
        <w:rPr>
          <w:rFonts w:ascii="Tahoma" w:hAnsi="Tahoma" w:cs="Tahoma"/>
          <w:i/>
          <w:iCs/>
          <w:sz w:val="24"/>
          <w:szCs w:val="24"/>
        </w:rPr>
        <w:t>or at a location that directly serves the port</w:t>
      </w:r>
      <w:r w:rsidR="00A01A51" w:rsidRPr="00A01A51">
        <w:rPr>
          <w:rFonts w:ascii="Tahoma" w:hAnsi="Tahoma" w:cs="Tahoma"/>
          <w:sz w:val="24"/>
          <w:szCs w:val="24"/>
        </w:rPr>
        <w:t>. If not located at a port, the project narrative should describe how the location directly supports the port operations</w:t>
      </w:r>
      <w:r w:rsidR="00A01A51">
        <w:rPr>
          <w:rFonts w:ascii="Tahoma" w:hAnsi="Tahoma" w:cs="Tahoma"/>
          <w:sz w:val="24"/>
          <w:szCs w:val="24"/>
        </w:rPr>
        <w:t xml:space="preserve">. </w:t>
      </w:r>
    </w:p>
    <w:p w14:paraId="37E05225" w14:textId="77777777" w:rsidR="0069423F" w:rsidRPr="005448F6" w:rsidRDefault="0069423F" w:rsidP="00CF1250">
      <w:pPr>
        <w:spacing w:after="0"/>
        <w:ind w:left="720" w:hanging="720"/>
        <w:rPr>
          <w:rFonts w:ascii="Tahoma" w:hAnsi="Tahoma" w:cs="Tahoma"/>
          <w:sz w:val="24"/>
          <w:szCs w:val="24"/>
        </w:rPr>
      </w:pPr>
    </w:p>
    <w:p w14:paraId="64FDF129" w14:textId="302B5475" w:rsidR="009C36AD"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22</w:t>
      </w:r>
      <w:r w:rsidR="009C36AD" w:rsidRPr="005448F6">
        <w:rPr>
          <w:rFonts w:ascii="Tahoma" w:eastAsia="Times New Roman" w:hAnsi="Tahoma" w:cs="Tahoma"/>
          <w:b/>
          <w:sz w:val="24"/>
          <w:szCs w:val="24"/>
        </w:rPr>
        <w:t>:</w:t>
      </w:r>
      <w:r w:rsidR="009C36AD" w:rsidRPr="005448F6">
        <w:rPr>
          <w:rFonts w:ascii="Tahoma" w:eastAsia="Times New Roman" w:hAnsi="Tahoma" w:cs="Tahoma"/>
          <w:b/>
          <w:sz w:val="24"/>
          <w:szCs w:val="24"/>
        </w:rPr>
        <w:tab/>
        <w:t>Is the charger minimum requirement a firm threshold, or is there any flexibility for vessel chargers? The set number of chargers provision is not aligned with the inclusion of "marine" in the off-road category.</w:t>
      </w:r>
    </w:p>
    <w:p w14:paraId="57087C82" w14:textId="77777777" w:rsidR="00644A90" w:rsidRPr="005448F6" w:rsidRDefault="00644A90" w:rsidP="00CF1250">
      <w:pPr>
        <w:spacing w:after="0" w:line="240" w:lineRule="auto"/>
        <w:ind w:left="720" w:hanging="720"/>
        <w:rPr>
          <w:rFonts w:ascii="Tahoma" w:eastAsia="Times New Roman" w:hAnsi="Tahoma" w:cs="Tahoma"/>
          <w:b/>
          <w:sz w:val="24"/>
          <w:szCs w:val="24"/>
        </w:rPr>
      </w:pPr>
    </w:p>
    <w:p w14:paraId="7D19A774" w14:textId="07BDA525" w:rsidR="009C36AD" w:rsidRPr="005448F6" w:rsidRDefault="004821A9"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22</w:t>
      </w:r>
      <w:r w:rsidR="009C36AD" w:rsidRPr="005448F6">
        <w:rPr>
          <w:rFonts w:ascii="Tahoma" w:hAnsi="Tahoma" w:cs="Tahoma"/>
          <w:sz w:val="24"/>
          <w:szCs w:val="24"/>
        </w:rPr>
        <w:t>:</w:t>
      </w:r>
      <w:r w:rsidR="009C36AD" w:rsidRPr="005448F6">
        <w:rPr>
          <w:rFonts w:ascii="Tahoma" w:hAnsi="Tahoma" w:cs="Tahoma"/>
          <w:sz w:val="24"/>
          <w:szCs w:val="24"/>
        </w:rPr>
        <w:tab/>
        <w:t xml:space="preserve">The charger minimum requirement is a firm threshold. Vessel chargers are allowed to count toward the minimum </w:t>
      </w:r>
      <w:r w:rsidR="00A01A51">
        <w:rPr>
          <w:rFonts w:ascii="Tahoma" w:hAnsi="Tahoma" w:cs="Tahoma"/>
          <w:sz w:val="24"/>
          <w:szCs w:val="24"/>
        </w:rPr>
        <w:t xml:space="preserve">infrastructure deployment </w:t>
      </w:r>
      <w:r w:rsidR="009C36AD" w:rsidRPr="005448F6">
        <w:rPr>
          <w:rFonts w:ascii="Tahoma" w:hAnsi="Tahoma" w:cs="Tahoma"/>
          <w:sz w:val="24"/>
          <w:szCs w:val="24"/>
        </w:rPr>
        <w:t>requirement; however, all charging ports</w:t>
      </w:r>
      <w:r w:rsidR="00A01A51">
        <w:rPr>
          <w:rFonts w:ascii="Tahoma" w:hAnsi="Tahoma" w:cs="Tahoma"/>
          <w:sz w:val="24"/>
          <w:szCs w:val="24"/>
        </w:rPr>
        <w:t xml:space="preserve"> or </w:t>
      </w:r>
      <w:r w:rsidR="009C36AD" w:rsidRPr="005448F6">
        <w:rPr>
          <w:rFonts w:ascii="Tahoma" w:hAnsi="Tahoma" w:cs="Tahoma"/>
          <w:sz w:val="24"/>
          <w:szCs w:val="24"/>
        </w:rPr>
        <w:t xml:space="preserve">refueling positions must be of the same </w:t>
      </w:r>
      <w:r w:rsidR="00043F8A">
        <w:rPr>
          <w:rFonts w:ascii="Tahoma" w:hAnsi="Tahoma" w:cs="Tahoma"/>
          <w:sz w:val="24"/>
          <w:szCs w:val="24"/>
        </w:rPr>
        <w:t>infrastructure</w:t>
      </w:r>
      <w:r w:rsidR="00043F8A" w:rsidRPr="005448F6">
        <w:rPr>
          <w:rFonts w:ascii="Tahoma" w:hAnsi="Tahoma" w:cs="Tahoma"/>
          <w:sz w:val="24"/>
          <w:szCs w:val="24"/>
        </w:rPr>
        <w:t xml:space="preserve"> </w:t>
      </w:r>
      <w:r w:rsidR="009C36AD" w:rsidRPr="005448F6">
        <w:rPr>
          <w:rFonts w:ascii="Tahoma" w:hAnsi="Tahoma" w:cs="Tahoma"/>
          <w:sz w:val="24"/>
          <w:szCs w:val="24"/>
        </w:rPr>
        <w:t xml:space="preserve">type (electric charging or hydrogen refueling) to be </w:t>
      </w:r>
      <w:r w:rsidR="00A01A51">
        <w:rPr>
          <w:rFonts w:ascii="Tahoma" w:hAnsi="Tahoma" w:cs="Tahoma"/>
          <w:sz w:val="24"/>
          <w:szCs w:val="24"/>
        </w:rPr>
        <w:t xml:space="preserve">eligible for </w:t>
      </w:r>
      <w:r w:rsidR="009C36AD" w:rsidRPr="005448F6">
        <w:rPr>
          <w:rFonts w:ascii="Tahoma" w:hAnsi="Tahoma" w:cs="Tahoma"/>
          <w:sz w:val="24"/>
          <w:szCs w:val="24"/>
        </w:rPr>
        <w:t>CEC reimburs</w:t>
      </w:r>
      <w:r w:rsidR="00A01A51">
        <w:rPr>
          <w:rFonts w:ascii="Tahoma" w:hAnsi="Tahoma" w:cs="Tahoma"/>
          <w:sz w:val="24"/>
          <w:szCs w:val="24"/>
        </w:rPr>
        <w:t>ement</w:t>
      </w:r>
      <w:r w:rsidR="009C36AD" w:rsidRPr="005448F6">
        <w:rPr>
          <w:rFonts w:ascii="Tahoma" w:hAnsi="Tahoma" w:cs="Tahoma"/>
          <w:sz w:val="24"/>
          <w:szCs w:val="24"/>
        </w:rPr>
        <w:t xml:space="preserve">. Mixed </w:t>
      </w:r>
      <w:r w:rsidR="00043F8A">
        <w:rPr>
          <w:rFonts w:ascii="Tahoma" w:hAnsi="Tahoma" w:cs="Tahoma"/>
          <w:sz w:val="24"/>
          <w:szCs w:val="24"/>
        </w:rPr>
        <w:t>infrastructure</w:t>
      </w:r>
      <w:r w:rsidR="00E71E55">
        <w:rPr>
          <w:rFonts w:ascii="Tahoma" w:hAnsi="Tahoma" w:cs="Tahoma"/>
          <w:sz w:val="24"/>
          <w:szCs w:val="24"/>
        </w:rPr>
        <w:t xml:space="preserve"> type</w:t>
      </w:r>
      <w:r w:rsidR="00A01A51">
        <w:rPr>
          <w:rFonts w:ascii="Tahoma" w:hAnsi="Tahoma" w:cs="Tahoma"/>
          <w:sz w:val="24"/>
          <w:szCs w:val="24"/>
        </w:rPr>
        <w:t>s</w:t>
      </w:r>
      <w:r w:rsidR="00043F8A" w:rsidRPr="005448F6">
        <w:rPr>
          <w:rFonts w:ascii="Tahoma" w:hAnsi="Tahoma" w:cs="Tahoma"/>
          <w:sz w:val="24"/>
          <w:szCs w:val="24"/>
        </w:rPr>
        <w:t xml:space="preserve"> </w:t>
      </w:r>
      <w:r w:rsidR="00A01A51">
        <w:rPr>
          <w:rFonts w:ascii="Tahoma" w:hAnsi="Tahoma" w:cs="Tahoma"/>
          <w:sz w:val="24"/>
          <w:szCs w:val="24"/>
        </w:rPr>
        <w:t>are</w:t>
      </w:r>
      <w:r w:rsidR="00A01A51" w:rsidRPr="005448F6">
        <w:rPr>
          <w:rFonts w:ascii="Tahoma" w:hAnsi="Tahoma" w:cs="Tahoma"/>
          <w:sz w:val="24"/>
          <w:szCs w:val="24"/>
        </w:rPr>
        <w:t xml:space="preserve"> </w:t>
      </w:r>
      <w:r w:rsidR="009C36AD" w:rsidRPr="005448F6">
        <w:rPr>
          <w:rFonts w:ascii="Tahoma" w:hAnsi="Tahoma" w:cs="Tahoma"/>
          <w:sz w:val="24"/>
          <w:szCs w:val="24"/>
        </w:rPr>
        <w:t xml:space="preserve">allowed, </w:t>
      </w:r>
      <w:r w:rsidR="00A01A51">
        <w:rPr>
          <w:rFonts w:ascii="Tahoma" w:hAnsi="Tahoma" w:cs="Tahoma"/>
          <w:sz w:val="24"/>
          <w:szCs w:val="24"/>
        </w:rPr>
        <w:t>however</w:t>
      </w:r>
      <w:r w:rsidR="00A01A51" w:rsidRPr="005448F6">
        <w:rPr>
          <w:rFonts w:ascii="Tahoma" w:hAnsi="Tahoma" w:cs="Tahoma"/>
          <w:sz w:val="24"/>
          <w:szCs w:val="24"/>
        </w:rPr>
        <w:t xml:space="preserve"> </w:t>
      </w:r>
      <w:r w:rsidR="009C36AD" w:rsidRPr="005448F6">
        <w:rPr>
          <w:rFonts w:ascii="Tahoma" w:hAnsi="Tahoma" w:cs="Tahoma"/>
          <w:sz w:val="24"/>
          <w:szCs w:val="24"/>
        </w:rPr>
        <w:t xml:space="preserve">the secondary </w:t>
      </w:r>
      <w:r w:rsidR="00043F8A">
        <w:rPr>
          <w:rFonts w:ascii="Tahoma" w:hAnsi="Tahoma" w:cs="Tahoma"/>
          <w:sz w:val="24"/>
          <w:szCs w:val="24"/>
        </w:rPr>
        <w:t>infrastructure</w:t>
      </w:r>
      <w:r w:rsidR="00043F8A" w:rsidRPr="005448F6">
        <w:rPr>
          <w:rFonts w:ascii="Tahoma" w:hAnsi="Tahoma" w:cs="Tahoma"/>
          <w:sz w:val="24"/>
          <w:szCs w:val="24"/>
        </w:rPr>
        <w:t xml:space="preserve"> </w:t>
      </w:r>
      <w:r w:rsidR="009C36AD" w:rsidRPr="005448F6">
        <w:rPr>
          <w:rFonts w:ascii="Tahoma" w:hAnsi="Tahoma" w:cs="Tahoma"/>
          <w:sz w:val="24"/>
          <w:szCs w:val="24"/>
        </w:rPr>
        <w:t>type would be used as match and would not be subject to the minimum charging port</w:t>
      </w:r>
      <w:r w:rsidR="00EF7905">
        <w:rPr>
          <w:rFonts w:ascii="Tahoma" w:hAnsi="Tahoma" w:cs="Tahoma"/>
          <w:sz w:val="24"/>
          <w:szCs w:val="24"/>
        </w:rPr>
        <w:t xml:space="preserve"> or hydrogen </w:t>
      </w:r>
      <w:r w:rsidR="009C36AD" w:rsidRPr="005448F6">
        <w:rPr>
          <w:rFonts w:ascii="Tahoma" w:hAnsi="Tahoma" w:cs="Tahoma"/>
          <w:sz w:val="24"/>
          <w:szCs w:val="24"/>
        </w:rPr>
        <w:t>fueling position deployment</w:t>
      </w:r>
      <w:r w:rsidR="00EF7905">
        <w:rPr>
          <w:rFonts w:ascii="Tahoma" w:hAnsi="Tahoma" w:cs="Tahoma"/>
          <w:sz w:val="24"/>
          <w:szCs w:val="24"/>
        </w:rPr>
        <w:t xml:space="preserve"> requirements</w:t>
      </w:r>
      <w:r w:rsidR="009C36AD" w:rsidRPr="005448F6">
        <w:rPr>
          <w:rFonts w:ascii="Tahoma" w:hAnsi="Tahoma" w:cs="Tahoma"/>
          <w:sz w:val="24"/>
          <w:szCs w:val="24"/>
        </w:rPr>
        <w:t xml:space="preserve">. </w:t>
      </w:r>
    </w:p>
    <w:p w14:paraId="08C795A4" w14:textId="77777777" w:rsidR="00AD2C2B" w:rsidRPr="005448F6" w:rsidRDefault="00AD2C2B" w:rsidP="00AD2C2B">
      <w:pPr>
        <w:spacing w:after="0"/>
        <w:ind w:left="720" w:hanging="720"/>
        <w:rPr>
          <w:rFonts w:ascii="Tahoma" w:hAnsi="Tahoma" w:cs="Tahoma"/>
          <w:sz w:val="24"/>
          <w:szCs w:val="24"/>
        </w:rPr>
      </w:pPr>
    </w:p>
    <w:p w14:paraId="660244A0" w14:textId="53BCEB93" w:rsidR="009710B9" w:rsidRPr="005448F6" w:rsidRDefault="004821A9" w:rsidP="009710B9">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23</w:t>
      </w:r>
      <w:r w:rsidR="009710B9" w:rsidRPr="005448F6">
        <w:rPr>
          <w:rFonts w:ascii="Tahoma" w:eastAsia="Times New Roman" w:hAnsi="Tahoma" w:cs="Tahoma"/>
          <w:b/>
          <w:sz w:val="24"/>
          <w:szCs w:val="24"/>
        </w:rPr>
        <w:t>:</w:t>
      </w:r>
      <w:r w:rsidR="009710B9" w:rsidRPr="005448F6">
        <w:rPr>
          <w:rFonts w:ascii="Tahoma" w:eastAsia="Times New Roman" w:hAnsi="Tahoma" w:cs="Tahoma"/>
          <w:b/>
          <w:sz w:val="24"/>
          <w:szCs w:val="24"/>
        </w:rPr>
        <w:tab/>
        <w:t>What</w:t>
      </w:r>
      <w:r w:rsidR="00E006FB" w:rsidRPr="005448F6">
        <w:rPr>
          <w:rFonts w:ascii="Tahoma" w:eastAsia="Times New Roman" w:hAnsi="Tahoma" w:cs="Tahoma"/>
          <w:b/>
          <w:sz w:val="24"/>
          <w:szCs w:val="24"/>
        </w:rPr>
        <w:t xml:space="preserve"> </w:t>
      </w:r>
      <w:r w:rsidR="009710B9" w:rsidRPr="005448F6">
        <w:rPr>
          <w:rFonts w:ascii="Tahoma" w:eastAsia="Times New Roman" w:hAnsi="Tahoma" w:cs="Tahoma"/>
          <w:b/>
          <w:sz w:val="24"/>
          <w:szCs w:val="24"/>
        </w:rPr>
        <w:t>assumption</w:t>
      </w:r>
      <w:r w:rsidR="00B22684">
        <w:rPr>
          <w:rFonts w:ascii="Tahoma" w:eastAsia="Times New Roman" w:hAnsi="Tahoma" w:cs="Tahoma"/>
          <w:b/>
          <w:sz w:val="24"/>
          <w:szCs w:val="24"/>
        </w:rPr>
        <w:t>s does the solicitation make</w:t>
      </w:r>
      <w:r w:rsidR="009710B9" w:rsidRPr="005448F6">
        <w:rPr>
          <w:rFonts w:ascii="Tahoma" w:eastAsia="Times New Roman" w:hAnsi="Tahoma" w:cs="Tahoma"/>
          <w:b/>
          <w:sz w:val="24"/>
          <w:szCs w:val="24"/>
        </w:rPr>
        <w:t xml:space="preserve"> regard</w:t>
      </w:r>
      <w:r w:rsidR="00B22684">
        <w:rPr>
          <w:rFonts w:ascii="Tahoma" w:eastAsia="Times New Roman" w:hAnsi="Tahoma" w:cs="Tahoma"/>
          <w:b/>
          <w:sz w:val="24"/>
          <w:szCs w:val="24"/>
        </w:rPr>
        <w:t>ing</w:t>
      </w:r>
      <w:r w:rsidR="009710B9" w:rsidRPr="005448F6">
        <w:rPr>
          <w:rFonts w:ascii="Tahoma" w:eastAsia="Times New Roman" w:hAnsi="Tahoma" w:cs="Tahoma"/>
          <w:b/>
          <w:sz w:val="24"/>
          <w:szCs w:val="24"/>
        </w:rPr>
        <w:t xml:space="preserve"> access </w:t>
      </w:r>
      <w:r w:rsidR="00B22684">
        <w:rPr>
          <w:rFonts w:ascii="Tahoma" w:eastAsia="Times New Roman" w:hAnsi="Tahoma" w:cs="Tahoma"/>
          <w:b/>
          <w:sz w:val="24"/>
          <w:szCs w:val="24"/>
        </w:rPr>
        <w:t>to</w:t>
      </w:r>
      <w:r w:rsidR="00B22684" w:rsidRPr="005448F6">
        <w:rPr>
          <w:rFonts w:ascii="Tahoma" w:eastAsia="Times New Roman" w:hAnsi="Tahoma" w:cs="Tahoma"/>
          <w:b/>
          <w:sz w:val="24"/>
          <w:szCs w:val="24"/>
        </w:rPr>
        <w:t xml:space="preserve"> </w:t>
      </w:r>
      <w:r w:rsidR="009710B9" w:rsidRPr="005448F6">
        <w:rPr>
          <w:rFonts w:ascii="Tahoma" w:eastAsia="Times New Roman" w:hAnsi="Tahoma" w:cs="Tahoma"/>
          <w:b/>
          <w:sz w:val="24"/>
          <w:szCs w:val="24"/>
        </w:rPr>
        <w:t>the ZEV fueling infra</w:t>
      </w:r>
      <w:r w:rsidR="00EF7905">
        <w:rPr>
          <w:rFonts w:ascii="Tahoma" w:eastAsia="Times New Roman" w:hAnsi="Tahoma" w:cs="Tahoma"/>
          <w:b/>
          <w:sz w:val="24"/>
          <w:szCs w:val="24"/>
        </w:rPr>
        <w:t>structure</w:t>
      </w:r>
      <w:r w:rsidR="009710B9" w:rsidRPr="005448F6">
        <w:rPr>
          <w:rFonts w:ascii="Tahoma" w:eastAsia="Times New Roman" w:hAnsi="Tahoma" w:cs="Tahoma"/>
          <w:b/>
          <w:sz w:val="24"/>
          <w:szCs w:val="24"/>
        </w:rPr>
        <w:t xml:space="preserve">? </w:t>
      </w:r>
      <w:r w:rsidR="00B43BA3">
        <w:rPr>
          <w:rFonts w:ascii="Tahoma" w:eastAsia="Times New Roman" w:hAnsi="Tahoma" w:cs="Tahoma"/>
          <w:b/>
          <w:sz w:val="24"/>
          <w:szCs w:val="24"/>
        </w:rPr>
        <w:t xml:space="preserve">Should </w:t>
      </w:r>
      <w:r w:rsidR="00FE6956">
        <w:rPr>
          <w:rFonts w:ascii="Tahoma" w:eastAsia="Times New Roman" w:hAnsi="Tahoma" w:cs="Tahoma"/>
          <w:b/>
          <w:sz w:val="24"/>
          <w:szCs w:val="24"/>
        </w:rPr>
        <w:t>the deployed infrastructure be p</w:t>
      </w:r>
      <w:r w:rsidR="009710B9" w:rsidRPr="005448F6">
        <w:rPr>
          <w:rFonts w:ascii="Tahoma" w:eastAsia="Times New Roman" w:hAnsi="Tahoma" w:cs="Tahoma"/>
          <w:b/>
          <w:sz w:val="24"/>
          <w:szCs w:val="24"/>
        </w:rPr>
        <w:t>ublicly accessible</w:t>
      </w:r>
      <w:r w:rsidR="00FE6956">
        <w:rPr>
          <w:rFonts w:ascii="Tahoma" w:eastAsia="Times New Roman" w:hAnsi="Tahoma" w:cs="Tahoma"/>
          <w:b/>
          <w:sz w:val="24"/>
          <w:szCs w:val="24"/>
        </w:rPr>
        <w:t>, limited to</w:t>
      </w:r>
      <w:r w:rsidR="009710B9" w:rsidRPr="005448F6">
        <w:rPr>
          <w:rFonts w:ascii="Tahoma" w:eastAsia="Times New Roman" w:hAnsi="Tahoma" w:cs="Tahoma"/>
          <w:b/>
          <w:sz w:val="24"/>
          <w:szCs w:val="24"/>
        </w:rPr>
        <w:t xml:space="preserve"> behind the fence</w:t>
      </w:r>
      <w:r w:rsidR="00FE6956">
        <w:rPr>
          <w:rFonts w:ascii="Tahoma" w:eastAsia="Times New Roman" w:hAnsi="Tahoma" w:cs="Tahoma"/>
          <w:b/>
          <w:sz w:val="24"/>
          <w:szCs w:val="24"/>
        </w:rPr>
        <w:t xml:space="preserve"> or </w:t>
      </w:r>
      <w:r w:rsidR="009710B9" w:rsidRPr="005448F6">
        <w:rPr>
          <w:rFonts w:ascii="Tahoma" w:eastAsia="Times New Roman" w:hAnsi="Tahoma" w:cs="Tahoma"/>
          <w:b/>
          <w:sz w:val="24"/>
          <w:szCs w:val="24"/>
        </w:rPr>
        <w:t xml:space="preserve">in-port </w:t>
      </w:r>
      <w:r w:rsidR="00AB6799">
        <w:rPr>
          <w:rFonts w:ascii="Tahoma" w:eastAsia="Times New Roman" w:hAnsi="Tahoma" w:cs="Tahoma"/>
          <w:b/>
          <w:sz w:val="24"/>
          <w:szCs w:val="24"/>
        </w:rPr>
        <w:t>use by port operators only, or is another access model acceptable?</w:t>
      </w:r>
      <w:r w:rsidR="009710B9" w:rsidRPr="005448F6">
        <w:rPr>
          <w:rFonts w:ascii="Tahoma" w:eastAsia="Times New Roman" w:hAnsi="Tahoma" w:cs="Tahoma"/>
          <w:b/>
          <w:sz w:val="24"/>
          <w:szCs w:val="24"/>
        </w:rPr>
        <w:t xml:space="preserve"> </w:t>
      </w:r>
    </w:p>
    <w:p w14:paraId="047D375F" w14:textId="77777777" w:rsidR="00644A90" w:rsidRPr="005448F6" w:rsidRDefault="00644A90" w:rsidP="009710B9">
      <w:pPr>
        <w:spacing w:after="0" w:line="240" w:lineRule="auto"/>
        <w:ind w:left="720" w:hanging="720"/>
        <w:rPr>
          <w:rFonts w:ascii="Tahoma" w:eastAsia="Times New Roman" w:hAnsi="Tahoma" w:cs="Tahoma"/>
          <w:b/>
          <w:sz w:val="24"/>
          <w:szCs w:val="24"/>
        </w:rPr>
      </w:pPr>
    </w:p>
    <w:p w14:paraId="000F8E0A" w14:textId="01458BE2" w:rsidR="009710B9"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23</w:t>
      </w:r>
      <w:r w:rsidR="009710B9" w:rsidRPr="005448F6">
        <w:rPr>
          <w:rFonts w:ascii="Tahoma" w:hAnsi="Tahoma" w:cs="Tahoma"/>
          <w:sz w:val="24"/>
          <w:szCs w:val="24"/>
        </w:rPr>
        <w:t>:</w:t>
      </w:r>
      <w:r w:rsidR="009710B9" w:rsidRPr="005448F6">
        <w:rPr>
          <w:rFonts w:ascii="Tahoma" w:hAnsi="Tahoma" w:cs="Tahoma"/>
          <w:sz w:val="24"/>
          <w:szCs w:val="24"/>
        </w:rPr>
        <w:tab/>
      </w:r>
      <w:r w:rsidR="00746981">
        <w:rPr>
          <w:rFonts w:ascii="Tahoma" w:hAnsi="Tahoma" w:cs="Tahoma"/>
          <w:sz w:val="24"/>
          <w:szCs w:val="24"/>
        </w:rPr>
        <w:t xml:space="preserve">Each of the models described in the question are eligible under this GFO. </w:t>
      </w:r>
      <w:r w:rsidR="009710B9" w:rsidRPr="005448F6">
        <w:rPr>
          <w:rFonts w:ascii="Tahoma" w:hAnsi="Tahoma" w:cs="Tahoma"/>
          <w:sz w:val="24"/>
          <w:szCs w:val="24"/>
        </w:rPr>
        <w:t xml:space="preserve">If </w:t>
      </w:r>
      <w:r w:rsidR="008B2D2D">
        <w:rPr>
          <w:rFonts w:ascii="Tahoma" w:hAnsi="Tahoma" w:cs="Tahoma"/>
          <w:sz w:val="24"/>
          <w:szCs w:val="24"/>
        </w:rPr>
        <w:t xml:space="preserve">the infrastructure is located entirely on </w:t>
      </w:r>
      <w:r w:rsidR="009710B9" w:rsidRPr="005448F6">
        <w:rPr>
          <w:rFonts w:ascii="Tahoma" w:hAnsi="Tahoma" w:cs="Tahoma"/>
          <w:sz w:val="24"/>
          <w:szCs w:val="24"/>
        </w:rPr>
        <w:t>port property</w:t>
      </w:r>
      <w:r w:rsidR="008B2D2D">
        <w:rPr>
          <w:rFonts w:ascii="Tahoma" w:hAnsi="Tahoma" w:cs="Tahoma"/>
          <w:sz w:val="24"/>
          <w:szCs w:val="24"/>
        </w:rPr>
        <w:t xml:space="preserve"> and</w:t>
      </w:r>
      <w:r w:rsidR="00DE1A0C">
        <w:rPr>
          <w:rFonts w:ascii="Tahoma" w:hAnsi="Tahoma" w:cs="Tahoma"/>
          <w:sz w:val="24"/>
          <w:szCs w:val="24"/>
        </w:rPr>
        <w:t xml:space="preserve"> used </w:t>
      </w:r>
      <w:r w:rsidR="008B2D2D">
        <w:rPr>
          <w:rFonts w:ascii="Tahoma" w:hAnsi="Tahoma" w:cs="Tahoma"/>
          <w:sz w:val="24"/>
          <w:szCs w:val="24"/>
        </w:rPr>
        <w:t xml:space="preserve">solely </w:t>
      </w:r>
      <w:r w:rsidR="00DE1A0C">
        <w:rPr>
          <w:rFonts w:ascii="Tahoma" w:hAnsi="Tahoma" w:cs="Tahoma"/>
          <w:sz w:val="24"/>
          <w:szCs w:val="24"/>
        </w:rPr>
        <w:t>by port operators</w:t>
      </w:r>
      <w:r w:rsidR="008B2D2D">
        <w:rPr>
          <w:rFonts w:ascii="Tahoma" w:hAnsi="Tahoma" w:cs="Tahoma"/>
          <w:sz w:val="24"/>
          <w:szCs w:val="24"/>
        </w:rPr>
        <w:t xml:space="preserve">, it may be restricted to </w:t>
      </w:r>
      <w:r w:rsidR="00E36423">
        <w:rPr>
          <w:rFonts w:ascii="Tahoma" w:hAnsi="Tahoma" w:cs="Tahoma"/>
          <w:sz w:val="24"/>
          <w:szCs w:val="24"/>
        </w:rPr>
        <w:t xml:space="preserve">private access. However, if the deployed </w:t>
      </w:r>
      <w:r w:rsidR="00E36423">
        <w:rPr>
          <w:rFonts w:ascii="Tahoma" w:hAnsi="Tahoma" w:cs="Tahoma"/>
          <w:sz w:val="24"/>
          <w:szCs w:val="24"/>
        </w:rPr>
        <w:lastRenderedPageBreak/>
        <w:t xml:space="preserve">infrastructure is located off-port property and the Applicant supports port-related </w:t>
      </w:r>
      <w:r w:rsidR="00AC23D6">
        <w:rPr>
          <w:rFonts w:ascii="Tahoma" w:hAnsi="Tahoma" w:cs="Tahoma"/>
          <w:sz w:val="24"/>
          <w:szCs w:val="24"/>
        </w:rPr>
        <w:t>operations</w:t>
      </w:r>
      <w:r w:rsidR="009710B9" w:rsidRPr="005448F6">
        <w:rPr>
          <w:rFonts w:ascii="Tahoma" w:hAnsi="Tahoma" w:cs="Tahoma"/>
          <w:sz w:val="24"/>
          <w:szCs w:val="24"/>
        </w:rPr>
        <w:t xml:space="preserve">, </w:t>
      </w:r>
      <w:r w:rsidR="00AC23D6">
        <w:rPr>
          <w:rFonts w:ascii="Tahoma" w:hAnsi="Tahoma" w:cs="Tahoma"/>
          <w:sz w:val="24"/>
          <w:szCs w:val="24"/>
        </w:rPr>
        <w:t xml:space="preserve">the </w:t>
      </w:r>
      <w:r w:rsidR="00534D0E">
        <w:rPr>
          <w:rFonts w:ascii="Tahoma" w:hAnsi="Tahoma" w:cs="Tahoma"/>
          <w:sz w:val="24"/>
          <w:szCs w:val="24"/>
        </w:rPr>
        <w:t xml:space="preserve">minimum required </w:t>
      </w:r>
      <w:r w:rsidR="00AC23D6">
        <w:rPr>
          <w:rFonts w:ascii="Tahoma" w:hAnsi="Tahoma" w:cs="Tahoma"/>
          <w:sz w:val="24"/>
          <w:szCs w:val="24"/>
        </w:rPr>
        <w:t xml:space="preserve">deployed charging ports or hydrogen fueling positions </w:t>
      </w:r>
      <w:r w:rsidR="00534D0E">
        <w:rPr>
          <w:rFonts w:ascii="Tahoma" w:hAnsi="Tahoma" w:cs="Tahoma"/>
          <w:sz w:val="24"/>
          <w:szCs w:val="24"/>
        </w:rPr>
        <w:t>may be either depot-based, shared, or publicly accessible.</w:t>
      </w:r>
      <w:r w:rsidR="009710B9" w:rsidRPr="005448F6">
        <w:rPr>
          <w:rFonts w:ascii="Tahoma" w:hAnsi="Tahoma" w:cs="Tahoma"/>
          <w:sz w:val="24"/>
          <w:szCs w:val="24"/>
        </w:rPr>
        <w:t xml:space="preserve"> </w:t>
      </w:r>
    </w:p>
    <w:p w14:paraId="44CEAA2F" w14:textId="77777777" w:rsidR="001D77BB" w:rsidRPr="005448F6" w:rsidRDefault="001D77BB" w:rsidP="009710B9">
      <w:pPr>
        <w:spacing w:after="0" w:line="240" w:lineRule="auto"/>
        <w:rPr>
          <w:rFonts w:ascii="Tahoma" w:hAnsi="Tahoma" w:cs="Tahoma"/>
          <w:sz w:val="24"/>
          <w:szCs w:val="24"/>
        </w:rPr>
      </w:pPr>
    </w:p>
    <w:p w14:paraId="07A606D7" w14:textId="39759562" w:rsidR="009710B9"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24</w:t>
      </w:r>
      <w:r w:rsidR="009710B9" w:rsidRPr="005448F6">
        <w:rPr>
          <w:rFonts w:ascii="Tahoma" w:eastAsia="Times New Roman" w:hAnsi="Tahoma" w:cs="Tahoma"/>
          <w:b/>
          <w:sz w:val="24"/>
          <w:szCs w:val="24"/>
        </w:rPr>
        <w:t>:</w:t>
      </w:r>
      <w:r w:rsidR="009710B9" w:rsidRPr="005448F6">
        <w:rPr>
          <w:rFonts w:ascii="Tahoma" w:eastAsia="Times New Roman" w:hAnsi="Tahoma" w:cs="Tahoma"/>
          <w:b/>
          <w:sz w:val="24"/>
          <w:szCs w:val="24"/>
        </w:rPr>
        <w:tab/>
      </w:r>
      <w:r w:rsidR="00854BC7">
        <w:rPr>
          <w:rFonts w:ascii="Tahoma" w:eastAsia="Times New Roman" w:hAnsi="Tahoma" w:cs="Tahoma"/>
          <w:b/>
          <w:sz w:val="24"/>
          <w:szCs w:val="24"/>
        </w:rPr>
        <w:t xml:space="preserve">Are hydrogen fueling projects </w:t>
      </w:r>
      <w:r w:rsidR="009710B9" w:rsidRPr="005448F6">
        <w:rPr>
          <w:rFonts w:ascii="Tahoma" w:eastAsia="Times New Roman" w:hAnsi="Tahoma" w:cs="Tahoma"/>
          <w:b/>
          <w:sz w:val="24"/>
          <w:szCs w:val="24"/>
        </w:rPr>
        <w:t xml:space="preserve">for </w:t>
      </w:r>
      <w:r w:rsidR="00534D0E">
        <w:rPr>
          <w:rFonts w:ascii="Tahoma" w:eastAsia="Times New Roman" w:hAnsi="Tahoma" w:cs="Tahoma"/>
          <w:b/>
          <w:sz w:val="24"/>
          <w:szCs w:val="24"/>
        </w:rPr>
        <w:t>h</w:t>
      </w:r>
      <w:r w:rsidR="009710B9" w:rsidRPr="005448F6">
        <w:rPr>
          <w:rFonts w:ascii="Tahoma" w:eastAsia="Times New Roman" w:hAnsi="Tahoma" w:cs="Tahoma"/>
          <w:b/>
          <w:sz w:val="24"/>
          <w:szCs w:val="24"/>
        </w:rPr>
        <w:t xml:space="preserve">ydrogen switcher locomotives </w:t>
      </w:r>
      <w:r w:rsidR="00452C60">
        <w:rPr>
          <w:rFonts w:ascii="Tahoma" w:eastAsia="Times New Roman" w:hAnsi="Tahoma" w:cs="Tahoma"/>
          <w:b/>
          <w:sz w:val="24"/>
          <w:szCs w:val="24"/>
        </w:rPr>
        <w:t>considered</w:t>
      </w:r>
      <w:r w:rsidR="009710B9" w:rsidRPr="005448F6">
        <w:rPr>
          <w:rFonts w:ascii="Tahoma" w:eastAsia="Times New Roman" w:hAnsi="Tahoma" w:cs="Tahoma"/>
          <w:b/>
          <w:sz w:val="24"/>
          <w:szCs w:val="24"/>
        </w:rPr>
        <w:t xml:space="preserve"> an eligible project</w:t>
      </w:r>
      <w:r w:rsidR="001D51A7">
        <w:rPr>
          <w:rFonts w:ascii="Tahoma" w:eastAsia="Times New Roman" w:hAnsi="Tahoma" w:cs="Tahoma"/>
          <w:b/>
          <w:sz w:val="24"/>
          <w:szCs w:val="24"/>
        </w:rPr>
        <w:t xml:space="preserve"> under this solicitation</w:t>
      </w:r>
      <w:r w:rsidR="009710B9" w:rsidRPr="005448F6">
        <w:rPr>
          <w:rFonts w:ascii="Tahoma" w:eastAsia="Times New Roman" w:hAnsi="Tahoma" w:cs="Tahoma"/>
          <w:b/>
          <w:sz w:val="24"/>
          <w:szCs w:val="24"/>
        </w:rPr>
        <w:t>?</w:t>
      </w:r>
    </w:p>
    <w:p w14:paraId="24BCF3E1" w14:textId="77777777" w:rsidR="00AD2C2B" w:rsidRPr="005448F6" w:rsidRDefault="00AD2C2B" w:rsidP="00AD2C2B">
      <w:pPr>
        <w:spacing w:after="0" w:line="240" w:lineRule="auto"/>
        <w:ind w:left="720" w:hanging="720"/>
        <w:rPr>
          <w:rFonts w:ascii="Tahoma" w:hAnsi="Tahoma" w:cs="Tahoma"/>
          <w:sz w:val="24"/>
          <w:szCs w:val="24"/>
        </w:rPr>
      </w:pPr>
    </w:p>
    <w:p w14:paraId="07611859" w14:textId="3FD550AC" w:rsidR="009710B9"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24</w:t>
      </w:r>
      <w:r w:rsidR="009710B9" w:rsidRPr="005448F6">
        <w:rPr>
          <w:rFonts w:ascii="Tahoma" w:hAnsi="Tahoma" w:cs="Tahoma"/>
          <w:sz w:val="24"/>
          <w:szCs w:val="24"/>
        </w:rPr>
        <w:t>:</w:t>
      </w:r>
      <w:r w:rsidR="009710B9" w:rsidRPr="005448F6">
        <w:rPr>
          <w:rFonts w:ascii="Tahoma" w:hAnsi="Tahoma" w:cs="Tahoma"/>
          <w:sz w:val="24"/>
          <w:szCs w:val="24"/>
        </w:rPr>
        <w:tab/>
      </w:r>
      <w:r w:rsidR="003567F9">
        <w:rPr>
          <w:rFonts w:ascii="Tahoma" w:hAnsi="Tahoma" w:cs="Tahoma"/>
          <w:sz w:val="24"/>
          <w:szCs w:val="24"/>
        </w:rPr>
        <w:t>Yes, if the hydrogen switcher locomotiv</w:t>
      </w:r>
      <w:r w:rsidR="007650BA">
        <w:rPr>
          <w:rFonts w:ascii="Tahoma" w:hAnsi="Tahoma" w:cs="Tahoma"/>
          <w:sz w:val="24"/>
          <w:szCs w:val="24"/>
        </w:rPr>
        <w:t xml:space="preserve">es are </w:t>
      </w:r>
      <w:r w:rsidR="009710B9" w:rsidRPr="005448F6">
        <w:rPr>
          <w:rFonts w:ascii="Tahoma" w:hAnsi="Tahoma" w:cs="Tahoma"/>
          <w:sz w:val="24"/>
          <w:szCs w:val="24"/>
        </w:rPr>
        <w:t xml:space="preserve">supporting port </w:t>
      </w:r>
      <w:r w:rsidR="00BB7631">
        <w:rPr>
          <w:rFonts w:ascii="Tahoma" w:hAnsi="Tahoma" w:cs="Tahoma"/>
          <w:sz w:val="24"/>
          <w:szCs w:val="24"/>
        </w:rPr>
        <w:t>operations</w:t>
      </w:r>
      <w:r w:rsidR="00777219">
        <w:rPr>
          <w:rFonts w:ascii="Tahoma" w:hAnsi="Tahoma" w:cs="Tahoma"/>
          <w:sz w:val="24"/>
          <w:szCs w:val="24"/>
        </w:rPr>
        <w:t>, t</w:t>
      </w:r>
      <w:r w:rsidR="00B97C33">
        <w:rPr>
          <w:rFonts w:ascii="Tahoma" w:hAnsi="Tahoma" w:cs="Tahoma"/>
          <w:sz w:val="24"/>
          <w:szCs w:val="24"/>
        </w:rPr>
        <w:t xml:space="preserve">he </w:t>
      </w:r>
      <w:r w:rsidR="00777219">
        <w:rPr>
          <w:rFonts w:ascii="Tahoma" w:hAnsi="Tahoma" w:cs="Tahoma"/>
          <w:sz w:val="24"/>
          <w:szCs w:val="24"/>
        </w:rPr>
        <w:t>hydrogen refueling infrastructure</w:t>
      </w:r>
      <w:r w:rsidR="00B97C33">
        <w:rPr>
          <w:rFonts w:ascii="Tahoma" w:hAnsi="Tahoma" w:cs="Tahoma"/>
          <w:sz w:val="24"/>
          <w:szCs w:val="24"/>
        </w:rPr>
        <w:t xml:space="preserve"> necessary to fuel the</w:t>
      </w:r>
      <w:r w:rsidR="00492AEC">
        <w:rPr>
          <w:rFonts w:ascii="Tahoma" w:hAnsi="Tahoma" w:cs="Tahoma"/>
          <w:sz w:val="24"/>
          <w:szCs w:val="24"/>
        </w:rPr>
        <w:t xml:space="preserve"> locomotives would be an eligible project cost</w:t>
      </w:r>
      <w:r w:rsidR="00ED6649">
        <w:rPr>
          <w:rFonts w:ascii="Tahoma" w:hAnsi="Tahoma" w:cs="Tahoma"/>
          <w:sz w:val="24"/>
          <w:szCs w:val="24"/>
        </w:rPr>
        <w:t xml:space="preserve"> as long as the </w:t>
      </w:r>
      <w:r w:rsidR="00A805B6">
        <w:rPr>
          <w:rFonts w:ascii="Tahoma" w:hAnsi="Tahoma" w:cs="Tahoma"/>
          <w:sz w:val="24"/>
          <w:szCs w:val="24"/>
        </w:rPr>
        <w:t>minimum number of new</w:t>
      </w:r>
      <w:r w:rsidR="00ED4774">
        <w:rPr>
          <w:rFonts w:ascii="Tahoma" w:hAnsi="Tahoma" w:cs="Tahoma"/>
          <w:sz w:val="24"/>
          <w:szCs w:val="24"/>
        </w:rPr>
        <w:t xml:space="preserve"> </w:t>
      </w:r>
      <w:r w:rsidR="008D7687">
        <w:rPr>
          <w:rFonts w:ascii="Tahoma" w:hAnsi="Tahoma" w:cs="Tahoma"/>
          <w:sz w:val="24"/>
          <w:szCs w:val="24"/>
        </w:rPr>
        <w:t>hydrogen fueling position</w:t>
      </w:r>
      <w:r w:rsidR="00ED4774">
        <w:rPr>
          <w:rFonts w:ascii="Tahoma" w:hAnsi="Tahoma" w:cs="Tahoma"/>
          <w:sz w:val="24"/>
          <w:szCs w:val="24"/>
        </w:rPr>
        <w:t>s</w:t>
      </w:r>
      <w:r w:rsidR="004C27CB">
        <w:rPr>
          <w:rFonts w:ascii="Tahoma" w:hAnsi="Tahoma" w:cs="Tahoma"/>
          <w:sz w:val="24"/>
          <w:szCs w:val="24"/>
        </w:rPr>
        <w:t xml:space="preserve"> </w:t>
      </w:r>
      <w:r w:rsidR="00AF25E1">
        <w:rPr>
          <w:rFonts w:ascii="Tahoma" w:hAnsi="Tahoma" w:cs="Tahoma"/>
          <w:sz w:val="24"/>
          <w:szCs w:val="24"/>
        </w:rPr>
        <w:t>are met in the proposed project</w:t>
      </w:r>
      <w:r w:rsidR="00BB7631">
        <w:rPr>
          <w:rFonts w:ascii="Tahoma" w:hAnsi="Tahoma" w:cs="Tahoma"/>
          <w:sz w:val="24"/>
          <w:szCs w:val="24"/>
        </w:rPr>
        <w:t xml:space="preserve">. </w:t>
      </w:r>
      <w:r w:rsidR="002233EC">
        <w:rPr>
          <w:rFonts w:ascii="Tahoma" w:hAnsi="Tahoma" w:cs="Tahoma"/>
          <w:sz w:val="24"/>
          <w:szCs w:val="24"/>
        </w:rPr>
        <w:t>That said, t</w:t>
      </w:r>
      <w:r w:rsidR="00391361">
        <w:rPr>
          <w:rFonts w:ascii="Tahoma" w:hAnsi="Tahoma" w:cs="Tahoma"/>
          <w:sz w:val="24"/>
          <w:szCs w:val="24"/>
        </w:rPr>
        <w:t xml:space="preserve">he fuel </w:t>
      </w:r>
      <w:r w:rsidR="002233EC">
        <w:rPr>
          <w:rFonts w:ascii="Tahoma" w:hAnsi="Tahoma" w:cs="Tahoma"/>
          <w:sz w:val="24"/>
          <w:szCs w:val="24"/>
        </w:rPr>
        <w:t xml:space="preserve">for the hydrogen locomotive is not an eligible CEC reimbursable or </w:t>
      </w:r>
      <w:r w:rsidR="006C24AF">
        <w:rPr>
          <w:rFonts w:ascii="Tahoma" w:hAnsi="Tahoma" w:cs="Tahoma"/>
          <w:sz w:val="24"/>
          <w:szCs w:val="24"/>
        </w:rPr>
        <w:t>m</w:t>
      </w:r>
      <w:r w:rsidR="002233EC">
        <w:rPr>
          <w:rFonts w:ascii="Tahoma" w:hAnsi="Tahoma" w:cs="Tahoma"/>
          <w:sz w:val="24"/>
          <w:szCs w:val="24"/>
        </w:rPr>
        <w:t xml:space="preserve">atch </w:t>
      </w:r>
      <w:r w:rsidR="006C24AF">
        <w:rPr>
          <w:rFonts w:ascii="Tahoma" w:hAnsi="Tahoma" w:cs="Tahoma"/>
          <w:sz w:val="24"/>
          <w:szCs w:val="24"/>
        </w:rPr>
        <w:t xml:space="preserve">share </w:t>
      </w:r>
      <w:r w:rsidR="002C7015">
        <w:rPr>
          <w:rFonts w:ascii="Tahoma" w:hAnsi="Tahoma" w:cs="Tahoma"/>
          <w:sz w:val="24"/>
          <w:szCs w:val="24"/>
        </w:rPr>
        <w:t>cost.</w:t>
      </w:r>
    </w:p>
    <w:p w14:paraId="32EFCCF0" w14:textId="77777777" w:rsidR="009710B9" w:rsidRPr="005448F6" w:rsidRDefault="009710B9" w:rsidP="009710B9">
      <w:pPr>
        <w:spacing w:after="0" w:line="240" w:lineRule="auto"/>
        <w:ind w:left="720"/>
        <w:rPr>
          <w:rFonts w:ascii="Tahoma" w:hAnsi="Tahoma" w:cs="Tahoma"/>
          <w:sz w:val="24"/>
          <w:szCs w:val="24"/>
        </w:rPr>
      </w:pPr>
    </w:p>
    <w:p w14:paraId="49E0A283" w14:textId="3318D121" w:rsidR="009710B9" w:rsidRPr="005448F6" w:rsidRDefault="004821A9" w:rsidP="009710B9">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25</w:t>
      </w:r>
      <w:r w:rsidR="009710B9" w:rsidRPr="005448F6">
        <w:rPr>
          <w:rFonts w:ascii="Tahoma" w:eastAsia="Times New Roman" w:hAnsi="Tahoma" w:cs="Tahoma"/>
          <w:b/>
          <w:sz w:val="24"/>
          <w:szCs w:val="24"/>
        </w:rPr>
        <w:t>:</w:t>
      </w:r>
      <w:r w:rsidR="009710B9" w:rsidRPr="005448F6">
        <w:rPr>
          <w:rFonts w:ascii="Tahoma" w:eastAsia="Times New Roman" w:hAnsi="Tahoma" w:cs="Tahoma"/>
          <w:b/>
          <w:sz w:val="24"/>
          <w:szCs w:val="24"/>
        </w:rPr>
        <w:tab/>
        <w:t xml:space="preserve">If </w:t>
      </w:r>
      <w:r w:rsidR="00497AB4">
        <w:rPr>
          <w:rFonts w:ascii="Tahoma" w:eastAsia="Times New Roman" w:hAnsi="Tahoma" w:cs="Tahoma"/>
          <w:b/>
          <w:sz w:val="24"/>
          <w:szCs w:val="24"/>
        </w:rPr>
        <w:t xml:space="preserve">the infrastructure is </w:t>
      </w:r>
      <w:r w:rsidR="009710B9" w:rsidRPr="005448F6">
        <w:rPr>
          <w:rFonts w:ascii="Tahoma" w:eastAsia="Times New Roman" w:hAnsi="Tahoma" w:cs="Tahoma"/>
          <w:b/>
          <w:sz w:val="24"/>
          <w:szCs w:val="24"/>
        </w:rPr>
        <w:t>behind</w:t>
      </w:r>
      <w:r w:rsidR="00497AB4">
        <w:rPr>
          <w:rFonts w:ascii="Tahoma" w:eastAsia="Times New Roman" w:hAnsi="Tahoma" w:cs="Tahoma"/>
          <w:b/>
          <w:sz w:val="24"/>
          <w:szCs w:val="24"/>
        </w:rPr>
        <w:t>-the-f</w:t>
      </w:r>
      <w:r w:rsidR="009710B9" w:rsidRPr="005448F6">
        <w:rPr>
          <w:rFonts w:ascii="Tahoma" w:eastAsia="Times New Roman" w:hAnsi="Tahoma" w:cs="Tahoma"/>
          <w:b/>
          <w:sz w:val="24"/>
          <w:szCs w:val="24"/>
        </w:rPr>
        <w:t>ence</w:t>
      </w:r>
      <w:r w:rsidR="00497AB4">
        <w:rPr>
          <w:rFonts w:ascii="Tahoma" w:eastAsia="Times New Roman" w:hAnsi="Tahoma" w:cs="Tahoma"/>
          <w:b/>
          <w:sz w:val="24"/>
          <w:szCs w:val="24"/>
        </w:rPr>
        <w:t xml:space="preserve"> or located within the </w:t>
      </w:r>
      <w:r w:rsidR="009710B9" w:rsidRPr="005448F6">
        <w:rPr>
          <w:rFonts w:ascii="Tahoma" w:eastAsia="Times New Roman" w:hAnsi="Tahoma" w:cs="Tahoma"/>
          <w:b/>
          <w:sz w:val="24"/>
          <w:szCs w:val="24"/>
        </w:rPr>
        <w:t xml:space="preserve">port </w:t>
      </w:r>
      <w:r w:rsidR="00497AB4">
        <w:rPr>
          <w:rFonts w:ascii="Tahoma" w:eastAsia="Times New Roman" w:hAnsi="Tahoma" w:cs="Tahoma"/>
          <w:b/>
          <w:sz w:val="24"/>
          <w:szCs w:val="24"/>
        </w:rPr>
        <w:t>boundaries</w:t>
      </w:r>
      <w:r w:rsidR="00C305F8">
        <w:rPr>
          <w:rFonts w:ascii="Tahoma" w:eastAsia="Times New Roman" w:hAnsi="Tahoma" w:cs="Tahoma"/>
          <w:b/>
          <w:sz w:val="24"/>
          <w:szCs w:val="24"/>
        </w:rPr>
        <w:t xml:space="preserve"> and is not open to the public</w:t>
      </w:r>
      <w:r w:rsidR="00934111">
        <w:rPr>
          <w:rFonts w:ascii="Tahoma" w:eastAsia="Times New Roman" w:hAnsi="Tahoma" w:cs="Tahoma"/>
          <w:b/>
          <w:sz w:val="24"/>
          <w:szCs w:val="24"/>
        </w:rPr>
        <w:t xml:space="preserve"> (i.e.</w:t>
      </w:r>
      <w:r w:rsidR="00952D6D">
        <w:rPr>
          <w:rFonts w:ascii="Tahoma" w:eastAsia="Times New Roman" w:hAnsi="Tahoma" w:cs="Tahoma"/>
          <w:b/>
          <w:sz w:val="24"/>
          <w:szCs w:val="24"/>
        </w:rPr>
        <w:t>,</w:t>
      </w:r>
      <w:r w:rsidR="00934111">
        <w:rPr>
          <w:rFonts w:ascii="Tahoma" w:eastAsia="Times New Roman" w:hAnsi="Tahoma" w:cs="Tahoma"/>
          <w:b/>
          <w:sz w:val="24"/>
          <w:szCs w:val="24"/>
        </w:rPr>
        <w:t xml:space="preserve"> </w:t>
      </w:r>
      <w:proofErr w:type="spellStart"/>
      <w:proofErr w:type="gramStart"/>
      <w:r w:rsidR="009710B9" w:rsidRPr="005448F6">
        <w:rPr>
          <w:rFonts w:ascii="Tahoma" w:eastAsia="Times New Roman" w:hAnsi="Tahoma" w:cs="Tahoma"/>
          <w:b/>
          <w:sz w:val="24"/>
          <w:szCs w:val="24"/>
        </w:rPr>
        <w:t>non retail</w:t>
      </w:r>
      <w:proofErr w:type="spellEnd"/>
      <w:proofErr w:type="gramEnd"/>
      <w:r w:rsidR="009710B9" w:rsidRPr="005448F6">
        <w:rPr>
          <w:rFonts w:ascii="Tahoma" w:eastAsia="Times New Roman" w:hAnsi="Tahoma" w:cs="Tahoma"/>
          <w:b/>
          <w:sz w:val="24"/>
          <w:szCs w:val="24"/>
        </w:rPr>
        <w:t>)</w:t>
      </w:r>
      <w:r w:rsidR="00952D6D">
        <w:rPr>
          <w:rFonts w:ascii="Tahoma" w:eastAsia="Times New Roman" w:hAnsi="Tahoma" w:cs="Tahoma"/>
          <w:b/>
          <w:sz w:val="24"/>
          <w:szCs w:val="24"/>
        </w:rPr>
        <w:t xml:space="preserve">, </w:t>
      </w:r>
      <w:r w:rsidR="009710B9" w:rsidRPr="005448F6">
        <w:rPr>
          <w:rFonts w:ascii="Tahoma" w:eastAsia="Times New Roman" w:hAnsi="Tahoma" w:cs="Tahoma"/>
          <w:b/>
          <w:sz w:val="24"/>
          <w:szCs w:val="24"/>
        </w:rPr>
        <w:t xml:space="preserve">how do </w:t>
      </w:r>
      <w:r w:rsidR="00A65253">
        <w:rPr>
          <w:rFonts w:ascii="Tahoma" w:eastAsia="Times New Roman" w:hAnsi="Tahoma" w:cs="Tahoma"/>
          <w:b/>
          <w:sz w:val="24"/>
          <w:szCs w:val="24"/>
        </w:rPr>
        <w:t xml:space="preserve">the </w:t>
      </w:r>
      <w:r w:rsidR="009710B9" w:rsidRPr="005448F6">
        <w:rPr>
          <w:rFonts w:ascii="Tahoma" w:eastAsia="Times New Roman" w:hAnsi="Tahoma" w:cs="Tahoma"/>
          <w:b/>
          <w:sz w:val="24"/>
          <w:szCs w:val="24"/>
        </w:rPr>
        <w:t xml:space="preserve">requirements in </w:t>
      </w:r>
      <w:r w:rsidR="00A65253">
        <w:rPr>
          <w:rFonts w:ascii="Tahoma" w:eastAsia="Times New Roman" w:hAnsi="Tahoma" w:cs="Tahoma"/>
          <w:b/>
          <w:sz w:val="24"/>
          <w:szCs w:val="24"/>
        </w:rPr>
        <w:t>S</w:t>
      </w:r>
      <w:r w:rsidR="009710B9" w:rsidRPr="005448F6">
        <w:rPr>
          <w:rFonts w:ascii="Tahoma" w:eastAsia="Times New Roman" w:hAnsi="Tahoma" w:cs="Tahoma"/>
          <w:b/>
          <w:sz w:val="24"/>
          <w:szCs w:val="24"/>
        </w:rPr>
        <w:t>ection</w:t>
      </w:r>
      <w:r w:rsidR="00A65253">
        <w:rPr>
          <w:rFonts w:ascii="Tahoma" w:eastAsia="Times New Roman" w:hAnsi="Tahoma" w:cs="Tahoma"/>
          <w:b/>
          <w:sz w:val="24"/>
          <w:szCs w:val="24"/>
        </w:rPr>
        <w:t>s</w:t>
      </w:r>
      <w:r w:rsidR="009710B9" w:rsidRPr="005448F6">
        <w:rPr>
          <w:rFonts w:ascii="Tahoma" w:eastAsia="Times New Roman" w:hAnsi="Tahoma" w:cs="Tahoma"/>
          <w:b/>
          <w:sz w:val="24"/>
          <w:szCs w:val="24"/>
        </w:rPr>
        <w:t xml:space="preserve"> C &amp; D "Minimum Technical Req</w:t>
      </w:r>
      <w:r w:rsidR="00A65253">
        <w:rPr>
          <w:rFonts w:ascii="Tahoma" w:eastAsia="Times New Roman" w:hAnsi="Tahoma" w:cs="Tahoma"/>
          <w:b/>
          <w:sz w:val="24"/>
          <w:szCs w:val="24"/>
        </w:rPr>
        <w:t xml:space="preserve">uirements for Open Retail </w:t>
      </w:r>
      <w:r w:rsidR="00874CD0">
        <w:rPr>
          <w:rFonts w:ascii="Tahoma" w:eastAsia="Times New Roman" w:hAnsi="Tahoma" w:cs="Tahoma"/>
          <w:b/>
          <w:sz w:val="24"/>
          <w:szCs w:val="24"/>
        </w:rPr>
        <w:t xml:space="preserve">Electric Vehicle Charging </w:t>
      </w:r>
      <w:r w:rsidR="00A65253">
        <w:rPr>
          <w:rFonts w:ascii="Tahoma" w:eastAsia="Times New Roman" w:hAnsi="Tahoma" w:cs="Tahoma"/>
          <w:b/>
          <w:sz w:val="24"/>
          <w:szCs w:val="24"/>
        </w:rPr>
        <w:t>Stations</w:t>
      </w:r>
      <w:r w:rsidR="00874CD0">
        <w:rPr>
          <w:rFonts w:ascii="Tahoma" w:eastAsia="Times New Roman" w:hAnsi="Tahoma" w:cs="Tahoma"/>
          <w:b/>
          <w:sz w:val="24"/>
          <w:szCs w:val="24"/>
        </w:rPr>
        <w:t>/</w:t>
      </w:r>
      <w:r w:rsidR="006736F1">
        <w:rPr>
          <w:rFonts w:ascii="Tahoma" w:eastAsia="Times New Roman" w:hAnsi="Tahoma" w:cs="Tahoma"/>
          <w:b/>
          <w:sz w:val="24"/>
          <w:szCs w:val="24"/>
        </w:rPr>
        <w:t>Hydrogen Refueling Stations</w:t>
      </w:r>
      <w:r w:rsidR="009710B9" w:rsidRPr="005448F6">
        <w:rPr>
          <w:rFonts w:ascii="Tahoma" w:eastAsia="Times New Roman" w:hAnsi="Tahoma" w:cs="Tahoma"/>
          <w:b/>
          <w:sz w:val="24"/>
          <w:szCs w:val="24"/>
        </w:rPr>
        <w:t>" apply?</w:t>
      </w:r>
    </w:p>
    <w:p w14:paraId="01440C69" w14:textId="77777777" w:rsidR="00AD2C2B" w:rsidRPr="005448F6" w:rsidRDefault="00AD2C2B" w:rsidP="009710B9">
      <w:pPr>
        <w:spacing w:after="0" w:line="240" w:lineRule="auto"/>
        <w:ind w:left="720" w:hanging="720"/>
        <w:rPr>
          <w:rFonts w:ascii="Tahoma" w:eastAsia="Times New Roman" w:hAnsi="Tahoma" w:cs="Tahoma"/>
          <w:b/>
          <w:sz w:val="24"/>
          <w:szCs w:val="24"/>
        </w:rPr>
      </w:pPr>
    </w:p>
    <w:p w14:paraId="49C763AA" w14:textId="34EF08AF" w:rsidR="009710B9" w:rsidRPr="005448F6" w:rsidRDefault="004821A9"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25</w:t>
      </w:r>
      <w:r w:rsidR="009710B9" w:rsidRPr="005448F6">
        <w:rPr>
          <w:rFonts w:ascii="Tahoma" w:hAnsi="Tahoma" w:cs="Tahoma"/>
          <w:sz w:val="24"/>
          <w:szCs w:val="24"/>
        </w:rPr>
        <w:t>:</w:t>
      </w:r>
      <w:r w:rsidR="009710B9">
        <w:tab/>
      </w:r>
      <w:r w:rsidR="009710B9" w:rsidRPr="005448F6">
        <w:rPr>
          <w:rFonts w:ascii="Tahoma" w:hAnsi="Tahoma" w:cs="Tahoma"/>
          <w:sz w:val="24"/>
          <w:szCs w:val="24"/>
        </w:rPr>
        <w:t xml:space="preserve">Sections C &amp; D </w:t>
      </w:r>
      <w:r w:rsidR="00344454">
        <w:rPr>
          <w:rFonts w:ascii="Tahoma" w:hAnsi="Tahoma" w:cs="Tahoma"/>
          <w:sz w:val="24"/>
          <w:szCs w:val="24"/>
        </w:rPr>
        <w:t>do</w:t>
      </w:r>
      <w:r w:rsidR="00344454" w:rsidRPr="005448F6">
        <w:rPr>
          <w:rFonts w:ascii="Tahoma" w:hAnsi="Tahoma" w:cs="Tahoma"/>
          <w:sz w:val="24"/>
          <w:szCs w:val="24"/>
        </w:rPr>
        <w:t xml:space="preserve"> </w:t>
      </w:r>
      <w:r w:rsidR="009710B9" w:rsidRPr="005448F6">
        <w:rPr>
          <w:rFonts w:ascii="Tahoma" w:hAnsi="Tahoma" w:cs="Tahoma"/>
          <w:sz w:val="24"/>
          <w:szCs w:val="24"/>
        </w:rPr>
        <w:t>not apply to behind</w:t>
      </w:r>
      <w:r w:rsidR="00344454" w:rsidRPr="00344454">
        <w:rPr>
          <w:rFonts w:ascii="Tahoma" w:hAnsi="Tahoma" w:cs="Tahoma"/>
          <w:sz w:val="24"/>
          <w:szCs w:val="24"/>
        </w:rPr>
        <w:t>-the-fence</w:t>
      </w:r>
      <w:r w:rsidR="00344454" w:rsidRPr="00344454" w:rsidDel="00344454">
        <w:rPr>
          <w:rFonts w:ascii="Tahoma" w:hAnsi="Tahoma" w:cs="Tahoma"/>
          <w:sz w:val="24"/>
          <w:szCs w:val="24"/>
        </w:rPr>
        <w:t xml:space="preserve"> </w:t>
      </w:r>
      <w:r w:rsidR="005309B3">
        <w:rPr>
          <w:rFonts w:ascii="Tahoma" w:hAnsi="Tahoma" w:cs="Tahoma"/>
          <w:sz w:val="24"/>
          <w:szCs w:val="24"/>
        </w:rPr>
        <w:t xml:space="preserve">or private </w:t>
      </w:r>
      <w:r w:rsidR="00CB75CE">
        <w:rPr>
          <w:rFonts w:ascii="Tahoma" w:hAnsi="Tahoma" w:cs="Tahoma"/>
          <w:sz w:val="24"/>
          <w:szCs w:val="24"/>
        </w:rPr>
        <w:t>station</w:t>
      </w:r>
      <w:r w:rsidR="009710B9" w:rsidRPr="005448F6">
        <w:rPr>
          <w:rFonts w:ascii="Tahoma" w:hAnsi="Tahoma" w:cs="Tahoma"/>
          <w:sz w:val="24"/>
          <w:szCs w:val="24"/>
        </w:rPr>
        <w:t xml:space="preserve"> infrastructure. </w:t>
      </w:r>
    </w:p>
    <w:p w14:paraId="7BB21FDC" w14:textId="77777777" w:rsidR="00AD2C2B" w:rsidRPr="005448F6" w:rsidRDefault="00AD2C2B" w:rsidP="00AD2C2B">
      <w:pPr>
        <w:spacing w:after="0"/>
        <w:ind w:left="720" w:hanging="720"/>
        <w:rPr>
          <w:rFonts w:ascii="Tahoma" w:hAnsi="Tahoma" w:cs="Tahoma"/>
          <w:sz w:val="24"/>
          <w:szCs w:val="24"/>
        </w:rPr>
      </w:pPr>
    </w:p>
    <w:p w14:paraId="411E3170" w14:textId="3AAC6D5A" w:rsidR="007023F8" w:rsidRPr="005448F6" w:rsidRDefault="004821A9" w:rsidP="007023F8">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w:t>
      </w:r>
      <w:r w:rsidRPr="005448F6">
        <w:rPr>
          <w:rFonts w:ascii="Tahoma" w:eastAsia="Times New Roman" w:hAnsi="Tahoma" w:cs="Tahoma"/>
          <w:b/>
          <w:sz w:val="24"/>
          <w:szCs w:val="24"/>
        </w:rPr>
        <w:t>6</w:t>
      </w:r>
      <w:r w:rsidR="007023F8" w:rsidRPr="005448F6">
        <w:rPr>
          <w:rFonts w:ascii="Tahoma" w:eastAsia="Times New Roman" w:hAnsi="Tahoma" w:cs="Tahoma"/>
          <w:b/>
          <w:sz w:val="24"/>
          <w:szCs w:val="24"/>
        </w:rPr>
        <w:t>:</w:t>
      </w:r>
      <w:r w:rsidR="007023F8" w:rsidRPr="005448F6">
        <w:rPr>
          <w:rFonts w:ascii="Tahoma" w:eastAsia="Times New Roman" w:hAnsi="Tahoma" w:cs="Tahoma"/>
          <w:b/>
          <w:sz w:val="24"/>
          <w:szCs w:val="24"/>
        </w:rPr>
        <w:tab/>
      </w:r>
      <w:r w:rsidR="00E22F8E">
        <w:rPr>
          <w:rFonts w:ascii="Tahoma" w:eastAsia="Times New Roman" w:hAnsi="Tahoma" w:cs="Tahoma"/>
          <w:b/>
          <w:sz w:val="24"/>
          <w:szCs w:val="24"/>
        </w:rPr>
        <w:t xml:space="preserve">The solicitation refers to </w:t>
      </w:r>
      <w:r w:rsidR="007023F8" w:rsidRPr="005448F6">
        <w:rPr>
          <w:rFonts w:ascii="Tahoma" w:eastAsia="Times New Roman" w:hAnsi="Tahoma" w:cs="Tahoma"/>
          <w:b/>
          <w:sz w:val="24"/>
          <w:szCs w:val="24"/>
        </w:rPr>
        <w:t>"</w:t>
      </w:r>
      <w:r w:rsidR="00E22F8E">
        <w:rPr>
          <w:rFonts w:ascii="Tahoma" w:eastAsia="Times New Roman" w:hAnsi="Tahoma" w:cs="Tahoma"/>
          <w:b/>
          <w:sz w:val="24"/>
          <w:szCs w:val="24"/>
        </w:rPr>
        <w:t>r</w:t>
      </w:r>
      <w:r w:rsidR="003B3335" w:rsidRPr="005448F6">
        <w:rPr>
          <w:rFonts w:ascii="Tahoma" w:eastAsia="Times New Roman" w:hAnsi="Tahoma" w:cs="Tahoma"/>
          <w:b/>
          <w:sz w:val="24"/>
          <w:szCs w:val="24"/>
        </w:rPr>
        <w:t xml:space="preserve">efueling </w:t>
      </w:r>
      <w:r w:rsidR="007023F8" w:rsidRPr="005448F6">
        <w:rPr>
          <w:rFonts w:ascii="Tahoma" w:eastAsia="Times New Roman" w:hAnsi="Tahoma" w:cs="Tahoma"/>
          <w:b/>
          <w:sz w:val="24"/>
          <w:szCs w:val="24"/>
        </w:rPr>
        <w:t xml:space="preserve">positions" </w:t>
      </w:r>
      <w:r w:rsidR="00E22F8E">
        <w:rPr>
          <w:rFonts w:ascii="Tahoma" w:eastAsia="Times New Roman" w:hAnsi="Tahoma" w:cs="Tahoma"/>
          <w:b/>
          <w:sz w:val="24"/>
          <w:szCs w:val="24"/>
        </w:rPr>
        <w:t>rather than</w:t>
      </w:r>
      <w:r w:rsidR="007023F8" w:rsidRPr="005448F6">
        <w:rPr>
          <w:rFonts w:ascii="Tahoma" w:eastAsia="Times New Roman" w:hAnsi="Tahoma" w:cs="Tahoma"/>
          <w:b/>
          <w:sz w:val="24"/>
          <w:szCs w:val="24"/>
        </w:rPr>
        <w:t xml:space="preserve"> "refueling station</w:t>
      </w:r>
      <w:r w:rsidR="00442F2A">
        <w:rPr>
          <w:rFonts w:ascii="Tahoma" w:eastAsia="Times New Roman" w:hAnsi="Tahoma" w:cs="Tahoma"/>
          <w:b/>
          <w:sz w:val="24"/>
          <w:szCs w:val="24"/>
        </w:rPr>
        <w:t>s</w:t>
      </w:r>
      <w:r w:rsidR="00E22F8E">
        <w:rPr>
          <w:rFonts w:ascii="Tahoma" w:eastAsia="Times New Roman" w:hAnsi="Tahoma" w:cs="Tahoma"/>
          <w:b/>
          <w:sz w:val="24"/>
          <w:szCs w:val="24"/>
        </w:rPr>
        <w:t>.</w:t>
      </w:r>
      <w:r w:rsidR="007023F8" w:rsidRPr="005448F6">
        <w:rPr>
          <w:rFonts w:ascii="Tahoma" w:eastAsia="Times New Roman" w:hAnsi="Tahoma" w:cs="Tahoma"/>
          <w:b/>
          <w:sz w:val="24"/>
          <w:szCs w:val="24"/>
        </w:rPr>
        <w:t xml:space="preserve">" Does this mean </w:t>
      </w:r>
      <w:r w:rsidR="00E22F8E">
        <w:rPr>
          <w:rFonts w:ascii="Tahoma" w:eastAsia="Times New Roman" w:hAnsi="Tahoma" w:cs="Tahoma"/>
          <w:b/>
          <w:sz w:val="24"/>
          <w:szCs w:val="24"/>
        </w:rPr>
        <w:t xml:space="preserve">that </w:t>
      </w:r>
      <w:r w:rsidR="00A063B9">
        <w:rPr>
          <w:rFonts w:ascii="Tahoma" w:eastAsia="Times New Roman" w:hAnsi="Tahoma" w:cs="Tahoma"/>
          <w:b/>
          <w:sz w:val="24"/>
          <w:szCs w:val="24"/>
        </w:rPr>
        <w:t xml:space="preserve">one </w:t>
      </w:r>
      <w:r w:rsidR="00E22F8E">
        <w:rPr>
          <w:rFonts w:ascii="Tahoma" w:eastAsia="Times New Roman" w:hAnsi="Tahoma" w:cs="Tahoma"/>
          <w:b/>
          <w:sz w:val="24"/>
          <w:szCs w:val="24"/>
        </w:rPr>
        <w:t>refueling station with multiple dispensers</w:t>
      </w:r>
      <w:r w:rsidR="00D92B53">
        <w:rPr>
          <w:rFonts w:ascii="Tahoma" w:eastAsia="Times New Roman" w:hAnsi="Tahoma" w:cs="Tahoma"/>
          <w:b/>
          <w:sz w:val="24"/>
          <w:szCs w:val="24"/>
        </w:rPr>
        <w:t xml:space="preserve">, for example, two, </w:t>
      </w:r>
      <w:r w:rsidR="0073518F">
        <w:rPr>
          <w:rFonts w:ascii="Tahoma" w:eastAsia="Times New Roman" w:hAnsi="Tahoma" w:cs="Tahoma"/>
          <w:b/>
          <w:sz w:val="24"/>
          <w:szCs w:val="24"/>
        </w:rPr>
        <w:t xml:space="preserve">would count as multiple refueling positions? </w:t>
      </w:r>
    </w:p>
    <w:p w14:paraId="08A22132" w14:textId="77777777" w:rsidR="00AD2C2B" w:rsidRPr="005448F6" w:rsidRDefault="00AD2C2B" w:rsidP="007023F8">
      <w:pPr>
        <w:spacing w:after="0" w:line="240" w:lineRule="auto"/>
        <w:ind w:left="720" w:hanging="720"/>
        <w:rPr>
          <w:rFonts w:ascii="Tahoma" w:eastAsia="Times New Roman" w:hAnsi="Tahoma" w:cs="Tahoma"/>
          <w:b/>
          <w:sz w:val="24"/>
          <w:szCs w:val="24"/>
        </w:rPr>
      </w:pPr>
    </w:p>
    <w:p w14:paraId="3E5B5B85" w14:textId="7F597DF9" w:rsidR="007023F8"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w:t>
      </w:r>
      <w:r w:rsidRPr="005448F6">
        <w:rPr>
          <w:rFonts w:ascii="Tahoma" w:hAnsi="Tahoma" w:cs="Tahoma"/>
          <w:sz w:val="24"/>
          <w:szCs w:val="24"/>
        </w:rPr>
        <w:t>6</w:t>
      </w:r>
      <w:r w:rsidR="007023F8" w:rsidRPr="005448F6">
        <w:rPr>
          <w:rFonts w:ascii="Tahoma" w:hAnsi="Tahoma" w:cs="Tahoma"/>
          <w:sz w:val="24"/>
          <w:szCs w:val="24"/>
        </w:rPr>
        <w:t>:</w:t>
      </w:r>
      <w:r w:rsidR="007023F8" w:rsidRPr="005448F6">
        <w:rPr>
          <w:rFonts w:ascii="Tahoma" w:hAnsi="Tahoma" w:cs="Tahoma"/>
          <w:sz w:val="24"/>
          <w:szCs w:val="24"/>
        </w:rPr>
        <w:tab/>
        <w:t>Yes</w:t>
      </w:r>
      <w:r w:rsidR="0073518F">
        <w:rPr>
          <w:rFonts w:ascii="Tahoma" w:hAnsi="Tahoma" w:cs="Tahoma"/>
          <w:sz w:val="24"/>
          <w:szCs w:val="24"/>
        </w:rPr>
        <w:t xml:space="preserve">. </w:t>
      </w:r>
      <w:r w:rsidR="002E43BA">
        <w:rPr>
          <w:rFonts w:ascii="Tahoma" w:hAnsi="Tahoma" w:cs="Tahoma"/>
          <w:sz w:val="24"/>
          <w:szCs w:val="24"/>
        </w:rPr>
        <w:t>A si</w:t>
      </w:r>
      <w:r w:rsidR="002E43BA" w:rsidRPr="002E43BA">
        <w:rPr>
          <w:rFonts w:ascii="Tahoma" w:hAnsi="Tahoma" w:cs="Tahoma"/>
          <w:sz w:val="24"/>
          <w:szCs w:val="24"/>
        </w:rPr>
        <w:t xml:space="preserve">ngle station with multiple </w:t>
      </w:r>
      <w:r w:rsidR="002E43BA">
        <w:rPr>
          <w:rFonts w:ascii="Tahoma" w:hAnsi="Tahoma" w:cs="Tahoma"/>
          <w:sz w:val="24"/>
          <w:szCs w:val="24"/>
        </w:rPr>
        <w:t xml:space="preserve">hydrogen </w:t>
      </w:r>
      <w:r w:rsidR="002E43BA" w:rsidRPr="002E43BA">
        <w:rPr>
          <w:rFonts w:ascii="Tahoma" w:hAnsi="Tahoma" w:cs="Tahoma"/>
          <w:sz w:val="24"/>
          <w:szCs w:val="24"/>
        </w:rPr>
        <w:t>dispensers can count as multiple fueling positions.</w:t>
      </w:r>
      <w:r w:rsidR="00885611">
        <w:rPr>
          <w:rFonts w:ascii="Tahoma" w:hAnsi="Tahoma" w:cs="Tahoma"/>
          <w:sz w:val="24"/>
          <w:szCs w:val="24"/>
        </w:rPr>
        <w:t xml:space="preserve"> Refer to Section II.B.2. </w:t>
      </w:r>
      <w:r w:rsidR="00646D05">
        <w:rPr>
          <w:rFonts w:ascii="Tahoma" w:hAnsi="Tahoma" w:cs="Tahoma"/>
          <w:sz w:val="24"/>
          <w:szCs w:val="24"/>
        </w:rPr>
        <w:t xml:space="preserve">If </w:t>
      </w:r>
      <w:r w:rsidR="000F41E9">
        <w:rPr>
          <w:rFonts w:ascii="Tahoma" w:hAnsi="Tahoma" w:cs="Tahoma"/>
          <w:sz w:val="24"/>
          <w:szCs w:val="24"/>
        </w:rPr>
        <w:t xml:space="preserve">applying as a </w:t>
      </w:r>
      <w:r w:rsidR="0099450A">
        <w:rPr>
          <w:rFonts w:ascii="Tahoma" w:hAnsi="Tahoma" w:cs="Tahoma"/>
          <w:sz w:val="24"/>
          <w:szCs w:val="24"/>
        </w:rPr>
        <w:t>S</w:t>
      </w:r>
      <w:r w:rsidR="007A5853">
        <w:rPr>
          <w:rFonts w:ascii="Tahoma" w:hAnsi="Tahoma" w:cs="Tahoma"/>
          <w:sz w:val="24"/>
          <w:szCs w:val="24"/>
        </w:rPr>
        <w:t xml:space="preserve">mall Port Applicant, a minimum of 2 heavy-duty hydrogen dispensing </w:t>
      </w:r>
      <w:r w:rsidR="00482A16">
        <w:rPr>
          <w:rFonts w:ascii="Tahoma" w:hAnsi="Tahoma" w:cs="Tahoma"/>
          <w:sz w:val="24"/>
          <w:szCs w:val="24"/>
        </w:rPr>
        <w:t>positions</w:t>
      </w:r>
      <w:r w:rsidR="007A5853">
        <w:rPr>
          <w:rFonts w:ascii="Tahoma" w:hAnsi="Tahoma" w:cs="Tahoma"/>
          <w:sz w:val="24"/>
          <w:szCs w:val="24"/>
        </w:rPr>
        <w:t xml:space="preserve"> for simultaneous refueling must be included in the proposed project. Note that the d</w:t>
      </w:r>
      <w:r w:rsidR="00B5033B">
        <w:rPr>
          <w:rFonts w:ascii="Tahoma" w:hAnsi="Tahoma" w:cs="Tahoma"/>
          <w:sz w:val="24"/>
          <w:szCs w:val="24"/>
        </w:rPr>
        <w:t>eployed h</w:t>
      </w:r>
      <w:r w:rsidR="00B5033B" w:rsidRPr="00B5033B">
        <w:rPr>
          <w:rFonts w:ascii="Tahoma" w:hAnsi="Tahoma" w:cs="Tahoma"/>
          <w:sz w:val="24"/>
          <w:szCs w:val="24"/>
        </w:rPr>
        <w:t>ydrogen refueling position(s) must be capable of simultaneous refueling</w:t>
      </w:r>
      <w:r w:rsidR="007A5853">
        <w:rPr>
          <w:rFonts w:ascii="Tahoma" w:hAnsi="Tahoma" w:cs="Tahoma"/>
          <w:sz w:val="24"/>
          <w:szCs w:val="24"/>
        </w:rPr>
        <w:t xml:space="preserve"> regardless of Applicant </w:t>
      </w:r>
      <w:r w:rsidR="007547D1">
        <w:rPr>
          <w:rFonts w:ascii="Tahoma" w:hAnsi="Tahoma" w:cs="Tahoma"/>
          <w:sz w:val="24"/>
          <w:szCs w:val="24"/>
        </w:rPr>
        <w:t>Group.</w:t>
      </w:r>
    </w:p>
    <w:p w14:paraId="51D2E23E" w14:textId="77777777" w:rsidR="007023F8" w:rsidRPr="005448F6" w:rsidRDefault="007023F8" w:rsidP="007023F8">
      <w:pPr>
        <w:spacing w:after="0" w:line="240" w:lineRule="auto"/>
        <w:ind w:left="720"/>
        <w:rPr>
          <w:rFonts w:ascii="Tahoma" w:hAnsi="Tahoma" w:cs="Tahoma"/>
          <w:sz w:val="24"/>
          <w:szCs w:val="24"/>
        </w:rPr>
      </w:pPr>
    </w:p>
    <w:p w14:paraId="4CC53B19" w14:textId="3E73A9CD" w:rsidR="007023F8" w:rsidRPr="005448F6" w:rsidRDefault="004821A9" w:rsidP="007023F8">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w:t>
      </w:r>
      <w:r w:rsidRPr="005448F6">
        <w:rPr>
          <w:rFonts w:ascii="Tahoma" w:eastAsia="Times New Roman" w:hAnsi="Tahoma" w:cs="Tahoma"/>
          <w:b/>
          <w:sz w:val="24"/>
          <w:szCs w:val="24"/>
        </w:rPr>
        <w:t>7</w:t>
      </w:r>
      <w:r w:rsidR="007023F8" w:rsidRPr="005448F6">
        <w:rPr>
          <w:rFonts w:ascii="Tahoma" w:eastAsia="Times New Roman" w:hAnsi="Tahoma" w:cs="Tahoma"/>
          <w:b/>
          <w:sz w:val="24"/>
          <w:szCs w:val="24"/>
        </w:rPr>
        <w:t>:</w:t>
      </w:r>
      <w:r w:rsidR="007023F8" w:rsidRPr="005448F6">
        <w:rPr>
          <w:rFonts w:ascii="Tahoma" w:eastAsia="Times New Roman" w:hAnsi="Tahoma" w:cs="Tahoma"/>
          <w:b/>
          <w:sz w:val="24"/>
          <w:szCs w:val="24"/>
        </w:rPr>
        <w:tab/>
      </w:r>
      <w:r w:rsidR="00F959F6" w:rsidRPr="00F959F6">
        <w:rPr>
          <w:rFonts w:ascii="Tahoma" w:eastAsia="Times New Roman" w:hAnsi="Tahoma" w:cs="Tahoma"/>
          <w:b/>
          <w:sz w:val="24"/>
          <w:szCs w:val="24"/>
        </w:rPr>
        <w:t>The solicitation specifies that only hydrogen fuel cell equipment is eligible. Given the potential of hydrogen internal combustion engine (ICE) technologies, why did the CEC choose to exclude them from consideration</w:t>
      </w:r>
      <w:r w:rsidR="007023F8" w:rsidRPr="005448F6">
        <w:rPr>
          <w:rFonts w:ascii="Tahoma" w:eastAsia="Times New Roman" w:hAnsi="Tahoma" w:cs="Tahoma"/>
          <w:b/>
          <w:sz w:val="24"/>
          <w:szCs w:val="24"/>
        </w:rPr>
        <w:t>?</w:t>
      </w:r>
    </w:p>
    <w:p w14:paraId="55548AB8" w14:textId="77777777" w:rsidR="007F660C" w:rsidRPr="005448F6" w:rsidRDefault="007F660C" w:rsidP="007023F8">
      <w:pPr>
        <w:spacing w:after="0" w:line="240" w:lineRule="auto"/>
        <w:ind w:left="720" w:hanging="720"/>
        <w:rPr>
          <w:rFonts w:ascii="Tahoma" w:eastAsia="Times New Roman" w:hAnsi="Tahoma" w:cs="Tahoma"/>
          <w:b/>
          <w:sz w:val="24"/>
          <w:szCs w:val="24"/>
        </w:rPr>
      </w:pPr>
    </w:p>
    <w:p w14:paraId="45790D64" w14:textId="238B50D7" w:rsidR="007023F8"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w:t>
      </w:r>
      <w:r w:rsidRPr="005448F6">
        <w:rPr>
          <w:rFonts w:ascii="Tahoma" w:hAnsi="Tahoma" w:cs="Tahoma"/>
          <w:sz w:val="24"/>
          <w:szCs w:val="24"/>
        </w:rPr>
        <w:t>7</w:t>
      </w:r>
      <w:r w:rsidR="007023F8" w:rsidRPr="005448F6">
        <w:rPr>
          <w:rFonts w:ascii="Tahoma" w:hAnsi="Tahoma" w:cs="Tahoma"/>
          <w:sz w:val="24"/>
          <w:szCs w:val="24"/>
        </w:rPr>
        <w:t>:</w:t>
      </w:r>
      <w:r w:rsidR="007023F8" w:rsidRPr="005448F6">
        <w:rPr>
          <w:rFonts w:ascii="Tahoma" w:hAnsi="Tahoma" w:cs="Tahoma"/>
          <w:sz w:val="24"/>
          <w:szCs w:val="24"/>
        </w:rPr>
        <w:tab/>
      </w:r>
      <w:r w:rsidR="00154000">
        <w:rPr>
          <w:rFonts w:ascii="Tahoma" w:hAnsi="Tahoma" w:cs="Tahoma"/>
          <w:sz w:val="24"/>
          <w:szCs w:val="24"/>
        </w:rPr>
        <w:t xml:space="preserve">The intent of this solicitation is to provide funds for projects </w:t>
      </w:r>
      <w:r w:rsidR="00154000" w:rsidRPr="00154000">
        <w:rPr>
          <w:rFonts w:ascii="Tahoma" w:hAnsi="Tahoma" w:cs="Tahoma"/>
          <w:sz w:val="24"/>
          <w:szCs w:val="24"/>
        </w:rPr>
        <w:t xml:space="preserve">that will deploy MDHD ZEV charging or hydrogen refueling infrastructure for California seaports and land ports of entry. </w:t>
      </w:r>
      <w:r w:rsidR="00CB3916" w:rsidRPr="00CB3916">
        <w:rPr>
          <w:rFonts w:ascii="Tahoma" w:hAnsi="Tahoma" w:cs="Tahoma"/>
          <w:sz w:val="24"/>
          <w:szCs w:val="24"/>
        </w:rPr>
        <w:t xml:space="preserve">AB 126 (Reyes, Chapter 319, Statutes of 2023) </w:t>
      </w:r>
      <w:r w:rsidR="00CB3916">
        <w:rPr>
          <w:rFonts w:ascii="Tahoma" w:hAnsi="Tahoma" w:cs="Tahoma"/>
          <w:sz w:val="24"/>
          <w:szCs w:val="24"/>
        </w:rPr>
        <w:t xml:space="preserve">which </w:t>
      </w:r>
      <w:r w:rsidR="00CB3916" w:rsidRPr="00CB3916">
        <w:rPr>
          <w:rFonts w:ascii="Tahoma" w:hAnsi="Tahoma" w:cs="Tahoma"/>
          <w:sz w:val="24"/>
          <w:szCs w:val="24"/>
        </w:rPr>
        <w:t xml:space="preserve">reauthorized the </w:t>
      </w:r>
      <w:r w:rsidR="00CB3916">
        <w:rPr>
          <w:rFonts w:ascii="Tahoma" w:hAnsi="Tahoma" w:cs="Tahoma"/>
          <w:sz w:val="24"/>
          <w:szCs w:val="24"/>
        </w:rPr>
        <w:t>Clean Transportation P</w:t>
      </w:r>
      <w:r w:rsidR="00CB3916" w:rsidRPr="00CB3916">
        <w:rPr>
          <w:rFonts w:ascii="Tahoma" w:hAnsi="Tahoma" w:cs="Tahoma"/>
          <w:sz w:val="24"/>
          <w:szCs w:val="24"/>
        </w:rPr>
        <w:t xml:space="preserve">rogram through July 1, 2035 focused the program on zero-emission transportation. </w:t>
      </w:r>
      <w:r w:rsidR="00CB3916" w:rsidRPr="00E05961">
        <w:rPr>
          <w:rFonts w:ascii="Tahoma" w:hAnsi="Tahoma" w:cs="Tahoma"/>
          <w:sz w:val="24"/>
          <w:szCs w:val="24"/>
        </w:rPr>
        <w:t xml:space="preserve">Hydrogen ICE technologies are not </w:t>
      </w:r>
      <w:r w:rsidR="00CB3916" w:rsidRPr="00E05961">
        <w:rPr>
          <w:rFonts w:ascii="Tahoma" w:hAnsi="Tahoma" w:cs="Tahoma"/>
          <w:sz w:val="24"/>
          <w:szCs w:val="24"/>
        </w:rPr>
        <w:lastRenderedPageBreak/>
        <w:t>considered zero-emission, as they produce oxides of nitrogen (NOx) during operation.</w:t>
      </w:r>
    </w:p>
    <w:p w14:paraId="500390F7" w14:textId="77777777" w:rsidR="007023F8" w:rsidRPr="005448F6" w:rsidRDefault="007023F8" w:rsidP="007023F8">
      <w:pPr>
        <w:spacing w:after="0" w:line="240" w:lineRule="auto"/>
        <w:ind w:left="720" w:hanging="720"/>
        <w:rPr>
          <w:rFonts w:ascii="Tahoma" w:hAnsi="Tahoma" w:cs="Tahoma"/>
          <w:sz w:val="24"/>
          <w:szCs w:val="24"/>
        </w:rPr>
      </w:pPr>
    </w:p>
    <w:p w14:paraId="33DD3331" w14:textId="08AEE219" w:rsidR="007023F8" w:rsidRPr="005448F6" w:rsidRDefault="004821A9" w:rsidP="007023F8">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w:t>
      </w:r>
      <w:r w:rsidRPr="005448F6">
        <w:rPr>
          <w:rFonts w:ascii="Tahoma" w:eastAsia="Times New Roman" w:hAnsi="Tahoma" w:cs="Tahoma"/>
          <w:b/>
          <w:sz w:val="24"/>
          <w:szCs w:val="24"/>
        </w:rPr>
        <w:t>8</w:t>
      </w:r>
      <w:r w:rsidR="007023F8" w:rsidRPr="005448F6">
        <w:rPr>
          <w:rFonts w:ascii="Tahoma" w:eastAsia="Times New Roman" w:hAnsi="Tahoma" w:cs="Tahoma"/>
          <w:b/>
          <w:sz w:val="24"/>
          <w:szCs w:val="24"/>
        </w:rPr>
        <w:t>:</w:t>
      </w:r>
      <w:r w:rsidR="007023F8" w:rsidRPr="005448F6">
        <w:rPr>
          <w:rFonts w:ascii="Tahoma" w:eastAsia="Times New Roman" w:hAnsi="Tahoma" w:cs="Tahoma"/>
          <w:b/>
          <w:sz w:val="24"/>
          <w:szCs w:val="24"/>
        </w:rPr>
        <w:tab/>
        <w:t xml:space="preserve">Is there a requirement </w:t>
      </w:r>
      <w:r w:rsidR="008A3A26">
        <w:rPr>
          <w:rFonts w:ascii="Tahoma" w:eastAsia="Times New Roman" w:hAnsi="Tahoma" w:cs="Tahoma"/>
          <w:b/>
          <w:sz w:val="24"/>
          <w:szCs w:val="24"/>
        </w:rPr>
        <w:t>that the</w:t>
      </w:r>
      <w:r w:rsidR="008A3A26" w:rsidRPr="005448F6">
        <w:rPr>
          <w:rFonts w:ascii="Tahoma" w:eastAsia="Times New Roman" w:hAnsi="Tahoma" w:cs="Tahoma"/>
          <w:b/>
          <w:sz w:val="24"/>
          <w:szCs w:val="24"/>
        </w:rPr>
        <w:t xml:space="preserve"> </w:t>
      </w:r>
      <w:r w:rsidR="007023F8" w:rsidRPr="005448F6">
        <w:rPr>
          <w:rFonts w:ascii="Tahoma" w:eastAsia="Times New Roman" w:hAnsi="Tahoma" w:cs="Tahoma"/>
          <w:b/>
          <w:sz w:val="24"/>
          <w:szCs w:val="24"/>
        </w:rPr>
        <w:t xml:space="preserve">infrastructure </w:t>
      </w:r>
      <w:r w:rsidR="00F35350">
        <w:rPr>
          <w:rFonts w:ascii="Tahoma" w:eastAsia="Times New Roman" w:hAnsi="Tahoma" w:cs="Tahoma"/>
          <w:b/>
          <w:sz w:val="24"/>
          <w:szCs w:val="24"/>
        </w:rPr>
        <w:t>and</w:t>
      </w:r>
      <w:r w:rsidR="007023F8" w:rsidRPr="005448F6">
        <w:rPr>
          <w:rFonts w:ascii="Tahoma" w:eastAsia="Times New Roman" w:hAnsi="Tahoma" w:cs="Tahoma"/>
          <w:b/>
          <w:sz w:val="24"/>
          <w:szCs w:val="24"/>
        </w:rPr>
        <w:t xml:space="preserve"> equipment </w:t>
      </w:r>
      <w:r w:rsidR="008A3A26">
        <w:rPr>
          <w:rFonts w:ascii="Tahoma" w:eastAsia="Times New Roman" w:hAnsi="Tahoma" w:cs="Tahoma"/>
          <w:b/>
          <w:sz w:val="24"/>
          <w:szCs w:val="24"/>
        </w:rPr>
        <w:t xml:space="preserve">funded through this solicitation </w:t>
      </w:r>
      <w:r w:rsidR="00EC0D24">
        <w:rPr>
          <w:rFonts w:ascii="Tahoma" w:eastAsia="Times New Roman" w:hAnsi="Tahoma" w:cs="Tahoma"/>
          <w:b/>
          <w:sz w:val="24"/>
          <w:szCs w:val="24"/>
        </w:rPr>
        <w:t xml:space="preserve">must </w:t>
      </w:r>
      <w:r w:rsidR="007023F8" w:rsidRPr="005448F6">
        <w:rPr>
          <w:rFonts w:ascii="Tahoma" w:eastAsia="Times New Roman" w:hAnsi="Tahoma" w:cs="Tahoma"/>
          <w:b/>
          <w:sz w:val="24"/>
          <w:szCs w:val="24"/>
        </w:rPr>
        <w:t>be human operated?</w:t>
      </w:r>
    </w:p>
    <w:p w14:paraId="5B769DD2" w14:textId="77777777" w:rsidR="007F660C" w:rsidRPr="005448F6" w:rsidRDefault="007F660C" w:rsidP="007023F8">
      <w:pPr>
        <w:spacing w:after="0" w:line="240" w:lineRule="auto"/>
        <w:ind w:left="720" w:hanging="720"/>
        <w:rPr>
          <w:rFonts w:ascii="Tahoma" w:eastAsia="Times New Roman" w:hAnsi="Tahoma" w:cs="Tahoma"/>
          <w:b/>
          <w:sz w:val="24"/>
          <w:szCs w:val="24"/>
        </w:rPr>
      </w:pPr>
    </w:p>
    <w:p w14:paraId="4801A203" w14:textId="04BE0595" w:rsidR="007023F8"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w:t>
      </w:r>
      <w:r w:rsidRPr="005448F6">
        <w:rPr>
          <w:rFonts w:ascii="Tahoma" w:hAnsi="Tahoma" w:cs="Tahoma"/>
          <w:sz w:val="24"/>
          <w:szCs w:val="24"/>
        </w:rPr>
        <w:t>8</w:t>
      </w:r>
      <w:r w:rsidR="007023F8" w:rsidRPr="005448F6">
        <w:rPr>
          <w:rFonts w:ascii="Tahoma" w:hAnsi="Tahoma" w:cs="Tahoma"/>
          <w:sz w:val="24"/>
          <w:szCs w:val="24"/>
        </w:rPr>
        <w:t>:</w:t>
      </w:r>
      <w:r w:rsidR="007023F8" w:rsidRPr="005448F6">
        <w:rPr>
          <w:rFonts w:ascii="Tahoma" w:hAnsi="Tahoma" w:cs="Tahoma"/>
          <w:sz w:val="24"/>
          <w:szCs w:val="24"/>
        </w:rPr>
        <w:tab/>
      </w:r>
      <w:r w:rsidR="00F35350">
        <w:rPr>
          <w:rFonts w:ascii="Tahoma" w:hAnsi="Tahoma" w:cs="Tahoma"/>
          <w:sz w:val="24"/>
          <w:szCs w:val="24"/>
        </w:rPr>
        <w:t xml:space="preserve">No. The </w:t>
      </w:r>
      <w:r w:rsidR="007023F8" w:rsidRPr="005448F6">
        <w:rPr>
          <w:rFonts w:ascii="Tahoma" w:hAnsi="Tahoma" w:cs="Tahoma"/>
          <w:sz w:val="24"/>
          <w:szCs w:val="24"/>
        </w:rPr>
        <w:t xml:space="preserve">infrastructure </w:t>
      </w:r>
      <w:r w:rsidR="00F35350">
        <w:rPr>
          <w:rFonts w:ascii="Tahoma" w:hAnsi="Tahoma" w:cs="Tahoma"/>
          <w:sz w:val="24"/>
          <w:szCs w:val="24"/>
        </w:rPr>
        <w:t>and</w:t>
      </w:r>
      <w:r w:rsidR="007023F8" w:rsidRPr="005448F6">
        <w:rPr>
          <w:rFonts w:ascii="Tahoma" w:hAnsi="Tahoma" w:cs="Tahoma"/>
          <w:sz w:val="24"/>
          <w:szCs w:val="24"/>
        </w:rPr>
        <w:t xml:space="preserve"> equipment </w:t>
      </w:r>
      <w:r w:rsidR="00AF40DC">
        <w:rPr>
          <w:rFonts w:ascii="Tahoma" w:hAnsi="Tahoma" w:cs="Tahoma"/>
          <w:sz w:val="24"/>
          <w:szCs w:val="24"/>
        </w:rPr>
        <w:t xml:space="preserve">do not need to be </w:t>
      </w:r>
      <w:r w:rsidR="007023F8" w:rsidRPr="005448F6">
        <w:rPr>
          <w:rFonts w:ascii="Tahoma" w:hAnsi="Tahoma" w:cs="Tahoma"/>
          <w:sz w:val="24"/>
          <w:szCs w:val="24"/>
        </w:rPr>
        <w:t>human operated</w:t>
      </w:r>
      <w:r w:rsidR="00AF40DC">
        <w:rPr>
          <w:rFonts w:ascii="Tahoma" w:hAnsi="Tahoma" w:cs="Tahoma"/>
          <w:sz w:val="24"/>
          <w:szCs w:val="24"/>
        </w:rPr>
        <w:t xml:space="preserve"> to qualify for funding, though they must be commercially available</w:t>
      </w:r>
      <w:r w:rsidR="001F48AE">
        <w:rPr>
          <w:rFonts w:ascii="Tahoma" w:hAnsi="Tahoma" w:cs="Tahoma"/>
          <w:sz w:val="24"/>
          <w:szCs w:val="24"/>
        </w:rPr>
        <w:t xml:space="preserve"> technologies.</w:t>
      </w:r>
    </w:p>
    <w:p w14:paraId="01B1244F" w14:textId="77777777" w:rsidR="007023F8" w:rsidRPr="005448F6" w:rsidRDefault="007023F8" w:rsidP="007023F8">
      <w:pPr>
        <w:pStyle w:val="ListParagraph"/>
        <w:spacing w:after="0" w:line="240" w:lineRule="auto"/>
        <w:ind w:left="1440"/>
        <w:rPr>
          <w:rFonts w:ascii="Tahoma" w:hAnsi="Tahoma" w:cs="Tahoma"/>
          <w:sz w:val="24"/>
          <w:szCs w:val="24"/>
        </w:rPr>
      </w:pPr>
    </w:p>
    <w:p w14:paraId="119B5993" w14:textId="794C2DBC" w:rsidR="007023F8"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2</w:t>
      </w:r>
      <w:r w:rsidRPr="005448F6">
        <w:rPr>
          <w:rFonts w:ascii="Tahoma" w:eastAsia="Times New Roman" w:hAnsi="Tahoma" w:cs="Tahoma"/>
          <w:b/>
          <w:sz w:val="24"/>
          <w:szCs w:val="24"/>
        </w:rPr>
        <w:t>9</w:t>
      </w:r>
      <w:r w:rsidR="007023F8" w:rsidRPr="005448F6">
        <w:rPr>
          <w:rFonts w:ascii="Tahoma" w:eastAsia="Times New Roman" w:hAnsi="Tahoma" w:cs="Tahoma"/>
          <w:b/>
          <w:sz w:val="24"/>
          <w:szCs w:val="24"/>
        </w:rPr>
        <w:t>:</w:t>
      </w:r>
      <w:r w:rsidR="007023F8" w:rsidRPr="005448F6">
        <w:rPr>
          <w:rFonts w:ascii="Tahoma" w:eastAsia="Times New Roman" w:hAnsi="Tahoma" w:cs="Tahoma"/>
          <w:b/>
          <w:sz w:val="24"/>
          <w:szCs w:val="24"/>
        </w:rPr>
        <w:tab/>
        <w:t xml:space="preserve">How should </w:t>
      </w:r>
      <w:r w:rsidR="00D14657">
        <w:rPr>
          <w:rFonts w:ascii="Tahoma" w:eastAsia="Times New Roman" w:hAnsi="Tahoma" w:cs="Tahoma"/>
          <w:b/>
          <w:sz w:val="24"/>
          <w:szCs w:val="24"/>
        </w:rPr>
        <w:t>A</w:t>
      </w:r>
      <w:r w:rsidR="007023F8" w:rsidRPr="005448F6">
        <w:rPr>
          <w:rFonts w:ascii="Tahoma" w:eastAsia="Times New Roman" w:hAnsi="Tahoma" w:cs="Tahoma"/>
          <w:b/>
          <w:sz w:val="24"/>
          <w:szCs w:val="24"/>
        </w:rPr>
        <w:t xml:space="preserve">pplicants address site control for land that they do not own at </w:t>
      </w:r>
      <w:r w:rsidR="008E0DA7">
        <w:rPr>
          <w:rFonts w:ascii="Tahoma" w:eastAsia="Times New Roman" w:hAnsi="Tahoma" w:cs="Tahoma"/>
          <w:b/>
          <w:sz w:val="24"/>
          <w:szCs w:val="24"/>
        </w:rPr>
        <w:t>p</w:t>
      </w:r>
      <w:r w:rsidR="007023F8" w:rsidRPr="005448F6">
        <w:rPr>
          <w:rFonts w:ascii="Tahoma" w:eastAsia="Times New Roman" w:hAnsi="Tahoma" w:cs="Tahoma"/>
          <w:b/>
          <w:sz w:val="24"/>
          <w:szCs w:val="24"/>
        </w:rPr>
        <w:t xml:space="preserve">orts? </w:t>
      </w:r>
      <w:r w:rsidR="00E87998" w:rsidRPr="005448F6">
        <w:rPr>
          <w:rFonts w:ascii="Tahoma" w:eastAsia="Times New Roman" w:hAnsi="Tahoma" w:cs="Tahoma"/>
          <w:b/>
          <w:sz w:val="24"/>
          <w:szCs w:val="24"/>
        </w:rPr>
        <w:t xml:space="preserve">Does the application require that </w:t>
      </w:r>
      <w:r w:rsidR="00E87998">
        <w:rPr>
          <w:rFonts w:ascii="Tahoma" w:eastAsia="Times New Roman" w:hAnsi="Tahoma" w:cs="Tahoma"/>
          <w:b/>
          <w:sz w:val="24"/>
          <w:szCs w:val="24"/>
        </w:rPr>
        <w:t>a specific site (i.e., space or footprint)</w:t>
      </w:r>
      <w:r w:rsidR="00E87998" w:rsidRPr="005448F6">
        <w:rPr>
          <w:rFonts w:ascii="Tahoma" w:eastAsia="Times New Roman" w:hAnsi="Tahoma" w:cs="Tahoma"/>
          <w:b/>
          <w:sz w:val="24"/>
          <w:szCs w:val="24"/>
        </w:rPr>
        <w:t xml:space="preserve"> </w:t>
      </w:r>
      <w:r w:rsidR="001F1322">
        <w:rPr>
          <w:rFonts w:ascii="Tahoma" w:eastAsia="Times New Roman" w:hAnsi="Tahoma" w:cs="Tahoma"/>
          <w:b/>
          <w:sz w:val="24"/>
          <w:szCs w:val="24"/>
        </w:rPr>
        <w:t>already be secured</w:t>
      </w:r>
      <w:r w:rsidR="00E87998">
        <w:rPr>
          <w:rFonts w:ascii="Tahoma" w:eastAsia="Times New Roman" w:hAnsi="Tahoma" w:cs="Tahoma"/>
          <w:b/>
          <w:sz w:val="24"/>
          <w:szCs w:val="24"/>
        </w:rPr>
        <w:t xml:space="preserve">, </w:t>
      </w:r>
      <w:r w:rsidR="00E87998" w:rsidRPr="005448F6">
        <w:rPr>
          <w:rFonts w:ascii="Tahoma" w:eastAsia="Times New Roman" w:hAnsi="Tahoma" w:cs="Tahoma"/>
          <w:b/>
          <w:sz w:val="24"/>
          <w:szCs w:val="24"/>
        </w:rPr>
        <w:t xml:space="preserve">or a </w:t>
      </w:r>
      <w:r w:rsidR="00E87998">
        <w:rPr>
          <w:rFonts w:ascii="Tahoma" w:eastAsia="Times New Roman" w:hAnsi="Tahoma" w:cs="Tahoma"/>
          <w:b/>
          <w:sz w:val="24"/>
          <w:szCs w:val="24"/>
        </w:rPr>
        <w:t>designated common area</w:t>
      </w:r>
      <w:r w:rsidR="00E87998" w:rsidRPr="005448F6">
        <w:rPr>
          <w:rFonts w:ascii="Tahoma" w:eastAsia="Times New Roman" w:hAnsi="Tahoma" w:cs="Tahoma"/>
          <w:b/>
          <w:sz w:val="24"/>
          <w:szCs w:val="24"/>
        </w:rPr>
        <w:t xml:space="preserve"> footprint that is already reserved</w:t>
      </w:r>
      <w:r w:rsidR="00CE5A42">
        <w:rPr>
          <w:rFonts w:ascii="Tahoma" w:eastAsia="Times New Roman" w:hAnsi="Tahoma" w:cs="Tahoma"/>
          <w:b/>
          <w:sz w:val="24"/>
          <w:szCs w:val="24"/>
        </w:rPr>
        <w:t xml:space="preserve"> for the proposed project</w:t>
      </w:r>
      <w:r w:rsidR="00E87998" w:rsidRPr="005448F6">
        <w:rPr>
          <w:rFonts w:ascii="Tahoma" w:eastAsia="Times New Roman" w:hAnsi="Tahoma" w:cs="Tahoma"/>
          <w:b/>
          <w:sz w:val="24"/>
          <w:szCs w:val="24"/>
        </w:rPr>
        <w:t>?</w:t>
      </w:r>
    </w:p>
    <w:p w14:paraId="560334C7" w14:textId="77777777" w:rsidR="007F660C" w:rsidRPr="005448F6" w:rsidRDefault="007F660C" w:rsidP="007F660C">
      <w:pPr>
        <w:spacing w:after="0" w:line="240" w:lineRule="auto"/>
        <w:ind w:left="720" w:hanging="720"/>
        <w:rPr>
          <w:rFonts w:ascii="Tahoma" w:eastAsia="Times New Roman" w:hAnsi="Tahoma" w:cs="Tahoma"/>
          <w:b/>
          <w:sz w:val="24"/>
          <w:szCs w:val="24"/>
        </w:rPr>
      </w:pPr>
    </w:p>
    <w:p w14:paraId="0FC80E26" w14:textId="4B8D2DA0" w:rsidR="007023F8"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2</w:t>
      </w:r>
      <w:r w:rsidRPr="005448F6">
        <w:rPr>
          <w:rFonts w:ascii="Tahoma" w:hAnsi="Tahoma" w:cs="Tahoma"/>
          <w:sz w:val="24"/>
          <w:szCs w:val="24"/>
        </w:rPr>
        <w:t>9</w:t>
      </w:r>
      <w:r w:rsidR="007023F8" w:rsidRPr="005448F6">
        <w:rPr>
          <w:rFonts w:ascii="Tahoma" w:hAnsi="Tahoma" w:cs="Tahoma"/>
          <w:sz w:val="24"/>
          <w:szCs w:val="24"/>
        </w:rPr>
        <w:t>:</w:t>
      </w:r>
      <w:r w:rsidR="007023F8" w:rsidRPr="005448F6">
        <w:rPr>
          <w:rFonts w:ascii="Tahoma" w:hAnsi="Tahoma" w:cs="Tahoma"/>
          <w:sz w:val="24"/>
          <w:szCs w:val="24"/>
        </w:rPr>
        <w:tab/>
      </w:r>
      <w:r w:rsidR="008E0DA7">
        <w:rPr>
          <w:rFonts w:ascii="Tahoma" w:hAnsi="Tahoma" w:cs="Tahoma"/>
          <w:sz w:val="24"/>
          <w:szCs w:val="24"/>
        </w:rPr>
        <w:t xml:space="preserve">Applicants </w:t>
      </w:r>
      <w:r w:rsidR="007C0380">
        <w:rPr>
          <w:rFonts w:ascii="Tahoma" w:hAnsi="Tahoma" w:cs="Tahoma"/>
          <w:sz w:val="24"/>
          <w:szCs w:val="24"/>
        </w:rPr>
        <w:t xml:space="preserve">must </w:t>
      </w:r>
      <w:r w:rsidR="00F55D74">
        <w:rPr>
          <w:rFonts w:ascii="Tahoma" w:hAnsi="Tahoma" w:cs="Tahoma"/>
          <w:sz w:val="24"/>
          <w:szCs w:val="24"/>
        </w:rPr>
        <w:t xml:space="preserve">document site control in the </w:t>
      </w:r>
      <w:r w:rsidR="00E91AA1">
        <w:rPr>
          <w:rFonts w:ascii="Tahoma" w:hAnsi="Tahoma" w:cs="Tahoma"/>
          <w:sz w:val="24"/>
          <w:szCs w:val="24"/>
        </w:rPr>
        <w:t xml:space="preserve">Project Narrative. </w:t>
      </w:r>
      <w:r w:rsidR="0065645C" w:rsidRPr="0065645C">
        <w:rPr>
          <w:rFonts w:ascii="Tahoma" w:hAnsi="Tahoma" w:cs="Tahoma"/>
          <w:sz w:val="24"/>
          <w:szCs w:val="24"/>
        </w:rPr>
        <w:t>Site control includes, but is not limited to leases, ownership, or access rights.</w:t>
      </w:r>
      <w:r w:rsidR="0065645C">
        <w:rPr>
          <w:rFonts w:ascii="Tahoma" w:hAnsi="Tahoma" w:cs="Tahoma"/>
          <w:sz w:val="24"/>
          <w:szCs w:val="24"/>
        </w:rPr>
        <w:t xml:space="preserve"> </w:t>
      </w:r>
      <w:r w:rsidR="00786795">
        <w:rPr>
          <w:rFonts w:ascii="Tahoma" w:hAnsi="Tahoma" w:cs="Tahoma"/>
          <w:sz w:val="24"/>
          <w:szCs w:val="24"/>
        </w:rPr>
        <w:t xml:space="preserve">If </w:t>
      </w:r>
      <w:r w:rsidR="00EC4B09">
        <w:rPr>
          <w:rFonts w:ascii="Tahoma" w:hAnsi="Tahoma" w:cs="Tahoma"/>
          <w:sz w:val="24"/>
          <w:szCs w:val="24"/>
        </w:rPr>
        <w:t xml:space="preserve">Applicants </w:t>
      </w:r>
      <w:r w:rsidR="00786795">
        <w:rPr>
          <w:rFonts w:ascii="Tahoma" w:hAnsi="Tahoma" w:cs="Tahoma"/>
          <w:sz w:val="24"/>
          <w:szCs w:val="24"/>
        </w:rPr>
        <w:t xml:space="preserve">do not have secured </w:t>
      </w:r>
      <w:r w:rsidR="00BF4AF5">
        <w:rPr>
          <w:rFonts w:ascii="Tahoma" w:hAnsi="Tahoma" w:cs="Tahoma"/>
          <w:sz w:val="24"/>
          <w:szCs w:val="24"/>
        </w:rPr>
        <w:t>site host agreements</w:t>
      </w:r>
      <w:r w:rsidR="00D31957">
        <w:rPr>
          <w:rFonts w:ascii="Tahoma" w:hAnsi="Tahoma" w:cs="Tahoma"/>
          <w:sz w:val="24"/>
          <w:szCs w:val="24"/>
        </w:rPr>
        <w:t xml:space="preserve"> in place, they </w:t>
      </w:r>
      <w:r w:rsidR="00EC4B09">
        <w:rPr>
          <w:rFonts w:ascii="Tahoma" w:hAnsi="Tahoma" w:cs="Tahoma"/>
          <w:sz w:val="24"/>
          <w:szCs w:val="24"/>
        </w:rPr>
        <w:t xml:space="preserve">must </w:t>
      </w:r>
      <w:r w:rsidR="00064AD3">
        <w:rPr>
          <w:rFonts w:ascii="Tahoma" w:hAnsi="Tahoma" w:cs="Tahoma"/>
          <w:sz w:val="24"/>
          <w:szCs w:val="24"/>
        </w:rPr>
        <w:t xml:space="preserve">describe in the Project Narrative how they </w:t>
      </w:r>
      <w:r w:rsidR="007847F6">
        <w:rPr>
          <w:rFonts w:ascii="Tahoma" w:hAnsi="Tahoma" w:cs="Tahoma"/>
          <w:sz w:val="24"/>
          <w:szCs w:val="24"/>
        </w:rPr>
        <w:t xml:space="preserve">plan to obtain a </w:t>
      </w:r>
      <w:r w:rsidR="00D10A89">
        <w:rPr>
          <w:rFonts w:ascii="Tahoma" w:hAnsi="Tahoma" w:cs="Tahoma"/>
          <w:sz w:val="24"/>
          <w:szCs w:val="24"/>
        </w:rPr>
        <w:t xml:space="preserve">site </w:t>
      </w:r>
      <w:r w:rsidR="007847F6">
        <w:rPr>
          <w:rFonts w:ascii="Tahoma" w:hAnsi="Tahoma" w:cs="Tahoma"/>
          <w:sz w:val="24"/>
          <w:szCs w:val="24"/>
        </w:rPr>
        <w:t xml:space="preserve">host agreement or lease, and </w:t>
      </w:r>
      <w:r w:rsidR="007023F8" w:rsidRPr="005448F6">
        <w:rPr>
          <w:rFonts w:ascii="Tahoma" w:hAnsi="Tahoma" w:cs="Tahoma"/>
          <w:sz w:val="24"/>
          <w:szCs w:val="24"/>
        </w:rPr>
        <w:t xml:space="preserve">provide an estimated timeline for securing </w:t>
      </w:r>
      <w:r w:rsidR="00817E49">
        <w:rPr>
          <w:rFonts w:ascii="Tahoma" w:hAnsi="Tahoma" w:cs="Tahoma"/>
          <w:sz w:val="24"/>
          <w:szCs w:val="24"/>
        </w:rPr>
        <w:t>the site</w:t>
      </w:r>
      <w:r w:rsidR="00817E49" w:rsidRPr="005448F6">
        <w:rPr>
          <w:rFonts w:ascii="Tahoma" w:hAnsi="Tahoma" w:cs="Tahoma"/>
          <w:sz w:val="24"/>
          <w:szCs w:val="24"/>
        </w:rPr>
        <w:t xml:space="preserve"> </w:t>
      </w:r>
      <w:r w:rsidR="007847F6">
        <w:rPr>
          <w:rFonts w:ascii="Tahoma" w:hAnsi="Tahoma" w:cs="Tahoma"/>
          <w:sz w:val="24"/>
          <w:szCs w:val="24"/>
        </w:rPr>
        <w:t xml:space="preserve">including </w:t>
      </w:r>
      <w:r w:rsidR="007023F8" w:rsidRPr="005448F6">
        <w:rPr>
          <w:rFonts w:ascii="Tahoma" w:hAnsi="Tahoma" w:cs="Tahoma"/>
          <w:sz w:val="24"/>
          <w:szCs w:val="24"/>
        </w:rPr>
        <w:t xml:space="preserve">how this process can be expedited. </w:t>
      </w:r>
      <w:r w:rsidR="00B3332C">
        <w:rPr>
          <w:rFonts w:ascii="Tahoma" w:hAnsi="Tahoma" w:cs="Tahoma"/>
          <w:sz w:val="24"/>
          <w:szCs w:val="24"/>
        </w:rPr>
        <w:t xml:space="preserve">Additionally, Applicants must submit </w:t>
      </w:r>
      <w:r w:rsidR="00DB2D47">
        <w:rPr>
          <w:rFonts w:ascii="Tahoma" w:hAnsi="Tahoma" w:cs="Tahoma"/>
          <w:sz w:val="24"/>
          <w:szCs w:val="24"/>
        </w:rPr>
        <w:t>a</w:t>
      </w:r>
      <w:r w:rsidR="00B3332C">
        <w:rPr>
          <w:rFonts w:ascii="Tahoma" w:hAnsi="Tahoma" w:cs="Tahoma"/>
          <w:sz w:val="24"/>
          <w:szCs w:val="24"/>
        </w:rPr>
        <w:t xml:space="preserve"> </w:t>
      </w:r>
      <w:r w:rsidR="008B36C7">
        <w:rPr>
          <w:rFonts w:ascii="Tahoma" w:hAnsi="Tahoma" w:cs="Tahoma"/>
          <w:sz w:val="24"/>
          <w:szCs w:val="24"/>
        </w:rPr>
        <w:t>letter of commitment</w:t>
      </w:r>
      <w:r w:rsidR="00642AED">
        <w:rPr>
          <w:rFonts w:ascii="Tahoma" w:hAnsi="Tahoma" w:cs="Tahoma"/>
          <w:sz w:val="24"/>
          <w:szCs w:val="24"/>
        </w:rPr>
        <w:t xml:space="preserve"> </w:t>
      </w:r>
      <w:r w:rsidR="001D0503">
        <w:rPr>
          <w:rFonts w:ascii="Tahoma" w:hAnsi="Tahoma" w:cs="Tahoma"/>
          <w:sz w:val="24"/>
          <w:szCs w:val="24"/>
        </w:rPr>
        <w:t>f</w:t>
      </w:r>
      <w:r w:rsidR="00A17847">
        <w:rPr>
          <w:rFonts w:ascii="Tahoma" w:hAnsi="Tahoma" w:cs="Tahoma"/>
          <w:sz w:val="24"/>
          <w:szCs w:val="24"/>
        </w:rPr>
        <w:t xml:space="preserve">rom the current owner of the site of </w:t>
      </w:r>
      <w:r w:rsidR="00DB2D47">
        <w:rPr>
          <w:rFonts w:ascii="Tahoma" w:hAnsi="Tahoma" w:cs="Tahoma"/>
          <w:sz w:val="24"/>
          <w:szCs w:val="24"/>
        </w:rPr>
        <w:t xml:space="preserve">the </w:t>
      </w:r>
      <w:r w:rsidR="00A17847">
        <w:rPr>
          <w:rFonts w:ascii="Tahoma" w:hAnsi="Tahoma" w:cs="Tahoma"/>
          <w:sz w:val="24"/>
          <w:szCs w:val="24"/>
        </w:rPr>
        <w:t>proposed station location</w:t>
      </w:r>
      <w:r w:rsidR="006C1354">
        <w:rPr>
          <w:rFonts w:ascii="Tahoma" w:hAnsi="Tahoma" w:cs="Tahoma"/>
          <w:sz w:val="24"/>
          <w:szCs w:val="24"/>
        </w:rPr>
        <w:t>, or if the proposed site is operated by</w:t>
      </w:r>
      <w:r w:rsidR="00B839B6">
        <w:rPr>
          <w:rFonts w:ascii="Tahoma" w:hAnsi="Tahoma" w:cs="Tahoma"/>
          <w:sz w:val="24"/>
          <w:szCs w:val="24"/>
        </w:rPr>
        <w:t xml:space="preserve"> another entity </w:t>
      </w:r>
      <w:r w:rsidR="004A2E7B">
        <w:rPr>
          <w:rFonts w:ascii="Tahoma" w:hAnsi="Tahoma" w:cs="Tahoma"/>
          <w:sz w:val="24"/>
          <w:szCs w:val="24"/>
        </w:rPr>
        <w:t xml:space="preserve">other than the site owner, </w:t>
      </w:r>
      <w:r w:rsidR="00EB1F27" w:rsidRPr="00EB1F27">
        <w:rPr>
          <w:rFonts w:ascii="Tahoma" w:hAnsi="Tahoma" w:cs="Tahoma"/>
          <w:sz w:val="24"/>
          <w:szCs w:val="24"/>
        </w:rPr>
        <w:t>applications must also include a letter of commitment from the current operator of the site</w:t>
      </w:r>
      <w:r w:rsidR="007255FA">
        <w:rPr>
          <w:rFonts w:ascii="Tahoma" w:hAnsi="Tahoma" w:cs="Tahoma"/>
          <w:sz w:val="24"/>
          <w:szCs w:val="24"/>
        </w:rPr>
        <w:t>. Note that</w:t>
      </w:r>
      <w:r w:rsidR="001D1109" w:rsidRPr="001D1109">
        <w:rPr>
          <w:rFonts w:ascii="Tahoma" w:hAnsi="Tahoma" w:cs="Tahoma"/>
          <w:sz w:val="24"/>
          <w:szCs w:val="24"/>
        </w:rPr>
        <w:t xml:space="preserve"> if </w:t>
      </w:r>
      <w:r w:rsidR="00DC4688">
        <w:rPr>
          <w:rFonts w:ascii="Tahoma" w:hAnsi="Tahoma" w:cs="Tahoma"/>
          <w:sz w:val="24"/>
          <w:szCs w:val="24"/>
        </w:rPr>
        <w:t>a</w:t>
      </w:r>
      <w:r w:rsidR="001D1109" w:rsidRPr="001D1109">
        <w:rPr>
          <w:rFonts w:ascii="Tahoma" w:hAnsi="Tahoma" w:cs="Tahoma"/>
          <w:sz w:val="24"/>
          <w:szCs w:val="24"/>
        </w:rPr>
        <w:t xml:space="preserve"> Port is the Prime Applicant and the project is located on-port, the application may include multiple sites within the port boundaries (e.g., across terminals)</w:t>
      </w:r>
      <w:r w:rsidR="00DC4688">
        <w:rPr>
          <w:rFonts w:ascii="Tahoma" w:hAnsi="Tahoma" w:cs="Tahoma"/>
          <w:sz w:val="24"/>
          <w:szCs w:val="24"/>
        </w:rPr>
        <w:t>.</w:t>
      </w:r>
      <w:r w:rsidR="00EB1F27" w:rsidRPr="00EB1F27">
        <w:rPr>
          <w:rFonts w:ascii="Tahoma" w:hAnsi="Tahoma" w:cs="Tahoma"/>
          <w:sz w:val="24"/>
          <w:szCs w:val="24"/>
        </w:rPr>
        <w:t xml:space="preserve"> </w:t>
      </w:r>
      <w:r w:rsidR="00CF49B5">
        <w:rPr>
          <w:rFonts w:ascii="Tahoma" w:hAnsi="Tahoma" w:cs="Tahoma"/>
          <w:sz w:val="24"/>
          <w:szCs w:val="24"/>
        </w:rPr>
        <w:t>In this instance, Port Applicants</w:t>
      </w:r>
      <w:r w:rsidR="00401A14">
        <w:rPr>
          <w:rFonts w:ascii="Tahoma" w:hAnsi="Tahoma" w:cs="Tahoma"/>
          <w:sz w:val="24"/>
          <w:szCs w:val="24"/>
        </w:rPr>
        <w:t xml:space="preserve"> must submit letters of commitment</w:t>
      </w:r>
      <w:r w:rsidR="00EB1F27" w:rsidRPr="00EB1F27">
        <w:rPr>
          <w:rFonts w:ascii="Tahoma" w:hAnsi="Tahoma" w:cs="Tahoma"/>
          <w:sz w:val="24"/>
          <w:szCs w:val="24"/>
        </w:rPr>
        <w:t xml:space="preserve"> </w:t>
      </w:r>
      <w:r w:rsidR="00AA6520">
        <w:rPr>
          <w:rFonts w:ascii="Tahoma" w:hAnsi="Tahoma" w:cs="Tahoma"/>
          <w:sz w:val="24"/>
          <w:szCs w:val="24"/>
        </w:rPr>
        <w:t xml:space="preserve">from </w:t>
      </w:r>
      <w:r w:rsidR="004B6079">
        <w:rPr>
          <w:rFonts w:ascii="Tahoma" w:hAnsi="Tahoma" w:cs="Tahoma"/>
          <w:sz w:val="24"/>
          <w:szCs w:val="24"/>
        </w:rPr>
        <w:t>the site operator of</w:t>
      </w:r>
      <w:r w:rsidR="00AA6520" w:rsidRPr="00EB1F27">
        <w:rPr>
          <w:rFonts w:ascii="Tahoma" w:hAnsi="Tahoma" w:cs="Tahoma"/>
          <w:sz w:val="24"/>
          <w:szCs w:val="24"/>
        </w:rPr>
        <w:t xml:space="preserve"> </w:t>
      </w:r>
      <w:r w:rsidR="00EB1F27" w:rsidRPr="00EB1F27">
        <w:rPr>
          <w:rFonts w:ascii="Tahoma" w:hAnsi="Tahoma" w:cs="Tahoma"/>
          <w:sz w:val="24"/>
          <w:szCs w:val="24"/>
        </w:rPr>
        <w:t>each proposed station location.</w:t>
      </w:r>
      <w:r w:rsidR="00EB1F27" w:rsidRPr="00EB1F27" w:rsidDel="007847F6">
        <w:rPr>
          <w:rFonts w:ascii="Tahoma" w:hAnsi="Tahoma" w:cs="Tahoma"/>
          <w:sz w:val="24"/>
          <w:szCs w:val="24"/>
        </w:rPr>
        <w:t xml:space="preserve"> </w:t>
      </w:r>
    </w:p>
    <w:p w14:paraId="3C113498" w14:textId="77777777" w:rsidR="00B52985" w:rsidRDefault="00B52985" w:rsidP="00CF1250">
      <w:pPr>
        <w:spacing w:after="0"/>
        <w:ind w:left="720" w:hanging="720"/>
        <w:rPr>
          <w:rFonts w:ascii="Tahoma" w:hAnsi="Tahoma" w:cs="Tahoma"/>
          <w:sz w:val="24"/>
          <w:szCs w:val="24"/>
        </w:rPr>
      </w:pPr>
    </w:p>
    <w:p w14:paraId="1AE42691" w14:textId="0BA5AC0C" w:rsidR="00B52985" w:rsidRPr="005448F6" w:rsidRDefault="00B52985" w:rsidP="00CF1250">
      <w:pPr>
        <w:spacing w:after="0"/>
        <w:ind w:left="720" w:hanging="720"/>
        <w:rPr>
          <w:rFonts w:ascii="Tahoma" w:hAnsi="Tahoma" w:cs="Tahoma"/>
          <w:sz w:val="24"/>
          <w:szCs w:val="24"/>
        </w:rPr>
      </w:pPr>
      <w:r>
        <w:rPr>
          <w:rFonts w:ascii="Tahoma" w:hAnsi="Tahoma" w:cs="Tahoma"/>
          <w:sz w:val="24"/>
          <w:szCs w:val="24"/>
        </w:rPr>
        <w:tab/>
      </w:r>
      <w:r w:rsidR="00A27983">
        <w:rPr>
          <w:rFonts w:ascii="Tahoma" w:hAnsi="Tahoma" w:cs="Tahoma"/>
          <w:sz w:val="24"/>
          <w:szCs w:val="24"/>
        </w:rPr>
        <w:t>Additionally, i</w:t>
      </w:r>
      <w:r w:rsidRPr="00B52985">
        <w:rPr>
          <w:rFonts w:ascii="Tahoma" w:hAnsi="Tahoma" w:cs="Tahoma"/>
          <w:sz w:val="24"/>
          <w:szCs w:val="24"/>
        </w:rPr>
        <w:t xml:space="preserve">f the current lease agreement for an eligible project site is valid for less than the required six years, the Applicant must commit to operating that station until the current lease ends and make a good faith effort to extend the lease to continue operation for the full six years. </w:t>
      </w:r>
      <w:r w:rsidR="00A27983">
        <w:rPr>
          <w:rFonts w:ascii="Tahoma" w:hAnsi="Tahoma" w:cs="Tahoma"/>
          <w:sz w:val="24"/>
          <w:szCs w:val="24"/>
        </w:rPr>
        <w:t xml:space="preserve">Refer to </w:t>
      </w:r>
      <w:r w:rsidR="00A27983" w:rsidRPr="005448F6">
        <w:rPr>
          <w:rFonts w:ascii="Tahoma" w:hAnsi="Tahoma" w:cs="Tahoma"/>
          <w:sz w:val="24"/>
          <w:szCs w:val="24"/>
        </w:rPr>
        <w:t>Section III.D.2.a.</w:t>
      </w:r>
      <w:r w:rsidR="00A27983" w:rsidRPr="005448F6" w:rsidDel="00696279">
        <w:rPr>
          <w:rFonts w:ascii="Tahoma" w:hAnsi="Tahoma" w:cs="Tahoma"/>
          <w:sz w:val="24"/>
          <w:szCs w:val="24"/>
        </w:rPr>
        <w:t xml:space="preserve">, </w:t>
      </w:r>
      <w:r w:rsidR="00A27983">
        <w:rPr>
          <w:rFonts w:ascii="Tahoma" w:hAnsi="Tahoma" w:cs="Tahoma"/>
          <w:sz w:val="24"/>
          <w:szCs w:val="24"/>
        </w:rPr>
        <w:t>Project Readiness and Section III.D.8., Letters of Commitment.</w:t>
      </w:r>
      <w:r w:rsidRPr="00B52985">
        <w:rPr>
          <w:rFonts w:ascii="Tahoma" w:hAnsi="Tahoma" w:cs="Tahoma"/>
          <w:sz w:val="24"/>
          <w:szCs w:val="24"/>
        </w:rPr>
        <w:t xml:space="preserve"> </w:t>
      </w:r>
    </w:p>
    <w:p w14:paraId="08D3836A" w14:textId="77777777" w:rsidR="007023F8" w:rsidRPr="005448F6" w:rsidRDefault="007023F8" w:rsidP="007023F8">
      <w:pPr>
        <w:spacing w:after="0" w:line="240" w:lineRule="auto"/>
        <w:ind w:left="720"/>
        <w:rPr>
          <w:rFonts w:ascii="Tahoma" w:hAnsi="Tahoma" w:cs="Tahoma"/>
          <w:sz w:val="24"/>
          <w:szCs w:val="24"/>
        </w:rPr>
      </w:pPr>
    </w:p>
    <w:p w14:paraId="0574618C" w14:textId="789603D6" w:rsidR="007023F8"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w:t>
      </w:r>
      <w:r w:rsidRPr="005448F6">
        <w:rPr>
          <w:rFonts w:ascii="Tahoma" w:eastAsia="Times New Roman" w:hAnsi="Tahoma" w:cs="Tahoma"/>
          <w:b/>
          <w:sz w:val="24"/>
          <w:szCs w:val="24"/>
        </w:rPr>
        <w:t>0</w:t>
      </w:r>
      <w:r w:rsidR="007023F8" w:rsidRPr="005448F6">
        <w:rPr>
          <w:rFonts w:ascii="Tahoma" w:eastAsia="Times New Roman" w:hAnsi="Tahoma" w:cs="Tahoma"/>
          <w:b/>
          <w:sz w:val="24"/>
          <w:szCs w:val="24"/>
        </w:rPr>
        <w:t>:</w:t>
      </w:r>
      <w:r w:rsidR="007023F8" w:rsidRPr="005448F6">
        <w:rPr>
          <w:rFonts w:ascii="Tahoma" w:eastAsia="Times New Roman" w:hAnsi="Tahoma" w:cs="Tahoma"/>
          <w:b/>
          <w:sz w:val="24"/>
          <w:szCs w:val="24"/>
        </w:rPr>
        <w:tab/>
        <w:t>Is there a minimum local storage requirement for hydrogen stations?</w:t>
      </w:r>
    </w:p>
    <w:p w14:paraId="27C8EF37" w14:textId="77777777" w:rsidR="007F660C" w:rsidRPr="005448F6" w:rsidRDefault="007F660C" w:rsidP="007F660C">
      <w:pPr>
        <w:spacing w:after="0" w:line="240" w:lineRule="auto"/>
        <w:ind w:left="720" w:hanging="720"/>
        <w:rPr>
          <w:rFonts w:ascii="Tahoma" w:eastAsia="Times New Roman" w:hAnsi="Tahoma" w:cs="Tahoma"/>
          <w:b/>
          <w:sz w:val="24"/>
          <w:szCs w:val="24"/>
        </w:rPr>
      </w:pPr>
    </w:p>
    <w:p w14:paraId="5CCEE1F8" w14:textId="1257AEA3" w:rsidR="007023F8"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3</w:t>
      </w:r>
      <w:r w:rsidRPr="005448F6">
        <w:rPr>
          <w:rFonts w:ascii="Tahoma" w:hAnsi="Tahoma" w:cs="Tahoma"/>
          <w:sz w:val="24"/>
          <w:szCs w:val="24"/>
        </w:rPr>
        <w:t>0</w:t>
      </w:r>
      <w:r w:rsidR="007023F8" w:rsidRPr="005448F6">
        <w:rPr>
          <w:rFonts w:ascii="Tahoma" w:hAnsi="Tahoma" w:cs="Tahoma"/>
          <w:sz w:val="24"/>
          <w:szCs w:val="24"/>
        </w:rPr>
        <w:t>:</w:t>
      </w:r>
      <w:r w:rsidR="007023F8" w:rsidRPr="005448F6">
        <w:rPr>
          <w:rFonts w:ascii="Tahoma" w:hAnsi="Tahoma" w:cs="Tahoma"/>
          <w:sz w:val="24"/>
          <w:szCs w:val="24"/>
        </w:rPr>
        <w:tab/>
        <w:t>No.</w:t>
      </w:r>
      <w:r w:rsidR="00E50669">
        <w:rPr>
          <w:rFonts w:ascii="Tahoma" w:hAnsi="Tahoma" w:cs="Tahoma"/>
          <w:sz w:val="24"/>
          <w:szCs w:val="24"/>
        </w:rPr>
        <w:t xml:space="preserve"> There is no storage requirement for hydrogen stations. </w:t>
      </w:r>
    </w:p>
    <w:p w14:paraId="62D21D10" w14:textId="77777777" w:rsidR="007023F8" w:rsidRPr="005448F6" w:rsidRDefault="007023F8" w:rsidP="007023F8">
      <w:pPr>
        <w:spacing w:after="0" w:line="240" w:lineRule="auto"/>
        <w:ind w:left="720"/>
        <w:rPr>
          <w:rFonts w:ascii="Tahoma" w:hAnsi="Tahoma" w:cs="Tahoma"/>
          <w:sz w:val="24"/>
          <w:szCs w:val="24"/>
        </w:rPr>
      </w:pPr>
    </w:p>
    <w:p w14:paraId="0F28E0CA" w14:textId="710E364D" w:rsidR="007023F8"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w:t>
      </w:r>
      <w:r w:rsidRPr="005448F6">
        <w:rPr>
          <w:rFonts w:ascii="Tahoma" w:eastAsia="Times New Roman" w:hAnsi="Tahoma" w:cs="Tahoma"/>
          <w:b/>
          <w:sz w:val="24"/>
          <w:szCs w:val="24"/>
        </w:rPr>
        <w:t>1</w:t>
      </w:r>
      <w:r w:rsidR="007023F8" w:rsidRPr="005448F6">
        <w:rPr>
          <w:rFonts w:ascii="Tahoma" w:eastAsia="Times New Roman" w:hAnsi="Tahoma" w:cs="Tahoma"/>
          <w:b/>
          <w:sz w:val="24"/>
          <w:szCs w:val="24"/>
        </w:rPr>
        <w:t>:</w:t>
      </w:r>
      <w:r w:rsidR="007023F8" w:rsidRPr="005448F6">
        <w:rPr>
          <w:rFonts w:ascii="Tahoma" w:eastAsia="Times New Roman" w:hAnsi="Tahoma" w:cs="Tahoma"/>
          <w:b/>
          <w:sz w:val="24"/>
          <w:szCs w:val="24"/>
        </w:rPr>
        <w:tab/>
        <w:t>Is there a minimum dispensing rate requirement (kg/min) for hydrogen fuel dispensers?</w:t>
      </w:r>
    </w:p>
    <w:p w14:paraId="2B58990B" w14:textId="77777777" w:rsidR="007F660C" w:rsidRPr="005448F6" w:rsidRDefault="007F660C" w:rsidP="007F660C">
      <w:pPr>
        <w:spacing w:after="0" w:line="240" w:lineRule="auto"/>
        <w:ind w:left="720" w:hanging="720"/>
        <w:rPr>
          <w:rFonts w:ascii="Tahoma" w:eastAsia="Times New Roman" w:hAnsi="Tahoma" w:cs="Tahoma"/>
          <w:b/>
          <w:sz w:val="24"/>
          <w:szCs w:val="24"/>
        </w:rPr>
      </w:pPr>
    </w:p>
    <w:p w14:paraId="2E445051" w14:textId="0251CBA1" w:rsidR="007023F8"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lastRenderedPageBreak/>
        <w:t>A</w:t>
      </w:r>
      <w:r>
        <w:rPr>
          <w:rFonts w:ascii="Tahoma" w:hAnsi="Tahoma" w:cs="Tahoma"/>
          <w:sz w:val="24"/>
          <w:szCs w:val="24"/>
        </w:rPr>
        <w:t>3</w:t>
      </w:r>
      <w:r w:rsidRPr="005448F6">
        <w:rPr>
          <w:rFonts w:ascii="Tahoma" w:hAnsi="Tahoma" w:cs="Tahoma"/>
          <w:sz w:val="24"/>
          <w:szCs w:val="24"/>
        </w:rPr>
        <w:t>1</w:t>
      </w:r>
      <w:r w:rsidR="007023F8" w:rsidRPr="005448F6">
        <w:rPr>
          <w:rFonts w:ascii="Tahoma" w:hAnsi="Tahoma" w:cs="Tahoma"/>
          <w:sz w:val="24"/>
          <w:szCs w:val="24"/>
        </w:rPr>
        <w:t>:</w:t>
      </w:r>
      <w:r w:rsidR="007023F8" w:rsidRPr="005448F6">
        <w:rPr>
          <w:rFonts w:ascii="Tahoma" w:hAnsi="Tahoma" w:cs="Tahoma"/>
          <w:sz w:val="24"/>
          <w:szCs w:val="24"/>
        </w:rPr>
        <w:tab/>
        <w:t>No, there is no minimum dispensing rate requirement in kg/mi</w:t>
      </w:r>
      <w:r w:rsidR="00096431">
        <w:rPr>
          <w:rFonts w:ascii="Tahoma" w:hAnsi="Tahoma" w:cs="Tahoma"/>
          <w:sz w:val="24"/>
          <w:szCs w:val="24"/>
        </w:rPr>
        <w:t>n in the solicitation manual, however</w:t>
      </w:r>
      <w:r w:rsidR="00903D73">
        <w:rPr>
          <w:rFonts w:ascii="Tahoma" w:hAnsi="Tahoma" w:cs="Tahoma"/>
          <w:sz w:val="24"/>
          <w:szCs w:val="24"/>
        </w:rPr>
        <w:t xml:space="preserve">, </w:t>
      </w:r>
      <w:bookmarkStart w:id="1" w:name="_Hlk198759317"/>
      <w:r w:rsidR="0024305C">
        <w:rPr>
          <w:rFonts w:ascii="Tahoma" w:hAnsi="Tahoma" w:cs="Tahoma"/>
          <w:sz w:val="24"/>
          <w:szCs w:val="24"/>
        </w:rPr>
        <w:t xml:space="preserve">if the hydrogen </w:t>
      </w:r>
      <w:r w:rsidR="00C130FF">
        <w:rPr>
          <w:rFonts w:ascii="Tahoma" w:hAnsi="Tahoma" w:cs="Tahoma"/>
          <w:sz w:val="24"/>
          <w:szCs w:val="24"/>
        </w:rPr>
        <w:t>refueling</w:t>
      </w:r>
      <w:r w:rsidR="00C130FF" w:rsidRPr="00C130FF">
        <w:rPr>
          <w:rFonts w:ascii="Tahoma" w:hAnsi="Tahoma" w:cs="Tahoma"/>
          <w:sz w:val="24"/>
          <w:szCs w:val="24"/>
        </w:rPr>
        <w:t xml:space="preserve"> </w:t>
      </w:r>
      <w:r w:rsidR="0024305C">
        <w:rPr>
          <w:rFonts w:ascii="Tahoma" w:hAnsi="Tahoma" w:cs="Tahoma"/>
          <w:sz w:val="24"/>
          <w:szCs w:val="24"/>
        </w:rPr>
        <w:t xml:space="preserve">station will be open retail, </w:t>
      </w:r>
      <w:r w:rsidR="003E4308">
        <w:rPr>
          <w:rFonts w:ascii="Tahoma" w:hAnsi="Tahoma" w:cs="Tahoma"/>
          <w:sz w:val="24"/>
          <w:szCs w:val="24"/>
        </w:rPr>
        <w:t xml:space="preserve">the </w:t>
      </w:r>
      <w:r w:rsidR="003E4308" w:rsidRPr="003E4308">
        <w:rPr>
          <w:rFonts w:ascii="Tahoma" w:hAnsi="Tahoma" w:cs="Tahoma"/>
          <w:sz w:val="24"/>
          <w:szCs w:val="24"/>
        </w:rPr>
        <w:t>refueling station shall conform to the most recent published version of SAE International J2601</w:t>
      </w:r>
      <w:r w:rsidR="003E4308">
        <w:rPr>
          <w:rFonts w:ascii="Tahoma" w:hAnsi="Tahoma" w:cs="Tahoma"/>
          <w:sz w:val="24"/>
          <w:szCs w:val="24"/>
        </w:rPr>
        <w:t xml:space="preserve"> (fueling protocols). Refer to Section II.D.3.</w:t>
      </w:r>
      <w:bookmarkEnd w:id="1"/>
    </w:p>
    <w:p w14:paraId="14A0A5E0" w14:textId="77777777" w:rsidR="00CE5A42" w:rsidRPr="005448F6" w:rsidRDefault="00CE5A42" w:rsidP="007023F8">
      <w:pPr>
        <w:spacing w:after="0" w:line="240" w:lineRule="auto"/>
        <w:rPr>
          <w:rFonts w:ascii="Tahoma" w:hAnsi="Tahoma" w:cs="Tahoma"/>
          <w:sz w:val="24"/>
          <w:szCs w:val="24"/>
        </w:rPr>
      </w:pPr>
    </w:p>
    <w:p w14:paraId="3FED58A1" w14:textId="04537A86" w:rsidR="000E3B3B" w:rsidRPr="005448F6" w:rsidRDefault="004821A9" w:rsidP="000E3B3B">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32</w:t>
      </w:r>
      <w:r w:rsidR="000E3B3B" w:rsidRPr="005448F6">
        <w:rPr>
          <w:rFonts w:ascii="Tahoma" w:eastAsia="Times New Roman" w:hAnsi="Tahoma" w:cs="Tahoma"/>
          <w:b/>
          <w:sz w:val="24"/>
          <w:szCs w:val="24"/>
        </w:rPr>
        <w:t>:</w:t>
      </w:r>
      <w:r w:rsidR="000E3B3B" w:rsidRPr="005448F6">
        <w:rPr>
          <w:rFonts w:ascii="Tahoma" w:eastAsia="Times New Roman" w:hAnsi="Tahoma" w:cs="Tahoma"/>
          <w:b/>
          <w:sz w:val="24"/>
          <w:szCs w:val="24"/>
        </w:rPr>
        <w:tab/>
        <w:t xml:space="preserve">If </w:t>
      </w:r>
      <w:r w:rsidR="00D321C2">
        <w:rPr>
          <w:rFonts w:ascii="Tahoma" w:eastAsia="Times New Roman" w:hAnsi="Tahoma" w:cs="Tahoma"/>
          <w:b/>
          <w:sz w:val="24"/>
          <w:szCs w:val="24"/>
        </w:rPr>
        <w:t>a hydrogen</w:t>
      </w:r>
      <w:r w:rsidR="00D321C2" w:rsidRPr="005448F6">
        <w:rPr>
          <w:rFonts w:ascii="Tahoma" w:eastAsia="Times New Roman" w:hAnsi="Tahoma" w:cs="Tahoma"/>
          <w:b/>
          <w:sz w:val="24"/>
          <w:szCs w:val="24"/>
        </w:rPr>
        <w:t xml:space="preserve"> </w:t>
      </w:r>
      <w:r w:rsidR="000E3B3B" w:rsidRPr="005448F6">
        <w:rPr>
          <w:rFonts w:ascii="Tahoma" w:eastAsia="Times New Roman" w:hAnsi="Tahoma" w:cs="Tahoma"/>
          <w:b/>
          <w:sz w:val="24"/>
          <w:szCs w:val="24"/>
        </w:rPr>
        <w:t>refueling station support</w:t>
      </w:r>
      <w:r w:rsidR="00D321C2">
        <w:rPr>
          <w:rFonts w:ascii="Tahoma" w:eastAsia="Times New Roman" w:hAnsi="Tahoma" w:cs="Tahoma"/>
          <w:b/>
          <w:sz w:val="24"/>
          <w:szCs w:val="24"/>
        </w:rPr>
        <w:t>s p</w:t>
      </w:r>
      <w:r w:rsidR="000E3B3B" w:rsidRPr="005448F6">
        <w:rPr>
          <w:rFonts w:ascii="Tahoma" w:eastAsia="Times New Roman" w:hAnsi="Tahoma" w:cs="Tahoma"/>
          <w:b/>
          <w:sz w:val="24"/>
          <w:szCs w:val="24"/>
        </w:rPr>
        <w:t>ort</w:t>
      </w:r>
      <w:r w:rsidR="00D321C2">
        <w:rPr>
          <w:rFonts w:ascii="Tahoma" w:eastAsia="Times New Roman" w:hAnsi="Tahoma" w:cs="Tahoma"/>
          <w:b/>
          <w:sz w:val="24"/>
          <w:szCs w:val="24"/>
        </w:rPr>
        <w:t xml:space="preserve"> operations, but is located outside of port boundaries, is there </w:t>
      </w:r>
      <w:r w:rsidR="000E3B3B" w:rsidRPr="005448F6">
        <w:rPr>
          <w:rFonts w:ascii="Tahoma" w:eastAsia="Times New Roman" w:hAnsi="Tahoma" w:cs="Tahoma"/>
          <w:b/>
          <w:sz w:val="24"/>
          <w:szCs w:val="24"/>
        </w:rPr>
        <w:t xml:space="preserve">any distance requirement between port and </w:t>
      </w:r>
      <w:r w:rsidR="00D321C2">
        <w:rPr>
          <w:rFonts w:ascii="Tahoma" w:eastAsia="Times New Roman" w:hAnsi="Tahoma" w:cs="Tahoma"/>
          <w:b/>
          <w:sz w:val="24"/>
          <w:szCs w:val="24"/>
        </w:rPr>
        <w:t>refueling</w:t>
      </w:r>
      <w:r w:rsidR="000E3B3B" w:rsidRPr="005448F6">
        <w:rPr>
          <w:rFonts w:ascii="Tahoma" w:eastAsia="Times New Roman" w:hAnsi="Tahoma" w:cs="Tahoma"/>
          <w:b/>
          <w:sz w:val="24"/>
          <w:szCs w:val="24"/>
        </w:rPr>
        <w:t xml:space="preserve"> station?</w:t>
      </w:r>
    </w:p>
    <w:p w14:paraId="39E51D04" w14:textId="77777777" w:rsidR="007F660C" w:rsidRPr="005448F6" w:rsidRDefault="007F660C" w:rsidP="000E3B3B">
      <w:pPr>
        <w:spacing w:after="0" w:line="240" w:lineRule="auto"/>
        <w:ind w:left="720" w:hanging="720"/>
        <w:rPr>
          <w:rFonts w:ascii="Tahoma" w:eastAsia="Times New Roman" w:hAnsi="Tahoma" w:cs="Tahoma"/>
          <w:b/>
          <w:sz w:val="24"/>
          <w:szCs w:val="24"/>
        </w:rPr>
      </w:pPr>
    </w:p>
    <w:p w14:paraId="0F6DE25F" w14:textId="330471D1" w:rsidR="000E3B3B"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32</w:t>
      </w:r>
      <w:r w:rsidR="000E3B3B" w:rsidRPr="005448F6">
        <w:rPr>
          <w:rFonts w:ascii="Tahoma" w:hAnsi="Tahoma" w:cs="Tahoma"/>
          <w:sz w:val="24"/>
          <w:szCs w:val="24"/>
        </w:rPr>
        <w:t>:</w:t>
      </w:r>
      <w:r w:rsidR="000E3B3B" w:rsidRPr="005448F6">
        <w:rPr>
          <w:rFonts w:ascii="Tahoma" w:hAnsi="Tahoma" w:cs="Tahoma"/>
          <w:sz w:val="24"/>
          <w:szCs w:val="24"/>
        </w:rPr>
        <w:tab/>
      </w:r>
      <w:r w:rsidR="00D321C2">
        <w:rPr>
          <w:rFonts w:ascii="Tahoma" w:hAnsi="Tahoma" w:cs="Tahoma"/>
          <w:sz w:val="24"/>
          <w:szCs w:val="24"/>
        </w:rPr>
        <w:t xml:space="preserve">No, there is </w:t>
      </w:r>
      <w:r w:rsidR="000E3B3B" w:rsidRPr="005448F6">
        <w:rPr>
          <w:rFonts w:ascii="Tahoma" w:hAnsi="Tahoma" w:cs="Tahoma"/>
          <w:sz w:val="24"/>
          <w:szCs w:val="24"/>
        </w:rPr>
        <w:t xml:space="preserve">not </w:t>
      </w:r>
      <w:r w:rsidR="007A08D0" w:rsidRPr="005448F6">
        <w:rPr>
          <w:rFonts w:ascii="Tahoma" w:hAnsi="Tahoma" w:cs="Tahoma"/>
          <w:sz w:val="24"/>
          <w:szCs w:val="24"/>
        </w:rPr>
        <w:t xml:space="preserve">a </w:t>
      </w:r>
      <w:r w:rsidR="000E3B3B" w:rsidRPr="005448F6">
        <w:rPr>
          <w:rFonts w:ascii="Tahoma" w:hAnsi="Tahoma" w:cs="Tahoma"/>
          <w:sz w:val="24"/>
          <w:szCs w:val="24"/>
        </w:rPr>
        <w:t>set distance requirement</w:t>
      </w:r>
      <w:r w:rsidR="007A08D0">
        <w:rPr>
          <w:rFonts w:ascii="Tahoma" w:hAnsi="Tahoma" w:cs="Tahoma"/>
          <w:sz w:val="24"/>
          <w:szCs w:val="24"/>
        </w:rPr>
        <w:t xml:space="preserve"> in the solicitation.</w:t>
      </w:r>
      <w:r w:rsidR="000E3B3B" w:rsidRPr="005448F6">
        <w:rPr>
          <w:rFonts w:ascii="Tahoma" w:hAnsi="Tahoma" w:cs="Tahoma"/>
          <w:sz w:val="24"/>
          <w:szCs w:val="24"/>
        </w:rPr>
        <w:t xml:space="preserve"> However, the location must directly serve the port/port operations. Section II.A.1. states that “Non-port applicants will be required to either provide a letter of support from a port or otherwise describe in the project narrative how the project will support a port or ports.”</w:t>
      </w:r>
      <w:r w:rsidR="00936763">
        <w:rPr>
          <w:rFonts w:ascii="Tahoma" w:hAnsi="Tahoma" w:cs="Tahoma"/>
          <w:sz w:val="24"/>
          <w:szCs w:val="24"/>
        </w:rPr>
        <w:t xml:space="preserve"> Additionally, Section II.B.3., Project Location, states that t</w:t>
      </w:r>
      <w:r w:rsidR="00936763" w:rsidRPr="00936763">
        <w:rPr>
          <w:rFonts w:ascii="Tahoma" w:hAnsi="Tahoma" w:cs="Tahoma"/>
          <w:sz w:val="24"/>
          <w:szCs w:val="24"/>
        </w:rPr>
        <w:t xml:space="preserve">he project must be </w:t>
      </w:r>
      <w:r w:rsidR="00936763">
        <w:rPr>
          <w:rFonts w:ascii="Tahoma" w:hAnsi="Tahoma" w:cs="Tahoma"/>
          <w:sz w:val="24"/>
          <w:szCs w:val="24"/>
        </w:rPr>
        <w:t xml:space="preserve">located </w:t>
      </w:r>
      <w:r w:rsidR="00936763" w:rsidRPr="00936763">
        <w:rPr>
          <w:rFonts w:ascii="Tahoma" w:hAnsi="Tahoma" w:cs="Tahoma"/>
          <w:sz w:val="24"/>
          <w:szCs w:val="24"/>
        </w:rPr>
        <w:t>at a location that directly serves the port</w:t>
      </w:r>
      <w:r w:rsidR="00936763">
        <w:rPr>
          <w:rFonts w:ascii="Tahoma" w:hAnsi="Tahoma" w:cs="Tahoma"/>
          <w:sz w:val="24"/>
          <w:szCs w:val="24"/>
        </w:rPr>
        <w:t xml:space="preserve">. </w:t>
      </w:r>
      <w:r w:rsidR="00936763" w:rsidRPr="00936763">
        <w:rPr>
          <w:rFonts w:ascii="Tahoma" w:hAnsi="Tahoma" w:cs="Tahoma"/>
          <w:sz w:val="24"/>
          <w:szCs w:val="24"/>
        </w:rPr>
        <w:t xml:space="preserve">If not located at a port, the </w:t>
      </w:r>
      <w:r w:rsidR="00936763">
        <w:rPr>
          <w:rFonts w:ascii="Tahoma" w:hAnsi="Tahoma" w:cs="Tahoma"/>
          <w:sz w:val="24"/>
          <w:szCs w:val="24"/>
        </w:rPr>
        <w:t>P</w:t>
      </w:r>
      <w:r w:rsidR="00936763" w:rsidRPr="00936763">
        <w:rPr>
          <w:rFonts w:ascii="Tahoma" w:hAnsi="Tahoma" w:cs="Tahoma"/>
          <w:sz w:val="24"/>
          <w:szCs w:val="24"/>
        </w:rPr>
        <w:t xml:space="preserve">roject </w:t>
      </w:r>
      <w:r w:rsidR="00936763">
        <w:rPr>
          <w:rFonts w:ascii="Tahoma" w:hAnsi="Tahoma" w:cs="Tahoma"/>
          <w:sz w:val="24"/>
          <w:szCs w:val="24"/>
        </w:rPr>
        <w:t>N</w:t>
      </w:r>
      <w:r w:rsidR="00936763" w:rsidRPr="00936763">
        <w:rPr>
          <w:rFonts w:ascii="Tahoma" w:hAnsi="Tahoma" w:cs="Tahoma"/>
          <w:sz w:val="24"/>
          <w:szCs w:val="24"/>
        </w:rPr>
        <w:t>arrative should describe how the location directly supports the port operations.</w:t>
      </w:r>
    </w:p>
    <w:p w14:paraId="4837290C" w14:textId="59AB5136" w:rsidR="007023F8" w:rsidRPr="005448F6" w:rsidRDefault="007023F8" w:rsidP="007023F8">
      <w:pPr>
        <w:spacing w:after="0" w:line="240" w:lineRule="auto"/>
        <w:ind w:left="720"/>
        <w:rPr>
          <w:rFonts w:ascii="Tahoma" w:hAnsi="Tahoma" w:cs="Tahoma"/>
          <w:sz w:val="24"/>
          <w:szCs w:val="24"/>
        </w:rPr>
      </w:pPr>
    </w:p>
    <w:p w14:paraId="20BE6845" w14:textId="64CB9F02" w:rsidR="007023F8" w:rsidRPr="005448F6" w:rsidRDefault="004821A9" w:rsidP="007023F8">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33</w:t>
      </w:r>
      <w:r w:rsidR="007023F8" w:rsidRPr="005448F6">
        <w:rPr>
          <w:rFonts w:ascii="Tahoma" w:eastAsia="Times New Roman" w:hAnsi="Tahoma" w:cs="Tahoma"/>
          <w:b/>
          <w:sz w:val="24"/>
          <w:szCs w:val="24"/>
        </w:rPr>
        <w:t>:</w:t>
      </w:r>
      <w:r w:rsidR="007023F8" w:rsidRPr="005448F6">
        <w:rPr>
          <w:rFonts w:ascii="Tahoma" w:eastAsia="Times New Roman" w:hAnsi="Tahoma" w:cs="Tahoma"/>
          <w:b/>
          <w:sz w:val="24"/>
          <w:szCs w:val="24"/>
        </w:rPr>
        <w:tab/>
        <w:t xml:space="preserve">Are hybrid solutions that include </w:t>
      </w:r>
      <w:r w:rsidR="00533ADB">
        <w:rPr>
          <w:rFonts w:ascii="Tahoma" w:eastAsia="Times New Roman" w:hAnsi="Tahoma" w:cs="Tahoma"/>
          <w:b/>
          <w:sz w:val="24"/>
          <w:szCs w:val="24"/>
        </w:rPr>
        <w:t xml:space="preserve">both </w:t>
      </w:r>
      <w:r w:rsidR="007023F8" w:rsidRPr="005448F6">
        <w:rPr>
          <w:rFonts w:ascii="Tahoma" w:eastAsia="Times New Roman" w:hAnsi="Tahoma" w:cs="Tahoma"/>
          <w:b/>
          <w:sz w:val="24"/>
          <w:szCs w:val="24"/>
        </w:rPr>
        <w:t xml:space="preserve">hydrogen </w:t>
      </w:r>
      <w:r w:rsidR="00FE11A5">
        <w:rPr>
          <w:rFonts w:ascii="Tahoma" w:eastAsia="Times New Roman" w:hAnsi="Tahoma" w:cs="Tahoma"/>
          <w:b/>
          <w:sz w:val="24"/>
          <w:szCs w:val="24"/>
        </w:rPr>
        <w:t>re</w:t>
      </w:r>
      <w:r w:rsidR="007023F8" w:rsidRPr="005448F6">
        <w:rPr>
          <w:rFonts w:ascii="Tahoma" w:eastAsia="Times New Roman" w:hAnsi="Tahoma" w:cs="Tahoma"/>
          <w:b/>
          <w:sz w:val="24"/>
          <w:szCs w:val="24"/>
        </w:rPr>
        <w:t xml:space="preserve">fueling and </w:t>
      </w:r>
      <w:r w:rsidR="004C1443">
        <w:rPr>
          <w:rFonts w:ascii="Tahoma" w:eastAsia="Times New Roman" w:hAnsi="Tahoma" w:cs="Tahoma"/>
          <w:b/>
          <w:sz w:val="24"/>
          <w:szCs w:val="24"/>
        </w:rPr>
        <w:t>battery</w:t>
      </w:r>
      <w:r w:rsidR="00533ADB">
        <w:rPr>
          <w:rFonts w:ascii="Tahoma" w:eastAsia="Times New Roman" w:hAnsi="Tahoma" w:cs="Tahoma"/>
          <w:b/>
          <w:sz w:val="24"/>
          <w:szCs w:val="24"/>
        </w:rPr>
        <w:t>-</w:t>
      </w:r>
      <w:r w:rsidR="004C1443">
        <w:rPr>
          <w:rFonts w:ascii="Tahoma" w:eastAsia="Times New Roman" w:hAnsi="Tahoma" w:cs="Tahoma"/>
          <w:b/>
          <w:sz w:val="24"/>
          <w:szCs w:val="24"/>
        </w:rPr>
        <w:t xml:space="preserve">electric </w:t>
      </w:r>
      <w:r w:rsidR="00FE11A5">
        <w:rPr>
          <w:rFonts w:ascii="Tahoma" w:eastAsia="Times New Roman" w:hAnsi="Tahoma" w:cs="Tahoma"/>
          <w:b/>
          <w:sz w:val="24"/>
          <w:szCs w:val="24"/>
        </w:rPr>
        <w:t>charging</w:t>
      </w:r>
      <w:r w:rsidR="004C1443">
        <w:rPr>
          <w:rFonts w:ascii="Tahoma" w:eastAsia="Times New Roman" w:hAnsi="Tahoma" w:cs="Tahoma"/>
          <w:b/>
          <w:sz w:val="24"/>
          <w:szCs w:val="24"/>
        </w:rPr>
        <w:t xml:space="preserve"> </w:t>
      </w:r>
      <w:r w:rsidR="00D10F51" w:rsidRPr="005448F6">
        <w:rPr>
          <w:rFonts w:ascii="Tahoma" w:eastAsia="Times New Roman" w:hAnsi="Tahoma" w:cs="Tahoma"/>
          <w:b/>
          <w:sz w:val="24"/>
          <w:szCs w:val="24"/>
        </w:rPr>
        <w:t>capabilities</w:t>
      </w:r>
      <w:r w:rsidR="00533ADB">
        <w:rPr>
          <w:rFonts w:ascii="Tahoma" w:eastAsia="Times New Roman" w:hAnsi="Tahoma" w:cs="Tahoma"/>
          <w:b/>
          <w:sz w:val="24"/>
          <w:szCs w:val="24"/>
        </w:rPr>
        <w:t>,</w:t>
      </w:r>
      <w:r w:rsidR="007023F8" w:rsidRPr="005448F6">
        <w:rPr>
          <w:rFonts w:ascii="Tahoma" w:eastAsia="Times New Roman" w:hAnsi="Tahoma" w:cs="Tahoma"/>
          <w:b/>
          <w:sz w:val="24"/>
          <w:szCs w:val="24"/>
        </w:rPr>
        <w:t xml:space="preserve"> using green hydrogen as the fuel source for </w:t>
      </w:r>
      <w:r w:rsidR="00F65CD9">
        <w:rPr>
          <w:rFonts w:ascii="Tahoma" w:eastAsia="Times New Roman" w:hAnsi="Tahoma" w:cs="Tahoma"/>
          <w:b/>
          <w:sz w:val="24"/>
          <w:szCs w:val="24"/>
        </w:rPr>
        <w:t>both,</w:t>
      </w:r>
      <w:r w:rsidR="007023F8" w:rsidRPr="005448F6">
        <w:rPr>
          <w:rFonts w:ascii="Tahoma" w:eastAsia="Times New Roman" w:hAnsi="Tahoma" w:cs="Tahoma"/>
          <w:b/>
          <w:sz w:val="24"/>
          <w:szCs w:val="24"/>
        </w:rPr>
        <w:t xml:space="preserve"> permissible</w:t>
      </w:r>
      <w:r w:rsidR="00F65CD9">
        <w:rPr>
          <w:rFonts w:ascii="Tahoma" w:eastAsia="Times New Roman" w:hAnsi="Tahoma" w:cs="Tahoma"/>
          <w:b/>
          <w:sz w:val="24"/>
          <w:szCs w:val="24"/>
        </w:rPr>
        <w:t>,</w:t>
      </w:r>
      <w:r w:rsidR="007023F8" w:rsidRPr="005448F6">
        <w:rPr>
          <w:rFonts w:ascii="Tahoma" w:eastAsia="Times New Roman" w:hAnsi="Tahoma" w:cs="Tahoma"/>
          <w:b/>
          <w:sz w:val="24"/>
          <w:szCs w:val="24"/>
        </w:rPr>
        <w:t xml:space="preserve"> provided that all </w:t>
      </w:r>
      <w:r w:rsidR="00F65CD9">
        <w:rPr>
          <w:rFonts w:ascii="Tahoma" w:eastAsia="Times New Roman" w:hAnsi="Tahoma" w:cs="Tahoma"/>
          <w:b/>
          <w:sz w:val="24"/>
          <w:szCs w:val="24"/>
        </w:rPr>
        <w:t>other</w:t>
      </w:r>
      <w:r w:rsidR="007023F8" w:rsidRPr="005448F6">
        <w:rPr>
          <w:rFonts w:ascii="Tahoma" w:eastAsia="Times New Roman" w:hAnsi="Tahoma" w:cs="Tahoma"/>
          <w:b/>
          <w:sz w:val="24"/>
          <w:szCs w:val="24"/>
        </w:rPr>
        <w:t xml:space="preserve"> solicitation requirements </w:t>
      </w:r>
      <w:r w:rsidR="00F65CD9">
        <w:rPr>
          <w:rFonts w:ascii="Tahoma" w:eastAsia="Times New Roman" w:hAnsi="Tahoma" w:cs="Tahoma"/>
          <w:b/>
          <w:sz w:val="24"/>
          <w:szCs w:val="24"/>
        </w:rPr>
        <w:t>are met</w:t>
      </w:r>
      <w:r w:rsidR="007023F8" w:rsidRPr="005448F6">
        <w:rPr>
          <w:rFonts w:ascii="Tahoma" w:eastAsia="Times New Roman" w:hAnsi="Tahoma" w:cs="Tahoma"/>
          <w:b/>
          <w:sz w:val="24"/>
          <w:szCs w:val="24"/>
        </w:rPr>
        <w:t>?</w:t>
      </w:r>
    </w:p>
    <w:p w14:paraId="4D0936E1" w14:textId="77777777" w:rsidR="007F660C" w:rsidRPr="005448F6" w:rsidRDefault="007F660C" w:rsidP="007023F8">
      <w:pPr>
        <w:spacing w:after="0" w:line="240" w:lineRule="auto"/>
        <w:ind w:left="720" w:hanging="720"/>
        <w:rPr>
          <w:rFonts w:ascii="Tahoma" w:eastAsia="Times New Roman" w:hAnsi="Tahoma" w:cs="Tahoma"/>
          <w:b/>
          <w:sz w:val="24"/>
          <w:szCs w:val="24"/>
        </w:rPr>
      </w:pPr>
    </w:p>
    <w:p w14:paraId="43B2DBFC" w14:textId="6007A1A5" w:rsidR="007023F8"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33</w:t>
      </w:r>
      <w:r w:rsidR="007023F8" w:rsidRPr="005448F6">
        <w:rPr>
          <w:rFonts w:ascii="Tahoma" w:hAnsi="Tahoma" w:cs="Tahoma"/>
          <w:sz w:val="24"/>
          <w:szCs w:val="24"/>
        </w:rPr>
        <w:t>:</w:t>
      </w:r>
      <w:r w:rsidR="007023F8" w:rsidRPr="005448F6">
        <w:rPr>
          <w:rFonts w:ascii="Tahoma" w:hAnsi="Tahoma" w:cs="Tahoma"/>
          <w:sz w:val="24"/>
          <w:szCs w:val="24"/>
        </w:rPr>
        <w:tab/>
        <w:t xml:space="preserve">Yes. The </w:t>
      </w:r>
      <w:r w:rsidR="006B24AC">
        <w:rPr>
          <w:rFonts w:ascii="Tahoma" w:hAnsi="Tahoma" w:cs="Tahoma"/>
          <w:sz w:val="24"/>
          <w:szCs w:val="24"/>
        </w:rPr>
        <w:t>a</w:t>
      </w:r>
      <w:r w:rsidR="007023F8" w:rsidRPr="005448F6">
        <w:rPr>
          <w:rFonts w:ascii="Tahoma" w:hAnsi="Tahoma" w:cs="Tahoma"/>
          <w:sz w:val="24"/>
          <w:szCs w:val="24"/>
        </w:rPr>
        <w:t xml:space="preserve">pplication must </w:t>
      </w:r>
      <w:r w:rsidR="00554EBF">
        <w:rPr>
          <w:rFonts w:ascii="Tahoma" w:hAnsi="Tahoma" w:cs="Tahoma"/>
          <w:sz w:val="24"/>
          <w:szCs w:val="24"/>
        </w:rPr>
        <w:t>identify</w:t>
      </w:r>
      <w:r w:rsidR="007023F8" w:rsidRPr="005448F6">
        <w:rPr>
          <w:rFonts w:ascii="Tahoma" w:hAnsi="Tahoma" w:cs="Tahoma"/>
          <w:sz w:val="24"/>
          <w:szCs w:val="24"/>
        </w:rPr>
        <w:t xml:space="preserve"> which </w:t>
      </w:r>
      <w:r w:rsidR="009400FC">
        <w:rPr>
          <w:rFonts w:ascii="Tahoma" w:hAnsi="Tahoma" w:cs="Tahoma"/>
          <w:sz w:val="24"/>
          <w:szCs w:val="24"/>
        </w:rPr>
        <w:t>infrastructure type</w:t>
      </w:r>
      <w:r w:rsidR="009400FC" w:rsidRPr="005448F6">
        <w:rPr>
          <w:rFonts w:ascii="Tahoma" w:hAnsi="Tahoma" w:cs="Tahoma"/>
          <w:sz w:val="24"/>
          <w:szCs w:val="24"/>
        </w:rPr>
        <w:t xml:space="preserve"> </w:t>
      </w:r>
      <w:r w:rsidR="007023F8" w:rsidRPr="005448F6">
        <w:rPr>
          <w:rFonts w:ascii="Tahoma" w:hAnsi="Tahoma" w:cs="Tahoma"/>
          <w:sz w:val="24"/>
          <w:szCs w:val="24"/>
        </w:rPr>
        <w:t xml:space="preserve">is the principal and that </w:t>
      </w:r>
      <w:r w:rsidR="009400FC">
        <w:rPr>
          <w:rFonts w:ascii="Tahoma" w:hAnsi="Tahoma" w:cs="Tahoma"/>
          <w:sz w:val="24"/>
          <w:szCs w:val="24"/>
        </w:rPr>
        <w:t>infrastructure type</w:t>
      </w:r>
      <w:r w:rsidR="009400FC" w:rsidRPr="005448F6">
        <w:rPr>
          <w:rFonts w:ascii="Tahoma" w:hAnsi="Tahoma" w:cs="Tahoma"/>
          <w:sz w:val="24"/>
          <w:szCs w:val="24"/>
        </w:rPr>
        <w:t xml:space="preserve"> </w:t>
      </w:r>
      <w:r w:rsidR="007023F8" w:rsidRPr="005448F6">
        <w:rPr>
          <w:rFonts w:ascii="Tahoma" w:hAnsi="Tahoma" w:cs="Tahoma"/>
          <w:sz w:val="24"/>
          <w:szCs w:val="24"/>
        </w:rPr>
        <w:t xml:space="preserve">will be eligible for CEC funding. The secondary </w:t>
      </w:r>
      <w:r w:rsidR="009400FC">
        <w:rPr>
          <w:rFonts w:ascii="Tahoma" w:hAnsi="Tahoma" w:cs="Tahoma"/>
          <w:sz w:val="24"/>
          <w:szCs w:val="24"/>
        </w:rPr>
        <w:t>infrastructure type</w:t>
      </w:r>
      <w:r w:rsidR="009400FC" w:rsidRPr="005448F6">
        <w:rPr>
          <w:rFonts w:ascii="Tahoma" w:hAnsi="Tahoma" w:cs="Tahoma"/>
          <w:sz w:val="24"/>
          <w:szCs w:val="24"/>
        </w:rPr>
        <w:t xml:space="preserve"> </w:t>
      </w:r>
      <w:r w:rsidR="007023F8" w:rsidRPr="005448F6">
        <w:rPr>
          <w:rFonts w:ascii="Tahoma" w:hAnsi="Tahoma" w:cs="Tahoma"/>
          <w:sz w:val="24"/>
          <w:szCs w:val="24"/>
        </w:rPr>
        <w:t>is allowed</w:t>
      </w:r>
      <w:r w:rsidR="006B24AC">
        <w:rPr>
          <w:rFonts w:ascii="Tahoma" w:hAnsi="Tahoma" w:cs="Tahoma"/>
          <w:sz w:val="24"/>
          <w:szCs w:val="24"/>
        </w:rPr>
        <w:t>,</w:t>
      </w:r>
      <w:r w:rsidR="007023F8" w:rsidRPr="005448F6">
        <w:rPr>
          <w:rFonts w:ascii="Tahoma" w:hAnsi="Tahoma" w:cs="Tahoma"/>
          <w:sz w:val="24"/>
          <w:szCs w:val="24"/>
        </w:rPr>
        <w:t xml:space="preserve"> but must be match share only.</w:t>
      </w:r>
      <w:r w:rsidR="006B24AC">
        <w:rPr>
          <w:rFonts w:ascii="Tahoma" w:hAnsi="Tahoma" w:cs="Tahoma"/>
          <w:sz w:val="24"/>
          <w:szCs w:val="24"/>
        </w:rPr>
        <w:t xml:space="preserve"> The secondary infrastructure type proposed would not be required to install the minimum infrastructure requirements in the solicitation.</w:t>
      </w:r>
    </w:p>
    <w:p w14:paraId="5863019C" w14:textId="77777777" w:rsidR="000E3B3B" w:rsidRPr="005448F6" w:rsidRDefault="000E3B3B" w:rsidP="00736F44">
      <w:pPr>
        <w:spacing w:after="0" w:line="240" w:lineRule="auto"/>
        <w:ind w:left="720" w:hanging="720"/>
        <w:rPr>
          <w:rFonts w:ascii="Tahoma" w:hAnsi="Tahoma" w:cs="Tahoma"/>
          <w:sz w:val="24"/>
          <w:szCs w:val="24"/>
        </w:rPr>
      </w:pPr>
    </w:p>
    <w:p w14:paraId="5C06FB8D" w14:textId="1AE30149" w:rsidR="006E55F1" w:rsidRDefault="004821A9" w:rsidP="006E55F1">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34</w:t>
      </w:r>
      <w:r w:rsidR="006E55F1" w:rsidRPr="005448F6">
        <w:rPr>
          <w:rFonts w:ascii="Tahoma" w:eastAsia="Times New Roman" w:hAnsi="Tahoma" w:cs="Tahoma"/>
          <w:b/>
          <w:sz w:val="24"/>
          <w:szCs w:val="24"/>
        </w:rPr>
        <w:t>:</w:t>
      </w:r>
      <w:r w:rsidR="006E55F1" w:rsidRPr="005448F6">
        <w:rPr>
          <w:rFonts w:ascii="Tahoma" w:eastAsia="Times New Roman" w:hAnsi="Tahoma" w:cs="Tahoma"/>
          <w:b/>
          <w:sz w:val="24"/>
          <w:szCs w:val="24"/>
        </w:rPr>
        <w:tab/>
        <w:t xml:space="preserve">Is an </w:t>
      </w:r>
      <w:r w:rsidR="006B24AC">
        <w:rPr>
          <w:rFonts w:ascii="Tahoma" w:eastAsia="Times New Roman" w:hAnsi="Tahoma" w:cs="Tahoma"/>
          <w:b/>
          <w:sz w:val="24"/>
          <w:szCs w:val="24"/>
        </w:rPr>
        <w:t>off-</w:t>
      </w:r>
      <w:r w:rsidR="006E55F1" w:rsidRPr="005448F6">
        <w:rPr>
          <w:rFonts w:ascii="Tahoma" w:eastAsia="Times New Roman" w:hAnsi="Tahoma" w:cs="Tahoma"/>
          <w:b/>
          <w:sz w:val="24"/>
          <w:szCs w:val="24"/>
        </w:rPr>
        <w:t xml:space="preserve">grid internal combustion engine and genset that provides </w:t>
      </w:r>
      <w:r w:rsidR="006B24AC">
        <w:rPr>
          <w:rFonts w:ascii="Tahoma" w:eastAsia="Times New Roman" w:hAnsi="Tahoma" w:cs="Tahoma"/>
          <w:b/>
          <w:sz w:val="24"/>
          <w:szCs w:val="24"/>
        </w:rPr>
        <w:t>L</w:t>
      </w:r>
      <w:r w:rsidR="006E55F1" w:rsidRPr="005448F6">
        <w:rPr>
          <w:rFonts w:ascii="Tahoma" w:eastAsia="Times New Roman" w:hAnsi="Tahoma" w:cs="Tahoma"/>
          <w:b/>
          <w:sz w:val="24"/>
          <w:szCs w:val="24"/>
        </w:rPr>
        <w:t>evel 3 EV High Power High voltage 480V that runs on Propane, Natural Gas or Hydrogen eligible?</w:t>
      </w:r>
    </w:p>
    <w:p w14:paraId="386E8020" w14:textId="77777777" w:rsidR="0069423F" w:rsidRPr="005448F6" w:rsidRDefault="0069423F" w:rsidP="006E55F1">
      <w:pPr>
        <w:spacing w:after="0" w:line="240" w:lineRule="auto"/>
        <w:ind w:left="720" w:hanging="720"/>
        <w:rPr>
          <w:rFonts w:ascii="Tahoma" w:eastAsia="Times New Roman" w:hAnsi="Tahoma" w:cs="Tahoma"/>
          <w:b/>
          <w:sz w:val="24"/>
          <w:szCs w:val="24"/>
        </w:rPr>
      </w:pPr>
    </w:p>
    <w:p w14:paraId="3302B07D" w14:textId="73005F8E" w:rsidR="006E55F1"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34</w:t>
      </w:r>
      <w:r w:rsidR="006E55F1" w:rsidRPr="005448F6">
        <w:rPr>
          <w:rFonts w:ascii="Tahoma" w:hAnsi="Tahoma" w:cs="Tahoma"/>
          <w:sz w:val="24"/>
          <w:szCs w:val="24"/>
        </w:rPr>
        <w:t>:</w:t>
      </w:r>
      <w:r w:rsidR="006E55F1" w:rsidRPr="005448F6">
        <w:rPr>
          <w:rFonts w:ascii="Tahoma" w:hAnsi="Tahoma" w:cs="Tahoma"/>
          <w:sz w:val="24"/>
          <w:szCs w:val="24"/>
        </w:rPr>
        <w:tab/>
        <w:t>No</w:t>
      </w:r>
      <w:r w:rsidR="006B24AC">
        <w:rPr>
          <w:rFonts w:ascii="Tahoma" w:hAnsi="Tahoma" w:cs="Tahoma"/>
          <w:sz w:val="24"/>
          <w:szCs w:val="24"/>
        </w:rPr>
        <w:t>.</w:t>
      </w:r>
      <w:r w:rsidR="006E55F1" w:rsidRPr="005448F6">
        <w:rPr>
          <w:rFonts w:ascii="Tahoma" w:hAnsi="Tahoma" w:cs="Tahoma"/>
          <w:sz w:val="24"/>
          <w:szCs w:val="24"/>
        </w:rPr>
        <w:t xml:space="preserve"> </w:t>
      </w:r>
      <w:r w:rsidR="006B24AC">
        <w:rPr>
          <w:rFonts w:ascii="Tahoma" w:hAnsi="Tahoma" w:cs="Tahoma"/>
          <w:sz w:val="24"/>
          <w:szCs w:val="24"/>
        </w:rPr>
        <w:t>I</w:t>
      </w:r>
      <w:r w:rsidR="006E55F1" w:rsidRPr="005448F6">
        <w:rPr>
          <w:rFonts w:ascii="Tahoma" w:hAnsi="Tahoma" w:cs="Tahoma"/>
          <w:sz w:val="24"/>
          <w:szCs w:val="24"/>
        </w:rPr>
        <w:t xml:space="preserve">nternal combustion engine equipment </w:t>
      </w:r>
      <w:r w:rsidR="00817151">
        <w:rPr>
          <w:rFonts w:ascii="Tahoma" w:hAnsi="Tahoma" w:cs="Tahoma"/>
          <w:sz w:val="24"/>
          <w:szCs w:val="24"/>
        </w:rPr>
        <w:t>or equipment that runs on propane</w:t>
      </w:r>
      <w:r w:rsidR="007D6591">
        <w:rPr>
          <w:rFonts w:ascii="Tahoma" w:hAnsi="Tahoma" w:cs="Tahoma"/>
          <w:sz w:val="24"/>
          <w:szCs w:val="24"/>
        </w:rPr>
        <w:t xml:space="preserve"> and natural gas</w:t>
      </w:r>
      <w:r w:rsidR="006E55F1" w:rsidRPr="005448F6">
        <w:rPr>
          <w:rFonts w:ascii="Tahoma" w:hAnsi="Tahoma" w:cs="Tahoma"/>
          <w:sz w:val="24"/>
          <w:szCs w:val="24"/>
        </w:rPr>
        <w:t xml:space="preserve"> is </w:t>
      </w:r>
      <w:r w:rsidR="006B24AC">
        <w:rPr>
          <w:rFonts w:ascii="Tahoma" w:hAnsi="Tahoma" w:cs="Tahoma"/>
          <w:sz w:val="24"/>
          <w:szCs w:val="24"/>
        </w:rPr>
        <w:t xml:space="preserve">not </w:t>
      </w:r>
      <w:r w:rsidR="006E55F1" w:rsidRPr="005448F6">
        <w:rPr>
          <w:rFonts w:ascii="Tahoma" w:hAnsi="Tahoma" w:cs="Tahoma"/>
          <w:sz w:val="24"/>
          <w:szCs w:val="24"/>
        </w:rPr>
        <w:t xml:space="preserve">eligible </w:t>
      </w:r>
      <w:r w:rsidR="00080989">
        <w:rPr>
          <w:rFonts w:ascii="Tahoma" w:hAnsi="Tahoma" w:cs="Tahoma"/>
          <w:sz w:val="24"/>
          <w:szCs w:val="24"/>
        </w:rPr>
        <w:t>under this solicitation</w:t>
      </w:r>
      <w:r w:rsidR="006E55F1" w:rsidRPr="005448F6">
        <w:rPr>
          <w:rFonts w:ascii="Tahoma" w:hAnsi="Tahoma" w:cs="Tahoma"/>
          <w:sz w:val="24"/>
          <w:szCs w:val="24"/>
        </w:rPr>
        <w:t>.</w:t>
      </w:r>
    </w:p>
    <w:p w14:paraId="093982C8" w14:textId="77777777" w:rsidR="006E55F1" w:rsidRPr="005448F6" w:rsidRDefault="006E55F1" w:rsidP="006E55F1">
      <w:pPr>
        <w:spacing w:after="0" w:line="240" w:lineRule="auto"/>
        <w:rPr>
          <w:rFonts w:ascii="Tahoma" w:hAnsi="Tahoma" w:cs="Tahoma"/>
          <w:sz w:val="24"/>
          <w:szCs w:val="24"/>
        </w:rPr>
      </w:pPr>
    </w:p>
    <w:p w14:paraId="7F0AC5BA" w14:textId="7709F88C" w:rsidR="006E55F1" w:rsidRDefault="004821A9" w:rsidP="006E55F1">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35</w:t>
      </w:r>
      <w:r w:rsidR="006E55F1" w:rsidRPr="005448F6">
        <w:rPr>
          <w:rFonts w:ascii="Tahoma" w:eastAsia="Times New Roman" w:hAnsi="Tahoma" w:cs="Tahoma"/>
          <w:b/>
          <w:sz w:val="24"/>
          <w:szCs w:val="24"/>
        </w:rPr>
        <w:t>:</w:t>
      </w:r>
      <w:r w:rsidR="006E55F1" w:rsidRPr="005448F6">
        <w:rPr>
          <w:rFonts w:ascii="Tahoma" w:eastAsia="Times New Roman" w:hAnsi="Tahoma" w:cs="Tahoma"/>
          <w:b/>
          <w:sz w:val="24"/>
          <w:szCs w:val="24"/>
        </w:rPr>
        <w:tab/>
      </w:r>
      <w:r w:rsidR="00416F2D">
        <w:rPr>
          <w:rFonts w:ascii="Tahoma" w:eastAsia="Times New Roman" w:hAnsi="Tahoma" w:cs="Tahoma"/>
          <w:b/>
          <w:sz w:val="24"/>
          <w:szCs w:val="24"/>
        </w:rPr>
        <w:t>Would</w:t>
      </w:r>
      <w:r w:rsidR="006E55F1" w:rsidRPr="005448F6">
        <w:rPr>
          <w:rFonts w:ascii="Tahoma" w:eastAsia="Times New Roman" w:hAnsi="Tahoma" w:cs="Tahoma"/>
          <w:b/>
          <w:sz w:val="24"/>
          <w:szCs w:val="24"/>
        </w:rPr>
        <w:t xml:space="preserve"> </w:t>
      </w:r>
      <w:r w:rsidR="00197F43">
        <w:rPr>
          <w:rFonts w:ascii="Tahoma" w:eastAsia="Times New Roman" w:hAnsi="Tahoma" w:cs="Tahoma"/>
          <w:b/>
          <w:sz w:val="24"/>
          <w:szCs w:val="24"/>
        </w:rPr>
        <w:t xml:space="preserve">installation </w:t>
      </w:r>
      <w:r w:rsidR="00416F2D">
        <w:rPr>
          <w:rFonts w:ascii="Tahoma" w:eastAsia="Times New Roman" w:hAnsi="Tahoma" w:cs="Tahoma"/>
          <w:b/>
          <w:sz w:val="24"/>
          <w:szCs w:val="24"/>
        </w:rPr>
        <w:t>of</w:t>
      </w:r>
      <w:r w:rsidR="006E55F1" w:rsidRPr="005448F6">
        <w:rPr>
          <w:rFonts w:ascii="Tahoma" w:eastAsia="Times New Roman" w:hAnsi="Tahoma" w:cs="Tahoma"/>
          <w:b/>
          <w:sz w:val="24"/>
          <w:szCs w:val="24"/>
        </w:rPr>
        <w:t xml:space="preserve"> non-</w:t>
      </w:r>
      <w:r w:rsidR="00197F43">
        <w:rPr>
          <w:rFonts w:ascii="Tahoma" w:eastAsia="Times New Roman" w:hAnsi="Tahoma" w:cs="Tahoma"/>
          <w:b/>
          <w:sz w:val="24"/>
          <w:szCs w:val="24"/>
        </w:rPr>
        <w:t>combined charging system (</w:t>
      </w:r>
      <w:r w:rsidR="006E55F1" w:rsidRPr="005448F6">
        <w:rPr>
          <w:rFonts w:ascii="Tahoma" w:eastAsia="Times New Roman" w:hAnsi="Tahoma" w:cs="Tahoma"/>
          <w:b/>
          <w:sz w:val="24"/>
          <w:szCs w:val="24"/>
        </w:rPr>
        <w:t>CCS</w:t>
      </w:r>
      <w:r w:rsidR="00197F43">
        <w:rPr>
          <w:rFonts w:ascii="Tahoma" w:eastAsia="Times New Roman" w:hAnsi="Tahoma" w:cs="Tahoma"/>
          <w:b/>
          <w:sz w:val="24"/>
          <w:szCs w:val="24"/>
        </w:rPr>
        <w:t>)</w:t>
      </w:r>
      <w:r w:rsidR="006E55F1" w:rsidRPr="005448F6">
        <w:rPr>
          <w:rFonts w:ascii="Tahoma" w:eastAsia="Times New Roman" w:hAnsi="Tahoma" w:cs="Tahoma"/>
          <w:b/>
          <w:sz w:val="24"/>
          <w:szCs w:val="24"/>
        </w:rPr>
        <w:t xml:space="preserve"> connectors, such as wireless inductive charging be considered </w:t>
      </w:r>
      <w:r w:rsidR="00197F43">
        <w:rPr>
          <w:rFonts w:ascii="Tahoma" w:eastAsia="Times New Roman" w:hAnsi="Tahoma" w:cs="Tahoma"/>
          <w:b/>
          <w:sz w:val="24"/>
          <w:szCs w:val="24"/>
        </w:rPr>
        <w:t xml:space="preserve">an </w:t>
      </w:r>
      <w:r w:rsidR="006E55F1" w:rsidRPr="005448F6">
        <w:rPr>
          <w:rFonts w:ascii="Tahoma" w:eastAsia="Times New Roman" w:hAnsi="Tahoma" w:cs="Tahoma"/>
          <w:b/>
          <w:sz w:val="24"/>
          <w:szCs w:val="24"/>
        </w:rPr>
        <w:t>eligible</w:t>
      </w:r>
      <w:r w:rsidR="00197F43">
        <w:rPr>
          <w:rFonts w:ascii="Tahoma" w:eastAsia="Times New Roman" w:hAnsi="Tahoma" w:cs="Tahoma"/>
          <w:b/>
          <w:sz w:val="24"/>
          <w:szCs w:val="24"/>
        </w:rPr>
        <w:t xml:space="preserve"> project</w:t>
      </w:r>
      <w:r w:rsidR="006E55F1" w:rsidRPr="005448F6">
        <w:rPr>
          <w:rFonts w:ascii="Tahoma" w:eastAsia="Times New Roman" w:hAnsi="Tahoma" w:cs="Tahoma"/>
          <w:b/>
          <w:sz w:val="24"/>
          <w:szCs w:val="24"/>
        </w:rPr>
        <w:t>?</w:t>
      </w:r>
    </w:p>
    <w:p w14:paraId="1B200EB6" w14:textId="77777777" w:rsidR="0069423F" w:rsidRPr="005448F6" w:rsidRDefault="0069423F" w:rsidP="006E55F1">
      <w:pPr>
        <w:spacing w:after="0" w:line="240" w:lineRule="auto"/>
        <w:ind w:left="720" w:hanging="720"/>
        <w:rPr>
          <w:rFonts w:ascii="Tahoma" w:eastAsia="Times New Roman" w:hAnsi="Tahoma" w:cs="Tahoma"/>
          <w:b/>
          <w:sz w:val="24"/>
          <w:szCs w:val="24"/>
        </w:rPr>
      </w:pPr>
    </w:p>
    <w:p w14:paraId="5B507F28" w14:textId="7CF00B5D" w:rsidR="006E55F1"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35</w:t>
      </w:r>
      <w:r w:rsidR="006E55F1" w:rsidRPr="005448F6">
        <w:rPr>
          <w:rFonts w:ascii="Tahoma" w:hAnsi="Tahoma" w:cs="Tahoma"/>
          <w:sz w:val="24"/>
          <w:szCs w:val="24"/>
        </w:rPr>
        <w:t>:</w:t>
      </w:r>
      <w:r w:rsidR="006E55F1" w:rsidRPr="005448F6">
        <w:rPr>
          <w:rFonts w:ascii="Tahoma" w:hAnsi="Tahoma" w:cs="Tahoma"/>
          <w:sz w:val="24"/>
          <w:szCs w:val="24"/>
        </w:rPr>
        <w:tab/>
        <w:t xml:space="preserve">Yes, wireless inductive charging is </w:t>
      </w:r>
      <w:r w:rsidR="003A5AAF">
        <w:rPr>
          <w:rFonts w:ascii="Tahoma" w:hAnsi="Tahoma" w:cs="Tahoma"/>
          <w:sz w:val="24"/>
          <w:szCs w:val="24"/>
        </w:rPr>
        <w:t>an</w:t>
      </w:r>
      <w:r w:rsidR="006E55F1" w:rsidRPr="005448F6">
        <w:rPr>
          <w:rFonts w:ascii="Tahoma" w:hAnsi="Tahoma" w:cs="Tahoma"/>
          <w:sz w:val="24"/>
          <w:szCs w:val="24"/>
        </w:rPr>
        <w:t xml:space="preserve"> eligible</w:t>
      </w:r>
      <w:r w:rsidR="003A5AAF">
        <w:rPr>
          <w:rFonts w:ascii="Tahoma" w:hAnsi="Tahoma" w:cs="Tahoma"/>
          <w:sz w:val="24"/>
          <w:szCs w:val="24"/>
        </w:rPr>
        <w:t xml:space="preserve"> project.</w:t>
      </w:r>
    </w:p>
    <w:p w14:paraId="3A2B14D9" w14:textId="77777777" w:rsidR="006E55F1" w:rsidRPr="005448F6" w:rsidRDefault="006E55F1" w:rsidP="006E55F1">
      <w:pPr>
        <w:spacing w:after="0" w:line="240" w:lineRule="auto"/>
        <w:rPr>
          <w:rFonts w:ascii="Tahoma" w:hAnsi="Tahoma" w:cs="Tahoma"/>
          <w:sz w:val="24"/>
          <w:szCs w:val="24"/>
        </w:rPr>
      </w:pPr>
    </w:p>
    <w:p w14:paraId="198EB04B" w14:textId="4C5C79E7" w:rsidR="006E55F1" w:rsidRPr="005448F6" w:rsidRDefault="004821A9" w:rsidP="006E55F1">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lastRenderedPageBreak/>
        <w:t>Q</w:t>
      </w:r>
      <w:r>
        <w:rPr>
          <w:rFonts w:ascii="Tahoma" w:eastAsia="Times New Roman" w:hAnsi="Tahoma" w:cs="Tahoma"/>
          <w:b/>
          <w:sz w:val="24"/>
          <w:szCs w:val="24"/>
        </w:rPr>
        <w:t>36</w:t>
      </w:r>
      <w:r w:rsidR="006E55F1" w:rsidRPr="005448F6">
        <w:rPr>
          <w:rFonts w:ascii="Tahoma" w:eastAsia="Times New Roman" w:hAnsi="Tahoma" w:cs="Tahoma"/>
          <w:b/>
          <w:sz w:val="24"/>
          <w:szCs w:val="24"/>
        </w:rPr>
        <w:t>:</w:t>
      </w:r>
      <w:r w:rsidR="006E55F1" w:rsidRPr="005448F6">
        <w:rPr>
          <w:rFonts w:ascii="Tahoma" w:eastAsia="Times New Roman" w:hAnsi="Tahoma" w:cs="Tahoma"/>
          <w:b/>
          <w:sz w:val="24"/>
          <w:szCs w:val="24"/>
        </w:rPr>
        <w:tab/>
        <w:t>Are there minimum specifications or preferred standards for charging systems (e.g., plug type, interoperability, software communication standards)?</w:t>
      </w:r>
    </w:p>
    <w:p w14:paraId="7EB9FD93" w14:textId="77777777" w:rsidR="001D4815" w:rsidRPr="005448F6" w:rsidRDefault="001D4815" w:rsidP="006E55F1">
      <w:pPr>
        <w:spacing w:after="0" w:line="240" w:lineRule="auto"/>
        <w:ind w:left="720" w:hanging="720"/>
        <w:rPr>
          <w:rFonts w:ascii="Tahoma" w:eastAsia="Times New Roman" w:hAnsi="Tahoma" w:cs="Tahoma"/>
          <w:b/>
          <w:sz w:val="24"/>
          <w:szCs w:val="24"/>
        </w:rPr>
      </w:pPr>
    </w:p>
    <w:p w14:paraId="120DE166" w14:textId="59D8698F" w:rsidR="006E55F1"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36</w:t>
      </w:r>
      <w:r w:rsidR="006E55F1" w:rsidRPr="005448F6">
        <w:rPr>
          <w:rFonts w:ascii="Tahoma" w:hAnsi="Tahoma" w:cs="Tahoma"/>
          <w:sz w:val="24"/>
          <w:szCs w:val="24"/>
        </w:rPr>
        <w:t>:</w:t>
      </w:r>
      <w:r w:rsidR="006E55F1" w:rsidRPr="005448F6">
        <w:rPr>
          <w:rFonts w:ascii="Tahoma" w:hAnsi="Tahoma" w:cs="Tahoma"/>
          <w:sz w:val="24"/>
          <w:szCs w:val="24"/>
        </w:rPr>
        <w:tab/>
        <w:t>Yes</w:t>
      </w:r>
      <w:r w:rsidR="008F6268">
        <w:rPr>
          <w:rFonts w:ascii="Tahoma" w:hAnsi="Tahoma" w:cs="Tahoma"/>
          <w:sz w:val="24"/>
          <w:szCs w:val="24"/>
        </w:rPr>
        <w:t xml:space="preserve">. Refer to </w:t>
      </w:r>
      <w:r w:rsidR="006E55F1" w:rsidRPr="005448F6">
        <w:rPr>
          <w:rFonts w:ascii="Tahoma" w:hAnsi="Tahoma" w:cs="Tahoma"/>
          <w:sz w:val="24"/>
          <w:szCs w:val="24"/>
        </w:rPr>
        <w:t>Section II.B.5</w:t>
      </w:r>
      <w:r w:rsidR="002F7A1F">
        <w:rPr>
          <w:rFonts w:ascii="Tahoma" w:hAnsi="Tahoma" w:cs="Tahoma"/>
          <w:sz w:val="24"/>
          <w:szCs w:val="24"/>
        </w:rPr>
        <w:t>.</w:t>
      </w:r>
      <w:r w:rsidR="006E55F1" w:rsidRPr="005448F6">
        <w:rPr>
          <w:rFonts w:ascii="Tahoma" w:hAnsi="Tahoma" w:cs="Tahoma"/>
          <w:sz w:val="24"/>
          <w:szCs w:val="24"/>
        </w:rPr>
        <w:t xml:space="preserve"> for California EVSE Commercial Device </w:t>
      </w:r>
      <w:r w:rsidR="002F7A1F">
        <w:rPr>
          <w:rFonts w:ascii="Tahoma" w:hAnsi="Tahoma" w:cs="Tahoma"/>
          <w:sz w:val="24"/>
          <w:szCs w:val="24"/>
        </w:rPr>
        <w:t>r</w:t>
      </w:r>
      <w:r w:rsidR="006E55F1" w:rsidRPr="005448F6">
        <w:rPr>
          <w:rFonts w:ascii="Tahoma" w:hAnsi="Tahoma" w:cs="Tahoma"/>
          <w:sz w:val="24"/>
          <w:szCs w:val="24"/>
        </w:rPr>
        <w:t>equirements.</w:t>
      </w:r>
    </w:p>
    <w:p w14:paraId="51063A36" w14:textId="77777777" w:rsidR="0049661C" w:rsidRPr="005448F6" w:rsidRDefault="0049661C" w:rsidP="002903A0">
      <w:pPr>
        <w:spacing w:after="0" w:line="240" w:lineRule="auto"/>
        <w:ind w:left="720" w:hanging="720"/>
        <w:rPr>
          <w:rFonts w:ascii="Tahoma" w:eastAsia="Times New Roman" w:hAnsi="Tahoma" w:cs="Tahoma"/>
          <w:sz w:val="24"/>
          <w:szCs w:val="24"/>
        </w:rPr>
      </w:pPr>
    </w:p>
    <w:p w14:paraId="0C2B50ED" w14:textId="60F16340" w:rsidR="006E55F1" w:rsidRPr="005448F6" w:rsidRDefault="004821A9" w:rsidP="006E55F1">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37</w:t>
      </w:r>
      <w:r w:rsidR="006E55F1" w:rsidRPr="005448F6">
        <w:rPr>
          <w:rFonts w:ascii="Tahoma" w:eastAsia="Times New Roman" w:hAnsi="Tahoma" w:cs="Tahoma"/>
          <w:b/>
          <w:sz w:val="24"/>
          <w:szCs w:val="24"/>
        </w:rPr>
        <w:t>:</w:t>
      </w:r>
      <w:r w:rsidR="006E55F1" w:rsidRPr="005448F6">
        <w:rPr>
          <w:rFonts w:ascii="Tahoma" w:eastAsia="Times New Roman" w:hAnsi="Tahoma" w:cs="Tahoma"/>
          <w:b/>
          <w:sz w:val="24"/>
          <w:szCs w:val="24"/>
        </w:rPr>
        <w:tab/>
        <w:t xml:space="preserve">For hydrogen refueling infrastructure, is there a preferred </w:t>
      </w:r>
      <w:r w:rsidR="00241C83">
        <w:rPr>
          <w:rFonts w:ascii="Tahoma" w:eastAsia="Times New Roman" w:hAnsi="Tahoma" w:cs="Tahoma"/>
          <w:b/>
          <w:sz w:val="24"/>
          <w:szCs w:val="24"/>
        </w:rPr>
        <w:t>or required pressure level</w:t>
      </w:r>
      <w:r w:rsidR="006E55F1" w:rsidRPr="005448F6">
        <w:rPr>
          <w:rFonts w:ascii="Tahoma" w:eastAsia="Times New Roman" w:hAnsi="Tahoma" w:cs="Tahoma"/>
          <w:b/>
          <w:sz w:val="24"/>
          <w:szCs w:val="24"/>
        </w:rPr>
        <w:t xml:space="preserve"> (e.g., 350 </w:t>
      </w:r>
      <w:r w:rsidR="00241C83">
        <w:rPr>
          <w:rFonts w:ascii="Tahoma" w:eastAsia="Times New Roman" w:hAnsi="Tahoma" w:cs="Tahoma"/>
          <w:b/>
          <w:sz w:val="24"/>
          <w:szCs w:val="24"/>
        </w:rPr>
        <w:t xml:space="preserve">bar </w:t>
      </w:r>
      <w:r w:rsidR="006E55F1" w:rsidRPr="005448F6">
        <w:rPr>
          <w:rFonts w:ascii="Tahoma" w:eastAsia="Times New Roman" w:hAnsi="Tahoma" w:cs="Tahoma"/>
          <w:b/>
          <w:sz w:val="24"/>
          <w:szCs w:val="24"/>
        </w:rPr>
        <w:t>vs. 700 bar) or fueling standard required for medium- and heavy-duty vehicles?</w:t>
      </w:r>
    </w:p>
    <w:p w14:paraId="3D1EDA91" w14:textId="77777777" w:rsidR="001D4815" w:rsidRPr="005448F6" w:rsidRDefault="001D4815" w:rsidP="006E55F1">
      <w:pPr>
        <w:spacing w:after="0" w:line="240" w:lineRule="auto"/>
        <w:ind w:left="720" w:hanging="720"/>
        <w:rPr>
          <w:rFonts w:ascii="Tahoma" w:eastAsia="Times New Roman" w:hAnsi="Tahoma" w:cs="Tahoma"/>
          <w:b/>
          <w:sz w:val="24"/>
          <w:szCs w:val="24"/>
        </w:rPr>
      </w:pPr>
    </w:p>
    <w:p w14:paraId="74CC5548" w14:textId="53C322F4" w:rsidR="006E55F1"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37</w:t>
      </w:r>
      <w:r w:rsidR="006E55F1" w:rsidRPr="005448F6">
        <w:rPr>
          <w:rFonts w:ascii="Tahoma" w:hAnsi="Tahoma" w:cs="Tahoma"/>
          <w:sz w:val="24"/>
          <w:szCs w:val="24"/>
        </w:rPr>
        <w:t>:</w:t>
      </w:r>
      <w:r w:rsidR="006E55F1" w:rsidRPr="005448F6">
        <w:rPr>
          <w:rFonts w:ascii="Tahoma" w:hAnsi="Tahoma" w:cs="Tahoma"/>
          <w:sz w:val="24"/>
          <w:szCs w:val="24"/>
        </w:rPr>
        <w:tab/>
      </w:r>
      <w:r w:rsidR="008C1C64">
        <w:rPr>
          <w:rFonts w:ascii="Tahoma" w:hAnsi="Tahoma" w:cs="Tahoma"/>
          <w:sz w:val="24"/>
          <w:szCs w:val="24"/>
        </w:rPr>
        <w:t xml:space="preserve">If applying as a Small Port, a minimum of 2 heavy-duty hydrogen dispensing positions for simultaneous refueling must be included </w:t>
      </w:r>
      <w:r w:rsidR="003A7CD5">
        <w:rPr>
          <w:rFonts w:ascii="Tahoma" w:hAnsi="Tahoma" w:cs="Tahoma"/>
          <w:sz w:val="24"/>
          <w:szCs w:val="24"/>
        </w:rPr>
        <w:t xml:space="preserve">in the proposed project </w:t>
      </w:r>
      <w:r w:rsidR="008C1C64">
        <w:rPr>
          <w:rFonts w:ascii="Tahoma" w:hAnsi="Tahoma" w:cs="Tahoma"/>
          <w:sz w:val="24"/>
          <w:szCs w:val="24"/>
        </w:rPr>
        <w:t>with at least 1 of the positions</w:t>
      </w:r>
      <w:r w:rsidR="00781461">
        <w:rPr>
          <w:rFonts w:ascii="Tahoma" w:hAnsi="Tahoma" w:cs="Tahoma"/>
          <w:sz w:val="24"/>
          <w:szCs w:val="24"/>
        </w:rPr>
        <w:t xml:space="preserve"> dispensing at 700</w:t>
      </w:r>
      <w:r w:rsidR="003A7CD5">
        <w:rPr>
          <w:rFonts w:ascii="Tahoma" w:hAnsi="Tahoma" w:cs="Tahoma"/>
          <w:sz w:val="24"/>
          <w:szCs w:val="24"/>
        </w:rPr>
        <w:t>-</w:t>
      </w:r>
      <w:r w:rsidR="00781461">
        <w:rPr>
          <w:rFonts w:ascii="Tahoma" w:hAnsi="Tahoma" w:cs="Tahoma"/>
          <w:sz w:val="24"/>
          <w:szCs w:val="24"/>
        </w:rPr>
        <w:t>bar. If applying a</w:t>
      </w:r>
      <w:r w:rsidR="00D27171">
        <w:rPr>
          <w:rFonts w:ascii="Tahoma" w:hAnsi="Tahoma" w:cs="Tahoma"/>
          <w:sz w:val="24"/>
          <w:szCs w:val="24"/>
        </w:rPr>
        <w:t>s a Large Port, a minimum of 4 heavy-duty hydrogen dispensing positions for simultaneous</w:t>
      </w:r>
      <w:r w:rsidR="0068731F">
        <w:rPr>
          <w:rFonts w:ascii="Tahoma" w:hAnsi="Tahoma" w:cs="Tahoma"/>
          <w:sz w:val="24"/>
          <w:szCs w:val="24"/>
        </w:rPr>
        <w:t xml:space="preserve"> refueling must be included in the proposed project with at least 2 of the positions </w:t>
      </w:r>
      <w:r w:rsidR="006F40A4">
        <w:rPr>
          <w:rFonts w:ascii="Tahoma" w:hAnsi="Tahoma" w:cs="Tahoma"/>
          <w:sz w:val="24"/>
          <w:szCs w:val="24"/>
        </w:rPr>
        <w:t>dispensing at 700-bar</w:t>
      </w:r>
      <w:r w:rsidR="003A7CD5">
        <w:rPr>
          <w:rFonts w:ascii="Tahoma" w:hAnsi="Tahoma" w:cs="Tahoma"/>
          <w:sz w:val="24"/>
          <w:szCs w:val="24"/>
        </w:rPr>
        <w:t>.</w:t>
      </w:r>
      <w:r w:rsidR="00C93370">
        <w:rPr>
          <w:rFonts w:ascii="Tahoma" w:hAnsi="Tahoma" w:cs="Tahoma"/>
          <w:sz w:val="24"/>
          <w:szCs w:val="24"/>
        </w:rPr>
        <w:t xml:space="preserve"> </w:t>
      </w:r>
      <w:r w:rsidR="00C130FF">
        <w:rPr>
          <w:rFonts w:ascii="Tahoma" w:hAnsi="Tahoma" w:cs="Tahoma"/>
          <w:sz w:val="24"/>
          <w:szCs w:val="24"/>
        </w:rPr>
        <w:t>If</w:t>
      </w:r>
      <w:r w:rsidR="00C130FF" w:rsidRPr="00C130FF">
        <w:rPr>
          <w:rFonts w:ascii="Tahoma" w:hAnsi="Tahoma" w:cs="Tahoma"/>
          <w:sz w:val="24"/>
          <w:szCs w:val="24"/>
        </w:rPr>
        <w:t xml:space="preserve"> the hydrogen</w:t>
      </w:r>
      <w:r w:rsidR="00C130FF">
        <w:rPr>
          <w:rFonts w:ascii="Tahoma" w:hAnsi="Tahoma" w:cs="Tahoma"/>
          <w:sz w:val="24"/>
          <w:szCs w:val="24"/>
        </w:rPr>
        <w:t xml:space="preserve"> refueling</w:t>
      </w:r>
      <w:r w:rsidR="00C130FF" w:rsidRPr="00C130FF">
        <w:rPr>
          <w:rFonts w:ascii="Tahoma" w:hAnsi="Tahoma" w:cs="Tahoma"/>
          <w:sz w:val="24"/>
          <w:szCs w:val="24"/>
        </w:rPr>
        <w:t xml:space="preserve"> station will be open retail, the refueling station shall conform to the most recent published version of SAE International J2601 (fueling protocols). Refer to Section </w:t>
      </w:r>
      <w:r w:rsidR="008217B7">
        <w:rPr>
          <w:rFonts w:ascii="Tahoma" w:hAnsi="Tahoma" w:cs="Tahoma"/>
          <w:sz w:val="24"/>
          <w:szCs w:val="24"/>
        </w:rPr>
        <w:t xml:space="preserve">II.B.2. and </w:t>
      </w:r>
      <w:r w:rsidR="00C130FF" w:rsidRPr="00C130FF">
        <w:rPr>
          <w:rFonts w:ascii="Tahoma" w:hAnsi="Tahoma" w:cs="Tahoma"/>
          <w:sz w:val="24"/>
          <w:szCs w:val="24"/>
        </w:rPr>
        <w:t>II.D.3.</w:t>
      </w:r>
    </w:p>
    <w:p w14:paraId="7C1771D6" w14:textId="08B3C173" w:rsidR="00101BA3" w:rsidRPr="005448F6" w:rsidRDefault="00101BA3" w:rsidP="00401AE7">
      <w:pPr>
        <w:spacing w:after="0" w:line="240" w:lineRule="auto"/>
        <w:rPr>
          <w:rFonts w:ascii="Tahoma" w:hAnsi="Tahoma" w:cs="Tahoma"/>
          <w:sz w:val="24"/>
          <w:szCs w:val="24"/>
        </w:rPr>
      </w:pPr>
    </w:p>
    <w:p w14:paraId="37EAD014" w14:textId="2BACD4B3" w:rsidR="00101BA3" w:rsidRPr="005448F6" w:rsidRDefault="004821A9" w:rsidP="00101BA3">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38</w:t>
      </w:r>
      <w:r w:rsidR="00101BA3" w:rsidRPr="005448F6">
        <w:rPr>
          <w:rFonts w:ascii="Tahoma" w:eastAsia="Times New Roman" w:hAnsi="Tahoma" w:cs="Tahoma"/>
          <w:b/>
          <w:sz w:val="24"/>
          <w:szCs w:val="24"/>
        </w:rPr>
        <w:t>:</w:t>
      </w:r>
      <w:r w:rsidR="00101BA3" w:rsidRPr="005448F6">
        <w:rPr>
          <w:rFonts w:ascii="Tahoma" w:eastAsia="Times New Roman" w:hAnsi="Tahoma" w:cs="Tahoma"/>
          <w:b/>
          <w:sz w:val="24"/>
          <w:szCs w:val="24"/>
        </w:rPr>
        <w:tab/>
        <w:t xml:space="preserve">Will </w:t>
      </w:r>
      <w:r w:rsidR="006C52B4">
        <w:rPr>
          <w:rFonts w:ascii="Tahoma" w:eastAsia="Times New Roman" w:hAnsi="Tahoma" w:cs="Tahoma"/>
          <w:b/>
          <w:sz w:val="24"/>
          <w:szCs w:val="24"/>
        </w:rPr>
        <w:t xml:space="preserve">the </w:t>
      </w:r>
      <w:r w:rsidR="00101BA3" w:rsidRPr="005448F6">
        <w:rPr>
          <w:rFonts w:ascii="Tahoma" w:eastAsia="Times New Roman" w:hAnsi="Tahoma" w:cs="Tahoma"/>
          <w:b/>
          <w:sz w:val="24"/>
          <w:szCs w:val="24"/>
        </w:rPr>
        <w:t xml:space="preserve">CEC accept </w:t>
      </w:r>
      <w:r w:rsidR="006C52B4">
        <w:rPr>
          <w:rFonts w:ascii="Tahoma" w:eastAsia="Times New Roman" w:hAnsi="Tahoma" w:cs="Tahoma"/>
          <w:b/>
          <w:sz w:val="24"/>
          <w:szCs w:val="24"/>
        </w:rPr>
        <w:t xml:space="preserve">multiple applications from the same Applicant for either </w:t>
      </w:r>
      <w:r w:rsidR="00101BA3" w:rsidRPr="005448F6">
        <w:rPr>
          <w:rFonts w:ascii="Tahoma" w:eastAsia="Times New Roman" w:hAnsi="Tahoma" w:cs="Tahoma"/>
          <w:b/>
          <w:sz w:val="24"/>
          <w:szCs w:val="24"/>
        </w:rPr>
        <w:t>group (</w:t>
      </w:r>
      <w:r w:rsidR="006C52B4">
        <w:rPr>
          <w:rFonts w:ascii="Tahoma" w:eastAsia="Times New Roman" w:hAnsi="Tahoma" w:cs="Tahoma"/>
          <w:b/>
          <w:sz w:val="24"/>
          <w:szCs w:val="24"/>
        </w:rPr>
        <w:t>S</w:t>
      </w:r>
      <w:r w:rsidR="00101BA3" w:rsidRPr="005448F6">
        <w:rPr>
          <w:rFonts w:ascii="Tahoma" w:eastAsia="Times New Roman" w:hAnsi="Tahoma" w:cs="Tahoma"/>
          <w:b/>
          <w:sz w:val="24"/>
          <w:szCs w:val="24"/>
        </w:rPr>
        <w:t>mall</w:t>
      </w:r>
      <w:r w:rsidR="0019782B">
        <w:rPr>
          <w:rFonts w:ascii="Tahoma" w:eastAsia="Times New Roman" w:hAnsi="Tahoma" w:cs="Tahoma"/>
          <w:b/>
          <w:sz w:val="24"/>
          <w:szCs w:val="24"/>
        </w:rPr>
        <w:t xml:space="preserve"> </w:t>
      </w:r>
      <w:proofErr w:type="gramStart"/>
      <w:r w:rsidR="0019782B">
        <w:rPr>
          <w:rFonts w:ascii="Tahoma" w:eastAsia="Times New Roman" w:hAnsi="Tahoma" w:cs="Tahoma"/>
          <w:b/>
          <w:sz w:val="24"/>
          <w:szCs w:val="24"/>
        </w:rPr>
        <w:t>and</w:t>
      </w:r>
      <w:proofErr w:type="gramEnd"/>
      <w:r w:rsidR="0019782B">
        <w:rPr>
          <w:rFonts w:ascii="Tahoma" w:eastAsia="Times New Roman" w:hAnsi="Tahoma" w:cs="Tahoma"/>
          <w:b/>
          <w:sz w:val="24"/>
          <w:szCs w:val="24"/>
        </w:rPr>
        <w:t xml:space="preserve"> </w:t>
      </w:r>
      <w:r w:rsidR="006C52B4">
        <w:rPr>
          <w:rFonts w:ascii="Tahoma" w:eastAsia="Times New Roman" w:hAnsi="Tahoma" w:cs="Tahoma"/>
          <w:b/>
          <w:sz w:val="24"/>
          <w:szCs w:val="24"/>
        </w:rPr>
        <w:t>L</w:t>
      </w:r>
      <w:r w:rsidR="00101BA3" w:rsidRPr="005448F6">
        <w:rPr>
          <w:rFonts w:ascii="Tahoma" w:eastAsia="Times New Roman" w:hAnsi="Tahoma" w:cs="Tahoma"/>
          <w:b/>
          <w:sz w:val="24"/>
          <w:szCs w:val="24"/>
        </w:rPr>
        <w:t xml:space="preserve">arge ports)? </w:t>
      </w:r>
      <w:r w:rsidR="006C52B4">
        <w:rPr>
          <w:rFonts w:ascii="Tahoma" w:eastAsia="Times New Roman" w:hAnsi="Tahoma" w:cs="Tahoma"/>
          <w:b/>
          <w:sz w:val="24"/>
          <w:szCs w:val="24"/>
        </w:rPr>
        <w:t>Additionally,</w:t>
      </w:r>
      <w:r w:rsidR="006C52B4" w:rsidRPr="005448F6">
        <w:rPr>
          <w:rFonts w:ascii="Tahoma" w:eastAsia="Times New Roman" w:hAnsi="Tahoma" w:cs="Tahoma"/>
          <w:b/>
          <w:sz w:val="24"/>
          <w:szCs w:val="24"/>
        </w:rPr>
        <w:t xml:space="preserve"> </w:t>
      </w:r>
      <w:r w:rsidR="00101BA3" w:rsidRPr="005448F6">
        <w:rPr>
          <w:rFonts w:ascii="Tahoma" w:eastAsia="Times New Roman" w:hAnsi="Tahoma" w:cs="Tahoma"/>
          <w:b/>
          <w:sz w:val="24"/>
          <w:szCs w:val="24"/>
        </w:rPr>
        <w:t>can</w:t>
      </w:r>
      <w:r w:rsidR="0019782B">
        <w:rPr>
          <w:rFonts w:ascii="Tahoma" w:eastAsia="Times New Roman" w:hAnsi="Tahoma" w:cs="Tahoma"/>
          <w:b/>
          <w:sz w:val="24"/>
          <w:szCs w:val="24"/>
        </w:rPr>
        <w:t xml:space="preserve"> an Applicant submit proposals for both groups?</w:t>
      </w:r>
      <w:r w:rsidR="00101BA3" w:rsidRPr="005448F6">
        <w:rPr>
          <w:rFonts w:ascii="Tahoma" w:eastAsia="Times New Roman" w:hAnsi="Tahoma" w:cs="Tahoma"/>
          <w:b/>
          <w:sz w:val="24"/>
          <w:szCs w:val="24"/>
        </w:rPr>
        <w:t xml:space="preserve"> </w:t>
      </w:r>
    </w:p>
    <w:p w14:paraId="7E371551" w14:textId="77777777" w:rsidR="001D4815" w:rsidRPr="005448F6" w:rsidRDefault="001D4815" w:rsidP="00101BA3">
      <w:pPr>
        <w:spacing w:after="0" w:line="240" w:lineRule="auto"/>
        <w:ind w:left="720" w:hanging="720"/>
        <w:rPr>
          <w:rFonts w:ascii="Tahoma" w:eastAsia="Times New Roman" w:hAnsi="Tahoma" w:cs="Tahoma"/>
          <w:b/>
          <w:sz w:val="24"/>
          <w:szCs w:val="24"/>
        </w:rPr>
      </w:pPr>
    </w:p>
    <w:p w14:paraId="537957B5" w14:textId="7DBBCF8B" w:rsidR="000325AD" w:rsidRPr="00665882" w:rsidRDefault="004821A9" w:rsidP="00665882">
      <w:pPr>
        <w:spacing w:after="0"/>
        <w:ind w:left="720"/>
        <w:rPr>
          <w:rFonts w:ascii="Tahoma" w:eastAsia="Times New Roman" w:hAnsi="Tahoma" w:cs="Tahoma"/>
          <w:sz w:val="24"/>
        </w:rPr>
      </w:pPr>
      <w:r w:rsidRPr="005448F6">
        <w:rPr>
          <w:rFonts w:ascii="Tahoma" w:hAnsi="Tahoma" w:cs="Tahoma"/>
          <w:sz w:val="24"/>
          <w:szCs w:val="24"/>
        </w:rPr>
        <w:t>A</w:t>
      </w:r>
      <w:r>
        <w:rPr>
          <w:rFonts w:ascii="Tahoma" w:hAnsi="Tahoma" w:cs="Tahoma"/>
          <w:sz w:val="24"/>
          <w:szCs w:val="24"/>
        </w:rPr>
        <w:t>38</w:t>
      </w:r>
      <w:r w:rsidR="000325AD" w:rsidRPr="005448F6">
        <w:rPr>
          <w:rFonts w:ascii="Tahoma" w:hAnsi="Tahoma" w:cs="Tahoma"/>
          <w:sz w:val="24"/>
          <w:szCs w:val="24"/>
        </w:rPr>
        <w:t>:</w:t>
      </w:r>
      <w:r w:rsidR="000325AD" w:rsidRPr="005448F6">
        <w:rPr>
          <w:rFonts w:ascii="Tahoma" w:hAnsi="Tahoma" w:cs="Tahoma"/>
          <w:sz w:val="24"/>
          <w:szCs w:val="24"/>
        </w:rPr>
        <w:tab/>
        <w:t xml:space="preserve">Applicants may submit multiple applications for each Applicant Group as long as each application is separate and distinct; however, no Applicant will be eligible for more than a total award of $15 million. </w:t>
      </w:r>
      <w:r w:rsidR="0019782B">
        <w:rPr>
          <w:rFonts w:ascii="Tahoma" w:hAnsi="Tahoma" w:cs="Tahoma"/>
          <w:sz w:val="24"/>
          <w:szCs w:val="24"/>
        </w:rPr>
        <w:t xml:space="preserve">Refer to </w:t>
      </w:r>
      <w:r w:rsidR="000325AD" w:rsidRPr="005448F6">
        <w:rPr>
          <w:rFonts w:ascii="Tahoma" w:hAnsi="Tahoma" w:cs="Tahoma"/>
          <w:sz w:val="24"/>
          <w:szCs w:val="24"/>
        </w:rPr>
        <w:t>Section I.G</w:t>
      </w:r>
      <w:r w:rsidR="0019782B">
        <w:rPr>
          <w:rFonts w:ascii="Tahoma" w:hAnsi="Tahoma" w:cs="Tahoma"/>
          <w:sz w:val="24"/>
          <w:szCs w:val="24"/>
        </w:rPr>
        <w:t>.</w:t>
      </w:r>
      <w:r w:rsidR="00665882" w:rsidRPr="00665882">
        <w:rPr>
          <w:rFonts w:ascii="Tahoma" w:eastAsia="Times New Roman" w:hAnsi="Tahoma" w:cs="Tahoma"/>
          <w:sz w:val="24"/>
        </w:rPr>
        <w:t xml:space="preserve"> A separate and distinct application means there is no overlap with respect to the tasks described in the Scope of Work (Attachment 02) of the application. </w:t>
      </w:r>
    </w:p>
    <w:p w14:paraId="71268CB9" w14:textId="77777777" w:rsidR="000325AD" w:rsidRPr="005448F6" w:rsidRDefault="000325AD" w:rsidP="000325AD">
      <w:pPr>
        <w:spacing w:after="0" w:line="240" w:lineRule="auto"/>
        <w:ind w:left="720"/>
        <w:rPr>
          <w:rFonts w:ascii="Tahoma" w:hAnsi="Tahoma" w:cs="Tahoma"/>
          <w:sz w:val="24"/>
          <w:szCs w:val="24"/>
        </w:rPr>
      </w:pPr>
    </w:p>
    <w:p w14:paraId="27E3814D" w14:textId="240FB987" w:rsidR="00101BA3" w:rsidRPr="005448F6" w:rsidRDefault="004821A9" w:rsidP="00101BA3">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3</w:t>
      </w:r>
      <w:r w:rsidRPr="005448F6">
        <w:rPr>
          <w:rFonts w:ascii="Tahoma" w:eastAsia="Times New Roman" w:hAnsi="Tahoma" w:cs="Tahoma"/>
          <w:b/>
          <w:sz w:val="24"/>
          <w:szCs w:val="24"/>
        </w:rPr>
        <w:t>9</w:t>
      </w:r>
      <w:r w:rsidR="00101BA3" w:rsidRPr="005448F6">
        <w:rPr>
          <w:rFonts w:ascii="Tahoma" w:eastAsia="Times New Roman" w:hAnsi="Tahoma" w:cs="Tahoma"/>
          <w:b/>
          <w:sz w:val="24"/>
          <w:szCs w:val="24"/>
        </w:rPr>
        <w:t>:</w:t>
      </w:r>
      <w:r w:rsidR="00101BA3" w:rsidRPr="005448F6">
        <w:rPr>
          <w:rFonts w:ascii="Tahoma" w:eastAsia="Times New Roman" w:hAnsi="Tahoma" w:cs="Tahoma"/>
          <w:b/>
          <w:sz w:val="24"/>
          <w:szCs w:val="24"/>
        </w:rPr>
        <w:tab/>
        <w:t xml:space="preserve">For hydrogen </w:t>
      </w:r>
      <w:r w:rsidR="00CE7DAD">
        <w:rPr>
          <w:rFonts w:ascii="Tahoma" w:eastAsia="Times New Roman" w:hAnsi="Tahoma" w:cs="Tahoma"/>
          <w:b/>
          <w:sz w:val="24"/>
          <w:szCs w:val="24"/>
        </w:rPr>
        <w:t xml:space="preserve">refueling </w:t>
      </w:r>
      <w:r w:rsidR="00101BA3" w:rsidRPr="005448F6">
        <w:rPr>
          <w:rFonts w:ascii="Tahoma" w:eastAsia="Times New Roman" w:hAnsi="Tahoma" w:cs="Tahoma"/>
          <w:b/>
          <w:sz w:val="24"/>
          <w:szCs w:val="24"/>
        </w:rPr>
        <w:t xml:space="preserve">infrastructure, is there a </w:t>
      </w:r>
      <w:r w:rsidR="00CE7DAD">
        <w:rPr>
          <w:rFonts w:ascii="Tahoma" w:eastAsia="Times New Roman" w:hAnsi="Tahoma" w:cs="Tahoma"/>
          <w:b/>
          <w:sz w:val="24"/>
          <w:szCs w:val="24"/>
        </w:rPr>
        <w:t>requirement</w:t>
      </w:r>
      <w:r w:rsidR="00CE7DAD" w:rsidRPr="005448F6">
        <w:rPr>
          <w:rFonts w:ascii="Tahoma" w:eastAsia="Times New Roman" w:hAnsi="Tahoma" w:cs="Tahoma"/>
          <w:b/>
          <w:sz w:val="24"/>
          <w:szCs w:val="24"/>
        </w:rPr>
        <w:t xml:space="preserve"> </w:t>
      </w:r>
      <w:r w:rsidR="00CE7DAD">
        <w:rPr>
          <w:rFonts w:ascii="Tahoma" w:eastAsia="Times New Roman" w:hAnsi="Tahoma" w:cs="Tahoma"/>
          <w:b/>
          <w:sz w:val="24"/>
          <w:szCs w:val="24"/>
        </w:rPr>
        <w:t>to support</w:t>
      </w:r>
      <w:r w:rsidR="00101BA3" w:rsidRPr="005448F6">
        <w:rPr>
          <w:rFonts w:ascii="Tahoma" w:eastAsia="Times New Roman" w:hAnsi="Tahoma" w:cs="Tahoma"/>
          <w:b/>
          <w:sz w:val="24"/>
          <w:szCs w:val="24"/>
        </w:rPr>
        <w:t xml:space="preserve"> hydrogen powered watercraft? </w:t>
      </w:r>
      <w:r w:rsidR="00CE7DAD">
        <w:rPr>
          <w:rFonts w:ascii="Tahoma" w:eastAsia="Times New Roman" w:hAnsi="Tahoma" w:cs="Tahoma"/>
          <w:b/>
          <w:sz w:val="24"/>
          <w:szCs w:val="24"/>
        </w:rPr>
        <w:t>Given the</w:t>
      </w:r>
      <w:r w:rsidR="00101BA3" w:rsidRPr="005448F6">
        <w:rPr>
          <w:rFonts w:ascii="Tahoma" w:eastAsia="Times New Roman" w:hAnsi="Tahoma" w:cs="Tahoma"/>
          <w:b/>
          <w:sz w:val="24"/>
          <w:szCs w:val="24"/>
        </w:rPr>
        <w:t xml:space="preserve"> port focused</w:t>
      </w:r>
      <w:r w:rsidR="00CE7DAD">
        <w:rPr>
          <w:rFonts w:ascii="Tahoma" w:eastAsia="Times New Roman" w:hAnsi="Tahoma" w:cs="Tahoma"/>
          <w:b/>
          <w:sz w:val="24"/>
          <w:szCs w:val="24"/>
        </w:rPr>
        <w:t xml:space="preserve"> nature of the solicitation, is the ability to refuel waterborne vessels expected or required?</w:t>
      </w:r>
    </w:p>
    <w:p w14:paraId="1DA26908" w14:textId="77777777" w:rsidR="001D4815" w:rsidRPr="005448F6" w:rsidRDefault="001D4815" w:rsidP="00101BA3">
      <w:pPr>
        <w:spacing w:after="0" w:line="240" w:lineRule="auto"/>
        <w:ind w:left="720" w:hanging="720"/>
        <w:rPr>
          <w:rFonts w:ascii="Tahoma" w:eastAsia="Times New Roman" w:hAnsi="Tahoma" w:cs="Tahoma"/>
          <w:b/>
          <w:sz w:val="24"/>
          <w:szCs w:val="24"/>
        </w:rPr>
      </w:pPr>
    </w:p>
    <w:p w14:paraId="5DE4313A" w14:textId="0C4934B8" w:rsidR="00101BA3"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3</w:t>
      </w:r>
      <w:r w:rsidRPr="005448F6">
        <w:rPr>
          <w:rFonts w:ascii="Tahoma" w:hAnsi="Tahoma" w:cs="Tahoma"/>
          <w:sz w:val="24"/>
          <w:szCs w:val="24"/>
        </w:rPr>
        <w:t>9</w:t>
      </w:r>
      <w:r w:rsidR="00101BA3" w:rsidRPr="005448F6">
        <w:rPr>
          <w:rFonts w:ascii="Tahoma" w:hAnsi="Tahoma" w:cs="Tahoma"/>
          <w:sz w:val="24"/>
          <w:szCs w:val="24"/>
        </w:rPr>
        <w:t>:</w:t>
      </w:r>
      <w:r w:rsidR="00101BA3" w:rsidRPr="005448F6">
        <w:rPr>
          <w:rFonts w:ascii="Tahoma" w:hAnsi="Tahoma" w:cs="Tahoma"/>
          <w:sz w:val="24"/>
          <w:szCs w:val="24"/>
        </w:rPr>
        <w:tab/>
        <w:t>Charging</w:t>
      </w:r>
      <w:r w:rsidR="003C17C0">
        <w:rPr>
          <w:rFonts w:ascii="Tahoma" w:hAnsi="Tahoma" w:cs="Tahoma"/>
          <w:sz w:val="24"/>
          <w:szCs w:val="24"/>
        </w:rPr>
        <w:t xml:space="preserve"> or </w:t>
      </w:r>
      <w:r w:rsidR="00101BA3" w:rsidRPr="005448F6">
        <w:rPr>
          <w:rFonts w:ascii="Tahoma" w:hAnsi="Tahoma" w:cs="Tahoma"/>
          <w:sz w:val="24"/>
          <w:szCs w:val="24"/>
        </w:rPr>
        <w:t xml:space="preserve">refueling of watercraft is not a requirement of this solicitation. However, </w:t>
      </w:r>
      <w:r w:rsidR="003C17C0">
        <w:rPr>
          <w:rFonts w:ascii="Tahoma" w:hAnsi="Tahoma" w:cs="Tahoma"/>
          <w:sz w:val="24"/>
          <w:szCs w:val="24"/>
        </w:rPr>
        <w:t xml:space="preserve">Applicants may include </w:t>
      </w:r>
      <w:r w:rsidR="00101BA3" w:rsidRPr="005448F6">
        <w:rPr>
          <w:rFonts w:ascii="Tahoma" w:hAnsi="Tahoma" w:cs="Tahoma"/>
          <w:sz w:val="24"/>
          <w:szCs w:val="24"/>
        </w:rPr>
        <w:t xml:space="preserve">infrastructure </w:t>
      </w:r>
      <w:r w:rsidR="003C17C0">
        <w:rPr>
          <w:rFonts w:ascii="Tahoma" w:hAnsi="Tahoma" w:cs="Tahoma"/>
          <w:sz w:val="24"/>
          <w:szCs w:val="24"/>
        </w:rPr>
        <w:t>to support</w:t>
      </w:r>
      <w:r w:rsidR="003C17C0" w:rsidRPr="005448F6">
        <w:rPr>
          <w:rFonts w:ascii="Tahoma" w:hAnsi="Tahoma" w:cs="Tahoma"/>
          <w:sz w:val="24"/>
          <w:szCs w:val="24"/>
        </w:rPr>
        <w:t xml:space="preserve"> </w:t>
      </w:r>
      <w:r w:rsidR="00101BA3" w:rsidRPr="005448F6">
        <w:rPr>
          <w:rFonts w:ascii="Tahoma" w:hAnsi="Tahoma" w:cs="Tahoma"/>
          <w:sz w:val="24"/>
          <w:szCs w:val="24"/>
        </w:rPr>
        <w:t>watercraft</w:t>
      </w:r>
      <w:r w:rsidR="003C17C0">
        <w:rPr>
          <w:rFonts w:ascii="Tahoma" w:hAnsi="Tahoma" w:cs="Tahoma"/>
          <w:sz w:val="24"/>
          <w:szCs w:val="24"/>
        </w:rPr>
        <w:t xml:space="preserve">, provided </w:t>
      </w:r>
      <w:r w:rsidR="00101BA3" w:rsidRPr="005448F6">
        <w:rPr>
          <w:rFonts w:ascii="Tahoma" w:hAnsi="Tahoma" w:cs="Tahoma"/>
          <w:sz w:val="24"/>
          <w:szCs w:val="24"/>
        </w:rPr>
        <w:t xml:space="preserve">all solicitation requirements are met. </w:t>
      </w:r>
    </w:p>
    <w:p w14:paraId="5DF0AC68" w14:textId="77777777" w:rsidR="006E55F1" w:rsidRPr="005448F6" w:rsidRDefault="006E55F1" w:rsidP="006E55F1">
      <w:pPr>
        <w:spacing w:after="0" w:line="240" w:lineRule="auto"/>
        <w:ind w:left="720" w:hanging="720"/>
        <w:rPr>
          <w:rFonts w:ascii="Tahoma" w:hAnsi="Tahoma" w:cs="Tahoma"/>
          <w:sz w:val="24"/>
          <w:szCs w:val="24"/>
        </w:rPr>
      </w:pPr>
    </w:p>
    <w:p w14:paraId="7374D52A" w14:textId="7F019CD9" w:rsidR="00EC6816" w:rsidRPr="005448F6" w:rsidRDefault="004821A9" w:rsidP="00EC6816">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40</w:t>
      </w:r>
      <w:r w:rsidR="00EC6816" w:rsidRPr="005448F6">
        <w:rPr>
          <w:rFonts w:ascii="Tahoma" w:eastAsia="Times New Roman" w:hAnsi="Tahoma" w:cs="Tahoma"/>
          <w:b/>
          <w:sz w:val="24"/>
          <w:szCs w:val="24"/>
        </w:rPr>
        <w:t>:</w:t>
      </w:r>
      <w:r w:rsidR="00EC6816" w:rsidRPr="005448F6">
        <w:rPr>
          <w:rFonts w:ascii="Tahoma" w:eastAsia="Times New Roman" w:hAnsi="Tahoma" w:cs="Tahoma"/>
          <w:b/>
          <w:sz w:val="24"/>
          <w:szCs w:val="24"/>
        </w:rPr>
        <w:tab/>
        <w:t xml:space="preserve">If battery-electric charging is proposed for a </w:t>
      </w:r>
      <w:r w:rsidR="009D1BE7">
        <w:rPr>
          <w:rFonts w:ascii="Tahoma" w:eastAsia="Times New Roman" w:hAnsi="Tahoma" w:cs="Tahoma"/>
          <w:b/>
          <w:sz w:val="24"/>
          <w:szCs w:val="24"/>
        </w:rPr>
        <w:t>L</w:t>
      </w:r>
      <w:r w:rsidR="00EC6816" w:rsidRPr="005448F6">
        <w:rPr>
          <w:rFonts w:ascii="Tahoma" w:eastAsia="Times New Roman" w:hAnsi="Tahoma" w:cs="Tahoma"/>
          <w:b/>
          <w:sz w:val="24"/>
          <w:szCs w:val="24"/>
        </w:rPr>
        <w:t xml:space="preserve">arge </w:t>
      </w:r>
      <w:r w:rsidR="009D1BE7">
        <w:rPr>
          <w:rFonts w:ascii="Tahoma" w:eastAsia="Times New Roman" w:hAnsi="Tahoma" w:cs="Tahoma"/>
          <w:b/>
          <w:sz w:val="24"/>
          <w:szCs w:val="24"/>
        </w:rPr>
        <w:t>P</w:t>
      </w:r>
      <w:r w:rsidR="00EC6816" w:rsidRPr="005448F6">
        <w:rPr>
          <w:rFonts w:ascii="Tahoma" w:eastAsia="Times New Roman" w:hAnsi="Tahoma" w:cs="Tahoma"/>
          <w:b/>
          <w:sz w:val="24"/>
          <w:szCs w:val="24"/>
        </w:rPr>
        <w:t xml:space="preserve">ort, </w:t>
      </w:r>
      <w:r w:rsidR="00A203D1">
        <w:rPr>
          <w:rFonts w:ascii="Tahoma" w:eastAsia="Times New Roman" w:hAnsi="Tahoma" w:cs="Tahoma"/>
          <w:b/>
          <w:sz w:val="24"/>
          <w:szCs w:val="24"/>
        </w:rPr>
        <w:t xml:space="preserve">can </w:t>
      </w:r>
      <w:r w:rsidR="00EC6816" w:rsidRPr="005448F6">
        <w:rPr>
          <w:rFonts w:ascii="Tahoma" w:eastAsia="Times New Roman" w:hAnsi="Tahoma" w:cs="Tahoma"/>
          <w:b/>
          <w:sz w:val="24"/>
          <w:szCs w:val="24"/>
        </w:rPr>
        <w:t xml:space="preserve">the </w:t>
      </w:r>
      <w:r w:rsidR="00A203D1">
        <w:rPr>
          <w:rFonts w:ascii="Tahoma" w:eastAsia="Times New Roman" w:hAnsi="Tahoma" w:cs="Tahoma"/>
          <w:b/>
          <w:sz w:val="24"/>
          <w:szCs w:val="24"/>
        </w:rPr>
        <w:t xml:space="preserve">project include </w:t>
      </w:r>
      <w:r w:rsidR="00EC6816" w:rsidRPr="005448F6">
        <w:rPr>
          <w:rFonts w:ascii="Tahoma" w:eastAsia="Times New Roman" w:hAnsi="Tahoma" w:cs="Tahoma"/>
          <w:b/>
          <w:sz w:val="24"/>
          <w:szCs w:val="24"/>
        </w:rPr>
        <w:t xml:space="preserve">charging </w:t>
      </w:r>
      <w:r w:rsidR="001A3B52">
        <w:rPr>
          <w:rFonts w:ascii="Tahoma" w:eastAsia="Times New Roman" w:hAnsi="Tahoma" w:cs="Tahoma"/>
          <w:b/>
          <w:sz w:val="24"/>
          <w:szCs w:val="24"/>
        </w:rPr>
        <w:t xml:space="preserve">infrastructure </w:t>
      </w:r>
      <w:r w:rsidR="00EC6816" w:rsidRPr="005448F6">
        <w:rPr>
          <w:rFonts w:ascii="Tahoma" w:eastAsia="Times New Roman" w:hAnsi="Tahoma" w:cs="Tahoma"/>
          <w:b/>
          <w:sz w:val="24"/>
          <w:szCs w:val="24"/>
        </w:rPr>
        <w:t>for a harbor vessel</w:t>
      </w:r>
      <w:r w:rsidR="009037A9">
        <w:rPr>
          <w:rFonts w:ascii="Tahoma" w:eastAsia="Times New Roman" w:hAnsi="Tahoma" w:cs="Tahoma"/>
          <w:b/>
          <w:sz w:val="24"/>
          <w:szCs w:val="24"/>
        </w:rPr>
        <w:t>? If so,</w:t>
      </w:r>
      <w:r w:rsidR="00EC6816" w:rsidRPr="005448F6">
        <w:rPr>
          <w:rFonts w:ascii="Tahoma" w:eastAsia="Times New Roman" w:hAnsi="Tahoma" w:cs="Tahoma"/>
          <w:b/>
          <w:sz w:val="24"/>
          <w:szCs w:val="24"/>
        </w:rPr>
        <w:t xml:space="preserve"> would </w:t>
      </w:r>
      <w:r w:rsidR="009037A9">
        <w:rPr>
          <w:rFonts w:ascii="Tahoma" w:eastAsia="Times New Roman" w:hAnsi="Tahoma" w:cs="Tahoma"/>
          <w:b/>
          <w:sz w:val="24"/>
          <w:szCs w:val="24"/>
        </w:rPr>
        <w:t xml:space="preserve">the project </w:t>
      </w:r>
      <w:r w:rsidR="00EC6816" w:rsidRPr="005448F6">
        <w:rPr>
          <w:rFonts w:ascii="Tahoma" w:eastAsia="Times New Roman" w:hAnsi="Tahoma" w:cs="Tahoma"/>
          <w:b/>
          <w:sz w:val="24"/>
          <w:szCs w:val="24"/>
        </w:rPr>
        <w:t xml:space="preserve">still need to </w:t>
      </w:r>
      <w:r w:rsidR="009037A9">
        <w:rPr>
          <w:rFonts w:ascii="Tahoma" w:eastAsia="Times New Roman" w:hAnsi="Tahoma" w:cs="Tahoma"/>
          <w:b/>
          <w:sz w:val="24"/>
          <w:szCs w:val="24"/>
        </w:rPr>
        <w:t>meet the minimum requirement of 40 new charging ports</w:t>
      </w:r>
      <w:r w:rsidR="00635091">
        <w:rPr>
          <w:rFonts w:ascii="Tahoma" w:eastAsia="Times New Roman" w:hAnsi="Tahoma" w:cs="Tahoma"/>
          <w:b/>
          <w:sz w:val="24"/>
          <w:szCs w:val="24"/>
        </w:rPr>
        <w:t>? For example, a proposed</w:t>
      </w:r>
      <w:r w:rsidR="00C31BD6">
        <w:rPr>
          <w:rFonts w:ascii="Tahoma" w:eastAsia="Times New Roman" w:hAnsi="Tahoma" w:cs="Tahoma"/>
          <w:b/>
          <w:sz w:val="24"/>
          <w:szCs w:val="24"/>
        </w:rPr>
        <w:t xml:space="preserve"> vessel charging </w:t>
      </w:r>
      <w:r w:rsidR="00635091">
        <w:rPr>
          <w:rFonts w:ascii="Tahoma" w:eastAsia="Times New Roman" w:hAnsi="Tahoma" w:cs="Tahoma"/>
          <w:b/>
          <w:sz w:val="24"/>
          <w:szCs w:val="24"/>
        </w:rPr>
        <w:t xml:space="preserve">project </w:t>
      </w:r>
      <w:r w:rsidR="0090615C">
        <w:rPr>
          <w:rFonts w:ascii="Tahoma" w:eastAsia="Times New Roman" w:hAnsi="Tahoma" w:cs="Tahoma"/>
          <w:b/>
          <w:sz w:val="24"/>
          <w:szCs w:val="24"/>
        </w:rPr>
        <w:t xml:space="preserve">may </w:t>
      </w:r>
      <w:r w:rsidR="0090615C">
        <w:rPr>
          <w:rFonts w:ascii="Tahoma" w:eastAsia="Times New Roman" w:hAnsi="Tahoma" w:cs="Tahoma"/>
          <w:b/>
          <w:sz w:val="24"/>
          <w:szCs w:val="24"/>
        </w:rPr>
        <w:lastRenderedPageBreak/>
        <w:t xml:space="preserve">only need </w:t>
      </w:r>
      <w:r w:rsidR="00B133E9">
        <w:rPr>
          <w:rFonts w:ascii="Tahoma" w:eastAsia="Times New Roman" w:hAnsi="Tahoma" w:cs="Tahoma"/>
          <w:b/>
          <w:sz w:val="24"/>
          <w:szCs w:val="24"/>
        </w:rPr>
        <w:t>two charging ports</w:t>
      </w:r>
      <w:r w:rsidR="002113BD">
        <w:rPr>
          <w:rFonts w:ascii="Tahoma" w:eastAsia="Times New Roman" w:hAnsi="Tahoma" w:cs="Tahoma"/>
          <w:b/>
          <w:sz w:val="24"/>
          <w:szCs w:val="24"/>
        </w:rPr>
        <w:t xml:space="preserve">. </w:t>
      </w:r>
      <w:r w:rsidR="00C276BD">
        <w:rPr>
          <w:rFonts w:ascii="Tahoma" w:eastAsia="Times New Roman" w:hAnsi="Tahoma" w:cs="Tahoma"/>
          <w:b/>
          <w:sz w:val="24"/>
          <w:szCs w:val="24"/>
        </w:rPr>
        <w:t xml:space="preserve">In this example, </w:t>
      </w:r>
      <w:r w:rsidR="005B290E">
        <w:rPr>
          <w:rFonts w:ascii="Tahoma" w:eastAsia="Times New Roman" w:hAnsi="Tahoma" w:cs="Tahoma"/>
          <w:b/>
          <w:sz w:val="24"/>
          <w:szCs w:val="24"/>
        </w:rPr>
        <w:t xml:space="preserve">would </w:t>
      </w:r>
      <w:r w:rsidR="002A3529">
        <w:rPr>
          <w:rFonts w:ascii="Tahoma" w:eastAsia="Times New Roman" w:hAnsi="Tahoma" w:cs="Tahoma"/>
          <w:b/>
          <w:sz w:val="24"/>
          <w:szCs w:val="24"/>
        </w:rPr>
        <w:t xml:space="preserve">the project </w:t>
      </w:r>
      <w:r w:rsidR="00EC6816" w:rsidRPr="005448F6">
        <w:rPr>
          <w:rFonts w:ascii="Tahoma" w:eastAsia="Times New Roman" w:hAnsi="Tahoma" w:cs="Tahoma"/>
          <w:b/>
          <w:sz w:val="24"/>
          <w:szCs w:val="24"/>
        </w:rPr>
        <w:t xml:space="preserve">need to include charging </w:t>
      </w:r>
      <w:r w:rsidR="007746A5">
        <w:rPr>
          <w:rFonts w:ascii="Tahoma" w:eastAsia="Times New Roman" w:hAnsi="Tahoma" w:cs="Tahoma"/>
          <w:b/>
          <w:sz w:val="24"/>
          <w:szCs w:val="24"/>
        </w:rPr>
        <w:t xml:space="preserve">ports </w:t>
      </w:r>
      <w:r w:rsidR="00EC6816" w:rsidRPr="005448F6">
        <w:rPr>
          <w:rFonts w:ascii="Tahoma" w:eastAsia="Times New Roman" w:hAnsi="Tahoma" w:cs="Tahoma"/>
          <w:b/>
          <w:sz w:val="24"/>
          <w:szCs w:val="24"/>
        </w:rPr>
        <w:t>beyond just the vessel charging</w:t>
      </w:r>
      <w:r w:rsidR="005B290E">
        <w:rPr>
          <w:rFonts w:ascii="Tahoma" w:eastAsia="Times New Roman" w:hAnsi="Tahoma" w:cs="Tahoma"/>
          <w:b/>
          <w:sz w:val="24"/>
          <w:szCs w:val="24"/>
        </w:rPr>
        <w:t xml:space="preserve"> in order to meet the requirement minimum charging port count</w:t>
      </w:r>
      <w:r w:rsidR="00EC6816" w:rsidRPr="005448F6">
        <w:rPr>
          <w:rFonts w:ascii="Tahoma" w:eastAsia="Times New Roman" w:hAnsi="Tahoma" w:cs="Tahoma"/>
          <w:b/>
          <w:sz w:val="24"/>
          <w:szCs w:val="24"/>
        </w:rPr>
        <w:t>?)</w:t>
      </w:r>
    </w:p>
    <w:p w14:paraId="1DEF848A" w14:textId="77777777" w:rsidR="001D4815" w:rsidRPr="005448F6" w:rsidRDefault="001D4815" w:rsidP="00EC6816">
      <w:pPr>
        <w:spacing w:after="0" w:line="240" w:lineRule="auto"/>
        <w:ind w:left="720" w:hanging="720"/>
        <w:rPr>
          <w:rFonts w:ascii="Tahoma" w:eastAsia="Times New Roman" w:hAnsi="Tahoma" w:cs="Tahoma"/>
          <w:b/>
          <w:sz w:val="24"/>
          <w:szCs w:val="24"/>
        </w:rPr>
      </w:pPr>
    </w:p>
    <w:p w14:paraId="6422A0B2" w14:textId="6B28FD7A" w:rsidR="00EC6816"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40</w:t>
      </w:r>
      <w:r w:rsidR="00EC6816" w:rsidRPr="005448F6">
        <w:rPr>
          <w:rFonts w:ascii="Tahoma" w:hAnsi="Tahoma" w:cs="Tahoma"/>
          <w:sz w:val="24"/>
          <w:szCs w:val="24"/>
        </w:rPr>
        <w:t>:</w:t>
      </w:r>
      <w:r w:rsidR="00EC6816" w:rsidRPr="005448F6">
        <w:rPr>
          <w:rFonts w:ascii="Tahoma" w:hAnsi="Tahoma" w:cs="Tahoma"/>
          <w:sz w:val="24"/>
          <w:szCs w:val="24"/>
        </w:rPr>
        <w:tab/>
      </w:r>
      <w:r w:rsidR="005B290E">
        <w:rPr>
          <w:rFonts w:ascii="Tahoma" w:hAnsi="Tahoma" w:cs="Tahoma"/>
          <w:sz w:val="24"/>
          <w:szCs w:val="24"/>
        </w:rPr>
        <w:t xml:space="preserve">Yes, </w:t>
      </w:r>
      <w:r w:rsidR="00D32A76">
        <w:rPr>
          <w:rFonts w:ascii="Tahoma" w:hAnsi="Tahoma" w:cs="Tahoma"/>
          <w:sz w:val="24"/>
          <w:szCs w:val="24"/>
        </w:rPr>
        <w:t xml:space="preserve">a proposed project may include </w:t>
      </w:r>
      <w:r w:rsidR="007523E9">
        <w:rPr>
          <w:rFonts w:ascii="Tahoma" w:hAnsi="Tahoma" w:cs="Tahoma"/>
          <w:sz w:val="24"/>
          <w:szCs w:val="24"/>
        </w:rPr>
        <w:t>in-ground</w:t>
      </w:r>
      <w:r w:rsidR="00D32A76">
        <w:rPr>
          <w:rFonts w:ascii="Tahoma" w:hAnsi="Tahoma" w:cs="Tahoma"/>
          <w:sz w:val="24"/>
          <w:szCs w:val="24"/>
        </w:rPr>
        <w:t xml:space="preserve"> charging or hydrogen refueling infrastructure to support a harbor vessel. </w:t>
      </w:r>
      <w:r w:rsidR="007746A5">
        <w:rPr>
          <w:rFonts w:ascii="Tahoma" w:hAnsi="Tahoma" w:cs="Tahoma"/>
          <w:sz w:val="24"/>
          <w:szCs w:val="24"/>
        </w:rPr>
        <w:t>T</w:t>
      </w:r>
      <w:r w:rsidR="00EC6816" w:rsidRPr="005448F6">
        <w:rPr>
          <w:rFonts w:ascii="Tahoma" w:hAnsi="Tahoma" w:cs="Tahoma"/>
          <w:sz w:val="24"/>
          <w:szCs w:val="24"/>
        </w:rPr>
        <w:t>he</w:t>
      </w:r>
      <w:r w:rsidR="007746A5">
        <w:rPr>
          <w:rFonts w:ascii="Tahoma" w:hAnsi="Tahoma" w:cs="Tahoma"/>
          <w:sz w:val="24"/>
          <w:szCs w:val="24"/>
        </w:rPr>
        <w:t xml:space="preserve"> proposed</w:t>
      </w:r>
      <w:r w:rsidR="00EC6816" w:rsidRPr="005448F6">
        <w:rPr>
          <w:rFonts w:ascii="Tahoma" w:hAnsi="Tahoma" w:cs="Tahoma"/>
          <w:sz w:val="24"/>
          <w:szCs w:val="24"/>
        </w:rPr>
        <w:t xml:space="preserve"> project would need to meet the minimum </w:t>
      </w:r>
      <w:r w:rsidR="004A181F">
        <w:rPr>
          <w:rFonts w:ascii="Tahoma" w:hAnsi="Tahoma" w:cs="Tahoma"/>
          <w:sz w:val="24"/>
          <w:szCs w:val="24"/>
        </w:rPr>
        <w:t xml:space="preserve">charger port or hydrogen fueling position </w:t>
      </w:r>
      <w:r w:rsidR="00EC6816" w:rsidRPr="005448F6">
        <w:rPr>
          <w:rFonts w:ascii="Tahoma" w:hAnsi="Tahoma" w:cs="Tahoma"/>
          <w:sz w:val="24"/>
          <w:szCs w:val="24"/>
        </w:rPr>
        <w:t>deployment requirements</w:t>
      </w:r>
      <w:r w:rsidR="007746A5">
        <w:rPr>
          <w:rFonts w:ascii="Tahoma" w:hAnsi="Tahoma" w:cs="Tahoma"/>
          <w:sz w:val="24"/>
          <w:szCs w:val="24"/>
        </w:rPr>
        <w:t xml:space="preserve"> outlined in Section I.G.</w:t>
      </w:r>
      <w:r w:rsidR="004A181F">
        <w:rPr>
          <w:rFonts w:ascii="Tahoma" w:hAnsi="Tahoma" w:cs="Tahoma"/>
          <w:sz w:val="24"/>
          <w:szCs w:val="24"/>
        </w:rPr>
        <w:t>,</w:t>
      </w:r>
      <w:r w:rsidR="007746A5">
        <w:rPr>
          <w:rFonts w:ascii="Tahoma" w:hAnsi="Tahoma" w:cs="Tahoma"/>
          <w:sz w:val="24"/>
          <w:szCs w:val="24"/>
        </w:rPr>
        <w:t xml:space="preserve"> which </w:t>
      </w:r>
      <w:r w:rsidR="00F12221">
        <w:rPr>
          <w:rFonts w:ascii="Tahoma" w:hAnsi="Tahoma" w:cs="Tahoma"/>
          <w:sz w:val="24"/>
          <w:szCs w:val="24"/>
        </w:rPr>
        <w:t xml:space="preserve">in the example provided, would require additional charging ports to be deployed at the site for </w:t>
      </w:r>
      <w:r w:rsidR="003D4004">
        <w:rPr>
          <w:rFonts w:ascii="Tahoma" w:hAnsi="Tahoma" w:cs="Tahoma"/>
          <w:sz w:val="24"/>
          <w:szCs w:val="24"/>
        </w:rPr>
        <w:t xml:space="preserve">other </w:t>
      </w:r>
      <w:r w:rsidR="003D4004" w:rsidRPr="003D4004">
        <w:rPr>
          <w:rFonts w:ascii="Tahoma" w:hAnsi="Tahoma" w:cs="Tahoma"/>
          <w:sz w:val="24"/>
          <w:szCs w:val="24"/>
        </w:rPr>
        <w:t>MDHD vehicles and/or port equipment and/or off-road equipment</w:t>
      </w:r>
      <w:r w:rsidR="00F12221">
        <w:rPr>
          <w:rFonts w:ascii="Tahoma" w:hAnsi="Tahoma" w:cs="Tahoma"/>
          <w:sz w:val="24"/>
          <w:szCs w:val="24"/>
        </w:rPr>
        <w:t>.</w:t>
      </w:r>
    </w:p>
    <w:p w14:paraId="49BB42A2" w14:textId="77777777" w:rsidR="000325AD" w:rsidRPr="005448F6" w:rsidRDefault="000325AD" w:rsidP="00EC6816">
      <w:pPr>
        <w:spacing w:after="0" w:line="240" w:lineRule="auto"/>
        <w:ind w:left="720" w:hanging="720"/>
        <w:rPr>
          <w:rFonts w:ascii="Tahoma" w:hAnsi="Tahoma" w:cs="Tahoma"/>
          <w:sz w:val="24"/>
          <w:szCs w:val="24"/>
        </w:rPr>
      </w:pPr>
    </w:p>
    <w:p w14:paraId="4C936F66" w14:textId="0F0948D3" w:rsidR="00EC6816" w:rsidRPr="005448F6" w:rsidRDefault="004821A9" w:rsidP="00EC6816">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41</w:t>
      </w:r>
      <w:r w:rsidR="00EC6816" w:rsidRPr="005448F6">
        <w:rPr>
          <w:rFonts w:ascii="Tahoma" w:eastAsia="Times New Roman" w:hAnsi="Tahoma" w:cs="Tahoma"/>
          <w:b/>
          <w:sz w:val="24"/>
          <w:szCs w:val="24"/>
        </w:rPr>
        <w:t>:</w:t>
      </w:r>
      <w:r w:rsidR="00EC6816" w:rsidRPr="005448F6">
        <w:rPr>
          <w:rFonts w:ascii="Tahoma" w:eastAsia="Times New Roman" w:hAnsi="Tahoma" w:cs="Tahoma"/>
          <w:b/>
          <w:sz w:val="24"/>
          <w:szCs w:val="24"/>
        </w:rPr>
        <w:tab/>
        <w:t xml:space="preserve">Could the </w:t>
      </w:r>
      <w:r w:rsidR="009046FD">
        <w:rPr>
          <w:rFonts w:ascii="Tahoma" w:eastAsia="Times New Roman" w:hAnsi="Tahoma" w:cs="Tahoma"/>
          <w:b/>
          <w:sz w:val="24"/>
          <w:szCs w:val="24"/>
        </w:rPr>
        <w:t xml:space="preserve">CEC </w:t>
      </w:r>
      <w:r w:rsidR="00EC6816" w:rsidRPr="005448F6">
        <w:rPr>
          <w:rFonts w:ascii="Tahoma" w:eastAsia="Times New Roman" w:hAnsi="Tahoma" w:cs="Tahoma"/>
          <w:b/>
          <w:sz w:val="24"/>
          <w:szCs w:val="24"/>
        </w:rPr>
        <w:t xml:space="preserve">funding </w:t>
      </w:r>
      <w:r w:rsidR="009046FD">
        <w:rPr>
          <w:rFonts w:ascii="Tahoma" w:eastAsia="Times New Roman" w:hAnsi="Tahoma" w:cs="Tahoma"/>
          <w:b/>
          <w:sz w:val="24"/>
          <w:szCs w:val="24"/>
        </w:rPr>
        <w:t>offered</w:t>
      </w:r>
      <w:r w:rsidR="00C83BDC">
        <w:rPr>
          <w:rFonts w:ascii="Tahoma" w:eastAsia="Times New Roman" w:hAnsi="Tahoma" w:cs="Tahoma"/>
          <w:b/>
          <w:sz w:val="24"/>
          <w:szCs w:val="24"/>
        </w:rPr>
        <w:t xml:space="preserve"> for</w:t>
      </w:r>
      <w:r w:rsidR="009046FD">
        <w:rPr>
          <w:rFonts w:ascii="Tahoma" w:eastAsia="Times New Roman" w:hAnsi="Tahoma" w:cs="Tahoma"/>
          <w:b/>
          <w:sz w:val="24"/>
          <w:szCs w:val="24"/>
        </w:rPr>
        <w:t xml:space="preserve"> this solicitation </w:t>
      </w:r>
      <w:r w:rsidR="00EC6816" w:rsidRPr="005448F6">
        <w:rPr>
          <w:rFonts w:ascii="Tahoma" w:eastAsia="Times New Roman" w:hAnsi="Tahoma" w:cs="Tahoma"/>
          <w:b/>
          <w:sz w:val="24"/>
          <w:szCs w:val="24"/>
        </w:rPr>
        <w:t>be used to develop next generation refueling technology? What would be the minimum T</w:t>
      </w:r>
      <w:r w:rsidR="004A181F">
        <w:rPr>
          <w:rFonts w:ascii="Tahoma" w:eastAsia="Times New Roman" w:hAnsi="Tahoma" w:cs="Tahoma"/>
          <w:b/>
          <w:sz w:val="24"/>
          <w:szCs w:val="24"/>
        </w:rPr>
        <w:t xml:space="preserve">echnology </w:t>
      </w:r>
      <w:r w:rsidR="00EC6816" w:rsidRPr="005448F6">
        <w:rPr>
          <w:rFonts w:ascii="Tahoma" w:eastAsia="Times New Roman" w:hAnsi="Tahoma" w:cs="Tahoma"/>
          <w:b/>
          <w:sz w:val="24"/>
          <w:szCs w:val="24"/>
        </w:rPr>
        <w:t>R</w:t>
      </w:r>
      <w:r w:rsidR="004A181F">
        <w:rPr>
          <w:rFonts w:ascii="Tahoma" w:eastAsia="Times New Roman" w:hAnsi="Tahoma" w:cs="Tahoma"/>
          <w:b/>
          <w:sz w:val="24"/>
          <w:szCs w:val="24"/>
        </w:rPr>
        <w:t>ead</w:t>
      </w:r>
      <w:r w:rsidR="000335E6">
        <w:rPr>
          <w:rFonts w:ascii="Tahoma" w:eastAsia="Times New Roman" w:hAnsi="Tahoma" w:cs="Tahoma"/>
          <w:b/>
          <w:sz w:val="24"/>
          <w:szCs w:val="24"/>
        </w:rPr>
        <w:t xml:space="preserve">iness Level </w:t>
      </w:r>
      <w:r w:rsidR="00EC6816" w:rsidRPr="005448F6">
        <w:rPr>
          <w:rFonts w:ascii="Tahoma" w:eastAsia="Times New Roman" w:hAnsi="Tahoma" w:cs="Tahoma"/>
          <w:b/>
          <w:sz w:val="24"/>
          <w:szCs w:val="24"/>
        </w:rPr>
        <w:t>needed to apply for this solicitation?</w:t>
      </w:r>
    </w:p>
    <w:p w14:paraId="29A4B445" w14:textId="77777777" w:rsidR="001D4815" w:rsidRPr="005448F6" w:rsidRDefault="001D4815" w:rsidP="00EC6816">
      <w:pPr>
        <w:spacing w:after="0" w:line="240" w:lineRule="auto"/>
        <w:ind w:left="720" w:hanging="720"/>
        <w:rPr>
          <w:rFonts w:ascii="Tahoma" w:eastAsia="Times New Roman" w:hAnsi="Tahoma" w:cs="Tahoma"/>
          <w:b/>
          <w:sz w:val="24"/>
          <w:szCs w:val="24"/>
        </w:rPr>
      </w:pPr>
    </w:p>
    <w:p w14:paraId="4F257166" w14:textId="6E07FD15" w:rsidR="00EC6816"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41</w:t>
      </w:r>
      <w:r w:rsidR="00EC6816" w:rsidRPr="005448F6">
        <w:rPr>
          <w:rFonts w:ascii="Tahoma" w:hAnsi="Tahoma" w:cs="Tahoma"/>
          <w:sz w:val="24"/>
          <w:szCs w:val="24"/>
        </w:rPr>
        <w:t>:</w:t>
      </w:r>
      <w:r w:rsidR="00EC6816" w:rsidRPr="005448F6">
        <w:rPr>
          <w:rFonts w:ascii="Tahoma" w:hAnsi="Tahoma" w:cs="Tahoma"/>
          <w:sz w:val="24"/>
          <w:szCs w:val="24"/>
        </w:rPr>
        <w:tab/>
        <w:t xml:space="preserve">No. </w:t>
      </w:r>
      <w:r w:rsidR="00C83BDC">
        <w:rPr>
          <w:rFonts w:ascii="Tahoma" w:hAnsi="Tahoma" w:cs="Tahoma"/>
          <w:sz w:val="24"/>
          <w:szCs w:val="24"/>
        </w:rPr>
        <w:t>Section</w:t>
      </w:r>
      <w:r w:rsidR="00EC6816" w:rsidRPr="005448F6">
        <w:rPr>
          <w:rFonts w:ascii="Tahoma" w:hAnsi="Tahoma" w:cs="Tahoma"/>
          <w:sz w:val="24"/>
          <w:szCs w:val="24"/>
        </w:rPr>
        <w:t xml:space="preserve"> II.E.5. delineates research and development; lab-scale research and validation; proof of concepts, functions, and prototype development; paper studies or research projects as ineligible for reimbursement and match share costs. </w:t>
      </w:r>
      <w:r w:rsidR="00DA72EA">
        <w:rPr>
          <w:rFonts w:ascii="Tahoma" w:hAnsi="Tahoma" w:cs="Tahoma"/>
          <w:sz w:val="24"/>
          <w:szCs w:val="24"/>
        </w:rPr>
        <w:t>Charging and hydrogen refueling i</w:t>
      </w:r>
      <w:r w:rsidR="00D14497">
        <w:rPr>
          <w:rFonts w:ascii="Tahoma" w:hAnsi="Tahoma" w:cs="Tahoma"/>
          <w:sz w:val="24"/>
          <w:szCs w:val="24"/>
        </w:rPr>
        <w:t xml:space="preserve">nfrastructure technologies proposed </w:t>
      </w:r>
      <w:r w:rsidR="00271136">
        <w:rPr>
          <w:rFonts w:ascii="Tahoma" w:hAnsi="Tahoma" w:cs="Tahoma"/>
          <w:sz w:val="24"/>
          <w:szCs w:val="24"/>
        </w:rPr>
        <w:t xml:space="preserve">in an application must be commercially available to be considered </w:t>
      </w:r>
      <w:r w:rsidR="002540A6">
        <w:rPr>
          <w:rFonts w:ascii="Tahoma" w:hAnsi="Tahoma" w:cs="Tahoma"/>
          <w:sz w:val="24"/>
          <w:szCs w:val="24"/>
        </w:rPr>
        <w:t>eligible under this solicitation.</w:t>
      </w:r>
    </w:p>
    <w:p w14:paraId="01D6E0CD" w14:textId="77777777" w:rsidR="000325AD" w:rsidRPr="005448F6" w:rsidRDefault="000325AD" w:rsidP="00DB7FF7">
      <w:pPr>
        <w:spacing w:after="0" w:line="240" w:lineRule="auto"/>
        <w:ind w:left="720" w:hanging="720"/>
        <w:rPr>
          <w:rFonts w:ascii="Tahoma" w:hAnsi="Tahoma" w:cs="Tahoma"/>
          <w:sz w:val="24"/>
          <w:szCs w:val="24"/>
        </w:rPr>
      </w:pPr>
    </w:p>
    <w:p w14:paraId="684602CD" w14:textId="537CC521" w:rsidR="00DB7FF7" w:rsidRPr="005448F6" w:rsidRDefault="004821A9" w:rsidP="00DB7FF7">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42</w:t>
      </w:r>
      <w:r w:rsidR="00DB7FF7" w:rsidRPr="005448F6">
        <w:rPr>
          <w:rFonts w:ascii="Tahoma" w:eastAsia="Times New Roman" w:hAnsi="Tahoma" w:cs="Tahoma"/>
          <w:b/>
          <w:sz w:val="24"/>
          <w:szCs w:val="24"/>
        </w:rPr>
        <w:t>:</w:t>
      </w:r>
      <w:r w:rsidR="00DB7FF7" w:rsidRPr="005448F6">
        <w:rPr>
          <w:rFonts w:ascii="Tahoma" w:eastAsia="Times New Roman" w:hAnsi="Tahoma" w:cs="Tahoma"/>
          <w:b/>
          <w:sz w:val="24"/>
          <w:szCs w:val="24"/>
        </w:rPr>
        <w:tab/>
        <w:t>Would "time fill" v</w:t>
      </w:r>
      <w:r w:rsidR="00AF5448">
        <w:rPr>
          <w:rFonts w:ascii="Tahoma" w:eastAsia="Times New Roman" w:hAnsi="Tahoma" w:cs="Tahoma"/>
          <w:b/>
          <w:sz w:val="24"/>
          <w:szCs w:val="24"/>
        </w:rPr>
        <w:t>ersus</w:t>
      </w:r>
      <w:r w:rsidR="00DB7FF7" w:rsidRPr="005448F6">
        <w:rPr>
          <w:rFonts w:ascii="Tahoma" w:eastAsia="Times New Roman" w:hAnsi="Tahoma" w:cs="Tahoma"/>
          <w:b/>
          <w:sz w:val="24"/>
          <w:szCs w:val="24"/>
        </w:rPr>
        <w:t xml:space="preserve"> </w:t>
      </w:r>
      <w:r w:rsidR="00AF5448">
        <w:rPr>
          <w:rFonts w:ascii="Tahoma" w:eastAsia="Times New Roman" w:hAnsi="Tahoma" w:cs="Tahoma"/>
          <w:b/>
          <w:sz w:val="24"/>
          <w:szCs w:val="24"/>
        </w:rPr>
        <w:t>“</w:t>
      </w:r>
      <w:r w:rsidR="00DB7FF7" w:rsidRPr="005448F6">
        <w:rPr>
          <w:rFonts w:ascii="Tahoma" w:eastAsia="Times New Roman" w:hAnsi="Tahoma" w:cs="Tahoma"/>
          <w:b/>
          <w:sz w:val="24"/>
          <w:szCs w:val="24"/>
        </w:rPr>
        <w:t>fast fill</w:t>
      </w:r>
      <w:r w:rsidR="00AF5448">
        <w:rPr>
          <w:rFonts w:ascii="Tahoma" w:eastAsia="Times New Roman" w:hAnsi="Tahoma" w:cs="Tahoma"/>
          <w:b/>
          <w:sz w:val="24"/>
          <w:szCs w:val="24"/>
        </w:rPr>
        <w:t>”</w:t>
      </w:r>
      <w:r w:rsidR="00DB7FF7" w:rsidRPr="005448F6">
        <w:rPr>
          <w:rFonts w:ascii="Tahoma" w:eastAsia="Times New Roman" w:hAnsi="Tahoma" w:cs="Tahoma"/>
          <w:b/>
          <w:sz w:val="24"/>
          <w:szCs w:val="24"/>
        </w:rPr>
        <w:t xml:space="preserve"> for </w:t>
      </w:r>
      <w:r w:rsidR="00AF5448">
        <w:rPr>
          <w:rFonts w:ascii="Tahoma" w:eastAsia="Times New Roman" w:hAnsi="Tahoma" w:cs="Tahoma"/>
          <w:b/>
          <w:sz w:val="24"/>
          <w:szCs w:val="24"/>
        </w:rPr>
        <w:t>hydrogen</w:t>
      </w:r>
      <w:r w:rsidR="00DB7FF7" w:rsidRPr="005448F6">
        <w:rPr>
          <w:rFonts w:ascii="Tahoma" w:eastAsia="Times New Roman" w:hAnsi="Tahoma" w:cs="Tahoma"/>
          <w:b/>
          <w:sz w:val="24"/>
          <w:szCs w:val="24"/>
        </w:rPr>
        <w:t xml:space="preserve"> fueling qualify as a fueling solution if </w:t>
      </w:r>
      <w:r w:rsidR="00AF5448">
        <w:rPr>
          <w:rFonts w:ascii="Tahoma" w:eastAsia="Times New Roman" w:hAnsi="Tahoma" w:cs="Tahoma"/>
          <w:b/>
          <w:sz w:val="24"/>
          <w:szCs w:val="24"/>
        </w:rPr>
        <w:t>the infrastructure is</w:t>
      </w:r>
      <w:r w:rsidR="00DB7FF7" w:rsidRPr="005448F6">
        <w:rPr>
          <w:rFonts w:ascii="Tahoma" w:eastAsia="Times New Roman" w:hAnsi="Tahoma" w:cs="Tahoma"/>
          <w:b/>
          <w:sz w:val="24"/>
          <w:szCs w:val="24"/>
        </w:rPr>
        <w:t xml:space="preserve"> behind</w:t>
      </w:r>
      <w:r w:rsidR="00AF5448">
        <w:rPr>
          <w:rFonts w:ascii="Tahoma" w:eastAsia="Times New Roman" w:hAnsi="Tahoma" w:cs="Tahoma"/>
          <w:b/>
          <w:sz w:val="24"/>
          <w:szCs w:val="24"/>
        </w:rPr>
        <w:t>-the-</w:t>
      </w:r>
      <w:r w:rsidR="00DB7FF7" w:rsidRPr="005448F6">
        <w:rPr>
          <w:rFonts w:ascii="Tahoma" w:eastAsia="Times New Roman" w:hAnsi="Tahoma" w:cs="Tahoma"/>
          <w:b/>
          <w:sz w:val="24"/>
          <w:szCs w:val="24"/>
        </w:rPr>
        <w:t>fence</w:t>
      </w:r>
      <w:r w:rsidR="00AF5448">
        <w:rPr>
          <w:rFonts w:ascii="Tahoma" w:eastAsia="Times New Roman" w:hAnsi="Tahoma" w:cs="Tahoma"/>
          <w:b/>
          <w:sz w:val="24"/>
          <w:szCs w:val="24"/>
        </w:rPr>
        <w:t xml:space="preserve"> or </w:t>
      </w:r>
      <w:r w:rsidR="00DB7FF7" w:rsidRPr="005448F6">
        <w:rPr>
          <w:rFonts w:ascii="Tahoma" w:eastAsia="Times New Roman" w:hAnsi="Tahoma" w:cs="Tahoma"/>
          <w:b/>
          <w:sz w:val="24"/>
          <w:szCs w:val="24"/>
        </w:rPr>
        <w:t>on port property for heavy-duty ZEVs?</w:t>
      </w:r>
    </w:p>
    <w:p w14:paraId="6F5D421F" w14:textId="77777777" w:rsidR="001D4815" w:rsidRPr="005448F6" w:rsidRDefault="001D4815" w:rsidP="00DB7FF7">
      <w:pPr>
        <w:spacing w:after="0" w:line="240" w:lineRule="auto"/>
        <w:ind w:left="720" w:hanging="720"/>
        <w:rPr>
          <w:rFonts w:ascii="Tahoma" w:eastAsia="Times New Roman" w:hAnsi="Tahoma" w:cs="Tahoma"/>
          <w:b/>
          <w:sz w:val="24"/>
          <w:szCs w:val="24"/>
        </w:rPr>
      </w:pPr>
    </w:p>
    <w:p w14:paraId="60E66F00" w14:textId="4E59899C" w:rsidR="00DB7FF7" w:rsidRPr="005448F6" w:rsidRDefault="004821A9"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42</w:t>
      </w:r>
      <w:r w:rsidR="00DB7FF7" w:rsidRPr="005448F6">
        <w:rPr>
          <w:rFonts w:ascii="Tahoma" w:hAnsi="Tahoma" w:cs="Tahoma"/>
          <w:sz w:val="24"/>
          <w:szCs w:val="24"/>
        </w:rPr>
        <w:t>:</w:t>
      </w:r>
      <w:r w:rsidR="00DB7FF7" w:rsidRPr="005448F6">
        <w:rPr>
          <w:rFonts w:ascii="Tahoma" w:hAnsi="Tahoma" w:cs="Tahoma"/>
          <w:sz w:val="24"/>
          <w:szCs w:val="24"/>
        </w:rPr>
        <w:tab/>
      </w:r>
      <w:r w:rsidR="001077A2">
        <w:rPr>
          <w:rFonts w:ascii="Tahoma" w:hAnsi="Tahoma" w:cs="Tahoma"/>
          <w:sz w:val="24"/>
          <w:szCs w:val="24"/>
        </w:rPr>
        <w:t>Yes,</w:t>
      </w:r>
      <w:r w:rsidR="00AF5448">
        <w:rPr>
          <w:rFonts w:ascii="Tahoma" w:hAnsi="Tahoma" w:cs="Tahoma"/>
          <w:sz w:val="24"/>
          <w:szCs w:val="24"/>
        </w:rPr>
        <w:t xml:space="preserve"> a</w:t>
      </w:r>
      <w:r w:rsidR="00DB7FF7" w:rsidRPr="005448F6">
        <w:rPr>
          <w:rFonts w:ascii="Tahoma" w:hAnsi="Tahoma" w:cs="Tahoma"/>
          <w:sz w:val="24"/>
          <w:szCs w:val="24"/>
        </w:rPr>
        <w:t xml:space="preserve">s long as the other </w:t>
      </w:r>
      <w:r w:rsidR="00AF5448">
        <w:rPr>
          <w:rFonts w:ascii="Tahoma" w:hAnsi="Tahoma" w:cs="Tahoma"/>
          <w:sz w:val="24"/>
          <w:szCs w:val="24"/>
        </w:rPr>
        <w:t>hydrogen</w:t>
      </w:r>
      <w:r w:rsidR="00DB7FF7" w:rsidRPr="005448F6">
        <w:rPr>
          <w:rFonts w:ascii="Tahoma" w:hAnsi="Tahoma" w:cs="Tahoma"/>
          <w:sz w:val="24"/>
          <w:szCs w:val="24"/>
        </w:rPr>
        <w:t xml:space="preserve"> fueling requirements </w:t>
      </w:r>
      <w:r w:rsidR="00AF5448">
        <w:rPr>
          <w:rFonts w:ascii="Tahoma" w:hAnsi="Tahoma" w:cs="Tahoma"/>
          <w:sz w:val="24"/>
          <w:szCs w:val="24"/>
        </w:rPr>
        <w:t>outlined</w:t>
      </w:r>
      <w:r w:rsidR="00DB7FF7" w:rsidRPr="005448F6">
        <w:rPr>
          <w:rFonts w:ascii="Tahoma" w:hAnsi="Tahoma" w:cs="Tahoma"/>
          <w:sz w:val="24"/>
          <w:szCs w:val="24"/>
        </w:rPr>
        <w:t xml:space="preserve"> </w:t>
      </w:r>
      <w:r w:rsidR="00DB2A23">
        <w:rPr>
          <w:rFonts w:ascii="Tahoma" w:hAnsi="Tahoma" w:cs="Tahoma"/>
          <w:sz w:val="24"/>
          <w:szCs w:val="24"/>
        </w:rPr>
        <w:t>in</w:t>
      </w:r>
      <w:r w:rsidR="00DB7FF7" w:rsidRPr="005448F6">
        <w:rPr>
          <w:rFonts w:ascii="Tahoma" w:hAnsi="Tahoma" w:cs="Tahoma"/>
          <w:sz w:val="24"/>
          <w:szCs w:val="24"/>
        </w:rPr>
        <w:t xml:space="preserve"> the solicitation manual are met. </w:t>
      </w:r>
      <w:r w:rsidR="00B478C4">
        <w:rPr>
          <w:rFonts w:ascii="Tahoma" w:hAnsi="Tahoma" w:cs="Tahoma"/>
          <w:sz w:val="24"/>
          <w:szCs w:val="24"/>
        </w:rPr>
        <w:t>I</w:t>
      </w:r>
      <w:r w:rsidR="00B478C4" w:rsidRPr="00B478C4">
        <w:rPr>
          <w:rFonts w:ascii="Tahoma" w:hAnsi="Tahoma" w:cs="Tahoma"/>
          <w:sz w:val="24"/>
          <w:szCs w:val="24"/>
        </w:rPr>
        <w:t>f the hydrogen refueling station will be open retail, the refueling station shall conform to the most recent published version of SAE International J2601 (fueling protocols). Refer to Section II.D.3.</w:t>
      </w:r>
    </w:p>
    <w:p w14:paraId="56F2E141" w14:textId="77777777" w:rsidR="000325AD" w:rsidRPr="005448F6" w:rsidRDefault="000325AD" w:rsidP="00DB7FF7">
      <w:pPr>
        <w:spacing w:after="0" w:line="240" w:lineRule="auto"/>
        <w:ind w:left="720" w:hanging="720"/>
        <w:rPr>
          <w:rFonts w:ascii="Tahoma" w:hAnsi="Tahoma" w:cs="Tahoma"/>
          <w:sz w:val="24"/>
          <w:szCs w:val="24"/>
        </w:rPr>
      </w:pPr>
    </w:p>
    <w:p w14:paraId="3C7FE3DF" w14:textId="44945ECB" w:rsidR="00DB7FF7" w:rsidRPr="003D5889" w:rsidRDefault="004821A9" w:rsidP="00471F94">
      <w:pPr>
        <w:spacing w:after="0" w:line="240" w:lineRule="auto"/>
        <w:ind w:left="720" w:hanging="720"/>
        <w:rPr>
          <w:rFonts w:ascii="Tahoma" w:eastAsia="Times New Roman" w:hAnsi="Tahoma" w:cs="Tahoma"/>
          <w:b/>
          <w:strike/>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43</w:t>
      </w:r>
      <w:r w:rsidR="00DB7FF7" w:rsidRPr="005448F6">
        <w:rPr>
          <w:rFonts w:ascii="Tahoma" w:eastAsia="Times New Roman" w:hAnsi="Tahoma" w:cs="Tahoma"/>
          <w:b/>
          <w:sz w:val="24"/>
          <w:szCs w:val="24"/>
        </w:rPr>
        <w:t>:</w:t>
      </w:r>
      <w:r w:rsidR="00DB7FF7" w:rsidRPr="005448F6">
        <w:rPr>
          <w:rFonts w:ascii="Tahoma" w:eastAsia="Times New Roman" w:hAnsi="Tahoma" w:cs="Tahoma"/>
          <w:b/>
          <w:sz w:val="24"/>
          <w:szCs w:val="24"/>
        </w:rPr>
        <w:tab/>
        <w:t xml:space="preserve">We have developed a low cost, fast-charging battery locomotive, and </w:t>
      </w:r>
      <w:r w:rsidR="00FD3E2D">
        <w:rPr>
          <w:rFonts w:ascii="Tahoma" w:eastAsia="Times New Roman" w:hAnsi="Tahoma" w:cs="Tahoma"/>
          <w:b/>
          <w:sz w:val="24"/>
          <w:szCs w:val="24"/>
        </w:rPr>
        <w:t xml:space="preserve">are working with a </w:t>
      </w:r>
      <w:r w:rsidR="00DB7FF7" w:rsidRPr="005448F6">
        <w:rPr>
          <w:rFonts w:ascii="Tahoma" w:eastAsia="Times New Roman" w:hAnsi="Tahoma" w:cs="Tahoma"/>
          <w:b/>
          <w:sz w:val="24"/>
          <w:szCs w:val="24"/>
        </w:rPr>
        <w:t>C</w:t>
      </w:r>
      <w:r w:rsidR="00FD3E2D">
        <w:rPr>
          <w:rFonts w:ascii="Tahoma" w:eastAsia="Times New Roman" w:hAnsi="Tahoma" w:cs="Tahoma"/>
          <w:b/>
          <w:sz w:val="24"/>
          <w:szCs w:val="24"/>
        </w:rPr>
        <w:t>alifornia port</w:t>
      </w:r>
      <w:r w:rsidR="00DB7FF7" w:rsidRPr="005448F6">
        <w:rPr>
          <w:rFonts w:ascii="Tahoma" w:eastAsia="Times New Roman" w:hAnsi="Tahoma" w:cs="Tahoma"/>
          <w:b/>
          <w:sz w:val="24"/>
          <w:szCs w:val="24"/>
        </w:rPr>
        <w:t xml:space="preserve"> interested in deploying this</w:t>
      </w:r>
      <w:r w:rsidR="00FD3E2D">
        <w:rPr>
          <w:rFonts w:ascii="Tahoma" w:eastAsia="Times New Roman" w:hAnsi="Tahoma" w:cs="Tahoma"/>
          <w:b/>
          <w:sz w:val="24"/>
          <w:szCs w:val="24"/>
        </w:rPr>
        <w:t xml:space="preserve"> solution.</w:t>
      </w:r>
      <w:r w:rsidR="00DB7FF7" w:rsidRPr="005448F6">
        <w:rPr>
          <w:rFonts w:ascii="Tahoma" w:eastAsia="Times New Roman" w:hAnsi="Tahoma" w:cs="Tahoma"/>
          <w:b/>
          <w:sz w:val="24"/>
          <w:szCs w:val="24"/>
        </w:rPr>
        <w:t xml:space="preserve"> </w:t>
      </w:r>
      <w:r w:rsidR="00E23710">
        <w:rPr>
          <w:rFonts w:ascii="Tahoma" w:eastAsia="Times New Roman" w:hAnsi="Tahoma" w:cs="Tahoma"/>
          <w:b/>
          <w:sz w:val="24"/>
          <w:szCs w:val="24"/>
        </w:rPr>
        <w:t>Locomotive emissions significantly contribute to the</w:t>
      </w:r>
      <w:r w:rsidR="00DB7FF7" w:rsidRPr="005448F6">
        <w:rPr>
          <w:rFonts w:ascii="Tahoma" w:eastAsia="Times New Roman" w:hAnsi="Tahoma" w:cs="Tahoma"/>
          <w:b/>
          <w:sz w:val="24"/>
          <w:szCs w:val="24"/>
        </w:rPr>
        <w:t xml:space="preserve"> environmental impact of port operations</w:t>
      </w:r>
      <w:r w:rsidR="00E23710">
        <w:rPr>
          <w:rFonts w:ascii="Tahoma" w:eastAsia="Times New Roman" w:hAnsi="Tahoma" w:cs="Tahoma"/>
          <w:b/>
          <w:sz w:val="24"/>
          <w:szCs w:val="24"/>
        </w:rPr>
        <w:t xml:space="preserve">, particularly in terms of </w:t>
      </w:r>
      <w:r w:rsidR="00BF4988" w:rsidRPr="00BF4988">
        <w:rPr>
          <w:rFonts w:ascii="Tahoma" w:eastAsia="Times New Roman" w:hAnsi="Tahoma" w:cs="Tahoma"/>
          <w:b/>
          <w:sz w:val="24"/>
          <w:szCs w:val="24"/>
        </w:rPr>
        <w:t>nitrogen oxides (NOₓ), particulate matter (PM), and carbon dioxide (CO₂)</w:t>
      </w:r>
      <w:r w:rsidR="00DB7FF7" w:rsidRPr="005448F6">
        <w:rPr>
          <w:rFonts w:ascii="Tahoma" w:eastAsia="Times New Roman" w:hAnsi="Tahoma" w:cs="Tahoma"/>
          <w:b/>
          <w:sz w:val="24"/>
          <w:szCs w:val="24"/>
        </w:rPr>
        <w:t xml:space="preserve">. </w:t>
      </w:r>
      <w:r w:rsidR="00A0715A">
        <w:rPr>
          <w:rFonts w:ascii="Tahoma" w:eastAsia="Times New Roman" w:hAnsi="Tahoma" w:cs="Tahoma"/>
          <w:b/>
          <w:sz w:val="24"/>
          <w:szCs w:val="24"/>
        </w:rPr>
        <w:t>This</w:t>
      </w:r>
      <w:r w:rsidR="00DB7FF7" w:rsidRPr="005448F6">
        <w:rPr>
          <w:rFonts w:ascii="Tahoma" w:eastAsia="Times New Roman" w:hAnsi="Tahoma" w:cs="Tahoma"/>
          <w:b/>
          <w:sz w:val="24"/>
          <w:szCs w:val="24"/>
        </w:rPr>
        <w:t xml:space="preserve"> solution </w:t>
      </w:r>
      <w:r w:rsidR="00487E94">
        <w:rPr>
          <w:rFonts w:ascii="Tahoma" w:eastAsia="Times New Roman" w:hAnsi="Tahoma" w:cs="Tahoma"/>
          <w:b/>
          <w:sz w:val="24"/>
          <w:szCs w:val="24"/>
        </w:rPr>
        <w:t xml:space="preserve">not only electrifies the locomotive, but it also integrates </w:t>
      </w:r>
      <w:r w:rsidR="00DB7FF7" w:rsidRPr="005448F6">
        <w:rPr>
          <w:rFonts w:ascii="Tahoma" w:eastAsia="Times New Roman" w:hAnsi="Tahoma" w:cs="Tahoma"/>
          <w:b/>
          <w:sz w:val="24"/>
          <w:szCs w:val="24"/>
        </w:rPr>
        <w:t>overhead solar and storage infrastructure</w:t>
      </w:r>
      <w:r w:rsidR="00487E94">
        <w:rPr>
          <w:rFonts w:ascii="Tahoma" w:eastAsia="Times New Roman" w:hAnsi="Tahoma" w:cs="Tahoma"/>
          <w:b/>
          <w:sz w:val="24"/>
          <w:szCs w:val="24"/>
        </w:rPr>
        <w:t xml:space="preserve"> to </w:t>
      </w:r>
      <w:r w:rsidR="00DB7FF7" w:rsidRPr="005448F6">
        <w:rPr>
          <w:rFonts w:ascii="Tahoma" w:eastAsia="Times New Roman" w:hAnsi="Tahoma" w:cs="Tahoma"/>
          <w:b/>
          <w:sz w:val="24"/>
          <w:szCs w:val="24"/>
        </w:rPr>
        <w:t xml:space="preserve">supply </w:t>
      </w:r>
      <w:r w:rsidR="00487E94" w:rsidRPr="005448F6">
        <w:rPr>
          <w:rFonts w:ascii="Tahoma" w:eastAsia="Times New Roman" w:hAnsi="Tahoma" w:cs="Tahoma"/>
          <w:b/>
          <w:sz w:val="24"/>
          <w:szCs w:val="24"/>
        </w:rPr>
        <w:t xml:space="preserve">clean energy </w:t>
      </w:r>
      <w:r w:rsidR="00487E94">
        <w:rPr>
          <w:rFonts w:ascii="Tahoma" w:eastAsia="Times New Roman" w:hAnsi="Tahoma" w:cs="Tahoma"/>
          <w:b/>
          <w:sz w:val="24"/>
          <w:szCs w:val="24"/>
        </w:rPr>
        <w:t xml:space="preserve">to </w:t>
      </w:r>
      <w:r w:rsidR="00DB7FF7" w:rsidRPr="005448F6">
        <w:rPr>
          <w:rFonts w:ascii="Tahoma" w:eastAsia="Times New Roman" w:hAnsi="Tahoma" w:cs="Tahoma"/>
          <w:b/>
          <w:sz w:val="24"/>
          <w:szCs w:val="24"/>
        </w:rPr>
        <w:t>the port.</w:t>
      </w:r>
      <w:r w:rsidR="002419D3">
        <w:rPr>
          <w:rFonts w:ascii="Tahoma" w:eastAsia="Times New Roman" w:hAnsi="Tahoma" w:cs="Tahoma"/>
          <w:b/>
          <w:sz w:val="24"/>
          <w:szCs w:val="24"/>
        </w:rPr>
        <w:t xml:space="preserve"> Given this, can you confirm whether battery-electric locomotives and their associated charging infrastructure are eligible under this solicitation</w:t>
      </w:r>
      <w:r w:rsidR="006A4613">
        <w:rPr>
          <w:rFonts w:ascii="Tahoma" w:eastAsia="Times New Roman" w:hAnsi="Tahoma" w:cs="Tahoma"/>
          <w:b/>
          <w:sz w:val="24"/>
          <w:szCs w:val="24"/>
        </w:rPr>
        <w:t>?</w:t>
      </w:r>
    </w:p>
    <w:p w14:paraId="1275EE3B" w14:textId="77777777" w:rsidR="001D4815" w:rsidRPr="005448F6" w:rsidRDefault="001D4815" w:rsidP="001D4815">
      <w:pPr>
        <w:spacing w:after="0" w:line="240" w:lineRule="auto"/>
        <w:ind w:left="720"/>
        <w:rPr>
          <w:rFonts w:ascii="Tahoma" w:eastAsia="Times New Roman" w:hAnsi="Tahoma" w:cs="Tahoma"/>
          <w:b/>
          <w:sz w:val="24"/>
          <w:szCs w:val="24"/>
        </w:rPr>
      </w:pPr>
    </w:p>
    <w:p w14:paraId="639C512E" w14:textId="0020CE00" w:rsidR="00731768" w:rsidRPr="005448F6" w:rsidRDefault="004821A9" w:rsidP="007801B2">
      <w:pPr>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43</w:t>
      </w:r>
      <w:r w:rsidR="001D7EDB">
        <w:rPr>
          <w:rFonts w:ascii="Tahoma" w:hAnsi="Tahoma" w:cs="Tahoma"/>
          <w:sz w:val="24"/>
          <w:szCs w:val="24"/>
        </w:rPr>
        <w:t>:</w:t>
      </w:r>
      <w:r w:rsidR="00DB7FF7">
        <w:tab/>
      </w:r>
      <w:r w:rsidR="0006196C">
        <w:rPr>
          <w:rFonts w:ascii="Tahoma" w:hAnsi="Tahoma" w:cs="Tahoma"/>
          <w:sz w:val="24"/>
          <w:szCs w:val="24"/>
        </w:rPr>
        <w:t>If</w:t>
      </w:r>
      <w:r w:rsidR="002419D3" w:rsidRPr="002419D3">
        <w:rPr>
          <w:rFonts w:ascii="Tahoma" w:hAnsi="Tahoma" w:cs="Tahoma"/>
          <w:sz w:val="24"/>
          <w:szCs w:val="24"/>
        </w:rPr>
        <w:t xml:space="preserve"> the battery locomotive </w:t>
      </w:r>
      <w:r w:rsidR="002419D3">
        <w:rPr>
          <w:rFonts w:ascii="Tahoma" w:hAnsi="Tahoma" w:cs="Tahoma"/>
          <w:sz w:val="24"/>
          <w:szCs w:val="24"/>
        </w:rPr>
        <w:t>is</w:t>
      </w:r>
      <w:r w:rsidR="002419D3" w:rsidRPr="002419D3">
        <w:rPr>
          <w:rFonts w:ascii="Tahoma" w:hAnsi="Tahoma" w:cs="Tahoma"/>
          <w:sz w:val="24"/>
          <w:szCs w:val="24"/>
        </w:rPr>
        <w:t xml:space="preserve"> supporting port operations, the </w:t>
      </w:r>
      <w:r w:rsidR="002419D3">
        <w:rPr>
          <w:rFonts w:ascii="Tahoma" w:hAnsi="Tahoma" w:cs="Tahoma"/>
          <w:sz w:val="24"/>
          <w:szCs w:val="24"/>
        </w:rPr>
        <w:t xml:space="preserve">charging </w:t>
      </w:r>
      <w:r w:rsidR="002419D3" w:rsidRPr="002419D3">
        <w:rPr>
          <w:rFonts w:ascii="Tahoma" w:hAnsi="Tahoma" w:cs="Tahoma"/>
          <w:sz w:val="24"/>
          <w:szCs w:val="24"/>
        </w:rPr>
        <w:t xml:space="preserve">infrastructure necessary to </w:t>
      </w:r>
      <w:r w:rsidR="002419D3">
        <w:rPr>
          <w:rFonts w:ascii="Tahoma" w:hAnsi="Tahoma" w:cs="Tahoma"/>
          <w:sz w:val="24"/>
          <w:szCs w:val="24"/>
        </w:rPr>
        <w:t>charge</w:t>
      </w:r>
      <w:r w:rsidR="002419D3" w:rsidRPr="002419D3">
        <w:rPr>
          <w:rFonts w:ascii="Tahoma" w:hAnsi="Tahoma" w:cs="Tahoma"/>
          <w:sz w:val="24"/>
          <w:szCs w:val="24"/>
        </w:rPr>
        <w:t xml:space="preserve"> the locomotive would be an eligible project</w:t>
      </w:r>
      <w:r w:rsidR="0006196C">
        <w:rPr>
          <w:rFonts w:ascii="Tahoma" w:hAnsi="Tahoma" w:cs="Tahoma"/>
          <w:sz w:val="24"/>
          <w:szCs w:val="24"/>
        </w:rPr>
        <w:t xml:space="preserve"> </w:t>
      </w:r>
      <w:r w:rsidR="0006196C">
        <w:rPr>
          <w:rFonts w:ascii="Tahoma" w:hAnsi="Tahoma" w:cs="Tahoma"/>
          <w:sz w:val="24"/>
          <w:szCs w:val="24"/>
        </w:rPr>
        <w:lastRenderedPageBreak/>
        <w:t>and cost</w:t>
      </w:r>
      <w:r w:rsidR="002419D3">
        <w:rPr>
          <w:rFonts w:ascii="Tahoma" w:hAnsi="Tahoma" w:cs="Tahoma"/>
          <w:sz w:val="24"/>
          <w:szCs w:val="24"/>
        </w:rPr>
        <w:t>,</w:t>
      </w:r>
      <w:r w:rsidR="002419D3" w:rsidRPr="002419D3">
        <w:rPr>
          <w:rFonts w:ascii="Tahoma" w:hAnsi="Tahoma" w:cs="Tahoma"/>
          <w:sz w:val="24"/>
          <w:szCs w:val="24"/>
        </w:rPr>
        <w:t xml:space="preserve"> as long as the </w:t>
      </w:r>
      <w:r w:rsidR="002419D3">
        <w:rPr>
          <w:rFonts w:ascii="Tahoma" w:hAnsi="Tahoma" w:cs="Tahoma"/>
          <w:sz w:val="24"/>
          <w:szCs w:val="24"/>
        </w:rPr>
        <w:t>charging port</w:t>
      </w:r>
      <w:r w:rsidR="002419D3" w:rsidRPr="002419D3">
        <w:rPr>
          <w:rFonts w:ascii="Tahoma" w:hAnsi="Tahoma" w:cs="Tahoma"/>
          <w:sz w:val="24"/>
          <w:szCs w:val="24"/>
        </w:rPr>
        <w:t xml:space="preserve"> minimums </w:t>
      </w:r>
      <w:r w:rsidR="00B87E77">
        <w:rPr>
          <w:rFonts w:ascii="Tahoma" w:hAnsi="Tahoma" w:cs="Tahoma"/>
          <w:sz w:val="24"/>
          <w:szCs w:val="24"/>
        </w:rPr>
        <w:t xml:space="preserve">and other </w:t>
      </w:r>
      <w:r w:rsidR="3309B211" w:rsidRPr="0A9C6B8F">
        <w:rPr>
          <w:rFonts w:ascii="Tahoma" w:hAnsi="Tahoma" w:cs="Tahoma"/>
          <w:sz w:val="24"/>
          <w:szCs w:val="24"/>
        </w:rPr>
        <w:t xml:space="preserve">solicitation </w:t>
      </w:r>
      <w:r w:rsidR="00B87E77">
        <w:rPr>
          <w:rFonts w:ascii="Tahoma" w:hAnsi="Tahoma" w:cs="Tahoma"/>
          <w:sz w:val="24"/>
          <w:szCs w:val="24"/>
        </w:rPr>
        <w:t xml:space="preserve">requirements </w:t>
      </w:r>
      <w:r w:rsidR="002419D3" w:rsidRPr="002419D3">
        <w:rPr>
          <w:rFonts w:ascii="Tahoma" w:hAnsi="Tahoma" w:cs="Tahoma"/>
          <w:sz w:val="24"/>
          <w:szCs w:val="24"/>
        </w:rPr>
        <w:t xml:space="preserve">are met in the proposed project. That said, the </w:t>
      </w:r>
      <w:r w:rsidR="00B87E77">
        <w:rPr>
          <w:rFonts w:ascii="Tahoma" w:hAnsi="Tahoma" w:cs="Tahoma"/>
          <w:sz w:val="24"/>
          <w:szCs w:val="24"/>
        </w:rPr>
        <w:t>locomotive</w:t>
      </w:r>
      <w:r w:rsidR="002D6F1C">
        <w:rPr>
          <w:rFonts w:ascii="Tahoma" w:hAnsi="Tahoma" w:cs="Tahoma"/>
          <w:sz w:val="24"/>
          <w:szCs w:val="24"/>
        </w:rPr>
        <w:t xml:space="preserve"> and </w:t>
      </w:r>
      <w:r w:rsidR="00E63C99">
        <w:rPr>
          <w:rFonts w:ascii="Tahoma" w:hAnsi="Tahoma" w:cs="Tahoma"/>
          <w:sz w:val="24"/>
          <w:szCs w:val="24"/>
        </w:rPr>
        <w:t xml:space="preserve">the </w:t>
      </w:r>
      <w:r w:rsidR="00AB7504">
        <w:rPr>
          <w:rFonts w:ascii="Tahoma" w:hAnsi="Tahoma" w:cs="Tahoma"/>
          <w:sz w:val="24"/>
          <w:szCs w:val="24"/>
        </w:rPr>
        <w:t>solar and</w:t>
      </w:r>
      <w:r w:rsidR="002D6F1C">
        <w:rPr>
          <w:rFonts w:ascii="Tahoma" w:hAnsi="Tahoma" w:cs="Tahoma"/>
          <w:sz w:val="24"/>
          <w:szCs w:val="24"/>
        </w:rPr>
        <w:t xml:space="preserve"> battery</w:t>
      </w:r>
      <w:r w:rsidR="00AB7504">
        <w:rPr>
          <w:rFonts w:ascii="Tahoma" w:hAnsi="Tahoma" w:cs="Tahoma"/>
          <w:sz w:val="24"/>
          <w:szCs w:val="24"/>
        </w:rPr>
        <w:t xml:space="preserve"> storage noted in the given example are </w:t>
      </w:r>
      <w:r w:rsidR="004A2894">
        <w:rPr>
          <w:rFonts w:ascii="Tahoma" w:hAnsi="Tahoma" w:cs="Tahoma"/>
          <w:sz w:val="24"/>
          <w:szCs w:val="24"/>
        </w:rPr>
        <w:t>not eligible for</w:t>
      </w:r>
      <w:r w:rsidR="0072686B">
        <w:rPr>
          <w:rFonts w:ascii="Tahoma" w:hAnsi="Tahoma" w:cs="Tahoma"/>
          <w:sz w:val="24"/>
          <w:szCs w:val="24"/>
        </w:rPr>
        <w:t xml:space="preserve"> CEC </w:t>
      </w:r>
      <w:r w:rsidR="006C218E">
        <w:rPr>
          <w:rFonts w:ascii="Tahoma" w:hAnsi="Tahoma" w:cs="Tahoma"/>
          <w:sz w:val="24"/>
          <w:szCs w:val="24"/>
        </w:rPr>
        <w:t>reimbursement</w:t>
      </w:r>
      <w:r w:rsidR="0072686B">
        <w:rPr>
          <w:rFonts w:ascii="Tahoma" w:hAnsi="Tahoma" w:cs="Tahoma"/>
          <w:sz w:val="24"/>
          <w:szCs w:val="24"/>
        </w:rPr>
        <w:t xml:space="preserve">, though they may be eligible as </w:t>
      </w:r>
      <w:r w:rsidR="00A14D33">
        <w:rPr>
          <w:rFonts w:ascii="Tahoma" w:hAnsi="Tahoma" w:cs="Tahoma"/>
          <w:sz w:val="24"/>
          <w:szCs w:val="24"/>
        </w:rPr>
        <w:t xml:space="preserve">match share if the </w:t>
      </w:r>
      <w:r w:rsidR="00841DAC">
        <w:rPr>
          <w:rFonts w:ascii="Tahoma" w:hAnsi="Tahoma" w:cs="Tahoma"/>
          <w:sz w:val="24"/>
          <w:szCs w:val="24"/>
        </w:rPr>
        <w:t xml:space="preserve">energy storage </w:t>
      </w:r>
      <w:r w:rsidR="00C32CE5">
        <w:rPr>
          <w:rFonts w:ascii="Tahoma" w:hAnsi="Tahoma" w:cs="Tahoma"/>
          <w:sz w:val="24"/>
          <w:szCs w:val="24"/>
        </w:rPr>
        <w:t xml:space="preserve">is commercially </w:t>
      </w:r>
      <w:proofErr w:type="gramStart"/>
      <w:r w:rsidR="00C32CE5">
        <w:rPr>
          <w:rFonts w:ascii="Tahoma" w:hAnsi="Tahoma" w:cs="Tahoma"/>
          <w:sz w:val="24"/>
          <w:szCs w:val="24"/>
        </w:rPr>
        <w:t>available</w:t>
      </w:r>
      <w:proofErr w:type="gramEnd"/>
      <w:r w:rsidR="00C32CE5">
        <w:rPr>
          <w:rFonts w:ascii="Tahoma" w:hAnsi="Tahoma" w:cs="Tahoma"/>
          <w:sz w:val="24"/>
          <w:szCs w:val="24"/>
        </w:rPr>
        <w:t xml:space="preserve"> and the photovoltaic solar panels are separately metered for electric charging. </w:t>
      </w:r>
      <w:r w:rsidR="002D6F1C">
        <w:rPr>
          <w:rFonts w:ascii="Tahoma" w:hAnsi="Tahoma" w:cs="Tahoma"/>
          <w:sz w:val="24"/>
          <w:szCs w:val="24"/>
        </w:rPr>
        <w:t>Refer to Section II.E</w:t>
      </w:r>
      <w:r w:rsidR="00DE5707" w:rsidRPr="00DE5707">
        <w:rPr>
          <w:rFonts w:ascii="Tahoma" w:hAnsi="Tahoma" w:cs="Tahoma"/>
          <w:sz w:val="24"/>
          <w:szCs w:val="24"/>
        </w:rPr>
        <w:t>., Eligible Project Costs.</w:t>
      </w:r>
    </w:p>
    <w:p w14:paraId="52B256AF" w14:textId="77777777" w:rsidR="00EC2EE8" w:rsidRPr="003D5889" w:rsidRDefault="00EC2EE8" w:rsidP="00EC2EE8">
      <w:pPr>
        <w:spacing w:after="0" w:line="240" w:lineRule="auto"/>
        <w:ind w:left="720" w:hanging="720"/>
        <w:rPr>
          <w:rFonts w:ascii="Tahoma" w:eastAsia="Times New Roman" w:hAnsi="Tahoma" w:cs="Tahoma"/>
          <w:b/>
          <w:i/>
          <w:sz w:val="24"/>
          <w:szCs w:val="24"/>
          <w:u w:val="single"/>
        </w:rPr>
      </w:pPr>
      <w:r w:rsidRPr="003D5889">
        <w:rPr>
          <w:rFonts w:ascii="Tahoma" w:eastAsia="Times New Roman" w:hAnsi="Tahoma" w:cs="Tahoma"/>
          <w:b/>
          <w:i/>
          <w:sz w:val="24"/>
          <w:szCs w:val="24"/>
          <w:u w:val="single"/>
        </w:rPr>
        <w:t xml:space="preserve">Eligible Reimbursable and Match Share Costs </w:t>
      </w:r>
    </w:p>
    <w:p w14:paraId="3AD873AB" w14:textId="77777777" w:rsidR="003D68AF" w:rsidRPr="005448F6" w:rsidRDefault="003D68AF" w:rsidP="00EC2EE8">
      <w:pPr>
        <w:spacing w:after="0" w:line="240" w:lineRule="auto"/>
        <w:ind w:left="720" w:hanging="720"/>
        <w:rPr>
          <w:rFonts w:ascii="Tahoma" w:eastAsia="Times New Roman" w:hAnsi="Tahoma" w:cs="Tahoma"/>
          <w:b/>
          <w:sz w:val="24"/>
          <w:szCs w:val="24"/>
        </w:rPr>
      </w:pPr>
    </w:p>
    <w:p w14:paraId="0B741B17" w14:textId="0EB9A6B9" w:rsidR="003D68AF" w:rsidRPr="005448F6" w:rsidRDefault="004821A9"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44</w:t>
      </w:r>
      <w:r w:rsidR="003D68AF" w:rsidRPr="005448F6">
        <w:rPr>
          <w:rFonts w:ascii="Tahoma" w:eastAsia="Times New Roman" w:hAnsi="Tahoma" w:cs="Tahoma"/>
          <w:b/>
          <w:sz w:val="24"/>
          <w:szCs w:val="24"/>
        </w:rPr>
        <w:t xml:space="preserve">: </w:t>
      </w:r>
      <w:r w:rsidR="003D68AF" w:rsidRPr="005448F6">
        <w:rPr>
          <w:rFonts w:ascii="Tahoma" w:eastAsia="Times New Roman" w:hAnsi="Tahoma" w:cs="Tahoma"/>
          <w:b/>
          <w:sz w:val="24"/>
          <w:szCs w:val="24"/>
        </w:rPr>
        <w:tab/>
        <w:t xml:space="preserve">Can "Eligible Project Costs" such as grid infrastructure (e.g., </w:t>
      </w:r>
      <w:r w:rsidR="00DE5707">
        <w:rPr>
          <w:rFonts w:ascii="Tahoma" w:eastAsia="Times New Roman" w:hAnsi="Tahoma" w:cs="Tahoma"/>
          <w:b/>
          <w:sz w:val="24"/>
          <w:szCs w:val="24"/>
        </w:rPr>
        <w:t>t</w:t>
      </w:r>
      <w:r w:rsidR="003D68AF" w:rsidRPr="005448F6">
        <w:rPr>
          <w:rFonts w:ascii="Tahoma" w:eastAsia="Times New Roman" w:hAnsi="Tahoma" w:cs="Tahoma"/>
          <w:b/>
          <w:sz w:val="24"/>
          <w:szCs w:val="24"/>
        </w:rPr>
        <w:t xml:space="preserve">ransformers, </w:t>
      </w:r>
      <w:r w:rsidR="00DE5707">
        <w:rPr>
          <w:rFonts w:ascii="Tahoma" w:eastAsia="Times New Roman" w:hAnsi="Tahoma" w:cs="Tahoma"/>
          <w:b/>
          <w:sz w:val="24"/>
          <w:szCs w:val="24"/>
        </w:rPr>
        <w:t>e</w:t>
      </w:r>
      <w:r w:rsidR="003D68AF" w:rsidRPr="005448F6">
        <w:rPr>
          <w:rFonts w:ascii="Tahoma" w:eastAsia="Times New Roman" w:hAnsi="Tahoma" w:cs="Tahoma"/>
          <w:b/>
          <w:sz w:val="24"/>
          <w:szCs w:val="24"/>
        </w:rPr>
        <w:t xml:space="preserve">lectrical </w:t>
      </w:r>
      <w:r w:rsidR="00DE5707">
        <w:rPr>
          <w:rFonts w:ascii="Tahoma" w:eastAsia="Times New Roman" w:hAnsi="Tahoma" w:cs="Tahoma"/>
          <w:b/>
          <w:sz w:val="24"/>
          <w:szCs w:val="24"/>
        </w:rPr>
        <w:t>p</w:t>
      </w:r>
      <w:r w:rsidR="003D68AF" w:rsidRPr="005448F6">
        <w:rPr>
          <w:rFonts w:ascii="Tahoma" w:eastAsia="Times New Roman" w:hAnsi="Tahoma" w:cs="Tahoma"/>
          <w:b/>
          <w:sz w:val="24"/>
          <w:szCs w:val="24"/>
        </w:rPr>
        <w:t xml:space="preserve">anels, </w:t>
      </w:r>
      <w:r w:rsidR="00DE5707">
        <w:rPr>
          <w:rFonts w:ascii="Tahoma" w:eastAsia="Times New Roman" w:hAnsi="Tahoma" w:cs="Tahoma"/>
          <w:b/>
          <w:sz w:val="24"/>
          <w:szCs w:val="24"/>
        </w:rPr>
        <w:t>c</w:t>
      </w:r>
      <w:r w:rsidR="003D68AF" w:rsidRPr="005448F6">
        <w:rPr>
          <w:rFonts w:ascii="Tahoma" w:eastAsia="Times New Roman" w:hAnsi="Tahoma" w:cs="Tahoma"/>
          <w:b/>
          <w:sz w:val="24"/>
          <w:szCs w:val="24"/>
        </w:rPr>
        <w:t xml:space="preserve">onduit, </w:t>
      </w:r>
      <w:r w:rsidR="00DE5707">
        <w:rPr>
          <w:rFonts w:ascii="Tahoma" w:eastAsia="Times New Roman" w:hAnsi="Tahoma" w:cs="Tahoma"/>
          <w:b/>
          <w:sz w:val="24"/>
          <w:szCs w:val="24"/>
        </w:rPr>
        <w:t>w</w:t>
      </w:r>
      <w:r w:rsidR="003D68AF" w:rsidRPr="005448F6">
        <w:rPr>
          <w:rFonts w:ascii="Tahoma" w:eastAsia="Times New Roman" w:hAnsi="Tahoma" w:cs="Tahoma"/>
          <w:b/>
          <w:sz w:val="24"/>
          <w:szCs w:val="24"/>
        </w:rPr>
        <w:t xml:space="preserve">iring, </w:t>
      </w:r>
      <w:r w:rsidR="00DE5707">
        <w:rPr>
          <w:rFonts w:ascii="Tahoma" w:eastAsia="Times New Roman" w:hAnsi="Tahoma" w:cs="Tahoma"/>
          <w:b/>
          <w:sz w:val="24"/>
          <w:szCs w:val="24"/>
        </w:rPr>
        <w:t>m</w:t>
      </w:r>
      <w:r w:rsidR="003D68AF" w:rsidRPr="005448F6">
        <w:rPr>
          <w:rFonts w:ascii="Tahoma" w:eastAsia="Times New Roman" w:hAnsi="Tahoma" w:cs="Tahoma"/>
          <w:b/>
          <w:sz w:val="24"/>
          <w:szCs w:val="24"/>
        </w:rPr>
        <w:t xml:space="preserve">eters, </w:t>
      </w:r>
      <w:r w:rsidR="00DE5707">
        <w:rPr>
          <w:rFonts w:ascii="Tahoma" w:eastAsia="Times New Roman" w:hAnsi="Tahoma" w:cs="Tahoma"/>
          <w:b/>
          <w:sz w:val="24"/>
          <w:szCs w:val="24"/>
        </w:rPr>
        <w:t>i</w:t>
      </w:r>
      <w:r w:rsidR="003D68AF" w:rsidRPr="005448F6">
        <w:rPr>
          <w:rFonts w:ascii="Tahoma" w:eastAsia="Times New Roman" w:hAnsi="Tahoma" w:cs="Tahoma"/>
          <w:b/>
          <w:sz w:val="24"/>
          <w:szCs w:val="24"/>
        </w:rPr>
        <w:t xml:space="preserve">nstallation </w:t>
      </w:r>
      <w:r w:rsidR="00DE5707">
        <w:rPr>
          <w:rFonts w:ascii="Tahoma" w:eastAsia="Times New Roman" w:hAnsi="Tahoma" w:cs="Tahoma"/>
          <w:b/>
          <w:sz w:val="24"/>
          <w:szCs w:val="24"/>
        </w:rPr>
        <w:t>c</w:t>
      </w:r>
      <w:r w:rsidR="003D68AF" w:rsidRPr="005448F6">
        <w:rPr>
          <w:rFonts w:ascii="Tahoma" w:eastAsia="Times New Roman" w:hAnsi="Tahoma" w:cs="Tahoma"/>
          <w:b/>
          <w:sz w:val="24"/>
          <w:szCs w:val="24"/>
        </w:rPr>
        <w:t xml:space="preserve">osts, </w:t>
      </w:r>
      <w:r w:rsidR="00DE5707">
        <w:rPr>
          <w:rFonts w:ascii="Tahoma" w:eastAsia="Times New Roman" w:hAnsi="Tahoma" w:cs="Tahoma"/>
          <w:b/>
          <w:sz w:val="24"/>
          <w:szCs w:val="24"/>
        </w:rPr>
        <w:t>s</w:t>
      </w:r>
      <w:r w:rsidR="003D68AF" w:rsidRPr="005448F6">
        <w:rPr>
          <w:rFonts w:ascii="Tahoma" w:eastAsia="Times New Roman" w:hAnsi="Tahoma" w:cs="Tahoma"/>
          <w:b/>
          <w:sz w:val="24"/>
          <w:szCs w:val="24"/>
        </w:rPr>
        <w:t>tub-</w:t>
      </w:r>
      <w:r w:rsidR="00DE5707">
        <w:rPr>
          <w:rFonts w:ascii="Tahoma" w:eastAsia="Times New Roman" w:hAnsi="Tahoma" w:cs="Tahoma"/>
          <w:b/>
          <w:sz w:val="24"/>
          <w:szCs w:val="24"/>
        </w:rPr>
        <w:t>o</w:t>
      </w:r>
      <w:r w:rsidR="003D68AF" w:rsidRPr="005448F6">
        <w:rPr>
          <w:rFonts w:ascii="Tahoma" w:eastAsia="Times New Roman" w:hAnsi="Tahoma" w:cs="Tahoma"/>
          <w:b/>
          <w:sz w:val="24"/>
          <w:szCs w:val="24"/>
        </w:rPr>
        <w:t xml:space="preserve">uts, </w:t>
      </w:r>
      <w:r w:rsidR="00DE5707">
        <w:rPr>
          <w:rFonts w:ascii="Tahoma" w:eastAsia="Times New Roman" w:hAnsi="Tahoma" w:cs="Tahoma"/>
          <w:b/>
          <w:sz w:val="24"/>
          <w:szCs w:val="24"/>
        </w:rPr>
        <w:t>d</w:t>
      </w:r>
      <w:r w:rsidR="003D68AF" w:rsidRPr="005448F6">
        <w:rPr>
          <w:rFonts w:ascii="Tahoma" w:eastAsia="Times New Roman" w:hAnsi="Tahoma" w:cs="Tahoma"/>
          <w:b/>
          <w:sz w:val="24"/>
          <w:szCs w:val="24"/>
        </w:rPr>
        <w:t xml:space="preserve">emand </w:t>
      </w:r>
      <w:r w:rsidR="00DE5707">
        <w:rPr>
          <w:rFonts w:ascii="Tahoma" w:eastAsia="Times New Roman" w:hAnsi="Tahoma" w:cs="Tahoma"/>
          <w:b/>
          <w:sz w:val="24"/>
          <w:szCs w:val="24"/>
        </w:rPr>
        <w:t>m</w:t>
      </w:r>
      <w:r w:rsidR="003D68AF" w:rsidRPr="005448F6">
        <w:rPr>
          <w:rFonts w:ascii="Tahoma" w:eastAsia="Times New Roman" w:hAnsi="Tahoma" w:cs="Tahoma"/>
          <w:b/>
          <w:sz w:val="24"/>
          <w:szCs w:val="24"/>
        </w:rPr>
        <w:t xml:space="preserve">anagement </w:t>
      </w:r>
      <w:r w:rsidR="00DE5707">
        <w:rPr>
          <w:rFonts w:ascii="Tahoma" w:eastAsia="Times New Roman" w:hAnsi="Tahoma" w:cs="Tahoma"/>
          <w:b/>
          <w:sz w:val="24"/>
          <w:szCs w:val="24"/>
        </w:rPr>
        <w:t>e</w:t>
      </w:r>
      <w:r w:rsidR="003D68AF" w:rsidRPr="005448F6">
        <w:rPr>
          <w:rFonts w:ascii="Tahoma" w:eastAsia="Times New Roman" w:hAnsi="Tahoma" w:cs="Tahoma"/>
          <w:b/>
          <w:sz w:val="24"/>
          <w:szCs w:val="24"/>
        </w:rPr>
        <w:t xml:space="preserve">quipment, </w:t>
      </w:r>
      <w:r w:rsidR="00DE5707">
        <w:rPr>
          <w:rFonts w:ascii="Tahoma" w:eastAsia="Times New Roman" w:hAnsi="Tahoma" w:cs="Tahoma"/>
          <w:b/>
          <w:sz w:val="24"/>
          <w:szCs w:val="24"/>
        </w:rPr>
        <w:t>p</w:t>
      </w:r>
      <w:r w:rsidR="003D68AF" w:rsidRPr="005448F6">
        <w:rPr>
          <w:rFonts w:ascii="Tahoma" w:eastAsia="Times New Roman" w:hAnsi="Tahoma" w:cs="Tahoma"/>
          <w:b/>
          <w:sz w:val="24"/>
          <w:szCs w:val="24"/>
        </w:rPr>
        <w:t xml:space="preserve">lanning and </w:t>
      </w:r>
      <w:r w:rsidR="00DE5707">
        <w:rPr>
          <w:rFonts w:ascii="Tahoma" w:eastAsia="Times New Roman" w:hAnsi="Tahoma" w:cs="Tahoma"/>
          <w:b/>
          <w:sz w:val="24"/>
          <w:szCs w:val="24"/>
        </w:rPr>
        <w:t>e</w:t>
      </w:r>
      <w:r w:rsidR="003D68AF" w:rsidRPr="005448F6">
        <w:rPr>
          <w:rFonts w:ascii="Tahoma" w:eastAsia="Times New Roman" w:hAnsi="Tahoma" w:cs="Tahoma"/>
          <w:b/>
          <w:sz w:val="24"/>
          <w:szCs w:val="24"/>
        </w:rPr>
        <w:t xml:space="preserve">ngineering </w:t>
      </w:r>
      <w:r w:rsidR="00DE5707">
        <w:rPr>
          <w:rFonts w:ascii="Tahoma" w:eastAsia="Times New Roman" w:hAnsi="Tahoma" w:cs="Tahoma"/>
          <w:b/>
          <w:sz w:val="24"/>
          <w:szCs w:val="24"/>
        </w:rPr>
        <w:t>d</w:t>
      </w:r>
      <w:r w:rsidR="003D68AF" w:rsidRPr="005448F6">
        <w:rPr>
          <w:rFonts w:ascii="Tahoma" w:eastAsia="Times New Roman" w:hAnsi="Tahoma" w:cs="Tahoma"/>
          <w:b/>
          <w:sz w:val="24"/>
          <w:szCs w:val="24"/>
        </w:rPr>
        <w:t xml:space="preserve">esign, </w:t>
      </w:r>
      <w:r w:rsidR="00DE5707">
        <w:rPr>
          <w:rFonts w:ascii="Tahoma" w:eastAsia="Times New Roman" w:hAnsi="Tahoma" w:cs="Tahoma"/>
          <w:b/>
          <w:sz w:val="24"/>
          <w:szCs w:val="24"/>
        </w:rPr>
        <w:t>c</w:t>
      </w:r>
      <w:r w:rsidR="003D68AF" w:rsidRPr="005448F6">
        <w:rPr>
          <w:rFonts w:ascii="Tahoma" w:eastAsia="Times New Roman" w:hAnsi="Tahoma" w:cs="Tahoma"/>
          <w:b/>
          <w:sz w:val="24"/>
          <w:szCs w:val="24"/>
        </w:rPr>
        <w:t xml:space="preserve">ommissioning, </w:t>
      </w:r>
      <w:r w:rsidR="00DE5707">
        <w:rPr>
          <w:rFonts w:ascii="Tahoma" w:eastAsia="Times New Roman" w:hAnsi="Tahoma" w:cs="Tahoma"/>
          <w:b/>
          <w:sz w:val="24"/>
          <w:szCs w:val="24"/>
        </w:rPr>
        <w:t>u</w:t>
      </w:r>
      <w:r w:rsidR="003D68AF" w:rsidRPr="005448F6">
        <w:rPr>
          <w:rFonts w:ascii="Tahoma" w:eastAsia="Times New Roman" w:hAnsi="Tahoma" w:cs="Tahoma"/>
          <w:b/>
          <w:sz w:val="24"/>
          <w:szCs w:val="24"/>
        </w:rPr>
        <w:t xml:space="preserve">tility </w:t>
      </w:r>
      <w:r w:rsidR="00DE5707">
        <w:rPr>
          <w:rFonts w:ascii="Tahoma" w:eastAsia="Times New Roman" w:hAnsi="Tahoma" w:cs="Tahoma"/>
          <w:b/>
          <w:sz w:val="24"/>
          <w:szCs w:val="24"/>
        </w:rPr>
        <w:t>s</w:t>
      </w:r>
      <w:r w:rsidR="003D68AF" w:rsidRPr="005448F6">
        <w:rPr>
          <w:rFonts w:ascii="Tahoma" w:eastAsia="Times New Roman" w:hAnsi="Tahoma" w:cs="Tahoma"/>
          <w:b/>
          <w:sz w:val="24"/>
          <w:szCs w:val="24"/>
        </w:rPr>
        <w:t xml:space="preserve">ervice </w:t>
      </w:r>
      <w:r w:rsidR="00DE5707">
        <w:rPr>
          <w:rFonts w:ascii="Tahoma" w:eastAsia="Times New Roman" w:hAnsi="Tahoma" w:cs="Tahoma"/>
          <w:b/>
          <w:sz w:val="24"/>
          <w:szCs w:val="24"/>
        </w:rPr>
        <w:t>u</w:t>
      </w:r>
      <w:r w:rsidR="003D68AF" w:rsidRPr="005448F6">
        <w:rPr>
          <w:rFonts w:ascii="Tahoma" w:eastAsia="Times New Roman" w:hAnsi="Tahoma" w:cs="Tahoma"/>
          <w:b/>
          <w:sz w:val="24"/>
          <w:szCs w:val="24"/>
        </w:rPr>
        <w:t xml:space="preserve">pgrades) standalone in support of EV </w:t>
      </w:r>
      <w:r w:rsidR="00DE5707">
        <w:rPr>
          <w:rFonts w:ascii="Tahoma" w:eastAsia="Times New Roman" w:hAnsi="Tahoma" w:cs="Tahoma"/>
          <w:b/>
          <w:sz w:val="24"/>
          <w:szCs w:val="24"/>
        </w:rPr>
        <w:t>c</w:t>
      </w:r>
      <w:r w:rsidR="003D68AF" w:rsidRPr="005448F6">
        <w:rPr>
          <w:rFonts w:ascii="Tahoma" w:eastAsia="Times New Roman" w:hAnsi="Tahoma" w:cs="Tahoma"/>
          <w:b/>
          <w:sz w:val="24"/>
          <w:szCs w:val="24"/>
        </w:rPr>
        <w:t>hargers or EVSE</w:t>
      </w:r>
      <w:r w:rsidR="00DE5707">
        <w:rPr>
          <w:rFonts w:ascii="Tahoma" w:eastAsia="Times New Roman" w:hAnsi="Tahoma" w:cs="Tahoma"/>
          <w:b/>
          <w:sz w:val="24"/>
          <w:szCs w:val="24"/>
        </w:rPr>
        <w:t xml:space="preserve"> </w:t>
      </w:r>
      <w:r w:rsidR="003D68AF" w:rsidRPr="005448F6">
        <w:rPr>
          <w:rFonts w:ascii="Tahoma" w:eastAsia="Times New Roman" w:hAnsi="Tahoma" w:cs="Tahoma"/>
          <w:b/>
          <w:sz w:val="24"/>
          <w:szCs w:val="24"/>
        </w:rPr>
        <w:t xml:space="preserve">for existing planned </w:t>
      </w:r>
      <w:r w:rsidR="00DE5707">
        <w:rPr>
          <w:rFonts w:ascii="Tahoma" w:eastAsia="Times New Roman" w:hAnsi="Tahoma" w:cs="Tahoma"/>
          <w:b/>
          <w:sz w:val="24"/>
          <w:szCs w:val="24"/>
        </w:rPr>
        <w:t>c</w:t>
      </w:r>
      <w:r w:rsidR="003D68AF" w:rsidRPr="005448F6">
        <w:rPr>
          <w:rFonts w:ascii="Tahoma" w:eastAsia="Times New Roman" w:hAnsi="Tahoma" w:cs="Tahoma"/>
          <w:b/>
          <w:sz w:val="24"/>
          <w:szCs w:val="24"/>
        </w:rPr>
        <w:t>harger projects?</w:t>
      </w:r>
    </w:p>
    <w:p w14:paraId="72662D21" w14:textId="77777777" w:rsidR="001D4815" w:rsidRPr="005448F6" w:rsidRDefault="001D4815" w:rsidP="001D4815">
      <w:pPr>
        <w:spacing w:after="0" w:line="240" w:lineRule="auto"/>
        <w:ind w:left="720" w:hanging="720"/>
        <w:rPr>
          <w:rFonts w:ascii="Tahoma" w:eastAsia="Times New Roman" w:hAnsi="Tahoma" w:cs="Tahoma"/>
          <w:b/>
          <w:sz w:val="24"/>
          <w:szCs w:val="24"/>
        </w:rPr>
      </w:pPr>
    </w:p>
    <w:p w14:paraId="003FFB21" w14:textId="0C2C6A1D" w:rsidR="003D68AF" w:rsidRPr="005448F6" w:rsidRDefault="004821A9"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w:t>
      </w:r>
      <w:r w:rsidR="00610A27">
        <w:rPr>
          <w:rFonts w:ascii="Tahoma" w:hAnsi="Tahoma" w:cs="Tahoma"/>
          <w:sz w:val="24"/>
          <w:szCs w:val="24"/>
        </w:rPr>
        <w:t>4</w:t>
      </w:r>
      <w:r w:rsidR="003D68AF" w:rsidRPr="005448F6">
        <w:rPr>
          <w:rFonts w:ascii="Tahoma" w:hAnsi="Tahoma" w:cs="Tahoma"/>
          <w:sz w:val="24"/>
          <w:szCs w:val="24"/>
        </w:rPr>
        <w:t>:</w:t>
      </w:r>
      <w:r w:rsidR="003D68AF" w:rsidRPr="005448F6">
        <w:rPr>
          <w:rFonts w:ascii="Tahoma" w:hAnsi="Tahoma" w:cs="Tahoma"/>
          <w:sz w:val="24"/>
          <w:szCs w:val="24"/>
        </w:rPr>
        <w:tab/>
        <w:t xml:space="preserve">No. </w:t>
      </w:r>
      <w:r w:rsidR="00D26402">
        <w:rPr>
          <w:rFonts w:ascii="Tahoma" w:hAnsi="Tahoma" w:cs="Tahoma"/>
          <w:sz w:val="24"/>
          <w:szCs w:val="24"/>
        </w:rPr>
        <w:t>To be eligible for funding, applications must include c</w:t>
      </w:r>
      <w:r w:rsidR="003D68AF" w:rsidRPr="005448F6">
        <w:rPr>
          <w:rFonts w:ascii="Tahoma" w:hAnsi="Tahoma" w:cs="Tahoma"/>
          <w:sz w:val="24"/>
          <w:szCs w:val="24"/>
        </w:rPr>
        <w:t xml:space="preserve">harger deployment </w:t>
      </w:r>
      <w:r w:rsidR="00D26402">
        <w:rPr>
          <w:rFonts w:ascii="Tahoma" w:hAnsi="Tahoma" w:cs="Tahoma"/>
          <w:sz w:val="24"/>
          <w:szCs w:val="24"/>
        </w:rPr>
        <w:t xml:space="preserve">that meets the </w:t>
      </w:r>
      <w:r w:rsidR="003D68AF" w:rsidRPr="005448F6">
        <w:rPr>
          <w:rFonts w:ascii="Tahoma" w:hAnsi="Tahoma" w:cs="Tahoma"/>
          <w:sz w:val="24"/>
          <w:szCs w:val="24"/>
        </w:rPr>
        <w:t>minimum</w:t>
      </w:r>
      <w:r w:rsidR="00D26402">
        <w:rPr>
          <w:rFonts w:ascii="Tahoma" w:hAnsi="Tahoma" w:cs="Tahoma"/>
          <w:sz w:val="24"/>
          <w:szCs w:val="24"/>
        </w:rPr>
        <w:t xml:space="preserve"> requirements</w:t>
      </w:r>
      <w:r w:rsidR="00E0495B">
        <w:rPr>
          <w:rFonts w:ascii="Tahoma" w:hAnsi="Tahoma" w:cs="Tahoma"/>
          <w:sz w:val="24"/>
          <w:szCs w:val="24"/>
        </w:rPr>
        <w:t xml:space="preserve"> outlined in Section I.G. </w:t>
      </w:r>
      <w:r w:rsidR="00181C26">
        <w:rPr>
          <w:rFonts w:ascii="Tahoma" w:hAnsi="Tahoma" w:cs="Tahoma"/>
          <w:sz w:val="24"/>
          <w:szCs w:val="24"/>
        </w:rPr>
        <w:t xml:space="preserve">While </w:t>
      </w:r>
      <w:r w:rsidR="00305681">
        <w:rPr>
          <w:rFonts w:ascii="Tahoma" w:hAnsi="Tahoma" w:cs="Tahoma"/>
          <w:sz w:val="24"/>
          <w:szCs w:val="24"/>
        </w:rPr>
        <w:t xml:space="preserve">some </w:t>
      </w:r>
      <w:r w:rsidR="00181C26">
        <w:rPr>
          <w:rFonts w:ascii="Tahoma" w:hAnsi="Tahoma" w:cs="Tahoma"/>
          <w:sz w:val="24"/>
          <w:szCs w:val="24"/>
        </w:rPr>
        <w:t xml:space="preserve">grid infrastructure </w:t>
      </w:r>
      <w:r w:rsidR="00B032BF">
        <w:rPr>
          <w:rFonts w:ascii="Tahoma" w:hAnsi="Tahoma" w:cs="Tahoma"/>
          <w:sz w:val="24"/>
          <w:szCs w:val="24"/>
        </w:rPr>
        <w:t>costs are eligible</w:t>
      </w:r>
      <w:r w:rsidR="00A96B94">
        <w:rPr>
          <w:rFonts w:ascii="Tahoma" w:hAnsi="Tahoma" w:cs="Tahoma"/>
          <w:sz w:val="24"/>
          <w:szCs w:val="24"/>
        </w:rPr>
        <w:t xml:space="preserve"> costs, they cannot be funded as standalone </w:t>
      </w:r>
      <w:r w:rsidR="00372A7E">
        <w:rPr>
          <w:rFonts w:ascii="Tahoma" w:hAnsi="Tahoma" w:cs="Tahoma"/>
          <w:sz w:val="24"/>
          <w:szCs w:val="24"/>
        </w:rPr>
        <w:t xml:space="preserve">projects. </w:t>
      </w:r>
      <w:r w:rsidR="00DE5707">
        <w:rPr>
          <w:rFonts w:ascii="Tahoma" w:hAnsi="Tahoma" w:cs="Tahoma"/>
          <w:sz w:val="24"/>
          <w:szCs w:val="24"/>
        </w:rPr>
        <w:t>Refer to Section II.E., Eligible Project Costs.</w:t>
      </w:r>
    </w:p>
    <w:p w14:paraId="71B542B2" w14:textId="77777777" w:rsidR="001D4815" w:rsidRPr="005448F6" w:rsidRDefault="001D4815" w:rsidP="001D4815">
      <w:pPr>
        <w:spacing w:after="0"/>
        <w:ind w:left="720" w:hanging="720"/>
        <w:rPr>
          <w:rFonts w:ascii="Tahoma" w:hAnsi="Tahoma" w:cs="Tahoma"/>
          <w:sz w:val="24"/>
          <w:szCs w:val="24"/>
        </w:rPr>
      </w:pPr>
    </w:p>
    <w:p w14:paraId="3191D630" w14:textId="03FAAB01" w:rsidR="003D68AF"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45</w:t>
      </w:r>
      <w:r w:rsidR="003D68AF" w:rsidRPr="005448F6">
        <w:rPr>
          <w:rFonts w:ascii="Tahoma" w:eastAsia="Times New Roman" w:hAnsi="Tahoma" w:cs="Tahoma"/>
          <w:b/>
          <w:sz w:val="24"/>
          <w:szCs w:val="24"/>
        </w:rPr>
        <w:t>:</w:t>
      </w:r>
      <w:r w:rsidR="003D68AF" w:rsidRPr="005448F6">
        <w:rPr>
          <w:rFonts w:ascii="Tahoma" w:eastAsia="Times New Roman" w:hAnsi="Tahoma" w:cs="Tahoma"/>
          <w:b/>
          <w:sz w:val="24"/>
          <w:szCs w:val="24"/>
        </w:rPr>
        <w:tab/>
        <w:t>May we earmark funds for a charger port project that is currently in a design phase to be implemented at a future date?</w:t>
      </w:r>
    </w:p>
    <w:p w14:paraId="2B10BBF5" w14:textId="77777777" w:rsidR="001D4815" w:rsidRPr="005448F6" w:rsidRDefault="001D4815" w:rsidP="001D4815">
      <w:pPr>
        <w:spacing w:after="0" w:line="240" w:lineRule="auto"/>
        <w:ind w:left="720" w:hanging="720"/>
        <w:rPr>
          <w:rFonts w:ascii="Tahoma" w:eastAsia="Times New Roman" w:hAnsi="Tahoma" w:cs="Tahoma"/>
          <w:b/>
          <w:sz w:val="24"/>
          <w:szCs w:val="24"/>
        </w:rPr>
      </w:pPr>
    </w:p>
    <w:p w14:paraId="42D2C7EE" w14:textId="4D346E76" w:rsidR="003D68AF" w:rsidRPr="005448F6" w:rsidRDefault="00610A27"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45</w:t>
      </w:r>
      <w:r w:rsidR="003D68AF" w:rsidRPr="005448F6">
        <w:rPr>
          <w:rFonts w:ascii="Tahoma" w:hAnsi="Tahoma" w:cs="Tahoma"/>
          <w:sz w:val="24"/>
          <w:szCs w:val="24"/>
        </w:rPr>
        <w:t>:</w:t>
      </w:r>
      <w:r w:rsidR="003D68AF" w:rsidRPr="005448F6">
        <w:rPr>
          <w:rFonts w:ascii="Tahoma" w:hAnsi="Tahoma" w:cs="Tahoma"/>
          <w:sz w:val="24"/>
          <w:szCs w:val="24"/>
        </w:rPr>
        <w:tab/>
      </w:r>
      <w:r w:rsidR="009F223F" w:rsidRPr="009F223F">
        <w:rPr>
          <w:rFonts w:ascii="Tahoma" w:hAnsi="Tahoma" w:cs="Tahoma"/>
          <w:sz w:val="24"/>
          <w:szCs w:val="24"/>
        </w:rPr>
        <w:t>No. Funds under this solicitation cannot be reserved or earmarked for projects still in the design phase. Applications must propose projects ready to proceed with deployment within the required timeline.</w:t>
      </w:r>
      <w:r w:rsidR="008C29A3">
        <w:rPr>
          <w:rFonts w:ascii="Tahoma" w:hAnsi="Tahoma" w:cs="Tahoma"/>
          <w:sz w:val="24"/>
          <w:szCs w:val="24"/>
        </w:rPr>
        <w:t xml:space="preserve"> </w:t>
      </w:r>
      <w:r w:rsidR="00EE2AA7">
        <w:rPr>
          <w:rFonts w:ascii="Tahoma" w:hAnsi="Tahoma" w:cs="Tahoma"/>
          <w:sz w:val="24"/>
          <w:szCs w:val="24"/>
        </w:rPr>
        <w:t xml:space="preserve">The proposed project will be evaluated against </w:t>
      </w:r>
      <w:r w:rsidR="003A7700">
        <w:rPr>
          <w:rFonts w:ascii="Tahoma" w:hAnsi="Tahoma" w:cs="Tahoma"/>
          <w:sz w:val="24"/>
          <w:szCs w:val="24"/>
        </w:rPr>
        <w:t>several</w:t>
      </w:r>
      <w:r w:rsidR="00EE2AA7">
        <w:rPr>
          <w:rFonts w:ascii="Tahoma" w:hAnsi="Tahoma" w:cs="Tahoma"/>
          <w:sz w:val="24"/>
          <w:szCs w:val="24"/>
        </w:rPr>
        <w:t xml:space="preserve"> criteria outlined in Section </w:t>
      </w:r>
      <w:r w:rsidR="003A7700">
        <w:rPr>
          <w:rFonts w:ascii="Tahoma" w:hAnsi="Tahoma" w:cs="Tahoma"/>
          <w:sz w:val="24"/>
          <w:szCs w:val="24"/>
        </w:rPr>
        <w:t>IV.E., Evaluation Criteria, including Project Readiness, which has a minimum passing score requirement in order to be eligible for funding</w:t>
      </w:r>
      <w:r w:rsidR="002417C8">
        <w:rPr>
          <w:rFonts w:ascii="Tahoma" w:hAnsi="Tahoma" w:cs="Tahoma"/>
          <w:sz w:val="24"/>
          <w:szCs w:val="24"/>
        </w:rPr>
        <w:t>.</w:t>
      </w:r>
      <w:r w:rsidR="006B1E7D">
        <w:rPr>
          <w:rFonts w:ascii="Tahoma" w:hAnsi="Tahoma" w:cs="Tahoma"/>
          <w:sz w:val="24"/>
          <w:szCs w:val="24"/>
        </w:rPr>
        <w:t xml:space="preserve"> </w:t>
      </w:r>
      <w:r w:rsidR="00605F71">
        <w:rPr>
          <w:rFonts w:ascii="Tahoma" w:hAnsi="Tahoma" w:cs="Tahoma"/>
          <w:sz w:val="24"/>
          <w:szCs w:val="24"/>
        </w:rPr>
        <w:t xml:space="preserve">The timeline for CEQA </w:t>
      </w:r>
      <w:r w:rsidR="00874B1D">
        <w:rPr>
          <w:rFonts w:ascii="Tahoma" w:hAnsi="Tahoma" w:cs="Tahoma"/>
          <w:sz w:val="24"/>
          <w:szCs w:val="24"/>
        </w:rPr>
        <w:t xml:space="preserve">compliance must also be provided in the application. </w:t>
      </w:r>
      <w:r w:rsidR="00DF628C">
        <w:rPr>
          <w:rFonts w:ascii="Tahoma" w:hAnsi="Tahoma" w:cs="Tahoma"/>
          <w:sz w:val="24"/>
          <w:szCs w:val="24"/>
        </w:rPr>
        <w:t>Refer to Section III.D.10., CEQA Worksheet (Attachment 10). Proposed p</w:t>
      </w:r>
      <w:r w:rsidR="00DF628C" w:rsidRPr="00DF628C">
        <w:rPr>
          <w:rFonts w:ascii="Tahoma" w:hAnsi="Tahoma" w:cs="Tahoma"/>
          <w:sz w:val="24"/>
          <w:szCs w:val="24"/>
        </w:rPr>
        <w:t>rojects recommended for funding must complete the CEQA process within 6 months of the release date of the NOPA.</w:t>
      </w:r>
      <w:r w:rsidR="00347F52">
        <w:rPr>
          <w:rFonts w:ascii="Tahoma" w:hAnsi="Tahoma" w:cs="Tahoma"/>
          <w:sz w:val="24"/>
          <w:szCs w:val="24"/>
        </w:rPr>
        <w:t xml:space="preserve"> </w:t>
      </w:r>
      <w:r w:rsidR="00347F52" w:rsidRPr="00347F52">
        <w:rPr>
          <w:rFonts w:ascii="Tahoma" w:hAnsi="Tahoma" w:cs="Tahoma"/>
          <w:sz w:val="24"/>
          <w:szCs w:val="24"/>
        </w:rPr>
        <w:t>The CEC reserves the right to cancel proposed awards that do not meet this CEQA compliance deadline and recommend funding for the next, highest-scoring passing proposal submitted under this solicitation.</w:t>
      </w:r>
    </w:p>
    <w:p w14:paraId="46CC4D28" w14:textId="77777777" w:rsidR="001D4815" w:rsidRPr="005448F6" w:rsidRDefault="001D4815" w:rsidP="001D4815">
      <w:pPr>
        <w:spacing w:after="0"/>
        <w:ind w:left="720" w:hanging="720"/>
        <w:rPr>
          <w:rFonts w:ascii="Tahoma" w:hAnsi="Tahoma" w:cs="Tahoma"/>
          <w:sz w:val="24"/>
          <w:szCs w:val="24"/>
        </w:rPr>
      </w:pPr>
    </w:p>
    <w:p w14:paraId="460172E7" w14:textId="000118C9" w:rsidR="00493679" w:rsidRPr="005448F6" w:rsidRDefault="00610A27" w:rsidP="00CF12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46</w:t>
      </w:r>
      <w:r w:rsidR="00493679" w:rsidRPr="005448F6">
        <w:rPr>
          <w:rFonts w:ascii="Tahoma" w:eastAsia="Times New Roman" w:hAnsi="Tahoma" w:cs="Tahoma"/>
          <w:b/>
          <w:sz w:val="24"/>
          <w:szCs w:val="24"/>
        </w:rPr>
        <w:t>:</w:t>
      </w:r>
      <w:r w:rsidR="00493679" w:rsidRPr="005448F6">
        <w:rPr>
          <w:rFonts w:ascii="Tahoma" w:eastAsia="Times New Roman" w:hAnsi="Tahoma" w:cs="Tahoma"/>
          <w:b/>
          <w:sz w:val="24"/>
          <w:szCs w:val="24"/>
        </w:rPr>
        <w:tab/>
        <w:t>Can IOUs provide cost share?</w:t>
      </w:r>
    </w:p>
    <w:p w14:paraId="3AF88DA3" w14:textId="77777777" w:rsidR="00493679" w:rsidRPr="005448F6" w:rsidRDefault="00493679" w:rsidP="00493679">
      <w:pPr>
        <w:spacing w:after="0" w:line="240" w:lineRule="auto"/>
        <w:rPr>
          <w:rFonts w:ascii="Tahoma" w:hAnsi="Tahoma" w:cs="Tahoma"/>
          <w:sz w:val="24"/>
          <w:szCs w:val="24"/>
        </w:rPr>
      </w:pPr>
    </w:p>
    <w:p w14:paraId="40A1D0AC" w14:textId="6A85FBAE" w:rsidR="00493679"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46</w:t>
      </w:r>
      <w:r w:rsidR="00493679" w:rsidRPr="005448F6">
        <w:rPr>
          <w:rFonts w:ascii="Tahoma" w:hAnsi="Tahoma" w:cs="Tahoma"/>
          <w:sz w:val="24"/>
          <w:szCs w:val="24"/>
        </w:rPr>
        <w:t>:</w:t>
      </w:r>
      <w:r w:rsidR="00493679" w:rsidRPr="005448F6">
        <w:rPr>
          <w:rFonts w:ascii="Tahoma" w:hAnsi="Tahoma" w:cs="Tahoma"/>
          <w:sz w:val="24"/>
          <w:szCs w:val="24"/>
        </w:rPr>
        <w:tab/>
        <w:t>Yes</w:t>
      </w:r>
      <w:r w:rsidR="00DF1DC6">
        <w:rPr>
          <w:rFonts w:ascii="Tahoma" w:hAnsi="Tahoma" w:cs="Tahoma"/>
          <w:sz w:val="24"/>
          <w:szCs w:val="24"/>
        </w:rPr>
        <w:t>.</w:t>
      </w:r>
    </w:p>
    <w:p w14:paraId="50A9E09A" w14:textId="77777777" w:rsidR="003D68AF" w:rsidRPr="005448F6" w:rsidRDefault="003D68AF" w:rsidP="00EC2EE8">
      <w:pPr>
        <w:spacing w:after="0" w:line="240" w:lineRule="auto"/>
        <w:ind w:left="720" w:hanging="720"/>
        <w:rPr>
          <w:rFonts w:ascii="Tahoma" w:eastAsia="Times New Roman" w:hAnsi="Tahoma" w:cs="Tahoma"/>
          <w:b/>
          <w:sz w:val="24"/>
          <w:szCs w:val="24"/>
        </w:rPr>
      </w:pPr>
    </w:p>
    <w:p w14:paraId="67D710EE" w14:textId="72017C1B" w:rsidR="005455BA" w:rsidRPr="005448F6" w:rsidRDefault="00610A27" w:rsidP="005455BA">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Q4</w:t>
      </w:r>
      <w:r>
        <w:rPr>
          <w:rFonts w:ascii="Tahoma" w:eastAsia="Times New Roman" w:hAnsi="Tahoma" w:cs="Tahoma"/>
          <w:b/>
          <w:sz w:val="24"/>
          <w:szCs w:val="24"/>
        </w:rPr>
        <w:t>7</w:t>
      </w:r>
      <w:r w:rsidR="005455BA" w:rsidRPr="005448F6">
        <w:rPr>
          <w:rFonts w:ascii="Tahoma" w:eastAsia="Times New Roman" w:hAnsi="Tahoma" w:cs="Tahoma"/>
          <w:b/>
          <w:sz w:val="24"/>
          <w:szCs w:val="24"/>
        </w:rPr>
        <w:t>:</w:t>
      </w:r>
      <w:r w:rsidR="005455BA" w:rsidRPr="005448F6">
        <w:rPr>
          <w:rFonts w:ascii="Tahoma" w:eastAsia="Times New Roman" w:hAnsi="Tahoma" w:cs="Tahoma"/>
          <w:b/>
          <w:sz w:val="24"/>
          <w:szCs w:val="24"/>
        </w:rPr>
        <w:tab/>
        <w:t xml:space="preserve">Is a </w:t>
      </w:r>
      <w:r w:rsidR="00D07D77" w:rsidRPr="005448F6">
        <w:rPr>
          <w:rFonts w:ascii="Tahoma" w:eastAsia="Times New Roman" w:hAnsi="Tahoma" w:cs="Tahoma"/>
          <w:b/>
          <w:sz w:val="24"/>
          <w:szCs w:val="24"/>
        </w:rPr>
        <w:t xml:space="preserve">security </w:t>
      </w:r>
      <w:r w:rsidR="005455BA" w:rsidRPr="005448F6">
        <w:rPr>
          <w:rFonts w:ascii="Tahoma" w:eastAsia="Times New Roman" w:hAnsi="Tahoma" w:cs="Tahoma"/>
          <w:b/>
          <w:sz w:val="24"/>
          <w:szCs w:val="24"/>
        </w:rPr>
        <w:t xml:space="preserve">fence allowable </w:t>
      </w:r>
      <w:r w:rsidR="00D07D77">
        <w:rPr>
          <w:rFonts w:ascii="Tahoma" w:eastAsia="Times New Roman" w:hAnsi="Tahoma" w:cs="Tahoma"/>
          <w:b/>
          <w:sz w:val="24"/>
          <w:szCs w:val="24"/>
        </w:rPr>
        <w:t>to protect</w:t>
      </w:r>
      <w:r w:rsidR="005455BA" w:rsidRPr="005448F6">
        <w:rPr>
          <w:rFonts w:ascii="Tahoma" w:eastAsia="Times New Roman" w:hAnsi="Tahoma" w:cs="Tahoma"/>
          <w:b/>
          <w:sz w:val="24"/>
          <w:szCs w:val="24"/>
        </w:rPr>
        <w:t xml:space="preserve"> vehicles and drivers if </w:t>
      </w:r>
      <w:r w:rsidR="00D07D77">
        <w:rPr>
          <w:rFonts w:ascii="Tahoma" w:eastAsia="Times New Roman" w:hAnsi="Tahoma" w:cs="Tahoma"/>
          <w:b/>
          <w:sz w:val="24"/>
          <w:szCs w:val="24"/>
        </w:rPr>
        <w:t>it can</w:t>
      </w:r>
      <w:r w:rsidR="005455BA" w:rsidRPr="005448F6">
        <w:rPr>
          <w:rFonts w:ascii="Tahoma" w:eastAsia="Times New Roman" w:hAnsi="Tahoma" w:cs="Tahoma"/>
          <w:b/>
          <w:sz w:val="24"/>
          <w:szCs w:val="24"/>
        </w:rPr>
        <w:t xml:space="preserve"> </w:t>
      </w:r>
      <w:r w:rsidR="00D07D77">
        <w:rPr>
          <w:rFonts w:ascii="Tahoma" w:eastAsia="Times New Roman" w:hAnsi="Tahoma" w:cs="Tahoma"/>
          <w:b/>
          <w:sz w:val="24"/>
          <w:szCs w:val="24"/>
        </w:rPr>
        <w:t xml:space="preserve">be </w:t>
      </w:r>
      <w:r w:rsidR="005455BA" w:rsidRPr="005448F6">
        <w:rPr>
          <w:rFonts w:ascii="Tahoma" w:eastAsia="Times New Roman" w:hAnsi="Tahoma" w:cs="Tahoma"/>
          <w:b/>
          <w:sz w:val="24"/>
          <w:szCs w:val="24"/>
        </w:rPr>
        <w:t xml:space="preserve">opened by the general public </w:t>
      </w:r>
      <w:r w:rsidR="00D07D77">
        <w:rPr>
          <w:rFonts w:ascii="Tahoma" w:eastAsia="Times New Roman" w:hAnsi="Tahoma" w:cs="Tahoma"/>
          <w:b/>
          <w:sz w:val="24"/>
          <w:szCs w:val="24"/>
        </w:rPr>
        <w:t>through</w:t>
      </w:r>
      <w:r w:rsidR="00D07D77" w:rsidRPr="005448F6">
        <w:rPr>
          <w:rFonts w:ascii="Tahoma" w:eastAsia="Times New Roman" w:hAnsi="Tahoma" w:cs="Tahoma"/>
          <w:b/>
          <w:sz w:val="24"/>
          <w:szCs w:val="24"/>
        </w:rPr>
        <w:t xml:space="preserve"> </w:t>
      </w:r>
      <w:r w:rsidR="005455BA" w:rsidRPr="005448F6">
        <w:rPr>
          <w:rFonts w:ascii="Tahoma" w:eastAsia="Times New Roman" w:hAnsi="Tahoma" w:cs="Tahoma"/>
          <w:b/>
          <w:sz w:val="24"/>
          <w:szCs w:val="24"/>
        </w:rPr>
        <w:t>an on-site manager?</w:t>
      </w:r>
    </w:p>
    <w:p w14:paraId="066E5379" w14:textId="77777777" w:rsidR="001D4815" w:rsidRPr="005448F6" w:rsidRDefault="001D4815" w:rsidP="005455BA">
      <w:pPr>
        <w:spacing w:after="0" w:line="240" w:lineRule="auto"/>
        <w:ind w:left="720" w:hanging="720"/>
        <w:rPr>
          <w:rFonts w:ascii="Tahoma" w:eastAsia="Times New Roman" w:hAnsi="Tahoma" w:cs="Tahoma"/>
          <w:b/>
          <w:sz w:val="24"/>
          <w:szCs w:val="24"/>
        </w:rPr>
      </w:pPr>
    </w:p>
    <w:p w14:paraId="40B16921" w14:textId="4997A62F" w:rsidR="005455BA"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A4</w:t>
      </w:r>
      <w:r>
        <w:rPr>
          <w:rFonts w:ascii="Tahoma" w:hAnsi="Tahoma" w:cs="Tahoma"/>
          <w:sz w:val="24"/>
          <w:szCs w:val="24"/>
        </w:rPr>
        <w:t>7</w:t>
      </w:r>
      <w:r w:rsidR="005455BA" w:rsidRPr="005448F6">
        <w:rPr>
          <w:rFonts w:ascii="Tahoma" w:hAnsi="Tahoma" w:cs="Tahoma"/>
          <w:sz w:val="24"/>
          <w:szCs w:val="24"/>
        </w:rPr>
        <w:t>:</w:t>
      </w:r>
      <w:r w:rsidR="005455BA" w:rsidRPr="005448F6">
        <w:rPr>
          <w:rFonts w:ascii="Tahoma" w:hAnsi="Tahoma" w:cs="Tahoma"/>
          <w:sz w:val="24"/>
          <w:szCs w:val="24"/>
        </w:rPr>
        <w:tab/>
        <w:t>Yes. However, a fen</w:t>
      </w:r>
      <w:r w:rsidR="002723EE">
        <w:rPr>
          <w:rFonts w:ascii="Tahoma" w:hAnsi="Tahoma" w:cs="Tahoma"/>
          <w:sz w:val="24"/>
          <w:szCs w:val="24"/>
        </w:rPr>
        <w:t>c</w:t>
      </w:r>
      <w:r w:rsidR="005455BA" w:rsidRPr="005448F6">
        <w:rPr>
          <w:rFonts w:ascii="Tahoma" w:hAnsi="Tahoma" w:cs="Tahoma"/>
          <w:sz w:val="24"/>
          <w:szCs w:val="24"/>
        </w:rPr>
        <w:t xml:space="preserve">e is not an eligible CEC reimbursable expense. </w:t>
      </w:r>
    </w:p>
    <w:p w14:paraId="631940D8" w14:textId="77777777" w:rsidR="005455BA" w:rsidRPr="005448F6" w:rsidRDefault="005455BA" w:rsidP="005455BA">
      <w:pPr>
        <w:spacing w:after="0" w:line="240" w:lineRule="auto"/>
        <w:rPr>
          <w:rFonts w:ascii="Tahoma" w:hAnsi="Tahoma" w:cs="Tahoma"/>
          <w:sz w:val="24"/>
          <w:szCs w:val="24"/>
        </w:rPr>
      </w:pPr>
    </w:p>
    <w:p w14:paraId="29750253" w14:textId="284E9CE8" w:rsidR="005455BA" w:rsidRPr="005448F6" w:rsidRDefault="00610A27" w:rsidP="00CF1250">
      <w:pPr>
        <w:spacing w:after="0" w:line="240" w:lineRule="auto"/>
        <w:ind w:left="720" w:hanging="720"/>
        <w:rPr>
          <w:rFonts w:ascii="Tahoma" w:hAnsi="Tahoma" w:cs="Tahoma"/>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48</w:t>
      </w:r>
      <w:r w:rsidR="005455BA" w:rsidRPr="005448F6">
        <w:rPr>
          <w:rFonts w:ascii="Tahoma" w:eastAsia="Times New Roman" w:hAnsi="Tahoma" w:cs="Tahoma"/>
          <w:b/>
          <w:sz w:val="24"/>
          <w:szCs w:val="24"/>
        </w:rPr>
        <w:t>:</w:t>
      </w:r>
      <w:r w:rsidR="005455BA" w:rsidRPr="005448F6">
        <w:rPr>
          <w:rFonts w:ascii="Tahoma" w:eastAsia="Times New Roman" w:hAnsi="Tahoma" w:cs="Tahoma"/>
          <w:b/>
          <w:sz w:val="24"/>
          <w:szCs w:val="24"/>
        </w:rPr>
        <w:tab/>
        <w:t xml:space="preserve">Can a loan satisfy the cash </w:t>
      </w:r>
      <w:r w:rsidR="006C4E46">
        <w:rPr>
          <w:rFonts w:ascii="Tahoma" w:eastAsia="Times New Roman" w:hAnsi="Tahoma" w:cs="Tahoma"/>
          <w:b/>
          <w:sz w:val="24"/>
          <w:szCs w:val="24"/>
        </w:rPr>
        <w:t xml:space="preserve">match </w:t>
      </w:r>
      <w:r w:rsidR="005455BA" w:rsidRPr="005448F6">
        <w:rPr>
          <w:rFonts w:ascii="Tahoma" w:eastAsia="Times New Roman" w:hAnsi="Tahoma" w:cs="Tahoma"/>
          <w:b/>
          <w:sz w:val="24"/>
          <w:szCs w:val="24"/>
        </w:rPr>
        <w:t>requirement?</w:t>
      </w:r>
    </w:p>
    <w:p w14:paraId="0EE454AB" w14:textId="77777777" w:rsidR="005455BA" w:rsidRPr="005448F6" w:rsidRDefault="005455BA" w:rsidP="005455BA">
      <w:pPr>
        <w:spacing w:after="0" w:line="240" w:lineRule="auto"/>
        <w:rPr>
          <w:rFonts w:ascii="Tahoma" w:hAnsi="Tahoma" w:cs="Tahoma"/>
          <w:sz w:val="24"/>
          <w:szCs w:val="24"/>
        </w:rPr>
      </w:pPr>
    </w:p>
    <w:p w14:paraId="08E6EE91" w14:textId="07014053" w:rsidR="005455BA"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48</w:t>
      </w:r>
      <w:r w:rsidR="005455BA" w:rsidRPr="005448F6">
        <w:rPr>
          <w:rFonts w:ascii="Tahoma" w:hAnsi="Tahoma" w:cs="Tahoma"/>
          <w:sz w:val="24"/>
          <w:szCs w:val="24"/>
        </w:rPr>
        <w:t>:</w:t>
      </w:r>
      <w:r w:rsidR="005455BA" w:rsidRPr="005448F6">
        <w:rPr>
          <w:rFonts w:ascii="Tahoma" w:hAnsi="Tahoma" w:cs="Tahoma"/>
          <w:sz w:val="24"/>
          <w:szCs w:val="24"/>
        </w:rPr>
        <w:tab/>
        <w:t>Yes</w:t>
      </w:r>
      <w:r w:rsidR="006C4E46">
        <w:rPr>
          <w:rFonts w:ascii="Tahoma" w:hAnsi="Tahoma" w:cs="Tahoma"/>
          <w:sz w:val="24"/>
          <w:szCs w:val="24"/>
        </w:rPr>
        <w:t>.</w:t>
      </w:r>
    </w:p>
    <w:p w14:paraId="1E5ADDEF" w14:textId="77777777" w:rsidR="005455BA" w:rsidRPr="005448F6" w:rsidRDefault="005455BA" w:rsidP="005455BA">
      <w:pPr>
        <w:spacing w:after="0" w:line="240" w:lineRule="auto"/>
        <w:ind w:left="720"/>
        <w:rPr>
          <w:rFonts w:ascii="Tahoma" w:hAnsi="Tahoma" w:cs="Tahoma"/>
          <w:sz w:val="24"/>
          <w:szCs w:val="24"/>
        </w:rPr>
      </w:pPr>
    </w:p>
    <w:p w14:paraId="00E72593" w14:textId="0BE58073" w:rsidR="005455BA" w:rsidRPr="005448F6" w:rsidRDefault="00610A27" w:rsidP="005455BA">
      <w:pPr>
        <w:spacing w:after="0" w:line="240" w:lineRule="auto"/>
        <w:ind w:left="720" w:hanging="720"/>
        <w:rPr>
          <w:rFonts w:ascii="Tahoma" w:eastAsia="Times New Roman" w:hAnsi="Tahoma" w:cs="Tahoma"/>
          <w:b/>
          <w:sz w:val="24"/>
          <w:szCs w:val="24"/>
        </w:rPr>
      </w:pPr>
      <w:bookmarkStart w:id="2" w:name="_Hlk200612752"/>
      <w:r w:rsidRPr="005448F6">
        <w:rPr>
          <w:rFonts w:ascii="Tahoma" w:eastAsia="Times New Roman" w:hAnsi="Tahoma" w:cs="Tahoma"/>
          <w:b/>
          <w:sz w:val="24"/>
          <w:szCs w:val="24"/>
        </w:rPr>
        <w:t>Q</w:t>
      </w:r>
      <w:r>
        <w:rPr>
          <w:rFonts w:ascii="Tahoma" w:eastAsia="Times New Roman" w:hAnsi="Tahoma" w:cs="Tahoma"/>
          <w:b/>
          <w:sz w:val="24"/>
          <w:szCs w:val="24"/>
        </w:rPr>
        <w:t>49</w:t>
      </w:r>
      <w:r w:rsidR="005455BA" w:rsidRPr="005448F6">
        <w:rPr>
          <w:rFonts w:ascii="Tahoma" w:eastAsia="Times New Roman" w:hAnsi="Tahoma" w:cs="Tahoma"/>
          <w:b/>
          <w:sz w:val="24"/>
          <w:szCs w:val="24"/>
        </w:rPr>
        <w:t>:</w:t>
      </w:r>
      <w:r w:rsidR="005455BA" w:rsidRPr="005448F6">
        <w:rPr>
          <w:rFonts w:ascii="Tahoma" w:eastAsia="Times New Roman" w:hAnsi="Tahoma" w:cs="Tahoma"/>
          <w:b/>
          <w:sz w:val="24"/>
          <w:szCs w:val="24"/>
        </w:rPr>
        <w:tab/>
        <w:t xml:space="preserve">Can </w:t>
      </w:r>
      <w:r w:rsidR="007A04A4">
        <w:rPr>
          <w:rFonts w:ascii="Tahoma" w:eastAsia="Times New Roman" w:hAnsi="Tahoma" w:cs="Tahoma"/>
          <w:b/>
          <w:sz w:val="24"/>
          <w:szCs w:val="24"/>
        </w:rPr>
        <w:t>the</w:t>
      </w:r>
      <w:r w:rsidR="007A04A4" w:rsidRPr="005448F6">
        <w:rPr>
          <w:rFonts w:ascii="Tahoma" w:eastAsia="Times New Roman" w:hAnsi="Tahoma" w:cs="Tahoma"/>
          <w:b/>
          <w:sz w:val="24"/>
          <w:szCs w:val="24"/>
        </w:rPr>
        <w:t xml:space="preserve"> </w:t>
      </w:r>
      <w:r w:rsidR="005455BA" w:rsidRPr="005448F6">
        <w:rPr>
          <w:rFonts w:ascii="Tahoma" w:eastAsia="Times New Roman" w:hAnsi="Tahoma" w:cs="Tahoma"/>
          <w:b/>
          <w:sz w:val="24"/>
          <w:szCs w:val="24"/>
        </w:rPr>
        <w:t xml:space="preserve">funds </w:t>
      </w:r>
      <w:r w:rsidR="007A04A4">
        <w:rPr>
          <w:rFonts w:ascii="Tahoma" w:eastAsia="Times New Roman" w:hAnsi="Tahoma" w:cs="Tahoma"/>
          <w:b/>
          <w:sz w:val="24"/>
          <w:szCs w:val="24"/>
        </w:rPr>
        <w:t xml:space="preserve">from this solicitation </w:t>
      </w:r>
      <w:r w:rsidR="005455BA" w:rsidRPr="005448F6">
        <w:rPr>
          <w:rFonts w:ascii="Tahoma" w:eastAsia="Times New Roman" w:hAnsi="Tahoma" w:cs="Tahoma"/>
          <w:b/>
          <w:sz w:val="24"/>
          <w:szCs w:val="24"/>
        </w:rPr>
        <w:t xml:space="preserve">be used </w:t>
      </w:r>
      <w:r w:rsidR="007A04A4">
        <w:rPr>
          <w:rFonts w:ascii="Tahoma" w:eastAsia="Times New Roman" w:hAnsi="Tahoma" w:cs="Tahoma"/>
          <w:b/>
          <w:sz w:val="24"/>
          <w:szCs w:val="24"/>
        </w:rPr>
        <w:t>to support</w:t>
      </w:r>
      <w:r w:rsidR="005455BA" w:rsidRPr="005448F6">
        <w:rPr>
          <w:rFonts w:ascii="Tahoma" w:eastAsia="Times New Roman" w:hAnsi="Tahoma" w:cs="Tahoma"/>
          <w:b/>
          <w:sz w:val="24"/>
          <w:szCs w:val="24"/>
        </w:rPr>
        <w:t xml:space="preserve"> projects that are partially grant</w:t>
      </w:r>
      <w:r w:rsidR="007A04A4">
        <w:rPr>
          <w:rFonts w:ascii="Tahoma" w:eastAsia="Times New Roman" w:hAnsi="Tahoma" w:cs="Tahoma"/>
          <w:b/>
          <w:sz w:val="24"/>
          <w:szCs w:val="24"/>
        </w:rPr>
        <w:t>-</w:t>
      </w:r>
      <w:r w:rsidR="005455BA" w:rsidRPr="005448F6">
        <w:rPr>
          <w:rFonts w:ascii="Tahoma" w:eastAsia="Times New Roman" w:hAnsi="Tahoma" w:cs="Tahoma"/>
          <w:b/>
          <w:sz w:val="24"/>
          <w:szCs w:val="24"/>
        </w:rPr>
        <w:t xml:space="preserve">funded and already underway? </w:t>
      </w:r>
      <w:r w:rsidR="007A04A4">
        <w:rPr>
          <w:rFonts w:ascii="Tahoma" w:eastAsia="Times New Roman" w:hAnsi="Tahoma" w:cs="Tahoma"/>
          <w:b/>
          <w:sz w:val="24"/>
          <w:szCs w:val="24"/>
        </w:rPr>
        <w:t>Additionally, how do the match fund requirements apply in such cases?</w:t>
      </w:r>
    </w:p>
    <w:p w14:paraId="09D5C74E" w14:textId="77777777" w:rsidR="005455BA" w:rsidRPr="005448F6" w:rsidRDefault="005455BA" w:rsidP="005455BA">
      <w:pPr>
        <w:spacing w:after="0" w:line="240" w:lineRule="auto"/>
        <w:ind w:left="720" w:hanging="720"/>
        <w:rPr>
          <w:rFonts w:ascii="Tahoma" w:hAnsi="Tahoma" w:cs="Tahoma"/>
          <w:sz w:val="24"/>
          <w:szCs w:val="24"/>
        </w:rPr>
      </w:pPr>
    </w:p>
    <w:p w14:paraId="3E992788" w14:textId="7344F5FC" w:rsidR="005455BA"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49</w:t>
      </w:r>
      <w:r w:rsidR="005455BA" w:rsidRPr="005448F6">
        <w:rPr>
          <w:rFonts w:ascii="Tahoma" w:hAnsi="Tahoma" w:cs="Tahoma"/>
          <w:sz w:val="24"/>
          <w:szCs w:val="24"/>
        </w:rPr>
        <w:t>:</w:t>
      </w:r>
      <w:r w:rsidR="005455BA">
        <w:tab/>
      </w:r>
      <w:r w:rsidR="003E0D63">
        <w:rPr>
          <w:rFonts w:ascii="Tahoma" w:hAnsi="Tahoma" w:cs="Tahoma"/>
          <w:sz w:val="24"/>
          <w:szCs w:val="24"/>
        </w:rPr>
        <w:t>[</w:t>
      </w:r>
      <w:r w:rsidR="00DC462A" w:rsidRPr="003E0D63">
        <w:rPr>
          <w:rFonts w:ascii="Tahoma" w:hAnsi="Tahoma" w:cs="Tahoma"/>
          <w:strike/>
          <w:sz w:val="24"/>
          <w:szCs w:val="24"/>
        </w:rPr>
        <w:t>No.</w:t>
      </w:r>
      <w:r w:rsidR="003E0D63">
        <w:rPr>
          <w:rFonts w:ascii="Tahoma" w:hAnsi="Tahoma" w:cs="Tahoma"/>
          <w:sz w:val="24"/>
          <w:szCs w:val="24"/>
        </w:rPr>
        <w:t>]</w:t>
      </w:r>
      <w:r w:rsidR="00DC462A">
        <w:rPr>
          <w:rFonts w:ascii="Tahoma" w:hAnsi="Tahoma" w:cs="Tahoma"/>
          <w:sz w:val="24"/>
          <w:szCs w:val="24"/>
        </w:rPr>
        <w:t xml:space="preserve"> </w:t>
      </w:r>
      <w:r w:rsidR="003E0D63">
        <w:rPr>
          <w:rFonts w:ascii="Tahoma" w:hAnsi="Tahoma" w:cs="Tahoma"/>
          <w:b/>
          <w:bCs/>
          <w:sz w:val="24"/>
          <w:szCs w:val="24"/>
          <w:u w:val="single"/>
        </w:rPr>
        <w:t xml:space="preserve">Billable design and/or construction </w:t>
      </w:r>
      <w:r w:rsidR="003E0D63" w:rsidRPr="003E0D63">
        <w:rPr>
          <w:rFonts w:ascii="Tahoma" w:hAnsi="Tahoma" w:cs="Tahoma"/>
          <w:sz w:val="24"/>
          <w:szCs w:val="24"/>
        </w:rPr>
        <w:t>[</w:t>
      </w:r>
      <w:r w:rsidR="005455BA" w:rsidRPr="003E0D63">
        <w:rPr>
          <w:rFonts w:ascii="Tahoma" w:hAnsi="Tahoma" w:cs="Tahoma"/>
          <w:strike/>
          <w:sz w:val="24"/>
          <w:szCs w:val="24"/>
        </w:rPr>
        <w:t>W</w:t>
      </w:r>
      <w:r w:rsidR="003E0D63">
        <w:rPr>
          <w:rFonts w:ascii="Tahoma" w:hAnsi="Tahoma" w:cs="Tahoma"/>
          <w:sz w:val="24"/>
          <w:szCs w:val="24"/>
        </w:rPr>
        <w:t>]</w:t>
      </w:r>
      <w:r w:rsidR="003E0D63">
        <w:rPr>
          <w:rFonts w:ascii="Tahoma" w:hAnsi="Tahoma" w:cs="Tahoma"/>
          <w:b/>
          <w:bCs/>
          <w:sz w:val="24"/>
          <w:szCs w:val="24"/>
          <w:u w:val="single"/>
        </w:rPr>
        <w:t>w</w:t>
      </w:r>
      <w:r w:rsidR="005455BA" w:rsidRPr="005448F6">
        <w:rPr>
          <w:rFonts w:ascii="Tahoma" w:hAnsi="Tahoma" w:cs="Tahoma"/>
          <w:sz w:val="24"/>
          <w:szCs w:val="24"/>
        </w:rPr>
        <w:t xml:space="preserve">ork </w:t>
      </w:r>
      <w:r w:rsidR="003E0D63">
        <w:rPr>
          <w:rFonts w:ascii="Tahoma" w:hAnsi="Tahoma" w:cs="Tahoma"/>
          <w:b/>
          <w:bCs/>
          <w:sz w:val="24"/>
          <w:szCs w:val="24"/>
          <w:u w:val="single"/>
        </w:rPr>
        <w:t xml:space="preserve">and/or equipment procurement </w:t>
      </w:r>
      <w:r w:rsidR="00DC462A">
        <w:rPr>
          <w:rFonts w:ascii="Tahoma" w:hAnsi="Tahoma" w:cs="Tahoma"/>
          <w:sz w:val="24"/>
          <w:szCs w:val="24"/>
        </w:rPr>
        <w:t xml:space="preserve">that is already </w:t>
      </w:r>
      <w:r w:rsidR="0029283A">
        <w:rPr>
          <w:rFonts w:ascii="Tahoma" w:hAnsi="Tahoma" w:cs="Tahoma"/>
          <w:sz w:val="24"/>
          <w:szCs w:val="24"/>
        </w:rPr>
        <w:t>in progress or completed</w:t>
      </w:r>
      <w:r w:rsidR="0029283A" w:rsidRPr="005448F6">
        <w:rPr>
          <w:rFonts w:ascii="Tahoma" w:hAnsi="Tahoma" w:cs="Tahoma"/>
          <w:sz w:val="24"/>
          <w:szCs w:val="24"/>
        </w:rPr>
        <w:t xml:space="preserve"> </w:t>
      </w:r>
      <w:r w:rsidR="00DC462A">
        <w:rPr>
          <w:rFonts w:ascii="Tahoma" w:hAnsi="Tahoma" w:cs="Tahoma"/>
          <w:sz w:val="24"/>
          <w:szCs w:val="24"/>
        </w:rPr>
        <w:t xml:space="preserve">prior to grant execution is ineligible for match or reimbursable funding. </w:t>
      </w:r>
      <w:r w:rsidR="003E0D63">
        <w:rPr>
          <w:rFonts w:ascii="Tahoma" w:hAnsi="Tahoma" w:cs="Tahoma"/>
          <w:b/>
          <w:bCs/>
          <w:sz w:val="24"/>
          <w:szCs w:val="24"/>
          <w:u w:val="single"/>
        </w:rPr>
        <w:t>However, work that is expected to occur within the term of a grant agreement may be eligible for CEC funding</w:t>
      </w:r>
      <w:r w:rsidR="002A7CA5">
        <w:rPr>
          <w:rFonts w:ascii="Tahoma" w:hAnsi="Tahoma" w:cs="Tahoma"/>
          <w:b/>
          <w:bCs/>
          <w:sz w:val="24"/>
          <w:szCs w:val="24"/>
          <w:u w:val="single"/>
        </w:rPr>
        <w:t xml:space="preserve"> or match share</w:t>
      </w:r>
      <w:r w:rsidR="003E0D63">
        <w:rPr>
          <w:rFonts w:ascii="Tahoma" w:hAnsi="Tahoma" w:cs="Tahoma"/>
          <w:b/>
          <w:bCs/>
          <w:sz w:val="24"/>
          <w:szCs w:val="24"/>
          <w:u w:val="single"/>
        </w:rPr>
        <w:t xml:space="preserve">. </w:t>
      </w:r>
      <w:r w:rsidR="00DA34D2">
        <w:rPr>
          <w:rFonts w:ascii="Tahoma" w:hAnsi="Tahoma" w:cs="Tahoma"/>
          <w:sz w:val="24"/>
          <w:szCs w:val="24"/>
        </w:rPr>
        <w:t>T</w:t>
      </w:r>
      <w:r w:rsidR="00CC286F">
        <w:rPr>
          <w:rFonts w:ascii="Tahoma" w:hAnsi="Tahoma" w:cs="Tahoma"/>
          <w:sz w:val="24"/>
          <w:szCs w:val="24"/>
        </w:rPr>
        <w:t xml:space="preserve">he proposed project </w:t>
      </w:r>
      <w:r w:rsidR="005455BA" w:rsidRPr="005448F6">
        <w:rPr>
          <w:rFonts w:ascii="Tahoma" w:hAnsi="Tahoma" w:cs="Tahoma"/>
          <w:sz w:val="24"/>
          <w:szCs w:val="24"/>
        </w:rPr>
        <w:t xml:space="preserve">must meet the minimum </w:t>
      </w:r>
      <w:r w:rsidR="0029283A">
        <w:rPr>
          <w:rFonts w:ascii="Tahoma" w:hAnsi="Tahoma" w:cs="Tahoma"/>
          <w:sz w:val="24"/>
          <w:szCs w:val="24"/>
        </w:rPr>
        <w:t xml:space="preserve">charging port or hydrogen fueling position </w:t>
      </w:r>
      <w:r w:rsidR="005455BA" w:rsidRPr="005448F6">
        <w:rPr>
          <w:rFonts w:ascii="Tahoma" w:hAnsi="Tahoma" w:cs="Tahoma"/>
          <w:sz w:val="24"/>
          <w:szCs w:val="24"/>
        </w:rPr>
        <w:t>deployment</w:t>
      </w:r>
      <w:r w:rsidR="0029283A">
        <w:rPr>
          <w:rFonts w:ascii="Tahoma" w:hAnsi="Tahoma" w:cs="Tahoma"/>
          <w:sz w:val="24"/>
          <w:szCs w:val="24"/>
        </w:rPr>
        <w:t xml:space="preserve"> requirements</w:t>
      </w:r>
      <w:r w:rsidR="005455BA" w:rsidRPr="005448F6">
        <w:rPr>
          <w:rFonts w:ascii="Tahoma" w:hAnsi="Tahoma" w:cs="Tahoma"/>
          <w:sz w:val="24"/>
          <w:szCs w:val="24"/>
        </w:rPr>
        <w:t xml:space="preserve"> for work </w:t>
      </w:r>
      <w:r w:rsidR="00DA34D2">
        <w:rPr>
          <w:rFonts w:ascii="Tahoma" w:hAnsi="Tahoma" w:cs="Tahoma"/>
          <w:sz w:val="24"/>
          <w:szCs w:val="24"/>
        </w:rPr>
        <w:t>that occurs after the grant agreement is executed</w:t>
      </w:r>
      <w:r w:rsidR="005455BA" w:rsidRPr="005448F6">
        <w:rPr>
          <w:rFonts w:ascii="Tahoma" w:hAnsi="Tahoma" w:cs="Tahoma"/>
          <w:sz w:val="24"/>
          <w:szCs w:val="24"/>
        </w:rPr>
        <w:t>.</w:t>
      </w:r>
      <w:r w:rsidR="00E266B4">
        <w:rPr>
          <w:rFonts w:ascii="Tahoma" w:hAnsi="Tahoma" w:cs="Tahoma"/>
          <w:sz w:val="24"/>
          <w:szCs w:val="24"/>
        </w:rPr>
        <w:t xml:space="preserve"> </w:t>
      </w:r>
      <w:r w:rsidR="003E0D63">
        <w:rPr>
          <w:rFonts w:ascii="Tahoma" w:hAnsi="Tahoma" w:cs="Tahoma"/>
          <w:b/>
          <w:bCs/>
          <w:sz w:val="24"/>
          <w:szCs w:val="24"/>
          <w:u w:val="single"/>
        </w:rPr>
        <w:t xml:space="preserve">This means that the minimum charging ports or hydrogen fueling positions must be constructed and installed during the term of the agreement. </w:t>
      </w:r>
      <w:r w:rsidR="00776A96" w:rsidRPr="00776A96">
        <w:rPr>
          <w:rFonts w:ascii="Tahoma" w:hAnsi="Tahoma" w:cs="Tahoma"/>
          <w:sz w:val="24"/>
          <w:szCs w:val="24"/>
        </w:rPr>
        <w:t>Match share expenditures are allowable under a</w:t>
      </w:r>
      <w:r w:rsidR="00776A96">
        <w:rPr>
          <w:rFonts w:ascii="Tahoma" w:hAnsi="Tahoma" w:cs="Tahoma"/>
          <w:sz w:val="24"/>
          <w:szCs w:val="24"/>
        </w:rPr>
        <w:t xml:space="preserve"> CEC </w:t>
      </w:r>
      <w:r w:rsidR="00776A96" w:rsidRPr="00776A96">
        <w:rPr>
          <w:rFonts w:ascii="Tahoma" w:hAnsi="Tahoma" w:cs="Tahoma"/>
          <w:sz w:val="24"/>
          <w:szCs w:val="24"/>
        </w:rPr>
        <w:t>agreement only if they are incurred after execution of an awarded agreement</w:t>
      </w:r>
      <w:r w:rsidR="00776A96">
        <w:rPr>
          <w:rFonts w:ascii="Tahoma" w:hAnsi="Tahoma" w:cs="Tahoma"/>
          <w:sz w:val="24"/>
          <w:szCs w:val="24"/>
        </w:rPr>
        <w:t xml:space="preserve">. Refer to </w:t>
      </w:r>
      <w:r w:rsidR="00E266B4">
        <w:rPr>
          <w:rFonts w:ascii="Tahoma" w:hAnsi="Tahoma" w:cs="Tahoma"/>
          <w:sz w:val="24"/>
          <w:szCs w:val="24"/>
        </w:rPr>
        <w:t>Section II.E., Eligible Project Costs,</w:t>
      </w:r>
      <w:r w:rsidR="000247E0">
        <w:rPr>
          <w:rFonts w:ascii="Tahoma" w:hAnsi="Tahoma" w:cs="Tahoma"/>
          <w:sz w:val="24"/>
          <w:szCs w:val="24"/>
        </w:rPr>
        <w:t xml:space="preserve"> and </w:t>
      </w:r>
      <w:r w:rsidR="00776A96">
        <w:rPr>
          <w:rFonts w:ascii="Tahoma" w:hAnsi="Tahoma" w:cs="Tahoma"/>
          <w:sz w:val="24"/>
          <w:szCs w:val="24"/>
        </w:rPr>
        <w:t xml:space="preserve">Section II.F., </w:t>
      </w:r>
      <w:r w:rsidR="000247E0">
        <w:rPr>
          <w:rFonts w:ascii="Tahoma" w:hAnsi="Tahoma" w:cs="Tahoma"/>
          <w:sz w:val="24"/>
          <w:szCs w:val="24"/>
        </w:rPr>
        <w:t>Match Funding Requirements</w:t>
      </w:r>
      <w:r w:rsidR="00776A96">
        <w:rPr>
          <w:rFonts w:ascii="Tahoma" w:hAnsi="Tahoma" w:cs="Tahoma"/>
          <w:sz w:val="24"/>
          <w:szCs w:val="24"/>
        </w:rPr>
        <w:t>.</w:t>
      </w:r>
    </w:p>
    <w:bookmarkEnd w:id="2"/>
    <w:p w14:paraId="3A1E6C31" w14:textId="77777777" w:rsidR="005455BA" w:rsidRPr="005448F6" w:rsidRDefault="005455BA" w:rsidP="005455BA">
      <w:pPr>
        <w:spacing w:after="0" w:line="240" w:lineRule="auto"/>
        <w:rPr>
          <w:rFonts w:ascii="Tahoma" w:hAnsi="Tahoma" w:cs="Tahoma"/>
          <w:sz w:val="24"/>
          <w:szCs w:val="24"/>
        </w:rPr>
      </w:pPr>
    </w:p>
    <w:p w14:paraId="5DB0B064" w14:textId="34E92B3B" w:rsidR="00BB3BCD" w:rsidRPr="005448F6" w:rsidRDefault="00610A27" w:rsidP="00BB3BCD">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50</w:t>
      </w:r>
      <w:r w:rsidR="00BB3BCD" w:rsidRPr="005448F6">
        <w:rPr>
          <w:rFonts w:ascii="Tahoma" w:eastAsia="Times New Roman" w:hAnsi="Tahoma" w:cs="Tahoma"/>
          <w:b/>
          <w:sz w:val="24"/>
          <w:szCs w:val="24"/>
        </w:rPr>
        <w:t>:</w:t>
      </w:r>
      <w:r w:rsidR="00BB3BCD" w:rsidRPr="005448F6">
        <w:rPr>
          <w:rFonts w:ascii="Tahoma" w:eastAsia="Times New Roman" w:hAnsi="Tahoma" w:cs="Tahoma"/>
          <w:b/>
          <w:sz w:val="24"/>
          <w:szCs w:val="24"/>
        </w:rPr>
        <w:tab/>
      </w:r>
      <w:r w:rsidR="000A5BB0" w:rsidRPr="000A5BB0">
        <w:rPr>
          <w:rFonts w:ascii="Tahoma" w:eastAsia="Times New Roman" w:hAnsi="Tahoma" w:cs="Tahoma"/>
          <w:b/>
          <w:sz w:val="24"/>
          <w:szCs w:val="24"/>
        </w:rPr>
        <w:t>The solicitation indicates that onsite hydrogen generation is only eligible as a match cost.</w:t>
      </w:r>
      <w:r w:rsidR="00BB3BCD" w:rsidRPr="005448F6">
        <w:rPr>
          <w:rFonts w:ascii="Tahoma" w:eastAsia="Times New Roman" w:hAnsi="Tahoma" w:cs="Tahoma"/>
          <w:b/>
          <w:sz w:val="24"/>
          <w:szCs w:val="24"/>
        </w:rPr>
        <w:t xml:space="preserve"> Is </w:t>
      </w:r>
      <w:r w:rsidR="000A5BB0">
        <w:rPr>
          <w:rFonts w:ascii="Tahoma" w:eastAsia="Times New Roman" w:hAnsi="Tahoma" w:cs="Tahoma"/>
          <w:b/>
          <w:sz w:val="24"/>
          <w:szCs w:val="24"/>
        </w:rPr>
        <w:t>hydrogen</w:t>
      </w:r>
      <w:r w:rsidR="00BB3BCD" w:rsidRPr="005448F6">
        <w:rPr>
          <w:rFonts w:ascii="Tahoma" w:eastAsia="Times New Roman" w:hAnsi="Tahoma" w:cs="Tahoma"/>
          <w:b/>
          <w:sz w:val="24"/>
          <w:szCs w:val="24"/>
        </w:rPr>
        <w:t xml:space="preserve"> conditioning equipment</w:t>
      </w:r>
      <w:r w:rsidR="000A5BB0">
        <w:rPr>
          <w:rFonts w:ascii="Tahoma" w:eastAsia="Times New Roman" w:hAnsi="Tahoma" w:cs="Tahoma"/>
          <w:b/>
          <w:sz w:val="24"/>
          <w:szCs w:val="24"/>
        </w:rPr>
        <w:t xml:space="preserve">, such as </w:t>
      </w:r>
      <w:r w:rsidR="00BB3BCD" w:rsidRPr="005448F6">
        <w:rPr>
          <w:rFonts w:ascii="Tahoma" w:eastAsia="Times New Roman" w:hAnsi="Tahoma" w:cs="Tahoma"/>
          <w:b/>
          <w:sz w:val="24"/>
          <w:szCs w:val="24"/>
        </w:rPr>
        <w:t xml:space="preserve">compressors, </w:t>
      </w:r>
      <w:r w:rsidR="00A7035E">
        <w:rPr>
          <w:rFonts w:ascii="Tahoma" w:eastAsia="Times New Roman" w:hAnsi="Tahoma" w:cs="Tahoma"/>
          <w:b/>
          <w:sz w:val="24"/>
          <w:szCs w:val="24"/>
        </w:rPr>
        <w:t>purifiers, or</w:t>
      </w:r>
      <w:r w:rsidR="00BB3BCD" w:rsidRPr="005448F6">
        <w:rPr>
          <w:rFonts w:ascii="Tahoma" w:eastAsia="Times New Roman" w:hAnsi="Tahoma" w:cs="Tahoma"/>
          <w:b/>
          <w:sz w:val="24"/>
          <w:szCs w:val="24"/>
        </w:rPr>
        <w:t xml:space="preserve"> liquefiers</w:t>
      </w:r>
      <w:r w:rsidR="00A7035E">
        <w:rPr>
          <w:rFonts w:ascii="Tahoma" w:eastAsia="Times New Roman" w:hAnsi="Tahoma" w:cs="Tahoma"/>
          <w:b/>
          <w:sz w:val="24"/>
          <w:szCs w:val="24"/>
        </w:rPr>
        <w:t>,</w:t>
      </w:r>
      <w:r w:rsidR="00BB3BCD" w:rsidRPr="005448F6">
        <w:rPr>
          <w:rFonts w:ascii="Tahoma" w:eastAsia="Times New Roman" w:hAnsi="Tahoma" w:cs="Tahoma"/>
          <w:b/>
          <w:sz w:val="24"/>
          <w:szCs w:val="24"/>
        </w:rPr>
        <w:t xml:space="preserve"> </w:t>
      </w:r>
      <w:r w:rsidR="00A7035E">
        <w:rPr>
          <w:rFonts w:ascii="Tahoma" w:eastAsia="Times New Roman" w:hAnsi="Tahoma" w:cs="Tahoma"/>
          <w:b/>
          <w:sz w:val="24"/>
          <w:szCs w:val="24"/>
        </w:rPr>
        <w:t>directly connected</w:t>
      </w:r>
      <w:r w:rsidR="00BB3BCD" w:rsidRPr="005448F6">
        <w:rPr>
          <w:rFonts w:ascii="Tahoma" w:eastAsia="Times New Roman" w:hAnsi="Tahoma" w:cs="Tahoma"/>
          <w:b/>
          <w:sz w:val="24"/>
          <w:szCs w:val="24"/>
        </w:rPr>
        <w:t xml:space="preserve"> </w:t>
      </w:r>
      <w:r w:rsidR="00A7035E">
        <w:rPr>
          <w:rFonts w:ascii="Tahoma" w:eastAsia="Times New Roman" w:hAnsi="Tahoma" w:cs="Tahoma"/>
          <w:b/>
          <w:sz w:val="24"/>
          <w:szCs w:val="24"/>
        </w:rPr>
        <w:t>t</w:t>
      </w:r>
      <w:r w:rsidR="00BB3BCD" w:rsidRPr="005448F6">
        <w:rPr>
          <w:rFonts w:ascii="Tahoma" w:eastAsia="Times New Roman" w:hAnsi="Tahoma" w:cs="Tahoma"/>
          <w:b/>
          <w:sz w:val="24"/>
          <w:szCs w:val="24"/>
        </w:rPr>
        <w:t xml:space="preserve">o generation equipment eligible for </w:t>
      </w:r>
      <w:r w:rsidR="00A7035E">
        <w:rPr>
          <w:rFonts w:ascii="Tahoma" w:eastAsia="Times New Roman" w:hAnsi="Tahoma" w:cs="Tahoma"/>
          <w:b/>
          <w:sz w:val="24"/>
          <w:szCs w:val="24"/>
        </w:rPr>
        <w:t xml:space="preserve">reimbursement as a </w:t>
      </w:r>
      <w:r w:rsidR="00BB3BCD" w:rsidRPr="005448F6">
        <w:rPr>
          <w:rFonts w:ascii="Tahoma" w:eastAsia="Times New Roman" w:hAnsi="Tahoma" w:cs="Tahoma"/>
          <w:b/>
          <w:sz w:val="24"/>
          <w:szCs w:val="24"/>
        </w:rPr>
        <w:t>direct expense?</w:t>
      </w:r>
    </w:p>
    <w:p w14:paraId="4BA4ACF0" w14:textId="77777777" w:rsidR="00BB3BCD" w:rsidRPr="005448F6" w:rsidRDefault="00BB3BCD" w:rsidP="00BB3BCD">
      <w:pPr>
        <w:spacing w:after="0" w:line="240" w:lineRule="auto"/>
        <w:ind w:left="720" w:hanging="720"/>
        <w:rPr>
          <w:rFonts w:ascii="Tahoma" w:hAnsi="Tahoma" w:cs="Tahoma"/>
          <w:sz w:val="24"/>
          <w:szCs w:val="24"/>
        </w:rPr>
      </w:pPr>
    </w:p>
    <w:p w14:paraId="5E6BCFAE" w14:textId="41CF3D46" w:rsidR="00BB3BCD"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50</w:t>
      </w:r>
      <w:r w:rsidR="00BB3BCD" w:rsidRPr="005448F6">
        <w:rPr>
          <w:rFonts w:ascii="Tahoma" w:hAnsi="Tahoma" w:cs="Tahoma"/>
          <w:sz w:val="24"/>
          <w:szCs w:val="24"/>
        </w:rPr>
        <w:t>:</w:t>
      </w:r>
      <w:r w:rsidR="00BB3BCD" w:rsidRPr="005448F6">
        <w:rPr>
          <w:rFonts w:ascii="Tahoma" w:hAnsi="Tahoma" w:cs="Tahoma"/>
          <w:sz w:val="24"/>
          <w:szCs w:val="24"/>
        </w:rPr>
        <w:tab/>
      </w:r>
      <w:r w:rsidR="00595E42">
        <w:rPr>
          <w:rFonts w:ascii="Tahoma" w:hAnsi="Tahoma" w:cs="Tahoma"/>
          <w:sz w:val="24"/>
          <w:szCs w:val="24"/>
        </w:rPr>
        <w:t xml:space="preserve">No. </w:t>
      </w:r>
      <w:r w:rsidR="00BE6F93">
        <w:rPr>
          <w:rFonts w:ascii="Tahoma" w:hAnsi="Tahoma" w:cs="Tahoma"/>
          <w:sz w:val="24"/>
          <w:szCs w:val="24"/>
        </w:rPr>
        <w:t>Renewable hydrogen production</w:t>
      </w:r>
      <w:r w:rsidR="00A7035E">
        <w:rPr>
          <w:rFonts w:ascii="Tahoma" w:hAnsi="Tahoma" w:cs="Tahoma"/>
          <w:sz w:val="24"/>
          <w:szCs w:val="24"/>
        </w:rPr>
        <w:t xml:space="preserve"> equipment is eligible as a match cost, </w:t>
      </w:r>
      <w:r w:rsidR="00595E42">
        <w:rPr>
          <w:rFonts w:ascii="Tahoma" w:hAnsi="Tahoma" w:cs="Tahoma"/>
          <w:sz w:val="24"/>
          <w:szCs w:val="24"/>
        </w:rPr>
        <w:t xml:space="preserve">which means </w:t>
      </w:r>
      <w:r w:rsidR="00A7035E">
        <w:rPr>
          <w:rFonts w:ascii="Tahoma" w:hAnsi="Tahoma" w:cs="Tahoma"/>
          <w:sz w:val="24"/>
          <w:szCs w:val="24"/>
        </w:rPr>
        <w:t>the associated c</w:t>
      </w:r>
      <w:r w:rsidR="00BB3BCD" w:rsidRPr="005448F6">
        <w:rPr>
          <w:rFonts w:ascii="Tahoma" w:hAnsi="Tahoma" w:cs="Tahoma"/>
          <w:sz w:val="24"/>
          <w:szCs w:val="24"/>
        </w:rPr>
        <w:t xml:space="preserve">onditioning equipment </w:t>
      </w:r>
      <w:r w:rsidR="005B01A1">
        <w:rPr>
          <w:rFonts w:ascii="Tahoma" w:hAnsi="Tahoma" w:cs="Tahoma"/>
          <w:sz w:val="24"/>
          <w:szCs w:val="24"/>
        </w:rPr>
        <w:t xml:space="preserve">that is integrated </w:t>
      </w:r>
      <w:r w:rsidR="00570E09">
        <w:rPr>
          <w:rFonts w:ascii="Tahoma" w:hAnsi="Tahoma" w:cs="Tahoma"/>
          <w:sz w:val="24"/>
          <w:szCs w:val="24"/>
        </w:rPr>
        <w:t>with or depend</w:t>
      </w:r>
      <w:r w:rsidR="005D5114">
        <w:rPr>
          <w:rFonts w:ascii="Tahoma" w:hAnsi="Tahoma" w:cs="Tahoma"/>
          <w:sz w:val="24"/>
          <w:szCs w:val="24"/>
        </w:rPr>
        <w:t xml:space="preserve">ent on the </w:t>
      </w:r>
      <w:r w:rsidR="00BB3BCD" w:rsidRPr="005448F6">
        <w:rPr>
          <w:rFonts w:ascii="Tahoma" w:hAnsi="Tahoma" w:cs="Tahoma"/>
          <w:sz w:val="24"/>
          <w:szCs w:val="24"/>
        </w:rPr>
        <w:t xml:space="preserve">generation equipment </w:t>
      </w:r>
      <w:r w:rsidR="009515AD">
        <w:rPr>
          <w:rFonts w:ascii="Tahoma" w:hAnsi="Tahoma" w:cs="Tahoma"/>
          <w:sz w:val="24"/>
          <w:szCs w:val="24"/>
        </w:rPr>
        <w:t xml:space="preserve">is also only eligible as match. </w:t>
      </w:r>
      <w:r w:rsidR="00087E24">
        <w:rPr>
          <w:rFonts w:ascii="Tahoma" w:hAnsi="Tahoma" w:cs="Tahoma"/>
          <w:sz w:val="24"/>
          <w:szCs w:val="24"/>
        </w:rPr>
        <w:t xml:space="preserve">Only equipment and infrastructure directly supporting eligible dispensing operations </w:t>
      </w:r>
      <w:r w:rsidR="00F72BF4">
        <w:rPr>
          <w:rFonts w:ascii="Tahoma" w:hAnsi="Tahoma" w:cs="Tahoma"/>
          <w:sz w:val="24"/>
          <w:szCs w:val="24"/>
        </w:rPr>
        <w:t>are</w:t>
      </w:r>
      <w:r w:rsidR="00BB3BCD" w:rsidRPr="005448F6">
        <w:rPr>
          <w:rFonts w:ascii="Tahoma" w:hAnsi="Tahoma" w:cs="Tahoma"/>
          <w:sz w:val="24"/>
          <w:szCs w:val="24"/>
        </w:rPr>
        <w:t xml:space="preserve"> eligible for </w:t>
      </w:r>
      <w:r w:rsidR="00EF048D">
        <w:rPr>
          <w:rFonts w:ascii="Tahoma" w:hAnsi="Tahoma" w:cs="Tahoma"/>
          <w:sz w:val="24"/>
          <w:szCs w:val="24"/>
        </w:rPr>
        <w:t>CEC reimbursement. Refer to Section II.E., Eligible Project Costs.</w:t>
      </w:r>
      <w:r w:rsidR="00BB3BCD" w:rsidRPr="005448F6">
        <w:rPr>
          <w:rFonts w:ascii="Tahoma" w:hAnsi="Tahoma" w:cs="Tahoma"/>
          <w:sz w:val="24"/>
          <w:szCs w:val="24"/>
        </w:rPr>
        <w:t xml:space="preserve"> </w:t>
      </w:r>
    </w:p>
    <w:p w14:paraId="731E722E" w14:textId="77777777" w:rsidR="00BB3BCD" w:rsidRPr="005448F6" w:rsidRDefault="00BB3BCD" w:rsidP="00BB3BCD">
      <w:pPr>
        <w:spacing w:after="0" w:line="240" w:lineRule="auto"/>
        <w:rPr>
          <w:rFonts w:ascii="Tahoma" w:hAnsi="Tahoma" w:cs="Tahoma"/>
          <w:sz w:val="24"/>
          <w:szCs w:val="24"/>
        </w:rPr>
      </w:pPr>
    </w:p>
    <w:p w14:paraId="2558C8FF" w14:textId="61340743" w:rsidR="00BB3BCD" w:rsidRPr="005448F6" w:rsidRDefault="00610A27" w:rsidP="00CF12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51</w:t>
      </w:r>
      <w:r w:rsidR="00BB3BCD" w:rsidRPr="005448F6">
        <w:rPr>
          <w:rFonts w:ascii="Tahoma" w:eastAsia="Times New Roman" w:hAnsi="Tahoma" w:cs="Tahoma"/>
          <w:b/>
          <w:sz w:val="24"/>
          <w:szCs w:val="24"/>
        </w:rPr>
        <w:t>:</w:t>
      </w:r>
      <w:r w:rsidR="00BB3BCD" w:rsidRPr="005448F6">
        <w:rPr>
          <w:rFonts w:ascii="Tahoma" w:eastAsia="Times New Roman" w:hAnsi="Tahoma" w:cs="Tahoma"/>
          <w:b/>
          <w:sz w:val="24"/>
          <w:szCs w:val="24"/>
        </w:rPr>
        <w:tab/>
        <w:t xml:space="preserve">Are profit margins allowed in direct expenses? </w:t>
      </w:r>
    </w:p>
    <w:p w14:paraId="1918754F" w14:textId="77777777" w:rsidR="00BB3BCD" w:rsidRPr="005448F6" w:rsidRDefault="00BB3BCD" w:rsidP="00BB3BCD">
      <w:pPr>
        <w:spacing w:after="0" w:line="240" w:lineRule="auto"/>
        <w:rPr>
          <w:rFonts w:ascii="Tahoma" w:hAnsi="Tahoma" w:cs="Tahoma"/>
          <w:sz w:val="24"/>
          <w:szCs w:val="24"/>
        </w:rPr>
      </w:pPr>
    </w:p>
    <w:p w14:paraId="5A23940F" w14:textId="0B628EC7" w:rsidR="00BB3BCD"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51</w:t>
      </w:r>
      <w:r w:rsidR="00BB3BCD" w:rsidRPr="005448F6">
        <w:rPr>
          <w:rFonts w:ascii="Tahoma" w:hAnsi="Tahoma" w:cs="Tahoma"/>
          <w:sz w:val="24"/>
          <w:szCs w:val="24"/>
        </w:rPr>
        <w:t>:</w:t>
      </w:r>
      <w:r w:rsidR="00BB3BCD" w:rsidRPr="005448F6">
        <w:rPr>
          <w:rFonts w:ascii="Tahoma" w:hAnsi="Tahoma" w:cs="Tahoma"/>
          <w:sz w:val="24"/>
          <w:szCs w:val="24"/>
        </w:rPr>
        <w:tab/>
      </w:r>
      <w:r w:rsidR="00595E42">
        <w:rPr>
          <w:rFonts w:ascii="Tahoma" w:hAnsi="Tahoma" w:cs="Tahoma"/>
          <w:sz w:val="24"/>
          <w:szCs w:val="24"/>
        </w:rPr>
        <w:t>Profit is not allowable for the Prime Applicant.</w:t>
      </w:r>
      <w:r w:rsidR="00EF7231">
        <w:rPr>
          <w:rFonts w:ascii="Tahoma" w:hAnsi="Tahoma" w:cs="Tahoma"/>
          <w:sz w:val="24"/>
          <w:szCs w:val="24"/>
        </w:rPr>
        <w:t xml:space="preserve"> However, s</w:t>
      </w:r>
      <w:r w:rsidR="00EF7231" w:rsidRPr="00EF7231">
        <w:rPr>
          <w:rFonts w:ascii="Tahoma" w:hAnsi="Tahoma" w:cs="Tahoma"/>
          <w:sz w:val="24"/>
          <w:szCs w:val="24"/>
        </w:rPr>
        <w:t>ubrecipients are allowed to include up to a maximum total of 10% profit, fees or mark-ups on their own actual allowable expenses less any expenses budgeted to sub-subrecipients (i.e., profit, fees and markups are not allowed on lower tier subrecipient expenses).</w:t>
      </w:r>
      <w:r w:rsidR="00595E42">
        <w:rPr>
          <w:rFonts w:ascii="Tahoma" w:hAnsi="Tahoma" w:cs="Tahoma"/>
          <w:sz w:val="24"/>
          <w:szCs w:val="24"/>
        </w:rPr>
        <w:t xml:space="preserve"> </w:t>
      </w:r>
      <w:r w:rsidR="00EF7231">
        <w:rPr>
          <w:rFonts w:ascii="Tahoma" w:hAnsi="Tahoma" w:cs="Tahoma"/>
          <w:sz w:val="24"/>
          <w:szCs w:val="24"/>
        </w:rPr>
        <w:t>Refer to Section III.D.F., Budget Forms (Attachment 5).</w:t>
      </w:r>
    </w:p>
    <w:p w14:paraId="534B1722" w14:textId="77777777" w:rsidR="00BB3BCD" w:rsidRPr="005448F6" w:rsidRDefault="00BB3BCD" w:rsidP="00BB3BCD">
      <w:pPr>
        <w:spacing w:after="0" w:line="240" w:lineRule="auto"/>
        <w:ind w:left="720" w:hanging="720"/>
        <w:rPr>
          <w:rFonts w:ascii="Tahoma" w:hAnsi="Tahoma" w:cs="Tahoma"/>
          <w:sz w:val="24"/>
          <w:szCs w:val="24"/>
        </w:rPr>
      </w:pPr>
    </w:p>
    <w:p w14:paraId="1B7CD016" w14:textId="50EA2F35" w:rsidR="00EC2EE8" w:rsidRPr="003D5889" w:rsidRDefault="009D320D" w:rsidP="009D320D">
      <w:pPr>
        <w:spacing w:after="0" w:line="240" w:lineRule="auto"/>
        <w:rPr>
          <w:rFonts w:ascii="Tahoma" w:eastAsia="Times New Roman" w:hAnsi="Tahoma" w:cs="Tahoma"/>
          <w:b/>
          <w:i/>
          <w:sz w:val="24"/>
          <w:szCs w:val="24"/>
          <w:u w:val="single"/>
        </w:rPr>
      </w:pPr>
      <w:r w:rsidRPr="003D5889">
        <w:rPr>
          <w:rFonts w:ascii="Tahoma" w:eastAsia="Times New Roman" w:hAnsi="Tahoma" w:cs="Tahoma"/>
          <w:b/>
          <w:i/>
          <w:sz w:val="24"/>
          <w:szCs w:val="24"/>
          <w:u w:val="single"/>
        </w:rPr>
        <w:t>Miscellaneous</w:t>
      </w:r>
    </w:p>
    <w:p w14:paraId="05472E54" w14:textId="77777777" w:rsidR="009D320D" w:rsidRPr="005448F6" w:rsidRDefault="009D320D" w:rsidP="00CE7F18">
      <w:pPr>
        <w:spacing w:after="0" w:line="240" w:lineRule="auto"/>
        <w:rPr>
          <w:rFonts w:ascii="Tahoma" w:hAnsi="Tahoma" w:cs="Tahoma"/>
          <w:sz w:val="24"/>
          <w:szCs w:val="24"/>
        </w:rPr>
      </w:pPr>
    </w:p>
    <w:p w14:paraId="7EE335D0" w14:textId="3BA7E706" w:rsidR="00731768" w:rsidRPr="005448F6" w:rsidRDefault="00A22F20" w:rsidP="00A22F2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sidR="00610A27">
        <w:rPr>
          <w:rFonts w:ascii="Tahoma" w:eastAsia="Times New Roman" w:hAnsi="Tahoma" w:cs="Tahoma"/>
          <w:b/>
          <w:sz w:val="24"/>
          <w:szCs w:val="24"/>
        </w:rPr>
        <w:t>52</w:t>
      </w:r>
      <w:r w:rsidRPr="005448F6">
        <w:rPr>
          <w:rFonts w:ascii="Tahoma" w:eastAsia="Times New Roman" w:hAnsi="Tahoma" w:cs="Tahoma"/>
          <w:b/>
          <w:sz w:val="24"/>
          <w:szCs w:val="24"/>
        </w:rPr>
        <w:t>:</w:t>
      </w:r>
      <w:r w:rsidRPr="005448F6">
        <w:rPr>
          <w:rFonts w:ascii="Tahoma" w:eastAsia="Times New Roman" w:hAnsi="Tahoma" w:cs="Tahoma"/>
          <w:b/>
          <w:sz w:val="24"/>
          <w:szCs w:val="24"/>
        </w:rPr>
        <w:tab/>
      </w:r>
      <w:r w:rsidR="00731768" w:rsidRPr="005448F6">
        <w:rPr>
          <w:rFonts w:ascii="Tahoma" w:eastAsia="Times New Roman" w:hAnsi="Tahoma" w:cs="Tahoma"/>
          <w:b/>
          <w:sz w:val="24"/>
          <w:szCs w:val="24"/>
        </w:rPr>
        <w:t xml:space="preserve">In the context of entities serving or supporting a port, </w:t>
      </w:r>
      <w:r w:rsidR="005948C3">
        <w:rPr>
          <w:rFonts w:ascii="Tahoma" w:eastAsia="Times New Roman" w:hAnsi="Tahoma" w:cs="Tahoma"/>
          <w:b/>
          <w:sz w:val="24"/>
          <w:szCs w:val="24"/>
        </w:rPr>
        <w:t xml:space="preserve">how does the </w:t>
      </w:r>
      <w:r w:rsidR="00731768" w:rsidRPr="005448F6">
        <w:rPr>
          <w:rFonts w:ascii="Tahoma" w:eastAsia="Times New Roman" w:hAnsi="Tahoma" w:cs="Tahoma"/>
          <w:b/>
          <w:sz w:val="24"/>
          <w:szCs w:val="24"/>
        </w:rPr>
        <w:t>CEC</w:t>
      </w:r>
      <w:r w:rsidR="005948C3">
        <w:rPr>
          <w:rFonts w:ascii="Tahoma" w:eastAsia="Times New Roman" w:hAnsi="Tahoma" w:cs="Tahoma"/>
          <w:b/>
          <w:sz w:val="24"/>
          <w:szCs w:val="24"/>
        </w:rPr>
        <w:t xml:space="preserve"> </w:t>
      </w:r>
      <w:r w:rsidR="00731768" w:rsidRPr="005448F6">
        <w:rPr>
          <w:rFonts w:ascii="Tahoma" w:eastAsia="Times New Roman" w:hAnsi="Tahoma" w:cs="Tahoma"/>
          <w:b/>
          <w:sz w:val="24"/>
          <w:szCs w:val="24"/>
        </w:rPr>
        <w:t>defin</w:t>
      </w:r>
      <w:r w:rsidR="005948C3">
        <w:rPr>
          <w:rFonts w:ascii="Tahoma" w:eastAsia="Times New Roman" w:hAnsi="Tahoma" w:cs="Tahoma"/>
          <w:b/>
          <w:sz w:val="24"/>
          <w:szCs w:val="24"/>
        </w:rPr>
        <w:t>e</w:t>
      </w:r>
      <w:r w:rsidR="00731768" w:rsidRPr="005448F6">
        <w:rPr>
          <w:rFonts w:ascii="Tahoma" w:eastAsia="Times New Roman" w:hAnsi="Tahoma" w:cs="Tahoma"/>
          <w:b/>
          <w:sz w:val="24"/>
          <w:szCs w:val="24"/>
        </w:rPr>
        <w:t xml:space="preserve"> “serving or supporting” a port? </w:t>
      </w:r>
    </w:p>
    <w:p w14:paraId="23DEB13E" w14:textId="77777777" w:rsidR="005D6215" w:rsidRPr="005448F6" w:rsidRDefault="005D6215" w:rsidP="00A22F20">
      <w:pPr>
        <w:spacing w:after="0" w:line="240" w:lineRule="auto"/>
        <w:ind w:left="720" w:hanging="720"/>
        <w:rPr>
          <w:rFonts w:ascii="Tahoma" w:hAnsi="Tahoma" w:cs="Tahoma"/>
          <w:b/>
          <w:bCs/>
          <w:sz w:val="24"/>
          <w:szCs w:val="24"/>
        </w:rPr>
      </w:pPr>
    </w:p>
    <w:p w14:paraId="451AA9E0" w14:textId="581C2932" w:rsidR="00A22F20" w:rsidRPr="005448F6" w:rsidRDefault="00A22F20" w:rsidP="00CF1250">
      <w:pPr>
        <w:spacing w:after="0"/>
        <w:ind w:left="720" w:hanging="720"/>
        <w:rPr>
          <w:rFonts w:ascii="Tahoma" w:hAnsi="Tahoma" w:cs="Tahoma"/>
          <w:sz w:val="24"/>
          <w:szCs w:val="24"/>
        </w:rPr>
      </w:pPr>
      <w:r w:rsidRPr="005448F6">
        <w:rPr>
          <w:rFonts w:ascii="Tahoma" w:hAnsi="Tahoma" w:cs="Tahoma"/>
          <w:sz w:val="24"/>
          <w:szCs w:val="24"/>
        </w:rPr>
        <w:t>A</w:t>
      </w:r>
      <w:r w:rsidR="00610A27">
        <w:rPr>
          <w:rFonts w:ascii="Tahoma" w:hAnsi="Tahoma" w:cs="Tahoma"/>
          <w:sz w:val="24"/>
          <w:szCs w:val="24"/>
        </w:rPr>
        <w:t>52</w:t>
      </w:r>
      <w:r w:rsidRPr="005448F6">
        <w:rPr>
          <w:rFonts w:ascii="Tahoma" w:hAnsi="Tahoma" w:cs="Tahoma"/>
          <w:sz w:val="24"/>
          <w:szCs w:val="24"/>
        </w:rPr>
        <w:t>:</w:t>
      </w:r>
      <w:r>
        <w:tab/>
      </w:r>
      <w:r w:rsidR="00BC5455" w:rsidRPr="005448F6">
        <w:rPr>
          <w:rFonts w:ascii="Tahoma" w:hAnsi="Tahoma" w:cs="Tahoma"/>
          <w:sz w:val="24"/>
          <w:szCs w:val="24"/>
        </w:rPr>
        <w:t xml:space="preserve">For </w:t>
      </w:r>
      <w:r w:rsidR="00FB4F81">
        <w:rPr>
          <w:rFonts w:ascii="Tahoma" w:hAnsi="Tahoma" w:cs="Tahoma"/>
          <w:sz w:val="24"/>
          <w:szCs w:val="24"/>
        </w:rPr>
        <w:t>the</w:t>
      </w:r>
      <w:r w:rsidR="00BC5455" w:rsidRPr="005448F6">
        <w:rPr>
          <w:rFonts w:ascii="Tahoma" w:hAnsi="Tahoma" w:cs="Tahoma"/>
          <w:sz w:val="24"/>
          <w:szCs w:val="24"/>
        </w:rPr>
        <w:t xml:space="preserve"> purposes of this solicitation, “serving or supporting a port” may include</w:t>
      </w:r>
      <w:r w:rsidR="00E8786B">
        <w:rPr>
          <w:rFonts w:ascii="Tahoma" w:hAnsi="Tahoma" w:cs="Tahoma"/>
          <w:sz w:val="24"/>
          <w:szCs w:val="24"/>
        </w:rPr>
        <w:t>, but is not limited to</w:t>
      </w:r>
      <w:r w:rsidR="00BC5455" w:rsidRPr="005448F6">
        <w:rPr>
          <w:rFonts w:ascii="Tahoma" w:hAnsi="Tahoma" w:cs="Tahoma"/>
          <w:sz w:val="24"/>
          <w:szCs w:val="24"/>
        </w:rPr>
        <w:t xml:space="preserve">: </w:t>
      </w:r>
      <w:r w:rsidR="00D405B8" w:rsidRPr="005448F6">
        <w:rPr>
          <w:rFonts w:ascii="Tahoma" w:hAnsi="Tahoma" w:cs="Tahoma"/>
          <w:sz w:val="24"/>
          <w:szCs w:val="24"/>
        </w:rPr>
        <w:t xml:space="preserve">MDHD fleets </w:t>
      </w:r>
      <w:r w:rsidR="00D24AC4" w:rsidRPr="005448F6">
        <w:rPr>
          <w:rFonts w:ascii="Tahoma" w:hAnsi="Tahoma" w:cs="Tahoma"/>
          <w:sz w:val="24"/>
          <w:szCs w:val="24"/>
        </w:rPr>
        <w:t>transporting</w:t>
      </w:r>
      <w:r w:rsidR="00D405B8" w:rsidRPr="005448F6">
        <w:rPr>
          <w:rFonts w:ascii="Tahoma" w:hAnsi="Tahoma" w:cs="Tahoma"/>
          <w:sz w:val="24"/>
          <w:szCs w:val="24"/>
        </w:rPr>
        <w:t xml:space="preserve"> goods to</w:t>
      </w:r>
      <w:r w:rsidR="00D24AC4" w:rsidRPr="005448F6">
        <w:rPr>
          <w:rFonts w:ascii="Tahoma" w:hAnsi="Tahoma" w:cs="Tahoma"/>
          <w:sz w:val="24"/>
          <w:szCs w:val="24"/>
        </w:rPr>
        <w:t xml:space="preserve"> or </w:t>
      </w:r>
      <w:r w:rsidR="00D405B8" w:rsidRPr="005448F6">
        <w:rPr>
          <w:rFonts w:ascii="Tahoma" w:hAnsi="Tahoma" w:cs="Tahoma"/>
          <w:sz w:val="24"/>
          <w:szCs w:val="24"/>
        </w:rPr>
        <w:t>from a port</w:t>
      </w:r>
      <w:r w:rsidR="00365240" w:rsidRPr="005448F6">
        <w:rPr>
          <w:rFonts w:ascii="Tahoma" w:hAnsi="Tahoma" w:cs="Tahoma"/>
          <w:sz w:val="24"/>
          <w:szCs w:val="24"/>
        </w:rPr>
        <w:t xml:space="preserve"> to warehouses</w:t>
      </w:r>
      <w:r w:rsidR="00CA5927" w:rsidRPr="005448F6">
        <w:rPr>
          <w:rFonts w:ascii="Tahoma" w:hAnsi="Tahoma" w:cs="Tahoma"/>
          <w:sz w:val="24"/>
          <w:szCs w:val="24"/>
        </w:rPr>
        <w:t xml:space="preserve">, </w:t>
      </w:r>
      <w:r w:rsidR="00365240" w:rsidRPr="005448F6">
        <w:rPr>
          <w:rFonts w:ascii="Tahoma" w:hAnsi="Tahoma" w:cs="Tahoma"/>
          <w:sz w:val="24"/>
          <w:szCs w:val="24"/>
        </w:rPr>
        <w:t>distribution centers</w:t>
      </w:r>
      <w:r w:rsidR="00CA5927" w:rsidRPr="005448F6">
        <w:rPr>
          <w:rFonts w:ascii="Tahoma" w:hAnsi="Tahoma" w:cs="Tahoma"/>
          <w:sz w:val="24"/>
          <w:szCs w:val="24"/>
        </w:rPr>
        <w:t xml:space="preserve">, </w:t>
      </w:r>
      <w:r w:rsidR="00365240" w:rsidRPr="005448F6">
        <w:rPr>
          <w:rFonts w:ascii="Tahoma" w:hAnsi="Tahoma" w:cs="Tahoma"/>
          <w:sz w:val="24"/>
          <w:szCs w:val="24"/>
        </w:rPr>
        <w:t>rail</w:t>
      </w:r>
      <w:r w:rsidR="007F4345" w:rsidRPr="005448F6">
        <w:rPr>
          <w:rFonts w:ascii="Tahoma" w:hAnsi="Tahoma" w:cs="Tahoma"/>
          <w:sz w:val="24"/>
          <w:szCs w:val="24"/>
        </w:rPr>
        <w:t>ways</w:t>
      </w:r>
      <w:r w:rsidR="00CA5927" w:rsidRPr="005448F6">
        <w:rPr>
          <w:rFonts w:ascii="Tahoma" w:hAnsi="Tahoma" w:cs="Tahoma"/>
          <w:sz w:val="24"/>
          <w:szCs w:val="24"/>
        </w:rPr>
        <w:t xml:space="preserve"> or other logistics hubs</w:t>
      </w:r>
      <w:r w:rsidR="001050AC" w:rsidRPr="005448F6">
        <w:rPr>
          <w:rFonts w:ascii="Tahoma" w:hAnsi="Tahoma" w:cs="Tahoma"/>
          <w:sz w:val="24"/>
          <w:szCs w:val="24"/>
        </w:rPr>
        <w:t xml:space="preserve">; MDHD fleets and </w:t>
      </w:r>
      <w:r w:rsidR="00CD70A3" w:rsidRPr="005448F6">
        <w:rPr>
          <w:rFonts w:ascii="Tahoma" w:hAnsi="Tahoma" w:cs="Tahoma"/>
          <w:sz w:val="24"/>
          <w:szCs w:val="24"/>
        </w:rPr>
        <w:t>Cargo Handling Equipment</w:t>
      </w:r>
      <w:r w:rsidR="001050AC" w:rsidRPr="005448F6">
        <w:rPr>
          <w:rFonts w:ascii="Tahoma" w:hAnsi="Tahoma" w:cs="Tahoma"/>
          <w:sz w:val="24"/>
          <w:szCs w:val="24"/>
        </w:rPr>
        <w:t xml:space="preserve"> </w:t>
      </w:r>
      <w:r w:rsidR="00CA5927" w:rsidRPr="005448F6">
        <w:rPr>
          <w:rFonts w:ascii="Tahoma" w:hAnsi="Tahoma" w:cs="Tahoma"/>
          <w:sz w:val="24"/>
          <w:szCs w:val="24"/>
        </w:rPr>
        <w:t>operating</w:t>
      </w:r>
      <w:r w:rsidR="00733720" w:rsidRPr="005448F6">
        <w:rPr>
          <w:rFonts w:ascii="Tahoma" w:hAnsi="Tahoma" w:cs="Tahoma"/>
          <w:sz w:val="24"/>
          <w:szCs w:val="24"/>
        </w:rPr>
        <w:t xml:space="preserve"> within </w:t>
      </w:r>
      <w:r w:rsidR="00A75218" w:rsidRPr="005448F6">
        <w:rPr>
          <w:rFonts w:ascii="Tahoma" w:hAnsi="Tahoma" w:cs="Tahoma"/>
          <w:sz w:val="24"/>
          <w:szCs w:val="24"/>
        </w:rPr>
        <w:t>a</w:t>
      </w:r>
      <w:r w:rsidR="00733720" w:rsidRPr="005448F6">
        <w:rPr>
          <w:rFonts w:ascii="Tahoma" w:hAnsi="Tahoma" w:cs="Tahoma"/>
          <w:sz w:val="24"/>
          <w:szCs w:val="24"/>
        </w:rPr>
        <w:t xml:space="preserve"> port</w:t>
      </w:r>
      <w:r w:rsidR="00CA5927" w:rsidRPr="005448F6">
        <w:rPr>
          <w:rFonts w:ascii="Tahoma" w:hAnsi="Tahoma" w:cs="Tahoma"/>
          <w:sz w:val="24"/>
          <w:szCs w:val="24"/>
        </w:rPr>
        <w:t>, inclu</w:t>
      </w:r>
      <w:r w:rsidR="005E4163" w:rsidRPr="005448F6">
        <w:rPr>
          <w:rFonts w:ascii="Tahoma" w:hAnsi="Tahoma" w:cs="Tahoma"/>
          <w:sz w:val="24"/>
          <w:szCs w:val="24"/>
        </w:rPr>
        <w:t xml:space="preserve">ding </w:t>
      </w:r>
      <w:r w:rsidR="00B30F10" w:rsidRPr="005448F6">
        <w:rPr>
          <w:rFonts w:ascii="Tahoma" w:hAnsi="Tahoma" w:cs="Tahoma"/>
          <w:sz w:val="24"/>
          <w:szCs w:val="24"/>
        </w:rPr>
        <w:t xml:space="preserve">ship-to-shore transfers and intra-terminal </w:t>
      </w:r>
      <w:r w:rsidR="00733720" w:rsidRPr="005448F6">
        <w:rPr>
          <w:rFonts w:ascii="Tahoma" w:hAnsi="Tahoma" w:cs="Tahoma"/>
          <w:sz w:val="24"/>
          <w:szCs w:val="24"/>
        </w:rPr>
        <w:t>mov</w:t>
      </w:r>
      <w:r w:rsidR="00B30F10" w:rsidRPr="005448F6">
        <w:rPr>
          <w:rFonts w:ascii="Tahoma" w:hAnsi="Tahoma" w:cs="Tahoma"/>
          <w:sz w:val="24"/>
          <w:szCs w:val="24"/>
        </w:rPr>
        <w:t>ement of</w:t>
      </w:r>
      <w:r w:rsidR="00733720" w:rsidRPr="005448F6">
        <w:rPr>
          <w:rFonts w:ascii="Tahoma" w:hAnsi="Tahoma" w:cs="Tahoma"/>
          <w:sz w:val="24"/>
          <w:szCs w:val="24"/>
        </w:rPr>
        <w:t xml:space="preserve"> goods; </w:t>
      </w:r>
      <w:r w:rsidR="0094113B">
        <w:rPr>
          <w:rFonts w:ascii="Tahoma" w:hAnsi="Tahoma" w:cs="Tahoma"/>
          <w:sz w:val="24"/>
          <w:szCs w:val="24"/>
        </w:rPr>
        <w:t>o</w:t>
      </w:r>
      <w:r w:rsidR="00CC733D" w:rsidRPr="005448F6">
        <w:rPr>
          <w:rFonts w:ascii="Tahoma" w:hAnsi="Tahoma" w:cs="Tahoma"/>
          <w:sz w:val="24"/>
          <w:szCs w:val="24"/>
        </w:rPr>
        <w:t xml:space="preserve">ffshore support </w:t>
      </w:r>
      <w:r w:rsidR="00896B64" w:rsidRPr="005448F6">
        <w:rPr>
          <w:rFonts w:ascii="Tahoma" w:hAnsi="Tahoma" w:cs="Tahoma"/>
          <w:sz w:val="24"/>
          <w:szCs w:val="24"/>
        </w:rPr>
        <w:t>vessels</w:t>
      </w:r>
      <w:r w:rsidR="00CC733D" w:rsidRPr="005448F6">
        <w:rPr>
          <w:rFonts w:ascii="Tahoma" w:hAnsi="Tahoma" w:cs="Tahoma"/>
          <w:sz w:val="24"/>
          <w:szCs w:val="24"/>
        </w:rPr>
        <w:t xml:space="preserve"> </w:t>
      </w:r>
      <w:r w:rsidR="00896B64" w:rsidRPr="005448F6">
        <w:rPr>
          <w:rFonts w:ascii="Tahoma" w:hAnsi="Tahoma" w:cs="Tahoma"/>
          <w:sz w:val="24"/>
          <w:szCs w:val="24"/>
        </w:rPr>
        <w:t xml:space="preserve">(e.g., tugboats) </w:t>
      </w:r>
      <w:r w:rsidR="00BD7DED" w:rsidRPr="005448F6">
        <w:rPr>
          <w:rFonts w:ascii="Tahoma" w:hAnsi="Tahoma" w:cs="Tahoma"/>
          <w:sz w:val="24"/>
          <w:szCs w:val="24"/>
        </w:rPr>
        <w:t xml:space="preserve">that </w:t>
      </w:r>
      <w:r w:rsidR="00E93A92" w:rsidRPr="005448F6">
        <w:rPr>
          <w:rFonts w:ascii="Tahoma" w:hAnsi="Tahoma" w:cs="Tahoma"/>
          <w:sz w:val="24"/>
          <w:szCs w:val="24"/>
        </w:rPr>
        <w:t>assist</w:t>
      </w:r>
      <w:r w:rsidR="00BD7DED" w:rsidRPr="005448F6">
        <w:rPr>
          <w:rFonts w:ascii="Tahoma" w:hAnsi="Tahoma" w:cs="Tahoma"/>
          <w:sz w:val="24"/>
          <w:szCs w:val="24"/>
        </w:rPr>
        <w:t xml:space="preserve"> in the safe and </w:t>
      </w:r>
      <w:r w:rsidR="00BC5455" w:rsidRPr="005448F6">
        <w:rPr>
          <w:rFonts w:ascii="Tahoma" w:hAnsi="Tahoma" w:cs="Tahoma"/>
          <w:sz w:val="24"/>
          <w:szCs w:val="24"/>
        </w:rPr>
        <w:t>efficient docking, departure, or movement of cargo and</w:t>
      </w:r>
      <w:r w:rsidR="00E93A92" w:rsidRPr="005448F6">
        <w:rPr>
          <w:rFonts w:ascii="Tahoma" w:hAnsi="Tahoma" w:cs="Tahoma"/>
          <w:sz w:val="24"/>
          <w:szCs w:val="24"/>
        </w:rPr>
        <w:t xml:space="preserve"> container vessels</w:t>
      </w:r>
      <w:r w:rsidR="00BC5455" w:rsidRPr="005448F6">
        <w:rPr>
          <w:rFonts w:ascii="Tahoma" w:hAnsi="Tahoma" w:cs="Tahoma"/>
          <w:sz w:val="24"/>
          <w:szCs w:val="24"/>
        </w:rPr>
        <w:t>.</w:t>
      </w:r>
      <w:r w:rsidR="00FA69E0">
        <w:rPr>
          <w:rFonts w:ascii="Tahoma" w:hAnsi="Tahoma" w:cs="Tahoma"/>
          <w:sz w:val="24"/>
          <w:szCs w:val="24"/>
        </w:rPr>
        <w:t xml:space="preserve"> </w:t>
      </w:r>
      <w:r w:rsidR="005922AC" w:rsidRPr="005922AC">
        <w:rPr>
          <w:rFonts w:ascii="Tahoma" w:hAnsi="Tahoma" w:cs="Tahoma"/>
          <w:sz w:val="24"/>
          <w:szCs w:val="24"/>
        </w:rPr>
        <w:t xml:space="preserve">If </w:t>
      </w:r>
      <w:r w:rsidR="005922AC">
        <w:rPr>
          <w:rFonts w:ascii="Tahoma" w:hAnsi="Tahoma" w:cs="Tahoma"/>
          <w:sz w:val="24"/>
          <w:szCs w:val="24"/>
        </w:rPr>
        <w:t xml:space="preserve">Applicants are </w:t>
      </w:r>
      <w:r w:rsidR="005922AC" w:rsidRPr="005922AC">
        <w:rPr>
          <w:rFonts w:ascii="Tahoma" w:hAnsi="Tahoma" w:cs="Tahoma"/>
          <w:sz w:val="24"/>
          <w:szCs w:val="24"/>
        </w:rPr>
        <w:t>not located at a port, the project narrative should describe how port operations</w:t>
      </w:r>
      <w:r w:rsidR="00657B72">
        <w:rPr>
          <w:rFonts w:ascii="Tahoma" w:hAnsi="Tahoma" w:cs="Tahoma"/>
          <w:sz w:val="24"/>
          <w:szCs w:val="24"/>
        </w:rPr>
        <w:t xml:space="preserve"> are supported</w:t>
      </w:r>
      <w:r w:rsidR="005922AC" w:rsidRPr="005922AC">
        <w:rPr>
          <w:rFonts w:ascii="Tahoma" w:hAnsi="Tahoma" w:cs="Tahoma"/>
          <w:sz w:val="24"/>
          <w:szCs w:val="24"/>
        </w:rPr>
        <w:t>.</w:t>
      </w:r>
    </w:p>
    <w:p w14:paraId="458F2119" w14:textId="77777777" w:rsidR="002C44F6" w:rsidRPr="005448F6" w:rsidRDefault="002C44F6" w:rsidP="002C44F6">
      <w:pPr>
        <w:spacing w:after="0" w:line="240" w:lineRule="auto"/>
        <w:ind w:left="720"/>
        <w:rPr>
          <w:rFonts w:ascii="Tahoma" w:hAnsi="Tahoma" w:cs="Tahoma"/>
          <w:sz w:val="24"/>
          <w:szCs w:val="24"/>
        </w:rPr>
      </w:pPr>
    </w:p>
    <w:p w14:paraId="5C43371F" w14:textId="7E1AAC6D" w:rsidR="005D6215" w:rsidRPr="005448F6" w:rsidRDefault="00610A27" w:rsidP="00CF12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53</w:t>
      </w:r>
      <w:r w:rsidR="002903A0" w:rsidRPr="005448F6">
        <w:rPr>
          <w:rFonts w:ascii="Tahoma" w:eastAsia="Times New Roman" w:hAnsi="Tahoma" w:cs="Tahoma"/>
          <w:b/>
          <w:sz w:val="24"/>
          <w:szCs w:val="24"/>
        </w:rPr>
        <w:t>:</w:t>
      </w:r>
      <w:r w:rsidR="002903A0" w:rsidRPr="005448F6">
        <w:rPr>
          <w:rFonts w:ascii="Tahoma" w:eastAsia="Times New Roman" w:hAnsi="Tahoma" w:cs="Tahoma"/>
          <w:b/>
          <w:sz w:val="24"/>
          <w:szCs w:val="24"/>
        </w:rPr>
        <w:tab/>
      </w:r>
      <w:r w:rsidR="002C44F6" w:rsidRPr="005448F6">
        <w:rPr>
          <w:rFonts w:ascii="Tahoma" w:eastAsia="Times New Roman" w:hAnsi="Tahoma" w:cs="Tahoma"/>
          <w:b/>
          <w:sz w:val="24"/>
          <w:szCs w:val="24"/>
        </w:rPr>
        <w:t xml:space="preserve">What is </w:t>
      </w:r>
      <w:r w:rsidR="00AC483B">
        <w:rPr>
          <w:rFonts w:ascii="Tahoma" w:eastAsia="Times New Roman" w:hAnsi="Tahoma" w:cs="Tahoma"/>
          <w:b/>
          <w:sz w:val="24"/>
          <w:szCs w:val="24"/>
        </w:rPr>
        <w:t xml:space="preserve">the </w:t>
      </w:r>
      <w:r w:rsidR="002C44F6" w:rsidRPr="005448F6">
        <w:rPr>
          <w:rFonts w:ascii="Tahoma" w:eastAsia="Times New Roman" w:hAnsi="Tahoma" w:cs="Tahoma"/>
          <w:b/>
          <w:sz w:val="24"/>
          <w:szCs w:val="24"/>
        </w:rPr>
        <w:t>CEC’s definition of “seaport”?</w:t>
      </w:r>
    </w:p>
    <w:p w14:paraId="5F24B482" w14:textId="31426C58" w:rsidR="0007458F" w:rsidRPr="005448F6" w:rsidRDefault="002C44F6" w:rsidP="002903A0">
      <w:pPr>
        <w:spacing w:after="0" w:line="240" w:lineRule="auto"/>
        <w:rPr>
          <w:rFonts w:ascii="Tahoma" w:eastAsia="Times New Roman" w:hAnsi="Tahoma" w:cs="Tahoma"/>
          <w:b/>
          <w:sz w:val="24"/>
          <w:szCs w:val="24"/>
        </w:rPr>
      </w:pPr>
      <w:r w:rsidRPr="005448F6">
        <w:rPr>
          <w:rFonts w:ascii="Tahoma" w:eastAsia="Times New Roman" w:hAnsi="Tahoma" w:cs="Tahoma"/>
          <w:b/>
          <w:sz w:val="24"/>
          <w:szCs w:val="24"/>
        </w:rPr>
        <w:t> </w:t>
      </w:r>
    </w:p>
    <w:p w14:paraId="1EF587D6" w14:textId="39A808DB" w:rsidR="002C44F6" w:rsidRPr="005448F6" w:rsidRDefault="00610A27" w:rsidP="002903A0">
      <w:pPr>
        <w:spacing w:after="0" w:line="240" w:lineRule="auto"/>
        <w:ind w:left="720" w:hanging="720"/>
        <w:rPr>
          <w:rFonts w:ascii="Tahoma" w:eastAsia="Times New Roman" w:hAnsi="Tahoma" w:cs="Tahoma"/>
          <w:sz w:val="24"/>
          <w:szCs w:val="24"/>
        </w:rPr>
      </w:pPr>
      <w:r w:rsidRPr="005448F6">
        <w:rPr>
          <w:rFonts w:ascii="Tahoma" w:eastAsia="Times New Roman" w:hAnsi="Tahoma" w:cs="Tahoma"/>
          <w:sz w:val="24"/>
          <w:szCs w:val="24"/>
        </w:rPr>
        <w:t>A</w:t>
      </w:r>
      <w:r>
        <w:rPr>
          <w:rFonts w:ascii="Tahoma" w:eastAsia="Times New Roman" w:hAnsi="Tahoma" w:cs="Tahoma"/>
          <w:sz w:val="24"/>
          <w:szCs w:val="24"/>
        </w:rPr>
        <w:t>53</w:t>
      </w:r>
      <w:r w:rsidR="002903A0" w:rsidRPr="005448F6">
        <w:rPr>
          <w:rFonts w:ascii="Tahoma" w:eastAsia="Times New Roman" w:hAnsi="Tahoma" w:cs="Tahoma"/>
          <w:sz w:val="24"/>
          <w:szCs w:val="24"/>
        </w:rPr>
        <w:t>:</w:t>
      </w:r>
      <w:r w:rsidR="002903A0" w:rsidRPr="005448F6">
        <w:rPr>
          <w:rFonts w:ascii="Tahoma" w:eastAsia="Times New Roman" w:hAnsi="Tahoma" w:cs="Tahoma"/>
          <w:sz w:val="24"/>
          <w:szCs w:val="24"/>
        </w:rPr>
        <w:tab/>
      </w:r>
      <w:r w:rsidR="00AC483B">
        <w:rPr>
          <w:rFonts w:ascii="Tahoma" w:eastAsia="Times New Roman" w:hAnsi="Tahoma" w:cs="Tahoma"/>
          <w:sz w:val="24"/>
          <w:szCs w:val="24"/>
        </w:rPr>
        <w:t xml:space="preserve">For the purposes of this solicitation, “seaport” refers to the </w:t>
      </w:r>
      <w:r w:rsidR="00AD715A" w:rsidRPr="005448F6">
        <w:rPr>
          <w:rFonts w:ascii="Tahoma" w:eastAsia="Times New Roman" w:hAnsi="Tahoma" w:cs="Tahoma"/>
          <w:sz w:val="24"/>
          <w:szCs w:val="24"/>
        </w:rPr>
        <w:t>12 ports listed in the C</w:t>
      </w:r>
      <w:r w:rsidR="00AC483B">
        <w:rPr>
          <w:rFonts w:ascii="Tahoma" w:eastAsia="Times New Roman" w:hAnsi="Tahoma" w:cs="Tahoma"/>
          <w:sz w:val="24"/>
          <w:szCs w:val="24"/>
        </w:rPr>
        <w:t>alifornia</w:t>
      </w:r>
      <w:r w:rsidR="00D5485C" w:rsidRPr="005448F6">
        <w:rPr>
          <w:rFonts w:ascii="Tahoma" w:eastAsia="Times New Roman" w:hAnsi="Tahoma" w:cs="Tahoma"/>
          <w:sz w:val="24"/>
          <w:szCs w:val="24"/>
        </w:rPr>
        <w:t xml:space="preserve"> Legislative Analys</w:t>
      </w:r>
      <w:r w:rsidR="00340059" w:rsidRPr="005448F6">
        <w:rPr>
          <w:rFonts w:ascii="Tahoma" w:eastAsia="Times New Roman" w:hAnsi="Tahoma" w:cs="Tahoma"/>
          <w:sz w:val="24"/>
          <w:szCs w:val="24"/>
        </w:rPr>
        <w:t xml:space="preserve">t’s Office </w:t>
      </w:r>
      <w:r w:rsidR="00340059" w:rsidRPr="003D5889">
        <w:rPr>
          <w:rFonts w:ascii="Tahoma" w:eastAsia="Times New Roman" w:hAnsi="Tahoma" w:cs="Tahoma"/>
          <w:i/>
          <w:sz w:val="24"/>
          <w:szCs w:val="24"/>
        </w:rPr>
        <w:t>Overview of California Ports</w:t>
      </w:r>
      <w:r w:rsidR="00EC7F3D" w:rsidRPr="005448F6">
        <w:rPr>
          <w:rFonts w:ascii="Tahoma" w:eastAsia="Times New Roman" w:hAnsi="Tahoma" w:cs="Tahoma"/>
          <w:sz w:val="24"/>
          <w:szCs w:val="24"/>
        </w:rPr>
        <w:t xml:space="preserve"> </w:t>
      </w:r>
      <w:r w:rsidR="00AC483B">
        <w:rPr>
          <w:rFonts w:ascii="Tahoma" w:eastAsia="Times New Roman" w:hAnsi="Tahoma" w:cs="Tahoma"/>
          <w:sz w:val="24"/>
          <w:szCs w:val="24"/>
        </w:rPr>
        <w:t>(</w:t>
      </w:r>
      <w:r w:rsidR="00EC7F3D" w:rsidRPr="005448F6">
        <w:rPr>
          <w:rFonts w:ascii="Tahoma" w:eastAsia="Times New Roman" w:hAnsi="Tahoma" w:cs="Tahoma"/>
          <w:sz w:val="24"/>
          <w:szCs w:val="24"/>
        </w:rPr>
        <w:t>August 17, 2023</w:t>
      </w:r>
      <w:r w:rsidR="00AC483B">
        <w:rPr>
          <w:rFonts w:ascii="Tahoma" w:eastAsia="Times New Roman" w:hAnsi="Tahoma" w:cs="Tahoma"/>
          <w:sz w:val="24"/>
          <w:szCs w:val="24"/>
        </w:rPr>
        <w:t xml:space="preserve">) available at </w:t>
      </w:r>
      <w:hyperlink r:id="rId12" w:history="1">
        <w:r w:rsidR="0007458F" w:rsidRPr="005448F6">
          <w:rPr>
            <w:rFonts w:ascii="Tahoma" w:eastAsia="Times New Roman" w:hAnsi="Tahoma" w:cs="Tahoma"/>
            <w:sz w:val="24"/>
            <w:szCs w:val="24"/>
          </w:rPr>
          <w:t>https://lao.ca.gov/handouts/resources/2023/Ports-Overview-081723.pdf</w:t>
        </w:r>
      </w:hyperlink>
      <w:r w:rsidR="00657B72">
        <w:t>.</w:t>
      </w:r>
    </w:p>
    <w:p w14:paraId="44C1B198" w14:textId="77777777" w:rsidR="00AC483B" w:rsidRDefault="00AC483B" w:rsidP="004E7E1B">
      <w:pPr>
        <w:pStyle w:val="ListParagraph"/>
        <w:spacing w:after="0" w:line="240" w:lineRule="auto"/>
        <w:rPr>
          <w:rFonts w:ascii="Tahoma" w:eastAsia="Times New Roman" w:hAnsi="Tahoma" w:cs="Tahoma"/>
          <w:sz w:val="24"/>
          <w:szCs w:val="24"/>
        </w:rPr>
      </w:pPr>
    </w:p>
    <w:p w14:paraId="170A3604" w14:textId="238C5D50" w:rsidR="0007458F" w:rsidRPr="005448F6" w:rsidRDefault="0007458F" w:rsidP="004E7E1B">
      <w:pPr>
        <w:pStyle w:val="ListParagraph"/>
        <w:spacing w:after="0" w:line="240" w:lineRule="auto"/>
        <w:rPr>
          <w:rFonts w:ascii="Tahoma" w:eastAsia="Times New Roman" w:hAnsi="Tahoma" w:cs="Tahoma"/>
          <w:sz w:val="24"/>
          <w:szCs w:val="24"/>
        </w:rPr>
      </w:pPr>
      <w:r w:rsidRPr="005448F6">
        <w:rPr>
          <w:rFonts w:ascii="Tahoma" w:eastAsia="Times New Roman" w:hAnsi="Tahoma" w:cs="Tahoma"/>
          <w:sz w:val="24"/>
          <w:szCs w:val="24"/>
        </w:rPr>
        <w:t>The</w:t>
      </w:r>
      <w:r w:rsidR="00AC483B">
        <w:rPr>
          <w:rFonts w:ascii="Tahoma" w:eastAsia="Times New Roman" w:hAnsi="Tahoma" w:cs="Tahoma"/>
          <w:sz w:val="24"/>
          <w:szCs w:val="24"/>
        </w:rPr>
        <w:t xml:space="preserve"> 12 eligible sea</w:t>
      </w:r>
      <w:r w:rsidRPr="005448F6">
        <w:rPr>
          <w:rFonts w:ascii="Tahoma" w:eastAsia="Times New Roman" w:hAnsi="Tahoma" w:cs="Tahoma"/>
          <w:sz w:val="24"/>
          <w:szCs w:val="24"/>
        </w:rPr>
        <w:t>ports are:</w:t>
      </w:r>
    </w:p>
    <w:p w14:paraId="13B9C51A" w14:textId="7261C62A" w:rsidR="0007458F"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Long Beach</w:t>
      </w:r>
    </w:p>
    <w:p w14:paraId="039D336B" w14:textId="287DEB83"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Los Angeles</w:t>
      </w:r>
    </w:p>
    <w:p w14:paraId="5A3E7109" w14:textId="79D59993"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Richmond</w:t>
      </w:r>
    </w:p>
    <w:p w14:paraId="2966F118" w14:textId="08A18B10"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Oakland</w:t>
      </w:r>
    </w:p>
    <w:p w14:paraId="6C1B47ED" w14:textId="6093ABDE"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Stockton</w:t>
      </w:r>
    </w:p>
    <w:p w14:paraId="41DDD213" w14:textId="539FF61B"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San Francisco</w:t>
      </w:r>
    </w:p>
    <w:p w14:paraId="3CAE124A" w14:textId="3E7FB80F"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Redwood City</w:t>
      </w:r>
    </w:p>
    <w:p w14:paraId="54521F91" w14:textId="4EAD180A"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Hueneme</w:t>
      </w:r>
    </w:p>
    <w:p w14:paraId="0A58F30E" w14:textId="5279B3E7"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San Diego</w:t>
      </w:r>
    </w:p>
    <w:p w14:paraId="32C5FC1C" w14:textId="51C28D93"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West Sacramento</w:t>
      </w:r>
    </w:p>
    <w:p w14:paraId="2B3B0B9C" w14:textId="1044A0C4"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Humbold Bay Harbor District</w:t>
      </w:r>
    </w:p>
    <w:p w14:paraId="07B5938B" w14:textId="4FEF9EF7" w:rsidR="00D45340" w:rsidRPr="005448F6" w:rsidRDefault="00D45340" w:rsidP="00D45340">
      <w:pPr>
        <w:pStyle w:val="ListParagraph"/>
        <w:numPr>
          <w:ilvl w:val="0"/>
          <w:numId w:val="15"/>
        </w:numPr>
        <w:spacing w:after="0" w:line="240" w:lineRule="auto"/>
        <w:rPr>
          <w:rFonts w:ascii="Tahoma" w:hAnsi="Tahoma" w:cs="Tahoma"/>
          <w:sz w:val="24"/>
          <w:szCs w:val="24"/>
        </w:rPr>
      </w:pPr>
      <w:r w:rsidRPr="005448F6">
        <w:rPr>
          <w:rFonts w:ascii="Tahoma" w:hAnsi="Tahoma" w:cs="Tahoma"/>
          <w:sz w:val="24"/>
          <w:szCs w:val="24"/>
        </w:rPr>
        <w:t>Port of Benicia</w:t>
      </w:r>
    </w:p>
    <w:p w14:paraId="266EFF0F" w14:textId="77777777" w:rsidR="002903A0" w:rsidRPr="005448F6" w:rsidRDefault="002903A0" w:rsidP="002903A0">
      <w:pPr>
        <w:spacing w:after="0" w:line="240" w:lineRule="auto"/>
        <w:rPr>
          <w:rFonts w:ascii="Tahoma" w:eastAsia="Times New Roman" w:hAnsi="Tahoma" w:cs="Tahoma"/>
          <w:b/>
          <w:sz w:val="24"/>
          <w:szCs w:val="24"/>
        </w:rPr>
      </w:pPr>
    </w:p>
    <w:p w14:paraId="4C68E8B8" w14:textId="12E54336" w:rsidR="002C44F6" w:rsidRPr="005448F6" w:rsidRDefault="00610A27" w:rsidP="00CF12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54</w:t>
      </w:r>
      <w:r w:rsidR="002903A0" w:rsidRPr="005448F6">
        <w:rPr>
          <w:rFonts w:ascii="Tahoma" w:eastAsia="Times New Roman" w:hAnsi="Tahoma" w:cs="Tahoma"/>
          <w:b/>
          <w:sz w:val="24"/>
          <w:szCs w:val="24"/>
        </w:rPr>
        <w:t>:</w:t>
      </w:r>
      <w:r w:rsidR="002903A0" w:rsidRPr="005448F6">
        <w:rPr>
          <w:rFonts w:ascii="Tahoma" w:eastAsia="Times New Roman" w:hAnsi="Tahoma" w:cs="Tahoma"/>
          <w:b/>
          <w:sz w:val="24"/>
          <w:szCs w:val="24"/>
        </w:rPr>
        <w:tab/>
      </w:r>
      <w:r w:rsidR="002C44F6" w:rsidRPr="005448F6">
        <w:rPr>
          <w:rFonts w:ascii="Tahoma" w:eastAsia="Times New Roman" w:hAnsi="Tahoma" w:cs="Tahoma"/>
          <w:b/>
          <w:sz w:val="24"/>
          <w:szCs w:val="24"/>
        </w:rPr>
        <w:t xml:space="preserve">What is </w:t>
      </w:r>
      <w:r w:rsidR="00B6030E">
        <w:rPr>
          <w:rFonts w:ascii="Tahoma" w:eastAsia="Times New Roman" w:hAnsi="Tahoma" w:cs="Tahoma"/>
          <w:b/>
          <w:sz w:val="24"/>
          <w:szCs w:val="24"/>
        </w:rPr>
        <w:t xml:space="preserve">the </w:t>
      </w:r>
      <w:r w:rsidR="002C44F6" w:rsidRPr="005448F6">
        <w:rPr>
          <w:rFonts w:ascii="Tahoma" w:eastAsia="Times New Roman" w:hAnsi="Tahoma" w:cs="Tahoma"/>
          <w:b/>
          <w:sz w:val="24"/>
          <w:szCs w:val="24"/>
        </w:rPr>
        <w:t>CEC’s definition of “land port of entry”? </w:t>
      </w:r>
      <w:r w:rsidR="005D0119" w:rsidRPr="005D0119">
        <w:rPr>
          <w:rFonts w:ascii="Tahoma" w:eastAsia="Times New Roman" w:hAnsi="Tahoma" w:cs="Tahoma"/>
          <w:b/>
          <w:sz w:val="24"/>
          <w:szCs w:val="24"/>
        </w:rPr>
        <w:t>For example, are border crossings the only eligible facilities, or could this include other types of inland freight hubs or intermodal transfer points? Are truck freight depots eligible?</w:t>
      </w:r>
    </w:p>
    <w:p w14:paraId="3B30011F" w14:textId="77777777" w:rsidR="003E6ABB" w:rsidRPr="005448F6" w:rsidRDefault="003E6ABB" w:rsidP="002903A0">
      <w:pPr>
        <w:spacing w:after="0" w:line="240" w:lineRule="auto"/>
        <w:ind w:left="720" w:hanging="720"/>
        <w:rPr>
          <w:rFonts w:ascii="Tahoma" w:eastAsia="Times New Roman" w:hAnsi="Tahoma" w:cs="Tahoma"/>
          <w:sz w:val="24"/>
          <w:szCs w:val="24"/>
        </w:rPr>
      </w:pPr>
    </w:p>
    <w:p w14:paraId="07DAE0B7" w14:textId="328E4C31" w:rsidR="00B06BE4" w:rsidRDefault="00610A27" w:rsidP="002903A0">
      <w:pPr>
        <w:spacing w:after="0" w:line="240" w:lineRule="auto"/>
        <w:ind w:left="720" w:hanging="720"/>
        <w:rPr>
          <w:rFonts w:ascii="Tahoma" w:eastAsia="Times New Roman" w:hAnsi="Tahoma" w:cs="Tahoma"/>
          <w:sz w:val="24"/>
          <w:szCs w:val="24"/>
        </w:rPr>
      </w:pPr>
      <w:r w:rsidRPr="005448F6">
        <w:rPr>
          <w:rFonts w:ascii="Tahoma" w:eastAsia="Times New Roman" w:hAnsi="Tahoma" w:cs="Tahoma"/>
          <w:sz w:val="24"/>
          <w:szCs w:val="24"/>
        </w:rPr>
        <w:t>A</w:t>
      </w:r>
      <w:r>
        <w:rPr>
          <w:rFonts w:ascii="Tahoma" w:eastAsia="Times New Roman" w:hAnsi="Tahoma" w:cs="Tahoma"/>
          <w:sz w:val="24"/>
          <w:szCs w:val="24"/>
        </w:rPr>
        <w:t>54</w:t>
      </w:r>
      <w:r w:rsidR="002903A0" w:rsidRPr="005448F6">
        <w:rPr>
          <w:rFonts w:ascii="Tahoma" w:eastAsia="Times New Roman" w:hAnsi="Tahoma" w:cs="Tahoma"/>
          <w:sz w:val="24"/>
          <w:szCs w:val="24"/>
        </w:rPr>
        <w:t>:</w:t>
      </w:r>
      <w:r w:rsidR="002903A0" w:rsidRPr="005448F6">
        <w:rPr>
          <w:rFonts w:ascii="Tahoma" w:eastAsia="Times New Roman" w:hAnsi="Tahoma" w:cs="Tahoma"/>
          <w:sz w:val="24"/>
          <w:szCs w:val="24"/>
        </w:rPr>
        <w:tab/>
      </w:r>
      <w:r w:rsidR="00EF6255" w:rsidRPr="00EF6255">
        <w:rPr>
          <w:rFonts w:ascii="Tahoma" w:eastAsia="Times New Roman" w:hAnsi="Tahoma" w:cs="Tahoma"/>
          <w:sz w:val="24"/>
          <w:szCs w:val="24"/>
        </w:rPr>
        <w:t>For the purposes of this solicitation</w:t>
      </w:r>
      <w:r w:rsidR="00EF6255">
        <w:rPr>
          <w:rFonts w:ascii="Tahoma" w:eastAsia="Times New Roman" w:hAnsi="Tahoma" w:cs="Tahoma"/>
          <w:sz w:val="24"/>
          <w:szCs w:val="24"/>
        </w:rPr>
        <w:t>, “</w:t>
      </w:r>
      <w:r w:rsidR="005776DB" w:rsidRPr="005448F6">
        <w:rPr>
          <w:rFonts w:ascii="Tahoma" w:eastAsia="Times New Roman" w:hAnsi="Tahoma" w:cs="Tahoma"/>
          <w:sz w:val="24"/>
          <w:szCs w:val="24"/>
        </w:rPr>
        <w:t>land ports of entry</w:t>
      </w:r>
      <w:r w:rsidR="00EF6255">
        <w:rPr>
          <w:rFonts w:ascii="Tahoma" w:eastAsia="Times New Roman" w:hAnsi="Tahoma" w:cs="Tahoma"/>
          <w:sz w:val="24"/>
          <w:szCs w:val="24"/>
        </w:rPr>
        <w:t xml:space="preserve">” refer to the designated border crossings identified by the </w:t>
      </w:r>
      <w:r w:rsidR="00B77AC1" w:rsidRPr="005448F6">
        <w:rPr>
          <w:rFonts w:ascii="Tahoma" w:eastAsia="Times New Roman" w:hAnsi="Tahoma" w:cs="Tahoma"/>
          <w:sz w:val="24"/>
          <w:szCs w:val="24"/>
        </w:rPr>
        <w:t>U.S. Department of Transportation</w:t>
      </w:r>
      <w:r w:rsidR="00EF6255">
        <w:rPr>
          <w:rFonts w:ascii="Tahoma" w:eastAsia="Times New Roman" w:hAnsi="Tahoma" w:cs="Tahoma"/>
          <w:sz w:val="24"/>
          <w:szCs w:val="24"/>
        </w:rPr>
        <w:t>’s</w:t>
      </w:r>
      <w:r w:rsidR="00B77AC1" w:rsidRPr="005448F6">
        <w:rPr>
          <w:rFonts w:ascii="Tahoma" w:eastAsia="Times New Roman" w:hAnsi="Tahoma" w:cs="Tahoma"/>
          <w:sz w:val="24"/>
          <w:szCs w:val="24"/>
        </w:rPr>
        <w:t xml:space="preserve"> Bureau of Transportation Statistics</w:t>
      </w:r>
      <w:r w:rsidR="00B06BE4">
        <w:rPr>
          <w:rFonts w:ascii="Tahoma" w:eastAsia="Times New Roman" w:hAnsi="Tahoma" w:cs="Tahoma"/>
          <w:sz w:val="24"/>
          <w:szCs w:val="24"/>
        </w:rPr>
        <w:t xml:space="preserve"> available at </w:t>
      </w:r>
      <w:hyperlink r:id="rId13" w:history="1">
        <w:r w:rsidR="00B06BE4" w:rsidRPr="00717696">
          <w:rPr>
            <w:rStyle w:val="Hyperlink"/>
            <w:rFonts w:ascii="Tahoma" w:eastAsia="Times New Roman" w:hAnsi="Tahoma" w:cs="Tahoma"/>
            <w:sz w:val="24"/>
            <w:szCs w:val="24"/>
          </w:rPr>
          <w:t>https://data.bts.gov/stories/s/myhq-rm6q</w:t>
        </w:r>
      </w:hyperlink>
      <w:r w:rsidR="00B06BE4">
        <w:rPr>
          <w:rFonts w:ascii="Tahoma" w:eastAsia="Times New Roman" w:hAnsi="Tahoma" w:cs="Tahoma"/>
          <w:sz w:val="24"/>
          <w:szCs w:val="24"/>
        </w:rPr>
        <w:t xml:space="preserve">. </w:t>
      </w:r>
    </w:p>
    <w:p w14:paraId="3F6D4C16" w14:textId="77777777" w:rsidR="00B06BE4" w:rsidRDefault="00B06BE4" w:rsidP="002903A0">
      <w:pPr>
        <w:spacing w:after="0" w:line="240" w:lineRule="auto"/>
        <w:ind w:left="720" w:hanging="720"/>
        <w:rPr>
          <w:rFonts w:ascii="Tahoma" w:eastAsia="Times New Roman" w:hAnsi="Tahoma" w:cs="Tahoma"/>
          <w:sz w:val="24"/>
          <w:szCs w:val="24"/>
        </w:rPr>
      </w:pPr>
    </w:p>
    <w:p w14:paraId="7FB84A21" w14:textId="7CF1DD8E" w:rsidR="00B77AC1" w:rsidRPr="005448F6" w:rsidRDefault="00B06BE4" w:rsidP="00553742">
      <w:pPr>
        <w:spacing w:after="0" w:line="240" w:lineRule="auto"/>
        <w:ind w:left="720"/>
        <w:rPr>
          <w:rFonts w:ascii="Tahoma" w:eastAsia="Times New Roman" w:hAnsi="Tahoma" w:cs="Tahoma"/>
          <w:sz w:val="24"/>
          <w:szCs w:val="24"/>
        </w:rPr>
      </w:pPr>
      <w:bookmarkStart w:id="3" w:name="_Hlk196913514"/>
      <w:r>
        <w:rPr>
          <w:rFonts w:ascii="Tahoma" w:eastAsia="Times New Roman" w:hAnsi="Tahoma" w:cs="Tahoma"/>
          <w:sz w:val="24"/>
          <w:szCs w:val="24"/>
        </w:rPr>
        <w:t xml:space="preserve">Eligible land ports of entry include: </w:t>
      </w:r>
    </w:p>
    <w:p w14:paraId="001DC47D" w14:textId="1D6A5FF6" w:rsidR="00E3011D" w:rsidRPr="005448F6" w:rsidRDefault="00DB7B5F" w:rsidP="00E3011D">
      <w:pPr>
        <w:pStyle w:val="ListParagraph"/>
        <w:numPr>
          <w:ilvl w:val="0"/>
          <w:numId w:val="14"/>
        </w:numPr>
        <w:spacing w:after="0" w:line="240" w:lineRule="auto"/>
        <w:rPr>
          <w:rFonts w:ascii="Tahoma" w:hAnsi="Tahoma" w:cs="Tahoma"/>
          <w:sz w:val="24"/>
          <w:szCs w:val="24"/>
        </w:rPr>
      </w:pPr>
      <w:r w:rsidRPr="005448F6">
        <w:rPr>
          <w:rFonts w:ascii="Tahoma" w:hAnsi="Tahoma" w:cs="Tahoma"/>
          <w:sz w:val="24"/>
          <w:szCs w:val="24"/>
        </w:rPr>
        <w:t>San Ysidro</w:t>
      </w:r>
    </w:p>
    <w:p w14:paraId="14486232" w14:textId="2EA52335" w:rsidR="00733974" w:rsidRPr="005448F6" w:rsidRDefault="00733974" w:rsidP="00E3011D">
      <w:pPr>
        <w:pStyle w:val="ListParagraph"/>
        <w:numPr>
          <w:ilvl w:val="0"/>
          <w:numId w:val="14"/>
        </w:numPr>
        <w:spacing w:after="0" w:line="240" w:lineRule="auto"/>
        <w:rPr>
          <w:rFonts w:ascii="Tahoma" w:hAnsi="Tahoma" w:cs="Tahoma"/>
          <w:sz w:val="24"/>
          <w:szCs w:val="24"/>
        </w:rPr>
      </w:pPr>
      <w:r w:rsidRPr="005448F6">
        <w:rPr>
          <w:rFonts w:ascii="Tahoma" w:hAnsi="Tahoma" w:cs="Tahoma"/>
          <w:sz w:val="24"/>
          <w:szCs w:val="24"/>
        </w:rPr>
        <w:t>Otay Mesa</w:t>
      </w:r>
    </w:p>
    <w:p w14:paraId="2C1AC89A" w14:textId="0CD588CD" w:rsidR="00733974" w:rsidRPr="005448F6" w:rsidRDefault="00733974" w:rsidP="00E3011D">
      <w:pPr>
        <w:pStyle w:val="ListParagraph"/>
        <w:numPr>
          <w:ilvl w:val="0"/>
          <w:numId w:val="14"/>
        </w:numPr>
        <w:spacing w:after="0" w:line="240" w:lineRule="auto"/>
        <w:rPr>
          <w:rFonts w:ascii="Tahoma" w:hAnsi="Tahoma" w:cs="Tahoma"/>
          <w:sz w:val="24"/>
          <w:szCs w:val="24"/>
        </w:rPr>
      </w:pPr>
      <w:r w:rsidRPr="005448F6">
        <w:rPr>
          <w:rFonts w:ascii="Tahoma" w:hAnsi="Tahoma" w:cs="Tahoma"/>
          <w:sz w:val="24"/>
          <w:szCs w:val="24"/>
        </w:rPr>
        <w:t>Tecate</w:t>
      </w:r>
    </w:p>
    <w:p w14:paraId="1C114CA7" w14:textId="2E0A7FEB" w:rsidR="00733974" w:rsidRPr="005448F6" w:rsidRDefault="00733974" w:rsidP="00E3011D">
      <w:pPr>
        <w:pStyle w:val="ListParagraph"/>
        <w:numPr>
          <w:ilvl w:val="0"/>
          <w:numId w:val="14"/>
        </w:numPr>
        <w:spacing w:after="0" w:line="240" w:lineRule="auto"/>
        <w:rPr>
          <w:rFonts w:ascii="Tahoma" w:hAnsi="Tahoma" w:cs="Tahoma"/>
          <w:sz w:val="24"/>
          <w:szCs w:val="24"/>
        </w:rPr>
      </w:pPr>
      <w:r w:rsidRPr="005448F6">
        <w:rPr>
          <w:rFonts w:ascii="Tahoma" w:hAnsi="Tahoma" w:cs="Tahoma"/>
          <w:sz w:val="24"/>
          <w:szCs w:val="24"/>
        </w:rPr>
        <w:t>Calexico West</w:t>
      </w:r>
    </w:p>
    <w:p w14:paraId="409CA0A2" w14:textId="33B5D659" w:rsidR="00733974" w:rsidRPr="005448F6" w:rsidRDefault="00733974" w:rsidP="00E3011D">
      <w:pPr>
        <w:pStyle w:val="ListParagraph"/>
        <w:numPr>
          <w:ilvl w:val="0"/>
          <w:numId w:val="14"/>
        </w:numPr>
        <w:spacing w:after="0" w:line="240" w:lineRule="auto"/>
        <w:rPr>
          <w:rFonts w:ascii="Tahoma" w:hAnsi="Tahoma" w:cs="Tahoma"/>
          <w:sz w:val="24"/>
          <w:szCs w:val="24"/>
        </w:rPr>
      </w:pPr>
      <w:r w:rsidRPr="005448F6">
        <w:rPr>
          <w:rFonts w:ascii="Tahoma" w:hAnsi="Tahoma" w:cs="Tahoma"/>
          <w:sz w:val="24"/>
          <w:szCs w:val="24"/>
        </w:rPr>
        <w:t>Calexico East</w:t>
      </w:r>
    </w:p>
    <w:p w14:paraId="4AD57CEB" w14:textId="1574ED6D" w:rsidR="00733974" w:rsidRPr="005448F6" w:rsidRDefault="00733974" w:rsidP="005776DB">
      <w:pPr>
        <w:pStyle w:val="ListParagraph"/>
        <w:numPr>
          <w:ilvl w:val="0"/>
          <w:numId w:val="14"/>
        </w:numPr>
        <w:spacing w:after="0" w:line="240" w:lineRule="auto"/>
        <w:rPr>
          <w:rFonts w:ascii="Tahoma" w:hAnsi="Tahoma" w:cs="Tahoma"/>
          <w:sz w:val="24"/>
          <w:szCs w:val="24"/>
        </w:rPr>
      </w:pPr>
      <w:r w:rsidRPr="005448F6">
        <w:rPr>
          <w:rFonts w:ascii="Tahoma" w:hAnsi="Tahoma" w:cs="Tahoma"/>
          <w:sz w:val="24"/>
          <w:szCs w:val="24"/>
        </w:rPr>
        <w:t>Andrade</w:t>
      </w:r>
    </w:p>
    <w:bookmarkEnd w:id="3"/>
    <w:p w14:paraId="3F5DFD2B" w14:textId="77777777" w:rsidR="005D0119" w:rsidRDefault="005D0119" w:rsidP="005D0119">
      <w:pPr>
        <w:spacing w:after="0" w:line="240" w:lineRule="auto"/>
        <w:ind w:firstLine="720"/>
        <w:rPr>
          <w:rFonts w:ascii="Tahoma" w:hAnsi="Tahoma" w:cs="Tahoma"/>
          <w:sz w:val="24"/>
          <w:szCs w:val="24"/>
        </w:rPr>
      </w:pPr>
    </w:p>
    <w:p w14:paraId="7CB12EC8" w14:textId="1CF0078A" w:rsidR="005D0119" w:rsidRPr="00553742" w:rsidRDefault="005D0119" w:rsidP="00553742">
      <w:pPr>
        <w:spacing w:after="0" w:line="240" w:lineRule="auto"/>
        <w:ind w:left="720"/>
        <w:rPr>
          <w:rFonts w:ascii="Tahoma" w:hAnsi="Tahoma" w:cs="Tahoma"/>
          <w:sz w:val="24"/>
          <w:szCs w:val="24"/>
        </w:rPr>
      </w:pPr>
      <w:r w:rsidRPr="005D0119">
        <w:rPr>
          <w:rFonts w:ascii="Tahoma" w:hAnsi="Tahoma" w:cs="Tahoma"/>
          <w:sz w:val="24"/>
          <w:szCs w:val="24"/>
        </w:rPr>
        <w:t>Inland freight hubs, intermodal transfer points, truck freight depots, etc. are also eligible. Non-port applicants will be required to provide a letter of support from a port or otherwise describe in the project narrative how the project will support the port.</w:t>
      </w:r>
    </w:p>
    <w:p w14:paraId="024C558E" w14:textId="77777777" w:rsidR="00C047CB" w:rsidRPr="005448F6" w:rsidRDefault="00C047CB" w:rsidP="002C44F6">
      <w:pPr>
        <w:spacing w:after="0" w:line="240" w:lineRule="auto"/>
        <w:ind w:left="720"/>
        <w:rPr>
          <w:rFonts w:ascii="Tahoma" w:hAnsi="Tahoma" w:cs="Tahoma"/>
          <w:sz w:val="24"/>
          <w:szCs w:val="24"/>
        </w:rPr>
      </w:pPr>
    </w:p>
    <w:p w14:paraId="6FB4BBB9" w14:textId="66B81ABD" w:rsidR="002C44F6" w:rsidRDefault="00610A27" w:rsidP="00CF12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55</w:t>
      </w:r>
      <w:r w:rsidR="002903A0" w:rsidRPr="005448F6">
        <w:rPr>
          <w:rFonts w:ascii="Tahoma" w:eastAsia="Times New Roman" w:hAnsi="Tahoma" w:cs="Tahoma"/>
          <w:b/>
          <w:sz w:val="24"/>
          <w:szCs w:val="24"/>
        </w:rPr>
        <w:t>:</w:t>
      </w:r>
      <w:r w:rsidR="002903A0" w:rsidRPr="005448F6">
        <w:rPr>
          <w:rFonts w:ascii="Tahoma" w:eastAsia="Times New Roman" w:hAnsi="Tahoma" w:cs="Tahoma"/>
          <w:b/>
          <w:sz w:val="24"/>
          <w:szCs w:val="24"/>
        </w:rPr>
        <w:tab/>
      </w:r>
      <w:r w:rsidR="00B82AEC" w:rsidRPr="005448F6">
        <w:rPr>
          <w:rFonts w:ascii="Tahoma" w:eastAsia="Times New Roman" w:hAnsi="Tahoma" w:cs="Tahoma"/>
          <w:b/>
          <w:sz w:val="24"/>
          <w:szCs w:val="24"/>
        </w:rPr>
        <w:t>W</w:t>
      </w:r>
      <w:r w:rsidR="002C44F6" w:rsidRPr="005448F6">
        <w:rPr>
          <w:rFonts w:ascii="Tahoma" w:eastAsia="Times New Roman" w:hAnsi="Tahoma" w:cs="Tahoma"/>
          <w:b/>
          <w:sz w:val="24"/>
          <w:szCs w:val="24"/>
        </w:rPr>
        <w:t xml:space="preserve">hat is </w:t>
      </w:r>
      <w:r w:rsidR="00121D21">
        <w:rPr>
          <w:rFonts w:ascii="Tahoma" w:eastAsia="Times New Roman" w:hAnsi="Tahoma" w:cs="Tahoma"/>
          <w:b/>
          <w:sz w:val="24"/>
          <w:szCs w:val="24"/>
        </w:rPr>
        <w:t xml:space="preserve">the </w:t>
      </w:r>
      <w:r w:rsidR="002C44F6" w:rsidRPr="005448F6">
        <w:rPr>
          <w:rFonts w:ascii="Tahoma" w:eastAsia="Times New Roman" w:hAnsi="Tahoma" w:cs="Tahoma"/>
          <w:b/>
          <w:sz w:val="24"/>
          <w:szCs w:val="24"/>
        </w:rPr>
        <w:t>CEC’s definition of “make-ready equipment”? </w:t>
      </w:r>
    </w:p>
    <w:p w14:paraId="79F58866" w14:textId="77777777" w:rsidR="00D06C91" w:rsidRPr="005448F6" w:rsidRDefault="00D06C91" w:rsidP="00CF1250">
      <w:pPr>
        <w:spacing w:after="0" w:line="240" w:lineRule="auto"/>
        <w:ind w:left="720" w:hanging="720"/>
        <w:rPr>
          <w:rFonts w:ascii="Tahoma" w:hAnsi="Tahoma" w:cs="Tahoma"/>
          <w:b/>
          <w:sz w:val="24"/>
          <w:szCs w:val="24"/>
        </w:rPr>
      </w:pPr>
    </w:p>
    <w:p w14:paraId="0B6A8B82" w14:textId="15E93652" w:rsidR="00DB4E72" w:rsidRPr="005448F6" w:rsidRDefault="00610A27"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55</w:t>
      </w:r>
      <w:r w:rsidR="00AF2DB7" w:rsidRPr="005448F6">
        <w:rPr>
          <w:rFonts w:ascii="Tahoma" w:hAnsi="Tahoma" w:cs="Tahoma"/>
          <w:sz w:val="24"/>
          <w:szCs w:val="24"/>
        </w:rPr>
        <w:t>:</w:t>
      </w:r>
      <w:r w:rsidR="00AF2DB7">
        <w:tab/>
      </w:r>
      <w:r w:rsidR="002131D9" w:rsidRPr="002131D9">
        <w:rPr>
          <w:rFonts w:ascii="Tahoma" w:hAnsi="Tahoma" w:cs="Tahoma"/>
          <w:sz w:val="24"/>
          <w:szCs w:val="24"/>
        </w:rPr>
        <w:t>For the purposes of this solicitation</w:t>
      </w:r>
      <w:r w:rsidR="002131D9">
        <w:rPr>
          <w:rFonts w:ascii="Tahoma" w:hAnsi="Tahoma" w:cs="Tahoma"/>
          <w:sz w:val="24"/>
          <w:szCs w:val="24"/>
        </w:rPr>
        <w:t xml:space="preserve">, </w:t>
      </w:r>
      <w:r w:rsidR="008464EC" w:rsidRPr="005448F6">
        <w:rPr>
          <w:rFonts w:ascii="Tahoma" w:hAnsi="Tahoma" w:cs="Tahoma"/>
          <w:sz w:val="24"/>
          <w:szCs w:val="24"/>
        </w:rPr>
        <w:t xml:space="preserve">“make-ready </w:t>
      </w:r>
      <w:r w:rsidR="003F77F1">
        <w:rPr>
          <w:rFonts w:ascii="Tahoma" w:hAnsi="Tahoma" w:cs="Tahoma"/>
          <w:sz w:val="24"/>
          <w:szCs w:val="24"/>
        </w:rPr>
        <w:t>equipment</w:t>
      </w:r>
      <w:r w:rsidR="33C2AE20" w:rsidRPr="15D50CD3">
        <w:rPr>
          <w:rFonts w:ascii="Tahoma" w:hAnsi="Tahoma" w:cs="Tahoma"/>
          <w:sz w:val="24"/>
          <w:szCs w:val="24"/>
        </w:rPr>
        <w:t>”</w:t>
      </w:r>
      <w:r w:rsidR="003F77F1" w:rsidRPr="007D4CB8">
        <w:rPr>
          <w:rFonts w:ascii="Tahoma" w:hAnsi="Tahoma" w:cs="Tahoma"/>
          <w:sz w:val="24"/>
          <w:szCs w:val="24"/>
        </w:rPr>
        <w:t xml:space="preserve"> </w:t>
      </w:r>
      <w:r w:rsidR="007D4CB8" w:rsidRPr="007D4CB8">
        <w:rPr>
          <w:rFonts w:ascii="Tahoma" w:hAnsi="Tahoma" w:cs="Tahoma"/>
          <w:sz w:val="24"/>
          <w:szCs w:val="24"/>
        </w:rPr>
        <w:t>includes installation of wiring, conduit, etc. for a charging</w:t>
      </w:r>
      <w:r w:rsidR="00612DF3" w:rsidRPr="005448F6">
        <w:rPr>
          <w:rFonts w:ascii="Tahoma" w:hAnsi="Tahoma" w:cs="Tahoma"/>
          <w:sz w:val="24"/>
          <w:szCs w:val="24"/>
        </w:rPr>
        <w:t xml:space="preserve"> or </w:t>
      </w:r>
      <w:r w:rsidR="007D4CB8" w:rsidRPr="007D4CB8">
        <w:rPr>
          <w:rFonts w:ascii="Tahoma" w:hAnsi="Tahoma" w:cs="Tahoma"/>
          <w:sz w:val="24"/>
          <w:szCs w:val="24"/>
        </w:rPr>
        <w:t>refueling site without installing the actual charging system or dispensing platform</w:t>
      </w:r>
      <w:r w:rsidR="00AA1397" w:rsidRPr="005448F6">
        <w:rPr>
          <w:rFonts w:ascii="Tahoma" w:hAnsi="Tahoma" w:cs="Tahoma"/>
          <w:sz w:val="24"/>
          <w:szCs w:val="24"/>
        </w:rPr>
        <w:t>.</w:t>
      </w:r>
    </w:p>
    <w:p w14:paraId="0C30953C" w14:textId="77777777" w:rsidR="000413FF" w:rsidRPr="005448F6" w:rsidRDefault="000413FF" w:rsidP="000413FF">
      <w:pPr>
        <w:spacing w:after="0"/>
        <w:ind w:left="720" w:hanging="720"/>
        <w:rPr>
          <w:rFonts w:ascii="Tahoma" w:hAnsi="Tahoma" w:cs="Tahoma"/>
          <w:sz w:val="24"/>
          <w:szCs w:val="24"/>
        </w:rPr>
      </w:pPr>
    </w:p>
    <w:p w14:paraId="0392A318" w14:textId="6DF0AA7C" w:rsidR="002C44F6" w:rsidRDefault="00610A27" w:rsidP="00CF12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56</w:t>
      </w:r>
      <w:r w:rsidR="00DB4E72" w:rsidRPr="005448F6">
        <w:rPr>
          <w:rFonts w:ascii="Tahoma" w:eastAsia="Times New Roman" w:hAnsi="Tahoma" w:cs="Tahoma"/>
          <w:b/>
          <w:sz w:val="24"/>
          <w:szCs w:val="24"/>
        </w:rPr>
        <w:t>:</w:t>
      </w:r>
      <w:r w:rsidR="00DB4E72" w:rsidRPr="005448F6">
        <w:rPr>
          <w:rFonts w:ascii="Tahoma" w:eastAsia="Times New Roman" w:hAnsi="Tahoma" w:cs="Tahoma"/>
          <w:b/>
          <w:sz w:val="24"/>
          <w:szCs w:val="24"/>
        </w:rPr>
        <w:tab/>
      </w:r>
      <w:r w:rsidR="002C44F6" w:rsidRPr="005448F6">
        <w:rPr>
          <w:rFonts w:ascii="Tahoma" w:eastAsia="Times New Roman" w:hAnsi="Tahoma" w:cs="Tahoma"/>
          <w:b/>
          <w:sz w:val="24"/>
          <w:szCs w:val="24"/>
        </w:rPr>
        <w:t>Is there a minimum award size? </w:t>
      </w:r>
    </w:p>
    <w:p w14:paraId="4C9832B8" w14:textId="77777777" w:rsidR="00D06C91" w:rsidRPr="005448F6" w:rsidRDefault="00D06C91" w:rsidP="00CF1250">
      <w:pPr>
        <w:spacing w:after="0" w:line="240" w:lineRule="auto"/>
        <w:ind w:left="720" w:hanging="720"/>
        <w:rPr>
          <w:rFonts w:ascii="Tahoma" w:eastAsia="Times New Roman" w:hAnsi="Tahoma" w:cs="Tahoma"/>
          <w:b/>
          <w:sz w:val="24"/>
          <w:szCs w:val="24"/>
        </w:rPr>
      </w:pPr>
    </w:p>
    <w:p w14:paraId="0A3A410D" w14:textId="22BBD6A5" w:rsidR="001B1AF3" w:rsidRPr="005448F6" w:rsidRDefault="00610A27" w:rsidP="000413FF">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56</w:t>
      </w:r>
      <w:r w:rsidR="007C0FEF" w:rsidRPr="005448F6">
        <w:rPr>
          <w:rFonts w:ascii="Tahoma" w:hAnsi="Tahoma" w:cs="Tahoma"/>
          <w:sz w:val="24"/>
          <w:szCs w:val="24"/>
        </w:rPr>
        <w:t>:</w:t>
      </w:r>
      <w:r w:rsidR="007C0FEF" w:rsidRPr="005448F6">
        <w:rPr>
          <w:rFonts w:ascii="Tahoma" w:hAnsi="Tahoma" w:cs="Tahoma"/>
          <w:sz w:val="24"/>
          <w:szCs w:val="24"/>
        </w:rPr>
        <w:tab/>
      </w:r>
      <w:r w:rsidR="00364682" w:rsidRPr="005448F6">
        <w:rPr>
          <w:rFonts w:ascii="Tahoma" w:hAnsi="Tahoma" w:cs="Tahoma"/>
          <w:sz w:val="24"/>
          <w:szCs w:val="24"/>
        </w:rPr>
        <w:t xml:space="preserve">Yes. </w:t>
      </w:r>
      <w:r w:rsidR="00B00D8A" w:rsidRPr="005448F6">
        <w:rPr>
          <w:rFonts w:ascii="Tahoma" w:hAnsi="Tahoma" w:cs="Tahoma"/>
          <w:sz w:val="24"/>
          <w:szCs w:val="24"/>
        </w:rPr>
        <w:t>Group 1</w:t>
      </w:r>
      <w:r w:rsidR="00715BE2">
        <w:rPr>
          <w:rFonts w:ascii="Tahoma" w:hAnsi="Tahoma" w:cs="Tahoma"/>
          <w:sz w:val="24"/>
          <w:szCs w:val="24"/>
        </w:rPr>
        <w:t>: Small Port</w:t>
      </w:r>
      <w:r w:rsidR="00B00D8A" w:rsidRPr="005448F6">
        <w:rPr>
          <w:rFonts w:ascii="Tahoma" w:hAnsi="Tahoma" w:cs="Tahoma"/>
          <w:sz w:val="24"/>
          <w:szCs w:val="24"/>
        </w:rPr>
        <w:t xml:space="preserve"> a</w:t>
      </w:r>
      <w:r w:rsidR="00E47CDF" w:rsidRPr="005448F6">
        <w:rPr>
          <w:rFonts w:ascii="Tahoma" w:hAnsi="Tahoma" w:cs="Tahoma"/>
          <w:sz w:val="24"/>
          <w:szCs w:val="24"/>
        </w:rPr>
        <w:t>pplications must request a minimum award of $</w:t>
      </w:r>
      <w:r w:rsidR="00FF5013">
        <w:rPr>
          <w:rFonts w:ascii="Tahoma" w:hAnsi="Tahoma" w:cs="Tahoma"/>
          <w:sz w:val="24"/>
          <w:szCs w:val="24"/>
        </w:rPr>
        <w:t>4</w:t>
      </w:r>
      <w:r w:rsidR="00E47CDF" w:rsidRPr="005448F6">
        <w:rPr>
          <w:rFonts w:ascii="Tahoma" w:hAnsi="Tahoma" w:cs="Tahoma"/>
          <w:sz w:val="24"/>
          <w:szCs w:val="24"/>
        </w:rPr>
        <w:t>.0 million.</w:t>
      </w:r>
      <w:r w:rsidR="00B00D8A" w:rsidRPr="005448F6">
        <w:rPr>
          <w:rFonts w:ascii="Tahoma" w:hAnsi="Tahoma" w:cs="Tahoma"/>
          <w:sz w:val="24"/>
          <w:szCs w:val="24"/>
        </w:rPr>
        <w:t xml:space="preserve"> Group 2</w:t>
      </w:r>
      <w:r w:rsidR="00715BE2">
        <w:rPr>
          <w:rFonts w:ascii="Tahoma" w:hAnsi="Tahoma" w:cs="Tahoma"/>
          <w:sz w:val="24"/>
          <w:szCs w:val="24"/>
        </w:rPr>
        <w:t>: Large Port</w:t>
      </w:r>
      <w:r w:rsidR="00B00D8A" w:rsidRPr="005448F6">
        <w:rPr>
          <w:rFonts w:ascii="Tahoma" w:hAnsi="Tahoma" w:cs="Tahoma"/>
          <w:sz w:val="24"/>
          <w:szCs w:val="24"/>
        </w:rPr>
        <w:t xml:space="preserve"> applications must request a minimum award of $</w:t>
      </w:r>
      <w:r w:rsidR="005B3395" w:rsidRPr="005448F6">
        <w:rPr>
          <w:rFonts w:ascii="Tahoma" w:hAnsi="Tahoma" w:cs="Tahoma"/>
          <w:sz w:val="24"/>
          <w:szCs w:val="24"/>
        </w:rPr>
        <w:t>8</w:t>
      </w:r>
      <w:r w:rsidR="00B00D8A" w:rsidRPr="005448F6">
        <w:rPr>
          <w:rFonts w:ascii="Tahoma" w:hAnsi="Tahoma" w:cs="Tahoma"/>
          <w:sz w:val="24"/>
          <w:szCs w:val="24"/>
        </w:rPr>
        <w:t>.0 million.</w:t>
      </w:r>
      <w:r w:rsidR="00E47CDF" w:rsidRPr="005448F6">
        <w:rPr>
          <w:rFonts w:ascii="Tahoma" w:hAnsi="Tahoma" w:cs="Tahoma"/>
          <w:sz w:val="24"/>
          <w:szCs w:val="24"/>
        </w:rPr>
        <w:t xml:space="preserve"> </w:t>
      </w:r>
      <w:r w:rsidR="00715BE2">
        <w:rPr>
          <w:rFonts w:ascii="Tahoma" w:hAnsi="Tahoma" w:cs="Tahoma"/>
          <w:sz w:val="24"/>
          <w:szCs w:val="24"/>
        </w:rPr>
        <w:t>Refer to Section I.G.</w:t>
      </w:r>
    </w:p>
    <w:p w14:paraId="574652EA" w14:textId="77777777" w:rsidR="000413FF" w:rsidRPr="005448F6" w:rsidRDefault="000413FF" w:rsidP="000413FF">
      <w:pPr>
        <w:spacing w:after="0"/>
        <w:ind w:left="720" w:hanging="720"/>
        <w:rPr>
          <w:rFonts w:ascii="Tahoma" w:hAnsi="Tahoma" w:cs="Tahoma"/>
          <w:sz w:val="24"/>
          <w:szCs w:val="24"/>
        </w:rPr>
      </w:pPr>
    </w:p>
    <w:p w14:paraId="62240102" w14:textId="35B2D180" w:rsidR="00EE5457"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57</w:t>
      </w:r>
      <w:r w:rsidR="001B1AF3" w:rsidRPr="005448F6">
        <w:rPr>
          <w:rFonts w:ascii="Tahoma" w:eastAsia="Times New Roman" w:hAnsi="Tahoma" w:cs="Tahoma"/>
          <w:b/>
          <w:sz w:val="24"/>
          <w:szCs w:val="24"/>
        </w:rPr>
        <w:t>:</w:t>
      </w:r>
      <w:r w:rsidR="001B1AF3" w:rsidRPr="005448F6">
        <w:rPr>
          <w:rFonts w:ascii="Tahoma" w:eastAsia="Times New Roman" w:hAnsi="Tahoma" w:cs="Tahoma"/>
          <w:b/>
          <w:sz w:val="24"/>
          <w:szCs w:val="24"/>
        </w:rPr>
        <w:tab/>
      </w:r>
      <w:r w:rsidR="00EE5457" w:rsidRPr="005448F6">
        <w:rPr>
          <w:rFonts w:ascii="Tahoma" w:eastAsia="Times New Roman" w:hAnsi="Tahoma" w:cs="Tahoma"/>
          <w:b/>
          <w:sz w:val="24"/>
          <w:szCs w:val="24"/>
        </w:rPr>
        <w:t xml:space="preserve">Is there a minimum </w:t>
      </w:r>
      <w:r w:rsidR="00220A6C">
        <w:rPr>
          <w:rFonts w:ascii="Tahoma" w:eastAsia="Times New Roman" w:hAnsi="Tahoma" w:cs="Tahoma"/>
          <w:b/>
          <w:sz w:val="24"/>
          <w:szCs w:val="24"/>
        </w:rPr>
        <w:t xml:space="preserve">required </w:t>
      </w:r>
      <w:r w:rsidR="00EE5457" w:rsidRPr="005448F6">
        <w:rPr>
          <w:rFonts w:ascii="Tahoma" w:eastAsia="Times New Roman" w:hAnsi="Tahoma" w:cs="Tahoma"/>
          <w:b/>
          <w:sz w:val="24"/>
          <w:szCs w:val="24"/>
        </w:rPr>
        <w:t xml:space="preserve">timeframe for </w:t>
      </w:r>
      <w:r w:rsidR="00220A6C">
        <w:rPr>
          <w:rFonts w:ascii="Tahoma" w:eastAsia="Times New Roman" w:hAnsi="Tahoma" w:cs="Tahoma"/>
          <w:b/>
          <w:sz w:val="24"/>
          <w:szCs w:val="24"/>
        </w:rPr>
        <w:t>operational</w:t>
      </w:r>
      <w:r w:rsidR="00EE5457" w:rsidRPr="005448F6">
        <w:rPr>
          <w:rFonts w:ascii="Tahoma" w:eastAsia="Times New Roman" w:hAnsi="Tahoma" w:cs="Tahoma"/>
          <w:b/>
          <w:sz w:val="24"/>
          <w:szCs w:val="24"/>
        </w:rPr>
        <w:t xml:space="preserve"> data reporting </w:t>
      </w:r>
      <w:r w:rsidR="00220A6C">
        <w:rPr>
          <w:rFonts w:ascii="Tahoma" w:eastAsia="Times New Roman" w:hAnsi="Tahoma" w:cs="Tahoma"/>
          <w:b/>
          <w:sz w:val="24"/>
          <w:szCs w:val="24"/>
        </w:rPr>
        <w:t>under this solicitation?</w:t>
      </w:r>
    </w:p>
    <w:p w14:paraId="6241108A" w14:textId="77777777" w:rsidR="000413FF" w:rsidRPr="005448F6" w:rsidRDefault="000413FF" w:rsidP="000413FF">
      <w:pPr>
        <w:spacing w:after="0" w:line="240" w:lineRule="auto"/>
        <w:ind w:left="720" w:hanging="720"/>
        <w:rPr>
          <w:rFonts w:ascii="Tahoma" w:eastAsia="Times New Roman" w:hAnsi="Tahoma" w:cs="Tahoma"/>
          <w:b/>
          <w:sz w:val="24"/>
          <w:szCs w:val="24"/>
        </w:rPr>
      </w:pPr>
    </w:p>
    <w:p w14:paraId="3591E9BD" w14:textId="276CD5A4" w:rsidR="002A3472" w:rsidRPr="005448F6" w:rsidRDefault="002A3472" w:rsidP="00394395">
      <w:pPr>
        <w:spacing w:after="0"/>
        <w:ind w:left="720" w:hanging="720"/>
        <w:rPr>
          <w:rFonts w:ascii="Tahoma" w:hAnsi="Tahoma" w:cs="Tahoma"/>
          <w:sz w:val="24"/>
          <w:szCs w:val="24"/>
        </w:rPr>
      </w:pPr>
      <w:r w:rsidRPr="005448F6">
        <w:rPr>
          <w:rFonts w:ascii="Tahoma" w:hAnsi="Tahoma" w:cs="Tahoma"/>
          <w:sz w:val="24"/>
          <w:szCs w:val="24"/>
        </w:rPr>
        <w:t>A</w:t>
      </w:r>
      <w:r w:rsidR="00610A27">
        <w:rPr>
          <w:rFonts w:ascii="Tahoma" w:hAnsi="Tahoma" w:cs="Tahoma"/>
          <w:sz w:val="24"/>
          <w:szCs w:val="24"/>
        </w:rPr>
        <w:t>57</w:t>
      </w:r>
      <w:r w:rsidRPr="005448F6">
        <w:rPr>
          <w:rFonts w:ascii="Tahoma" w:hAnsi="Tahoma" w:cs="Tahoma"/>
          <w:sz w:val="24"/>
          <w:szCs w:val="24"/>
        </w:rPr>
        <w:t>:</w:t>
      </w:r>
      <w:r w:rsidRPr="005448F6">
        <w:rPr>
          <w:rFonts w:ascii="Tahoma" w:hAnsi="Tahoma" w:cs="Tahoma"/>
          <w:sz w:val="24"/>
          <w:szCs w:val="24"/>
        </w:rPr>
        <w:tab/>
        <w:t>Yes</w:t>
      </w:r>
      <w:r w:rsidR="0077442B" w:rsidRPr="005448F6">
        <w:rPr>
          <w:rFonts w:ascii="Tahoma" w:hAnsi="Tahoma" w:cs="Tahoma"/>
          <w:sz w:val="24"/>
          <w:szCs w:val="24"/>
        </w:rPr>
        <w:t xml:space="preserve">. </w:t>
      </w:r>
      <w:r w:rsidR="00AF0F93">
        <w:rPr>
          <w:rFonts w:ascii="Tahoma" w:hAnsi="Tahoma" w:cs="Tahoma"/>
          <w:sz w:val="24"/>
          <w:szCs w:val="24"/>
        </w:rPr>
        <w:t xml:space="preserve">Awarded projects must conduct </w:t>
      </w:r>
      <w:r w:rsidRPr="005448F6">
        <w:rPr>
          <w:rFonts w:ascii="Tahoma" w:hAnsi="Tahoma" w:cs="Tahoma"/>
          <w:sz w:val="24"/>
          <w:szCs w:val="24"/>
        </w:rPr>
        <w:t>12 months of demonstration and data collection</w:t>
      </w:r>
      <w:r w:rsidR="0077442B" w:rsidRPr="005448F6">
        <w:rPr>
          <w:rFonts w:ascii="Tahoma" w:hAnsi="Tahoma" w:cs="Tahoma"/>
          <w:sz w:val="24"/>
          <w:szCs w:val="24"/>
        </w:rPr>
        <w:t xml:space="preserve"> </w:t>
      </w:r>
      <w:r w:rsidR="00115095">
        <w:rPr>
          <w:rFonts w:ascii="Tahoma" w:hAnsi="Tahoma" w:cs="Tahoma"/>
          <w:sz w:val="24"/>
          <w:szCs w:val="24"/>
        </w:rPr>
        <w:t>on the deploying charging or hydrogen refueling infrastructure</w:t>
      </w:r>
      <w:r w:rsidR="00EE62EE">
        <w:rPr>
          <w:rFonts w:ascii="Tahoma" w:hAnsi="Tahoma" w:cs="Tahoma"/>
          <w:sz w:val="24"/>
          <w:szCs w:val="24"/>
        </w:rPr>
        <w:t xml:space="preserve"> within the term of the agreement</w:t>
      </w:r>
      <w:r w:rsidR="00115095">
        <w:rPr>
          <w:rFonts w:ascii="Tahoma" w:hAnsi="Tahoma" w:cs="Tahoma"/>
          <w:sz w:val="24"/>
          <w:szCs w:val="24"/>
        </w:rPr>
        <w:t xml:space="preserve">. </w:t>
      </w:r>
      <w:r w:rsidR="00EE62EE">
        <w:rPr>
          <w:rFonts w:ascii="Tahoma" w:hAnsi="Tahoma" w:cs="Tahoma"/>
          <w:sz w:val="24"/>
          <w:szCs w:val="24"/>
        </w:rPr>
        <w:t xml:space="preserve">In addition, </w:t>
      </w:r>
      <w:r w:rsidR="007A2C73">
        <w:rPr>
          <w:rFonts w:ascii="Tahoma" w:hAnsi="Tahoma" w:cs="Tahoma"/>
          <w:sz w:val="24"/>
          <w:szCs w:val="24"/>
        </w:rPr>
        <w:t>r</w:t>
      </w:r>
      <w:r w:rsidR="007A2C73" w:rsidRPr="007A2C73">
        <w:rPr>
          <w:rFonts w:ascii="Tahoma" w:hAnsi="Tahoma" w:cs="Tahoma"/>
          <w:sz w:val="24"/>
          <w:szCs w:val="24"/>
        </w:rPr>
        <w:t xml:space="preserve">ecipients </w:t>
      </w:r>
      <w:r w:rsidR="007A2C73">
        <w:rPr>
          <w:rFonts w:ascii="Tahoma" w:hAnsi="Tahoma" w:cs="Tahoma"/>
          <w:sz w:val="24"/>
          <w:szCs w:val="24"/>
        </w:rPr>
        <w:t xml:space="preserve">of awarded projects </w:t>
      </w:r>
      <w:r w:rsidR="007A2C73" w:rsidRPr="007A2C73">
        <w:rPr>
          <w:rFonts w:ascii="Tahoma" w:hAnsi="Tahoma" w:cs="Tahoma"/>
          <w:sz w:val="24"/>
          <w:szCs w:val="24"/>
        </w:rPr>
        <w:t>shall comply with the reliability performance standards, recordkeeping, reporting, and maintenance requirements for EV chargers installed</w:t>
      </w:r>
      <w:r w:rsidR="00872325">
        <w:rPr>
          <w:rFonts w:ascii="Tahoma" w:hAnsi="Tahoma" w:cs="Tahoma"/>
          <w:sz w:val="24"/>
          <w:szCs w:val="24"/>
        </w:rPr>
        <w:t xml:space="preserve">, as </w:t>
      </w:r>
      <w:r w:rsidR="00022C14">
        <w:rPr>
          <w:rFonts w:ascii="Tahoma" w:hAnsi="Tahoma" w:cs="Tahoma"/>
          <w:sz w:val="24"/>
          <w:szCs w:val="24"/>
        </w:rPr>
        <w:t>outlined</w:t>
      </w:r>
      <w:r w:rsidR="00872325">
        <w:rPr>
          <w:rFonts w:ascii="Tahoma" w:hAnsi="Tahoma" w:cs="Tahoma"/>
          <w:sz w:val="24"/>
          <w:szCs w:val="24"/>
        </w:rPr>
        <w:t xml:space="preserve"> in </w:t>
      </w:r>
      <w:r w:rsidR="00022C14">
        <w:rPr>
          <w:rFonts w:ascii="Tahoma" w:hAnsi="Tahoma" w:cs="Tahoma"/>
          <w:sz w:val="24"/>
          <w:szCs w:val="24"/>
        </w:rPr>
        <w:t xml:space="preserve">the Scope of Work template (Attachment 2). </w:t>
      </w:r>
      <w:r w:rsidR="00D531AB">
        <w:rPr>
          <w:rFonts w:ascii="Tahoma" w:hAnsi="Tahoma" w:cs="Tahoma"/>
          <w:sz w:val="24"/>
          <w:szCs w:val="24"/>
        </w:rPr>
        <w:t xml:space="preserve">While the data </w:t>
      </w:r>
      <w:r w:rsidR="00FD1D22" w:rsidRPr="005448F6">
        <w:rPr>
          <w:rFonts w:ascii="Tahoma" w:hAnsi="Tahoma" w:cs="Tahoma"/>
          <w:sz w:val="24"/>
          <w:szCs w:val="24"/>
        </w:rPr>
        <w:t>is collected daily</w:t>
      </w:r>
      <w:r w:rsidR="00D531AB">
        <w:rPr>
          <w:rFonts w:ascii="Tahoma" w:hAnsi="Tahoma" w:cs="Tahoma"/>
          <w:sz w:val="24"/>
          <w:szCs w:val="24"/>
        </w:rPr>
        <w:t>, it must be reported to the CEC on a quarterly basis.</w:t>
      </w:r>
      <w:r w:rsidR="00FD1D22" w:rsidRPr="005448F6">
        <w:rPr>
          <w:rFonts w:ascii="Tahoma" w:hAnsi="Tahoma" w:cs="Tahoma"/>
          <w:sz w:val="24"/>
          <w:szCs w:val="24"/>
        </w:rPr>
        <w:t xml:space="preserve"> </w:t>
      </w:r>
      <w:r w:rsidR="00B64947">
        <w:rPr>
          <w:rFonts w:ascii="Tahoma" w:hAnsi="Tahoma" w:cs="Tahoma"/>
          <w:sz w:val="24"/>
          <w:szCs w:val="24"/>
        </w:rPr>
        <w:t xml:space="preserve">Refer to Section </w:t>
      </w:r>
      <w:r w:rsidR="00BE19C1">
        <w:rPr>
          <w:rFonts w:ascii="Tahoma" w:hAnsi="Tahoma" w:cs="Tahoma"/>
          <w:sz w:val="24"/>
          <w:szCs w:val="24"/>
        </w:rPr>
        <w:t>II.B.4.</w:t>
      </w:r>
      <w:r w:rsidR="001344D6">
        <w:rPr>
          <w:rFonts w:ascii="Tahoma" w:hAnsi="Tahoma" w:cs="Tahoma"/>
          <w:sz w:val="24"/>
          <w:szCs w:val="24"/>
        </w:rPr>
        <w:t>, Data Collection.</w:t>
      </w:r>
    </w:p>
    <w:p w14:paraId="14761A43" w14:textId="77777777" w:rsidR="000413FF" w:rsidRPr="005448F6" w:rsidRDefault="000413FF" w:rsidP="000413FF">
      <w:pPr>
        <w:spacing w:after="0"/>
        <w:ind w:left="720" w:hanging="720"/>
        <w:rPr>
          <w:rFonts w:ascii="Tahoma" w:hAnsi="Tahoma" w:cs="Tahoma"/>
          <w:sz w:val="24"/>
          <w:szCs w:val="24"/>
        </w:rPr>
      </w:pPr>
    </w:p>
    <w:p w14:paraId="1A478464" w14:textId="080A1838" w:rsidR="00EE5457"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58</w:t>
      </w:r>
      <w:r w:rsidR="002A3472" w:rsidRPr="005448F6">
        <w:rPr>
          <w:rFonts w:ascii="Tahoma" w:eastAsia="Times New Roman" w:hAnsi="Tahoma" w:cs="Tahoma"/>
          <w:b/>
          <w:sz w:val="24"/>
          <w:szCs w:val="24"/>
        </w:rPr>
        <w:t>:</w:t>
      </w:r>
      <w:r w:rsidR="002A3472" w:rsidRPr="005448F6">
        <w:rPr>
          <w:rFonts w:ascii="Tahoma" w:eastAsia="Times New Roman" w:hAnsi="Tahoma" w:cs="Tahoma"/>
          <w:b/>
          <w:sz w:val="24"/>
          <w:szCs w:val="24"/>
        </w:rPr>
        <w:tab/>
      </w:r>
      <w:r w:rsidR="00EE5457" w:rsidRPr="005448F6">
        <w:rPr>
          <w:rFonts w:ascii="Tahoma" w:eastAsia="Times New Roman" w:hAnsi="Tahoma" w:cs="Tahoma"/>
          <w:b/>
          <w:sz w:val="24"/>
          <w:szCs w:val="24"/>
        </w:rPr>
        <w:t>Is there a deadline by which time CEQA must be completed?</w:t>
      </w:r>
    </w:p>
    <w:p w14:paraId="01A82DF8" w14:textId="77777777" w:rsidR="000413FF" w:rsidRPr="005448F6" w:rsidRDefault="000413FF" w:rsidP="000413FF">
      <w:pPr>
        <w:spacing w:after="0" w:line="240" w:lineRule="auto"/>
        <w:ind w:left="720" w:hanging="720"/>
        <w:rPr>
          <w:rFonts w:ascii="Tahoma" w:eastAsia="Times New Roman" w:hAnsi="Tahoma" w:cs="Tahoma"/>
          <w:b/>
          <w:sz w:val="24"/>
          <w:szCs w:val="24"/>
        </w:rPr>
      </w:pPr>
    </w:p>
    <w:p w14:paraId="48A03557" w14:textId="00640879" w:rsidR="002A3472" w:rsidRPr="005448F6" w:rsidRDefault="00610A27"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58</w:t>
      </w:r>
      <w:r w:rsidR="002A3472" w:rsidRPr="005448F6">
        <w:rPr>
          <w:rFonts w:ascii="Tahoma" w:hAnsi="Tahoma" w:cs="Tahoma"/>
          <w:sz w:val="24"/>
          <w:szCs w:val="24"/>
        </w:rPr>
        <w:t>:</w:t>
      </w:r>
      <w:r w:rsidR="002A3472" w:rsidRPr="005448F6">
        <w:rPr>
          <w:rFonts w:ascii="Tahoma" w:hAnsi="Tahoma" w:cs="Tahoma"/>
          <w:sz w:val="24"/>
          <w:szCs w:val="24"/>
        </w:rPr>
        <w:tab/>
      </w:r>
      <w:r w:rsidR="000409C1" w:rsidRPr="005448F6">
        <w:rPr>
          <w:rFonts w:ascii="Tahoma" w:hAnsi="Tahoma" w:cs="Tahoma"/>
          <w:sz w:val="24"/>
          <w:szCs w:val="24"/>
        </w:rPr>
        <w:t xml:space="preserve">The </w:t>
      </w:r>
      <w:r w:rsidR="00FF057E" w:rsidRPr="005448F6">
        <w:rPr>
          <w:rFonts w:ascii="Tahoma" w:hAnsi="Tahoma" w:cs="Tahoma"/>
          <w:sz w:val="24"/>
          <w:szCs w:val="24"/>
        </w:rPr>
        <w:t>C</w:t>
      </w:r>
      <w:r w:rsidR="009D52F0" w:rsidRPr="005448F6">
        <w:rPr>
          <w:rFonts w:ascii="Tahoma" w:hAnsi="Tahoma" w:cs="Tahoma"/>
          <w:sz w:val="24"/>
          <w:szCs w:val="24"/>
        </w:rPr>
        <w:t xml:space="preserve">EQA </w:t>
      </w:r>
      <w:r w:rsidR="000409C1" w:rsidRPr="005448F6">
        <w:rPr>
          <w:rFonts w:ascii="Tahoma" w:hAnsi="Tahoma" w:cs="Tahoma"/>
          <w:sz w:val="24"/>
          <w:szCs w:val="24"/>
        </w:rPr>
        <w:t xml:space="preserve">worksheet must be completed and submitted with the application packet. </w:t>
      </w:r>
      <w:r w:rsidR="00355E8C" w:rsidRPr="00355E8C">
        <w:rPr>
          <w:rFonts w:ascii="Tahoma" w:hAnsi="Tahoma" w:cs="Tahoma"/>
          <w:sz w:val="24"/>
          <w:szCs w:val="24"/>
        </w:rPr>
        <w:t xml:space="preserve">Projects recommended for funding must complete the CEQA process within 6 months of the release date of the NOPA. The CEC reserves the right to </w:t>
      </w:r>
      <w:r w:rsidR="00355E8C" w:rsidRPr="00355E8C">
        <w:rPr>
          <w:rFonts w:ascii="Tahoma" w:hAnsi="Tahoma" w:cs="Tahoma"/>
          <w:sz w:val="24"/>
          <w:szCs w:val="24"/>
        </w:rPr>
        <w:lastRenderedPageBreak/>
        <w:t>cancel proposed awards that do not meet this CEQA compliance deadline and recommend funding for the next, highest-scoring passing proposal submitted under this solicitation.</w:t>
      </w:r>
      <w:r w:rsidR="007151EE">
        <w:rPr>
          <w:rFonts w:ascii="Tahoma" w:hAnsi="Tahoma" w:cs="Tahoma"/>
          <w:sz w:val="24"/>
          <w:szCs w:val="24"/>
        </w:rPr>
        <w:t xml:space="preserve"> Refer to Section III.D.</w:t>
      </w:r>
      <w:r w:rsidR="00AA2DB3">
        <w:rPr>
          <w:rFonts w:ascii="Tahoma" w:hAnsi="Tahoma" w:cs="Tahoma"/>
          <w:sz w:val="24"/>
          <w:szCs w:val="24"/>
        </w:rPr>
        <w:t>10., CEQA Worksheet (Attachment 10).</w:t>
      </w:r>
    </w:p>
    <w:p w14:paraId="72AA6EBB" w14:textId="77777777" w:rsidR="000413FF" w:rsidRPr="005448F6" w:rsidRDefault="000413FF" w:rsidP="000413FF">
      <w:pPr>
        <w:spacing w:after="0"/>
        <w:ind w:left="720" w:hanging="720"/>
        <w:rPr>
          <w:rFonts w:ascii="Tahoma" w:hAnsi="Tahoma" w:cs="Tahoma"/>
          <w:sz w:val="24"/>
          <w:szCs w:val="24"/>
        </w:rPr>
      </w:pPr>
    </w:p>
    <w:p w14:paraId="0257E585" w14:textId="4B20216B" w:rsidR="00DE1157"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59</w:t>
      </w:r>
      <w:r w:rsidR="00E472F0" w:rsidRPr="005448F6">
        <w:rPr>
          <w:rFonts w:ascii="Tahoma" w:eastAsia="Times New Roman" w:hAnsi="Tahoma" w:cs="Tahoma"/>
          <w:b/>
          <w:sz w:val="24"/>
          <w:szCs w:val="24"/>
        </w:rPr>
        <w:t>:</w:t>
      </w:r>
      <w:r w:rsidR="00E472F0" w:rsidRPr="005448F6">
        <w:rPr>
          <w:rFonts w:ascii="Tahoma" w:eastAsia="Times New Roman" w:hAnsi="Tahoma" w:cs="Tahoma"/>
          <w:b/>
          <w:sz w:val="24"/>
          <w:szCs w:val="24"/>
        </w:rPr>
        <w:tab/>
      </w:r>
      <w:r w:rsidR="00EE5457" w:rsidRPr="005448F6">
        <w:rPr>
          <w:rFonts w:ascii="Tahoma" w:eastAsia="Times New Roman" w:hAnsi="Tahoma" w:cs="Tahoma"/>
          <w:b/>
          <w:sz w:val="24"/>
          <w:szCs w:val="24"/>
        </w:rPr>
        <w:t xml:space="preserve">Is there an encumbrance deadline </w:t>
      </w:r>
      <w:r w:rsidR="0024385B">
        <w:rPr>
          <w:rFonts w:ascii="Tahoma" w:eastAsia="Times New Roman" w:hAnsi="Tahoma" w:cs="Tahoma"/>
          <w:b/>
          <w:sz w:val="24"/>
          <w:szCs w:val="24"/>
        </w:rPr>
        <w:t>associated with the</w:t>
      </w:r>
      <w:r w:rsidR="00EE5457" w:rsidRPr="005448F6">
        <w:rPr>
          <w:rFonts w:ascii="Tahoma" w:eastAsia="Times New Roman" w:hAnsi="Tahoma" w:cs="Tahoma"/>
          <w:b/>
          <w:sz w:val="24"/>
          <w:szCs w:val="24"/>
        </w:rPr>
        <w:t xml:space="preserve"> funding</w:t>
      </w:r>
      <w:r w:rsidR="0024385B">
        <w:rPr>
          <w:rFonts w:ascii="Tahoma" w:eastAsia="Times New Roman" w:hAnsi="Tahoma" w:cs="Tahoma"/>
          <w:b/>
          <w:sz w:val="24"/>
          <w:szCs w:val="24"/>
        </w:rPr>
        <w:t xml:space="preserve"> offered </w:t>
      </w:r>
      <w:r w:rsidR="00B87501">
        <w:rPr>
          <w:rFonts w:ascii="Tahoma" w:eastAsia="Times New Roman" w:hAnsi="Tahoma" w:cs="Tahoma"/>
          <w:b/>
          <w:sz w:val="24"/>
          <w:szCs w:val="24"/>
        </w:rPr>
        <w:t>in this solicitation</w:t>
      </w:r>
      <w:r w:rsidR="00EE5457" w:rsidRPr="005448F6">
        <w:rPr>
          <w:rFonts w:ascii="Tahoma" w:eastAsia="Times New Roman" w:hAnsi="Tahoma" w:cs="Tahoma"/>
          <w:b/>
          <w:sz w:val="24"/>
          <w:szCs w:val="24"/>
        </w:rPr>
        <w:t>?</w:t>
      </w:r>
    </w:p>
    <w:p w14:paraId="050DBACB" w14:textId="77777777" w:rsidR="000413FF" w:rsidRPr="005448F6" w:rsidRDefault="000413FF" w:rsidP="000413FF">
      <w:pPr>
        <w:spacing w:after="0" w:line="240" w:lineRule="auto"/>
        <w:ind w:left="720" w:hanging="720"/>
        <w:rPr>
          <w:rFonts w:ascii="Tahoma" w:eastAsia="Times New Roman" w:hAnsi="Tahoma" w:cs="Tahoma"/>
          <w:b/>
          <w:sz w:val="24"/>
          <w:szCs w:val="24"/>
        </w:rPr>
      </w:pPr>
    </w:p>
    <w:p w14:paraId="1DCA0E3B" w14:textId="081A6F97" w:rsidR="00E472F0" w:rsidRPr="005448F6" w:rsidRDefault="00610A27"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59</w:t>
      </w:r>
      <w:r w:rsidR="00E472F0" w:rsidRPr="005448F6">
        <w:rPr>
          <w:rFonts w:ascii="Tahoma" w:hAnsi="Tahoma" w:cs="Tahoma"/>
          <w:sz w:val="24"/>
          <w:szCs w:val="24"/>
        </w:rPr>
        <w:t>:</w:t>
      </w:r>
      <w:r w:rsidR="00E5644C">
        <w:tab/>
      </w:r>
      <w:r w:rsidR="00B87501">
        <w:rPr>
          <w:rFonts w:ascii="Tahoma" w:hAnsi="Tahoma" w:cs="Tahoma"/>
          <w:sz w:val="24"/>
          <w:szCs w:val="24"/>
        </w:rPr>
        <w:t xml:space="preserve">Yes. </w:t>
      </w:r>
      <w:r w:rsidR="00F91096" w:rsidRPr="005448F6">
        <w:rPr>
          <w:rFonts w:ascii="Tahoma" w:hAnsi="Tahoma" w:cs="Tahoma"/>
          <w:sz w:val="24"/>
          <w:szCs w:val="24"/>
        </w:rPr>
        <w:t xml:space="preserve">This solicitation </w:t>
      </w:r>
      <w:r w:rsidR="00F549B4">
        <w:rPr>
          <w:rFonts w:ascii="Tahoma" w:hAnsi="Tahoma" w:cs="Tahoma"/>
          <w:sz w:val="24"/>
          <w:szCs w:val="24"/>
        </w:rPr>
        <w:t xml:space="preserve">is supported by multiple </w:t>
      </w:r>
      <w:r w:rsidR="00F91096" w:rsidRPr="005448F6">
        <w:rPr>
          <w:rFonts w:ascii="Tahoma" w:hAnsi="Tahoma" w:cs="Tahoma"/>
          <w:sz w:val="24"/>
          <w:szCs w:val="24"/>
        </w:rPr>
        <w:t>funding sources</w:t>
      </w:r>
      <w:r w:rsidR="00F549B4">
        <w:rPr>
          <w:rFonts w:ascii="Tahoma" w:hAnsi="Tahoma" w:cs="Tahoma"/>
          <w:sz w:val="24"/>
          <w:szCs w:val="24"/>
        </w:rPr>
        <w:t xml:space="preserve">, each with its own encumbrance deadline. </w:t>
      </w:r>
    </w:p>
    <w:p w14:paraId="50DA8661" w14:textId="77777777" w:rsidR="000413FF" w:rsidRPr="005448F6" w:rsidRDefault="000413FF" w:rsidP="000413FF">
      <w:pPr>
        <w:spacing w:after="0"/>
        <w:ind w:left="720" w:hanging="720"/>
        <w:rPr>
          <w:rFonts w:ascii="Tahoma" w:hAnsi="Tahoma" w:cs="Tahoma"/>
          <w:sz w:val="24"/>
          <w:szCs w:val="24"/>
        </w:rPr>
      </w:pPr>
    </w:p>
    <w:p w14:paraId="5446C800" w14:textId="5337C5B5" w:rsidR="00FE0A51"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6</w:t>
      </w:r>
      <w:r w:rsidRPr="005448F6">
        <w:rPr>
          <w:rFonts w:ascii="Tahoma" w:eastAsia="Times New Roman" w:hAnsi="Tahoma" w:cs="Tahoma"/>
          <w:b/>
          <w:sz w:val="24"/>
          <w:szCs w:val="24"/>
        </w:rPr>
        <w:t>0</w:t>
      </w:r>
      <w:r w:rsidR="003F600C" w:rsidRPr="005448F6">
        <w:rPr>
          <w:rFonts w:ascii="Tahoma" w:eastAsia="Times New Roman" w:hAnsi="Tahoma" w:cs="Tahoma"/>
          <w:b/>
          <w:sz w:val="24"/>
          <w:szCs w:val="24"/>
        </w:rPr>
        <w:t>:</w:t>
      </w:r>
      <w:r w:rsidR="003F600C" w:rsidRPr="005448F6">
        <w:rPr>
          <w:rFonts w:ascii="Tahoma" w:eastAsia="Times New Roman" w:hAnsi="Tahoma" w:cs="Tahoma"/>
          <w:b/>
          <w:sz w:val="24"/>
          <w:szCs w:val="24"/>
        </w:rPr>
        <w:tab/>
      </w:r>
      <w:r w:rsidR="00FE0A51" w:rsidRPr="005448F6">
        <w:rPr>
          <w:rFonts w:ascii="Tahoma" w:eastAsia="Times New Roman" w:hAnsi="Tahoma" w:cs="Tahoma"/>
          <w:b/>
          <w:sz w:val="24"/>
          <w:szCs w:val="24"/>
        </w:rPr>
        <w:t>Does the Executive Summary have a page limit?</w:t>
      </w:r>
    </w:p>
    <w:p w14:paraId="7971BCB9" w14:textId="77777777" w:rsidR="000413FF" w:rsidRPr="005448F6" w:rsidRDefault="000413FF" w:rsidP="000413FF">
      <w:pPr>
        <w:spacing w:after="0" w:line="240" w:lineRule="auto"/>
        <w:ind w:left="720" w:hanging="720"/>
        <w:rPr>
          <w:rFonts w:ascii="Tahoma" w:eastAsia="Times New Roman" w:hAnsi="Tahoma" w:cs="Tahoma"/>
          <w:b/>
          <w:sz w:val="24"/>
          <w:szCs w:val="24"/>
        </w:rPr>
      </w:pPr>
    </w:p>
    <w:p w14:paraId="533A5FAE" w14:textId="4E5CA821" w:rsidR="00983DA8" w:rsidRPr="005448F6" w:rsidRDefault="00610A27"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6</w:t>
      </w:r>
      <w:r w:rsidRPr="005448F6">
        <w:rPr>
          <w:rFonts w:ascii="Tahoma" w:hAnsi="Tahoma" w:cs="Tahoma"/>
          <w:sz w:val="24"/>
          <w:szCs w:val="24"/>
        </w:rPr>
        <w:t>0</w:t>
      </w:r>
      <w:r w:rsidR="00983DA8" w:rsidRPr="005448F6">
        <w:rPr>
          <w:rFonts w:ascii="Tahoma" w:hAnsi="Tahoma" w:cs="Tahoma"/>
          <w:sz w:val="24"/>
          <w:szCs w:val="24"/>
        </w:rPr>
        <w:t>:</w:t>
      </w:r>
      <w:r w:rsidR="00983DA8" w:rsidRPr="005448F6">
        <w:rPr>
          <w:rFonts w:ascii="Tahoma" w:hAnsi="Tahoma" w:cs="Tahoma"/>
          <w:sz w:val="24"/>
          <w:szCs w:val="24"/>
        </w:rPr>
        <w:tab/>
      </w:r>
      <w:r w:rsidR="00304A46">
        <w:rPr>
          <w:rFonts w:ascii="Tahoma" w:hAnsi="Tahoma" w:cs="Tahoma"/>
          <w:sz w:val="24"/>
          <w:szCs w:val="24"/>
        </w:rPr>
        <w:t xml:space="preserve">The </w:t>
      </w:r>
      <w:r w:rsidR="00C47EB9" w:rsidRPr="005448F6">
        <w:rPr>
          <w:rFonts w:ascii="Tahoma" w:hAnsi="Tahoma" w:cs="Tahoma"/>
          <w:sz w:val="24"/>
          <w:szCs w:val="24"/>
        </w:rPr>
        <w:t xml:space="preserve">Executive Summary </w:t>
      </w:r>
      <w:r w:rsidR="00304A46">
        <w:rPr>
          <w:rFonts w:ascii="Tahoma" w:hAnsi="Tahoma" w:cs="Tahoma"/>
          <w:sz w:val="24"/>
          <w:szCs w:val="24"/>
        </w:rPr>
        <w:t>has</w:t>
      </w:r>
      <w:r w:rsidR="00191EAF" w:rsidRPr="005448F6">
        <w:rPr>
          <w:rFonts w:ascii="Tahoma" w:hAnsi="Tahoma" w:cs="Tahoma"/>
          <w:sz w:val="24"/>
          <w:szCs w:val="24"/>
        </w:rPr>
        <w:t xml:space="preserve"> a </w:t>
      </w:r>
      <w:r w:rsidR="004E725F">
        <w:rPr>
          <w:rFonts w:ascii="Tahoma" w:hAnsi="Tahoma" w:cs="Tahoma"/>
          <w:sz w:val="24"/>
          <w:szCs w:val="24"/>
        </w:rPr>
        <w:t>two-</w:t>
      </w:r>
      <w:r w:rsidR="00191EAF" w:rsidRPr="005448F6">
        <w:rPr>
          <w:rFonts w:ascii="Tahoma" w:hAnsi="Tahoma" w:cs="Tahoma"/>
          <w:sz w:val="24"/>
          <w:szCs w:val="24"/>
        </w:rPr>
        <w:t>page limit.</w:t>
      </w:r>
      <w:r w:rsidR="00C47EB9" w:rsidRPr="005448F6">
        <w:rPr>
          <w:rFonts w:ascii="Tahoma" w:hAnsi="Tahoma" w:cs="Tahoma"/>
          <w:sz w:val="24"/>
          <w:szCs w:val="24"/>
        </w:rPr>
        <w:t xml:space="preserve"> </w:t>
      </w:r>
      <w:r w:rsidR="009B3FD0" w:rsidRPr="005448F6">
        <w:rPr>
          <w:rFonts w:ascii="Tahoma" w:hAnsi="Tahoma" w:cs="Tahoma"/>
          <w:sz w:val="24"/>
          <w:szCs w:val="24"/>
        </w:rPr>
        <w:t>Refer to Section III.</w:t>
      </w:r>
      <w:r w:rsidR="004E725F">
        <w:rPr>
          <w:rFonts w:ascii="Tahoma" w:hAnsi="Tahoma" w:cs="Tahoma"/>
          <w:sz w:val="24"/>
          <w:szCs w:val="24"/>
        </w:rPr>
        <w:t>C</w:t>
      </w:r>
      <w:r w:rsidR="009B3FD0" w:rsidRPr="005448F6">
        <w:rPr>
          <w:rFonts w:ascii="Tahoma" w:hAnsi="Tahoma" w:cs="Tahoma"/>
          <w:sz w:val="24"/>
          <w:szCs w:val="24"/>
        </w:rPr>
        <w:t>. of the solicitation manual</w:t>
      </w:r>
      <w:r w:rsidR="006A30C0" w:rsidRPr="005448F6">
        <w:rPr>
          <w:rFonts w:ascii="Tahoma" w:hAnsi="Tahoma" w:cs="Tahoma"/>
          <w:sz w:val="24"/>
          <w:szCs w:val="24"/>
        </w:rPr>
        <w:t>.</w:t>
      </w:r>
    </w:p>
    <w:p w14:paraId="568D2414" w14:textId="77777777" w:rsidR="000413FF" w:rsidRPr="005448F6" w:rsidRDefault="000413FF" w:rsidP="000413FF">
      <w:pPr>
        <w:spacing w:after="0"/>
        <w:ind w:left="720" w:hanging="720"/>
        <w:rPr>
          <w:rFonts w:ascii="Tahoma" w:hAnsi="Tahoma" w:cs="Tahoma"/>
          <w:sz w:val="24"/>
          <w:szCs w:val="24"/>
        </w:rPr>
      </w:pPr>
    </w:p>
    <w:p w14:paraId="3A7396F8" w14:textId="154CBE03" w:rsidR="00FE0A51"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6</w:t>
      </w:r>
      <w:r w:rsidRPr="005448F6">
        <w:rPr>
          <w:rFonts w:ascii="Tahoma" w:eastAsia="Times New Roman" w:hAnsi="Tahoma" w:cs="Tahoma"/>
          <w:b/>
          <w:sz w:val="24"/>
          <w:szCs w:val="24"/>
        </w:rPr>
        <w:t>1</w:t>
      </w:r>
      <w:r w:rsidR="003F600C" w:rsidRPr="005448F6">
        <w:rPr>
          <w:rFonts w:ascii="Tahoma" w:eastAsia="Times New Roman" w:hAnsi="Tahoma" w:cs="Tahoma"/>
          <w:b/>
          <w:sz w:val="24"/>
          <w:szCs w:val="24"/>
        </w:rPr>
        <w:t>:</w:t>
      </w:r>
      <w:r w:rsidR="003F600C" w:rsidRPr="005448F6">
        <w:rPr>
          <w:rFonts w:ascii="Tahoma" w:eastAsia="Times New Roman" w:hAnsi="Tahoma" w:cs="Tahoma"/>
          <w:b/>
          <w:sz w:val="24"/>
          <w:szCs w:val="24"/>
        </w:rPr>
        <w:tab/>
      </w:r>
      <w:r w:rsidR="00FE0A51" w:rsidRPr="005448F6">
        <w:rPr>
          <w:rFonts w:ascii="Tahoma" w:eastAsia="Times New Roman" w:hAnsi="Tahoma" w:cs="Tahoma"/>
          <w:b/>
          <w:sz w:val="24"/>
          <w:szCs w:val="24"/>
        </w:rPr>
        <w:t xml:space="preserve">The Scope of Work template (Attachment 2) requires contractors to “submit an AB 841 Certification that certifies the project has complied with all AB 841 (2020) requirements specified in the Agreement Terms and Conditions or describes why the AB 841 requirements do not apply to the project.” </w:t>
      </w:r>
      <w:r w:rsidR="008E1BF9">
        <w:rPr>
          <w:rFonts w:ascii="Tahoma" w:eastAsia="Times New Roman" w:hAnsi="Tahoma" w:cs="Tahoma"/>
          <w:b/>
          <w:sz w:val="24"/>
          <w:szCs w:val="24"/>
        </w:rPr>
        <w:t>Will the</w:t>
      </w:r>
      <w:r w:rsidR="00FE0A51" w:rsidRPr="005448F6">
        <w:rPr>
          <w:rFonts w:ascii="Tahoma" w:eastAsia="Times New Roman" w:hAnsi="Tahoma" w:cs="Tahoma"/>
          <w:b/>
          <w:sz w:val="24"/>
          <w:szCs w:val="24"/>
        </w:rPr>
        <w:t xml:space="preserve"> CEC provide</w:t>
      </w:r>
      <w:r w:rsidR="008E1BF9">
        <w:rPr>
          <w:rFonts w:ascii="Tahoma" w:eastAsia="Times New Roman" w:hAnsi="Tahoma" w:cs="Tahoma"/>
          <w:b/>
          <w:sz w:val="24"/>
          <w:szCs w:val="24"/>
        </w:rPr>
        <w:t xml:space="preserve"> this certification template</w:t>
      </w:r>
      <w:r w:rsidR="00FE0A51" w:rsidRPr="005448F6">
        <w:rPr>
          <w:rFonts w:ascii="Tahoma" w:eastAsia="Times New Roman" w:hAnsi="Tahoma" w:cs="Tahoma"/>
          <w:b/>
          <w:sz w:val="24"/>
          <w:szCs w:val="24"/>
        </w:rPr>
        <w:t xml:space="preserve">? If not, where </w:t>
      </w:r>
      <w:r w:rsidR="008E1BF9">
        <w:rPr>
          <w:rFonts w:ascii="Tahoma" w:eastAsia="Times New Roman" w:hAnsi="Tahoma" w:cs="Tahoma"/>
          <w:b/>
          <w:sz w:val="24"/>
          <w:szCs w:val="24"/>
        </w:rPr>
        <w:t>can this be accessed for review in advance</w:t>
      </w:r>
      <w:r w:rsidR="00FE0A51" w:rsidRPr="005448F6">
        <w:rPr>
          <w:rFonts w:ascii="Tahoma" w:eastAsia="Times New Roman" w:hAnsi="Tahoma" w:cs="Tahoma"/>
          <w:b/>
          <w:sz w:val="24"/>
          <w:szCs w:val="24"/>
        </w:rPr>
        <w:t>?</w:t>
      </w:r>
    </w:p>
    <w:p w14:paraId="5BCA69A9" w14:textId="77777777" w:rsidR="000413FF" w:rsidRPr="005448F6" w:rsidRDefault="000413FF" w:rsidP="000413FF">
      <w:pPr>
        <w:spacing w:after="0" w:line="240" w:lineRule="auto"/>
        <w:ind w:left="720" w:hanging="720"/>
        <w:rPr>
          <w:rFonts w:ascii="Tahoma" w:eastAsia="Times New Roman" w:hAnsi="Tahoma" w:cs="Tahoma"/>
          <w:b/>
          <w:sz w:val="24"/>
          <w:szCs w:val="24"/>
        </w:rPr>
      </w:pPr>
    </w:p>
    <w:p w14:paraId="5F4ABCF6" w14:textId="405E684C" w:rsidR="00D234EB" w:rsidRPr="005448F6" w:rsidRDefault="00610A27"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6</w:t>
      </w:r>
      <w:r w:rsidRPr="005448F6">
        <w:rPr>
          <w:rFonts w:ascii="Tahoma" w:hAnsi="Tahoma" w:cs="Tahoma"/>
          <w:sz w:val="24"/>
          <w:szCs w:val="24"/>
        </w:rPr>
        <w:t>1</w:t>
      </w:r>
      <w:r w:rsidR="00D234EB" w:rsidRPr="005448F6">
        <w:rPr>
          <w:rFonts w:ascii="Tahoma" w:hAnsi="Tahoma" w:cs="Tahoma"/>
          <w:sz w:val="24"/>
          <w:szCs w:val="24"/>
        </w:rPr>
        <w:t>:</w:t>
      </w:r>
      <w:r w:rsidR="00D234EB" w:rsidRPr="005448F6">
        <w:rPr>
          <w:rFonts w:ascii="Tahoma" w:hAnsi="Tahoma" w:cs="Tahoma"/>
          <w:sz w:val="24"/>
          <w:szCs w:val="24"/>
        </w:rPr>
        <w:tab/>
      </w:r>
      <w:r w:rsidR="008E1BF9">
        <w:rPr>
          <w:rFonts w:ascii="Tahoma" w:hAnsi="Tahoma" w:cs="Tahoma"/>
          <w:sz w:val="24"/>
          <w:szCs w:val="24"/>
        </w:rPr>
        <w:t xml:space="preserve">Yes, the CEC will provide this </w:t>
      </w:r>
      <w:r w:rsidR="00BB737B">
        <w:rPr>
          <w:rFonts w:ascii="Tahoma" w:hAnsi="Tahoma" w:cs="Tahoma"/>
          <w:sz w:val="24"/>
          <w:szCs w:val="24"/>
        </w:rPr>
        <w:t>template</w:t>
      </w:r>
      <w:r w:rsidR="008F1BFF">
        <w:rPr>
          <w:rFonts w:ascii="Tahoma" w:hAnsi="Tahoma" w:cs="Tahoma"/>
          <w:sz w:val="24"/>
          <w:szCs w:val="24"/>
        </w:rPr>
        <w:t xml:space="preserve"> or </w:t>
      </w:r>
      <w:r w:rsidR="00BB737B">
        <w:rPr>
          <w:rFonts w:ascii="Tahoma" w:hAnsi="Tahoma" w:cs="Tahoma"/>
          <w:sz w:val="24"/>
          <w:szCs w:val="24"/>
        </w:rPr>
        <w:t>guidance</w:t>
      </w:r>
      <w:r w:rsidR="00B92DBF">
        <w:rPr>
          <w:rFonts w:ascii="Tahoma" w:hAnsi="Tahoma" w:cs="Tahoma"/>
          <w:sz w:val="24"/>
          <w:szCs w:val="24"/>
        </w:rPr>
        <w:t xml:space="preserve"> once the agreement has been executed</w:t>
      </w:r>
      <w:r w:rsidR="001101C7">
        <w:rPr>
          <w:rFonts w:ascii="Tahoma" w:hAnsi="Tahoma" w:cs="Tahoma"/>
          <w:sz w:val="24"/>
          <w:szCs w:val="24"/>
        </w:rPr>
        <w:t>.</w:t>
      </w:r>
      <w:r w:rsidR="008F1BFF">
        <w:rPr>
          <w:rFonts w:ascii="Tahoma" w:hAnsi="Tahoma" w:cs="Tahoma"/>
          <w:sz w:val="24"/>
          <w:szCs w:val="24"/>
        </w:rPr>
        <w:t xml:space="preserve"> Additional information </w:t>
      </w:r>
      <w:r w:rsidR="00B92DBF">
        <w:rPr>
          <w:rFonts w:ascii="Tahoma" w:hAnsi="Tahoma" w:cs="Tahoma"/>
          <w:sz w:val="24"/>
          <w:szCs w:val="24"/>
        </w:rPr>
        <w:t>related to AB 841 requirements</w:t>
      </w:r>
      <w:r w:rsidR="008F1BFF">
        <w:rPr>
          <w:rFonts w:ascii="Tahoma" w:hAnsi="Tahoma" w:cs="Tahoma"/>
          <w:sz w:val="24"/>
          <w:szCs w:val="24"/>
        </w:rPr>
        <w:t xml:space="preserve"> can be found in Section II.B.5.</w:t>
      </w:r>
    </w:p>
    <w:p w14:paraId="3C8DABC9" w14:textId="77777777" w:rsidR="000413FF" w:rsidRPr="005448F6" w:rsidRDefault="000413FF" w:rsidP="000413FF">
      <w:pPr>
        <w:spacing w:after="0"/>
        <w:ind w:left="720" w:hanging="720"/>
        <w:rPr>
          <w:rFonts w:ascii="Tahoma" w:hAnsi="Tahoma" w:cs="Tahoma"/>
          <w:sz w:val="24"/>
          <w:szCs w:val="24"/>
        </w:rPr>
      </w:pPr>
    </w:p>
    <w:p w14:paraId="7F73824E" w14:textId="06E3EB7E" w:rsidR="00FE0A51"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62</w:t>
      </w:r>
      <w:r w:rsidR="003F600C" w:rsidRPr="005448F6">
        <w:rPr>
          <w:rFonts w:ascii="Tahoma" w:eastAsia="Times New Roman" w:hAnsi="Tahoma" w:cs="Tahoma"/>
          <w:b/>
          <w:sz w:val="24"/>
          <w:szCs w:val="24"/>
        </w:rPr>
        <w:t>:</w:t>
      </w:r>
      <w:r w:rsidR="003F600C">
        <w:tab/>
      </w:r>
      <w:r w:rsidR="00D67CDF">
        <w:rPr>
          <w:rFonts w:ascii="Tahoma" w:eastAsia="Times New Roman" w:hAnsi="Tahoma" w:cs="Tahoma"/>
          <w:b/>
          <w:sz w:val="24"/>
          <w:szCs w:val="24"/>
        </w:rPr>
        <w:t xml:space="preserve">Is a </w:t>
      </w:r>
      <w:r w:rsidR="00FE0A51" w:rsidRPr="005448F6">
        <w:rPr>
          <w:rFonts w:ascii="Tahoma" w:eastAsia="Times New Roman" w:hAnsi="Tahoma" w:cs="Tahoma"/>
          <w:b/>
          <w:sz w:val="24"/>
          <w:szCs w:val="24"/>
        </w:rPr>
        <w:t>hydrogen “position” the same as a “fueling hose”</w:t>
      </w:r>
      <w:r w:rsidR="00D67CDF">
        <w:rPr>
          <w:rFonts w:ascii="Tahoma" w:eastAsia="Times New Roman" w:hAnsi="Tahoma" w:cs="Tahoma"/>
          <w:b/>
          <w:sz w:val="24"/>
          <w:szCs w:val="24"/>
        </w:rPr>
        <w:t>? I</w:t>
      </w:r>
      <w:r w:rsidR="00FE0A51" w:rsidRPr="005448F6">
        <w:rPr>
          <w:rFonts w:ascii="Tahoma" w:eastAsia="Times New Roman" w:hAnsi="Tahoma" w:cs="Tahoma"/>
          <w:b/>
          <w:sz w:val="24"/>
          <w:szCs w:val="24"/>
        </w:rPr>
        <w:t>s</w:t>
      </w:r>
      <w:r w:rsidR="00D67CDF">
        <w:rPr>
          <w:rFonts w:ascii="Tahoma" w:eastAsia="Times New Roman" w:hAnsi="Tahoma" w:cs="Tahoma"/>
          <w:b/>
          <w:sz w:val="24"/>
          <w:szCs w:val="24"/>
        </w:rPr>
        <w:t xml:space="preserve"> it</w:t>
      </w:r>
      <w:r w:rsidR="00FE0A51" w:rsidRPr="005448F6">
        <w:rPr>
          <w:rFonts w:ascii="Tahoma" w:eastAsia="Times New Roman" w:hAnsi="Tahoma" w:cs="Tahoma"/>
          <w:b/>
          <w:sz w:val="24"/>
          <w:szCs w:val="24"/>
        </w:rPr>
        <w:t xml:space="preserve"> possible for a hydrogen dispenser to have two positions</w:t>
      </w:r>
      <w:r w:rsidR="00AF40DE">
        <w:rPr>
          <w:rFonts w:ascii="Tahoma" w:eastAsia="Times New Roman" w:hAnsi="Tahoma" w:cs="Tahoma"/>
          <w:b/>
          <w:sz w:val="24"/>
          <w:szCs w:val="24"/>
        </w:rPr>
        <w:t>?</w:t>
      </w:r>
    </w:p>
    <w:p w14:paraId="68381DA9" w14:textId="77777777" w:rsidR="000413FF" w:rsidRPr="005448F6" w:rsidRDefault="000413FF" w:rsidP="000413FF">
      <w:pPr>
        <w:spacing w:after="0" w:line="240" w:lineRule="auto"/>
        <w:ind w:left="720" w:hanging="720"/>
        <w:rPr>
          <w:rFonts w:ascii="Tahoma" w:eastAsia="Times New Roman" w:hAnsi="Tahoma" w:cs="Tahoma"/>
          <w:b/>
          <w:sz w:val="24"/>
          <w:szCs w:val="24"/>
        </w:rPr>
      </w:pPr>
    </w:p>
    <w:p w14:paraId="606E08AE" w14:textId="0600C9A4" w:rsidR="009706FC" w:rsidRPr="005448F6" w:rsidRDefault="00610A27" w:rsidP="00394395">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62</w:t>
      </w:r>
      <w:r w:rsidR="009706FC" w:rsidRPr="005448F6">
        <w:rPr>
          <w:rFonts w:ascii="Tahoma" w:hAnsi="Tahoma" w:cs="Tahoma"/>
          <w:sz w:val="24"/>
          <w:szCs w:val="24"/>
        </w:rPr>
        <w:t>:</w:t>
      </w:r>
      <w:r w:rsidR="009706FC" w:rsidRPr="005448F6">
        <w:rPr>
          <w:rFonts w:ascii="Tahoma" w:hAnsi="Tahoma" w:cs="Tahoma"/>
          <w:sz w:val="24"/>
          <w:szCs w:val="24"/>
        </w:rPr>
        <w:tab/>
      </w:r>
      <w:r w:rsidR="0077672B" w:rsidRPr="005448F6">
        <w:rPr>
          <w:rFonts w:ascii="Tahoma" w:hAnsi="Tahoma" w:cs="Tahoma"/>
          <w:sz w:val="24"/>
          <w:szCs w:val="24"/>
        </w:rPr>
        <w:t xml:space="preserve">“Position,” “hose,” </w:t>
      </w:r>
      <w:r w:rsidR="0046425F" w:rsidRPr="005448F6">
        <w:rPr>
          <w:rFonts w:ascii="Tahoma" w:hAnsi="Tahoma" w:cs="Tahoma"/>
          <w:sz w:val="24"/>
          <w:szCs w:val="24"/>
        </w:rPr>
        <w:t xml:space="preserve">and </w:t>
      </w:r>
      <w:r w:rsidR="0077672B" w:rsidRPr="005448F6">
        <w:rPr>
          <w:rFonts w:ascii="Tahoma" w:hAnsi="Tahoma" w:cs="Tahoma"/>
          <w:sz w:val="24"/>
          <w:szCs w:val="24"/>
        </w:rPr>
        <w:t xml:space="preserve">“nozzle,” </w:t>
      </w:r>
      <w:r w:rsidR="009346A7" w:rsidRPr="005448F6">
        <w:rPr>
          <w:rFonts w:ascii="Tahoma" w:hAnsi="Tahoma" w:cs="Tahoma"/>
          <w:sz w:val="24"/>
          <w:szCs w:val="24"/>
        </w:rPr>
        <w:t xml:space="preserve">all </w:t>
      </w:r>
      <w:r w:rsidR="00CA3BFE" w:rsidRPr="005448F6">
        <w:rPr>
          <w:rFonts w:ascii="Tahoma" w:hAnsi="Tahoma" w:cs="Tahoma"/>
          <w:sz w:val="24"/>
          <w:szCs w:val="24"/>
        </w:rPr>
        <w:t xml:space="preserve">refer to </w:t>
      </w:r>
      <w:r w:rsidR="0046425F" w:rsidRPr="005448F6">
        <w:rPr>
          <w:rFonts w:ascii="Tahoma" w:hAnsi="Tahoma" w:cs="Tahoma"/>
          <w:sz w:val="24"/>
          <w:szCs w:val="24"/>
        </w:rPr>
        <w:t xml:space="preserve">a </w:t>
      </w:r>
      <w:r w:rsidR="009346A7" w:rsidRPr="005448F6">
        <w:rPr>
          <w:rFonts w:ascii="Tahoma" w:hAnsi="Tahoma" w:cs="Tahoma"/>
          <w:sz w:val="24"/>
          <w:szCs w:val="24"/>
        </w:rPr>
        <w:t xml:space="preserve">singular </w:t>
      </w:r>
      <w:r w:rsidR="0046425F" w:rsidRPr="005448F6">
        <w:rPr>
          <w:rFonts w:ascii="Tahoma" w:hAnsi="Tahoma" w:cs="Tahoma"/>
          <w:sz w:val="24"/>
          <w:szCs w:val="24"/>
        </w:rPr>
        <w:t>pathway</w:t>
      </w:r>
      <w:r w:rsidR="00705D8D" w:rsidRPr="005448F6">
        <w:rPr>
          <w:rFonts w:ascii="Tahoma" w:hAnsi="Tahoma" w:cs="Tahoma"/>
          <w:sz w:val="24"/>
          <w:szCs w:val="24"/>
        </w:rPr>
        <w:t xml:space="preserve"> to refuel one MDHD vehicle at a time. </w:t>
      </w:r>
      <w:r w:rsidR="0046425F" w:rsidRPr="005448F6">
        <w:rPr>
          <w:rFonts w:ascii="Tahoma" w:hAnsi="Tahoma" w:cs="Tahoma"/>
          <w:sz w:val="24"/>
          <w:szCs w:val="24"/>
        </w:rPr>
        <w:t xml:space="preserve">A hydrogen dispenser </w:t>
      </w:r>
      <w:r w:rsidR="00A33C82" w:rsidRPr="005448F6">
        <w:rPr>
          <w:rFonts w:ascii="Tahoma" w:hAnsi="Tahoma" w:cs="Tahoma"/>
          <w:sz w:val="24"/>
          <w:szCs w:val="24"/>
        </w:rPr>
        <w:t>may</w:t>
      </w:r>
      <w:r w:rsidR="0046425F" w:rsidRPr="005448F6">
        <w:rPr>
          <w:rFonts w:ascii="Tahoma" w:hAnsi="Tahoma" w:cs="Tahoma"/>
          <w:sz w:val="24"/>
          <w:szCs w:val="24"/>
        </w:rPr>
        <w:t xml:space="preserve"> </w:t>
      </w:r>
      <w:r w:rsidR="009346A7" w:rsidRPr="005448F6">
        <w:rPr>
          <w:rFonts w:ascii="Tahoma" w:hAnsi="Tahoma" w:cs="Tahoma"/>
          <w:sz w:val="24"/>
          <w:szCs w:val="24"/>
        </w:rPr>
        <w:t>have</w:t>
      </w:r>
      <w:r w:rsidR="0046425F" w:rsidRPr="005448F6">
        <w:rPr>
          <w:rFonts w:ascii="Tahoma" w:hAnsi="Tahoma" w:cs="Tahoma"/>
          <w:sz w:val="24"/>
          <w:szCs w:val="24"/>
        </w:rPr>
        <w:t xml:space="preserve"> </w:t>
      </w:r>
      <w:r w:rsidR="00851B02" w:rsidRPr="005448F6">
        <w:rPr>
          <w:rFonts w:ascii="Tahoma" w:hAnsi="Tahoma" w:cs="Tahoma"/>
          <w:sz w:val="24"/>
          <w:szCs w:val="24"/>
        </w:rPr>
        <w:t>one or more positions</w:t>
      </w:r>
      <w:r w:rsidR="009346A7" w:rsidRPr="005448F6">
        <w:rPr>
          <w:rFonts w:ascii="Tahoma" w:hAnsi="Tahoma" w:cs="Tahoma"/>
          <w:sz w:val="24"/>
          <w:szCs w:val="24"/>
        </w:rPr>
        <w:t>, hoses, or nozzles.</w:t>
      </w:r>
    </w:p>
    <w:p w14:paraId="323844EF" w14:textId="77777777" w:rsidR="000413FF" w:rsidRPr="005448F6" w:rsidRDefault="000413FF" w:rsidP="000413FF">
      <w:pPr>
        <w:spacing w:after="0"/>
        <w:ind w:left="720" w:hanging="720"/>
        <w:rPr>
          <w:rFonts w:ascii="Tahoma" w:hAnsi="Tahoma" w:cs="Tahoma"/>
          <w:sz w:val="24"/>
          <w:szCs w:val="24"/>
        </w:rPr>
      </w:pPr>
    </w:p>
    <w:p w14:paraId="3F34D3AD" w14:textId="620A41FE" w:rsidR="00D6045F" w:rsidRPr="005448F6" w:rsidRDefault="00C40E0F" w:rsidP="00F452FF">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sidR="00610A27">
        <w:rPr>
          <w:rFonts w:ascii="Tahoma" w:eastAsia="Times New Roman" w:hAnsi="Tahoma" w:cs="Tahoma"/>
          <w:b/>
          <w:sz w:val="24"/>
          <w:szCs w:val="24"/>
        </w:rPr>
        <w:t>63</w:t>
      </w:r>
      <w:r w:rsidRPr="005448F6">
        <w:rPr>
          <w:rFonts w:ascii="Tahoma" w:eastAsia="Times New Roman" w:hAnsi="Tahoma" w:cs="Tahoma"/>
          <w:b/>
          <w:sz w:val="24"/>
          <w:szCs w:val="24"/>
        </w:rPr>
        <w:t>:</w:t>
      </w:r>
      <w:r w:rsidRPr="005448F6">
        <w:rPr>
          <w:rFonts w:ascii="Tahoma" w:eastAsia="Times New Roman" w:hAnsi="Tahoma" w:cs="Tahoma"/>
          <w:b/>
          <w:sz w:val="24"/>
          <w:szCs w:val="24"/>
        </w:rPr>
        <w:tab/>
      </w:r>
      <w:r w:rsidR="0011716E">
        <w:rPr>
          <w:rFonts w:ascii="Tahoma" w:eastAsia="Times New Roman" w:hAnsi="Tahoma" w:cs="Tahoma"/>
          <w:b/>
          <w:sz w:val="24"/>
          <w:szCs w:val="24"/>
        </w:rPr>
        <w:t>The solicitation requires that h</w:t>
      </w:r>
      <w:r w:rsidR="00D6045F" w:rsidRPr="005448F6">
        <w:rPr>
          <w:rFonts w:ascii="Tahoma" w:eastAsia="Times New Roman" w:hAnsi="Tahoma" w:cs="Tahoma"/>
          <w:b/>
          <w:sz w:val="24"/>
          <w:szCs w:val="24"/>
        </w:rPr>
        <w:t xml:space="preserve">ardware must conform to </w:t>
      </w:r>
      <w:r w:rsidR="00F750FE" w:rsidRPr="00F750FE">
        <w:rPr>
          <w:rFonts w:ascii="Tahoma" w:eastAsia="Times New Roman" w:hAnsi="Tahoma" w:cs="Tahoma"/>
          <w:b/>
          <w:sz w:val="24"/>
          <w:szCs w:val="24"/>
        </w:rPr>
        <w:t>International Organization for Standardization (ISO)</w:t>
      </w:r>
      <w:r w:rsidR="00D6045F" w:rsidRPr="005448F6">
        <w:rPr>
          <w:rFonts w:ascii="Tahoma" w:eastAsia="Times New Roman" w:hAnsi="Tahoma" w:cs="Tahoma"/>
          <w:b/>
          <w:sz w:val="24"/>
          <w:szCs w:val="24"/>
        </w:rPr>
        <w:t xml:space="preserve"> 15118</w:t>
      </w:r>
      <w:r w:rsidR="0011716E">
        <w:rPr>
          <w:rFonts w:ascii="Tahoma" w:eastAsia="Times New Roman" w:hAnsi="Tahoma" w:cs="Tahoma"/>
          <w:b/>
          <w:sz w:val="24"/>
          <w:szCs w:val="24"/>
        </w:rPr>
        <w:t>-</w:t>
      </w:r>
      <w:r w:rsidR="00D6045F" w:rsidRPr="005448F6">
        <w:rPr>
          <w:rFonts w:ascii="Tahoma" w:eastAsia="Times New Roman" w:hAnsi="Tahoma" w:cs="Tahoma"/>
          <w:b/>
          <w:sz w:val="24"/>
          <w:szCs w:val="24"/>
        </w:rPr>
        <w:t xml:space="preserve">3 and be capable of implementing </w:t>
      </w:r>
      <w:r w:rsidR="000446D6">
        <w:rPr>
          <w:rFonts w:ascii="Tahoma" w:eastAsia="Times New Roman" w:hAnsi="Tahoma" w:cs="Tahoma"/>
          <w:b/>
          <w:sz w:val="24"/>
          <w:szCs w:val="24"/>
        </w:rPr>
        <w:t xml:space="preserve">ISO </w:t>
      </w:r>
      <w:r w:rsidR="00D6045F" w:rsidRPr="005448F6">
        <w:rPr>
          <w:rFonts w:ascii="Tahoma" w:eastAsia="Times New Roman" w:hAnsi="Tahoma" w:cs="Tahoma"/>
          <w:b/>
          <w:sz w:val="24"/>
          <w:szCs w:val="24"/>
        </w:rPr>
        <w:t>15118</w:t>
      </w:r>
      <w:r w:rsidR="0011716E">
        <w:rPr>
          <w:rFonts w:ascii="Tahoma" w:eastAsia="Times New Roman" w:hAnsi="Tahoma" w:cs="Tahoma"/>
          <w:b/>
          <w:sz w:val="24"/>
          <w:szCs w:val="24"/>
        </w:rPr>
        <w:t>-</w:t>
      </w:r>
      <w:r w:rsidR="00D6045F" w:rsidRPr="005448F6">
        <w:rPr>
          <w:rFonts w:ascii="Tahoma" w:eastAsia="Times New Roman" w:hAnsi="Tahoma" w:cs="Tahoma"/>
          <w:b/>
          <w:sz w:val="24"/>
          <w:szCs w:val="24"/>
        </w:rPr>
        <w:t xml:space="preserve">2 &amp; </w:t>
      </w:r>
      <w:r w:rsidR="0011716E">
        <w:rPr>
          <w:rFonts w:ascii="Tahoma" w:eastAsia="Times New Roman" w:hAnsi="Tahoma" w:cs="Tahoma"/>
          <w:b/>
          <w:sz w:val="24"/>
          <w:szCs w:val="24"/>
        </w:rPr>
        <w:t xml:space="preserve">ISO </w:t>
      </w:r>
      <w:r w:rsidR="000446D6">
        <w:rPr>
          <w:rFonts w:ascii="Tahoma" w:eastAsia="Times New Roman" w:hAnsi="Tahoma" w:cs="Tahoma"/>
          <w:b/>
          <w:sz w:val="24"/>
          <w:szCs w:val="24"/>
        </w:rPr>
        <w:t>15118-</w:t>
      </w:r>
      <w:r w:rsidR="00D6045F" w:rsidRPr="005448F6">
        <w:rPr>
          <w:rFonts w:ascii="Tahoma" w:eastAsia="Times New Roman" w:hAnsi="Tahoma" w:cs="Tahoma"/>
          <w:b/>
          <w:sz w:val="24"/>
          <w:szCs w:val="24"/>
        </w:rPr>
        <w:t>20</w:t>
      </w:r>
      <w:r w:rsidR="007C541C">
        <w:rPr>
          <w:rFonts w:ascii="Tahoma" w:eastAsia="Times New Roman" w:hAnsi="Tahoma" w:cs="Tahoma"/>
          <w:b/>
          <w:sz w:val="24"/>
          <w:szCs w:val="24"/>
        </w:rPr>
        <w:t xml:space="preserve"> </w:t>
      </w:r>
      <w:r w:rsidR="00DD6298">
        <w:rPr>
          <w:rFonts w:ascii="Tahoma" w:eastAsia="Times New Roman" w:hAnsi="Tahoma" w:cs="Tahoma"/>
          <w:b/>
          <w:sz w:val="24"/>
          <w:szCs w:val="24"/>
        </w:rPr>
        <w:t xml:space="preserve">with </w:t>
      </w:r>
      <w:r w:rsidR="00DD6298" w:rsidRPr="005448F6">
        <w:rPr>
          <w:rFonts w:ascii="Tahoma" w:eastAsia="Times New Roman" w:hAnsi="Tahoma" w:cs="Tahoma"/>
          <w:b/>
          <w:sz w:val="24"/>
          <w:szCs w:val="24"/>
        </w:rPr>
        <w:t>conformance</w:t>
      </w:r>
      <w:r w:rsidR="00D6045F" w:rsidRPr="005448F6">
        <w:rPr>
          <w:rFonts w:ascii="Tahoma" w:eastAsia="Times New Roman" w:hAnsi="Tahoma" w:cs="Tahoma"/>
          <w:b/>
          <w:sz w:val="24"/>
          <w:szCs w:val="24"/>
        </w:rPr>
        <w:t xml:space="preserve"> testing follow</w:t>
      </w:r>
      <w:r w:rsidR="007C541C">
        <w:rPr>
          <w:rFonts w:ascii="Tahoma" w:eastAsia="Times New Roman" w:hAnsi="Tahoma" w:cs="Tahoma"/>
          <w:b/>
          <w:sz w:val="24"/>
          <w:szCs w:val="24"/>
        </w:rPr>
        <w:t>ing ISO</w:t>
      </w:r>
      <w:r w:rsidR="00D6045F" w:rsidRPr="005448F6">
        <w:rPr>
          <w:rFonts w:ascii="Tahoma" w:eastAsia="Times New Roman" w:hAnsi="Tahoma" w:cs="Tahoma"/>
          <w:b/>
          <w:sz w:val="24"/>
          <w:szCs w:val="24"/>
        </w:rPr>
        <w:t xml:space="preserve"> 151184/ 5 respectively.</w:t>
      </w:r>
      <w:r w:rsidR="007C541C">
        <w:rPr>
          <w:rFonts w:ascii="Tahoma" w:eastAsia="Times New Roman" w:hAnsi="Tahoma" w:cs="Tahoma"/>
          <w:b/>
          <w:sz w:val="24"/>
          <w:szCs w:val="24"/>
        </w:rPr>
        <w:t xml:space="preserve"> </w:t>
      </w:r>
      <w:r w:rsidR="00D6045F" w:rsidRPr="005448F6">
        <w:rPr>
          <w:rFonts w:ascii="Tahoma" w:eastAsia="Times New Roman" w:hAnsi="Tahoma" w:cs="Tahoma"/>
          <w:b/>
          <w:sz w:val="24"/>
          <w:szCs w:val="24"/>
        </w:rPr>
        <w:t xml:space="preserve">Will certification be required to </w:t>
      </w:r>
      <w:r w:rsidR="007C541C">
        <w:rPr>
          <w:rFonts w:ascii="Tahoma" w:eastAsia="Times New Roman" w:hAnsi="Tahoma" w:cs="Tahoma"/>
          <w:b/>
          <w:sz w:val="24"/>
          <w:szCs w:val="24"/>
        </w:rPr>
        <w:t>demonstrate</w:t>
      </w:r>
      <w:r w:rsidR="007C541C" w:rsidRPr="005448F6">
        <w:rPr>
          <w:rFonts w:ascii="Tahoma" w:eastAsia="Times New Roman" w:hAnsi="Tahoma" w:cs="Tahoma"/>
          <w:b/>
          <w:sz w:val="24"/>
          <w:szCs w:val="24"/>
        </w:rPr>
        <w:t xml:space="preserve"> </w:t>
      </w:r>
      <w:r w:rsidR="00D6045F" w:rsidRPr="005448F6">
        <w:rPr>
          <w:rFonts w:ascii="Tahoma" w:eastAsia="Times New Roman" w:hAnsi="Tahoma" w:cs="Tahoma"/>
          <w:b/>
          <w:sz w:val="24"/>
          <w:szCs w:val="24"/>
        </w:rPr>
        <w:t>this?</w:t>
      </w:r>
    </w:p>
    <w:p w14:paraId="62D4D311" w14:textId="77777777" w:rsidR="000413FF" w:rsidRPr="005448F6" w:rsidRDefault="000413FF" w:rsidP="000413FF">
      <w:pPr>
        <w:spacing w:after="0" w:line="240" w:lineRule="auto"/>
        <w:ind w:left="720"/>
        <w:rPr>
          <w:rFonts w:ascii="Tahoma" w:eastAsia="Times New Roman" w:hAnsi="Tahoma" w:cs="Tahoma"/>
          <w:b/>
          <w:sz w:val="24"/>
          <w:szCs w:val="24"/>
        </w:rPr>
      </w:pPr>
    </w:p>
    <w:p w14:paraId="3C678276" w14:textId="68B864CC" w:rsidR="00C6316E" w:rsidRPr="005448F6" w:rsidRDefault="00F8746F" w:rsidP="00394395">
      <w:pPr>
        <w:spacing w:after="0"/>
        <w:ind w:left="720" w:hanging="720"/>
        <w:rPr>
          <w:rFonts w:ascii="Tahoma" w:hAnsi="Tahoma" w:cs="Tahoma"/>
          <w:sz w:val="24"/>
          <w:szCs w:val="24"/>
        </w:rPr>
      </w:pPr>
      <w:r w:rsidRPr="005448F6">
        <w:rPr>
          <w:rFonts w:ascii="Tahoma" w:hAnsi="Tahoma" w:cs="Tahoma"/>
          <w:sz w:val="24"/>
          <w:szCs w:val="24"/>
        </w:rPr>
        <w:t>A</w:t>
      </w:r>
      <w:r w:rsidR="00610A27">
        <w:rPr>
          <w:rFonts w:ascii="Tahoma" w:hAnsi="Tahoma" w:cs="Tahoma"/>
          <w:sz w:val="24"/>
          <w:szCs w:val="24"/>
        </w:rPr>
        <w:t>63</w:t>
      </w:r>
      <w:r w:rsidRPr="005448F6">
        <w:rPr>
          <w:rFonts w:ascii="Tahoma" w:hAnsi="Tahoma" w:cs="Tahoma"/>
          <w:sz w:val="24"/>
          <w:szCs w:val="24"/>
        </w:rPr>
        <w:t>:</w:t>
      </w:r>
      <w:r>
        <w:tab/>
      </w:r>
      <w:r w:rsidR="00DF3207" w:rsidRPr="00CA1EAE">
        <w:rPr>
          <w:rFonts w:ascii="Tahoma" w:hAnsi="Tahoma" w:cs="Tahoma"/>
          <w:sz w:val="24"/>
          <w:szCs w:val="24"/>
        </w:rPr>
        <w:t xml:space="preserve">At the time of this </w:t>
      </w:r>
      <w:r w:rsidR="00A807E3" w:rsidRPr="00CA1EAE">
        <w:rPr>
          <w:rFonts w:ascii="Tahoma" w:hAnsi="Tahoma" w:cs="Tahoma"/>
          <w:sz w:val="24"/>
          <w:szCs w:val="24"/>
        </w:rPr>
        <w:t xml:space="preserve">writing, </w:t>
      </w:r>
      <w:r w:rsidR="007E25F4">
        <w:rPr>
          <w:rFonts w:ascii="Tahoma" w:hAnsi="Tahoma" w:cs="Tahoma"/>
          <w:sz w:val="24"/>
          <w:szCs w:val="24"/>
        </w:rPr>
        <w:t>a</w:t>
      </w:r>
      <w:r w:rsidR="00A807E3" w:rsidRPr="00CA1EAE">
        <w:rPr>
          <w:rFonts w:ascii="Tahoma" w:hAnsi="Tahoma" w:cs="Tahoma"/>
          <w:sz w:val="24"/>
          <w:szCs w:val="24"/>
        </w:rPr>
        <w:t xml:space="preserve"> certification test</w:t>
      </w:r>
      <w:r w:rsidR="00172FC5" w:rsidRPr="00CA1EAE">
        <w:rPr>
          <w:rFonts w:ascii="Tahoma" w:hAnsi="Tahoma" w:cs="Tahoma"/>
          <w:sz w:val="24"/>
          <w:szCs w:val="24"/>
        </w:rPr>
        <w:t xml:space="preserve"> tool is not yet available. </w:t>
      </w:r>
      <w:r w:rsidR="002758CD" w:rsidRPr="005448F6">
        <w:rPr>
          <w:rFonts w:ascii="Tahoma" w:hAnsi="Tahoma" w:cs="Tahoma"/>
          <w:sz w:val="24"/>
          <w:szCs w:val="24"/>
        </w:rPr>
        <w:t xml:space="preserve">The charger manufacturer must </w:t>
      </w:r>
      <w:r w:rsidR="00172FC5">
        <w:rPr>
          <w:rFonts w:ascii="Tahoma" w:hAnsi="Tahoma" w:cs="Tahoma"/>
          <w:sz w:val="24"/>
          <w:szCs w:val="24"/>
        </w:rPr>
        <w:t>self-</w:t>
      </w:r>
      <w:r w:rsidR="002758CD" w:rsidRPr="005448F6">
        <w:rPr>
          <w:rFonts w:ascii="Tahoma" w:hAnsi="Tahoma" w:cs="Tahoma"/>
          <w:sz w:val="24"/>
          <w:szCs w:val="24"/>
        </w:rPr>
        <w:t>attest that the charger conforms to ISO 15118-3 and is capable of implementing ISO 15118-2 and ISO 15118-20.</w:t>
      </w:r>
    </w:p>
    <w:p w14:paraId="2BCE92B3" w14:textId="77777777" w:rsidR="00CF1250" w:rsidRPr="005448F6" w:rsidRDefault="00CF1250" w:rsidP="00CF1250">
      <w:pPr>
        <w:spacing w:after="0"/>
        <w:ind w:left="720" w:hanging="720"/>
        <w:rPr>
          <w:rFonts w:ascii="Tahoma" w:hAnsi="Tahoma" w:cs="Tahoma"/>
          <w:sz w:val="24"/>
          <w:szCs w:val="24"/>
        </w:rPr>
      </w:pPr>
    </w:p>
    <w:p w14:paraId="46C7EBC6" w14:textId="24A15567" w:rsidR="00D6045F" w:rsidRPr="005448F6" w:rsidRDefault="00D6045F" w:rsidP="00F452FF">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sidR="00610A27">
        <w:rPr>
          <w:rFonts w:ascii="Tahoma" w:eastAsia="Times New Roman" w:hAnsi="Tahoma" w:cs="Tahoma"/>
          <w:b/>
          <w:sz w:val="24"/>
          <w:szCs w:val="24"/>
        </w:rPr>
        <w:t>64</w:t>
      </w:r>
      <w:r w:rsidRPr="005448F6">
        <w:rPr>
          <w:rFonts w:ascii="Tahoma" w:eastAsia="Times New Roman" w:hAnsi="Tahoma" w:cs="Tahoma"/>
          <w:b/>
          <w:sz w:val="24"/>
          <w:szCs w:val="24"/>
        </w:rPr>
        <w:t>:</w:t>
      </w:r>
      <w:r w:rsidRPr="005448F6">
        <w:rPr>
          <w:rFonts w:ascii="Tahoma" w:eastAsia="Times New Roman" w:hAnsi="Tahoma" w:cs="Tahoma"/>
          <w:b/>
          <w:sz w:val="24"/>
          <w:szCs w:val="24"/>
        </w:rPr>
        <w:tab/>
      </w:r>
      <w:r w:rsidR="007C541C">
        <w:rPr>
          <w:rFonts w:ascii="Tahoma" w:eastAsia="Times New Roman" w:hAnsi="Tahoma" w:cs="Tahoma"/>
          <w:b/>
          <w:sz w:val="24"/>
          <w:szCs w:val="24"/>
        </w:rPr>
        <w:t>The solicitation requires that c</w:t>
      </w:r>
      <w:r w:rsidRPr="005448F6">
        <w:rPr>
          <w:rFonts w:ascii="Tahoma" w:eastAsia="Times New Roman" w:hAnsi="Tahoma" w:cs="Tahoma"/>
          <w:b/>
          <w:sz w:val="24"/>
          <w:szCs w:val="24"/>
        </w:rPr>
        <w:t xml:space="preserve">hargers must accept open standard price or load control signals (via </w:t>
      </w:r>
      <w:r w:rsidR="003A6AB7" w:rsidRPr="003A6AB7">
        <w:rPr>
          <w:rFonts w:ascii="Tahoma" w:eastAsia="Times New Roman" w:hAnsi="Tahoma" w:cs="Tahoma"/>
          <w:b/>
          <w:sz w:val="24"/>
          <w:szCs w:val="24"/>
        </w:rPr>
        <w:t xml:space="preserve">Open Charge Point Protocol (OCPP) </w:t>
      </w:r>
      <w:r w:rsidRPr="005448F6">
        <w:rPr>
          <w:rFonts w:ascii="Tahoma" w:eastAsia="Times New Roman" w:hAnsi="Tahoma" w:cs="Tahoma"/>
          <w:b/>
          <w:sz w:val="24"/>
          <w:szCs w:val="24"/>
        </w:rPr>
        <w:t>2.0.1 or other network communication) and automatically adjust load.</w:t>
      </w:r>
      <w:r w:rsidR="007C541C">
        <w:rPr>
          <w:rFonts w:ascii="Tahoma" w:eastAsia="Times New Roman" w:hAnsi="Tahoma" w:cs="Tahoma"/>
          <w:b/>
          <w:sz w:val="24"/>
          <w:szCs w:val="24"/>
        </w:rPr>
        <w:t xml:space="preserve"> </w:t>
      </w:r>
      <w:r w:rsidRPr="005448F6">
        <w:rPr>
          <w:rFonts w:ascii="Tahoma" w:eastAsia="Times New Roman" w:hAnsi="Tahoma" w:cs="Tahoma"/>
          <w:b/>
          <w:sz w:val="24"/>
          <w:szCs w:val="24"/>
        </w:rPr>
        <w:t>Who will be setting price and load-control from OCPP in this case?</w:t>
      </w:r>
    </w:p>
    <w:p w14:paraId="1566B56B" w14:textId="77777777" w:rsidR="00CF1250" w:rsidRPr="005448F6" w:rsidRDefault="00CF1250" w:rsidP="00CF1250">
      <w:pPr>
        <w:spacing w:after="0" w:line="240" w:lineRule="auto"/>
        <w:ind w:left="720"/>
        <w:rPr>
          <w:rFonts w:ascii="Tahoma" w:eastAsia="Times New Roman" w:hAnsi="Tahoma" w:cs="Tahoma"/>
          <w:b/>
          <w:sz w:val="24"/>
          <w:szCs w:val="24"/>
        </w:rPr>
      </w:pPr>
    </w:p>
    <w:p w14:paraId="7FFDCF29" w14:textId="4FF3EECA" w:rsidR="00511A83" w:rsidRPr="005448F6" w:rsidRDefault="00511A83" w:rsidP="00394395">
      <w:pPr>
        <w:spacing w:after="0"/>
        <w:ind w:left="720" w:hanging="720"/>
        <w:rPr>
          <w:rFonts w:ascii="Tahoma" w:hAnsi="Tahoma" w:cs="Tahoma"/>
          <w:sz w:val="24"/>
          <w:szCs w:val="24"/>
        </w:rPr>
      </w:pPr>
      <w:r w:rsidRPr="005448F6">
        <w:rPr>
          <w:rFonts w:ascii="Tahoma" w:hAnsi="Tahoma" w:cs="Tahoma"/>
          <w:sz w:val="24"/>
          <w:szCs w:val="24"/>
        </w:rPr>
        <w:t>A</w:t>
      </w:r>
      <w:r w:rsidR="00610A27">
        <w:rPr>
          <w:rFonts w:ascii="Tahoma" w:hAnsi="Tahoma" w:cs="Tahoma"/>
          <w:sz w:val="24"/>
          <w:szCs w:val="24"/>
        </w:rPr>
        <w:t>64</w:t>
      </w:r>
      <w:r w:rsidRPr="005448F6">
        <w:rPr>
          <w:rFonts w:ascii="Tahoma" w:hAnsi="Tahoma" w:cs="Tahoma"/>
          <w:sz w:val="24"/>
          <w:szCs w:val="24"/>
        </w:rPr>
        <w:t>:</w:t>
      </w:r>
      <w:r w:rsidRPr="005448F6">
        <w:rPr>
          <w:rFonts w:ascii="Tahoma" w:hAnsi="Tahoma" w:cs="Tahoma"/>
          <w:sz w:val="24"/>
          <w:szCs w:val="24"/>
        </w:rPr>
        <w:tab/>
      </w:r>
      <w:r w:rsidR="00C3474D" w:rsidRPr="005448F6">
        <w:rPr>
          <w:rFonts w:ascii="Tahoma" w:hAnsi="Tahoma" w:cs="Tahoma"/>
          <w:sz w:val="24"/>
          <w:szCs w:val="24"/>
        </w:rPr>
        <w:t>The charger must be capable of receiving prices and other grid signals to inform automated load adjustment and management when appropriate. The charging station operator may utilize OCPP or similar protocols for such communication.</w:t>
      </w:r>
    </w:p>
    <w:p w14:paraId="2B10D1AE" w14:textId="77777777" w:rsidR="00CF1250" w:rsidRPr="005448F6" w:rsidRDefault="00CF1250" w:rsidP="00CF1250">
      <w:pPr>
        <w:spacing w:after="0"/>
        <w:ind w:left="720" w:hanging="720"/>
        <w:rPr>
          <w:rFonts w:ascii="Tahoma" w:hAnsi="Tahoma" w:cs="Tahoma"/>
          <w:sz w:val="24"/>
          <w:szCs w:val="24"/>
        </w:rPr>
      </w:pPr>
    </w:p>
    <w:p w14:paraId="4C90A2D8" w14:textId="4E0F3B7E" w:rsidR="00C40E0F" w:rsidRPr="005448F6" w:rsidRDefault="00D6045F" w:rsidP="00FE2B62">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sidR="00610A27">
        <w:rPr>
          <w:rFonts w:ascii="Tahoma" w:eastAsia="Times New Roman" w:hAnsi="Tahoma" w:cs="Tahoma"/>
          <w:b/>
          <w:sz w:val="24"/>
          <w:szCs w:val="24"/>
        </w:rPr>
        <w:t>65</w:t>
      </w:r>
      <w:r w:rsidRPr="005448F6">
        <w:rPr>
          <w:rFonts w:ascii="Tahoma" w:eastAsia="Times New Roman" w:hAnsi="Tahoma" w:cs="Tahoma"/>
          <w:b/>
          <w:sz w:val="24"/>
          <w:szCs w:val="24"/>
        </w:rPr>
        <w:t>:</w:t>
      </w:r>
      <w:r w:rsidRPr="005448F6">
        <w:rPr>
          <w:rFonts w:ascii="Tahoma" w:eastAsia="Times New Roman" w:hAnsi="Tahoma" w:cs="Tahoma"/>
          <w:b/>
          <w:sz w:val="24"/>
          <w:szCs w:val="24"/>
        </w:rPr>
        <w:tab/>
      </w:r>
      <w:r w:rsidR="00203949">
        <w:rPr>
          <w:rFonts w:ascii="Tahoma" w:eastAsia="Times New Roman" w:hAnsi="Tahoma" w:cs="Tahoma"/>
          <w:b/>
          <w:sz w:val="24"/>
          <w:szCs w:val="24"/>
        </w:rPr>
        <w:t>The solicitation requires that the c</w:t>
      </w:r>
      <w:r w:rsidRPr="005448F6">
        <w:rPr>
          <w:rFonts w:ascii="Tahoma" w:eastAsia="Times New Roman" w:hAnsi="Tahoma" w:cs="Tahoma"/>
          <w:b/>
          <w:sz w:val="24"/>
          <w:szCs w:val="24"/>
        </w:rPr>
        <w:t>harging port must conform to OCPP 2.0.1 or later, and the charging port’s networking software must connect to a central management system using OCPP 2.0.1 for the purposes of charger management and data reporting, including for reliability data reporting requirements</w:t>
      </w:r>
      <w:r w:rsidR="00203949">
        <w:rPr>
          <w:rFonts w:ascii="Tahoma" w:eastAsia="Times New Roman" w:hAnsi="Tahoma" w:cs="Tahoma"/>
          <w:b/>
          <w:sz w:val="24"/>
          <w:szCs w:val="24"/>
        </w:rPr>
        <w:t xml:space="preserve">. </w:t>
      </w:r>
      <w:r w:rsidR="005D36C9">
        <w:rPr>
          <w:rFonts w:ascii="Tahoma" w:eastAsia="Times New Roman" w:hAnsi="Tahoma" w:cs="Tahoma"/>
          <w:b/>
          <w:sz w:val="24"/>
          <w:szCs w:val="24"/>
        </w:rPr>
        <w:t>Our preferred charging</w:t>
      </w:r>
      <w:r w:rsidR="005D36C9" w:rsidRPr="005448F6">
        <w:rPr>
          <w:rFonts w:ascii="Tahoma" w:eastAsia="Times New Roman" w:hAnsi="Tahoma" w:cs="Tahoma"/>
          <w:b/>
          <w:sz w:val="24"/>
          <w:szCs w:val="24"/>
        </w:rPr>
        <w:t xml:space="preserve"> </w:t>
      </w:r>
      <w:r w:rsidRPr="005448F6">
        <w:rPr>
          <w:rFonts w:ascii="Tahoma" w:eastAsia="Times New Roman" w:hAnsi="Tahoma" w:cs="Tahoma"/>
          <w:b/>
          <w:sz w:val="24"/>
          <w:szCs w:val="24"/>
        </w:rPr>
        <w:t xml:space="preserve">equipment is certified for OCPP 2.0.1 </w:t>
      </w:r>
      <w:r w:rsidR="005D36C9">
        <w:rPr>
          <w:rFonts w:ascii="Tahoma" w:eastAsia="Times New Roman" w:hAnsi="Tahoma" w:cs="Tahoma"/>
          <w:b/>
          <w:sz w:val="24"/>
          <w:szCs w:val="24"/>
        </w:rPr>
        <w:t>but</w:t>
      </w:r>
      <w:r w:rsidR="005D36C9" w:rsidRPr="005448F6">
        <w:rPr>
          <w:rFonts w:ascii="Tahoma" w:eastAsia="Times New Roman" w:hAnsi="Tahoma" w:cs="Tahoma"/>
          <w:b/>
          <w:sz w:val="24"/>
          <w:szCs w:val="24"/>
        </w:rPr>
        <w:t xml:space="preserve"> </w:t>
      </w:r>
      <w:r w:rsidRPr="005448F6">
        <w:rPr>
          <w:rFonts w:ascii="Tahoma" w:eastAsia="Times New Roman" w:hAnsi="Tahoma" w:cs="Tahoma"/>
          <w:b/>
          <w:sz w:val="24"/>
          <w:szCs w:val="24"/>
        </w:rPr>
        <w:t xml:space="preserve">utilizes internal software for </w:t>
      </w:r>
      <w:r w:rsidR="005D36C9">
        <w:rPr>
          <w:rFonts w:ascii="Tahoma" w:eastAsia="Times New Roman" w:hAnsi="Tahoma" w:cs="Tahoma"/>
          <w:b/>
          <w:sz w:val="24"/>
          <w:szCs w:val="24"/>
        </w:rPr>
        <w:t>its charging</w:t>
      </w:r>
      <w:r w:rsidRPr="005448F6">
        <w:rPr>
          <w:rFonts w:ascii="Tahoma" w:eastAsia="Times New Roman" w:hAnsi="Tahoma" w:cs="Tahoma"/>
          <w:b/>
          <w:sz w:val="24"/>
          <w:szCs w:val="24"/>
        </w:rPr>
        <w:t xml:space="preserve"> network. Does this requirement mean </w:t>
      </w:r>
      <w:r w:rsidR="005D36C9">
        <w:rPr>
          <w:rFonts w:ascii="Tahoma" w:eastAsia="Times New Roman" w:hAnsi="Tahoma" w:cs="Tahoma"/>
          <w:b/>
          <w:sz w:val="24"/>
          <w:szCs w:val="24"/>
        </w:rPr>
        <w:t>that we</w:t>
      </w:r>
      <w:r w:rsidR="005D36C9" w:rsidRPr="005448F6">
        <w:rPr>
          <w:rFonts w:ascii="Tahoma" w:eastAsia="Times New Roman" w:hAnsi="Tahoma" w:cs="Tahoma"/>
          <w:b/>
          <w:sz w:val="24"/>
          <w:szCs w:val="24"/>
        </w:rPr>
        <w:t xml:space="preserve"> </w:t>
      </w:r>
      <w:r w:rsidRPr="005448F6">
        <w:rPr>
          <w:rFonts w:ascii="Tahoma" w:eastAsia="Times New Roman" w:hAnsi="Tahoma" w:cs="Tahoma"/>
          <w:b/>
          <w:sz w:val="24"/>
          <w:szCs w:val="24"/>
        </w:rPr>
        <w:t xml:space="preserve">would need to hire a third party </w:t>
      </w:r>
      <w:r w:rsidR="008B49EA" w:rsidRPr="008B49EA">
        <w:rPr>
          <w:rFonts w:ascii="Tahoma" w:eastAsia="Times New Roman" w:hAnsi="Tahoma" w:cs="Tahoma"/>
          <w:b/>
          <w:sz w:val="24"/>
          <w:szCs w:val="24"/>
        </w:rPr>
        <w:t>charging station management system</w:t>
      </w:r>
      <w:r w:rsidRPr="005448F6">
        <w:rPr>
          <w:rFonts w:ascii="Tahoma" w:eastAsia="Times New Roman" w:hAnsi="Tahoma" w:cs="Tahoma"/>
          <w:b/>
          <w:sz w:val="24"/>
          <w:szCs w:val="24"/>
        </w:rPr>
        <w:t xml:space="preserve">? </w:t>
      </w:r>
    </w:p>
    <w:p w14:paraId="4E9A554D" w14:textId="77777777" w:rsidR="00CF1250" w:rsidRPr="005448F6" w:rsidRDefault="00CF1250" w:rsidP="00CF1250">
      <w:pPr>
        <w:spacing w:after="0" w:line="240" w:lineRule="auto"/>
        <w:ind w:left="720"/>
        <w:rPr>
          <w:rFonts w:ascii="Tahoma" w:eastAsia="Times New Roman" w:hAnsi="Tahoma" w:cs="Tahoma"/>
          <w:b/>
          <w:sz w:val="24"/>
          <w:szCs w:val="24"/>
        </w:rPr>
      </w:pPr>
    </w:p>
    <w:p w14:paraId="23D019BF" w14:textId="73DDA99D" w:rsidR="0025782C" w:rsidRPr="005448F6" w:rsidRDefault="00C63160" w:rsidP="00CF1250">
      <w:pPr>
        <w:spacing w:after="0"/>
        <w:ind w:left="720" w:hanging="720"/>
        <w:rPr>
          <w:rFonts w:ascii="Tahoma" w:hAnsi="Tahoma" w:cs="Tahoma"/>
          <w:sz w:val="24"/>
          <w:szCs w:val="24"/>
        </w:rPr>
      </w:pPr>
      <w:r w:rsidRPr="005448F6">
        <w:rPr>
          <w:rFonts w:ascii="Tahoma" w:hAnsi="Tahoma" w:cs="Tahoma"/>
          <w:sz w:val="24"/>
          <w:szCs w:val="24"/>
        </w:rPr>
        <w:t>A</w:t>
      </w:r>
      <w:r w:rsidR="00610A27">
        <w:rPr>
          <w:rFonts w:ascii="Tahoma" w:hAnsi="Tahoma" w:cs="Tahoma"/>
          <w:sz w:val="24"/>
          <w:szCs w:val="24"/>
        </w:rPr>
        <w:t>65</w:t>
      </w:r>
      <w:r w:rsidRPr="005448F6">
        <w:rPr>
          <w:rFonts w:ascii="Tahoma" w:hAnsi="Tahoma" w:cs="Tahoma"/>
          <w:sz w:val="24"/>
          <w:szCs w:val="24"/>
        </w:rPr>
        <w:t>:</w:t>
      </w:r>
      <w:r>
        <w:tab/>
      </w:r>
      <w:r w:rsidR="0025782C" w:rsidRPr="005448F6">
        <w:rPr>
          <w:rFonts w:ascii="Tahoma" w:hAnsi="Tahoma" w:cs="Tahoma"/>
          <w:sz w:val="24"/>
          <w:szCs w:val="24"/>
        </w:rPr>
        <w:t>OCPP</w:t>
      </w:r>
      <w:r w:rsidR="002C7718" w:rsidRPr="005448F6">
        <w:rPr>
          <w:rFonts w:ascii="Tahoma" w:hAnsi="Tahoma" w:cs="Tahoma"/>
          <w:sz w:val="24"/>
          <w:szCs w:val="24"/>
        </w:rPr>
        <w:t xml:space="preserve"> mu</w:t>
      </w:r>
      <w:r w:rsidR="009C60A5" w:rsidRPr="005448F6">
        <w:rPr>
          <w:rFonts w:ascii="Tahoma" w:hAnsi="Tahoma" w:cs="Tahoma"/>
          <w:sz w:val="24"/>
          <w:szCs w:val="24"/>
        </w:rPr>
        <w:t>st</w:t>
      </w:r>
      <w:r w:rsidR="002C7718" w:rsidRPr="005448F6">
        <w:rPr>
          <w:rFonts w:ascii="Tahoma" w:hAnsi="Tahoma" w:cs="Tahoma"/>
          <w:sz w:val="24"/>
          <w:szCs w:val="24"/>
        </w:rPr>
        <w:t xml:space="preserve"> be used</w:t>
      </w:r>
      <w:r w:rsidR="0025782C" w:rsidRPr="005448F6">
        <w:rPr>
          <w:rFonts w:ascii="Tahoma" w:hAnsi="Tahoma" w:cs="Tahoma"/>
          <w:sz w:val="24"/>
          <w:szCs w:val="24"/>
        </w:rPr>
        <w:t xml:space="preserve"> to communicate with the charger for reliability related messages</w:t>
      </w:r>
      <w:r w:rsidR="00A52408" w:rsidRPr="005448F6">
        <w:rPr>
          <w:rFonts w:ascii="Tahoma" w:hAnsi="Tahoma" w:cs="Tahoma"/>
          <w:sz w:val="24"/>
          <w:szCs w:val="24"/>
        </w:rPr>
        <w:t>.</w:t>
      </w:r>
      <w:r w:rsidR="0025782C" w:rsidRPr="005448F6">
        <w:rPr>
          <w:rFonts w:ascii="Tahoma" w:hAnsi="Tahoma" w:cs="Tahoma"/>
          <w:sz w:val="24"/>
          <w:szCs w:val="24"/>
        </w:rPr>
        <w:t xml:space="preserve"> </w:t>
      </w:r>
      <w:r w:rsidR="002C7718" w:rsidRPr="005448F6">
        <w:rPr>
          <w:rFonts w:ascii="Tahoma" w:hAnsi="Tahoma" w:cs="Tahoma"/>
          <w:sz w:val="24"/>
          <w:szCs w:val="24"/>
        </w:rPr>
        <w:t>O</w:t>
      </w:r>
      <w:r w:rsidR="0025782C" w:rsidRPr="005448F6">
        <w:rPr>
          <w:rFonts w:ascii="Tahoma" w:hAnsi="Tahoma" w:cs="Tahoma"/>
          <w:sz w:val="24"/>
          <w:szCs w:val="24"/>
        </w:rPr>
        <w:t xml:space="preserve">ther communications (proprietary or otherwise) </w:t>
      </w:r>
      <w:r w:rsidR="002C7718" w:rsidRPr="005448F6">
        <w:rPr>
          <w:rFonts w:ascii="Tahoma" w:hAnsi="Tahoma" w:cs="Tahoma"/>
          <w:sz w:val="24"/>
          <w:szCs w:val="24"/>
        </w:rPr>
        <w:t xml:space="preserve">may be used </w:t>
      </w:r>
      <w:r w:rsidR="0025782C" w:rsidRPr="005448F6">
        <w:rPr>
          <w:rFonts w:ascii="Tahoma" w:hAnsi="Tahoma" w:cs="Tahoma"/>
          <w:sz w:val="24"/>
          <w:szCs w:val="24"/>
        </w:rPr>
        <w:t>in parallel with OCPP</w:t>
      </w:r>
      <w:r w:rsidR="00374808" w:rsidRPr="005448F6">
        <w:rPr>
          <w:rFonts w:ascii="Tahoma" w:hAnsi="Tahoma" w:cs="Tahoma"/>
          <w:sz w:val="24"/>
          <w:szCs w:val="24"/>
        </w:rPr>
        <w:t>,</w:t>
      </w:r>
      <w:r w:rsidR="0025782C" w:rsidRPr="005448F6">
        <w:rPr>
          <w:rFonts w:ascii="Tahoma" w:hAnsi="Tahoma" w:cs="Tahoma"/>
          <w:sz w:val="24"/>
          <w:szCs w:val="24"/>
        </w:rPr>
        <w:t xml:space="preserve"> but the reliability related messages</w:t>
      </w:r>
      <w:r w:rsidR="002C7718" w:rsidRPr="005448F6">
        <w:rPr>
          <w:rFonts w:ascii="Tahoma" w:hAnsi="Tahoma" w:cs="Tahoma"/>
          <w:sz w:val="24"/>
          <w:szCs w:val="24"/>
        </w:rPr>
        <w:t xml:space="preserve"> must be</w:t>
      </w:r>
      <w:r w:rsidR="0025782C" w:rsidRPr="005448F6">
        <w:rPr>
          <w:rFonts w:ascii="Tahoma" w:hAnsi="Tahoma" w:cs="Tahoma"/>
          <w:sz w:val="24"/>
          <w:szCs w:val="24"/>
        </w:rPr>
        <w:t xml:space="preserve"> communicated as specified in OCPP 2.0.1 to be able to compare performance of </w:t>
      </w:r>
      <w:r w:rsidR="009C60A5" w:rsidRPr="005448F6">
        <w:rPr>
          <w:rFonts w:ascii="Tahoma" w:hAnsi="Tahoma" w:cs="Tahoma"/>
          <w:sz w:val="24"/>
          <w:szCs w:val="24"/>
        </w:rPr>
        <w:t xml:space="preserve">all </w:t>
      </w:r>
      <w:r w:rsidR="0025782C" w:rsidRPr="005448F6">
        <w:rPr>
          <w:rFonts w:ascii="Tahoma" w:hAnsi="Tahoma" w:cs="Tahoma"/>
          <w:sz w:val="24"/>
          <w:szCs w:val="24"/>
        </w:rPr>
        <w:t xml:space="preserve">funding </w:t>
      </w:r>
      <w:r w:rsidR="009C60A5" w:rsidRPr="005448F6">
        <w:rPr>
          <w:rFonts w:ascii="Tahoma" w:hAnsi="Tahoma" w:cs="Tahoma"/>
          <w:sz w:val="24"/>
          <w:szCs w:val="24"/>
        </w:rPr>
        <w:t>R</w:t>
      </w:r>
      <w:r w:rsidR="0025782C" w:rsidRPr="005448F6">
        <w:rPr>
          <w:rFonts w:ascii="Tahoma" w:hAnsi="Tahoma" w:cs="Tahoma"/>
          <w:sz w:val="24"/>
          <w:szCs w:val="24"/>
        </w:rPr>
        <w:t>ecipients in a standard way.</w:t>
      </w:r>
    </w:p>
    <w:p w14:paraId="08DC6439" w14:textId="0178761A" w:rsidR="00C63160" w:rsidRPr="005448F6" w:rsidRDefault="00C63160" w:rsidP="00EE5457">
      <w:pPr>
        <w:rPr>
          <w:rFonts w:ascii="Tahoma" w:hAnsi="Tahoma" w:cs="Tahoma"/>
          <w:sz w:val="24"/>
          <w:szCs w:val="24"/>
        </w:rPr>
      </w:pPr>
    </w:p>
    <w:p w14:paraId="158E5FD7" w14:textId="7B1C1AC2" w:rsidR="00663388"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66</w:t>
      </w:r>
      <w:r w:rsidR="00F8464C" w:rsidRPr="005448F6">
        <w:rPr>
          <w:rFonts w:ascii="Tahoma" w:eastAsia="Times New Roman" w:hAnsi="Tahoma" w:cs="Tahoma"/>
          <w:b/>
          <w:sz w:val="24"/>
          <w:szCs w:val="24"/>
        </w:rPr>
        <w:t>:</w:t>
      </w:r>
      <w:r w:rsidR="00F8464C" w:rsidRPr="005448F6">
        <w:rPr>
          <w:rFonts w:ascii="Tahoma" w:eastAsia="Times New Roman" w:hAnsi="Tahoma" w:cs="Tahoma"/>
          <w:b/>
          <w:sz w:val="24"/>
          <w:szCs w:val="24"/>
        </w:rPr>
        <w:tab/>
      </w:r>
      <w:r w:rsidR="00663388" w:rsidRPr="005448F6">
        <w:rPr>
          <w:rFonts w:ascii="Tahoma" w:eastAsia="Times New Roman" w:hAnsi="Tahoma" w:cs="Tahoma"/>
          <w:b/>
          <w:sz w:val="24"/>
          <w:szCs w:val="24"/>
        </w:rPr>
        <w:t>Can the CEC clarify the definition of “Charging Port” as having a “wired or wireless” connector? We believe this was clarified during the pre-application workshop, however the written definition included in the GFO does not specify.</w:t>
      </w:r>
    </w:p>
    <w:p w14:paraId="2ED504A8" w14:textId="77777777" w:rsidR="00CF1250" w:rsidRPr="005448F6" w:rsidRDefault="00CF1250" w:rsidP="00CF1250">
      <w:pPr>
        <w:spacing w:after="0" w:line="240" w:lineRule="auto"/>
        <w:ind w:left="720" w:hanging="720"/>
        <w:rPr>
          <w:rFonts w:ascii="Tahoma" w:eastAsia="Times New Roman" w:hAnsi="Tahoma" w:cs="Tahoma"/>
          <w:b/>
          <w:sz w:val="24"/>
          <w:szCs w:val="24"/>
        </w:rPr>
      </w:pPr>
    </w:p>
    <w:p w14:paraId="1DDCDE20" w14:textId="15D93F49" w:rsidR="008927C5" w:rsidRPr="005448F6" w:rsidRDefault="00610A27" w:rsidP="007801B2">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66</w:t>
      </w:r>
      <w:r w:rsidR="00F8464C" w:rsidRPr="005448F6">
        <w:rPr>
          <w:rFonts w:ascii="Tahoma" w:hAnsi="Tahoma" w:cs="Tahoma"/>
          <w:sz w:val="24"/>
          <w:szCs w:val="24"/>
        </w:rPr>
        <w:t>:</w:t>
      </w:r>
      <w:r w:rsidR="00F8464C" w:rsidRPr="005448F6">
        <w:rPr>
          <w:rFonts w:ascii="Tahoma" w:hAnsi="Tahoma" w:cs="Tahoma"/>
          <w:sz w:val="24"/>
          <w:szCs w:val="24"/>
        </w:rPr>
        <w:tab/>
        <w:t>Yes, wireless connectors are allowed</w:t>
      </w:r>
      <w:r w:rsidR="00222143" w:rsidRPr="005448F6">
        <w:rPr>
          <w:rFonts w:ascii="Tahoma" w:hAnsi="Tahoma" w:cs="Tahoma"/>
          <w:sz w:val="24"/>
          <w:szCs w:val="24"/>
        </w:rPr>
        <w:t xml:space="preserve">. </w:t>
      </w:r>
      <w:r w:rsidR="004E358D">
        <w:rPr>
          <w:rFonts w:ascii="Tahoma" w:hAnsi="Tahoma" w:cs="Tahoma"/>
          <w:sz w:val="24"/>
          <w:szCs w:val="24"/>
        </w:rPr>
        <w:br/>
      </w:r>
    </w:p>
    <w:p w14:paraId="0C2C0328" w14:textId="3A6EBA94" w:rsidR="00663388" w:rsidRPr="005448F6" w:rsidRDefault="00610A27" w:rsidP="00FE2B62">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67</w:t>
      </w:r>
      <w:r w:rsidR="00222143" w:rsidRPr="005448F6">
        <w:rPr>
          <w:rFonts w:ascii="Tahoma" w:eastAsia="Times New Roman" w:hAnsi="Tahoma" w:cs="Tahoma"/>
          <w:b/>
          <w:sz w:val="24"/>
          <w:szCs w:val="24"/>
        </w:rPr>
        <w:t>:</w:t>
      </w:r>
      <w:r w:rsidR="00222143" w:rsidRPr="005448F6">
        <w:rPr>
          <w:rFonts w:ascii="Tahoma" w:eastAsia="Times New Roman" w:hAnsi="Tahoma" w:cs="Tahoma"/>
          <w:b/>
          <w:sz w:val="24"/>
          <w:szCs w:val="24"/>
        </w:rPr>
        <w:tab/>
      </w:r>
      <w:r w:rsidR="00663388" w:rsidRPr="005448F6">
        <w:rPr>
          <w:rFonts w:ascii="Tahoma" w:eastAsia="Times New Roman" w:hAnsi="Tahoma" w:cs="Tahoma"/>
          <w:b/>
          <w:sz w:val="24"/>
          <w:szCs w:val="24"/>
        </w:rPr>
        <w:t xml:space="preserve">Regarding Section </w:t>
      </w:r>
      <w:r w:rsidR="00A9137A">
        <w:rPr>
          <w:rFonts w:ascii="Tahoma" w:eastAsia="Times New Roman" w:hAnsi="Tahoma" w:cs="Tahoma"/>
          <w:b/>
          <w:sz w:val="24"/>
          <w:szCs w:val="24"/>
        </w:rPr>
        <w:t>II.</w:t>
      </w:r>
      <w:r w:rsidR="00663388" w:rsidRPr="005448F6">
        <w:rPr>
          <w:rFonts w:ascii="Tahoma" w:eastAsia="Times New Roman" w:hAnsi="Tahoma" w:cs="Tahoma"/>
          <w:b/>
          <w:sz w:val="24"/>
          <w:szCs w:val="24"/>
        </w:rPr>
        <w:t>C</w:t>
      </w:r>
      <w:r w:rsidR="00A9137A">
        <w:rPr>
          <w:rFonts w:ascii="Tahoma" w:eastAsia="Times New Roman" w:hAnsi="Tahoma" w:cs="Tahoma"/>
          <w:b/>
          <w:sz w:val="24"/>
          <w:szCs w:val="24"/>
        </w:rPr>
        <w:t>.</w:t>
      </w:r>
      <w:r w:rsidR="00663388" w:rsidRPr="005448F6">
        <w:rPr>
          <w:rFonts w:ascii="Tahoma" w:eastAsia="Times New Roman" w:hAnsi="Tahoma" w:cs="Tahoma"/>
          <w:b/>
          <w:sz w:val="24"/>
          <w:szCs w:val="24"/>
        </w:rPr>
        <w:t xml:space="preserve"> of the Application Manual, “Minimum Technical Requirements for Open Retail Electric Vehicle Charging Stations</w:t>
      </w:r>
      <w:r w:rsidR="00A9137A">
        <w:rPr>
          <w:rFonts w:ascii="Tahoma" w:eastAsia="Times New Roman" w:hAnsi="Tahoma" w:cs="Tahoma"/>
          <w:b/>
          <w:sz w:val="24"/>
          <w:szCs w:val="24"/>
        </w:rPr>
        <w:t>,</w:t>
      </w:r>
      <w:r w:rsidR="00663388" w:rsidRPr="005448F6">
        <w:rPr>
          <w:rFonts w:ascii="Tahoma" w:eastAsia="Times New Roman" w:hAnsi="Tahoma" w:cs="Tahoma"/>
          <w:b/>
          <w:sz w:val="24"/>
          <w:szCs w:val="24"/>
        </w:rPr>
        <w:t>”</w:t>
      </w:r>
      <w:r w:rsidR="00A9137A">
        <w:rPr>
          <w:rFonts w:ascii="Tahoma" w:eastAsia="Times New Roman" w:hAnsi="Tahoma" w:cs="Tahoma"/>
          <w:b/>
          <w:sz w:val="24"/>
          <w:szCs w:val="24"/>
        </w:rPr>
        <w:t xml:space="preserve"> w</w:t>
      </w:r>
      <w:r w:rsidR="00663388" w:rsidRPr="005448F6">
        <w:rPr>
          <w:rFonts w:ascii="Tahoma" w:eastAsia="Times New Roman" w:hAnsi="Tahoma" w:cs="Tahoma"/>
          <w:b/>
          <w:sz w:val="24"/>
          <w:szCs w:val="24"/>
        </w:rPr>
        <w:t>hat is the CEC’s definition of</w:t>
      </w:r>
      <w:r w:rsidR="005D0905">
        <w:rPr>
          <w:rFonts w:ascii="Tahoma" w:eastAsia="Times New Roman" w:hAnsi="Tahoma" w:cs="Tahoma"/>
          <w:b/>
          <w:sz w:val="24"/>
          <w:szCs w:val="24"/>
        </w:rPr>
        <w:t xml:space="preserve"> </w:t>
      </w:r>
      <w:r w:rsidR="00663388" w:rsidRPr="005448F6">
        <w:rPr>
          <w:rFonts w:ascii="Tahoma" w:eastAsia="Times New Roman" w:hAnsi="Tahoma" w:cs="Tahoma"/>
          <w:b/>
          <w:sz w:val="24"/>
          <w:szCs w:val="24"/>
        </w:rPr>
        <w:t>open retail?</w:t>
      </w:r>
      <w:r w:rsidR="00A9137A">
        <w:rPr>
          <w:rFonts w:ascii="Tahoma" w:eastAsia="Times New Roman" w:hAnsi="Tahoma" w:cs="Tahoma"/>
          <w:b/>
          <w:sz w:val="24"/>
          <w:szCs w:val="24"/>
        </w:rPr>
        <w:t xml:space="preserve"> </w:t>
      </w:r>
      <w:r w:rsidR="00663388" w:rsidRPr="005448F6">
        <w:rPr>
          <w:rFonts w:ascii="Tahoma" w:eastAsia="Times New Roman" w:hAnsi="Tahoma" w:cs="Tahoma"/>
          <w:b/>
          <w:sz w:val="24"/>
          <w:szCs w:val="24"/>
        </w:rPr>
        <w:t>For non-publicly accessible charging stations</w:t>
      </w:r>
      <w:r w:rsidR="005D0905">
        <w:rPr>
          <w:rFonts w:ascii="Tahoma" w:eastAsia="Times New Roman" w:hAnsi="Tahoma" w:cs="Tahoma"/>
          <w:b/>
          <w:sz w:val="24"/>
          <w:szCs w:val="24"/>
        </w:rPr>
        <w:t xml:space="preserve">, </w:t>
      </w:r>
      <w:r w:rsidR="005836A0">
        <w:rPr>
          <w:rFonts w:ascii="Tahoma" w:eastAsia="Times New Roman" w:hAnsi="Tahoma" w:cs="Tahoma"/>
          <w:b/>
          <w:sz w:val="24"/>
          <w:szCs w:val="24"/>
        </w:rPr>
        <w:t xml:space="preserve">i.e., </w:t>
      </w:r>
      <w:r w:rsidR="00663388" w:rsidRPr="005448F6">
        <w:rPr>
          <w:rFonts w:ascii="Tahoma" w:eastAsia="Times New Roman" w:hAnsi="Tahoma" w:cs="Tahoma"/>
          <w:b/>
          <w:sz w:val="24"/>
          <w:szCs w:val="24"/>
        </w:rPr>
        <w:t>projects that are behind-the-fence, within a port complex, and solely for private fleet use</w:t>
      </w:r>
      <w:r w:rsidR="005836A0">
        <w:rPr>
          <w:rFonts w:ascii="Tahoma" w:eastAsia="Times New Roman" w:hAnsi="Tahoma" w:cs="Tahoma"/>
          <w:b/>
          <w:sz w:val="24"/>
          <w:szCs w:val="24"/>
        </w:rPr>
        <w:t xml:space="preserve">, </w:t>
      </w:r>
      <w:r w:rsidR="00663388" w:rsidRPr="005448F6">
        <w:rPr>
          <w:rFonts w:ascii="Tahoma" w:eastAsia="Times New Roman" w:hAnsi="Tahoma" w:cs="Tahoma"/>
          <w:b/>
          <w:sz w:val="24"/>
          <w:szCs w:val="24"/>
        </w:rPr>
        <w:t xml:space="preserve">is it required </w:t>
      </w:r>
      <w:r w:rsidR="005836A0">
        <w:rPr>
          <w:rFonts w:ascii="Tahoma" w:eastAsia="Times New Roman" w:hAnsi="Tahoma" w:cs="Tahoma"/>
          <w:b/>
          <w:sz w:val="24"/>
          <w:szCs w:val="24"/>
        </w:rPr>
        <w:t>that A</w:t>
      </w:r>
      <w:r w:rsidR="00663388" w:rsidRPr="005448F6">
        <w:rPr>
          <w:rFonts w:ascii="Tahoma" w:eastAsia="Times New Roman" w:hAnsi="Tahoma" w:cs="Tahoma"/>
          <w:b/>
          <w:sz w:val="24"/>
          <w:szCs w:val="24"/>
        </w:rPr>
        <w:t xml:space="preserve">pplicants certify that their selected electric vehicle supply equipment (EVSE) meet each of the Minimum Technical Requirements listed in Section </w:t>
      </w:r>
      <w:r w:rsidR="005836A0">
        <w:rPr>
          <w:rFonts w:ascii="Tahoma" w:eastAsia="Times New Roman" w:hAnsi="Tahoma" w:cs="Tahoma"/>
          <w:b/>
          <w:sz w:val="24"/>
          <w:szCs w:val="24"/>
        </w:rPr>
        <w:t>II.</w:t>
      </w:r>
      <w:r w:rsidR="00663388" w:rsidRPr="005448F6">
        <w:rPr>
          <w:rFonts w:ascii="Tahoma" w:eastAsia="Times New Roman" w:hAnsi="Tahoma" w:cs="Tahoma"/>
          <w:b/>
          <w:sz w:val="24"/>
          <w:szCs w:val="24"/>
        </w:rPr>
        <w:t>C? Are applicants required to submit the Open Retail Station Checklist (Attachment 20) for non-public charging stations?</w:t>
      </w:r>
    </w:p>
    <w:p w14:paraId="1A847E76" w14:textId="266D259B" w:rsidR="00196010" w:rsidRPr="005448F6" w:rsidRDefault="00663388" w:rsidP="00CF1250">
      <w:pPr>
        <w:spacing w:after="0" w:line="240" w:lineRule="auto"/>
        <w:ind w:left="720"/>
        <w:rPr>
          <w:rFonts w:ascii="Tahoma" w:eastAsia="Times New Roman" w:hAnsi="Tahoma" w:cs="Tahoma"/>
          <w:b/>
          <w:sz w:val="24"/>
          <w:szCs w:val="24"/>
        </w:rPr>
      </w:pPr>
      <w:r w:rsidRPr="005448F6">
        <w:rPr>
          <w:rFonts w:ascii="Tahoma" w:eastAsia="Times New Roman" w:hAnsi="Tahoma" w:cs="Tahoma"/>
          <w:b/>
          <w:sz w:val="24"/>
          <w:szCs w:val="24"/>
        </w:rPr>
        <w:t xml:space="preserve">Are charging stations required to meet and adhere to each of the Minimum Technical Requirements for Open Retail Electric Vehicle </w:t>
      </w:r>
      <w:r w:rsidRPr="005448F6">
        <w:rPr>
          <w:rFonts w:ascii="Tahoma" w:eastAsia="Times New Roman" w:hAnsi="Tahoma" w:cs="Tahoma"/>
          <w:b/>
          <w:sz w:val="24"/>
          <w:szCs w:val="24"/>
        </w:rPr>
        <w:lastRenderedPageBreak/>
        <w:t>Charging Stations at the time of proposal submission? Or may applicants certify that their</w:t>
      </w:r>
      <w:r w:rsidR="00196010" w:rsidRPr="005448F6">
        <w:rPr>
          <w:rFonts w:ascii="Tahoma" w:eastAsia="Times New Roman" w:hAnsi="Tahoma" w:cs="Tahoma"/>
          <w:b/>
          <w:sz w:val="24"/>
          <w:szCs w:val="24"/>
        </w:rPr>
        <w:t xml:space="preserve"> charging stations meet these requirements at a later date such as the date of</w:t>
      </w:r>
      <w:r w:rsidR="007710A1" w:rsidRPr="005448F6">
        <w:rPr>
          <w:rFonts w:ascii="Tahoma" w:eastAsia="Times New Roman" w:hAnsi="Tahoma" w:cs="Tahoma"/>
          <w:b/>
          <w:sz w:val="24"/>
          <w:szCs w:val="24"/>
        </w:rPr>
        <w:t xml:space="preserve"> </w:t>
      </w:r>
      <w:r w:rsidR="00196010" w:rsidRPr="005448F6">
        <w:rPr>
          <w:rFonts w:ascii="Tahoma" w:eastAsia="Times New Roman" w:hAnsi="Tahoma" w:cs="Tahoma"/>
          <w:b/>
          <w:sz w:val="24"/>
          <w:szCs w:val="24"/>
        </w:rPr>
        <w:t>station energization or prior to submitting an invoice for CEC reimbursement?</w:t>
      </w:r>
    </w:p>
    <w:p w14:paraId="7E004479" w14:textId="77777777" w:rsidR="00CF1250" w:rsidRPr="005448F6" w:rsidRDefault="00CF1250" w:rsidP="00CF1250">
      <w:pPr>
        <w:spacing w:after="0" w:line="240" w:lineRule="auto"/>
        <w:ind w:left="720"/>
        <w:rPr>
          <w:rFonts w:ascii="Tahoma" w:eastAsia="Times New Roman" w:hAnsi="Tahoma" w:cs="Tahoma"/>
          <w:b/>
          <w:sz w:val="24"/>
          <w:szCs w:val="24"/>
        </w:rPr>
      </w:pPr>
    </w:p>
    <w:p w14:paraId="3039A9BA" w14:textId="3310E12B" w:rsidR="008927C5"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67</w:t>
      </w:r>
      <w:r w:rsidR="001E6FC0" w:rsidRPr="005448F6">
        <w:rPr>
          <w:rFonts w:ascii="Tahoma" w:hAnsi="Tahoma" w:cs="Tahoma"/>
          <w:sz w:val="24"/>
          <w:szCs w:val="24"/>
        </w:rPr>
        <w:t>:</w:t>
      </w:r>
      <w:r w:rsidR="001E6FC0">
        <w:tab/>
      </w:r>
      <w:r w:rsidR="005B5DBB" w:rsidRPr="005448F6">
        <w:rPr>
          <w:rFonts w:ascii="Tahoma" w:hAnsi="Tahoma" w:cs="Tahoma"/>
          <w:sz w:val="24"/>
          <w:szCs w:val="24"/>
        </w:rPr>
        <w:t xml:space="preserve">“Open retail’ stations are “publicly available </w:t>
      </w:r>
      <w:r w:rsidR="00ED7ED5" w:rsidRPr="005448F6">
        <w:rPr>
          <w:rFonts w:ascii="Tahoma" w:hAnsi="Tahoma" w:cs="Tahoma"/>
          <w:sz w:val="24"/>
          <w:szCs w:val="24"/>
        </w:rPr>
        <w:t>fueling stations</w:t>
      </w:r>
      <w:r w:rsidR="004D3DD4" w:rsidRPr="005448F6">
        <w:rPr>
          <w:rFonts w:ascii="Tahoma" w:hAnsi="Tahoma" w:cs="Tahoma"/>
          <w:sz w:val="24"/>
          <w:szCs w:val="24"/>
        </w:rPr>
        <w:t xml:space="preserve">.” </w:t>
      </w:r>
      <w:r w:rsidR="00671ADD">
        <w:rPr>
          <w:rFonts w:ascii="Tahoma" w:hAnsi="Tahoma" w:cs="Tahoma"/>
          <w:sz w:val="24"/>
          <w:szCs w:val="24"/>
        </w:rPr>
        <w:t xml:space="preserve">Sections </w:t>
      </w:r>
      <w:r w:rsidR="001E6FC0" w:rsidRPr="005448F6">
        <w:rPr>
          <w:rFonts w:ascii="Tahoma" w:hAnsi="Tahoma" w:cs="Tahoma"/>
          <w:sz w:val="24"/>
          <w:szCs w:val="24"/>
        </w:rPr>
        <w:t>II.C. and II.D. do not apply for non-publicly accessible charging stations</w:t>
      </w:r>
      <w:r w:rsidR="5911A904" w:rsidRPr="6F2DBB9D">
        <w:rPr>
          <w:rFonts w:ascii="Tahoma" w:hAnsi="Tahoma" w:cs="Tahoma"/>
          <w:sz w:val="24"/>
          <w:szCs w:val="24"/>
        </w:rPr>
        <w:t xml:space="preserve"> or hydrogen refueling stations</w:t>
      </w:r>
      <w:r w:rsidR="001E6FC0" w:rsidRPr="6F2DBB9D">
        <w:rPr>
          <w:rFonts w:ascii="Tahoma" w:hAnsi="Tahoma" w:cs="Tahoma"/>
          <w:sz w:val="24"/>
          <w:szCs w:val="24"/>
        </w:rPr>
        <w:t>.</w:t>
      </w:r>
      <w:r w:rsidR="00455AF1">
        <w:rPr>
          <w:rFonts w:ascii="Tahoma" w:hAnsi="Tahoma" w:cs="Tahoma"/>
          <w:sz w:val="24"/>
          <w:szCs w:val="24"/>
        </w:rPr>
        <w:t xml:space="preserve"> For those stations that will be accessible to the public as open retail, certification will take place at the time the station is </w:t>
      </w:r>
      <w:r w:rsidR="00CA01EF">
        <w:rPr>
          <w:rFonts w:ascii="Tahoma" w:hAnsi="Tahoma" w:cs="Tahoma"/>
          <w:sz w:val="24"/>
          <w:szCs w:val="24"/>
        </w:rPr>
        <w:t xml:space="preserve">energized and prior to “opening” the chargers up to the public. </w:t>
      </w:r>
    </w:p>
    <w:p w14:paraId="6E2DB390" w14:textId="77777777" w:rsidR="00CF1250" w:rsidRPr="005448F6" w:rsidRDefault="00CF1250" w:rsidP="00CF1250">
      <w:pPr>
        <w:spacing w:after="0"/>
        <w:ind w:left="720" w:hanging="720"/>
        <w:rPr>
          <w:rFonts w:ascii="Tahoma" w:hAnsi="Tahoma" w:cs="Tahoma"/>
          <w:sz w:val="24"/>
          <w:szCs w:val="24"/>
        </w:rPr>
      </w:pPr>
    </w:p>
    <w:p w14:paraId="1F34ED31" w14:textId="781CFE50" w:rsidR="00196010" w:rsidRPr="005448F6" w:rsidRDefault="00610A27" w:rsidP="00CF12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68</w:t>
      </w:r>
      <w:r w:rsidR="00F31CD5" w:rsidRPr="005448F6">
        <w:rPr>
          <w:rFonts w:ascii="Tahoma" w:eastAsia="Times New Roman" w:hAnsi="Tahoma" w:cs="Tahoma"/>
          <w:b/>
          <w:sz w:val="24"/>
          <w:szCs w:val="24"/>
        </w:rPr>
        <w:t>:</w:t>
      </w:r>
      <w:r w:rsidR="00F31CD5" w:rsidRPr="005448F6">
        <w:rPr>
          <w:rFonts w:ascii="Tahoma" w:eastAsia="Times New Roman" w:hAnsi="Tahoma" w:cs="Tahoma"/>
          <w:b/>
          <w:sz w:val="24"/>
          <w:szCs w:val="24"/>
        </w:rPr>
        <w:tab/>
      </w:r>
      <w:r w:rsidR="00196010" w:rsidRPr="005448F6">
        <w:rPr>
          <w:rFonts w:ascii="Tahoma" w:eastAsia="Times New Roman" w:hAnsi="Tahoma" w:cs="Tahoma"/>
          <w:b/>
          <w:sz w:val="24"/>
          <w:szCs w:val="24"/>
        </w:rPr>
        <w:t xml:space="preserve">Regarding Section </w:t>
      </w:r>
      <w:r w:rsidR="00DF1593" w:rsidRPr="005448F6">
        <w:rPr>
          <w:rFonts w:ascii="Tahoma" w:eastAsia="Times New Roman" w:hAnsi="Tahoma" w:cs="Tahoma"/>
          <w:b/>
          <w:sz w:val="24"/>
          <w:szCs w:val="24"/>
        </w:rPr>
        <w:t>II.</w:t>
      </w:r>
      <w:r w:rsidR="00196010" w:rsidRPr="005448F6">
        <w:rPr>
          <w:rFonts w:ascii="Tahoma" w:eastAsia="Times New Roman" w:hAnsi="Tahoma" w:cs="Tahoma"/>
          <w:b/>
          <w:sz w:val="24"/>
          <w:szCs w:val="24"/>
        </w:rPr>
        <w:t>B. 5. of the Application Manual “Compliance with California EVSE Commercial Device Requirements</w:t>
      </w:r>
    </w:p>
    <w:p w14:paraId="63B76DE3" w14:textId="4A76586C" w:rsidR="00196010" w:rsidRPr="005448F6" w:rsidRDefault="00196010" w:rsidP="00CF1250">
      <w:pPr>
        <w:spacing w:after="0" w:line="240" w:lineRule="auto"/>
        <w:ind w:left="720"/>
        <w:rPr>
          <w:rFonts w:ascii="Tahoma" w:eastAsia="Times New Roman" w:hAnsi="Tahoma" w:cs="Tahoma"/>
          <w:b/>
          <w:sz w:val="24"/>
          <w:szCs w:val="24"/>
        </w:rPr>
      </w:pPr>
      <w:r w:rsidRPr="005448F6">
        <w:rPr>
          <w:rFonts w:ascii="Tahoma" w:eastAsia="Times New Roman" w:hAnsi="Tahoma" w:cs="Tahoma"/>
          <w:b/>
          <w:sz w:val="24"/>
          <w:szCs w:val="24"/>
        </w:rPr>
        <w:t xml:space="preserve">“Commercial” is defined as applying to “operations in which the amount dispensed affects customer charges or compensation.” Are the requirements listed in Section </w:t>
      </w:r>
      <w:r w:rsidR="00036675" w:rsidRPr="005448F6">
        <w:rPr>
          <w:rFonts w:ascii="Tahoma" w:eastAsia="Times New Roman" w:hAnsi="Tahoma" w:cs="Tahoma"/>
          <w:b/>
          <w:sz w:val="24"/>
          <w:szCs w:val="24"/>
        </w:rPr>
        <w:t>II.</w:t>
      </w:r>
      <w:r w:rsidRPr="005448F6">
        <w:rPr>
          <w:rFonts w:ascii="Tahoma" w:eastAsia="Times New Roman" w:hAnsi="Tahoma" w:cs="Tahoma"/>
          <w:b/>
          <w:sz w:val="24"/>
          <w:szCs w:val="24"/>
        </w:rPr>
        <w:t>B.5. applicable to charging stations that are behind-the-fence, within a port complex, and for private-use only? For example, projects where a port terminal operator owns and operates the EV chargers for their fleet alone and is therefore not subject to a Charging-as-a-Service (or similar Charge Point Operator-based) billing model?</w:t>
      </w:r>
      <w:r w:rsidR="007C2C03">
        <w:rPr>
          <w:rFonts w:ascii="Tahoma" w:eastAsia="Times New Roman" w:hAnsi="Tahoma" w:cs="Tahoma"/>
          <w:b/>
          <w:sz w:val="24"/>
          <w:szCs w:val="24"/>
        </w:rPr>
        <w:t xml:space="preserve"> </w:t>
      </w:r>
      <w:r w:rsidRPr="005448F6">
        <w:rPr>
          <w:rFonts w:ascii="Tahoma" w:eastAsia="Times New Roman" w:hAnsi="Tahoma" w:cs="Tahoma"/>
          <w:b/>
          <w:sz w:val="24"/>
          <w:szCs w:val="24"/>
        </w:rPr>
        <w:t xml:space="preserve">If this is required for private-use charging stations, when are </w:t>
      </w:r>
      <w:r w:rsidR="007C2C03">
        <w:rPr>
          <w:rFonts w:ascii="Tahoma" w:eastAsia="Times New Roman" w:hAnsi="Tahoma" w:cs="Tahoma"/>
          <w:b/>
          <w:sz w:val="24"/>
          <w:szCs w:val="24"/>
        </w:rPr>
        <w:t>A</w:t>
      </w:r>
      <w:r w:rsidRPr="005448F6">
        <w:rPr>
          <w:rFonts w:ascii="Tahoma" w:eastAsia="Times New Roman" w:hAnsi="Tahoma" w:cs="Tahoma"/>
          <w:b/>
          <w:sz w:val="24"/>
          <w:szCs w:val="24"/>
        </w:rPr>
        <w:t>pplicants required to certify that their selected EVSE meets the criteria?</w:t>
      </w:r>
    </w:p>
    <w:p w14:paraId="154A678A" w14:textId="77777777" w:rsidR="00CF1250" w:rsidRPr="005448F6" w:rsidRDefault="00CF1250" w:rsidP="00CF1250">
      <w:pPr>
        <w:spacing w:after="0" w:line="240" w:lineRule="auto"/>
        <w:ind w:left="720"/>
        <w:rPr>
          <w:rFonts w:ascii="Tahoma" w:eastAsia="Times New Roman" w:hAnsi="Tahoma" w:cs="Tahoma"/>
          <w:b/>
          <w:sz w:val="24"/>
          <w:szCs w:val="24"/>
        </w:rPr>
      </w:pPr>
    </w:p>
    <w:p w14:paraId="7D7C1086" w14:textId="054C658E" w:rsidR="00D06C91"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68</w:t>
      </w:r>
      <w:r w:rsidR="005D5A52" w:rsidRPr="005448F6">
        <w:rPr>
          <w:rFonts w:ascii="Tahoma" w:hAnsi="Tahoma" w:cs="Tahoma"/>
          <w:sz w:val="24"/>
          <w:szCs w:val="24"/>
        </w:rPr>
        <w:t>:</w:t>
      </w:r>
      <w:r w:rsidR="005D5A52" w:rsidRPr="005448F6">
        <w:rPr>
          <w:rFonts w:ascii="Tahoma" w:hAnsi="Tahoma" w:cs="Tahoma"/>
          <w:sz w:val="24"/>
          <w:szCs w:val="24"/>
        </w:rPr>
        <w:tab/>
      </w:r>
      <w:r w:rsidR="00C005D4" w:rsidRPr="005448F6">
        <w:rPr>
          <w:rFonts w:ascii="Tahoma" w:hAnsi="Tahoma" w:cs="Tahoma"/>
          <w:sz w:val="24"/>
          <w:szCs w:val="24"/>
        </w:rPr>
        <w:t xml:space="preserve">“Compliance with </w:t>
      </w:r>
      <w:r w:rsidR="00BE3331" w:rsidRPr="005448F6">
        <w:rPr>
          <w:rFonts w:ascii="Tahoma" w:hAnsi="Tahoma" w:cs="Tahoma"/>
          <w:sz w:val="24"/>
          <w:szCs w:val="24"/>
        </w:rPr>
        <w:t>California</w:t>
      </w:r>
      <w:r w:rsidR="00C005D4" w:rsidRPr="005448F6">
        <w:rPr>
          <w:rFonts w:ascii="Tahoma" w:hAnsi="Tahoma" w:cs="Tahoma"/>
          <w:sz w:val="24"/>
          <w:szCs w:val="24"/>
        </w:rPr>
        <w:t xml:space="preserve"> EVSE Commercial Device Requirements” would not apply to private fleets </w:t>
      </w:r>
      <w:r w:rsidR="00227485" w:rsidRPr="005448F6">
        <w:rPr>
          <w:rFonts w:ascii="Tahoma" w:hAnsi="Tahoma" w:cs="Tahoma"/>
          <w:sz w:val="24"/>
          <w:szCs w:val="24"/>
        </w:rPr>
        <w:t>operating private equipment</w:t>
      </w:r>
      <w:r w:rsidR="00BE3331" w:rsidRPr="005448F6">
        <w:rPr>
          <w:rFonts w:ascii="Tahoma" w:hAnsi="Tahoma" w:cs="Tahoma"/>
          <w:sz w:val="24"/>
          <w:szCs w:val="24"/>
        </w:rPr>
        <w:t xml:space="preserve">. </w:t>
      </w:r>
    </w:p>
    <w:p w14:paraId="0579E548" w14:textId="77777777" w:rsidR="003D4770" w:rsidRPr="005448F6" w:rsidRDefault="003D4770" w:rsidP="00FE2B62">
      <w:pPr>
        <w:spacing w:after="0"/>
        <w:ind w:left="720" w:hanging="720"/>
        <w:rPr>
          <w:rFonts w:ascii="Tahoma" w:hAnsi="Tahoma" w:cs="Tahoma"/>
          <w:sz w:val="24"/>
          <w:szCs w:val="24"/>
        </w:rPr>
      </w:pPr>
    </w:p>
    <w:p w14:paraId="323C2A6E" w14:textId="6F073305" w:rsidR="00EB0987" w:rsidRPr="005448F6" w:rsidRDefault="003A32D3"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sidR="00610A27">
        <w:rPr>
          <w:rFonts w:ascii="Tahoma" w:eastAsia="Times New Roman" w:hAnsi="Tahoma" w:cs="Tahoma"/>
          <w:b/>
          <w:sz w:val="24"/>
          <w:szCs w:val="24"/>
        </w:rPr>
        <w:t>69</w:t>
      </w:r>
      <w:r w:rsidRPr="005448F6">
        <w:rPr>
          <w:rFonts w:ascii="Tahoma" w:eastAsia="Times New Roman" w:hAnsi="Tahoma" w:cs="Tahoma"/>
          <w:b/>
          <w:sz w:val="24"/>
          <w:szCs w:val="24"/>
        </w:rPr>
        <w:t>:</w:t>
      </w:r>
      <w:r w:rsidRPr="005448F6">
        <w:rPr>
          <w:rFonts w:ascii="Tahoma" w:eastAsia="Times New Roman" w:hAnsi="Tahoma" w:cs="Tahoma"/>
          <w:b/>
          <w:sz w:val="24"/>
          <w:szCs w:val="24"/>
        </w:rPr>
        <w:tab/>
      </w:r>
      <w:r w:rsidR="00EB0987" w:rsidRPr="005448F6">
        <w:rPr>
          <w:rFonts w:ascii="Tahoma" w:eastAsia="Times New Roman" w:hAnsi="Tahoma" w:cs="Tahoma"/>
          <w:b/>
          <w:sz w:val="24"/>
          <w:szCs w:val="24"/>
        </w:rPr>
        <w:t>Please define what is meant by or what the boundaries are for ‘in-ground infrastructure for battery electric or hydrogen fuel cell MDHD vehicles and/or port equipment and/or off-road equipment (e.g. gantries, cargo handling equipment, etc.).” Are fueling stations that are containerized but stationary (vs</w:t>
      </w:r>
      <w:r w:rsidR="00EB3143">
        <w:rPr>
          <w:rFonts w:ascii="Tahoma" w:eastAsia="Times New Roman" w:hAnsi="Tahoma" w:cs="Tahoma"/>
          <w:b/>
          <w:sz w:val="24"/>
          <w:szCs w:val="24"/>
        </w:rPr>
        <w:t>.</w:t>
      </w:r>
      <w:r w:rsidR="00EB0987" w:rsidRPr="005448F6">
        <w:rPr>
          <w:rFonts w:ascii="Tahoma" w:eastAsia="Times New Roman" w:hAnsi="Tahoma" w:cs="Tahoma"/>
          <w:b/>
          <w:sz w:val="24"/>
          <w:szCs w:val="24"/>
        </w:rPr>
        <w:t xml:space="preserve"> mobile) considered “inground”? </w:t>
      </w:r>
    </w:p>
    <w:p w14:paraId="55EABFC6" w14:textId="77777777" w:rsidR="00CF1250" w:rsidRPr="005448F6" w:rsidRDefault="00CF1250" w:rsidP="00CF1250">
      <w:pPr>
        <w:spacing w:after="0" w:line="240" w:lineRule="auto"/>
        <w:ind w:left="720" w:hanging="720"/>
        <w:rPr>
          <w:rFonts w:ascii="Tahoma" w:eastAsia="Times New Roman" w:hAnsi="Tahoma" w:cs="Tahoma"/>
          <w:b/>
          <w:sz w:val="24"/>
          <w:szCs w:val="24"/>
        </w:rPr>
      </w:pPr>
    </w:p>
    <w:p w14:paraId="2687CC02" w14:textId="4BC646BA" w:rsidR="003A32D3" w:rsidRPr="005448F6" w:rsidRDefault="00E9018A" w:rsidP="00CF1250">
      <w:pPr>
        <w:spacing w:after="0"/>
        <w:ind w:left="720" w:hanging="720"/>
        <w:rPr>
          <w:rFonts w:ascii="Tahoma" w:hAnsi="Tahoma" w:cs="Tahoma"/>
          <w:sz w:val="24"/>
          <w:szCs w:val="24"/>
        </w:rPr>
      </w:pPr>
      <w:r w:rsidRPr="005448F6">
        <w:rPr>
          <w:rFonts w:ascii="Tahoma" w:hAnsi="Tahoma" w:cs="Tahoma"/>
          <w:sz w:val="24"/>
          <w:szCs w:val="24"/>
        </w:rPr>
        <w:t>A</w:t>
      </w:r>
      <w:r w:rsidR="00610A27">
        <w:rPr>
          <w:rFonts w:ascii="Tahoma" w:hAnsi="Tahoma" w:cs="Tahoma"/>
          <w:sz w:val="24"/>
          <w:szCs w:val="24"/>
        </w:rPr>
        <w:t>69</w:t>
      </w:r>
      <w:r w:rsidRPr="005448F6">
        <w:rPr>
          <w:rFonts w:ascii="Tahoma" w:hAnsi="Tahoma" w:cs="Tahoma"/>
          <w:sz w:val="24"/>
          <w:szCs w:val="24"/>
        </w:rPr>
        <w:t>:</w:t>
      </w:r>
      <w:r w:rsidRPr="005448F6">
        <w:rPr>
          <w:rFonts w:ascii="Tahoma" w:hAnsi="Tahoma" w:cs="Tahoma"/>
          <w:sz w:val="24"/>
          <w:szCs w:val="24"/>
        </w:rPr>
        <w:tab/>
      </w:r>
      <w:r w:rsidR="00A65B52" w:rsidRPr="005448F6">
        <w:rPr>
          <w:rFonts w:ascii="Tahoma" w:hAnsi="Tahoma" w:cs="Tahoma"/>
          <w:sz w:val="24"/>
          <w:szCs w:val="24"/>
        </w:rPr>
        <w:t xml:space="preserve">Fueling stations that are containerized but stationary </w:t>
      </w:r>
      <w:r w:rsidR="0020508B" w:rsidRPr="005448F6">
        <w:rPr>
          <w:rFonts w:ascii="Tahoma" w:hAnsi="Tahoma" w:cs="Tahoma"/>
          <w:sz w:val="24"/>
          <w:szCs w:val="24"/>
        </w:rPr>
        <w:t xml:space="preserve">would </w:t>
      </w:r>
      <w:r w:rsidR="00F45D41" w:rsidRPr="005448F6">
        <w:rPr>
          <w:rFonts w:ascii="Tahoma" w:hAnsi="Tahoma" w:cs="Tahoma"/>
          <w:sz w:val="24"/>
          <w:szCs w:val="24"/>
        </w:rPr>
        <w:t>be eligible</w:t>
      </w:r>
      <w:r w:rsidR="00457300" w:rsidRPr="005448F6">
        <w:rPr>
          <w:rFonts w:ascii="Tahoma" w:hAnsi="Tahoma" w:cs="Tahoma"/>
          <w:sz w:val="24"/>
          <w:szCs w:val="24"/>
        </w:rPr>
        <w:t xml:space="preserve"> for CEC </w:t>
      </w:r>
      <w:r w:rsidR="009B6F65" w:rsidRPr="005448F6">
        <w:rPr>
          <w:rFonts w:ascii="Tahoma" w:hAnsi="Tahoma" w:cs="Tahoma"/>
          <w:sz w:val="24"/>
          <w:szCs w:val="24"/>
        </w:rPr>
        <w:t>reimbursement or match</w:t>
      </w:r>
      <w:r w:rsidR="00F45D41" w:rsidRPr="005448F6">
        <w:rPr>
          <w:rFonts w:ascii="Tahoma" w:hAnsi="Tahoma" w:cs="Tahoma"/>
          <w:sz w:val="24"/>
          <w:szCs w:val="24"/>
        </w:rPr>
        <w:t>.</w:t>
      </w:r>
      <w:r w:rsidR="009B6F65" w:rsidRPr="005448F6">
        <w:rPr>
          <w:rFonts w:ascii="Tahoma" w:hAnsi="Tahoma" w:cs="Tahoma"/>
          <w:sz w:val="24"/>
          <w:szCs w:val="24"/>
        </w:rPr>
        <w:t xml:space="preserve"> </w:t>
      </w:r>
    </w:p>
    <w:p w14:paraId="4BBDBE4C" w14:textId="77777777" w:rsidR="004D30AA" w:rsidRPr="005448F6" w:rsidRDefault="004D30AA" w:rsidP="00FC27F2">
      <w:pPr>
        <w:spacing w:after="0" w:line="240" w:lineRule="auto"/>
        <w:ind w:left="720"/>
        <w:rPr>
          <w:rFonts w:ascii="Tahoma" w:hAnsi="Tahoma" w:cs="Tahoma"/>
          <w:sz w:val="24"/>
          <w:szCs w:val="24"/>
        </w:rPr>
      </w:pPr>
    </w:p>
    <w:p w14:paraId="2290290F" w14:textId="3D8D3801" w:rsidR="00FC27F2" w:rsidRPr="005448F6" w:rsidRDefault="00610A27" w:rsidP="003F7F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70</w:t>
      </w:r>
      <w:r w:rsidR="003F7F50" w:rsidRPr="005448F6">
        <w:rPr>
          <w:rFonts w:ascii="Tahoma" w:eastAsia="Times New Roman" w:hAnsi="Tahoma" w:cs="Tahoma"/>
          <w:b/>
          <w:sz w:val="24"/>
          <w:szCs w:val="24"/>
        </w:rPr>
        <w:t>:</w:t>
      </w:r>
      <w:r w:rsidR="003F7F50" w:rsidRPr="005448F6">
        <w:rPr>
          <w:rFonts w:ascii="Tahoma" w:eastAsia="Times New Roman" w:hAnsi="Tahoma" w:cs="Tahoma"/>
          <w:b/>
          <w:sz w:val="24"/>
          <w:szCs w:val="24"/>
        </w:rPr>
        <w:tab/>
      </w:r>
      <w:r w:rsidR="00C77E69" w:rsidRPr="00C77E69">
        <w:rPr>
          <w:rFonts w:ascii="Tahoma" w:eastAsia="Times New Roman" w:hAnsi="Tahoma" w:cs="Tahoma"/>
          <w:b/>
          <w:sz w:val="24"/>
          <w:szCs w:val="24"/>
        </w:rPr>
        <w:t xml:space="preserve">Are </w:t>
      </w:r>
      <w:r w:rsidR="00D90062">
        <w:rPr>
          <w:rFonts w:ascii="Tahoma" w:eastAsia="Times New Roman" w:hAnsi="Tahoma" w:cs="Tahoma"/>
          <w:b/>
          <w:sz w:val="24"/>
          <w:szCs w:val="24"/>
        </w:rPr>
        <w:t>A</w:t>
      </w:r>
      <w:r w:rsidR="00C77E69" w:rsidRPr="00C77E69">
        <w:rPr>
          <w:rFonts w:ascii="Tahoma" w:eastAsia="Times New Roman" w:hAnsi="Tahoma" w:cs="Tahoma"/>
          <w:b/>
          <w:sz w:val="24"/>
          <w:szCs w:val="24"/>
        </w:rPr>
        <w:t>pplicants allowed to distribute fleet RFID cards to contracted customers while keeping the station open to the public, where use of access cards or personal identification (PIN) codes is optional and not required to dispense fuel?</w:t>
      </w:r>
    </w:p>
    <w:p w14:paraId="765E2E11" w14:textId="77777777" w:rsidR="00CF1250" w:rsidRPr="005448F6" w:rsidRDefault="00CF1250" w:rsidP="003F7F50">
      <w:pPr>
        <w:spacing w:after="0" w:line="240" w:lineRule="auto"/>
        <w:ind w:left="720" w:hanging="720"/>
        <w:rPr>
          <w:rFonts w:ascii="Tahoma" w:eastAsia="Times New Roman" w:hAnsi="Tahoma" w:cs="Tahoma"/>
          <w:b/>
          <w:sz w:val="24"/>
          <w:szCs w:val="24"/>
        </w:rPr>
      </w:pPr>
    </w:p>
    <w:p w14:paraId="27423CBF" w14:textId="346213C8" w:rsidR="002C0AB8"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70</w:t>
      </w:r>
      <w:r w:rsidR="002C0AB8" w:rsidRPr="005448F6">
        <w:rPr>
          <w:rFonts w:ascii="Tahoma" w:hAnsi="Tahoma" w:cs="Tahoma"/>
          <w:sz w:val="24"/>
          <w:szCs w:val="24"/>
        </w:rPr>
        <w:t>:</w:t>
      </w:r>
      <w:r w:rsidR="002C0AB8" w:rsidRPr="005448F6">
        <w:rPr>
          <w:rFonts w:ascii="Tahoma" w:hAnsi="Tahoma" w:cs="Tahoma"/>
          <w:sz w:val="24"/>
          <w:szCs w:val="24"/>
        </w:rPr>
        <w:tab/>
        <w:t>Yes</w:t>
      </w:r>
      <w:r w:rsidR="00C60523">
        <w:rPr>
          <w:rFonts w:ascii="Tahoma" w:hAnsi="Tahoma" w:cs="Tahoma"/>
          <w:sz w:val="24"/>
          <w:szCs w:val="24"/>
        </w:rPr>
        <w:t>.</w:t>
      </w:r>
    </w:p>
    <w:p w14:paraId="18DA1C04" w14:textId="77777777" w:rsidR="00DE0913" w:rsidRPr="005448F6" w:rsidRDefault="00DE0913" w:rsidP="00FC27F2">
      <w:pPr>
        <w:spacing w:after="0" w:line="240" w:lineRule="auto"/>
        <w:ind w:left="720"/>
        <w:rPr>
          <w:rFonts w:ascii="Tahoma" w:hAnsi="Tahoma" w:cs="Tahoma"/>
          <w:sz w:val="24"/>
          <w:szCs w:val="24"/>
        </w:rPr>
      </w:pPr>
    </w:p>
    <w:p w14:paraId="58C876A5" w14:textId="5D18CCFA" w:rsidR="00DE0913" w:rsidRPr="005448F6" w:rsidRDefault="00610A27" w:rsidP="003F7F5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lastRenderedPageBreak/>
        <w:t>Q</w:t>
      </w:r>
      <w:r>
        <w:rPr>
          <w:rFonts w:ascii="Tahoma" w:eastAsia="Times New Roman" w:hAnsi="Tahoma" w:cs="Tahoma"/>
          <w:b/>
          <w:sz w:val="24"/>
          <w:szCs w:val="24"/>
        </w:rPr>
        <w:t>71</w:t>
      </w:r>
      <w:r w:rsidR="003F7F50" w:rsidRPr="005448F6">
        <w:rPr>
          <w:rFonts w:ascii="Tahoma" w:eastAsia="Times New Roman" w:hAnsi="Tahoma" w:cs="Tahoma"/>
          <w:b/>
          <w:sz w:val="24"/>
          <w:szCs w:val="24"/>
        </w:rPr>
        <w:t>:</w:t>
      </w:r>
      <w:r w:rsidR="003F7F50" w:rsidRPr="005448F6">
        <w:rPr>
          <w:rFonts w:ascii="Tahoma" w:eastAsia="Times New Roman" w:hAnsi="Tahoma" w:cs="Tahoma"/>
          <w:b/>
          <w:sz w:val="24"/>
          <w:szCs w:val="24"/>
        </w:rPr>
        <w:tab/>
      </w:r>
      <w:r w:rsidR="00490FEC" w:rsidRPr="00490FEC">
        <w:rPr>
          <w:rFonts w:ascii="Tahoma" w:eastAsia="Times New Roman" w:hAnsi="Tahoma" w:cs="Tahoma"/>
          <w:b/>
          <w:sz w:val="24"/>
          <w:szCs w:val="24"/>
        </w:rPr>
        <w:t xml:space="preserve">The Application Manual references “off-road” vehicles and equipment but does not provide a full definition, instead including examples followed by “etc.” Can the CEC clarify what qualifies as “off-road” for the purposes of this solicitation, and confirm whether harbor craft vessels are considered </w:t>
      </w:r>
      <w:r w:rsidR="00490FEC" w:rsidRPr="005448F6">
        <w:rPr>
          <w:rFonts w:ascii="Tahoma" w:eastAsia="Times New Roman" w:hAnsi="Tahoma" w:cs="Tahoma"/>
          <w:b/>
          <w:sz w:val="24"/>
          <w:szCs w:val="24"/>
        </w:rPr>
        <w:t>off-road</w:t>
      </w:r>
      <w:r w:rsidR="00490FEC" w:rsidRPr="00490FEC">
        <w:rPr>
          <w:rFonts w:ascii="Tahoma" w:eastAsia="Times New Roman" w:hAnsi="Tahoma" w:cs="Tahoma"/>
          <w:b/>
          <w:sz w:val="24"/>
          <w:szCs w:val="24"/>
        </w:rPr>
        <w:t xml:space="preserve"> equipment?</w:t>
      </w:r>
      <w:r w:rsidR="00490FEC">
        <w:rPr>
          <w:rFonts w:ascii="Tahoma" w:eastAsia="Times New Roman" w:hAnsi="Tahoma" w:cs="Tahoma"/>
          <w:b/>
          <w:sz w:val="24"/>
          <w:szCs w:val="24"/>
        </w:rPr>
        <w:t xml:space="preserve"> </w:t>
      </w:r>
    </w:p>
    <w:p w14:paraId="6637CC94" w14:textId="77777777" w:rsidR="00CF1250" w:rsidRPr="005448F6" w:rsidRDefault="00CF1250" w:rsidP="003F7F50">
      <w:pPr>
        <w:spacing w:after="0" w:line="240" w:lineRule="auto"/>
        <w:ind w:left="720" w:hanging="720"/>
        <w:rPr>
          <w:rFonts w:ascii="Tahoma" w:eastAsia="Times New Roman" w:hAnsi="Tahoma" w:cs="Tahoma"/>
          <w:b/>
          <w:sz w:val="24"/>
          <w:szCs w:val="24"/>
        </w:rPr>
      </w:pPr>
    </w:p>
    <w:p w14:paraId="3396869A" w14:textId="30DAB054" w:rsidR="00F37799"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71</w:t>
      </w:r>
      <w:r w:rsidR="0055424B" w:rsidRPr="005448F6">
        <w:rPr>
          <w:rFonts w:ascii="Tahoma" w:hAnsi="Tahoma" w:cs="Tahoma"/>
          <w:sz w:val="24"/>
          <w:szCs w:val="24"/>
        </w:rPr>
        <w:t>:</w:t>
      </w:r>
      <w:r w:rsidR="0055424B" w:rsidRPr="005448F6">
        <w:rPr>
          <w:rFonts w:ascii="Tahoma" w:hAnsi="Tahoma" w:cs="Tahoma"/>
          <w:sz w:val="24"/>
          <w:szCs w:val="24"/>
        </w:rPr>
        <w:tab/>
      </w:r>
      <w:r w:rsidR="0090066B" w:rsidRPr="005448F6">
        <w:rPr>
          <w:rFonts w:ascii="Tahoma" w:hAnsi="Tahoma" w:cs="Tahoma"/>
          <w:sz w:val="24"/>
          <w:szCs w:val="24"/>
        </w:rPr>
        <w:t>For the purposes of this solicitation, off-road applications include vehicles or equipment that do not perform their primary operations on a road or highway. “Off-road” may include, but is not limited to, cargo-handling equipment, yard tractors, as well as marine</w:t>
      </w:r>
      <w:r w:rsidR="00CC3AD5">
        <w:rPr>
          <w:rFonts w:ascii="Tahoma" w:hAnsi="Tahoma" w:cs="Tahoma"/>
          <w:sz w:val="24"/>
          <w:szCs w:val="24"/>
        </w:rPr>
        <w:t xml:space="preserve"> or</w:t>
      </w:r>
      <w:r w:rsidR="0090066B" w:rsidRPr="005448F6">
        <w:rPr>
          <w:rFonts w:ascii="Tahoma" w:hAnsi="Tahoma" w:cs="Tahoma"/>
          <w:sz w:val="24"/>
          <w:szCs w:val="24"/>
        </w:rPr>
        <w:t xml:space="preserve"> rail</w:t>
      </w:r>
      <w:r w:rsidR="00CC3AD5">
        <w:rPr>
          <w:rFonts w:ascii="Tahoma" w:hAnsi="Tahoma" w:cs="Tahoma"/>
          <w:sz w:val="24"/>
          <w:szCs w:val="24"/>
        </w:rPr>
        <w:t>.</w:t>
      </w:r>
    </w:p>
    <w:p w14:paraId="5035876F" w14:textId="77777777" w:rsidR="0090066B" w:rsidRPr="005448F6" w:rsidRDefault="0090066B" w:rsidP="00DE0913">
      <w:pPr>
        <w:spacing w:after="0" w:line="240" w:lineRule="auto"/>
        <w:ind w:left="720"/>
        <w:rPr>
          <w:rFonts w:ascii="Tahoma" w:hAnsi="Tahoma" w:cs="Tahoma"/>
          <w:sz w:val="24"/>
          <w:szCs w:val="24"/>
        </w:rPr>
      </w:pPr>
    </w:p>
    <w:p w14:paraId="59FB1923" w14:textId="040A0CAF" w:rsidR="00064C75" w:rsidRPr="005448F6" w:rsidRDefault="00610A27" w:rsidP="00627796">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7</w:t>
      </w:r>
      <w:r w:rsidRPr="005448F6">
        <w:rPr>
          <w:rFonts w:ascii="Tahoma" w:eastAsia="Times New Roman" w:hAnsi="Tahoma" w:cs="Tahoma"/>
          <w:b/>
          <w:sz w:val="24"/>
          <w:szCs w:val="24"/>
        </w:rPr>
        <w:t>2</w:t>
      </w:r>
      <w:r w:rsidR="00627796" w:rsidRPr="005448F6">
        <w:rPr>
          <w:rFonts w:ascii="Tahoma" w:eastAsia="Times New Roman" w:hAnsi="Tahoma" w:cs="Tahoma"/>
          <w:b/>
          <w:sz w:val="24"/>
          <w:szCs w:val="24"/>
        </w:rPr>
        <w:t>:</w:t>
      </w:r>
      <w:r w:rsidR="00627796" w:rsidRPr="005448F6">
        <w:rPr>
          <w:rFonts w:ascii="Tahoma" w:eastAsia="Times New Roman" w:hAnsi="Tahoma" w:cs="Tahoma"/>
          <w:b/>
          <w:sz w:val="24"/>
          <w:szCs w:val="24"/>
        </w:rPr>
        <w:tab/>
      </w:r>
      <w:r w:rsidR="00064C75" w:rsidRPr="005448F6">
        <w:rPr>
          <w:rFonts w:ascii="Tahoma" w:eastAsia="Times New Roman" w:hAnsi="Tahoma" w:cs="Tahoma"/>
          <w:b/>
          <w:sz w:val="24"/>
          <w:szCs w:val="24"/>
        </w:rPr>
        <w:t xml:space="preserve">There's a green hydrogen requirement mentioned, however </w:t>
      </w:r>
      <w:r w:rsidR="00B06566">
        <w:rPr>
          <w:rFonts w:ascii="Tahoma" w:eastAsia="Times New Roman" w:hAnsi="Tahoma" w:cs="Tahoma"/>
          <w:b/>
          <w:sz w:val="24"/>
          <w:szCs w:val="24"/>
        </w:rPr>
        <w:t xml:space="preserve">fuel </w:t>
      </w:r>
      <w:r w:rsidR="00553E24">
        <w:rPr>
          <w:rFonts w:ascii="Tahoma" w:eastAsia="Times New Roman" w:hAnsi="Tahoma" w:cs="Tahoma"/>
          <w:b/>
          <w:sz w:val="24"/>
          <w:szCs w:val="24"/>
        </w:rPr>
        <w:t>procurement is</w:t>
      </w:r>
      <w:r w:rsidR="00064C75" w:rsidRPr="005448F6">
        <w:rPr>
          <w:rFonts w:ascii="Tahoma" w:eastAsia="Times New Roman" w:hAnsi="Tahoma" w:cs="Tahoma"/>
          <w:b/>
          <w:sz w:val="24"/>
          <w:szCs w:val="24"/>
        </w:rPr>
        <w:t xml:space="preserve"> </w:t>
      </w:r>
      <w:r w:rsidR="00553E24">
        <w:rPr>
          <w:rFonts w:ascii="Tahoma" w:eastAsia="Times New Roman" w:hAnsi="Tahoma" w:cs="Tahoma"/>
          <w:b/>
          <w:sz w:val="24"/>
          <w:szCs w:val="24"/>
        </w:rPr>
        <w:t>considered an</w:t>
      </w:r>
      <w:r w:rsidR="00064C75" w:rsidRPr="005448F6">
        <w:rPr>
          <w:rFonts w:ascii="Tahoma" w:eastAsia="Times New Roman" w:hAnsi="Tahoma" w:cs="Tahoma"/>
          <w:b/>
          <w:sz w:val="24"/>
          <w:szCs w:val="24"/>
        </w:rPr>
        <w:t xml:space="preserve"> </w:t>
      </w:r>
      <w:r w:rsidR="002D507A">
        <w:rPr>
          <w:rFonts w:ascii="Tahoma" w:eastAsia="Times New Roman" w:hAnsi="Tahoma" w:cs="Tahoma"/>
          <w:b/>
          <w:sz w:val="24"/>
          <w:szCs w:val="24"/>
        </w:rPr>
        <w:t>operating expense</w:t>
      </w:r>
      <w:r w:rsidR="002D507A" w:rsidRPr="005448F6">
        <w:rPr>
          <w:rFonts w:ascii="Tahoma" w:eastAsia="Times New Roman" w:hAnsi="Tahoma" w:cs="Tahoma"/>
          <w:b/>
          <w:sz w:val="24"/>
          <w:szCs w:val="24"/>
        </w:rPr>
        <w:t xml:space="preserve"> </w:t>
      </w:r>
      <w:r w:rsidR="00064C75" w:rsidRPr="005448F6">
        <w:rPr>
          <w:rFonts w:ascii="Tahoma" w:eastAsia="Times New Roman" w:hAnsi="Tahoma" w:cs="Tahoma"/>
          <w:b/>
          <w:sz w:val="24"/>
          <w:szCs w:val="24"/>
        </w:rPr>
        <w:t xml:space="preserve">instead of </w:t>
      </w:r>
      <w:r w:rsidR="00591B3B">
        <w:rPr>
          <w:rFonts w:ascii="Tahoma" w:eastAsia="Times New Roman" w:hAnsi="Tahoma" w:cs="Tahoma"/>
          <w:b/>
          <w:sz w:val="24"/>
          <w:szCs w:val="24"/>
        </w:rPr>
        <w:t xml:space="preserve">a </w:t>
      </w:r>
      <w:r w:rsidR="003B2A3C">
        <w:rPr>
          <w:rFonts w:ascii="Tahoma" w:eastAsia="Times New Roman" w:hAnsi="Tahoma" w:cs="Tahoma"/>
          <w:b/>
          <w:sz w:val="24"/>
          <w:szCs w:val="24"/>
        </w:rPr>
        <w:t>capital expenditure</w:t>
      </w:r>
      <w:r w:rsidR="00064C75" w:rsidRPr="005448F6">
        <w:rPr>
          <w:rFonts w:ascii="Tahoma" w:eastAsia="Times New Roman" w:hAnsi="Tahoma" w:cs="Tahoma"/>
          <w:b/>
          <w:sz w:val="24"/>
          <w:szCs w:val="24"/>
        </w:rPr>
        <w:t xml:space="preserve">. Is it possible to use the </w:t>
      </w:r>
      <w:r w:rsidR="00591B3B">
        <w:rPr>
          <w:rFonts w:ascii="Tahoma" w:eastAsia="Times New Roman" w:hAnsi="Tahoma" w:cs="Tahoma"/>
          <w:b/>
          <w:sz w:val="24"/>
          <w:szCs w:val="24"/>
        </w:rPr>
        <w:t xml:space="preserve">CEC </w:t>
      </w:r>
      <w:r w:rsidR="00064C75" w:rsidRPr="005448F6">
        <w:rPr>
          <w:rFonts w:ascii="Tahoma" w:eastAsia="Times New Roman" w:hAnsi="Tahoma" w:cs="Tahoma"/>
          <w:b/>
          <w:sz w:val="24"/>
          <w:szCs w:val="24"/>
        </w:rPr>
        <w:t>funds to install hydrogen stations and then select whatever hydrogen is available?</w:t>
      </w:r>
      <w:r w:rsidR="005D17C5" w:rsidRPr="005448F6">
        <w:rPr>
          <w:rFonts w:ascii="Tahoma" w:eastAsia="Times New Roman" w:hAnsi="Tahoma" w:cs="Tahoma"/>
          <w:b/>
          <w:sz w:val="24"/>
          <w:szCs w:val="24"/>
        </w:rPr>
        <w:t xml:space="preserve"> </w:t>
      </w:r>
    </w:p>
    <w:p w14:paraId="530C664F" w14:textId="77777777" w:rsidR="00CF1250" w:rsidRPr="005448F6" w:rsidRDefault="00CF1250" w:rsidP="00627796">
      <w:pPr>
        <w:spacing w:after="0" w:line="240" w:lineRule="auto"/>
        <w:ind w:left="720" w:hanging="720"/>
        <w:rPr>
          <w:rFonts w:ascii="Tahoma" w:eastAsia="Times New Roman" w:hAnsi="Tahoma" w:cs="Tahoma"/>
          <w:b/>
          <w:sz w:val="24"/>
          <w:szCs w:val="24"/>
        </w:rPr>
      </w:pPr>
    </w:p>
    <w:p w14:paraId="16FFB643" w14:textId="391899A0" w:rsidR="00860C80" w:rsidRPr="005448F6" w:rsidRDefault="00610A27" w:rsidP="00627796">
      <w:pPr>
        <w:spacing w:after="0" w:line="240" w:lineRule="auto"/>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7</w:t>
      </w:r>
      <w:r w:rsidRPr="005448F6">
        <w:rPr>
          <w:rFonts w:ascii="Tahoma" w:hAnsi="Tahoma" w:cs="Tahoma"/>
          <w:sz w:val="24"/>
          <w:szCs w:val="24"/>
        </w:rPr>
        <w:t>2</w:t>
      </w:r>
      <w:r w:rsidR="00860C80" w:rsidRPr="005448F6">
        <w:rPr>
          <w:rFonts w:ascii="Tahoma" w:hAnsi="Tahoma" w:cs="Tahoma"/>
          <w:sz w:val="24"/>
          <w:szCs w:val="24"/>
        </w:rPr>
        <w:t>:</w:t>
      </w:r>
      <w:r w:rsidR="00860C80" w:rsidRPr="005448F6">
        <w:rPr>
          <w:rFonts w:ascii="Tahoma" w:hAnsi="Tahoma" w:cs="Tahoma"/>
          <w:sz w:val="24"/>
          <w:szCs w:val="24"/>
        </w:rPr>
        <w:tab/>
      </w:r>
      <w:r w:rsidR="00516C15" w:rsidRPr="005448F6">
        <w:rPr>
          <w:rFonts w:ascii="Tahoma" w:hAnsi="Tahoma" w:cs="Tahoma"/>
          <w:sz w:val="24"/>
          <w:szCs w:val="24"/>
        </w:rPr>
        <w:t xml:space="preserve">As stated in </w:t>
      </w:r>
      <w:r w:rsidR="00591B3B">
        <w:rPr>
          <w:rFonts w:ascii="Tahoma" w:hAnsi="Tahoma" w:cs="Tahoma"/>
          <w:sz w:val="24"/>
          <w:szCs w:val="24"/>
        </w:rPr>
        <w:t>Section</w:t>
      </w:r>
      <w:r w:rsidR="00516C15" w:rsidRPr="005448F6">
        <w:rPr>
          <w:rFonts w:ascii="Tahoma" w:hAnsi="Tahoma" w:cs="Tahoma"/>
          <w:sz w:val="24"/>
          <w:szCs w:val="24"/>
        </w:rPr>
        <w:t xml:space="preserve"> </w:t>
      </w:r>
      <w:r w:rsidR="00D97DA7" w:rsidRPr="005448F6">
        <w:rPr>
          <w:rFonts w:ascii="Tahoma" w:hAnsi="Tahoma" w:cs="Tahoma"/>
          <w:sz w:val="24"/>
          <w:szCs w:val="24"/>
        </w:rPr>
        <w:t>II.B</w:t>
      </w:r>
      <w:r w:rsidR="00516C15" w:rsidRPr="005448F6">
        <w:rPr>
          <w:rFonts w:ascii="Tahoma" w:hAnsi="Tahoma" w:cs="Tahoma"/>
          <w:sz w:val="24"/>
          <w:szCs w:val="24"/>
        </w:rPr>
        <w:t>.6</w:t>
      </w:r>
      <w:r w:rsidR="00D97DA7" w:rsidRPr="005448F6">
        <w:rPr>
          <w:rFonts w:ascii="Tahoma" w:hAnsi="Tahoma" w:cs="Tahoma"/>
          <w:sz w:val="24"/>
          <w:szCs w:val="24"/>
        </w:rPr>
        <w:t>, h</w:t>
      </w:r>
      <w:r w:rsidR="001902AA" w:rsidRPr="005448F6">
        <w:rPr>
          <w:rFonts w:ascii="Tahoma" w:hAnsi="Tahoma" w:cs="Tahoma"/>
          <w:sz w:val="24"/>
          <w:szCs w:val="24"/>
        </w:rPr>
        <w:t xml:space="preserve">ydrogen </w:t>
      </w:r>
      <w:r w:rsidR="00516C15" w:rsidRPr="005448F6">
        <w:rPr>
          <w:rFonts w:ascii="Tahoma" w:hAnsi="Tahoma" w:cs="Tahoma"/>
          <w:sz w:val="24"/>
          <w:szCs w:val="24"/>
        </w:rPr>
        <w:t>refueling station</w:t>
      </w:r>
      <w:r w:rsidR="00271E1D" w:rsidRPr="005448F6">
        <w:rPr>
          <w:rFonts w:ascii="Tahoma" w:hAnsi="Tahoma" w:cs="Tahoma"/>
          <w:sz w:val="24"/>
          <w:szCs w:val="24"/>
        </w:rPr>
        <w:t>(</w:t>
      </w:r>
      <w:r w:rsidR="00516C15" w:rsidRPr="005448F6">
        <w:rPr>
          <w:rFonts w:ascii="Tahoma" w:hAnsi="Tahoma" w:cs="Tahoma"/>
          <w:sz w:val="24"/>
          <w:szCs w:val="24"/>
        </w:rPr>
        <w:t>s</w:t>
      </w:r>
      <w:r w:rsidR="00271E1D" w:rsidRPr="005448F6">
        <w:rPr>
          <w:rFonts w:ascii="Tahoma" w:hAnsi="Tahoma" w:cs="Tahoma"/>
          <w:sz w:val="24"/>
          <w:szCs w:val="24"/>
        </w:rPr>
        <w:t xml:space="preserve">) funded under this solicitation shall dispense renewable hydrogen to comply with </w:t>
      </w:r>
      <w:r w:rsidR="00F41806" w:rsidRPr="005448F6">
        <w:rPr>
          <w:rFonts w:ascii="Tahoma" w:hAnsi="Tahoma" w:cs="Tahoma"/>
          <w:sz w:val="24"/>
          <w:szCs w:val="24"/>
        </w:rPr>
        <w:t>the requirements specified in the CARB LCFS regulation</w:t>
      </w:r>
      <w:r w:rsidR="007F09AC" w:rsidRPr="005448F6">
        <w:rPr>
          <w:rFonts w:ascii="Tahoma" w:hAnsi="Tahoma" w:cs="Tahoma"/>
          <w:sz w:val="24"/>
          <w:szCs w:val="24"/>
        </w:rPr>
        <w:t xml:space="preserve"> </w:t>
      </w:r>
      <w:r w:rsidR="00A85318" w:rsidRPr="000718BF">
        <w:rPr>
          <w:rStyle w:val="normaltextrun"/>
          <w:rFonts w:ascii="Tahoma" w:hAnsi="Tahoma" w:cs="Tahoma"/>
          <w:sz w:val="24"/>
          <w:szCs w:val="24"/>
        </w:rPr>
        <w:t>found at https://ww2.arb.ca.gov/sites/default/files/2020-07/2020_lcfs_fro_oal-approved_unofficial_06302020.pdf</w:t>
      </w:r>
      <w:r w:rsidR="00A85318" w:rsidRPr="005448F6">
        <w:rPr>
          <w:rFonts w:ascii="Tahoma" w:hAnsi="Tahoma" w:cs="Tahoma"/>
          <w:sz w:val="24"/>
          <w:szCs w:val="24"/>
        </w:rPr>
        <w:t xml:space="preserve"> </w:t>
      </w:r>
      <w:r w:rsidR="007F09AC" w:rsidRPr="005448F6">
        <w:rPr>
          <w:rFonts w:ascii="Tahoma" w:hAnsi="Tahoma" w:cs="Tahoma"/>
          <w:sz w:val="24"/>
          <w:szCs w:val="24"/>
        </w:rPr>
        <w:t xml:space="preserve">and </w:t>
      </w:r>
      <w:r w:rsidR="00184AD0" w:rsidRPr="005448F6">
        <w:rPr>
          <w:rFonts w:ascii="Tahoma" w:hAnsi="Tahoma" w:cs="Tahoma"/>
          <w:sz w:val="24"/>
          <w:szCs w:val="24"/>
        </w:rPr>
        <w:t xml:space="preserve">shall report </w:t>
      </w:r>
      <w:r w:rsidR="00BF1801" w:rsidRPr="005448F6">
        <w:rPr>
          <w:rFonts w:ascii="Tahoma" w:hAnsi="Tahoma" w:cs="Tahoma"/>
          <w:sz w:val="24"/>
          <w:szCs w:val="24"/>
        </w:rPr>
        <w:t xml:space="preserve">quarterly </w:t>
      </w:r>
      <w:r w:rsidR="00184AD0" w:rsidRPr="005448F6">
        <w:rPr>
          <w:rFonts w:ascii="Tahoma" w:hAnsi="Tahoma" w:cs="Tahoma"/>
          <w:sz w:val="24"/>
          <w:szCs w:val="24"/>
        </w:rPr>
        <w:t>on hydrogen dispensed</w:t>
      </w:r>
      <w:r w:rsidR="00A85318">
        <w:rPr>
          <w:rFonts w:ascii="Tahoma" w:hAnsi="Tahoma" w:cs="Tahoma"/>
          <w:sz w:val="24"/>
          <w:szCs w:val="24"/>
        </w:rPr>
        <w:t xml:space="preserve"> once the station becomes operational. </w:t>
      </w:r>
    </w:p>
    <w:p w14:paraId="10EC2CCB" w14:textId="77777777" w:rsidR="00521104" w:rsidRPr="005448F6" w:rsidRDefault="00521104" w:rsidP="00064C75">
      <w:pPr>
        <w:spacing w:after="0" w:line="240" w:lineRule="auto"/>
        <w:ind w:left="720"/>
        <w:rPr>
          <w:rFonts w:ascii="Tahoma" w:hAnsi="Tahoma" w:cs="Tahoma"/>
          <w:sz w:val="24"/>
          <w:szCs w:val="24"/>
        </w:rPr>
      </w:pPr>
    </w:p>
    <w:p w14:paraId="12A8D745" w14:textId="2359883B" w:rsidR="00BA194A" w:rsidRPr="005448F6" w:rsidRDefault="00610A27" w:rsidP="00DC0931">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73</w:t>
      </w:r>
      <w:r w:rsidR="00DC0931" w:rsidRPr="005448F6">
        <w:rPr>
          <w:rFonts w:ascii="Tahoma" w:eastAsia="Times New Roman" w:hAnsi="Tahoma" w:cs="Tahoma"/>
          <w:b/>
          <w:sz w:val="24"/>
          <w:szCs w:val="24"/>
        </w:rPr>
        <w:t>:</w:t>
      </w:r>
      <w:r w:rsidR="00DC0931">
        <w:tab/>
      </w:r>
      <w:r w:rsidR="00BA194A" w:rsidRPr="005448F6">
        <w:rPr>
          <w:rFonts w:ascii="Tahoma" w:eastAsia="Times New Roman" w:hAnsi="Tahoma" w:cs="Tahoma"/>
          <w:b/>
          <w:sz w:val="24"/>
          <w:szCs w:val="24"/>
        </w:rPr>
        <w:t xml:space="preserve">Currently, many </w:t>
      </w:r>
      <w:r w:rsidR="00296E11" w:rsidRPr="005448F6">
        <w:rPr>
          <w:rFonts w:ascii="Tahoma" w:eastAsia="Times New Roman" w:hAnsi="Tahoma" w:cs="Tahoma"/>
          <w:b/>
          <w:sz w:val="24"/>
          <w:szCs w:val="24"/>
        </w:rPr>
        <w:t>Cargo Handling Equipment (CHE)</w:t>
      </w:r>
      <w:r w:rsidR="00296E11">
        <w:rPr>
          <w:rFonts w:ascii="Tahoma" w:eastAsia="Times New Roman" w:hAnsi="Tahoma" w:cs="Tahoma"/>
          <w:b/>
          <w:sz w:val="24"/>
          <w:szCs w:val="24"/>
        </w:rPr>
        <w:t xml:space="preserve"> </w:t>
      </w:r>
      <w:r w:rsidR="00BA194A" w:rsidRPr="005448F6">
        <w:rPr>
          <w:rFonts w:ascii="Tahoma" w:eastAsia="Times New Roman" w:hAnsi="Tahoma" w:cs="Tahoma"/>
          <w:b/>
          <w:sz w:val="24"/>
          <w:szCs w:val="24"/>
        </w:rPr>
        <w:t xml:space="preserve">at </w:t>
      </w:r>
      <w:r w:rsidR="00296E11">
        <w:rPr>
          <w:rFonts w:ascii="Tahoma" w:eastAsia="Times New Roman" w:hAnsi="Tahoma" w:cs="Tahoma"/>
          <w:b/>
          <w:sz w:val="24"/>
          <w:szCs w:val="24"/>
        </w:rPr>
        <w:t>the P</w:t>
      </w:r>
      <w:r w:rsidR="00BA194A" w:rsidRPr="005448F6">
        <w:rPr>
          <w:rFonts w:ascii="Tahoma" w:eastAsia="Times New Roman" w:hAnsi="Tahoma" w:cs="Tahoma"/>
          <w:b/>
          <w:sz w:val="24"/>
          <w:szCs w:val="24"/>
        </w:rPr>
        <w:t>orts of L</w:t>
      </w:r>
      <w:r w:rsidR="00296E11">
        <w:rPr>
          <w:rFonts w:ascii="Tahoma" w:eastAsia="Times New Roman" w:hAnsi="Tahoma" w:cs="Tahoma"/>
          <w:b/>
          <w:sz w:val="24"/>
          <w:szCs w:val="24"/>
        </w:rPr>
        <w:t xml:space="preserve">os Angeles and </w:t>
      </w:r>
      <w:r w:rsidR="00BA194A" w:rsidRPr="005448F6">
        <w:rPr>
          <w:rFonts w:ascii="Tahoma" w:eastAsia="Times New Roman" w:hAnsi="Tahoma" w:cs="Tahoma"/>
          <w:b/>
          <w:sz w:val="24"/>
          <w:szCs w:val="24"/>
        </w:rPr>
        <w:t>L</w:t>
      </w:r>
      <w:r w:rsidR="00296E11">
        <w:rPr>
          <w:rFonts w:ascii="Tahoma" w:eastAsia="Times New Roman" w:hAnsi="Tahoma" w:cs="Tahoma"/>
          <w:b/>
          <w:sz w:val="24"/>
          <w:szCs w:val="24"/>
        </w:rPr>
        <w:t xml:space="preserve">ong </w:t>
      </w:r>
      <w:r w:rsidR="00BA194A" w:rsidRPr="005448F6">
        <w:rPr>
          <w:rFonts w:ascii="Tahoma" w:eastAsia="Times New Roman" w:hAnsi="Tahoma" w:cs="Tahoma"/>
          <w:b/>
          <w:sz w:val="24"/>
          <w:szCs w:val="24"/>
        </w:rPr>
        <w:t>B</w:t>
      </w:r>
      <w:r w:rsidR="00296E11">
        <w:rPr>
          <w:rFonts w:ascii="Tahoma" w:eastAsia="Times New Roman" w:hAnsi="Tahoma" w:cs="Tahoma"/>
          <w:b/>
          <w:sz w:val="24"/>
          <w:szCs w:val="24"/>
        </w:rPr>
        <w:t>each</w:t>
      </w:r>
      <w:r w:rsidR="00BA194A" w:rsidRPr="005448F6">
        <w:rPr>
          <w:rFonts w:ascii="Tahoma" w:eastAsia="Times New Roman" w:hAnsi="Tahoma" w:cs="Tahoma"/>
          <w:b/>
          <w:sz w:val="24"/>
          <w:szCs w:val="24"/>
        </w:rPr>
        <w:t xml:space="preserve"> get refueled </w:t>
      </w:r>
      <w:r w:rsidR="00296E11">
        <w:rPr>
          <w:rFonts w:ascii="Tahoma" w:eastAsia="Times New Roman" w:hAnsi="Tahoma" w:cs="Tahoma"/>
          <w:b/>
          <w:sz w:val="24"/>
          <w:szCs w:val="24"/>
        </w:rPr>
        <w:t xml:space="preserve">with </w:t>
      </w:r>
      <w:r w:rsidR="00BA194A" w:rsidRPr="005448F6">
        <w:rPr>
          <w:rFonts w:ascii="Tahoma" w:eastAsia="Times New Roman" w:hAnsi="Tahoma" w:cs="Tahoma"/>
          <w:b/>
          <w:sz w:val="24"/>
          <w:szCs w:val="24"/>
        </w:rPr>
        <w:t xml:space="preserve">diesel during the downtime from 3 </w:t>
      </w:r>
      <w:r w:rsidR="00296E11">
        <w:rPr>
          <w:rFonts w:ascii="Tahoma" w:eastAsia="Times New Roman" w:hAnsi="Tahoma" w:cs="Tahoma"/>
          <w:b/>
          <w:sz w:val="24"/>
          <w:szCs w:val="24"/>
        </w:rPr>
        <w:t xml:space="preserve">AM </w:t>
      </w:r>
      <w:r w:rsidR="00BA194A" w:rsidRPr="005448F6">
        <w:rPr>
          <w:rFonts w:ascii="Tahoma" w:eastAsia="Times New Roman" w:hAnsi="Tahoma" w:cs="Tahoma"/>
          <w:b/>
          <w:sz w:val="24"/>
          <w:szCs w:val="24"/>
        </w:rPr>
        <w:t>to 7</w:t>
      </w:r>
      <w:r w:rsidR="00296E11">
        <w:rPr>
          <w:rFonts w:ascii="Tahoma" w:eastAsia="Times New Roman" w:hAnsi="Tahoma" w:cs="Tahoma"/>
          <w:b/>
          <w:sz w:val="24"/>
          <w:szCs w:val="24"/>
        </w:rPr>
        <w:t xml:space="preserve"> AM</w:t>
      </w:r>
      <w:r w:rsidR="00BA194A" w:rsidRPr="005448F6">
        <w:rPr>
          <w:rFonts w:ascii="Tahoma" w:eastAsia="Times New Roman" w:hAnsi="Tahoma" w:cs="Tahoma"/>
          <w:b/>
          <w:sz w:val="24"/>
          <w:szCs w:val="24"/>
        </w:rPr>
        <w:t>, therefore, I see a challenge to be compliant with uptime requirement. If the infrastructure performs refueling within the downtime more than threshold, is it allowed?</w:t>
      </w:r>
    </w:p>
    <w:p w14:paraId="5E455887" w14:textId="77777777" w:rsidR="00CF1250" w:rsidRPr="005448F6" w:rsidRDefault="00CF1250" w:rsidP="00DC0931">
      <w:pPr>
        <w:spacing w:after="0" w:line="240" w:lineRule="auto"/>
        <w:ind w:left="720" w:hanging="720"/>
        <w:rPr>
          <w:rFonts w:ascii="Tahoma" w:eastAsia="Times New Roman" w:hAnsi="Tahoma" w:cs="Tahoma"/>
          <w:b/>
          <w:sz w:val="24"/>
          <w:szCs w:val="24"/>
        </w:rPr>
      </w:pPr>
    </w:p>
    <w:p w14:paraId="45E898FD" w14:textId="63872EB2" w:rsidR="00BA194A"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73</w:t>
      </w:r>
      <w:r w:rsidR="004E7528" w:rsidRPr="005448F6">
        <w:rPr>
          <w:rFonts w:ascii="Tahoma" w:hAnsi="Tahoma" w:cs="Tahoma"/>
          <w:sz w:val="24"/>
          <w:szCs w:val="24"/>
        </w:rPr>
        <w:t>:</w:t>
      </w:r>
      <w:r w:rsidR="004E7528">
        <w:tab/>
      </w:r>
      <w:r w:rsidR="00AC03FA" w:rsidRPr="00CA1EAE">
        <w:rPr>
          <w:rFonts w:ascii="Tahoma" w:hAnsi="Tahoma" w:cs="Tahoma"/>
          <w:sz w:val="24"/>
          <w:szCs w:val="24"/>
        </w:rPr>
        <w:t>For hydrogen refueling station projects</w:t>
      </w:r>
      <w:r w:rsidR="00AC03FA">
        <w:t xml:space="preserve">, </w:t>
      </w:r>
      <w:r w:rsidR="00F23C75" w:rsidRPr="005448F6">
        <w:rPr>
          <w:rFonts w:ascii="Tahoma" w:hAnsi="Tahoma" w:cs="Tahoma"/>
          <w:sz w:val="24"/>
          <w:szCs w:val="24"/>
        </w:rPr>
        <w:t>“</w:t>
      </w:r>
      <w:r w:rsidR="00AC03FA">
        <w:rPr>
          <w:rFonts w:ascii="Tahoma" w:hAnsi="Tahoma" w:cs="Tahoma"/>
          <w:sz w:val="24"/>
          <w:szCs w:val="24"/>
        </w:rPr>
        <w:t>u</w:t>
      </w:r>
      <w:r w:rsidR="004E5B63" w:rsidRPr="005448F6">
        <w:rPr>
          <w:rFonts w:ascii="Tahoma" w:hAnsi="Tahoma" w:cs="Tahoma"/>
          <w:sz w:val="24"/>
          <w:szCs w:val="24"/>
        </w:rPr>
        <w:t>ptime</w:t>
      </w:r>
      <w:r w:rsidR="00F23C75" w:rsidRPr="005448F6">
        <w:rPr>
          <w:rFonts w:ascii="Tahoma" w:hAnsi="Tahoma" w:cs="Tahoma"/>
          <w:sz w:val="24"/>
          <w:szCs w:val="24"/>
        </w:rPr>
        <w:t xml:space="preserve">” is defined </w:t>
      </w:r>
      <w:r w:rsidR="006A523C" w:rsidRPr="005448F6">
        <w:rPr>
          <w:rFonts w:ascii="Tahoma" w:hAnsi="Tahoma" w:cs="Tahoma"/>
          <w:sz w:val="24"/>
          <w:szCs w:val="24"/>
        </w:rPr>
        <w:t>as</w:t>
      </w:r>
      <w:r w:rsidR="009D2910" w:rsidRPr="005448F6">
        <w:rPr>
          <w:rFonts w:ascii="Tahoma" w:hAnsi="Tahoma" w:cs="Tahoma"/>
          <w:sz w:val="24"/>
          <w:szCs w:val="24"/>
        </w:rPr>
        <w:t xml:space="preserve"> (total hours the station is available over the quarter / the total possible hours of operati</w:t>
      </w:r>
      <w:r w:rsidR="00C848C1" w:rsidRPr="005448F6">
        <w:rPr>
          <w:rFonts w:ascii="Tahoma" w:hAnsi="Tahoma" w:cs="Tahoma"/>
          <w:sz w:val="24"/>
          <w:szCs w:val="24"/>
        </w:rPr>
        <w:t>o</w:t>
      </w:r>
      <w:r w:rsidR="009D2910" w:rsidRPr="005448F6">
        <w:rPr>
          <w:rFonts w:ascii="Tahoma" w:hAnsi="Tahoma" w:cs="Tahoma"/>
          <w:sz w:val="24"/>
          <w:szCs w:val="24"/>
        </w:rPr>
        <w:t>n over the quarter) X 100</w:t>
      </w:r>
      <w:r w:rsidR="00375C41" w:rsidRPr="005448F6">
        <w:rPr>
          <w:rFonts w:ascii="Tahoma" w:hAnsi="Tahoma" w:cs="Tahoma"/>
          <w:sz w:val="24"/>
          <w:szCs w:val="24"/>
        </w:rPr>
        <w:t xml:space="preserve">. </w:t>
      </w:r>
      <w:r w:rsidR="004A190D">
        <w:rPr>
          <w:rFonts w:ascii="Tahoma" w:hAnsi="Tahoma" w:cs="Tahoma"/>
          <w:sz w:val="24"/>
          <w:szCs w:val="24"/>
        </w:rPr>
        <w:t>Applicants shall commit to achieving 95% uptime at each eligible</w:t>
      </w:r>
      <w:r w:rsidR="00326CFE">
        <w:rPr>
          <w:rFonts w:ascii="Tahoma" w:hAnsi="Tahoma" w:cs="Tahoma"/>
          <w:sz w:val="24"/>
          <w:szCs w:val="24"/>
        </w:rPr>
        <w:t xml:space="preserve"> hydrogen refueling station included in their</w:t>
      </w:r>
      <w:r w:rsidR="0018627B">
        <w:rPr>
          <w:rFonts w:ascii="Tahoma" w:hAnsi="Tahoma" w:cs="Tahoma"/>
          <w:sz w:val="24"/>
          <w:szCs w:val="24"/>
        </w:rPr>
        <w:t xml:space="preserve"> </w:t>
      </w:r>
      <w:r w:rsidR="00CD2B77">
        <w:rPr>
          <w:rFonts w:ascii="Tahoma" w:hAnsi="Tahoma" w:cs="Tahoma"/>
          <w:sz w:val="24"/>
          <w:szCs w:val="24"/>
        </w:rPr>
        <w:t>application if awarded under this solicitation.</w:t>
      </w:r>
      <w:r w:rsidR="00375C41" w:rsidRPr="005448F6">
        <w:rPr>
          <w:rFonts w:ascii="Tahoma" w:hAnsi="Tahoma" w:cs="Tahoma"/>
          <w:sz w:val="24"/>
          <w:szCs w:val="24"/>
        </w:rPr>
        <w:t xml:space="preserve"> </w:t>
      </w:r>
      <w:r w:rsidR="0073370D">
        <w:rPr>
          <w:rFonts w:ascii="Tahoma" w:hAnsi="Tahoma" w:cs="Tahoma"/>
          <w:sz w:val="24"/>
          <w:szCs w:val="24"/>
        </w:rPr>
        <w:t xml:space="preserve">For </w:t>
      </w:r>
      <w:r w:rsidR="00767EC4">
        <w:rPr>
          <w:rFonts w:ascii="Tahoma" w:hAnsi="Tahoma" w:cs="Tahoma"/>
          <w:sz w:val="24"/>
          <w:szCs w:val="24"/>
        </w:rPr>
        <w:t xml:space="preserve">EV charging infrastructure projects, </w:t>
      </w:r>
      <w:r w:rsidR="00B7020F">
        <w:rPr>
          <w:rFonts w:ascii="Tahoma" w:hAnsi="Tahoma" w:cs="Tahoma"/>
          <w:sz w:val="24"/>
          <w:szCs w:val="24"/>
        </w:rPr>
        <w:t>the charging port uptime for each charging port installed in the project must be at least 97% of each year for si</w:t>
      </w:r>
      <w:r w:rsidR="001132BA">
        <w:rPr>
          <w:rFonts w:ascii="Tahoma" w:hAnsi="Tahoma" w:cs="Tahoma"/>
          <w:sz w:val="24"/>
          <w:szCs w:val="24"/>
        </w:rPr>
        <w:t>x</w:t>
      </w:r>
      <w:r w:rsidR="00B7020F">
        <w:rPr>
          <w:rFonts w:ascii="Tahoma" w:hAnsi="Tahoma" w:cs="Tahoma"/>
          <w:sz w:val="24"/>
          <w:szCs w:val="24"/>
        </w:rPr>
        <w:t xml:space="preserve"> years after the </w:t>
      </w:r>
      <w:r w:rsidR="001132BA">
        <w:rPr>
          <w:rFonts w:ascii="Tahoma" w:hAnsi="Tahoma" w:cs="Tahoma"/>
          <w:sz w:val="24"/>
          <w:szCs w:val="24"/>
        </w:rPr>
        <w:t>beginning of operation.</w:t>
      </w:r>
      <w:r w:rsidR="00564889">
        <w:rPr>
          <w:rFonts w:ascii="Tahoma" w:hAnsi="Tahoma" w:cs="Tahoma"/>
          <w:sz w:val="24"/>
          <w:szCs w:val="24"/>
        </w:rPr>
        <w:t xml:space="preserve"> See the Scope of Work </w:t>
      </w:r>
      <w:r w:rsidR="004F1F34">
        <w:rPr>
          <w:rFonts w:ascii="Tahoma" w:hAnsi="Tahoma" w:cs="Tahoma"/>
          <w:sz w:val="24"/>
          <w:szCs w:val="24"/>
        </w:rPr>
        <w:t xml:space="preserve">template </w:t>
      </w:r>
      <w:r w:rsidR="00564889">
        <w:rPr>
          <w:rFonts w:ascii="Tahoma" w:hAnsi="Tahoma" w:cs="Tahoma"/>
          <w:sz w:val="24"/>
          <w:szCs w:val="24"/>
        </w:rPr>
        <w:t xml:space="preserve">(Attachment 2) for more details on </w:t>
      </w:r>
      <w:r w:rsidR="00317B94">
        <w:rPr>
          <w:rFonts w:ascii="Tahoma" w:hAnsi="Tahoma" w:cs="Tahoma"/>
          <w:sz w:val="24"/>
          <w:szCs w:val="24"/>
        </w:rPr>
        <w:t>operations and reliability requirements.</w:t>
      </w:r>
      <w:r w:rsidR="00871659" w:rsidRPr="005448F6">
        <w:rPr>
          <w:rFonts w:ascii="Tahoma" w:hAnsi="Tahoma" w:cs="Tahoma"/>
          <w:sz w:val="24"/>
          <w:szCs w:val="24"/>
        </w:rPr>
        <w:t xml:space="preserve"> </w:t>
      </w:r>
      <w:r w:rsidR="007032F6" w:rsidRPr="007032F6">
        <w:t xml:space="preserve"> </w:t>
      </w:r>
    </w:p>
    <w:p w14:paraId="019FFEB0" w14:textId="77777777" w:rsidR="004E7528" w:rsidRPr="005448F6" w:rsidRDefault="004E7528" w:rsidP="004E7528">
      <w:pPr>
        <w:spacing w:after="0" w:line="240" w:lineRule="auto"/>
        <w:rPr>
          <w:rFonts w:ascii="Tahoma" w:hAnsi="Tahoma" w:cs="Tahoma"/>
          <w:sz w:val="24"/>
          <w:szCs w:val="24"/>
        </w:rPr>
      </w:pPr>
    </w:p>
    <w:p w14:paraId="30A8F109" w14:textId="5F5AFFE1" w:rsidR="003B3FC1" w:rsidRPr="005448F6" w:rsidRDefault="00610A27" w:rsidP="000E327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74</w:t>
      </w:r>
      <w:r w:rsidR="000E3270" w:rsidRPr="005448F6">
        <w:rPr>
          <w:rFonts w:ascii="Tahoma" w:eastAsia="Times New Roman" w:hAnsi="Tahoma" w:cs="Tahoma"/>
          <w:b/>
          <w:sz w:val="24"/>
          <w:szCs w:val="24"/>
        </w:rPr>
        <w:t>:</w:t>
      </w:r>
      <w:r w:rsidR="000E3270" w:rsidRPr="005448F6">
        <w:rPr>
          <w:rFonts w:ascii="Tahoma" w:eastAsia="Times New Roman" w:hAnsi="Tahoma" w:cs="Tahoma"/>
          <w:b/>
          <w:sz w:val="24"/>
          <w:szCs w:val="24"/>
        </w:rPr>
        <w:tab/>
      </w:r>
      <w:r w:rsidR="00D47EE7" w:rsidRPr="005448F6">
        <w:rPr>
          <w:rFonts w:ascii="Tahoma" w:eastAsia="Times New Roman" w:hAnsi="Tahoma" w:cs="Tahoma"/>
          <w:b/>
          <w:sz w:val="24"/>
          <w:szCs w:val="24"/>
        </w:rPr>
        <w:t>Does the CEC require or prioritize smart charging, load management, or vehicle-to-grid (V2G) capability for DCFC installations?</w:t>
      </w:r>
    </w:p>
    <w:p w14:paraId="4C2D1E1A" w14:textId="77777777" w:rsidR="00CF1250" w:rsidRPr="005448F6" w:rsidRDefault="00CF1250" w:rsidP="000E3270">
      <w:pPr>
        <w:spacing w:after="0" w:line="240" w:lineRule="auto"/>
        <w:ind w:left="720" w:hanging="720"/>
        <w:rPr>
          <w:rFonts w:ascii="Tahoma" w:eastAsia="Times New Roman" w:hAnsi="Tahoma" w:cs="Tahoma"/>
          <w:b/>
          <w:sz w:val="24"/>
          <w:szCs w:val="24"/>
        </w:rPr>
      </w:pPr>
    </w:p>
    <w:p w14:paraId="092B4D07" w14:textId="339CD854" w:rsidR="00644CCC"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74</w:t>
      </w:r>
      <w:r w:rsidR="003B3FC1" w:rsidRPr="005448F6">
        <w:rPr>
          <w:rFonts w:ascii="Tahoma" w:hAnsi="Tahoma" w:cs="Tahoma"/>
          <w:sz w:val="24"/>
          <w:szCs w:val="24"/>
        </w:rPr>
        <w:t>:</w:t>
      </w:r>
      <w:r w:rsidR="003B3FC1" w:rsidRPr="005448F6">
        <w:rPr>
          <w:rFonts w:ascii="Tahoma" w:hAnsi="Tahoma" w:cs="Tahoma"/>
          <w:sz w:val="24"/>
          <w:szCs w:val="24"/>
        </w:rPr>
        <w:tab/>
      </w:r>
      <w:r w:rsidR="00644CCC" w:rsidRPr="005448F6">
        <w:rPr>
          <w:rFonts w:ascii="Tahoma" w:hAnsi="Tahoma" w:cs="Tahoma"/>
          <w:sz w:val="24"/>
          <w:szCs w:val="24"/>
        </w:rPr>
        <w:t>N</w:t>
      </w:r>
      <w:r w:rsidR="00105F11">
        <w:rPr>
          <w:rFonts w:ascii="Tahoma" w:hAnsi="Tahoma" w:cs="Tahoma"/>
          <w:sz w:val="24"/>
          <w:szCs w:val="24"/>
        </w:rPr>
        <w:t>o, n</w:t>
      </w:r>
      <w:r w:rsidR="00644CCC" w:rsidRPr="005448F6">
        <w:rPr>
          <w:rFonts w:ascii="Tahoma" w:hAnsi="Tahoma" w:cs="Tahoma"/>
          <w:sz w:val="24"/>
          <w:szCs w:val="24"/>
        </w:rPr>
        <w:t>o</w:t>
      </w:r>
      <w:r w:rsidR="000756AC" w:rsidRPr="005448F6">
        <w:rPr>
          <w:rFonts w:ascii="Tahoma" w:hAnsi="Tahoma" w:cs="Tahoma"/>
          <w:sz w:val="24"/>
          <w:szCs w:val="24"/>
        </w:rPr>
        <w:t xml:space="preserve">t for this </w:t>
      </w:r>
      <w:r w:rsidR="00105F11">
        <w:rPr>
          <w:rFonts w:ascii="Tahoma" w:hAnsi="Tahoma" w:cs="Tahoma"/>
          <w:sz w:val="24"/>
          <w:szCs w:val="24"/>
        </w:rPr>
        <w:t xml:space="preserve">specific </w:t>
      </w:r>
      <w:r w:rsidR="000756AC" w:rsidRPr="005448F6">
        <w:rPr>
          <w:rFonts w:ascii="Tahoma" w:hAnsi="Tahoma" w:cs="Tahoma"/>
          <w:sz w:val="24"/>
          <w:szCs w:val="24"/>
        </w:rPr>
        <w:t>solicitation.</w:t>
      </w:r>
    </w:p>
    <w:p w14:paraId="052A9C98" w14:textId="77777777" w:rsidR="00644CCC" w:rsidRPr="005448F6" w:rsidRDefault="00644CCC" w:rsidP="00D47EE7">
      <w:pPr>
        <w:spacing w:after="0" w:line="240" w:lineRule="auto"/>
        <w:ind w:left="720"/>
        <w:rPr>
          <w:rFonts w:ascii="Tahoma" w:hAnsi="Tahoma" w:cs="Tahoma"/>
          <w:sz w:val="24"/>
          <w:szCs w:val="24"/>
        </w:rPr>
      </w:pPr>
    </w:p>
    <w:p w14:paraId="60C08FC0" w14:textId="62F8DCAE" w:rsidR="00D47EE7" w:rsidRPr="005448F6" w:rsidRDefault="00610A27" w:rsidP="0080738C">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lastRenderedPageBreak/>
        <w:t>Q7</w:t>
      </w:r>
      <w:r>
        <w:rPr>
          <w:rFonts w:ascii="Tahoma" w:eastAsia="Times New Roman" w:hAnsi="Tahoma" w:cs="Tahoma"/>
          <w:b/>
          <w:sz w:val="24"/>
          <w:szCs w:val="24"/>
        </w:rPr>
        <w:t>5</w:t>
      </w:r>
      <w:r w:rsidR="0080738C" w:rsidRPr="005448F6">
        <w:rPr>
          <w:rFonts w:ascii="Tahoma" w:eastAsia="Times New Roman" w:hAnsi="Tahoma" w:cs="Tahoma"/>
          <w:b/>
          <w:sz w:val="24"/>
          <w:szCs w:val="24"/>
        </w:rPr>
        <w:t>:</w:t>
      </w:r>
      <w:r w:rsidR="0080738C" w:rsidRPr="005448F6">
        <w:rPr>
          <w:rFonts w:ascii="Tahoma" w:eastAsia="Times New Roman" w:hAnsi="Tahoma" w:cs="Tahoma"/>
          <w:b/>
          <w:sz w:val="24"/>
          <w:szCs w:val="24"/>
        </w:rPr>
        <w:tab/>
      </w:r>
      <w:r w:rsidR="00D47EE7" w:rsidRPr="005448F6">
        <w:rPr>
          <w:rFonts w:ascii="Tahoma" w:eastAsia="Times New Roman" w:hAnsi="Tahoma" w:cs="Tahoma"/>
          <w:b/>
          <w:sz w:val="24"/>
          <w:szCs w:val="24"/>
        </w:rPr>
        <w:t>Is there a preference for modular or scalable infrastructure designs that allow for future expansion?</w:t>
      </w:r>
    </w:p>
    <w:p w14:paraId="05554A07" w14:textId="77777777" w:rsidR="00CF1250" w:rsidRPr="005448F6" w:rsidRDefault="00CF1250" w:rsidP="0080738C">
      <w:pPr>
        <w:spacing w:after="0" w:line="240" w:lineRule="auto"/>
        <w:ind w:left="720" w:hanging="720"/>
        <w:rPr>
          <w:rFonts w:ascii="Tahoma" w:eastAsia="Times New Roman" w:hAnsi="Tahoma" w:cs="Tahoma"/>
          <w:b/>
          <w:sz w:val="24"/>
          <w:szCs w:val="24"/>
        </w:rPr>
      </w:pPr>
    </w:p>
    <w:p w14:paraId="463ED9DE" w14:textId="13C71908" w:rsidR="0080738C"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A7</w:t>
      </w:r>
      <w:r>
        <w:rPr>
          <w:rFonts w:ascii="Tahoma" w:hAnsi="Tahoma" w:cs="Tahoma"/>
          <w:sz w:val="24"/>
          <w:szCs w:val="24"/>
        </w:rPr>
        <w:t>5</w:t>
      </w:r>
      <w:r w:rsidR="0080738C" w:rsidRPr="005448F6">
        <w:rPr>
          <w:rFonts w:ascii="Tahoma" w:hAnsi="Tahoma" w:cs="Tahoma"/>
          <w:sz w:val="24"/>
          <w:szCs w:val="24"/>
        </w:rPr>
        <w:t>:</w:t>
      </w:r>
      <w:r w:rsidR="0080738C" w:rsidRPr="005448F6">
        <w:rPr>
          <w:rFonts w:ascii="Tahoma" w:hAnsi="Tahoma" w:cs="Tahoma"/>
          <w:sz w:val="24"/>
          <w:szCs w:val="24"/>
        </w:rPr>
        <w:tab/>
        <w:t>N</w:t>
      </w:r>
      <w:r w:rsidR="003A7D02" w:rsidRPr="005448F6">
        <w:rPr>
          <w:rFonts w:ascii="Tahoma" w:hAnsi="Tahoma" w:cs="Tahoma"/>
          <w:sz w:val="24"/>
          <w:szCs w:val="24"/>
        </w:rPr>
        <w:t>o</w:t>
      </w:r>
      <w:r w:rsidR="00105F11">
        <w:rPr>
          <w:rFonts w:ascii="Tahoma" w:hAnsi="Tahoma" w:cs="Tahoma"/>
          <w:sz w:val="24"/>
          <w:szCs w:val="24"/>
        </w:rPr>
        <w:t>, there is no preference or requirement.</w:t>
      </w:r>
    </w:p>
    <w:p w14:paraId="2B74E72D" w14:textId="77777777" w:rsidR="006C4CCC" w:rsidRPr="005448F6" w:rsidRDefault="006C4CCC" w:rsidP="00D47EE7">
      <w:pPr>
        <w:spacing w:after="0" w:line="240" w:lineRule="auto"/>
        <w:ind w:left="720"/>
        <w:rPr>
          <w:rFonts w:ascii="Tahoma" w:hAnsi="Tahoma" w:cs="Tahoma"/>
          <w:sz w:val="24"/>
          <w:szCs w:val="24"/>
        </w:rPr>
      </w:pPr>
    </w:p>
    <w:p w14:paraId="1E6D2D40" w14:textId="64A8CA53" w:rsidR="006C4CCC" w:rsidRPr="005448F6" w:rsidRDefault="00610A27" w:rsidP="003A7D02">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Q7</w:t>
      </w:r>
      <w:r>
        <w:rPr>
          <w:rFonts w:ascii="Tahoma" w:eastAsia="Times New Roman" w:hAnsi="Tahoma" w:cs="Tahoma"/>
          <w:b/>
          <w:sz w:val="24"/>
          <w:szCs w:val="24"/>
        </w:rPr>
        <w:t>6</w:t>
      </w:r>
      <w:r w:rsidR="003A7D02" w:rsidRPr="005448F6">
        <w:rPr>
          <w:rFonts w:ascii="Tahoma" w:eastAsia="Times New Roman" w:hAnsi="Tahoma" w:cs="Tahoma"/>
          <w:b/>
          <w:sz w:val="24"/>
          <w:szCs w:val="24"/>
        </w:rPr>
        <w:t>:</w:t>
      </w:r>
      <w:r w:rsidR="003A7D02" w:rsidRPr="005448F6">
        <w:rPr>
          <w:rFonts w:ascii="Tahoma" w:eastAsia="Times New Roman" w:hAnsi="Tahoma" w:cs="Tahoma"/>
          <w:b/>
          <w:sz w:val="24"/>
          <w:szCs w:val="24"/>
        </w:rPr>
        <w:tab/>
      </w:r>
      <w:r w:rsidR="006C4CCC" w:rsidRPr="005448F6">
        <w:rPr>
          <w:rFonts w:ascii="Tahoma" w:eastAsia="Times New Roman" w:hAnsi="Tahoma" w:cs="Tahoma"/>
          <w:b/>
          <w:sz w:val="24"/>
          <w:szCs w:val="24"/>
        </w:rPr>
        <w:t xml:space="preserve">Some projects may be strong candidates for both this GFO-24-610 and GFO-24-612 (Depot MDHD charging/fueling), depending on </w:t>
      </w:r>
      <w:r w:rsidR="00175DCF">
        <w:rPr>
          <w:rFonts w:ascii="Tahoma" w:eastAsia="Times New Roman" w:hAnsi="Tahoma" w:cs="Tahoma"/>
          <w:b/>
          <w:sz w:val="24"/>
          <w:szCs w:val="24"/>
        </w:rPr>
        <w:t>project scope</w:t>
      </w:r>
      <w:r w:rsidR="006C4CCC" w:rsidRPr="005448F6">
        <w:rPr>
          <w:rFonts w:ascii="Tahoma" w:eastAsia="Times New Roman" w:hAnsi="Tahoma" w:cs="Tahoma"/>
          <w:b/>
          <w:sz w:val="24"/>
          <w:szCs w:val="24"/>
        </w:rPr>
        <w:t>. Is it permissible to apply to both solicitations for the same project site</w:t>
      </w:r>
      <w:r w:rsidR="00175DCF">
        <w:rPr>
          <w:rFonts w:ascii="Tahoma" w:eastAsia="Times New Roman" w:hAnsi="Tahoma" w:cs="Tahoma"/>
          <w:b/>
          <w:sz w:val="24"/>
          <w:szCs w:val="24"/>
        </w:rPr>
        <w:t>?</w:t>
      </w:r>
      <w:r w:rsidR="006C4CCC" w:rsidRPr="005448F6">
        <w:rPr>
          <w:rFonts w:ascii="Tahoma" w:eastAsia="Times New Roman" w:hAnsi="Tahoma" w:cs="Tahoma"/>
          <w:b/>
          <w:sz w:val="24"/>
          <w:szCs w:val="24"/>
        </w:rPr>
        <w:t xml:space="preserve"> </w:t>
      </w:r>
      <w:r w:rsidR="00175DCF">
        <w:rPr>
          <w:rFonts w:ascii="Tahoma" w:eastAsia="Times New Roman" w:hAnsi="Tahoma" w:cs="Tahoma"/>
          <w:b/>
          <w:sz w:val="24"/>
          <w:szCs w:val="24"/>
        </w:rPr>
        <w:t>I</w:t>
      </w:r>
      <w:r w:rsidR="006C4CCC" w:rsidRPr="005448F6">
        <w:rPr>
          <w:rFonts w:ascii="Tahoma" w:eastAsia="Times New Roman" w:hAnsi="Tahoma" w:cs="Tahoma"/>
          <w:b/>
          <w:sz w:val="24"/>
          <w:szCs w:val="24"/>
        </w:rPr>
        <w:t xml:space="preserve">f so, how should </w:t>
      </w:r>
      <w:r w:rsidR="00175DCF">
        <w:rPr>
          <w:rFonts w:ascii="Tahoma" w:eastAsia="Times New Roman" w:hAnsi="Tahoma" w:cs="Tahoma"/>
          <w:b/>
          <w:sz w:val="24"/>
          <w:szCs w:val="24"/>
        </w:rPr>
        <w:t>Applicants</w:t>
      </w:r>
      <w:r w:rsidR="006C4CCC" w:rsidRPr="005448F6">
        <w:rPr>
          <w:rFonts w:ascii="Tahoma" w:eastAsia="Times New Roman" w:hAnsi="Tahoma" w:cs="Tahoma"/>
          <w:b/>
          <w:sz w:val="24"/>
          <w:szCs w:val="24"/>
        </w:rPr>
        <w:t xml:space="preserve"> address </w:t>
      </w:r>
      <w:r w:rsidR="00D103F3">
        <w:rPr>
          <w:rFonts w:ascii="Tahoma" w:eastAsia="Times New Roman" w:hAnsi="Tahoma" w:cs="Tahoma"/>
          <w:b/>
          <w:sz w:val="24"/>
          <w:szCs w:val="24"/>
        </w:rPr>
        <w:t>this</w:t>
      </w:r>
      <w:r w:rsidR="006C4CCC" w:rsidRPr="005448F6">
        <w:rPr>
          <w:rFonts w:ascii="Tahoma" w:eastAsia="Times New Roman" w:hAnsi="Tahoma" w:cs="Tahoma"/>
          <w:b/>
          <w:sz w:val="24"/>
          <w:szCs w:val="24"/>
        </w:rPr>
        <w:t xml:space="preserve"> in </w:t>
      </w:r>
      <w:r w:rsidR="00D103F3">
        <w:rPr>
          <w:rFonts w:ascii="Tahoma" w:eastAsia="Times New Roman" w:hAnsi="Tahoma" w:cs="Tahoma"/>
          <w:b/>
          <w:sz w:val="24"/>
          <w:szCs w:val="24"/>
        </w:rPr>
        <w:t>the</w:t>
      </w:r>
      <w:r w:rsidR="00D103F3" w:rsidRPr="005448F6">
        <w:rPr>
          <w:rFonts w:ascii="Tahoma" w:eastAsia="Times New Roman" w:hAnsi="Tahoma" w:cs="Tahoma"/>
          <w:b/>
          <w:sz w:val="24"/>
          <w:szCs w:val="24"/>
        </w:rPr>
        <w:t xml:space="preserve"> </w:t>
      </w:r>
      <w:r w:rsidR="006C4CCC" w:rsidRPr="005448F6">
        <w:rPr>
          <w:rFonts w:ascii="Tahoma" w:eastAsia="Times New Roman" w:hAnsi="Tahoma" w:cs="Tahoma"/>
          <w:b/>
          <w:sz w:val="24"/>
          <w:szCs w:val="24"/>
        </w:rPr>
        <w:t>application?</w:t>
      </w:r>
    </w:p>
    <w:p w14:paraId="2735FCFC" w14:textId="77777777" w:rsidR="00CF1250" w:rsidRPr="005448F6" w:rsidRDefault="00CF1250" w:rsidP="003A7D02">
      <w:pPr>
        <w:spacing w:after="0" w:line="240" w:lineRule="auto"/>
        <w:ind w:left="720" w:hanging="720"/>
        <w:rPr>
          <w:rFonts w:ascii="Tahoma" w:eastAsia="Times New Roman" w:hAnsi="Tahoma" w:cs="Tahoma"/>
          <w:b/>
          <w:sz w:val="24"/>
          <w:szCs w:val="24"/>
        </w:rPr>
      </w:pPr>
    </w:p>
    <w:p w14:paraId="7E1A51B5" w14:textId="07F066A2" w:rsidR="003A7D02"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A7</w:t>
      </w:r>
      <w:r>
        <w:rPr>
          <w:rFonts w:ascii="Tahoma" w:hAnsi="Tahoma" w:cs="Tahoma"/>
          <w:sz w:val="24"/>
          <w:szCs w:val="24"/>
        </w:rPr>
        <w:t>6</w:t>
      </w:r>
      <w:r w:rsidR="003A7D02" w:rsidRPr="005448F6">
        <w:rPr>
          <w:rFonts w:ascii="Tahoma" w:hAnsi="Tahoma" w:cs="Tahoma"/>
          <w:sz w:val="24"/>
          <w:szCs w:val="24"/>
        </w:rPr>
        <w:t>:</w:t>
      </w:r>
      <w:r w:rsidR="003A7D02" w:rsidRPr="005448F6">
        <w:rPr>
          <w:rFonts w:ascii="Tahoma" w:hAnsi="Tahoma" w:cs="Tahoma"/>
          <w:sz w:val="24"/>
          <w:szCs w:val="24"/>
        </w:rPr>
        <w:tab/>
      </w:r>
      <w:r w:rsidR="006D4388" w:rsidRPr="005448F6">
        <w:rPr>
          <w:rFonts w:ascii="Tahoma" w:hAnsi="Tahoma" w:cs="Tahoma"/>
          <w:sz w:val="24"/>
          <w:szCs w:val="24"/>
        </w:rPr>
        <w:t xml:space="preserve">Yes, an Applicant </w:t>
      </w:r>
      <w:r w:rsidR="000754A3" w:rsidRPr="000754A3">
        <w:rPr>
          <w:rFonts w:ascii="Tahoma" w:hAnsi="Tahoma" w:cs="Tahoma"/>
          <w:sz w:val="24"/>
          <w:szCs w:val="24"/>
        </w:rPr>
        <w:t>may submit applications to both solicitations for the same project site if the project scope aligns with the requirements of each</w:t>
      </w:r>
      <w:r w:rsidR="000754A3">
        <w:rPr>
          <w:rFonts w:ascii="Tahoma" w:hAnsi="Tahoma" w:cs="Tahoma"/>
          <w:sz w:val="24"/>
          <w:szCs w:val="24"/>
        </w:rPr>
        <w:t xml:space="preserve"> solicitation</w:t>
      </w:r>
      <w:r w:rsidR="006D4388" w:rsidRPr="005448F6">
        <w:rPr>
          <w:rFonts w:ascii="Tahoma" w:hAnsi="Tahoma" w:cs="Tahoma"/>
          <w:sz w:val="24"/>
          <w:szCs w:val="24"/>
        </w:rPr>
        <w:t xml:space="preserve">. However, </w:t>
      </w:r>
      <w:r w:rsidR="00E41E34">
        <w:rPr>
          <w:rFonts w:ascii="Tahoma" w:hAnsi="Tahoma" w:cs="Tahoma"/>
          <w:sz w:val="24"/>
          <w:szCs w:val="24"/>
        </w:rPr>
        <w:t xml:space="preserve">in the event that the project is proposed for award under both solicitations, the CEC reserves the right to only fund the higher-scored passing project. The Applicant may not receive two awards for the same project site. </w:t>
      </w:r>
      <w:r w:rsidR="00EB4614" w:rsidRPr="005448F6">
        <w:rPr>
          <w:rFonts w:ascii="Tahoma" w:hAnsi="Tahoma" w:cs="Tahoma"/>
          <w:sz w:val="24"/>
          <w:szCs w:val="24"/>
        </w:rPr>
        <w:t xml:space="preserve"> </w:t>
      </w:r>
    </w:p>
    <w:p w14:paraId="105F212D" w14:textId="77777777" w:rsidR="00443BFB" w:rsidRPr="005448F6" w:rsidRDefault="00443BFB" w:rsidP="006C4CCC">
      <w:pPr>
        <w:spacing w:after="0" w:line="240" w:lineRule="auto"/>
        <w:ind w:left="720"/>
        <w:rPr>
          <w:rFonts w:ascii="Tahoma" w:hAnsi="Tahoma" w:cs="Tahoma"/>
          <w:sz w:val="24"/>
          <w:szCs w:val="24"/>
        </w:rPr>
      </w:pPr>
    </w:p>
    <w:p w14:paraId="0949E3BE" w14:textId="57C7D273" w:rsidR="00443BFB"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Q7</w:t>
      </w:r>
      <w:r>
        <w:rPr>
          <w:rFonts w:ascii="Tahoma" w:eastAsia="Times New Roman" w:hAnsi="Tahoma" w:cs="Tahoma"/>
          <w:b/>
          <w:sz w:val="24"/>
          <w:szCs w:val="24"/>
        </w:rPr>
        <w:t>7</w:t>
      </w:r>
      <w:r w:rsidR="00C3643E" w:rsidRPr="005448F6">
        <w:rPr>
          <w:rFonts w:ascii="Tahoma" w:eastAsia="Times New Roman" w:hAnsi="Tahoma" w:cs="Tahoma"/>
          <w:b/>
          <w:sz w:val="24"/>
          <w:szCs w:val="24"/>
        </w:rPr>
        <w:t>:</w:t>
      </w:r>
      <w:r w:rsidR="00C3643E" w:rsidRPr="005448F6">
        <w:rPr>
          <w:rFonts w:ascii="Tahoma" w:eastAsia="Times New Roman" w:hAnsi="Tahoma" w:cs="Tahoma"/>
          <w:b/>
          <w:sz w:val="24"/>
          <w:szCs w:val="24"/>
        </w:rPr>
        <w:tab/>
      </w:r>
      <w:r w:rsidR="00443BFB" w:rsidRPr="005448F6">
        <w:rPr>
          <w:rFonts w:ascii="Tahoma" w:eastAsia="Times New Roman" w:hAnsi="Tahoma" w:cs="Tahoma"/>
          <w:b/>
          <w:sz w:val="24"/>
          <w:szCs w:val="24"/>
        </w:rPr>
        <w:t>Does 100% of dispensed hydrogen need to be renewable?</w:t>
      </w:r>
    </w:p>
    <w:p w14:paraId="1FBEC643" w14:textId="77777777" w:rsidR="00CF1250" w:rsidRPr="005448F6" w:rsidRDefault="00CF1250" w:rsidP="00CF1250">
      <w:pPr>
        <w:spacing w:after="0" w:line="240" w:lineRule="auto"/>
        <w:ind w:left="720" w:hanging="720"/>
        <w:rPr>
          <w:rFonts w:ascii="Tahoma" w:hAnsi="Tahoma" w:cs="Tahoma"/>
          <w:sz w:val="24"/>
          <w:szCs w:val="24"/>
        </w:rPr>
      </w:pPr>
    </w:p>
    <w:p w14:paraId="2D02B6EB" w14:textId="0A1911A8" w:rsidR="00C80486"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A7</w:t>
      </w:r>
      <w:r>
        <w:rPr>
          <w:rFonts w:ascii="Tahoma" w:hAnsi="Tahoma" w:cs="Tahoma"/>
          <w:sz w:val="24"/>
          <w:szCs w:val="24"/>
        </w:rPr>
        <w:t>7</w:t>
      </w:r>
      <w:r w:rsidR="00C3643E" w:rsidRPr="005448F6">
        <w:rPr>
          <w:rFonts w:ascii="Tahoma" w:hAnsi="Tahoma" w:cs="Tahoma"/>
          <w:sz w:val="24"/>
          <w:szCs w:val="24"/>
        </w:rPr>
        <w:t>:</w:t>
      </w:r>
      <w:r w:rsidR="00C3643E">
        <w:tab/>
      </w:r>
      <w:r w:rsidR="007F232F">
        <w:rPr>
          <w:rFonts w:ascii="Tahoma" w:hAnsi="Tahoma" w:cs="Tahoma"/>
          <w:sz w:val="24"/>
          <w:szCs w:val="24"/>
        </w:rPr>
        <w:t>No</w:t>
      </w:r>
      <w:r w:rsidR="00AB2625" w:rsidRPr="005448F6">
        <w:rPr>
          <w:rFonts w:ascii="Tahoma" w:hAnsi="Tahoma" w:cs="Tahoma"/>
          <w:sz w:val="24"/>
          <w:szCs w:val="24"/>
        </w:rPr>
        <w:t xml:space="preserve">. </w:t>
      </w:r>
      <w:r w:rsidR="00335F7B">
        <w:rPr>
          <w:rFonts w:ascii="Tahoma" w:hAnsi="Tahoma" w:cs="Tahoma"/>
          <w:sz w:val="24"/>
          <w:szCs w:val="24"/>
        </w:rPr>
        <w:t xml:space="preserve">At this time, 40% </w:t>
      </w:r>
      <w:r w:rsidR="000C26D9">
        <w:rPr>
          <w:rFonts w:ascii="Tahoma" w:hAnsi="Tahoma" w:cs="Tahoma"/>
          <w:sz w:val="24"/>
          <w:szCs w:val="24"/>
        </w:rPr>
        <w:t xml:space="preserve">or greater </w:t>
      </w:r>
      <w:r w:rsidR="00335F7B">
        <w:rPr>
          <w:rFonts w:ascii="Tahoma" w:hAnsi="Tahoma" w:cs="Tahoma"/>
          <w:sz w:val="24"/>
          <w:szCs w:val="24"/>
        </w:rPr>
        <w:t xml:space="preserve">of </w:t>
      </w:r>
      <w:r w:rsidR="00335F7B" w:rsidRPr="6F2DBB9D">
        <w:rPr>
          <w:rFonts w:ascii="Tahoma" w:hAnsi="Tahoma" w:cs="Tahoma"/>
          <w:sz w:val="24"/>
          <w:szCs w:val="24"/>
        </w:rPr>
        <w:t>dispensed</w:t>
      </w:r>
      <w:r w:rsidR="00335F7B">
        <w:rPr>
          <w:rFonts w:ascii="Tahoma" w:hAnsi="Tahoma" w:cs="Tahoma"/>
          <w:sz w:val="24"/>
          <w:szCs w:val="24"/>
        </w:rPr>
        <w:t xml:space="preserve"> hydrogen </w:t>
      </w:r>
      <w:r w:rsidR="000C26D9">
        <w:rPr>
          <w:rFonts w:ascii="Tahoma" w:hAnsi="Tahoma" w:cs="Tahoma"/>
          <w:sz w:val="24"/>
          <w:szCs w:val="24"/>
        </w:rPr>
        <w:t xml:space="preserve">must be renewable. However, </w:t>
      </w:r>
      <w:r w:rsidR="00250DCC">
        <w:rPr>
          <w:rFonts w:ascii="Tahoma" w:hAnsi="Tahoma" w:cs="Tahoma"/>
          <w:sz w:val="24"/>
          <w:szCs w:val="24"/>
        </w:rPr>
        <w:t xml:space="preserve">please review </w:t>
      </w:r>
      <w:r w:rsidR="00254A31" w:rsidRPr="00254A31">
        <w:rPr>
          <w:rFonts w:ascii="Tahoma" w:hAnsi="Tahoma" w:cs="Tahoma"/>
          <w:sz w:val="24"/>
          <w:szCs w:val="24"/>
        </w:rPr>
        <w:t xml:space="preserve">the requirements specified in the CARB LCFS regulation, found at </w:t>
      </w:r>
      <w:hyperlink r:id="rId14">
        <w:r w:rsidR="00254A31" w:rsidRPr="6F2DBB9D">
          <w:rPr>
            <w:rStyle w:val="Hyperlink"/>
            <w:rFonts w:ascii="Tahoma" w:hAnsi="Tahoma" w:cs="Tahoma"/>
            <w:sz w:val="24"/>
            <w:szCs w:val="24"/>
          </w:rPr>
          <w:t>https://ww2.arb.ca.gov/sites/default/files/2020-07/2020_lcfs_fro_oal-approved_unofficial_06302020.pdf</w:t>
        </w:r>
      </w:hyperlink>
      <w:r w:rsidR="00254A31" w:rsidRPr="6F2DBB9D">
        <w:rPr>
          <w:rFonts w:ascii="Tahoma" w:hAnsi="Tahoma" w:cs="Tahoma"/>
          <w:sz w:val="24"/>
          <w:szCs w:val="24"/>
        </w:rPr>
        <w:t>.</w:t>
      </w:r>
      <w:r w:rsidR="00254A31">
        <w:rPr>
          <w:rFonts w:ascii="Tahoma" w:hAnsi="Tahoma" w:cs="Tahoma"/>
          <w:sz w:val="24"/>
          <w:szCs w:val="24"/>
        </w:rPr>
        <w:t xml:space="preserve"> </w:t>
      </w:r>
      <w:r w:rsidR="00903C8C" w:rsidRPr="00903C8C">
        <w:rPr>
          <w:rFonts w:ascii="Tahoma" w:hAnsi="Tahoma" w:cs="Tahoma"/>
          <w:sz w:val="24"/>
          <w:szCs w:val="24"/>
        </w:rPr>
        <w:t xml:space="preserve">Once the </w:t>
      </w:r>
      <w:r w:rsidR="00903C8C">
        <w:rPr>
          <w:rFonts w:ascii="Tahoma" w:hAnsi="Tahoma" w:cs="Tahoma"/>
          <w:sz w:val="24"/>
          <w:szCs w:val="24"/>
        </w:rPr>
        <w:t xml:space="preserve">hydrogen </w:t>
      </w:r>
      <w:r w:rsidR="00903C8C" w:rsidRPr="00903C8C">
        <w:rPr>
          <w:rFonts w:ascii="Tahoma" w:hAnsi="Tahoma" w:cs="Tahoma"/>
          <w:sz w:val="24"/>
          <w:szCs w:val="24"/>
        </w:rPr>
        <w:t xml:space="preserve">station becomes operational, </w:t>
      </w:r>
      <w:r w:rsidR="00603011">
        <w:rPr>
          <w:rFonts w:ascii="Tahoma" w:hAnsi="Tahoma" w:cs="Tahoma"/>
          <w:sz w:val="24"/>
          <w:szCs w:val="24"/>
        </w:rPr>
        <w:t>project Recipients</w:t>
      </w:r>
      <w:r w:rsidR="00903C8C" w:rsidRPr="00903C8C">
        <w:rPr>
          <w:rFonts w:ascii="Tahoma" w:hAnsi="Tahoma" w:cs="Tahoma"/>
          <w:sz w:val="24"/>
          <w:szCs w:val="24"/>
        </w:rPr>
        <w:t xml:space="preserve"> shall report on hydrogen dispensed </w:t>
      </w:r>
      <w:r w:rsidR="00025246">
        <w:rPr>
          <w:rFonts w:ascii="Tahoma" w:hAnsi="Tahoma" w:cs="Tahoma"/>
          <w:sz w:val="24"/>
          <w:szCs w:val="24"/>
        </w:rPr>
        <w:t xml:space="preserve">on a quarterly basis </w:t>
      </w:r>
      <w:r w:rsidR="00903C8C" w:rsidRPr="00903C8C">
        <w:rPr>
          <w:rFonts w:ascii="Tahoma" w:hAnsi="Tahoma" w:cs="Tahoma"/>
          <w:sz w:val="24"/>
          <w:szCs w:val="24"/>
        </w:rPr>
        <w:t>using the Renewable Hydrogen Report</w:t>
      </w:r>
      <w:r w:rsidR="00025246">
        <w:rPr>
          <w:rFonts w:ascii="Tahoma" w:hAnsi="Tahoma" w:cs="Tahoma"/>
          <w:sz w:val="24"/>
          <w:szCs w:val="24"/>
        </w:rPr>
        <w:t xml:space="preserve"> (Attachment 19).</w:t>
      </w:r>
      <w:r w:rsidR="00903C8C" w:rsidRPr="00903C8C">
        <w:rPr>
          <w:rFonts w:ascii="Tahoma" w:hAnsi="Tahoma" w:cs="Tahoma"/>
          <w:sz w:val="24"/>
          <w:szCs w:val="24"/>
        </w:rPr>
        <w:t xml:space="preserve"> </w:t>
      </w:r>
      <w:r w:rsidR="000E44B1">
        <w:rPr>
          <w:rFonts w:ascii="Tahoma" w:hAnsi="Tahoma" w:cs="Tahoma"/>
          <w:sz w:val="24"/>
          <w:szCs w:val="24"/>
        </w:rPr>
        <w:t xml:space="preserve">Refer to Section </w:t>
      </w:r>
      <w:r w:rsidR="00E332A1">
        <w:rPr>
          <w:rFonts w:ascii="Tahoma" w:hAnsi="Tahoma" w:cs="Tahoma"/>
          <w:sz w:val="24"/>
          <w:szCs w:val="24"/>
        </w:rPr>
        <w:t>II.B.6.</w:t>
      </w:r>
      <w:r w:rsidR="00AB2625" w:rsidRPr="005448F6">
        <w:rPr>
          <w:rFonts w:ascii="Tahoma" w:hAnsi="Tahoma" w:cs="Tahoma"/>
          <w:sz w:val="24"/>
          <w:szCs w:val="24"/>
        </w:rPr>
        <w:t xml:space="preserve"> </w:t>
      </w:r>
    </w:p>
    <w:p w14:paraId="7ADDC595" w14:textId="77777777" w:rsidR="003021D7" w:rsidRPr="005448F6" w:rsidRDefault="003021D7" w:rsidP="00E02FE8">
      <w:pPr>
        <w:spacing w:after="0" w:line="240" w:lineRule="auto"/>
        <w:ind w:left="720"/>
        <w:rPr>
          <w:rFonts w:ascii="Tahoma" w:hAnsi="Tahoma" w:cs="Tahoma"/>
          <w:sz w:val="24"/>
          <w:szCs w:val="24"/>
        </w:rPr>
      </w:pPr>
    </w:p>
    <w:p w14:paraId="3F67BE1A" w14:textId="72F8B624" w:rsidR="00C80486"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Q7</w:t>
      </w:r>
      <w:r>
        <w:rPr>
          <w:rFonts w:ascii="Tahoma" w:eastAsia="Times New Roman" w:hAnsi="Tahoma" w:cs="Tahoma"/>
          <w:b/>
          <w:sz w:val="24"/>
          <w:szCs w:val="24"/>
        </w:rPr>
        <w:t>8</w:t>
      </w:r>
      <w:r w:rsidR="00C3643E" w:rsidRPr="005448F6">
        <w:rPr>
          <w:rFonts w:ascii="Tahoma" w:eastAsia="Times New Roman" w:hAnsi="Tahoma" w:cs="Tahoma"/>
          <w:b/>
          <w:sz w:val="24"/>
          <w:szCs w:val="24"/>
        </w:rPr>
        <w:t>:</w:t>
      </w:r>
      <w:r w:rsidR="00C3643E">
        <w:tab/>
      </w:r>
      <w:r w:rsidR="00C80486" w:rsidRPr="005448F6">
        <w:rPr>
          <w:rFonts w:ascii="Tahoma" w:eastAsia="Times New Roman" w:hAnsi="Tahoma" w:cs="Tahoma"/>
          <w:b/>
          <w:sz w:val="24"/>
          <w:szCs w:val="24"/>
        </w:rPr>
        <w:t>Is the</w:t>
      </w:r>
      <w:r w:rsidR="00500AEE">
        <w:rPr>
          <w:rFonts w:ascii="Tahoma" w:eastAsia="Times New Roman" w:hAnsi="Tahoma" w:cs="Tahoma"/>
          <w:b/>
          <w:sz w:val="24"/>
          <w:szCs w:val="24"/>
        </w:rPr>
        <w:t xml:space="preserve"> </w:t>
      </w:r>
      <w:r w:rsidR="00C80486" w:rsidRPr="005448F6">
        <w:rPr>
          <w:rFonts w:ascii="Tahoma" w:eastAsia="Times New Roman" w:hAnsi="Tahoma" w:cs="Tahoma"/>
          <w:b/>
          <w:sz w:val="24"/>
          <w:szCs w:val="24"/>
        </w:rPr>
        <w:t>150kW per nozzle during simultaneous charging a hard requirement?</w:t>
      </w:r>
    </w:p>
    <w:p w14:paraId="57CD889A" w14:textId="77777777" w:rsidR="00CF1250" w:rsidRPr="005448F6" w:rsidRDefault="00CF1250" w:rsidP="00CF1250">
      <w:pPr>
        <w:spacing w:after="0" w:line="240" w:lineRule="auto"/>
        <w:ind w:left="720" w:hanging="720"/>
        <w:rPr>
          <w:rFonts w:ascii="Tahoma" w:eastAsia="Times New Roman" w:hAnsi="Tahoma" w:cs="Tahoma"/>
          <w:b/>
          <w:sz w:val="24"/>
          <w:szCs w:val="24"/>
        </w:rPr>
      </w:pPr>
    </w:p>
    <w:p w14:paraId="483C0A4E" w14:textId="15C09B6F" w:rsidR="00C80486"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A7</w:t>
      </w:r>
      <w:r>
        <w:rPr>
          <w:rFonts w:ascii="Tahoma" w:hAnsi="Tahoma" w:cs="Tahoma"/>
          <w:sz w:val="24"/>
          <w:szCs w:val="24"/>
        </w:rPr>
        <w:t>8</w:t>
      </w:r>
      <w:r w:rsidR="00C3643E" w:rsidRPr="005448F6">
        <w:rPr>
          <w:rFonts w:ascii="Tahoma" w:hAnsi="Tahoma" w:cs="Tahoma"/>
          <w:sz w:val="24"/>
          <w:szCs w:val="24"/>
        </w:rPr>
        <w:t>:</w:t>
      </w:r>
      <w:r w:rsidR="00C3643E">
        <w:tab/>
      </w:r>
      <w:r w:rsidR="00C80486" w:rsidRPr="005448F6">
        <w:rPr>
          <w:rFonts w:ascii="Tahoma" w:hAnsi="Tahoma" w:cs="Tahoma"/>
          <w:sz w:val="24"/>
          <w:szCs w:val="24"/>
        </w:rPr>
        <w:t>Yes</w:t>
      </w:r>
      <w:r w:rsidR="002B7AE2">
        <w:rPr>
          <w:rFonts w:ascii="Tahoma" w:hAnsi="Tahoma" w:cs="Tahoma"/>
          <w:sz w:val="24"/>
          <w:szCs w:val="24"/>
        </w:rPr>
        <w:t>.</w:t>
      </w:r>
    </w:p>
    <w:p w14:paraId="32F6D2A5" w14:textId="77777777" w:rsidR="00C80486" w:rsidRPr="005448F6" w:rsidRDefault="00C80486" w:rsidP="00C80486">
      <w:pPr>
        <w:spacing w:after="0" w:line="240" w:lineRule="auto"/>
        <w:ind w:left="720"/>
        <w:rPr>
          <w:rFonts w:ascii="Tahoma" w:hAnsi="Tahoma" w:cs="Tahoma"/>
          <w:sz w:val="24"/>
          <w:szCs w:val="24"/>
        </w:rPr>
      </w:pPr>
    </w:p>
    <w:p w14:paraId="34850DC6" w14:textId="3A3B0514" w:rsidR="00614C89" w:rsidRPr="005448F6" w:rsidRDefault="00610A27" w:rsidP="00863D96">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Q7</w:t>
      </w:r>
      <w:r>
        <w:rPr>
          <w:rFonts w:ascii="Tahoma" w:eastAsia="Times New Roman" w:hAnsi="Tahoma" w:cs="Tahoma"/>
          <w:b/>
          <w:sz w:val="24"/>
          <w:szCs w:val="24"/>
        </w:rPr>
        <w:t>9</w:t>
      </w:r>
      <w:r w:rsidR="00863D96" w:rsidRPr="005448F6">
        <w:rPr>
          <w:rFonts w:ascii="Tahoma" w:eastAsia="Times New Roman" w:hAnsi="Tahoma" w:cs="Tahoma"/>
          <w:b/>
          <w:sz w:val="24"/>
          <w:szCs w:val="24"/>
        </w:rPr>
        <w:t>:</w:t>
      </w:r>
      <w:r w:rsidR="00863D96" w:rsidRPr="005448F6">
        <w:rPr>
          <w:rFonts w:ascii="Tahoma" w:eastAsia="Times New Roman" w:hAnsi="Tahoma" w:cs="Tahoma"/>
          <w:b/>
          <w:sz w:val="24"/>
          <w:szCs w:val="24"/>
        </w:rPr>
        <w:tab/>
      </w:r>
      <w:r w:rsidR="00C80486" w:rsidRPr="005448F6">
        <w:rPr>
          <w:rFonts w:ascii="Tahoma" w:eastAsia="Times New Roman" w:hAnsi="Tahoma" w:cs="Tahoma"/>
          <w:b/>
          <w:sz w:val="24"/>
          <w:szCs w:val="24"/>
        </w:rPr>
        <w:t xml:space="preserve">Is there a requirement for </w:t>
      </w:r>
      <w:r w:rsidR="00F0613E">
        <w:rPr>
          <w:rFonts w:ascii="Tahoma" w:eastAsia="Times New Roman" w:hAnsi="Tahoma" w:cs="Tahoma"/>
          <w:b/>
          <w:sz w:val="24"/>
          <w:szCs w:val="24"/>
        </w:rPr>
        <w:t>electric vehicle</w:t>
      </w:r>
      <w:r w:rsidR="00C80486" w:rsidRPr="005448F6">
        <w:rPr>
          <w:rFonts w:ascii="Tahoma" w:eastAsia="Times New Roman" w:hAnsi="Tahoma" w:cs="Tahoma"/>
          <w:b/>
          <w:sz w:val="24"/>
          <w:szCs w:val="24"/>
        </w:rPr>
        <w:t xml:space="preserve"> charging projects to have at least 50% of locations benefit </w:t>
      </w:r>
      <w:r w:rsidR="00F0613E">
        <w:rPr>
          <w:rFonts w:ascii="Tahoma" w:eastAsia="Times New Roman" w:hAnsi="Tahoma" w:cs="Tahoma"/>
          <w:b/>
          <w:sz w:val="24"/>
          <w:szCs w:val="24"/>
        </w:rPr>
        <w:t xml:space="preserve">disadvantaged communities, similar to the </w:t>
      </w:r>
      <w:r w:rsidR="00E31B22">
        <w:rPr>
          <w:rFonts w:ascii="Tahoma" w:eastAsia="Times New Roman" w:hAnsi="Tahoma" w:cs="Tahoma"/>
          <w:b/>
          <w:sz w:val="24"/>
          <w:szCs w:val="24"/>
        </w:rPr>
        <w:t xml:space="preserve">requirement for hydrogen refueling stations? </w:t>
      </w:r>
      <w:r w:rsidR="00C80486" w:rsidRPr="005448F6">
        <w:rPr>
          <w:rFonts w:ascii="Tahoma" w:eastAsia="Times New Roman" w:hAnsi="Tahoma" w:cs="Tahoma"/>
          <w:b/>
          <w:sz w:val="24"/>
          <w:szCs w:val="24"/>
        </w:rPr>
        <w:t>If not, can you please explain the difference?</w:t>
      </w:r>
    </w:p>
    <w:p w14:paraId="0FBEBD55" w14:textId="77777777" w:rsidR="00CF1250" w:rsidRPr="005448F6" w:rsidRDefault="00CF1250" w:rsidP="00863D96">
      <w:pPr>
        <w:spacing w:after="0" w:line="240" w:lineRule="auto"/>
        <w:ind w:left="720" w:hanging="720"/>
        <w:rPr>
          <w:rFonts w:ascii="Tahoma" w:eastAsia="Times New Roman" w:hAnsi="Tahoma" w:cs="Tahoma"/>
          <w:b/>
          <w:sz w:val="24"/>
          <w:szCs w:val="24"/>
        </w:rPr>
      </w:pPr>
    </w:p>
    <w:p w14:paraId="0C708701" w14:textId="156002BA" w:rsidR="00614C89"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A7</w:t>
      </w:r>
      <w:r>
        <w:rPr>
          <w:rFonts w:ascii="Tahoma" w:hAnsi="Tahoma" w:cs="Tahoma"/>
          <w:sz w:val="24"/>
          <w:szCs w:val="24"/>
        </w:rPr>
        <w:t>9</w:t>
      </w:r>
      <w:r w:rsidR="00614C89" w:rsidRPr="005448F6">
        <w:rPr>
          <w:rFonts w:ascii="Tahoma" w:hAnsi="Tahoma" w:cs="Tahoma"/>
          <w:sz w:val="24"/>
          <w:szCs w:val="24"/>
        </w:rPr>
        <w:t>:</w:t>
      </w:r>
      <w:r w:rsidR="00614C89">
        <w:tab/>
      </w:r>
      <w:r w:rsidR="0055377C">
        <w:rPr>
          <w:rFonts w:ascii="Tahoma" w:hAnsi="Tahoma" w:cs="Tahoma"/>
          <w:sz w:val="24"/>
          <w:szCs w:val="24"/>
        </w:rPr>
        <w:t>Yes</w:t>
      </w:r>
      <w:r w:rsidR="00E31B22">
        <w:rPr>
          <w:rFonts w:ascii="Tahoma" w:hAnsi="Tahoma" w:cs="Tahoma"/>
          <w:sz w:val="24"/>
          <w:szCs w:val="24"/>
        </w:rPr>
        <w:t xml:space="preserve">. </w:t>
      </w:r>
      <w:r w:rsidR="0055377C">
        <w:rPr>
          <w:rFonts w:ascii="Tahoma" w:hAnsi="Tahoma" w:cs="Tahoma"/>
          <w:sz w:val="24"/>
          <w:szCs w:val="24"/>
        </w:rPr>
        <w:t>A</w:t>
      </w:r>
      <w:r w:rsidR="007341C0">
        <w:rPr>
          <w:rFonts w:ascii="Tahoma" w:hAnsi="Tahoma" w:cs="Tahoma"/>
          <w:sz w:val="24"/>
          <w:szCs w:val="24"/>
        </w:rPr>
        <w:t xml:space="preserve">t least </w:t>
      </w:r>
      <w:r w:rsidR="00DB7F0D" w:rsidRPr="005448F6">
        <w:rPr>
          <w:rFonts w:ascii="Tahoma" w:hAnsi="Tahoma" w:cs="Tahoma"/>
          <w:sz w:val="24"/>
          <w:szCs w:val="24"/>
        </w:rPr>
        <w:t xml:space="preserve">50% of </w:t>
      </w:r>
      <w:r w:rsidR="30509467" w:rsidRPr="6F2DBB9D">
        <w:rPr>
          <w:rFonts w:ascii="Tahoma" w:hAnsi="Tahoma" w:cs="Tahoma"/>
          <w:sz w:val="24"/>
          <w:szCs w:val="24"/>
        </w:rPr>
        <w:t>the funding</w:t>
      </w:r>
      <w:r w:rsidR="004C3C84" w:rsidRPr="005448F6">
        <w:rPr>
          <w:rFonts w:ascii="Tahoma" w:hAnsi="Tahoma" w:cs="Tahoma"/>
          <w:sz w:val="24"/>
          <w:szCs w:val="24"/>
        </w:rPr>
        <w:t xml:space="preserve"> </w:t>
      </w:r>
      <w:r w:rsidR="006A0123">
        <w:rPr>
          <w:rFonts w:ascii="Tahoma" w:hAnsi="Tahoma" w:cs="Tahoma"/>
          <w:sz w:val="24"/>
          <w:szCs w:val="24"/>
        </w:rPr>
        <w:t>must</w:t>
      </w:r>
      <w:r w:rsidR="004C3C84" w:rsidRPr="005448F6">
        <w:rPr>
          <w:rFonts w:ascii="Tahoma" w:hAnsi="Tahoma" w:cs="Tahoma"/>
          <w:sz w:val="24"/>
          <w:szCs w:val="24"/>
        </w:rPr>
        <w:t xml:space="preserve"> directly benefit or serve residents of low-income communities and disadvantaged communities </w:t>
      </w:r>
      <w:r w:rsidR="0088168D" w:rsidRPr="0088168D">
        <w:rPr>
          <w:rFonts w:ascii="Tahoma" w:hAnsi="Tahoma" w:cs="Tahoma"/>
          <w:sz w:val="24"/>
          <w:szCs w:val="24"/>
        </w:rPr>
        <w:t>with the map provided at Priority Populations — California Climate Investments https://www.caclimateinvestments.ca.gov/priority-populations</w:t>
      </w:r>
      <w:r w:rsidR="004C3C84" w:rsidRPr="005448F6">
        <w:rPr>
          <w:rFonts w:ascii="Tahoma" w:hAnsi="Tahoma" w:cs="Tahoma"/>
          <w:sz w:val="24"/>
          <w:szCs w:val="24"/>
        </w:rPr>
        <w:t xml:space="preserve">. </w:t>
      </w:r>
      <w:r w:rsidR="00D223F0">
        <w:rPr>
          <w:rFonts w:ascii="Tahoma" w:hAnsi="Tahoma" w:cs="Tahoma"/>
          <w:sz w:val="24"/>
          <w:szCs w:val="24"/>
        </w:rPr>
        <w:t>Refer to Section I</w:t>
      </w:r>
      <w:r w:rsidR="00946079">
        <w:rPr>
          <w:rFonts w:ascii="Tahoma" w:hAnsi="Tahoma" w:cs="Tahoma"/>
          <w:sz w:val="24"/>
          <w:szCs w:val="24"/>
        </w:rPr>
        <w:t>I.B.</w:t>
      </w:r>
      <w:r w:rsidR="00C56DA1">
        <w:rPr>
          <w:rFonts w:ascii="Tahoma" w:hAnsi="Tahoma" w:cs="Tahoma"/>
          <w:sz w:val="24"/>
          <w:szCs w:val="24"/>
        </w:rPr>
        <w:t>3</w:t>
      </w:r>
      <w:r w:rsidR="00584378">
        <w:rPr>
          <w:rFonts w:ascii="Tahoma" w:hAnsi="Tahoma" w:cs="Tahoma"/>
          <w:sz w:val="24"/>
          <w:szCs w:val="24"/>
        </w:rPr>
        <w:t>.</w:t>
      </w:r>
    </w:p>
    <w:p w14:paraId="704041B5" w14:textId="77777777" w:rsidR="00614C89" w:rsidRPr="005448F6" w:rsidRDefault="00614C89" w:rsidP="00863D96">
      <w:pPr>
        <w:spacing w:after="0" w:line="240" w:lineRule="auto"/>
        <w:ind w:left="720" w:hanging="720"/>
        <w:rPr>
          <w:rFonts w:ascii="Tahoma" w:hAnsi="Tahoma" w:cs="Tahoma"/>
          <w:sz w:val="24"/>
          <w:szCs w:val="24"/>
        </w:rPr>
      </w:pPr>
    </w:p>
    <w:p w14:paraId="765E347D" w14:textId="5C29DB69" w:rsidR="00C80486" w:rsidRDefault="00610A27" w:rsidP="00863D96">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lastRenderedPageBreak/>
        <w:t>Q</w:t>
      </w:r>
      <w:r>
        <w:rPr>
          <w:rFonts w:ascii="Tahoma" w:eastAsia="Times New Roman" w:hAnsi="Tahoma" w:cs="Tahoma"/>
          <w:b/>
          <w:sz w:val="24"/>
          <w:szCs w:val="24"/>
        </w:rPr>
        <w:t>80</w:t>
      </w:r>
      <w:r w:rsidR="00614C89" w:rsidRPr="005448F6">
        <w:rPr>
          <w:rFonts w:ascii="Tahoma" w:eastAsia="Times New Roman" w:hAnsi="Tahoma" w:cs="Tahoma"/>
          <w:b/>
          <w:sz w:val="24"/>
          <w:szCs w:val="24"/>
        </w:rPr>
        <w:t>:</w:t>
      </w:r>
      <w:r w:rsidR="00614C89" w:rsidRPr="005448F6">
        <w:rPr>
          <w:rFonts w:ascii="Tahoma" w:eastAsia="Times New Roman" w:hAnsi="Tahoma" w:cs="Tahoma"/>
          <w:b/>
          <w:sz w:val="24"/>
          <w:szCs w:val="24"/>
        </w:rPr>
        <w:tab/>
      </w:r>
      <w:r w:rsidR="00C80486" w:rsidRPr="005448F6">
        <w:rPr>
          <w:rFonts w:ascii="Tahoma" w:eastAsia="Times New Roman" w:hAnsi="Tahoma" w:cs="Tahoma"/>
          <w:b/>
          <w:sz w:val="24"/>
          <w:szCs w:val="24"/>
        </w:rPr>
        <w:t>Do EVSE projects also have uptime requirements?</w:t>
      </w:r>
    </w:p>
    <w:p w14:paraId="100CC918" w14:textId="77777777" w:rsidR="00D9622B" w:rsidRPr="005448F6" w:rsidRDefault="00D9622B" w:rsidP="00863D96">
      <w:pPr>
        <w:spacing w:after="0" w:line="240" w:lineRule="auto"/>
        <w:ind w:left="720" w:hanging="720"/>
        <w:rPr>
          <w:rFonts w:ascii="Tahoma" w:hAnsi="Tahoma" w:cs="Tahoma"/>
          <w:sz w:val="24"/>
          <w:szCs w:val="24"/>
        </w:rPr>
      </w:pPr>
    </w:p>
    <w:p w14:paraId="7BE32F3B" w14:textId="7EC70FAD" w:rsidR="00D30D0B"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80</w:t>
      </w:r>
      <w:r w:rsidR="00D30D0B" w:rsidRPr="005448F6">
        <w:rPr>
          <w:rFonts w:ascii="Tahoma" w:hAnsi="Tahoma" w:cs="Tahoma"/>
          <w:sz w:val="24"/>
          <w:szCs w:val="24"/>
        </w:rPr>
        <w:t>:</w:t>
      </w:r>
      <w:r w:rsidR="00D30D0B" w:rsidRPr="005448F6">
        <w:rPr>
          <w:rFonts w:ascii="Tahoma" w:hAnsi="Tahoma" w:cs="Tahoma"/>
          <w:sz w:val="24"/>
          <w:szCs w:val="24"/>
        </w:rPr>
        <w:tab/>
      </w:r>
      <w:r w:rsidR="00A13AD5">
        <w:rPr>
          <w:rFonts w:ascii="Tahoma" w:hAnsi="Tahoma" w:cs="Tahoma"/>
          <w:sz w:val="24"/>
          <w:szCs w:val="24"/>
        </w:rPr>
        <w:t xml:space="preserve">Yes. </w:t>
      </w:r>
      <w:r w:rsidR="00A13AD5" w:rsidRPr="005448F6">
        <w:rPr>
          <w:rFonts w:ascii="Tahoma" w:hAnsi="Tahoma" w:cs="Tahoma"/>
          <w:sz w:val="24"/>
          <w:szCs w:val="24"/>
        </w:rPr>
        <w:t>EVSE projects require 97% uptime</w:t>
      </w:r>
      <w:r w:rsidR="00480692">
        <w:rPr>
          <w:rFonts w:ascii="Tahoma" w:hAnsi="Tahoma" w:cs="Tahoma"/>
          <w:sz w:val="24"/>
          <w:szCs w:val="24"/>
        </w:rPr>
        <w:t xml:space="preserve"> for each installed charging port</w:t>
      </w:r>
      <w:r w:rsidR="00A13AD5">
        <w:rPr>
          <w:rFonts w:ascii="Tahoma" w:hAnsi="Tahoma" w:cs="Tahoma"/>
          <w:sz w:val="24"/>
          <w:szCs w:val="24"/>
        </w:rPr>
        <w:t xml:space="preserve">. </w:t>
      </w:r>
      <w:r w:rsidR="00540282">
        <w:rPr>
          <w:rFonts w:ascii="Tahoma" w:hAnsi="Tahoma" w:cs="Tahoma"/>
          <w:sz w:val="24"/>
          <w:szCs w:val="24"/>
        </w:rPr>
        <w:t xml:space="preserve">Refer to the Scope of Work template (Attachment 2). </w:t>
      </w:r>
      <w:r w:rsidR="00540282" w:rsidRPr="00540282">
        <w:rPr>
          <w:rFonts w:ascii="Tahoma" w:hAnsi="Tahoma" w:cs="Tahoma"/>
          <w:sz w:val="24"/>
          <w:szCs w:val="24"/>
        </w:rPr>
        <w:t>The Recipient shall ensure that the charging port uptime for each charging port installed in the project is at least 97 percent of each year for six years after the beginning of operation</w:t>
      </w:r>
      <w:r w:rsidR="00D24F55" w:rsidRPr="005448F6">
        <w:rPr>
          <w:rFonts w:ascii="Tahoma" w:hAnsi="Tahoma" w:cs="Tahoma"/>
          <w:sz w:val="24"/>
          <w:szCs w:val="24"/>
        </w:rPr>
        <w:t>.</w:t>
      </w:r>
    </w:p>
    <w:p w14:paraId="1BD26B00" w14:textId="77777777" w:rsidR="00D24F55" w:rsidRPr="005448F6" w:rsidRDefault="00D24F55" w:rsidP="00D24F55">
      <w:pPr>
        <w:spacing w:after="0" w:line="240" w:lineRule="auto"/>
        <w:ind w:left="720" w:hanging="720"/>
        <w:rPr>
          <w:rFonts w:ascii="Tahoma" w:hAnsi="Tahoma" w:cs="Tahoma"/>
          <w:sz w:val="24"/>
          <w:szCs w:val="24"/>
        </w:rPr>
      </w:pPr>
    </w:p>
    <w:p w14:paraId="6F853FF1" w14:textId="1A2ACF4A" w:rsidR="00C7423F" w:rsidRPr="005448F6" w:rsidRDefault="00610A27" w:rsidP="00644A90">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w:t>
      </w:r>
      <w:r>
        <w:rPr>
          <w:rFonts w:ascii="Tahoma" w:eastAsia="Times New Roman" w:hAnsi="Tahoma" w:cs="Tahoma"/>
          <w:b/>
          <w:sz w:val="24"/>
          <w:szCs w:val="24"/>
        </w:rPr>
        <w:t>81</w:t>
      </w:r>
      <w:r w:rsidR="006147C2" w:rsidRPr="005448F6">
        <w:rPr>
          <w:rFonts w:ascii="Tahoma" w:eastAsia="Times New Roman" w:hAnsi="Tahoma" w:cs="Tahoma"/>
          <w:b/>
          <w:sz w:val="24"/>
          <w:szCs w:val="24"/>
        </w:rPr>
        <w:t>:</w:t>
      </w:r>
      <w:r w:rsidR="006147C2" w:rsidRPr="005448F6">
        <w:rPr>
          <w:rFonts w:ascii="Tahoma" w:eastAsia="Times New Roman" w:hAnsi="Tahoma" w:cs="Tahoma"/>
          <w:b/>
          <w:sz w:val="24"/>
          <w:szCs w:val="24"/>
        </w:rPr>
        <w:tab/>
      </w:r>
      <w:r w:rsidR="00C7423F" w:rsidRPr="005448F6">
        <w:rPr>
          <w:rFonts w:ascii="Tahoma" w:eastAsia="Times New Roman" w:hAnsi="Tahoma" w:cs="Tahoma"/>
          <w:b/>
          <w:sz w:val="24"/>
          <w:szCs w:val="24"/>
        </w:rPr>
        <w:t>Can we stack this funding with CARB fund?</w:t>
      </w:r>
    </w:p>
    <w:p w14:paraId="471FF97D" w14:textId="77777777" w:rsidR="00CF1250" w:rsidRPr="005448F6" w:rsidRDefault="00CF1250" w:rsidP="00CF1250">
      <w:pPr>
        <w:spacing w:after="0" w:line="240" w:lineRule="auto"/>
        <w:ind w:left="720" w:hanging="720"/>
        <w:rPr>
          <w:rFonts w:ascii="Tahoma" w:eastAsia="Times New Roman" w:hAnsi="Tahoma" w:cs="Tahoma"/>
          <w:b/>
          <w:sz w:val="24"/>
          <w:szCs w:val="24"/>
        </w:rPr>
      </w:pPr>
    </w:p>
    <w:p w14:paraId="5D2B0B60" w14:textId="2F78EC73" w:rsidR="006147C2"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w:t>
      </w:r>
      <w:r>
        <w:rPr>
          <w:rFonts w:ascii="Tahoma" w:hAnsi="Tahoma" w:cs="Tahoma"/>
          <w:sz w:val="24"/>
          <w:szCs w:val="24"/>
        </w:rPr>
        <w:t>81</w:t>
      </w:r>
      <w:r w:rsidR="006147C2" w:rsidRPr="005448F6">
        <w:rPr>
          <w:rFonts w:ascii="Tahoma" w:hAnsi="Tahoma" w:cs="Tahoma"/>
          <w:sz w:val="24"/>
          <w:szCs w:val="24"/>
        </w:rPr>
        <w:t>:</w:t>
      </w:r>
      <w:r w:rsidR="006147C2">
        <w:tab/>
      </w:r>
      <w:r w:rsidR="006147C2" w:rsidRPr="005448F6">
        <w:rPr>
          <w:rFonts w:ascii="Tahoma" w:hAnsi="Tahoma" w:cs="Tahoma"/>
          <w:sz w:val="24"/>
          <w:szCs w:val="24"/>
        </w:rPr>
        <w:t>Yes</w:t>
      </w:r>
      <w:r w:rsidR="00386E9B">
        <w:rPr>
          <w:rFonts w:ascii="Tahoma" w:hAnsi="Tahoma" w:cs="Tahoma"/>
          <w:sz w:val="24"/>
          <w:szCs w:val="24"/>
        </w:rPr>
        <w:t xml:space="preserve">. Please refer </w:t>
      </w:r>
      <w:r w:rsidR="00A11EDE">
        <w:rPr>
          <w:rFonts w:ascii="Tahoma" w:hAnsi="Tahoma" w:cs="Tahoma"/>
          <w:sz w:val="24"/>
          <w:szCs w:val="24"/>
        </w:rPr>
        <w:t xml:space="preserve">to the CARB funding program for additional requirements </w:t>
      </w:r>
      <w:r w:rsidR="00BC304E">
        <w:rPr>
          <w:rFonts w:ascii="Tahoma" w:hAnsi="Tahoma" w:cs="Tahoma"/>
          <w:sz w:val="24"/>
          <w:szCs w:val="24"/>
        </w:rPr>
        <w:t xml:space="preserve">of </w:t>
      </w:r>
      <w:r w:rsidR="002E229B">
        <w:rPr>
          <w:rFonts w:ascii="Tahoma" w:hAnsi="Tahoma" w:cs="Tahoma"/>
          <w:sz w:val="24"/>
          <w:szCs w:val="24"/>
        </w:rPr>
        <w:t xml:space="preserve">the </w:t>
      </w:r>
      <w:r w:rsidR="00BC304E">
        <w:rPr>
          <w:rFonts w:ascii="Tahoma" w:hAnsi="Tahoma" w:cs="Tahoma"/>
          <w:sz w:val="24"/>
          <w:szCs w:val="24"/>
        </w:rPr>
        <w:t>specific funding</w:t>
      </w:r>
      <w:r w:rsidR="002E229B">
        <w:rPr>
          <w:rFonts w:ascii="Tahoma" w:hAnsi="Tahoma" w:cs="Tahoma"/>
          <w:sz w:val="24"/>
          <w:szCs w:val="24"/>
        </w:rPr>
        <w:t xml:space="preserve"> being stacked</w:t>
      </w:r>
      <w:r w:rsidR="00BC304E">
        <w:rPr>
          <w:rFonts w:ascii="Tahoma" w:hAnsi="Tahoma" w:cs="Tahoma"/>
          <w:sz w:val="24"/>
          <w:szCs w:val="24"/>
        </w:rPr>
        <w:t>.</w:t>
      </w:r>
      <w:r w:rsidR="53A5BC0C" w:rsidRPr="6F2DBB9D">
        <w:rPr>
          <w:rFonts w:ascii="Tahoma" w:hAnsi="Tahoma" w:cs="Tahoma"/>
          <w:sz w:val="24"/>
          <w:szCs w:val="24"/>
        </w:rPr>
        <w:t xml:space="preserve"> Project costs reimbursed under one award cannot also be reimbursed by the other award.</w:t>
      </w:r>
    </w:p>
    <w:p w14:paraId="7F7751C4" w14:textId="77777777" w:rsidR="00BE405D" w:rsidRPr="005448F6" w:rsidRDefault="00BE405D" w:rsidP="00EC6EAC">
      <w:pPr>
        <w:spacing w:after="0" w:line="240" w:lineRule="auto"/>
        <w:ind w:left="720"/>
        <w:rPr>
          <w:rFonts w:ascii="Tahoma" w:hAnsi="Tahoma" w:cs="Tahoma"/>
          <w:sz w:val="24"/>
          <w:szCs w:val="24"/>
        </w:rPr>
      </w:pPr>
    </w:p>
    <w:p w14:paraId="7CA191CC" w14:textId="710F20D8" w:rsidR="00B73253" w:rsidRPr="005448F6" w:rsidRDefault="00610A27" w:rsidP="00714137">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Q8</w:t>
      </w:r>
      <w:r>
        <w:rPr>
          <w:rFonts w:ascii="Tahoma" w:eastAsia="Times New Roman" w:hAnsi="Tahoma" w:cs="Tahoma"/>
          <w:b/>
          <w:sz w:val="24"/>
          <w:szCs w:val="24"/>
        </w:rPr>
        <w:t>2</w:t>
      </w:r>
      <w:r w:rsidR="00714137" w:rsidRPr="005448F6">
        <w:rPr>
          <w:rFonts w:ascii="Tahoma" w:eastAsia="Times New Roman" w:hAnsi="Tahoma" w:cs="Tahoma"/>
          <w:b/>
          <w:sz w:val="24"/>
          <w:szCs w:val="24"/>
        </w:rPr>
        <w:t>:</w:t>
      </w:r>
      <w:r w:rsidR="00714137" w:rsidRPr="005448F6">
        <w:rPr>
          <w:rFonts w:ascii="Tahoma" w:eastAsia="Times New Roman" w:hAnsi="Tahoma" w:cs="Tahoma"/>
          <w:b/>
          <w:sz w:val="24"/>
          <w:szCs w:val="24"/>
        </w:rPr>
        <w:tab/>
      </w:r>
      <w:r w:rsidR="00B73253" w:rsidRPr="005448F6">
        <w:rPr>
          <w:rFonts w:ascii="Tahoma" w:eastAsia="Times New Roman" w:hAnsi="Tahoma" w:cs="Tahoma"/>
          <w:b/>
          <w:sz w:val="24"/>
          <w:szCs w:val="24"/>
        </w:rPr>
        <w:t xml:space="preserve">Some calculations show up to 40% waste during filling and normal operations of liquid hydrogen storage stations. Given that hydrogen is a greenhouse gas, and additionally hydrogen waste represents significant resource </w:t>
      </w:r>
      <w:r w:rsidR="00AB008A">
        <w:rPr>
          <w:rFonts w:ascii="Tahoma" w:eastAsia="Times New Roman" w:hAnsi="Tahoma" w:cs="Tahoma"/>
          <w:b/>
          <w:sz w:val="24"/>
          <w:szCs w:val="24"/>
        </w:rPr>
        <w:t>loss</w:t>
      </w:r>
      <w:r w:rsidR="00B73253" w:rsidRPr="005448F6">
        <w:rPr>
          <w:rFonts w:ascii="Tahoma" w:eastAsia="Times New Roman" w:hAnsi="Tahoma" w:cs="Tahoma"/>
          <w:b/>
          <w:sz w:val="24"/>
          <w:szCs w:val="24"/>
        </w:rPr>
        <w:t xml:space="preserve">, should </w:t>
      </w:r>
      <w:r w:rsidR="00AB008A">
        <w:rPr>
          <w:rFonts w:ascii="Tahoma" w:eastAsia="Times New Roman" w:hAnsi="Tahoma" w:cs="Tahoma"/>
          <w:b/>
          <w:sz w:val="24"/>
          <w:szCs w:val="24"/>
        </w:rPr>
        <w:t>this solicitation mandate the use of</w:t>
      </w:r>
      <w:r w:rsidR="00B73253" w:rsidRPr="005448F6">
        <w:rPr>
          <w:rFonts w:ascii="Tahoma" w:eastAsia="Times New Roman" w:hAnsi="Tahoma" w:cs="Tahoma"/>
          <w:b/>
          <w:sz w:val="24"/>
          <w:szCs w:val="24"/>
        </w:rPr>
        <w:t xml:space="preserve"> a zero-waste or zero-boiloff technology </w:t>
      </w:r>
      <w:r w:rsidR="00287C59">
        <w:rPr>
          <w:rFonts w:ascii="Tahoma" w:eastAsia="Times New Roman" w:hAnsi="Tahoma" w:cs="Tahoma"/>
          <w:b/>
          <w:sz w:val="24"/>
          <w:szCs w:val="24"/>
        </w:rPr>
        <w:t>to minimize hydrogen</w:t>
      </w:r>
      <w:r w:rsidR="00C47BD2">
        <w:rPr>
          <w:rFonts w:ascii="Tahoma" w:eastAsia="Times New Roman" w:hAnsi="Tahoma" w:cs="Tahoma"/>
          <w:b/>
          <w:sz w:val="24"/>
          <w:szCs w:val="24"/>
        </w:rPr>
        <w:t xml:space="preserve"> losses?</w:t>
      </w:r>
    </w:p>
    <w:p w14:paraId="17B196C8" w14:textId="77777777" w:rsidR="00CF1250" w:rsidRPr="005448F6" w:rsidRDefault="00CF1250" w:rsidP="00714137">
      <w:pPr>
        <w:spacing w:after="0" w:line="240" w:lineRule="auto"/>
        <w:ind w:left="720" w:hanging="720"/>
        <w:rPr>
          <w:rFonts w:ascii="Tahoma" w:eastAsia="Times New Roman" w:hAnsi="Tahoma" w:cs="Tahoma"/>
          <w:b/>
          <w:sz w:val="24"/>
          <w:szCs w:val="24"/>
        </w:rPr>
      </w:pPr>
    </w:p>
    <w:p w14:paraId="6EC172B1" w14:textId="019D883E" w:rsidR="001D23E2"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A8</w:t>
      </w:r>
      <w:r>
        <w:rPr>
          <w:rFonts w:ascii="Tahoma" w:hAnsi="Tahoma" w:cs="Tahoma"/>
          <w:sz w:val="24"/>
          <w:szCs w:val="24"/>
        </w:rPr>
        <w:t>2</w:t>
      </w:r>
      <w:r w:rsidR="00714137" w:rsidRPr="005448F6">
        <w:rPr>
          <w:rFonts w:ascii="Tahoma" w:hAnsi="Tahoma" w:cs="Tahoma"/>
          <w:sz w:val="24"/>
          <w:szCs w:val="24"/>
        </w:rPr>
        <w:t>:</w:t>
      </w:r>
      <w:r w:rsidR="00714137">
        <w:tab/>
      </w:r>
      <w:r w:rsidR="009C22F4" w:rsidRPr="009C22F4">
        <w:rPr>
          <w:rFonts w:ascii="Tahoma" w:hAnsi="Tahoma" w:cs="Tahoma"/>
          <w:sz w:val="24"/>
          <w:szCs w:val="24"/>
        </w:rPr>
        <w:t>Applicants must comply with all applicable safety and quality standards, as well as uptime requirements.</w:t>
      </w:r>
      <w:r w:rsidR="009C22F4">
        <w:rPr>
          <w:rFonts w:ascii="Tahoma" w:hAnsi="Tahoma" w:cs="Tahoma"/>
          <w:sz w:val="24"/>
          <w:szCs w:val="24"/>
        </w:rPr>
        <w:t xml:space="preserve"> </w:t>
      </w:r>
      <w:r w:rsidR="00944436" w:rsidRPr="00944436">
        <w:rPr>
          <w:rFonts w:ascii="Tahoma" w:hAnsi="Tahoma" w:cs="Tahoma"/>
          <w:sz w:val="24"/>
          <w:szCs w:val="24"/>
        </w:rPr>
        <w:t>While zero-waste or zero-boiloff technologies are not mandated</w:t>
      </w:r>
      <w:r w:rsidR="00944436">
        <w:rPr>
          <w:rFonts w:ascii="Tahoma" w:hAnsi="Tahoma" w:cs="Tahoma"/>
          <w:sz w:val="24"/>
          <w:szCs w:val="24"/>
        </w:rPr>
        <w:t xml:space="preserve"> in this solicitation, A</w:t>
      </w:r>
      <w:r w:rsidR="00944436" w:rsidRPr="00944436">
        <w:rPr>
          <w:rFonts w:ascii="Tahoma" w:hAnsi="Tahoma" w:cs="Tahoma"/>
          <w:sz w:val="24"/>
          <w:szCs w:val="24"/>
        </w:rPr>
        <w:t>pplicants</w:t>
      </w:r>
      <w:r w:rsidR="00515B08">
        <w:rPr>
          <w:rFonts w:ascii="Tahoma" w:hAnsi="Tahoma" w:cs="Tahoma"/>
          <w:sz w:val="24"/>
          <w:szCs w:val="24"/>
        </w:rPr>
        <w:t xml:space="preserve"> may</w:t>
      </w:r>
      <w:r w:rsidR="00944436" w:rsidRPr="00944436">
        <w:rPr>
          <w:rFonts w:ascii="Tahoma" w:hAnsi="Tahoma" w:cs="Tahoma"/>
          <w:sz w:val="24"/>
          <w:szCs w:val="24"/>
        </w:rPr>
        <w:t xml:space="preserve"> highlight any innovative measures addressing hydrogen loss or environmental benefits in their project narrative.</w:t>
      </w:r>
    </w:p>
    <w:p w14:paraId="087A8234" w14:textId="77777777" w:rsidR="00032069" w:rsidRPr="005448F6" w:rsidRDefault="00032069" w:rsidP="00ED2C2E">
      <w:pPr>
        <w:spacing w:after="0" w:line="240" w:lineRule="auto"/>
        <w:ind w:left="720"/>
        <w:rPr>
          <w:rFonts w:ascii="Tahoma" w:hAnsi="Tahoma" w:cs="Tahoma"/>
          <w:sz w:val="24"/>
          <w:szCs w:val="24"/>
        </w:rPr>
      </w:pPr>
    </w:p>
    <w:p w14:paraId="6D3AAB8C" w14:textId="1BDBC044" w:rsidR="007D0626" w:rsidRPr="005448F6" w:rsidRDefault="00610A27" w:rsidP="00E200A5">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Q8</w:t>
      </w:r>
      <w:r>
        <w:rPr>
          <w:rFonts w:ascii="Tahoma" w:eastAsia="Times New Roman" w:hAnsi="Tahoma" w:cs="Tahoma"/>
          <w:b/>
          <w:sz w:val="24"/>
          <w:szCs w:val="24"/>
        </w:rPr>
        <w:t>3</w:t>
      </w:r>
      <w:r w:rsidR="00190BCF" w:rsidRPr="005448F6">
        <w:rPr>
          <w:rFonts w:ascii="Tahoma" w:eastAsia="Times New Roman" w:hAnsi="Tahoma" w:cs="Tahoma"/>
          <w:b/>
          <w:sz w:val="24"/>
          <w:szCs w:val="24"/>
        </w:rPr>
        <w:t>:</w:t>
      </w:r>
      <w:r w:rsidR="00190BCF" w:rsidRPr="005448F6">
        <w:rPr>
          <w:rFonts w:ascii="Tahoma" w:eastAsia="Times New Roman" w:hAnsi="Tahoma" w:cs="Tahoma"/>
          <w:b/>
          <w:sz w:val="24"/>
          <w:szCs w:val="24"/>
        </w:rPr>
        <w:tab/>
      </w:r>
      <w:r w:rsidR="001A2C27" w:rsidRPr="005448F6">
        <w:rPr>
          <w:rFonts w:ascii="Tahoma" w:eastAsia="Times New Roman" w:hAnsi="Tahoma" w:cs="Tahoma"/>
          <w:b/>
          <w:sz w:val="24"/>
          <w:szCs w:val="24"/>
        </w:rPr>
        <w:t>Can you explain how you reached the 200 kW</w:t>
      </w:r>
      <w:r w:rsidR="003335FA">
        <w:rPr>
          <w:rFonts w:ascii="Tahoma" w:eastAsia="Times New Roman" w:hAnsi="Tahoma" w:cs="Tahoma"/>
          <w:b/>
          <w:sz w:val="24"/>
          <w:szCs w:val="24"/>
        </w:rPr>
        <w:t xml:space="preserve"> per </w:t>
      </w:r>
      <w:r w:rsidR="006C77BA">
        <w:rPr>
          <w:rFonts w:ascii="Tahoma" w:eastAsia="Times New Roman" w:hAnsi="Tahoma" w:cs="Tahoma"/>
          <w:b/>
          <w:sz w:val="24"/>
          <w:szCs w:val="24"/>
        </w:rPr>
        <w:t>charging port</w:t>
      </w:r>
      <w:r w:rsidR="001A2C27" w:rsidRPr="005448F6">
        <w:rPr>
          <w:rFonts w:ascii="Tahoma" w:eastAsia="Times New Roman" w:hAnsi="Tahoma" w:cs="Tahoma"/>
          <w:b/>
          <w:sz w:val="24"/>
          <w:szCs w:val="24"/>
        </w:rPr>
        <w:t xml:space="preserve"> and 150 kW</w:t>
      </w:r>
      <w:r w:rsidR="003335FA">
        <w:rPr>
          <w:rFonts w:ascii="Tahoma" w:eastAsia="Times New Roman" w:hAnsi="Tahoma" w:cs="Tahoma"/>
          <w:b/>
          <w:sz w:val="24"/>
          <w:szCs w:val="24"/>
        </w:rPr>
        <w:t xml:space="preserve"> per</w:t>
      </w:r>
      <w:r w:rsidR="008C418A">
        <w:rPr>
          <w:rFonts w:ascii="Tahoma" w:eastAsia="Times New Roman" w:hAnsi="Tahoma" w:cs="Tahoma"/>
          <w:b/>
          <w:sz w:val="24"/>
          <w:szCs w:val="24"/>
        </w:rPr>
        <w:t xml:space="preserve"> </w:t>
      </w:r>
      <w:r w:rsidR="006C77BA">
        <w:rPr>
          <w:rFonts w:ascii="Tahoma" w:eastAsia="Times New Roman" w:hAnsi="Tahoma" w:cs="Tahoma"/>
          <w:b/>
          <w:sz w:val="24"/>
          <w:szCs w:val="24"/>
        </w:rPr>
        <w:t>port</w:t>
      </w:r>
      <w:r w:rsidR="006C77BA" w:rsidRPr="005448F6">
        <w:rPr>
          <w:rFonts w:ascii="Tahoma" w:eastAsia="Times New Roman" w:hAnsi="Tahoma" w:cs="Tahoma"/>
          <w:b/>
          <w:sz w:val="24"/>
          <w:szCs w:val="24"/>
        </w:rPr>
        <w:t xml:space="preserve"> </w:t>
      </w:r>
      <w:r w:rsidR="001A2C27" w:rsidRPr="005448F6">
        <w:rPr>
          <w:rFonts w:ascii="Tahoma" w:eastAsia="Times New Roman" w:hAnsi="Tahoma" w:cs="Tahoma"/>
          <w:b/>
          <w:sz w:val="24"/>
          <w:szCs w:val="24"/>
        </w:rPr>
        <w:t>for simultaneous charging minimum power requirement? This greatly exceeds the power needed for many categories of port cargo handling equipment and could restrict the ability of terminal operators to utilize this funding.</w:t>
      </w:r>
    </w:p>
    <w:p w14:paraId="41E61F00" w14:textId="77777777" w:rsidR="00CF1250" w:rsidRPr="005448F6" w:rsidRDefault="00CF1250" w:rsidP="00E200A5">
      <w:pPr>
        <w:spacing w:after="0" w:line="240" w:lineRule="auto"/>
        <w:ind w:left="720" w:hanging="720"/>
        <w:rPr>
          <w:rFonts w:ascii="Tahoma" w:eastAsia="Times New Roman" w:hAnsi="Tahoma" w:cs="Tahoma"/>
          <w:b/>
          <w:sz w:val="24"/>
          <w:szCs w:val="24"/>
        </w:rPr>
      </w:pPr>
    </w:p>
    <w:p w14:paraId="13887440" w14:textId="3F4A62D0" w:rsidR="007725F9" w:rsidRPr="005448F6" w:rsidRDefault="00610A27" w:rsidP="00CF1250">
      <w:pPr>
        <w:spacing w:after="0"/>
        <w:ind w:left="720" w:hanging="720"/>
        <w:rPr>
          <w:rFonts w:ascii="Tahoma" w:hAnsi="Tahoma" w:cs="Tahoma"/>
          <w:sz w:val="24"/>
          <w:szCs w:val="24"/>
        </w:rPr>
      </w:pPr>
      <w:r w:rsidRPr="005448F6">
        <w:rPr>
          <w:rFonts w:ascii="Tahoma" w:hAnsi="Tahoma" w:cs="Tahoma"/>
          <w:sz w:val="24"/>
          <w:szCs w:val="24"/>
        </w:rPr>
        <w:t>A8</w:t>
      </w:r>
      <w:r>
        <w:rPr>
          <w:rFonts w:ascii="Tahoma" w:hAnsi="Tahoma" w:cs="Tahoma"/>
          <w:sz w:val="24"/>
          <w:szCs w:val="24"/>
        </w:rPr>
        <w:t>3</w:t>
      </w:r>
      <w:r w:rsidR="00190BCF" w:rsidRPr="005448F6">
        <w:rPr>
          <w:rFonts w:ascii="Tahoma" w:hAnsi="Tahoma" w:cs="Tahoma"/>
          <w:sz w:val="24"/>
          <w:szCs w:val="24"/>
        </w:rPr>
        <w:t>:</w:t>
      </w:r>
      <w:r w:rsidR="00190BCF">
        <w:tab/>
      </w:r>
      <w:r w:rsidR="005A77BF" w:rsidRPr="005448F6">
        <w:rPr>
          <w:rFonts w:ascii="Tahoma" w:hAnsi="Tahoma" w:cs="Tahoma"/>
          <w:sz w:val="24"/>
          <w:szCs w:val="24"/>
        </w:rPr>
        <w:t xml:space="preserve">The solicitation manual has been amended </w:t>
      </w:r>
      <w:r w:rsidR="69525395" w:rsidRPr="6F2DBB9D">
        <w:rPr>
          <w:rFonts w:ascii="Tahoma" w:hAnsi="Tahoma" w:cs="Tahoma"/>
          <w:sz w:val="24"/>
          <w:szCs w:val="24"/>
        </w:rPr>
        <w:t xml:space="preserve">(Addendum 02) </w:t>
      </w:r>
      <w:r w:rsidR="005A77BF" w:rsidRPr="005448F6">
        <w:rPr>
          <w:rFonts w:ascii="Tahoma" w:hAnsi="Tahoma" w:cs="Tahoma"/>
          <w:sz w:val="24"/>
          <w:szCs w:val="24"/>
        </w:rPr>
        <w:t>to allow for 150 kW</w:t>
      </w:r>
      <w:r w:rsidR="00D42393">
        <w:rPr>
          <w:rFonts w:ascii="Tahoma" w:hAnsi="Tahoma" w:cs="Tahoma"/>
          <w:sz w:val="24"/>
          <w:szCs w:val="24"/>
        </w:rPr>
        <w:t xml:space="preserve"> per </w:t>
      </w:r>
      <w:r w:rsidR="005A77BF" w:rsidRPr="005448F6">
        <w:rPr>
          <w:rFonts w:ascii="Tahoma" w:hAnsi="Tahoma" w:cs="Tahoma"/>
          <w:sz w:val="24"/>
          <w:szCs w:val="24"/>
        </w:rPr>
        <w:t>port charging</w:t>
      </w:r>
      <w:r w:rsidR="00D345FC">
        <w:rPr>
          <w:rFonts w:ascii="Tahoma" w:hAnsi="Tahoma" w:cs="Tahoma"/>
          <w:sz w:val="24"/>
          <w:szCs w:val="24"/>
        </w:rPr>
        <w:t xml:space="preserve">. However, </w:t>
      </w:r>
      <w:r w:rsidR="002E5179">
        <w:rPr>
          <w:rFonts w:ascii="Tahoma" w:hAnsi="Tahoma" w:cs="Tahoma"/>
          <w:sz w:val="24"/>
          <w:szCs w:val="24"/>
        </w:rPr>
        <w:t>for</w:t>
      </w:r>
      <w:r w:rsidR="005A77BF" w:rsidRPr="005448F6">
        <w:rPr>
          <w:rFonts w:ascii="Tahoma" w:hAnsi="Tahoma" w:cs="Tahoma"/>
          <w:sz w:val="24"/>
          <w:szCs w:val="24"/>
        </w:rPr>
        <w:t xml:space="preserve"> Open Retail</w:t>
      </w:r>
      <w:r w:rsidR="002E5179">
        <w:rPr>
          <w:rFonts w:ascii="Tahoma" w:hAnsi="Tahoma" w:cs="Tahoma"/>
          <w:sz w:val="24"/>
          <w:szCs w:val="24"/>
        </w:rPr>
        <w:t xml:space="preserve"> stations</w:t>
      </w:r>
      <w:r w:rsidR="005A77BF" w:rsidRPr="005448F6">
        <w:rPr>
          <w:rFonts w:ascii="Tahoma" w:hAnsi="Tahoma" w:cs="Tahoma"/>
          <w:sz w:val="24"/>
          <w:szCs w:val="24"/>
        </w:rPr>
        <w:t xml:space="preserve">, </w:t>
      </w:r>
      <w:r w:rsidR="003A415C">
        <w:rPr>
          <w:rFonts w:ascii="Tahoma" w:hAnsi="Tahoma" w:cs="Tahoma"/>
          <w:sz w:val="24"/>
          <w:szCs w:val="24"/>
        </w:rPr>
        <w:t>each</w:t>
      </w:r>
      <w:r w:rsidR="007E7C30">
        <w:rPr>
          <w:rFonts w:ascii="Tahoma" w:hAnsi="Tahoma" w:cs="Tahoma"/>
          <w:sz w:val="24"/>
          <w:szCs w:val="24"/>
        </w:rPr>
        <w:t xml:space="preserve"> charging station port must be capable of providing at least</w:t>
      </w:r>
      <w:r w:rsidR="005A77BF" w:rsidRPr="005448F6">
        <w:rPr>
          <w:rFonts w:ascii="Tahoma" w:hAnsi="Tahoma" w:cs="Tahoma"/>
          <w:sz w:val="24"/>
          <w:szCs w:val="24"/>
        </w:rPr>
        <w:t xml:space="preserve"> 200 kW</w:t>
      </w:r>
      <w:r w:rsidR="002E5179">
        <w:rPr>
          <w:rFonts w:ascii="Tahoma" w:hAnsi="Tahoma" w:cs="Tahoma"/>
          <w:sz w:val="24"/>
          <w:szCs w:val="24"/>
        </w:rPr>
        <w:t xml:space="preserve"> </w:t>
      </w:r>
      <w:r w:rsidR="009C563A">
        <w:rPr>
          <w:rFonts w:ascii="Tahoma" w:hAnsi="Tahoma" w:cs="Tahoma"/>
          <w:sz w:val="24"/>
          <w:szCs w:val="24"/>
        </w:rPr>
        <w:t>and i</w:t>
      </w:r>
      <w:r w:rsidR="007E7C30">
        <w:rPr>
          <w:rFonts w:ascii="Tahoma" w:hAnsi="Tahoma" w:cs="Tahoma"/>
          <w:sz w:val="24"/>
          <w:szCs w:val="24"/>
        </w:rPr>
        <w:t xml:space="preserve">f using Automated Load Management (ALM), </w:t>
      </w:r>
      <w:r w:rsidR="00F31714">
        <w:rPr>
          <w:rFonts w:ascii="Tahoma" w:hAnsi="Tahoma" w:cs="Tahoma"/>
          <w:sz w:val="24"/>
          <w:szCs w:val="24"/>
        </w:rPr>
        <w:t>each</w:t>
      </w:r>
      <w:r w:rsidR="002E5179">
        <w:rPr>
          <w:rFonts w:ascii="Tahoma" w:hAnsi="Tahoma" w:cs="Tahoma"/>
          <w:sz w:val="24"/>
          <w:szCs w:val="24"/>
        </w:rPr>
        <w:t xml:space="preserve"> </w:t>
      </w:r>
      <w:r w:rsidR="00B9738E">
        <w:rPr>
          <w:rFonts w:ascii="Tahoma" w:hAnsi="Tahoma" w:cs="Tahoma"/>
          <w:sz w:val="24"/>
          <w:szCs w:val="24"/>
        </w:rPr>
        <w:t>port would need to be capable of delivering at least 150 kW when all ports are in use.</w:t>
      </w:r>
      <w:r w:rsidR="001B7355" w:rsidRPr="005448F6">
        <w:rPr>
          <w:rFonts w:ascii="Tahoma" w:hAnsi="Tahoma" w:cs="Tahoma"/>
          <w:sz w:val="24"/>
          <w:szCs w:val="24"/>
        </w:rPr>
        <w:t xml:space="preserve"> See Section </w:t>
      </w:r>
      <w:r w:rsidR="00194DA5" w:rsidRPr="005448F6">
        <w:rPr>
          <w:rFonts w:ascii="Tahoma" w:hAnsi="Tahoma" w:cs="Tahoma"/>
          <w:sz w:val="24"/>
          <w:szCs w:val="24"/>
        </w:rPr>
        <w:t>II.</w:t>
      </w:r>
      <w:r w:rsidR="00EE475B" w:rsidRPr="005448F6">
        <w:rPr>
          <w:rFonts w:ascii="Tahoma" w:hAnsi="Tahoma" w:cs="Tahoma"/>
          <w:sz w:val="24"/>
          <w:szCs w:val="24"/>
        </w:rPr>
        <w:t xml:space="preserve">B. for updated requirements. </w:t>
      </w:r>
    </w:p>
    <w:p w14:paraId="44EB2A76" w14:textId="77777777" w:rsidR="00E200A5" w:rsidRPr="005448F6" w:rsidRDefault="00E200A5" w:rsidP="00E200A5">
      <w:pPr>
        <w:spacing w:after="0" w:line="240" w:lineRule="auto"/>
        <w:rPr>
          <w:rFonts w:ascii="Tahoma" w:hAnsi="Tahoma" w:cs="Tahoma"/>
          <w:sz w:val="24"/>
          <w:szCs w:val="24"/>
        </w:rPr>
      </w:pPr>
    </w:p>
    <w:p w14:paraId="60806D31" w14:textId="07047393" w:rsidR="007725F9" w:rsidRPr="005448F6" w:rsidRDefault="00610A27" w:rsidP="00C76F7E">
      <w:pPr>
        <w:spacing w:after="0" w:line="240" w:lineRule="auto"/>
        <w:ind w:left="720" w:hanging="720"/>
        <w:rPr>
          <w:rFonts w:ascii="Tahoma" w:eastAsia="Times New Roman" w:hAnsi="Tahoma" w:cs="Tahoma"/>
          <w:b/>
          <w:sz w:val="24"/>
          <w:szCs w:val="24"/>
        </w:rPr>
      </w:pPr>
      <w:r w:rsidRPr="005448F6">
        <w:rPr>
          <w:rFonts w:ascii="Tahoma" w:eastAsia="Times New Roman" w:hAnsi="Tahoma" w:cs="Tahoma"/>
          <w:b/>
          <w:sz w:val="24"/>
          <w:szCs w:val="24"/>
        </w:rPr>
        <w:t>Q8</w:t>
      </w:r>
      <w:r>
        <w:rPr>
          <w:rFonts w:ascii="Tahoma" w:eastAsia="Times New Roman" w:hAnsi="Tahoma" w:cs="Tahoma"/>
          <w:b/>
          <w:sz w:val="24"/>
          <w:szCs w:val="24"/>
        </w:rPr>
        <w:t>4</w:t>
      </w:r>
      <w:r w:rsidR="0074178B" w:rsidRPr="005448F6">
        <w:rPr>
          <w:rFonts w:ascii="Tahoma" w:eastAsia="Times New Roman" w:hAnsi="Tahoma" w:cs="Tahoma"/>
          <w:b/>
          <w:sz w:val="24"/>
          <w:szCs w:val="24"/>
        </w:rPr>
        <w:t>:</w:t>
      </w:r>
      <w:r w:rsidR="0074178B" w:rsidRPr="005448F6">
        <w:rPr>
          <w:rFonts w:ascii="Tahoma" w:eastAsia="Times New Roman" w:hAnsi="Tahoma" w:cs="Tahoma"/>
          <w:b/>
          <w:sz w:val="24"/>
          <w:szCs w:val="24"/>
        </w:rPr>
        <w:tab/>
      </w:r>
      <w:r w:rsidR="007725F9" w:rsidRPr="005448F6">
        <w:rPr>
          <w:rFonts w:ascii="Tahoma" w:eastAsia="Times New Roman" w:hAnsi="Tahoma" w:cs="Tahoma"/>
          <w:b/>
          <w:sz w:val="24"/>
          <w:szCs w:val="24"/>
        </w:rPr>
        <w:t xml:space="preserve">Regarding the 150 kW requirement per </w:t>
      </w:r>
      <w:r w:rsidR="00320AA5">
        <w:rPr>
          <w:rFonts w:ascii="Tahoma" w:eastAsia="Times New Roman" w:hAnsi="Tahoma" w:cs="Tahoma"/>
          <w:b/>
          <w:sz w:val="24"/>
          <w:szCs w:val="24"/>
        </w:rPr>
        <w:t>charging port</w:t>
      </w:r>
      <w:r w:rsidR="007725F9" w:rsidRPr="005448F6">
        <w:rPr>
          <w:rFonts w:ascii="Tahoma" w:eastAsia="Times New Roman" w:hAnsi="Tahoma" w:cs="Tahoma"/>
          <w:b/>
          <w:sz w:val="24"/>
          <w:szCs w:val="24"/>
        </w:rPr>
        <w:t xml:space="preserve">, could you please clarify between charger and dispensers (“nozzle”). </w:t>
      </w:r>
      <w:r w:rsidR="00320AA5">
        <w:rPr>
          <w:rFonts w:ascii="Tahoma" w:eastAsia="Times New Roman" w:hAnsi="Tahoma" w:cs="Tahoma"/>
          <w:b/>
          <w:sz w:val="24"/>
          <w:szCs w:val="24"/>
        </w:rPr>
        <w:t>For example, if a single</w:t>
      </w:r>
      <w:r w:rsidR="007725F9" w:rsidRPr="005448F6">
        <w:rPr>
          <w:rFonts w:ascii="Tahoma" w:eastAsia="Times New Roman" w:hAnsi="Tahoma" w:cs="Tahoma"/>
          <w:b/>
          <w:sz w:val="24"/>
          <w:szCs w:val="24"/>
        </w:rPr>
        <w:t xml:space="preserve"> charger with two dispensers or “nozzles” </w:t>
      </w:r>
      <w:r w:rsidR="00123952">
        <w:rPr>
          <w:rFonts w:ascii="Tahoma" w:eastAsia="Times New Roman" w:hAnsi="Tahoma" w:cs="Tahoma"/>
          <w:b/>
          <w:sz w:val="24"/>
          <w:szCs w:val="24"/>
        </w:rPr>
        <w:t>has</w:t>
      </w:r>
      <w:r w:rsidR="007725F9" w:rsidRPr="005448F6">
        <w:rPr>
          <w:rFonts w:ascii="Tahoma" w:eastAsia="Times New Roman" w:hAnsi="Tahoma" w:cs="Tahoma"/>
          <w:b/>
          <w:sz w:val="24"/>
          <w:szCs w:val="24"/>
        </w:rPr>
        <w:t xml:space="preserve"> a total capacity of 200 kW but has smart charging capabilities </w:t>
      </w:r>
      <w:r w:rsidR="00B24E85">
        <w:rPr>
          <w:rFonts w:ascii="Tahoma" w:eastAsia="Times New Roman" w:hAnsi="Tahoma" w:cs="Tahoma"/>
          <w:b/>
          <w:sz w:val="24"/>
          <w:szCs w:val="24"/>
        </w:rPr>
        <w:t xml:space="preserve">to </w:t>
      </w:r>
      <w:r w:rsidR="007725F9" w:rsidRPr="005448F6">
        <w:rPr>
          <w:rFonts w:ascii="Tahoma" w:eastAsia="Times New Roman" w:hAnsi="Tahoma" w:cs="Tahoma"/>
          <w:b/>
          <w:sz w:val="24"/>
          <w:szCs w:val="24"/>
        </w:rPr>
        <w:t>supply 150 kW to one dispenser at a time</w:t>
      </w:r>
      <w:r w:rsidR="00B24E85">
        <w:rPr>
          <w:rFonts w:ascii="Tahoma" w:eastAsia="Times New Roman" w:hAnsi="Tahoma" w:cs="Tahoma"/>
          <w:b/>
          <w:sz w:val="24"/>
          <w:szCs w:val="24"/>
        </w:rPr>
        <w:t xml:space="preserve">, but when two vehicles are </w:t>
      </w:r>
      <w:r w:rsidR="007725F9" w:rsidRPr="005448F6">
        <w:rPr>
          <w:rFonts w:ascii="Tahoma" w:eastAsia="Times New Roman" w:hAnsi="Tahoma" w:cs="Tahoma"/>
          <w:b/>
          <w:sz w:val="24"/>
          <w:szCs w:val="24"/>
        </w:rPr>
        <w:t xml:space="preserve">plugged in simultaneously, </w:t>
      </w:r>
      <w:r w:rsidR="00B24E85">
        <w:rPr>
          <w:rFonts w:ascii="Tahoma" w:eastAsia="Times New Roman" w:hAnsi="Tahoma" w:cs="Tahoma"/>
          <w:b/>
          <w:sz w:val="24"/>
          <w:szCs w:val="24"/>
        </w:rPr>
        <w:t xml:space="preserve">the power per dispenser might drop below </w:t>
      </w:r>
      <w:r w:rsidR="007725F9" w:rsidRPr="005448F6">
        <w:rPr>
          <w:rFonts w:ascii="Tahoma" w:eastAsia="Times New Roman" w:hAnsi="Tahoma" w:cs="Tahoma"/>
          <w:b/>
          <w:sz w:val="24"/>
          <w:szCs w:val="24"/>
        </w:rPr>
        <w:t xml:space="preserve">150 kW per </w:t>
      </w:r>
      <w:r w:rsidR="007725F9" w:rsidRPr="005448F6">
        <w:rPr>
          <w:rFonts w:ascii="Tahoma" w:eastAsia="Times New Roman" w:hAnsi="Tahoma" w:cs="Tahoma"/>
          <w:b/>
          <w:sz w:val="24"/>
          <w:szCs w:val="24"/>
        </w:rPr>
        <w:lastRenderedPageBreak/>
        <w:t>dispenser</w:t>
      </w:r>
      <w:r w:rsidR="00B24E85">
        <w:rPr>
          <w:rFonts w:ascii="Tahoma" w:eastAsia="Times New Roman" w:hAnsi="Tahoma" w:cs="Tahoma"/>
          <w:b/>
          <w:sz w:val="24"/>
          <w:szCs w:val="24"/>
        </w:rPr>
        <w:t xml:space="preserve"> (e.g.</w:t>
      </w:r>
      <w:r w:rsidR="00055C9E">
        <w:rPr>
          <w:rFonts w:ascii="Tahoma" w:eastAsia="Times New Roman" w:hAnsi="Tahoma" w:cs="Tahoma"/>
          <w:b/>
          <w:sz w:val="24"/>
          <w:szCs w:val="24"/>
        </w:rPr>
        <w:t xml:space="preserve">, </w:t>
      </w:r>
      <w:r w:rsidR="007725F9" w:rsidRPr="005448F6">
        <w:rPr>
          <w:rFonts w:ascii="Tahoma" w:eastAsia="Times New Roman" w:hAnsi="Tahoma" w:cs="Tahoma"/>
          <w:b/>
          <w:sz w:val="24"/>
          <w:szCs w:val="24"/>
        </w:rPr>
        <w:t>100 kW per</w:t>
      </w:r>
      <w:r w:rsidR="00320AA5">
        <w:rPr>
          <w:rFonts w:ascii="Tahoma" w:eastAsia="Times New Roman" w:hAnsi="Tahoma" w:cs="Tahoma"/>
          <w:b/>
          <w:sz w:val="24"/>
          <w:szCs w:val="24"/>
        </w:rPr>
        <w:t xml:space="preserve"> port</w:t>
      </w:r>
      <w:r w:rsidR="00055C9E">
        <w:rPr>
          <w:rFonts w:ascii="Tahoma" w:eastAsia="Times New Roman" w:hAnsi="Tahoma" w:cs="Tahoma"/>
          <w:b/>
          <w:sz w:val="24"/>
          <w:szCs w:val="24"/>
        </w:rPr>
        <w:t>)</w:t>
      </w:r>
      <w:r w:rsidR="00446460">
        <w:rPr>
          <w:rFonts w:ascii="Tahoma" w:eastAsia="Times New Roman" w:hAnsi="Tahoma" w:cs="Tahoma"/>
          <w:b/>
          <w:sz w:val="24"/>
          <w:szCs w:val="24"/>
        </w:rPr>
        <w:t xml:space="preserve"> during part of the charging cycle</w:t>
      </w:r>
      <w:r w:rsidR="007725F9" w:rsidRPr="005448F6">
        <w:rPr>
          <w:rFonts w:ascii="Tahoma" w:eastAsia="Times New Roman" w:hAnsi="Tahoma" w:cs="Tahoma"/>
          <w:b/>
          <w:sz w:val="24"/>
          <w:szCs w:val="24"/>
        </w:rPr>
        <w:t>. Would this type of equipment be allowed</w:t>
      </w:r>
      <w:r w:rsidR="00320AA5">
        <w:rPr>
          <w:rFonts w:ascii="Tahoma" w:eastAsia="Times New Roman" w:hAnsi="Tahoma" w:cs="Tahoma"/>
          <w:b/>
          <w:sz w:val="24"/>
          <w:szCs w:val="24"/>
        </w:rPr>
        <w:t xml:space="preserve"> under this solicitation</w:t>
      </w:r>
      <w:r w:rsidR="007725F9" w:rsidRPr="005448F6">
        <w:rPr>
          <w:rFonts w:ascii="Tahoma" w:eastAsia="Times New Roman" w:hAnsi="Tahoma" w:cs="Tahoma"/>
          <w:b/>
          <w:sz w:val="24"/>
          <w:szCs w:val="24"/>
        </w:rPr>
        <w:t>?</w:t>
      </w:r>
    </w:p>
    <w:p w14:paraId="0892C429" w14:textId="77777777" w:rsidR="00CF1250" w:rsidRPr="005448F6" w:rsidRDefault="00CF1250" w:rsidP="00C76F7E">
      <w:pPr>
        <w:spacing w:after="0" w:line="240" w:lineRule="auto"/>
        <w:ind w:left="720" w:hanging="720"/>
        <w:rPr>
          <w:rFonts w:ascii="Tahoma" w:eastAsia="Times New Roman" w:hAnsi="Tahoma" w:cs="Tahoma"/>
          <w:b/>
          <w:sz w:val="24"/>
          <w:szCs w:val="24"/>
        </w:rPr>
      </w:pPr>
    </w:p>
    <w:p w14:paraId="76C6006F" w14:textId="7435B217" w:rsidR="00007B72" w:rsidRDefault="00610A27" w:rsidP="00CF1250">
      <w:pPr>
        <w:spacing w:after="0"/>
        <w:ind w:left="720" w:hanging="720"/>
        <w:rPr>
          <w:rFonts w:ascii="Tahoma" w:hAnsi="Tahoma" w:cs="Tahoma"/>
          <w:sz w:val="24"/>
          <w:szCs w:val="24"/>
        </w:rPr>
      </w:pPr>
      <w:r w:rsidRPr="005448F6">
        <w:rPr>
          <w:rFonts w:ascii="Tahoma" w:hAnsi="Tahoma" w:cs="Tahoma"/>
          <w:sz w:val="24"/>
          <w:szCs w:val="24"/>
        </w:rPr>
        <w:t>A8</w:t>
      </w:r>
      <w:r>
        <w:rPr>
          <w:rFonts w:ascii="Tahoma" w:hAnsi="Tahoma" w:cs="Tahoma"/>
          <w:sz w:val="24"/>
          <w:szCs w:val="24"/>
        </w:rPr>
        <w:t>4</w:t>
      </w:r>
      <w:r w:rsidR="00304C23" w:rsidRPr="005448F6">
        <w:rPr>
          <w:rFonts w:ascii="Tahoma" w:hAnsi="Tahoma" w:cs="Tahoma"/>
          <w:sz w:val="24"/>
          <w:szCs w:val="24"/>
        </w:rPr>
        <w:t>:</w:t>
      </w:r>
      <w:r w:rsidR="00304C23">
        <w:tab/>
      </w:r>
      <w:r w:rsidR="00446460">
        <w:rPr>
          <w:rFonts w:ascii="Tahoma" w:hAnsi="Tahoma" w:cs="Tahoma"/>
          <w:sz w:val="24"/>
          <w:szCs w:val="24"/>
        </w:rPr>
        <w:t xml:space="preserve">No. </w:t>
      </w:r>
      <w:r w:rsidR="003F0425" w:rsidRPr="005448F6">
        <w:rPr>
          <w:rFonts w:ascii="Tahoma" w:hAnsi="Tahoma" w:cs="Tahoma"/>
          <w:sz w:val="24"/>
          <w:szCs w:val="24"/>
        </w:rPr>
        <w:t>A</w:t>
      </w:r>
      <w:r w:rsidR="007427B5" w:rsidRPr="005448F6">
        <w:rPr>
          <w:rFonts w:ascii="Tahoma" w:hAnsi="Tahoma" w:cs="Tahoma"/>
          <w:sz w:val="24"/>
          <w:szCs w:val="24"/>
        </w:rPr>
        <w:t xml:space="preserve"> nozzle</w:t>
      </w:r>
      <w:r w:rsidR="00FF679A" w:rsidRPr="005448F6">
        <w:rPr>
          <w:rFonts w:ascii="Tahoma" w:hAnsi="Tahoma" w:cs="Tahoma"/>
          <w:sz w:val="24"/>
          <w:szCs w:val="24"/>
        </w:rPr>
        <w:t xml:space="preserve">/port/dispenser </w:t>
      </w:r>
      <w:r w:rsidR="003F0425" w:rsidRPr="005448F6">
        <w:rPr>
          <w:rFonts w:ascii="Tahoma" w:hAnsi="Tahoma" w:cs="Tahoma"/>
          <w:sz w:val="24"/>
          <w:szCs w:val="24"/>
        </w:rPr>
        <w:t xml:space="preserve">output of less than </w:t>
      </w:r>
      <w:r w:rsidR="00A8333C" w:rsidRPr="005448F6">
        <w:rPr>
          <w:rFonts w:ascii="Tahoma" w:hAnsi="Tahoma" w:cs="Tahoma"/>
          <w:sz w:val="24"/>
          <w:szCs w:val="24"/>
        </w:rPr>
        <w:t>150</w:t>
      </w:r>
      <w:r w:rsidR="00FF679A" w:rsidRPr="005448F6">
        <w:rPr>
          <w:rFonts w:ascii="Tahoma" w:hAnsi="Tahoma" w:cs="Tahoma"/>
          <w:sz w:val="24"/>
          <w:szCs w:val="24"/>
        </w:rPr>
        <w:t xml:space="preserve"> kW </w:t>
      </w:r>
      <w:r w:rsidR="007F5240" w:rsidRPr="005448F6">
        <w:rPr>
          <w:rFonts w:ascii="Tahoma" w:hAnsi="Tahoma" w:cs="Tahoma"/>
          <w:sz w:val="24"/>
          <w:szCs w:val="24"/>
        </w:rPr>
        <w:t>is not allowed.</w:t>
      </w:r>
      <w:r w:rsidR="007427B5" w:rsidRPr="005448F6">
        <w:rPr>
          <w:rFonts w:ascii="Tahoma" w:hAnsi="Tahoma" w:cs="Tahoma"/>
          <w:sz w:val="24"/>
          <w:szCs w:val="24"/>
        </w:rPr>
        <w:t xml:space="preserve"> </w:t>
      </w:r>
      <w:r w:rsidR="00304C23" w:rsidRPr="005448F6">
        <w:rPr>
          <w:rFonts w:ascii="Tahoma" w:hAnsi="Tahoma" w:cs="Tahoma"/>
          <w:sz w:val="24"/>
          <w:szCs w:val="24"/>
        </w:rPr>
        <w:t>Section II.B</w:t>
      </w:r>
      <w:r w:rsidR="00CE7F71" w:rsidRPr="005448F6">
        <w:rPr>
          <w:rFonts w:ascii="Tahoma" w:hAnsi="Tahoma" w:cs="Tahoma"/>
          <w:sz w:val="24"/>
          <w:szCs w:val="24"/>
        </w:rPr>
        <w:t>.</w:t>
      </w:r>
      <w:r w:rsidR="00304C23" w:rsidRPr="005448F6">
        <w:rPr>
          <w:rFonts w:ascii="Tahoma" w:hAnsi="Tahoma" w:cs="Tahoma"/>
          <w:sz w:val="24"/>
          <w:szCs w:val="24"/>
        </w:rPr>
        <w:t>2.</w:t>
      </w:r>
      <w:r w:rsidR="00833C98" w:rsidRPr="005448F6">
        <w:rPr>
          <w:rFonts w:ascii="Tahoma" w:hAnsi="Tahoma" w:cs="Tahoma"/>
          <w:sz w:val="24"/>
          <w:szCs w:val="24"/>
        </w:rPr>
        <w:t xml:space="preserve"> </w:t>
      </w:r>
      <w:r w:rsidR="0039048E" w:rsidRPr="005448F6">
        <w:rPr>
          <w:rFonts w:ascii="Tahoma" w:hAnsi="Tahoma" w:cs="Tahoma"/>
          <w:sz w:val="24"/>
          <w:szCs w:val="24"/>
        </w:rPr>
        <w:t>Charger Port</w:t>
      </w:r>
      <w:r w:rsidR="009C40B6" w:rsidRPr="005448F6">
        <w:rPr>
          <w:rFonts w:ascii="Tahoma" w:hAnsi="Tahoma" w:cs="Tahoma"/>
          <w:sz w:val="24"/>
          <w:szCs w:val="24"/>
        </w:rPr>
        <w:t>/Hydrogen Refueling Dispenser Minimums</w:t>
      </w:r>
      <w:r w:rsidR="00304C23" w:rsidRPr="005448F6">
        <w:rPr>
          <w:rFonts w:ascii="Tahoma" w:hAnsi="Tahoma" w:cs="Tahoma"/>
          <w:sz w:val="24"/>
          <w:szCs w:val="24"/>
        </w:rPr>
        <w:t>, Addendum #</w:t>
      </w:r>
      <w:r w:rsidR="0075136F">
        <w:rPr>
          <w:rFonts w:ascii="Tahoma" w:hAnsi="Tahoma" w:cs="Tahoma"/>
          <w:sz w:val="24"/>
          <w:szCs w:val="24"/>
        </w:rPr>
        <w:t>2</w:t>
      </w:r>
      <w:r w:rsidR="00304C23" w:rsidRPr="005448F6">
        <w:rPr>
          <w:rFonts w:ascii="Tahoma" w:hAnsi="Tahoma" w:cs="Tahoma"/>
          <w:sz w:val="24"/>
          <w:szCs w:val="24"/>
        </w:rPr>
        <w:t xml:space="preserve"> states</w:t>
      </w:r>
      <w:r w:rsidR="00B108FD" w:rsidRPr="005448F6">
        <w:rPr>
          <w:rFonts w:ascii="Tahoma" w:hAnsi="Tahoma" w:cs="Tahoma"/>
          <w:sz w:val="24"/>
          <w:szCs w:val="24"/>
        </w:rPr>
        <w:t xml:space="preserve"> that e</w:t>
      </w:r>
      <w:r w:rsidR="00304C23" w:rsidRPr="005448F6">
        <w:rPr>
          <w:rFonts w:ascii="Tahoma" w:hAnsi="Tahoma" w:cs="Tahoma"/>
          <w:sz w:val="24"/>
          <w:szCs w:val="24"/>
        </w:rPr>
        <w:t xml:space="preserve">ach charging port must </w:t>
      </w:r>
      <w:r w:rsidR="00630268">
        <w:rPr>
          <w:rFonts w:ascii="Tahoma" w:hAnsi="Tahoma" w:cs="Tahoma"/>
          <w:sz w:val="24"/>
          <w:szCs w:val="24"/>
        </w:rPr>
        <w:t>provide at least 150 kW</w:t>
      </w:r>
      <w:r w:rsidR="002030A1">
        <w:rPr>
          <w:rFonts w:ascii="Tahoma" w:hAnsi="Tahoma" w:cs="Tahoma"/>
          <w:sz w:val="24"/>
          <w:szCs w:val="24"/>
        </w:rPr>
        <w:t>, including during</w:t>
      </w:r>
      <w:r w:rsidR="001F570A">
        <w:rPr>
          <w:rFonts w:ascii="Tahoma" w:hAnsi="Tahoma" w:cs="Tahoma"/>
          <w:b/>
          <w:bCs/>
          <w:sz w:val="24"/>
          <w:szCs w:val="24"/>
        </w:rPr>
        <w:t xml:space="preserve"> </w:t>
      </w:r>
      <w:r w:rsidR="001F570A" w:rsidRPr="00B809A1">
        <w:rPr>
          <w:rFonts w:ascii="Tahoma" w:hAnsi="Tahoma" w:cs="Tahoma"/>
          <w:sz w:val="24"/>
          <w:szCs w:val="24"/>
        </w:rPr>
        <w:t>simultaneous charging</w:t>
      </w:r>
      <w:r w:rsidR="00304C23" w:rsidRPr="005448F6">
        <w:rPr>
          <w:rFonts w:ascii="Tahoma" w:hAnsi="Tahoma" w:cs="Tahoma"/>
          <w:sz w:val="24"/>
          <w:szCs w:val="24"/>
        </w:rPr>
        <w:t>.</w:t>
      </w:r>
      <w:r w:rsidR="000629D2" w:rsidRPr="005448F6">
        <w:rPr>
          <w:rFonts w:ascii="Tahoma" w:hAnsi="Tahoma" w:cs="Tahoma"/>
          <w:sz w:val="24"/>
          <w:szCs w:val="24"/>
        </w:rPr>
        <w:t xml:space="preserve"> Additionally,</w:t>
      </w:r>
      <w:r w:rsidR="00304C23" w:rsidRPr="005448F6">
        <w:rPr>
          <w:rFonts w:ascii="Tahoma" w:hAnsi="Tahoma" w:cs="Tahoma"/>
          <w:sz w:val="24"/>
          <w:szCs w:val="24"/>
        </w:rPr>
        <w:t xml:space="preserve"> </w:t>
      </w:r>
      <w:r w:rsidR="00BC27D1" w:rsidRPr="005448F6">
        <w:rPr>
          <w:rFonts w:ascii="Tahoma" w:hAnsi="Tahoma" w:cs="Tahoma"/>
          <w:sz w:val="24"/>
          <w:szCs w:val="24"/>
        </w:rPr>
        <w:t xml:space="preserve">if the electric vehicle charging station will be open retail, each charging station port must be capable of providing at least 200 kW </w:t>
      </w:r>
      <w:r w:rsidR="004D4D36" w:rsidRPr="005448F6">
        <w:rPr>
          <w:rFonts w:ascii="Tahoma" w:hAnsi="Tahoma" w:cs="Tahoma"/>
          <w:sz w:val="24"/>
          <w:szCs w:val="24"/>
        </w:rPr>
        <w:t>(</w:t>
      </w:r>
      <w:r w:rsidR="00BC27D1" w:rsidRPr="005448F6">
        <w:rPr>
          <w:rFonts w:ascii="Tahoma" w:hAnsi="Tahoma" w:cs="Tahoma"/>
          <w:sz w:val="24"/>
          <w:szCs w:val="24"/>
        </w:rPr>
        <w:t xml:space="preserve">and if </w:t>
      </w:r>
      <w:r w:rsidR="00C44E92" w:rsidRPr="00C44E92">
        <w:rPr>
          <w:rFonts w:ascii="Tahoma" w:hAnsi="Tahoma" w:cs="Tahoma"/>
          <w:sz w:val="24"/>
          <w:szCs w:val="24"/>
        </w:rPr>
        <w:t>Automated Load Management (ALM)</w:t>
      </w:r>
      <w:r w:rsidR="00304C23" w:rsidRPr="005448F6">
        <w:rPr>
          <w:rFonts w:ascii="Tahoma" w:hAnsi="Tahoma" w:cs="Tahoma"/>
          <w:sz w:val="24"/>
          <w:szCs w:val="24"/>
        </w:rPr>
        <w:t xml:space="preserve"> is being utilized, each charging station port must be capable of simultaneously providing at least 150 kW when all ports are in use</w:t>
      </w:r>
      <w:r w:rsidR="004D4D36" w:rsidRPr="4FCA5ADA">
        <w:rPr>
          <w:rFonts w:ascii="Tahoma" w:hAnsi="Tahoma" w:cs="Tahoma"/>
          <w:sz w:val="24"/>
          <w:szCs w:val="24"/>
        </w:rPr>
        <w:t>)</w:t>
      </w:r>
      <w:r w:rsidR="00304C23" w:rsidRPr="4FCA5ADA">
        <w:rPr>
          <w:rFonts w:ascii="Tahoma" w:hAnsi="Tahoma" w:cs="Tahoma"/>
          <w:sz w:val="24"/>
          <w:szCs w:val="24"/>
        </w:rPr>
        <w:t>.</w:t>
      </w:r>
    </w:p>
    <w:p w14:paraId="4FBBDE40" w14:textId="77777777" w:rsidR="002660F2" w:rsidRDefault="002660F2" w:rsidP="00CF1250">
      <w:pPr>
        <w:spacing w:after="0"/>
        <w:ind w:left="720" w:hanging="720"/>
        <w:rPr>
          <w:rFonts w:ascii="Tahoma" w:hAnsi="Tahoma" w:cs="Tahoma"/>
          <w:sz w:val="24"/>
          <w:szCs w:val="24"/>
        </w:rPr>
      </w:pPr>
    </w:p>
    <w:p w14:paraId="2BA4AF33" w14:textId="7E7B4B0A" w:rsidR="002660F2" w:rsidRPr="00C33D43" w:rsidRDefault="002660F2" w:rsidP="00CF1250">
      <w:pPr>
        <w:spacing w:after="0"/>
        <w:ind w:left="720" w:hanging="720"/>
        <w:rPr>
          <w:rFonts w:ascii="Tahoma" w:hAnsi="Tahoma" w:cs="Tahoma"/>
          <w:b/>
          <w:bCs/>
          <w:sz w:val="24"/>
          <w:szCs w:val="24"/>
        </w:rPr>
      </w:pPr>
      <w:r w:rsidRPr="00C33D43">
        <w:rPr>
          <w:rFonts w:ascii="Tahoma" w:hAnsi="Tahoma" w:cs="Tahoma"/>
          <w:b/>
          <w:bCs/>
          <w:sz w:val="24"/>
          <w:szCs w:val="24"/>
        </w:rPr>
        <w:t>Q85:</w:t>
      </w:r>
      <w:r w:rsidRPr="00C33D43">
        <w:rPr>
          <w:rFonts w:ascii="Tahoma" w:hAnsi="Tahoma" w:cs="Tahoma"/>
          <w:b/>
          <w:bCs/>
          <w:sz w:val="24"/>
          <w:szCs w:val="24"/>
        </w:rPr>
        <w:tab/>
      </w:r>
      <w:r w:rsidR="00FF1D83" w:rsidRPr="00C33D43">
        <w:rPr>
          <w:rFonts w:ascii="Tahoma" w:hAnsi="Tahoma" w:cs="Tahoma"/>
          <w:b/>
          <w:bCs/>
          <w:sz w:val="24"/>
          <w:szCs w:val="24"/>
        </w:rPr>
        <w:t xml:space="preserve">The Manual states Applicant is to </w:t>
      </w:r>
      <w:r w:rsidR="009B4F4D">
        <w:rPr>
          <w:rFonts w:ascii="Tahoma" w:hAnsi="Tahoma" w:cs="Tahoma"/>
          <w:b/>
          <w:bCs/>
          <w:sz w:val="24"/>
          <w:szCs w:val="24"/>
        </w:rPr>
        <w:t>“</w:t>
      </w:r>
      <w:r w:rsidR="00FF1D83" w:rsidRPr="00C33D43">
        <w:rPr>
          <w:rFonts w:ascii="Tahoma" w:hAnsi="Tahoma" w:cs="Tahoma"/>
          <w:b/>
          <w:bCs/>
          <w:sz w:val="24"/>
          <w:szCs w:val="24"/>
        </w:rPr>
        <w:t>…submit a separate Past Performance Reference Form for each CEC agreement…</w:t>
      </w:r>
      <w:r w:rsidR="001C2AF2" w:rsidRPr="00C33D43">
        <w:rPr>
          <w:rFonts w:ascii="Tahoma" w:hAnsi="Tahoma" w:cs="Tahoma"/>
          <w:b/>
          <w:bCs/>
          <w:sz w:val="24"/>
          <w:szCs w:val="24"/>
        </w:rPr>
        <w:t xml:space="preserve">” </w:t>
      </w:r>
      <w:r w:rsidR="00FF1D83" w:rsidRPr="00C33D43">
        <w:rPr>
          <w:rFonts w:ascii="Tahoma" w:hAnsi="Tahoma" w:cs="Tahoma"/>
          <w:b/>
          <w:bCs/>
          <w:sz w:val="24"/>
          <w:szCs w:val="24"/>
        </w:rPr>
        <w:t xml:space="preserve">and yet the actual Attachment 12 instructions do not contain the word </w:t>
      </w:r>
      <w:r w:rsidR="001C2AF2" w:rsidRPr="00C33D43">
        <w:rPr>
          <w:rFonts w:ascii="Tahoma" w:hAnsi="Tahoma" w:cs="Tahoma"/>
          <w:b/>
          <w:bCs/>
          <w:sz w:val="24"/>
          <w:szCs w:val="24"/>
        </w:rPr>
        <w:t>“</w:t>
      </w:r>
      <w:r w:rsidR="00FF1D83" w:rsidRPr="00C33D43">
        <w:rPr>
          <w:rFonts w:ascii="Tahoma" w:hAnsi="Tahoma" w:cs="Tahoma"/>
          <w:b/>
          <w:bCs/>
          <w:sz w:val="24"/>
          <w:szCs w:val="24"/>
        </w:rPr>
        <w:t>each</w:t>
      </w:r>
      <w:r w:rsidR="00AE1140" w:rsidRPr="00C33D43">
        <w:rPr>
          <w:rFonts w:ascii="Tahoma" w:hAnsi="Tahoma" w:cs="Tahoma"/>
          <w:b/>
          <w:bCs/>
          <w:sz w:val="24"/>
          <w:szCs w:val="24"/>
        </w:rPr>
        <w:t xml:space="preserve">.” Can an Applicant target the most recent </w:t>
      </w:r>
      <w:r w:rsidR="00BA679A">
        <w:rPr>
          <w:rFonts w:ascii="Tahoma" w:hAnsi="Tahoma" w:cs="Tahoma"/>
          <w:b/>
          <w:bCs/>
          <w:sz w:val="24"/>
          <w:szCs w:val="24"/>
        </w:rPr>
        <w:t>five</w:t>
      </w:r>
      <w:r w:rsidR="00BA679A" w:rsidRPr="00C33D43">
        <w:rPr>
          <w:rFonts w:ascii="Tahoma" w:hAnsi="Tahoma" w:cs="Tahoma"/>
          <w:b/>
          <w:bCs/>
          <w:sz w:val="24"/>
          <w:szCs w:val="24"/>
        </w:rPr>
        <w:t xml:space="preserve"> </w:t>
      </w:r>
      <w:r w:rsidR="00AE1140" w:rsidRPr="00C33D43">
        <w:rPr>
          <w:rFonts w:ascii="Tahoma" w:hAnsi="Tahoma" w:cs="Tahoma"/>
          <w:b/>
          <w:bCs/>
          <w:sz w:val="24"/>
          <w:szCs w:val="24"/>
        </w:rPr>
        <w:t>CEC references that are similar in scope, size, and topic to GFO-24-610?</w:t>
      </w:r>
    </w:p>
    <w:p w14:paraId="727E7F89" w14:textId="23BD9EFE" w:rsidR="001C2C2F" w:rsidRPr="00BA3215" w:rsidRDefault="00AE1140" w:rsidP="00C33D43">
      <w:pPr>
        <w:spacing w:before="100" w:beforeAutospacing="1" w:after="100" w:afterAutospacing="1"/>
        <w:ind w:left="720" w:hanging="720"/>
        <w:rPr>
          <w:rFonts w:ascii="Tahoma" w:hAnsi="Tahoma" w:cs="Tahoma"/>
          <w:bCs/>
          <w:sz w:val="24"/>
          <w:szCs w:val="24"/>
        </w:rPr>
      </w:pPr>
      <w:r>
        <w:rPr>
          <w:rFonts w:ascii="Tahoma" w:hAnsi="Tahoma" w:cs="Tahoma"/>
          <w:sz w:val="24"/>
          <w:szCs w:val="24"/>
        </w:rPr>
        <w:t>A85:</w:t>
      </w:r>
      <w:r>
        <w:tab/>
      </w:r>
      <w:r w:rsidR="00050FAD">
        <w:rPr>
          <w:rFonts w:ascii="Tahoma" w:hAnsi="Tahoma" w:cs="Tahoma"/>
          <w:sz w:val="24"/>
          <w:szCs w:val="24"/>
        </w:rPr>
        <w:t xml:space="preserve">The </w:t>
      </w:r>
      <w:r w:rsidR="00F804E8">
        <w:rPr>
          <w:rFonts w:ascii="Tahoma" w:hAnsi="Tahoma" w:cs="Tahoma"/>
          <w:sz w:val="24"/>
          <w:szCs w:val="24"/>
        </w:rPr>
        <w:t xml:space="preserve">Attachment 12 </w:t>
      </w:r>
      <w:r w:rsidR="00050FAD">
        <w:rPr>
          <w:rFonts w:ascii="Tahoma" w:hAnsi="Tahoma" w:cs="Tahoma"/>
          <w:sz w:val="24"/>
          <w:szCs w:val="24"/>
        </w:rPr>
        <w:t xml:space="preserve">form is a </w:t>
      </w:r>
      <w:r w:rsidR="00AD150E">
        <w:rPr>
          <w:rFonts w:ascii="Tahoma" w:hAnsi="Tahoma" w:cs="Tahoma"/>
          <w:sz w:val="24"/>
          <w:szCs w:val="24"/>
        </w:rPr>
        <w:t xml:space="preserve">template </w:t>
      </w:r>
      <w:r w:rsidR="00050FAD">
        <w:rPr>
          <w:rFonts w:ascii="Tahoma" w:hAnsi="Tahoma" w:cs="Tahoma"/>
          <w:sz w:val="24"/>
          <w:szCs w:val="24"/>
        </w:rPr>
        <w:t xml:space="preserve">form used across CEC grant solicitations, which is why the word “each” is not included </w:t>
      </w:r>
      <w:r w:rsidR="00D3275D">
        <w:rPr>
          <w:rFonts w:ascii="Tahoma" w:hAnsi="Tahoma" w:cs="Tahoma"/>
          <w:sz w:val="24"/>
          <w:szCs w:val="24"/>
        </w:rPr>
        <w:t>in the instructions</w:t>
      </w:r>
      <w:r w:rsidR="00414616">
        <w:rPr>
          <w:rFonts w:ascii="Tahoma" w:hAnsi="Tahoma" w:cs="Tahoma"/>
          <w:sz w:val="24"/>
          <w:szCs w:val="24"/>
        </w:rPr>
        <w:t xml:space="preserve"> on the form</w:t>
      </w:r>
      <w:r w:rsidR="00D3275D">
        <w:rPr>
          <w:rFonts w:ascii="Tahoma" w:hAnsi="Tahoma" w:cs="Tahoma"/>
          <w:sz w:val="24"/>
          <w:szCs w:val="24"/>
        </w:rPr>
        <w:t xml:space="preserve">. </w:t>
      </w:r>
      <w:r w:rsidR="00440729">
        <w:rPr>
          <w:rFonts w:ascii="Tahoma" w:hAnsi="Tahoma" w:cs="Tahoma"/>
          <w:sz w:val="24"/>
          <w:szCs w:val="24"/>
        </w:rPr>
        <w:t>As instructed in</w:t>
      </w:r>
      <w:r w:rsidR="009230A7">
        <w:rPr>
          <w:rFonts w:ascii="Tahoma" w:hAnsi="Tahoma" w:cs="Tahoma"/>
          <w:sz w:val="24"/>
          <w:szCs w:val="24"/>
        </w:rPr>
        <w:t xml:space="preserve"> Section</w:t>
      </w:r>
      <w:r w:rsidR="00440729">
        <w:rPr>
          <w:rFonts w:ascii="Tahoma" w:hAnsi="Tahoma" w:cs="Tahoma"/>
          <w:sz w:val="24"/>
          <w:szCs w:val="24"/>
        </w:rPr>
        <w:t xml:space="preserve"> </w:t>
      </w:r>
      <w:r w:rsidR="00887B94">
        <w:rPr>
          <w:rFonts w:ascii="Tahoma" w:hAnsi="Tahoma" w:cs="Tahoma"/>
          <w:sz w:val="24"/>
          <w:szCs w:val="24"/>
        </w:rPr>
        <w:t>III.D.</w:t>
      </w:r>
      <w:r w:rsidR="00FA50D2">
        <w:rPr>
          <w:rFonts w:ascii="Tahoma" w:hAnsi="Tahoma" w:cs="Tahoma"/>
          <w:sz w:val="24"/>
          <w:szCs w:val="24"/>
        </w:rPr>
        <w:t>1</w:t>
      </w:r>
      <w:r w:rsidR="009230A7">
        <w:rPr>
          <w:rFonts w:ascii="Tahoma" w:hAnsi="Tahoma" w:cs="Tahoma"/>
          <w:sz w:val="24"/>
          <w:szCs w:val="24"/>
        </w:rPr>
        <w:t xml:space="preserve">2, </w:t>
      </w:r>
      <w:r w:rsidR="001C2C2F">
        <w:rPr>
          <w:rFonts w:ascii="Tahoma" w:hAnsi="Tahoma" w:cs="Tahoma"/>
          <w:sz w:val="24"/>
          <w:szCs w:val="24"/>
        </w:rPr>
        <w:t>“</w:t>
      </w:r>
      <w:r w:rsidR="001C2C2F" w:rsidRPr="00BA3215">
        <w:rPr>
          <w:rFonts w:ascii="Tahoma" w:hAnsi="Tahoma" w:cs="Tahoma"/>
          <w:bCs/>
          <w:sz w:val="24"/>
          <w:szCs w:val="24"/>
        </w:rPr>
        <w:t>Applicants must complete and submit a separate Past Performance Reference Form for each CEC agreement (e.g., contract, grant or loan) received by the Applicant in the last 10 years, including ongoing agreements, and the 5 most recent agreements with other public agencies within the past 10 years.</w:t>
      </w:r>
      <w:r w:rsidR="001C2C2F">
        <w:rPr>
          <w:rFonts w:ascii="Tahoma" w:hAnsi="Tahoma" w:cs="Tahoma"/>
          <w:bCs/>
          <w:sz w:val="24"/>
          <w:szCs w:val="24"/>
        </w:rPr>
        <w:t xml:space="preserve">” Applicants may not selectively choose </w:t>
      </w:r>
      <w:r w:rsidR="00E701BC">
        <w:rPr>
          <w:rFonts w:ascii="Tahoma" w:hAnsi="Tahoma" w:cs="Tahoma"/>
          <w:bCs/>
          <w:sz w:val="24"/>
          <w:szCs w:val="24"/>
        </w:rPr>
        <w:t xml:space="preserve">which </w:t>
      </w:r>
      <w:r w:rsidR="002D6DFD">
        <w:rPr>
          <w:rFonts w:ascii="Tahoma" w:hAnsi="Tahoma" w:cs="Tahoma"/>
          <w:bCs/>
          <w:sz w:val="24"/>
          <w:szCs w:val="24"/>
        </w:rPr>
        <w:t xml:space="preserve">agreements </w:t>
      </w:r>
      <w:r w:rsidR="00001516">
        <w:rPr>
          <w:rFonts w:ascii="Tahoma" w:hAnsi="Tahoma" w:cs="Tahoma"/>
          <w:bCs/>
          <w:sz w:val="24"/>
          <w:szCs w:val="24"/>
        </w:rPr>
        <w:t>to report, whether CEC agreements or agreements with other public agencies</w:t>
      </w:r>
      <w:r w:rsidR="004F7BCD">
        <w:rPr>
          <w:rFonts w:ascii="Tahoma" w:hAnsi="Tahoma" w:cs="Tahoma"/>
          <w:bCs/>
          <w:sz w:val="24"/>
          <w:szCs w:val="24"/>
        </w:rPr>
        <w:t>,</w:t>
      </w:r>
      <w:r w:rsidR="00C33D43">
        <w:rPr>
          <w:rFonts w:ascii="Tahoma" w:hAnsi="Tahoma" w:cs="Tahoma"/>
          <w:bCs/>
          <w:sz w:val="24"/>
          <w:szCs w:val="24"/>
        </w:rPr>
        <w:t xml:space="preserve"> and should submit a separate </w:t>
      </w:r>
      <w:r w:rsidR="7AE159ED" w:rsidRPr="6F2DBB9D">
        <w:rPr>
          <w:rFonts w:ascii="Tahoma" w:hAnsi="Tahoma" w:cs="Tahoma"/>
          <w:sz w:val="24"/>
          <w:szCs w:val="24"/>
        </w:rPr>
        <w:t xml:space="preserve">Past Performance Reference Form </w:t>
      </w:r>
      <w:r w:rsidR="00C33D43">
        <w:rPr>
          <w:rFonts w:ascii="Tahoma" w:hAnsi="Tahoma" w:cs="Tahoma"/>
          <w:bCs/>
          <w:sz w:val="24"/>
          <w:szCs w:val="24"/>
        </w:rPr>
        <w:t>for each agreement</w:t>
      </w:r>
      <w:r w:rsidR="002D6DFD">
        <w:rPr>
          <w:rFonts w:ascii="Tahoma" w:hAnsi="Tahoma" w:cs="Tahoma"/>
          <w:bCs/>
          <w:sz w:val="24"/>
          <w:szCs w:val="24"/>
        </w:rPr>
        <w:t xml:space="preserve">. </w:t>
      </w:r>
    </w:p>
    <w:p w14:paraId="32ECF2FA" w14:textId="79EFAF8A" w:rsidR="00AE1140" w:rsidRPr="005448F6" w:rsidRDefault="00F67DBF" w:rsidP="00CF1250">
      <w:pPr>
        <w:spacing w:after="0"/>
        <w:ind w:left="720" w:hanging="720"/>
        <w:rPr>
          <w:rFonts w:ascii="Tahoma" w:hAnsi="Tahoma" w:cs="Tahoma"/>
          <w:sz w:val="24"/>
          <w:szCs w:val="24"/>
        </w:rPr>
      </w:pPr>
      <w:r>
        <w:rPr>
          <w:rFonts w:ascii="Tahoma" w:hAnsi="Tahoma" w:cs="Tahoma"/>
          <w:sz w:val="24"/>
          <w:szCs w:val="24"/>
        </w:rPr>
        <w:t xml:space="preserve"> </w:t>
      </w:r>
    </w:p>
    <w:sectPr w:rsidR="00AE1140" w:rsidRPr="005448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83D16" w14:textId="77777777" w:rsidR="0036557B" w:rsidRDefault="0036557B" w:rsidP="00DD0162">
      <w:pPr>
        <w:spacing w:after="0" w:line="240" w:lineRule="auto"/>
      </w:pPr>
      <w:r>
        <w:separator/>
      </w:r>
    </w:p>
  </w:endnote>
  <w:endnote w:type="continuationSeparator" w:id="0">
    <w:p w14:paraId="29610AC7" w14:textId="77777777" w:rsidR="0036557B" w:rsidRDefault="0036557B" w:rsidP="00DD0162">
      <w:pPr>
        <w:spacing w:after="0" w:line="240" w:lineRule="auto"/>
      </w:pPr>
      <w:r>
        <w:continuationSeparator/>
      </w:r>
    </w:p>
  </w:endnote>
  <w:endnote w:type="continuationNotice" w:id="1">
    <w:p w14:paraId="61943ABC" w14:textId="77777777" w:rsidR="0036557B" w:rsidRDefault="00365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A8D8" w14:textId="77777777" w:rsidR="0036557B" w:rsidRDefault="0036557B" w:rsidP="00DD0162">
      <w:pPr>
        <w:spacing w:after="0" w:line="240" w:lineRule="auto"/>
      </w:pPr>
      <w:r>
        <w:separator/>
      </w:r>
    </w:p>
  </w:footnote>
  <w:footnote w:type="continuationSeparator" w:id="0">
    <w:p w14:paraId="0BA40D9F" w14:textId="77777777" w:rsidR="0036557B" w:rsidRDefault="0036557B" w:rsidP="00DD0162">
      <w:pPr>
        <w:spacing w:after="0" w:line="240" w:lineRule="auto"/>
      </w:pPr>
      <w:r>
        <w:continuationSeparator/>
      </w:r>
    </w:p>
  </w:footnote>
  <w:footnote w:type="continuationNotice" w:id="1">
    <w:p w14:paraId="575EFABF" w14:textId="77777777" w:rsidR="0036557B" w:rsidRDefault="003655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563"/>
    <w:multiLevelType w:val="multilevel"/>
    <w:tmpl w:val="FB6645E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BB1623"/>
    <w:multiLevelType w:val="hybridMultilevel"/>
    <w:tmpl w:val="27D0CEB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C72FA"/>
    <w:multiLevelType w:val="hybridMultilevel"/>
    <w:tmpl w:val="6EBA6950"/>
    <w:lvl w:ilvl="0" w:tplc="FFFFFFFF">
      <w:start w:val="1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D8225F"/>
    <w:multiLevelType w:val="hybridMultilevel"/>
    <w:tmpl w:val="9844CD1A"/>
    <w:lvl w:ilvl="0" w:tplc="DD4AEF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5035"/>
    <w:multiLevelType w:val="hybridMultilevel"/>
    <w:tmpl w:val="11F8A5C4"/>
    <w:lvl w:ilvl="0" w:tplc="B074F22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797DDE"/>
    <w:multiLevelType w:val="hybridMultilevel"/>
    <w:tmpl w:val="23863CEA"/>
    <w:lvl w:ilvl="0" w:tplc="D55CD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86D40"/>
    <w:multiLevelType w:val="hybridMultilevel"/>
    <w:tmpl w:val="B828519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9674F"/>
    <w:multiLevelType w:val="hybridMultilevel"/>
    <w:tmpl w:val="B72C8684"/>
    <w:lvl w:ilvl="0" w:tplc="E1564C56">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35A32"/>
    <w:multiLevelType w:val="hybridMultilevel"/>
    <w:tmpl w:val="6ED67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67B28"/>
    <w:multiLevelType w:val="hybridMultilevel"/>
    <w:tmpl w:val="9F282766"/>
    <w:lvl w:ilvl="0" w:tplc="E8A6E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3109E7"/>
    <w:multiLevelType w:val="hybridMultilevel"/>
    <w:tmpl w:val="DD4AE25A"/>
    <w:lvl w:ilvl="0" w:tplc="F208A6B4">
      <w:start w:val="1"/>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D6A06"/>
    <w:multiLevelType w:val="hybridMultilevel"/>
    <w:tmpl w:val="F98E85E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E121EA"/>
    <w:multiLevelType w:val="hybridMultilevel"/>
    <w:tmpl w:val="80525F9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DD85A71"/>
    <w:multiLevelType w:val="hybridMultilevel"/>
    <w:tmpl w:val="2A22C5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B26984"/>
    <w:multiLevelType w:val="hybridMultilevel"/>
    <w:tmpl w:val="6CCA2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D1AD3"/>
    <w:multiLevelType w:val="hybridMultilevel"/>
    <w:tmpl w:val="1D746930"/>
    <w:lvl w:ilvl="0" w:tplc="DD4AEF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87B92"/>
    <w:multiLevelType w:val="multilevel"/>
    <w:tmpl w:val="BDEA5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0351AB"/>
    <w:multiLevelType w:val="hybridMultilevel"/>
    <w:tmpl w:val="AF306128"/>
    <w:lvl w:ilvl="0" w:tplc="C4AA2AE2">
      <w:start w:val="1"/>
      <w:numFmt w:val="upperLetter"/>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624B6"/>
    <w:multiLevelType w:val="hybridMultilevel"/>
    <w:tmpl w:val="3A10E4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FA1F8F"/>
    <w:multiLevelType w:val="hybridMultilevel"/>
    <w:tmpl w:val="BDC24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16A24"/>
    <w:multiLevelType w:val="hybridMultilevel"/>
    <w:tmpl w:val="79B4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5327D"/>
    <w:multiLevelType w:val="hybridMultilevel"/>
    <w:tmpl w:val="6EBA695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14FD4"/>
    <w:multiLevelType w:val="multilevel"/>
    <w:tmpl w:val="7BDE7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541A18"/>
    <w:multiLevelType w:val="hybridMultilevel"/>
    <w:tmpl w:val="F98E8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D6EB9"/>
    <w:multiLevelType w:val="hybridMultilevel"/>
    <w:tmpl w:val="6EBA6950"/>
    <w:lvl w:ilvl="0" w:tplc="FFFFFFFF">
      <w:start w:val="1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993629"/>
    <w:multiLevelType w:val="multilevel"/>
    <w:tmpl w:val="038C62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78827CF"/>
    <w:multiLevelType w:val="hybridMultilevel"/>
    <w:tmpl w:val="CEA40A78"/>
    <w:lvl w:ilvl="0" w:tplc="DD4AEF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F134C"/>
    <w:multiLevelType w:val="hybridMultilevel"/>
    <w:tmpl w:val="1266121C"/>
    <w:lvl w:ilvl="0" w:tplc="DD4AEF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E4B7C"/>
    <w:multiLevelType w:val="hybridMultilevel"/>
    <w:tmpl w:val="6EBA6950"/>
    <w:lvl w:ilvl="0" w:tplc="FFFFFFFF">
      <w:start w:val="1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AA414B"/>
    <w:multiLevelType w:val="hybridMultilevel"/>
    <w:tmpl w:val="4662B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2BB3117"/>
    <w:multiLevelType w:val="multilevel"/>
    <w:tmpl w:val="050281D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541EBF"/>
    <w:multiLevelType w:val="hybridMultilevel"/>
    <w:tmpl w:val="B8285196"/>
    <w:lvl w:ilvl="0" w:tplc="FFFFFFFF">
      <w:start w:val="1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A13694"/>
    <w:multiLevelType w:val="hybridMultilevel"/>
    <w:tmpl w:val="6EBA6950"/>
    <w:lvl w:ilvl="0" w:tplc="FFFFFFFF">
      <w:start w:val="1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0589382">
    <w:abstractNumId w:val="19"/>
  </w:num>
  <w:num w:numId="2" w16cid:durableId="391923612">
    <w:abstractNumId w:val="29"/>
  </w:num>
  <w:num w:numId="3" w16cid:durableId="567228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55554">
    <w:abstractNumId w:val="20"/>
  </w:num>
  <w:num w:numId="5" w16cid:durableId="1654531379">
    <w:abstractNumId w:val="13"/>
  </w:num>
  <w:num w:numId="6" w16cid:durableId="883297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02026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142276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687670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708519">
    <w:abstractNumId w:val="6"/>
  </w:num>
  <w:num w:numId="11" w16cid:durableId="1210460048">
    <w:abstractNumId w:val="23"/>
  </w:num>
  <w:num w:numId="12" w16cid:durableId="1682656425">
    <w:abstractNumId w:val="21"/>
  </w:num>
  <w:num w:numId="13" w16cid:durableId="632173801">
    <w:abstractNumId w:val="11"/>
  </w:num>
  <w:num w:numId="14" w16cid:durableId="1989817800">
    <w:abstractNumId w:val="18"/>
  </w:num>
  <w:num w:numId="15" w16cid:durableId="122892476">
    <w:abstractNumId w:val="5"/>
  </w:num>
  <w:num w:numId="16" w16cid:durableId="906846315">
    <w:abstractNumId w:val="31"/>
  </w:num>
  <w:num w:numId="17" w16cid:durableId="889345948">
    <w:abstractNumId w:val="8"/>
  </w:num>
  <w:num w:numId="18" w16cid:durableId="432748395">
    <w:abstractNumId w:val="32"/>
  </w:num>
  <w:num w:numId="19" w16cid:durableId="288899676">
    <w:abstractNumId w:val="28"/>
  </w:num>
  <w:num w:numId="20" w16cid:durableId="1451510957">
    <w:abstractNumId w:val="4"/>
  </w:num>
  <w:num w:numId="21" w16cid:durableId="2107925036">
    <w:abstractNumId w:val="10"/>
  </w:num>
  <w:num w:numId="22" w16cid:durableId="1168863868">
    <w:abstractNumId w:val="17"/>
  </w:num>
  <w:num w:numId="23" w16cid:durableId="1741978581">
    <w:abstractNumId w:val="9"/>
  </w:num>
  <w:num w:numId="24" w16cid:durableId="538593945">
    <w:abstractNumId w:val="3"/>
  </w:num>
  <w:num w:numId="25" w16cid:durableId="634144824">
    <w:abstractNumId w:val="2"/>
  </w:num>
  <w:num w:numId="26" w16cid:durableId="1918661498">
    <w:abstractNumId w:val="26"/>
  </w:num>
  <w:num w:numId="27" w16cid:durableId="224145174">
    <w:abstractNumId w:val="24"/>
  </w:num>
  <w:num w:numId="28" w16cid:durableId="875198712">
    <w:abstractNumId w:val="27"/>
  </w:num>
  <w:num w:numId="29" w16cid:durableId="1183205150">
    <w:abstractNumId w:val="15"/>
  </w:num>
  <w:num w:numId="30" w16cid:durableId="1752581707">
    <w:abstractNumId w:val="7"/>
  </w:num>
  <w:num w:numId="31" w16cid:durableId="1573930836">
    <w:abstractNumId w:val="1"/>
  </w:num>
  <w:num w:numId="32" w16cid:durableId="1495147381">
    <w:abstractNumId w:val="12"/>
  </w:num>
  <w:num w:numId="33" w16cid:durableId="936448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90"/>
    <w:rsid w:val="000000FC"/>
    <w:rsid w:val="00001516"/>
    <w:rsid w:val="00001D33"/>
    <w:rsid w:val="000021C9"/>
    <w:rsid w:val="00004CC7"/>
    <w:rsid w:val="00004D73"/>
    <w:rsid w:val="00005B67"/>
    <w:rsid w:val="00007591"/>
    <w:rsid w:val="00007B72"/>
    <w:rsid w:val="00011059"/>
    <w:rsid w:val="00015C5D"/>
    <w:rsid w:val="00016523"/>
    <w:rsid w:val="00020272"/>
    <w:rsid w:val="000214EF"/>
    <w:rsid w:val="000220E2"/>
    <w:rsid w:val="00022C14"/>
    <w:rsid w:val="00023C81"/>
    <w:rsid w:val="000247E0"/>
    <w:rsid w:val="00025246"/>
    <w:rsid w:val="00025885"/>
    <w:rsid w:val="00025B31"/>
    <w:rsid w:val="00025C18"/>
    <w:rsid w:val="00026A97"/>
    <w:rsid w:val="00027179"/>
    <w:rsid w:val="000274B9"/>
    <w:rsid w:val="000300C9"/>
    <w:rsid w:val="00032069"/>
    <w:rsid w:val="000325AD"/>
    <w:rsid w:val="00032A59"/>
    <w:rsid w:val="000335E6"/>
    <w:rsid w:val="00034415"/>
    <w:rsid w:val="0003612C"/>
    <w:rsid w:val="000362CB"/>
    <w:rsid w:val="00036675"/>
    <w:rsid w:val="000374F7"/>
    <w:rsid w:val="00040111"/>
    <w:rsid w:val="000403B2"/>
    <w:rsid w:val="00040769"/>
    <w:rsid w:val="000409C1"/>
    <w:rsid w:val="000413FF"/>
    <w:rsid w:val="00041BE5"/>
    <w:rsid w:val="000420D6"/>
    <w:rsid w:val="00042C84"/>
    <w:rsid w:val="00042F13"/>
    <w:rsid w:val="00043142"/>
    <w:rsid w:val="000431D3"/>
    <w:rsid w:val="00043F8A"/>
    <w:rsid w:val="000446D6"/>
    <w:rsid w:val="00044E55"/>
    <w:rsid w:val="00046666"/>
    <w:rsid w:val="0004752E"/>
    <w:rsid w:val="00047EA0"/>
    <w:rsid w:val="000506AF"/>
    <w:rsid w:val="00050FAD"/>
    <w:rsid w:val="00052597"/>
    <w:rsid w:val="00052D26"/>
    <w:rsid w:val="000530E8"/>
    <w:rsid w:val="00053333"/>
    <w:rsid w:val="00053C5B"/>
    <w:rsid w:val="00055B49"/>
    <w:rsid w:val="00055C9E"/>
    <w:rsid w:val="00057975"/>
    <w:rsid w:val="000600AF"/>
    <w:rsid w:val="0006196C"/>
    <w:rsid w:val="000629D2"/>
    <w:rsid w:val="00063B70"/>
    <w:rsid w:val="00063CB6"/>
    <w:rsid w:val="00064AD3"/>
    <w:rsid w:val="00064C75"/>
    <w:rsid w:val="00070529"/>
    <w:rsid w:val="00071E19"/>
    <w:rsid w:val="000727BD"/>
    <w:rsid w:val="00073316"/>
    <w:rsid w:val="000735CF"/>
    <w:rsid w:val="00073DCB"/>
    <w:rsid w:val="0007458F"/>
    <w:rsid w:val="000754A3"/>
    <w:rsid w:val="000756AC"/>
    <w:rsid w:val="0007583E"/>
    <w:rsid w:val="00075EF1"/>
    <w:rsid w:val="00076FA3"/>
    <w:rsid w:val="00077494"/>
    <w:rsid w:val="000802EA"/>
    <w:rsid w:val="000806AE"/>
    <w:rsid w:val="00080989"/>
    <w:rsid w:val="0008181C"/>
    <w:rsid w:val="0008202E"/>
    <w:rsid w:val="0008262E"/>
    <w:rsid w:val="000830A7"/>
    <w:rsid w:val="00083229"/>
    <w:rsid w:val="00084787"/>
    <w:rsid w:val="00087E24"/>
    <w:rsid w:val="0009208A"/>
    <w:rsid w:val="00093319"/>
    <w:rsid w:val="00095439"/>
    <w:rsid w:val="000958B9"/>
    <w:rsid w:val="00096431"/>
    <w:rsid w:val="00097D19"/>
    <w:rsid w:val="000A0C58"/>
    <w:rsid w:val="000A1279"/>
    <w:rsid w:val="000A1552"/>
    <w:rsid w:val="000A180A"/>
    <w:rsid w:val="000A2D32"/>
    <w:rsid w:val="000A30E6"/>
    <w:rsid w:val="000A34E7"/>
    <w:rsid w:val="000A3C67"/>
    <w:rsid w:val="000A3D20"/>
    <w:rsid w:val="000A5634"/>
    <w:rsid w:val="000A5BB0"/>
    <w:rsid w:val="000A67C8"/>
    <w:rsid w:val="000A6CB9"/>
    <w:rsid w:val="000A785E"/>
    <w:rsid w:val="000B004D"/>
    <w:rsid w:val="000B08A0"/>
    <w:rsid w:val="000B1765"/>
    <w:rsid w:val="000B398B"/>
    <w:rsid w:val="000B5693"/>
    <w:rsid w:val="000B5E58"/>
    <w:rsid w:val="000C10BF"/>
    <w:rsid w:val="000C1AF6"/>
    <w:rsid w:val="000C26D9"/>
    <w:rsid w:val="000C2A57"/>
    <w:rsid w:val="000C33C0"/>
    <w:rsid w:val="000C6BE9"/>
    <w:rsid w:val="000C7570"/>
    <w:rsid w:val="000D1614"/>
    <w:rsid w:val="000D16C9"/>
    <w:rsid w:val="000D1F6C"/>
    <w:rsid w:val="000D2F68"/>
    <w:rsid w:val="000D307E"/>
    <w:rsid w:val="000D3801"/>
    <w:rsid w:val="000D4452"/>
    <w:rsid w:val="000D45FE"/>
    <w:rsid w:val="000D4733"/>
    <w:rsid w:val="000D4FCA"/>
    <w:rsid w:val="000D6549"/>
    <w:rsid w:val="000E018D"/>
    <w:rsid w:val="000E0A6E"/>
    <w:rsid w:val="000E1062"/>
    <w:rsid w:val="000E19F9"/>
    <w:rsid w:val="000E20DA"/>
    <w:rsid w:val="000E304D"/>
    <w:rsid w:val="000E3111"/>
    <w:rsid w:val="000E3270"/>
    <w:rsid w:val="000E3311"/>
    <w:rsid w:val="000E358F"/>
    <w:rsid w:val="000E3B3B"/>
    <w:rsid w:val="000E3FEC"/>
    <w:rsid w:val="000E44B1"/>
    <w:rsid w:val="000E4522"/>
    <w:rsid w:val="000E4897"/>
    <w:rsid w:val="000E52F6"/>
    <w:rsid w:val="000E5578"/>
    <w:rsid w:val="000F0E28"/>
    <w:rsid w:val="000F1CCE"/>
    <w:rsid w:val="000F1D10"/>
    <w:rsid w:val="000F28DC"/>
    <w:rsid w:val="000F2EE4"/>
    <w:rsid w:val="000F302B"/>
    <w:rsid w:val="000F3A3B"/>
    <w:rsid w:val="000F3BCC"/>
    <w:rsid w:val="000F41E9"/>
    <w:rsid w:val="000F42B5"/>
    <w:rsid w:val="000F4428"/>
    <w:rsid w:val="000F515F"/>
    <w:rsid w:val="000F5AED"/>
    <w:rsid w:val="000F650E"/>
    <w:rsid w:val="000F6FEE"/>
    <w:rsid w:val="00100D41"/>
    <w:rsid w:val="00101293"/>
    <w:rsid w:val="0010137A"/>
    <w:rsid w:val="00101BA3"/>
    <w:rsid w:val="00102055"/>
    <w:rsid w:val="001043BC"/>
    <w:rsid w:val="001050AC"/>
    <w:rsid w:val="00105F11"/>
    <w:rsid w:val="00105F72"/>
    <w:rsid w:val="0010703D"/>
    <w:rsid w:val="001077A2"/>
    <w:rsid w:val="00107854"/>
    <w:rsid w:val="001101C7"/>
    <w:rsid w:val="001102B7"/>
    <w:rsid w:val="001107A0"/>
    <w:rsid w:val="001121E6"/>
    <w:rsid w:val="0011328D"/>
    <w:rsid w:val="001132BA"/>
    <w:rsid w:val="00113A32"/>
    <w:rsid w:val="00113F17"/>
    <w:rsid w:val="00114172"/>
    <w:rsid w:val="00114C7C"/>
    <w:rsid w:val="00115095"/>
    <w:rsid w:val="00115A26"/>
    <w:rsid w:val="00115EFB"/>
    <w:rsid w:val="001161ED"/>
    <w:rsid w:val="0011716E"/>
    <w:rsid w:val="00121875"/>
    <w:rsid w:val="00121C30"/>
    <w:rsid w:val="00121D21"/>
    <w:rsid w:val="00121E8F"/>
    <w:rsid w:val="00123952"/>
    <w:rsid w:val="00123B4E"/>
    <w:rsid w:val="00124182"/>
    <w:rsid w:val="00124692"/>
    <w:rsid w:val="00124F93"/>
    <w:rsid w:val="00125701"/>
    <w:rsid w:val="0013115B"/>
    <w:rsid w:val="001313D7"/>
    <w:rsid w:val="00131447"/>
    <w:rsid w:val="00134025"/>
    <w:rsid w:val="00134212"/>
    <w:rsid w:val="00134215"/>
    <w:rsid w:val="001344D6"/>
    <w:rsid w:val="00134B55"/>
    <w:rsid w:val="0013571B"/>
    <w:rsid w:val="0013697B"/>
    <w:rsid w:val="001435D9"/>
    <w:rsid w:val="00143AB6"/>
    <w:rsid w:val="00143C5D"/>
    <w:rsid w:val="00143F7E"/>
    <w:rsid w:val="00143F80"/>
    <w:rsid w:val="00144576"/>
    <w:rsid w:val="00144589"/>
    <w:rsid w:val="00145A96"/>
    <w:rsid w:val="00145FDE"/>
    <w:rsid w:val="00146522"/>
    <w:rsid w:val="00147457"/>
    <w:rsid w:val="00147E69"/>
    <w:rsid w:val="0015164F"/>
    <w:rsid w:val="001517C1"/>
    <w:rsid w:val="00151A85"/>
    <w:rsid w:val="001532BD"/>
    <w:rsid w:val="00154000"/>
    <w:rsid w:val="0015484C"/>
    <w:rsid w:val="00154D62"/>
    <w:rsid w:val="00155D8C"/>
    <w:rsid w:val="001607AC"/>
    <w:rsid w:val="001622AB"/>
    <w:rsid w:val="001641FD"/>
    <w:rsid w:val="0016433C"/>
    <w:rsid w:val="00164616"/>
    <w:rsid w:val="001649B2"/>
    <w:rsid w:val="00165079"/>
    <w:rsid w:val="001652DB"/>
    <w:rsid w:val="001665F2"/>
    <w:rsid w:val="00166B83"/>
    <w:rsid w:val="001673FF"/>
    <w:rsid w:val="00167B79"/>
    <w:rsid w:val="00167D6E"/>
    <w:rsid w:val="00167F29"/>
    <w:rsid w:val="00170385"/>
    <w:rsid w:val="0017141D"/>
    <w:rsid w:val="00172FC5"/>
    <w:rsid w:val="00173682"/>
    <w:rsid w:val="00173B08"/>
    <w:rsid w:val="00173DFB"/>
    <w:rsid w:val="00175218"/>
    <w:rsid w:val="00175DCF"/>
    <w:rsid w:val="00181145"/>
    <w:rsid w:val="00181C26"/>
    <w:rsid w:val="0018266C"/>
    <w:rsid w:val="001846CE"/>
    <w:rsid w:val="00184AD0"/>
    <w:rsid w:val="0018627B"/>
    <w:rsid w:val="00186943"/>
    <w:rsid w:val="00186F75"/>
    <w:rsid w:val="00187575"/>
    <w:rsid w:val="00190184"/>
    <w:rsid w:val="001902AA"/>
    <w:rsid w:val="00190BCF"/>
    <w:rsid w:val="001916E6"/>
    <w:rsid w:val="00191EAF"/>
    <w:rsid w:val="001938D5"/>
    <w:rsid w:val="001942CB"/>
    <w:rsid w:val="00194DA5"/>
    <w:rsid w:val="00195334"/>
    <w:rsid w:val="00196010"/>
    <w:rsid w:val="001967B6"/>
    <w:rsid w:val="00196C0C"/>
    <w:rsid w:val="00196DC4"/>
    <w:rsid w:val="0019782B"/>
    <w:rsid w:val="00197CFC"/>
    <w:rsid w:val="00197F43"/>
    <w:rsid w:val="001A013B"/>
    <w:rsid w:val="001A0220"/>
    <w:rsid w:val="001A07C8"/>
    <w:rsid w:val="001A0FBF"/>
    <w:rsid w:val="001A2182"/>
    <w:rsid w:val="001A230A"/>
    <w:rsid w:val="001A2C27"/>
    <w:rsid w:val="001A32BF"/>
    <w:rsid w:val="001A33DD"/>
    <w:rsid w:val="001A3B52"/>
    <w:rsid w:val="001A4837"/>
    <w:rsid w:val="001A49BC"/>
    <w:rsid w:val="001A62F9"/>
    <w:rsid w:val="001B0F1C"/>
    <w:rsid w:val="001B152D"/>
    <w:rsid w:val="001B1AF3"/>
    <w:rsid w:val="001B2FFC"/>
    <w:rsid w:val="001B3BE4"/>
    <w:rsid w:val="001B3FD6"/>
    <w:rsid w:val="001B5F5C"/>
    <w:rsid w:val="001B6616"/>
    <w:rsid w:val="001B6717"/>
    <w:rsid w:val="001B6934"/>
    <w:rsid w:val="001B6DDA"/>
    <w:rsid w:val="001B7355"/>
    <w:rsid w:val="001C0160"/>
    <w:rsid w:val="001C1667"/>
    <w:rsid w:val="001C17C5"/>
    <w:rsid w:val="001C23D7"/>
    <w:rsid w:val="001C24C7"/>
    <w:rsid w:val="001C2AF2"/>
    <w:rsid w:val="001C2C2F"/>
    <w:rsid w:val="001C33D7"/>
    <w:rsid w:val="001C3D37"/>
    <w:rsid w:val="001C591A"/>
    <w:rsid w:val="001C6339"/>
    <w:rsid w:val="001C6939"/>
    <w:rsid w:val="001D0503"/>
    <w:rsid w:val="001D0E9F"/>
    <w:rsid w:val="001D1109"/>
    <w:rsid w:val="001D1179"/>
    <w:rsid w:val="001D15F6"/>
    <w:rsid w:val="001D23E2"/>
    <w:rsid w:val="001D2AE1"/>
    <w:rsid w:val="001D43B4"/>
    <w:rsid w:val="001D4815"/>
    <w:rsid w:val="001D51A7"/>
    <w:rsid w:val="001D571D"/>
    <w:rsid w:val="001D5EEE"/>
    <w:rsid w:val="001D623F"/>
    <w:rsid w:val="001D6D2F"/>
    <w:rsid w:val="001D77BB"/>
    <w:rsid w:val="001D7EDB"/>
    <w:rsid w:val="001D7F46"/>
    <w:rsid w:val="001E143F"/>
    <w:rsid w:val="001E1A16"/>
    <w:rsid w:val="001E2806"/>
    <w:rsid w:val="001E2D87"/>
    <w:rsid w:val="001E34C3"/>
    <w:rsid w:val="001E67F1"/>
    <w:rsid w:val="001E6FC0"/>
    <w:rsid w:val="001E72EE"/>
    <w:rsid w:val="001F0157"/>
    <w:rsid w:val="001F1322"/>
    <w:rsid w:val="001F46EA"/>
    <w:rsid w:val="001F48AE"/>
    <w:rsid w:val="001F4947"/>
    <w:rsid w:val="001F50E9"/>
    <w:rsid w:val="001F570A"/>
    <w:rsid w:val="001F5A80"/>
    <w:rsid w:val="001F5ADC"/>
    <w:rsid w:val="001F5AE2"/>
    <w:rsid w:val="001F686D"/>
    <w:rsid w:val="002030A1"/>
    <w:rsid w:val="00203949"/>
    <w:rsid w:val="00203DCD"/>
    <w:rsid w:val="00204C9F"/>
    <w:rsid w:val="0020508B"/>
    <w:rsid w:val="00205139"/>
    <w:rsid w:val="002053BF"/>
    <w:rsid w:val="00205B35"/>
    <w:rsid w:val="00210322"/>
    <w:rsid w:val="00210F2B"/>
    <w:rsid w:val="002113BD"/>
    <w:rsid w:val="00212074"/>
    <w:rsid w:val="0021241A"/>
    <w:rsid w:val="00212BD4"/>
    <w:rsid w:val="002131D9"/>
    <w:rsid w:val="00213598"/>
    <w:rsid w:val="00213EC1"/>
    <w:rsid w:val="002149EF"/>
    <w:rsid w:val="002161C8"/>
    <w:rsid w:val="00216841"/>
    <w:rsid w:val="002169F2"/>
    <w:rsid w:val="00217101"/>
    <w:rsid w:val="00220384"/>
    <w:rsid w:val="00220A6C"/>
    <w:rsid w:val="0022127C"/>
    <w:rsid w:val="002215A9"/>
    <w:rsid w:val="00222143"/>
    <w:rsid w:val="002233EC"/>
    <w:rsid w:val="00223682"/>
    <w:rsid w:val="00224079"/>
    <w:rsid w:val="00225DA1"/>
    <w:rsid w:val="00225FD2"/>
    <w:rsid w:val="002272D5"/>
    <w:rsid w:val="00227485"/>
    <w:rsid w:val="002278F8"/>
    <w:rsid w:val="00231908"/>
    <w:rsid w:val="002319E0"/>
    <w:rsid w:val="0023310E"/>
    <w:rsid w:val="00233170"/>
    <w:rsid w:val="002365A9"/>
    <w:rsid w:val="00236BEC"/>
    <w:rsid w:val="00237C9A"/>
    <w:rsid w:val="00241202"/>
    <w:rsid w:val="002417C8"/>
    <w:rsid w:val="002419D3"/>
    <w:rsid w:val="00241C83"/>
    <w:rsid w:val="0024253D"/>
    <w:rsid w:val="00242C52"/>
    <w:rsid w:val="00242FAA"/>
    <w:rsid w:val="0024305C"/>
    <w:rsid w:val="0024385B"/>
    <w:rsid w:val="00246F87"/>
    <w:rsid w:val="0024793F"/>
    <w:rsid w:val="00247B35"/>
    <w:rsid w:val="00247E29"/>
    <w:rsid w:val="00250DCC"/>
    <w:rsid w:val="00252B82"/>
    <w:rsid w:val="00252BBF"/>
    <w:rsid w:val="0025327C"/>
    <w:rsid w:val="002537DD"/>
    <w:rsid w:val="002540A6"/>
    <w:rsid w:val="0025465C"/>
    <w:rsid w:val="00254A31"/>
    <w:rsid w:val="00255E94"/>
    <w:rsid w:val="002573B2"/>
    <w:rsid w:val="0025782C"/>
    <w:rsid w:val="00257F11"/>
    <w:rsid w:val="0026285C"/>
    <w:rsid w:val="002637C9"/>
    <w:rsid w:val="00263AC3"/>
    <w:rsid w:val="00263EB9"/>
    <w:rsid w:val="00264EA4"/>
    <w:rsid w:val="002660F2"/>
    <w:rsid w:val="0026647E"/>
    <w:rsid w:val="0026759D"/>
    <w:rsid w:val="002677DD"/>
    <w:rsid w:val="00270436"/>
    <w:rsid w:val="00270EE3"/>
    <w:rsid w:val="00271136"/>
    <w:rsid w:val="00271E1D"/>
    <w:rsid w:val="002723EE"/>
    <w:rsid w:val="00274D34"/>
    <w:rsid w:val="002758CD"/>
    <w:rsid w:val="00276BBD"/>
    <w:rsid w:val="002779C5"/>
    <w:rsid w:val="00280A7E"/>
    <w:rsid w:val="00280EDF"/>
    <w:rsid w:val="0028217E"/>
    <w:rsid w:val="002840E8"/>
    <w:rsid w:val="00284CAB"/>
    <w:rsid w:val="00284FF5"/>
    <w:rsid w:val="0028593A"/>
    <w:rsid w:val="00287C59"/>
    <w:rsid w:val="00287FCB"/>
    <w:rsid w:val="002903A0"/>
    <w:rsid w:val="00292312"/>
    <w:rsid w:val="0029283A"/>
    <w:rsid w:val="00292DA2"/>
    <w:rsid w:val="00293126"/>
    <w:rsid w:val="00293972"/>
    <w:rsid w:val="00295429"/>
    <w:rsid w:val="002956DF"/>
    <w:rsid w:val="00295789"/>
    <w:rsid w:val="00296E11"/>
    <w:rsid w:val="00297407"/>
    <w:rsid w:val="00297705"/>
    <w:rsid w:val="00297F8A"/>
    <w:rsid w:val="002A1089"/>
    <w:rsid w:val="002A1AA6"/>
    <w:rsid w:val="002A1D49"/>
    <w:rsid w:val="002A20F0"/>
    <w:rsid w:val="002A3163"/>
    <w:rsid w:val="002A3472"/>
    <w:rsid w:val="002A3529"/>
    <w:rsid w:val="002A3BBD"/>
    <w:rsid w:val="002A3C78"/>
    <w:rsid w:val="002A46E0"/>
    <w:rsid w:val="002A667E"/>
    <w:rsid w:val="002A66B7"/>
    <w:rsid w:val="002A676C"/>
    <w:rsid w:val="002A7CA5"/>
    <w:rsid w:val="002B2143"/>
    <w:rsid w:val="002B2191"/>
    <w:rsid w:val="002B2438"/>
    <w:rsid w:val="002B280D"/>
    <w:rsid w:val="002B3A2F"/>
    <w:rsid w:val="002B3A51"/>
    <w:rsid w:val="002B3F7E"/>
    <w:rsid w:val="002B5F4E"/>
    <w:rsid w:val="002B6E3E"/>
    <w:rsid w:val="002B72BF"/>
    <w:rsid w:val="002B7AE2"/>
    <w:rsid w:val="002C0225"/>
    <w:rsid w:val="002C0AB8"/>
    <w:rsid w:val="002C21C0"/>
    <w:rsid w:val="002C2C66"/>
    <w:rsid w:val="002C2D1E"/>
    <w:rsid w:val="002C2E1D"/>
    <w:rsid w:val="002C44F6"/>
    <w:rsid w:val="002C4655"/>
    <w:rsid w:val="002C465F"/>
    <w:rsid w:val="002C475C"/>
    <w:rsid w:val="002C6D94"/>
    <w:rsid w:val="002C7015"/>
    <w:rsid w:val="002C7718"/>
    <w:rsid w:val="002C772C"/>
    <w:rsid w:val="002D0597"/>
    <w:rsid w:val="002D2501"/>
    <w:rsid w:val="002D2E1F"/>
    <w:rsid w:val="002D507A"/>
    <w:rsid w:val="002D52B1"/>
    <w:rsid w:val="002D5545"/>
    <w:rsid w:val="002D5B13"/>
    <w:rsid w:val="002D601A"/>
    <w:rsid w:val="002D6DFD"/>
    <w:rsid w:val="002D6F1C"/>
    <w:rsid w:val="002D71EA"/>
    <w:rsid w:val="002D79D0"/>
    <w:rsid w:val="002E1D97"/>
    <w:rsid w:val="002E229B"/>
    <w:rsid w:val="002E361B"/>
    <w:rsid w:val="002E36FC"/>
    <w:rsid w:val="002E390E"/>
    <w:rsid w:val="002E43BA"/>
    <w:rsid w:val="002E5179"/>
    <w:rsid w:val="002E5783"/>
    <w:rsid w:val="002E6C77"/>
    <w:rsid w:val="002E73C3"/>
    <w:rsid w:val="002E7F3A"/>
    <w:rsid w:val="002F01C3"/>
    <w:rsid w:val="002F1612"/>
    <w:rsid w:val="002F25C9"/>
    <w:rsid w:val="002F2D9C"/>
    <w:rsid w:val="002F32E9"/>
    <w:rsid w:val="002F4666"/>
    <w:rsid w:val="002F4AD4"/>
    <w:rsid w:val="002F54E7"/>
    <w:rsid w:val="002F58D7"/>
    <w:rsid w:val="002F700D"/>
    <w:rsid w:val="002F7648"/>
    <w:rsid w:val="002F7A1F"/>
    <w:rsid w:val="00301AEB"/>
    <w:rsid w:val="003020C6"/>
    <w:rsid w:val="003021D7"/>
    <w:rsid w:val="00302259"/>
    <w:rsid w:val="00304A46"/>
    <w:rsid w:val="00304C23"/>
    <w:rsid w:val="00305681"/>
    <w:rsid w:val="00306293"/>
    <w:rsid w:val="00310227"/>
    <w:rsid w:val="00310CC6"/>
    <w:rsid w:val="00311CF4"/>
    <w:rsid w:val="0031455F"/>
    <w:rsid w:val="00314AE9"/>
    <w:rsid w:val="00315A7E"/>
    <w:rsid w:val="003173B4"/>
    <w:rsid w:val="00317B94"/>
    <w:rsid w:val="00317D6E"/>
    <w:rsid w:val="00320A50"/>
    <w:rsid w:val="00320AA5"/>
    <w:rsid w:val="00320C3A"/>
    <w:rsid w:val="003215DF"/>
    <w:rsid w:val="00322639"/>
    <w:rsid w:val="00323458"/>
    <w:rsid w:val="00323C66"/>
    <w:rsid w:val="00325E96"/>
    <w:rsid w:val="00326CFE"/>
    <w:rsid w:val="00331F95"/>
    <w:rsid w:val="00332334"/>
    <w:rsid w:val="0033246D"/>
    <w:rsid w:val="003335FA"/>
    <w:rsid w:val="0033409B"/>
    <w:rsid w:val="003345F4"/>
    <w:rsid w:val="003349AD"/>
    <w:rsid w:val="00334D66"/>
    <w:rsid w:val="0033543D"/>
    <w:rsid w:val="00335712"/>
    <w:rsid w:val="00335F7B"/>
    <w:rsid w:val="0033722E"/>
    <w:rsid w:val="00340059"/>
    <w:rsid w:val="003404C0"/>
    <w:rsid w:val="00340B42"/>
    <w:rsid w:val="00342124"/>
    <w:rsid w:val="00342D72"/>
    <w:rsid w:val="00344454"/>
    <w:rsid w:val="0034669E"/>
    <w:rsid w:val="00347F52"/>
    <w:rsid w:val="0035271C"/>
    <w:rsid w:val="00352FDF"/>
    <w:rsid w:val="0035302B"/>
    <w:rsid w:val="003539FB"/>
    <w:rsid w:val="00355E8C"/>
    <w:rsid w:val="003567F9"/>
    <w:rsid w:val="003568C5"/>
    <w:rsid w:val="0035697B"/>
    <w:rsid w:val="00356E0C"/>
    <w:rsid w:val="003571BA"/>
    <w:rsid w:val="00357E93"/>
    <w:rsid w:val="00360E75"/>
    <w:rsid w:val="00361DBC"/>
    <w:rsid w:val="00364425"/>
    <w:rsid w:val="00364682"/>
    <w:rsid w:val="00364C67"/>
    <w:rsid w:val="00365240"/>
    <w:rsid w:val="0036557B"/>
    <w:rsid w:val="00367856"/>
    <w:rsid w:val="003701A2"/>
    <w:rsid w:val="00371BD2"/>
    <w:rsid w:val="00372A7E"/>
    <w:rsid w:val="0037300D"/>
    <w:rsid w:val="00373758"/>
    <w:rsid w:val="00374018"/>
    <w:rsid w:val="00374808"/>
    <w:rsid w:val="0037537B"/>
    <w:rsid w:val="00375C41"/>
    <w:rsid w:val="00380181"/>
    <w:rsid w:val="0038122E"/>
    <w:rsid w:val="0038180B"/>
    <w:rsid w:val="003822BE"/>
    <w:rsid w:val="0038252B"/>
    <w:rsid w:val="00382715"/>
    <w:rsid w:val="00383818"/>
    <w:rsid w:val="00384572"/>
    <w:rsid w:val="00384D32"/>
    <w:rsid w:val="00386D06"/>
    <w:rsid w:val="00386E9B"/>
    <w:rsid w:val="00387508"/>
    <w:rsid w:val="0039007D"/>
    <w:rsid w:val="0039048E"/>
    <w:rsid w:val="00391361"/>
    <w:rsid w:val="00391B43"/>
    <w:rsid w:val="00391F85"/>
    <w:rsid w:val="00392615"/>
    <w:rsid w:val="0039324D"/>
    <w:rsid w:val="00393EF3"/>
    <w:rsid w:val="00394395"/>
    <w:rsid w:val="003960AC"/>
    <w:rsid w:val="00396137"/>
    <w:rsid w:val="00396D10"/>
    <w:rsid w:val="003970A1"/>
    <w:rsid w:val="003A02DE"/>
    <w:rsid w:val="003A0BC1"/>
    <w:rsid w:val="003A14F7"/>
    <w:rsid w:val="003A1543"/>
    <w:rsid w:val="003A1891"/>
    <w:rsid w:val="003A23E7"/>
    <w:rsid w:val="003A2AFD"/>
    <w:rsid w:val="003A32D3"/>
    <w:rsid w:val="003A415C"/>
    <w:rsid w:val="003A599C"/>
    <w:rsid w:val="003A5AAF"/>
    <w:rsid w:val="003A5F45"/>
    <w:rsid w:val="003A679E"/>
    <w:rsid w:val="003A6AB7"/>
    <w:rsid w:val="003A6C50"/>
    <w:rsid w:val="003A7700"/>
    <w:rsid w:val="003A781C"/>
    <w:rsid w:val="003A7CD5"/>
    <w:rsid w:val="003A7D02"/>
    <w:rsid w:val="003B0C2B"/>
    <w:rsid w:val="003B0C62"/>
    <w:rsid w:val="003B22D6"/>
    <w:rsid w:val="003B23D8"/>
    <w:rsid w:val="003B2A3C"/>
    <w:rsid w:val="003B301C"/>
    <w:rsid w:val="003B3075"/>
    <w:rsid w:val="003B3335"/>
    <w:rsid w:val="003B3FC1"/>
    <w:rsid w:val="003B4981"/>
    <w:rsid w:val="003B5F11"/>
    <w:rsid w:val="003B6CC9"/>
    <w:rsid w:val="003B7BCE"/>
    <w:rsid w:val="003C0C99"/>
    <w:rsid w:val="003C17C0"/>
    <w:rsid w:val="003C19AD"/>
    <w:rsid w:val="003C202A"/>
    <w:rsid w:val="003C2964"/>
    <w:rsid w:val="003C2C44"/>
    <w:rsid w:val="003C3E6D"/>
    <w:rsid w:val="003C48BE"/>
    <w:rsid w:val="003C6BDB"/>
    <w:rsid w:val="003D2021"/>
    <w:rsid w:val="003D4004"/>
    <w:rsid w:val="003D423E"/>
    <w:rsid w:val="003D4770"/>
    <w:rsid w:val="003D5889"/>
    <w:rsid w:val="003D5E8C"/>
    <w:rsid w:val="003D655F"/>
    <w:rsid w:val="003D68AF"/>
    <w:rsid w:val="003E01D1"/>
    <w:rsid w:val="003E0D63"/>
    <w:rsid w:val="003E1E33"/>
    <w:rsid w:val="003E2F6C"/>
    <w:rsid w:val="003E3BAF"/>
    <w:rsid w:val="003E3FBF"/>
    <w:rsid w:val="003E4308"/>
    <w:rsid w:val="003E4AEB"/>
    <w:rsid w:val="003E4F81"/>
    <w:rsid w:val="003E5071"/>
    <w:rsid w:val="003E66D7"/>
    <w:rsid w:val="003E6ABB"/>
    <w:rsid w:val="003F0359"/>
    <w:rsid w:val="003F038F"/>
    <w:rsid w:val="003F0425"/>
    <w:rsid w:val="003F1B8A"/>
    <w:rsid w:val="003F209D"/>
    <w:rsid w:val="003F20E7"/>
    <w:rsid w:val="003F40FB"/>
    <w:rsid w:val="003F5DCA"/>
    <w:rsid w:val="003F600C"/>
    <w:rsid w:val="003F6D51"/>
    <w:rsid w:val="003F77E2"/>
    <w:rsid w:val="003F77F1"/>
    <w:rsid w:val="003F7F50"/>
    <w:rsid w:val="0040075A"/>
    <w:rsid w:val="004007B1"/>
    <w:rsid w:val="00400F90"/>
    <w:rsid w:val="004011C0"/>
    <w:rsid w:val="00401A14"/>
    <w:rsid w:val="00401AE7"/>
    <w:rsid w:val="00402CA5"/>
    <w:rsid w:val="004030BE"/>
    <w:rsid w:val="004038D1"/>
    <w:rsid w:val="00405665"/>
    <w:rsid w:val="00405ED3"/>
    <w:rsid w:val="004070F7"/>
    <w:rsid w:val="004076F2"/>
    <w:rsid w:val="00411917"/>
    <w:rsid w:val="004121E7"/>
    <w:rsid w:val="0041220C"/>
    <w:rsid w:val="00412BAD"/>
    <w:rsid w:val="00412E4C"/>
    <w:rsid w:val="00414616"/>
    <w:rsid w:val="00414E40"/>
    <w:rsid w:val="004163A8"/>
    <w:rsid w:val="00416EB7"/>
    <w:rsid w:val="00416F2D"/>
    <w:rsid w:val="00417D1D"/>
    <w:rsid w:val="00423B32"/>
    <w:rsid w:val="00424CBB"/>
    <w:rsid w:val="0042646F"/>
    <w:rsid w:val="0042664D"/>
    <w:rsid w:val="00426BD1"/>
    <w:rsid w:val="00427DDE"/>
    <w:rsid w:val="00430638"/>
    <w:rsid w:val="0043135D"/>
    <w:rsid w:val="00431371"/>
    <w:rsid w:val="0043158B"/>
    <w:rsid w:val="0043383A"/>
    <w:rsid w:val="0043628A"/>
    <w:rsid w:val="0043736B"/>
    <w:rsid w:val="00437E41"/>
    <w:rsid w:val="00440729"/>
    <w:rsid w:val="00441076"/>
    <w:rsid w:val="00441418"/>
    <w:rsid w:val="00441422"/>
    <w:rsid w:val="004414A1"/>
    <w:rsid w:val="00442A02"/>
    <w:rsid w:val="00442F2A"/>
    <w:rsid w:val="00443BFB"/>
    <w:rsid w:val="00443DE7"/>
    <w:rsid w:val="00444D27"/>
    <w:rsid w:val="00444E43"/>
    <w:rsid w:val="00446460"/>
    <w:rsid w:val="004464BB"/>
    <w:rsid w:val="004469EB"/>
    <w:rsid w:val="004476FD"/>
    <w:rsid w:val="00447F1F"/>
    <w:rsid w:val="004503D4"/>
    <w:rsid w:val="00450490"/>
    <w:rsid w:val="00451251"/>
    <w:rsid w:val="004518AA"/>
    <w:rsid w:val="00452C60"/>
    <w:rsid w:val="00452E74"/>
    <w:rsid w:val="0045394D"/>
    <w:rsid w:val="00454D86"/>
    <w:rsid w:val="00455AF1"/>
    <w:rsid w:val="00455B92"/>
    <w:rsid w:val="0045657B"/>
    <w:rsid w:val="00456A08"/>
    <w:rsid w:val="004572A8"/>
    <w:rsid w:val="00457300"/>
    <w:rsid w:val="00457563"/>
    <w:rsid w:val="00460187"/>
    <w:rsid w:val="004607F3"/>
    <w:rsid w:val="00463BCA"/>
    <w:rsid w:val="00463C3F"/>
    <w:rsid w:val="0046425F"/>
    <w:rsid w:val="0046444D"/>
    <w:rsid w:val="004662C5"/>
    <w:rsid w:val="00466508"/>
    <w:rsid w:val="00467039"/>
    <w:rsid w:val="00467059"/>
    <w:rsid w:val="00471F94"/>
    <w:rsid w:val="004727C4"/>
    <w:rsid w:val="004731CF"/>
    <w:rsid w:val="004752FF"/>
    <w:rsid w:val="00477AE9"/>
    <w:rsid w:val="00480692"/>
    <w:rsid w:val="004821A9"/>
    <w:rsid w:val="00482357"/>
    <w:rsid w:val="00482A16"/>
    <w:rsid w:val="00482C47"/>
    <w:rsid w:val="00485AD4"/>
    <w:rsid w:val="00486607"/>
    <w:rsid w:val="00486793"/>
    <w:rsid w:val="00487074"/>
    <w:rsid w:val="00487092"/>
    <w:rsid w:val="0048790A"/>
    <w:rsid w:val="00487E94"/>
    <w:rsid w:val="00490871"/>
    <w:rsid w:val="00490FEC"/>
    <w:rsid w:val="0049154C"/>
    <w:rsid w:val="00492A2B"/>
    <w:rsid w:val="00492AEC"/>
    <w:rsid w:val="00493450"/>
    <w:rsid w:val="00493679"/>
    <w:rsid w:val="00493AD1"/>
    <w:rsid w:val="0049445A"/>
    <w:rsid w:val="004961B0"/>
    <w:rsid w:val="0049661C"/>
    <w:rsid w:val="00497884"/>
    <w:rsid w:val="00497A99"/>
    <w:rsid w:val="00497AB4"/>
    <w:rsid w:val="00497D7D"/>
    <w:rsid w:val="004A181F"/>
    <w:rsid w:val="004A190D"/>
    <w:rsid w:val="004A2894"/>
    <w:rsid w:val="004A2B32"/>
    <w:rsid w:val="004A2E7B"/>
    <w:rsid w:val="004A310A"/>
    <w:rsid w:val="004A371A"/>
    <w:rsid w:val="004A3AC6"/>
    <w:rsid w:val="004A48BB"/>
    <w:rsid w:val="004A4D0C"/>
    <w:rsid w:val="004A5119"/>
    <w:rsid w:val="004A562C"/>
    <w:rsid w:val="004A5663"/>
    <w:rsid w:val="004A58D9"/>
    <w:rsid w:val="004A6204"/>
    <w:rsid w:val="004A761C"/>
    <w:rsid w:val="004A7729"/>
    <w:rsid w:val="004A7DC9"/>
    <w:rsid w:val="004A7EA6"/>
    <w:rsid w:val="004B030B"/>
    <w:rsid w:val="004B103C"/>
    <w:rsid w:val="004B1697"/>
    <w:rsid w:val="004B192F"/>
    <w:rsid w:val="004B2A50"/>
    <w:rsid w:val="004B3B54"/>
    <w:rsid w:val="004B3C19"/>
    <w:rsid w:val="004B40B4"/>
    <w:rsid w:val="004B4231"/>
    <w:rsid w:val="004B4274"/>
    <w:rsid w:val="004B594D"/>
    <w:rsid w:val="004B6079"/>
    <w:rsid w:val="004B63D9"/>
    <w:rsid w:val="004B6A84"/>
    <w:rsid w:val="004C1443"/>
    <w:rsid w:val="004C1F59"/>
    <w:rsid w:val="004C2475"/>
    <w:rsid w:val="004C27CB"/>
    <w:rsid w:val="004C3C7C"/>
    <w:rsid w:val="004C3C84"/>
    <w:rsid w:val="004C4B29"/>
    <w:rsid w:val="004C60C7"/>
    <w:rsid w:val="004C6563"/>
    <w:rsid w:val="004C7769"/>
    <w:rsid w:val="004D0809"/>
    <w:rsid w:val="004D30AA"/>
    <w:rsid w:val="004D3DD4"/>
    <w:rsid w:val="004D4212"/>
    <w:rsid w:val="004D4D36"/>
    <w:rsid w:val="004D5C4B"/>
    <w:rsid w:val="004D7489"/>
    <w:rsid w:val="004D7F47"/>
    <w:rsid w:val="004E25AA"/>
    <w:rsid w:val="004E358D"/>
    <w:rsid w:val="004E39AE"/>
    <w:rsid w:val="004E5B63"/>
    <w:rsid w:val="004E5E1B"/>
    <w:rsid w:val="004E5EA3"/>
    <w:rsid w:val="004E6421"/>
    <w:rsid w:val="004E7058"/>
    <w:rsid w:val="004E725F"/>
    <w:rsid w:val="004E7528"/>
    <w:rsid w:val="004E7A57"/>
    <w:rsid w:val="004E7CC1"/>
    <w:rsid w:val="004E7E1B"/>
    <w:rsid w:val="004F0FDA"/>
    <w:rsid w:val="004F1F34"/>
    <w:rsid w:val="004F2B0A"/>
    <w:rsid w:val="004F2C23"/>
    <w:rsid w:val="004F31CA"/>
    <w:rsid w:val="004F5C44"/>
    <w:rsid w:val="004F6074"/>
    <w:rsid w:val="004F7BCD"/>
    <w:rsid w:val="00500221"/>
    <w:rsid w:val="00500A55"/>
    <w:rsid w:val="00500AEE"/>
    <w:rsid w:val="005027E2"/>
    <w:rsid w:val="005034F1"/>
    <w:rsid w:val="00504D92"/>
    <w:rsid w:val="00506BFF"/>
    <w:rsid w:val="005078FC"/>
    <w:rsid w:val="00507B1E"/>
    <w:rsid w:val="00510F83"/>
    <w:rsid w:val="00511A83"/>
    <w:rsid w:val="00511EFB"/>
    <w:rsid w:val="00512CC1"/>
    <w:rsid w:val="00513DD8"/>
    <w:rsid w:val="00513F9D"/>
    <w:rsid w:val="0051465A"/>
    <w:rsid w:val="00515AAD"/>
    <w:rsid w:val="00515B08"/>
    <w:rsid w:val="00516C15"/>
    <w:rsid w:val="005206B3"/>
    <w:rsid w:val="00520A1B"/>
    <w:rsid w:val="00521104"/>
    <w:rsid w:val="005219FD"/>
    <w:rsid w:val="00522481"/>
    <w:rsid w:val="0052408E"/>
    <w:rsid w:val="0052619F"/>
    <w:rsid w:val="00527E3C"/>
    <w:rsid w:val="00530534"/>
    <w:rsid w:val="005309B3"/>
    <w:rsid w:val="00530E28"/>
    <w:rsid w:val="00530E58"/>
    <w:rsid w:val="005316F9"/>
    <w:rsid w:val="005317EC"/>
    <w:rsid w:val="00533ADB"/>
    <w:rsid w:val="00534D0E"/>
    <w:rsid w:val="005353E5"/>
    <w:rsid w:val="00535C3C"/>
    <w:rsid w:val="005370F2"/>
    <w:rsid w:val="005371B8"/>
    <w:rsid w:val="00540282"/>
    <w:rsid w:val="00540733"/>
    <w:rsid w:val="005413E4"/>
    <w:rsid w:val="0054228C"/>
    <w:rsid w:val="005425C6"/>
    <w:rsid w:val="00542AF4"/>
    <w:rsid w:val="00543967"/>
    <w:rsid w:val="00543FF9"/>
    <w:rsid w:val="005448F6"/>
    <w:rsid w:val="00545095"/>
    <w:rsid w:val="00545480"/>
    <w:rsid w:val="005455BA"/>
    <w:rsid w:val="005456F3"/>
    <w:rsid w:val="00546259"/>
    <w:rsid w:val="005472AC"/>
    <w:rsid w:val="00551947"/>
    <w:rsid w:val="00551DB8"/>
    <w:rsid w:val="00553742"/>
    <w:rsid w:val="0055377C"/>
    <w:rsid w:val="00553AE5"/>
    <w:rsid w:val="00553E24"/>
    <w:rsid w:val="0055424B"/>
    <w:rsid w:val="0055430A"/>
    <w:rsid w:val="00554EBF"/>
    <w:rsid w:val="00554FAC"/>
    <w:rsid w:val="0055502E"/>
    <w:rsid w:val="005566CC"/>
    <w:rsid w:val="00557A75"/>
    <w:rsid w:val="0056030C"/>
    <w:rsid w:val="00561808"/>
    <w:rsid w:val="00562462"/>
    <w:rsid w:val="00564889"/>
    <w:rsid w:val="00565467"/>
    <w:rsid w:val="005658A0"/>
    <w:rsid w:val="0056658C"/>
    <w:rsid w:val="005673DE"/>
    <w:rsid w:val="00567411"/>
    <w:rsid w:val="0057007B"/>
    <w:rsid w:val="005704D5"/>
    <w:rsid w:val="00570E09"/>
    <w:rsid w:val="00572CEE"/>
    <w:rsid w:val="00573205"/>
    <w:rsid w:val="0057343B"/>
    <w:rsid w:val="00573BC6"/>
    <w:rsid w:val="00576CA7"/>
    <w:rsid w:val="005772FE"/>
    <w:rsid w:val="005776DB"/>
    <w:rsid w:val="005779BF"/>
    <w:rsid w:val="0058009F"/>
    <w:rsid w:val="00580137"/>
    <w:rsid w:val="0058058C"/>
    <w:rsid w:val="00580D43"/>
    <w:rsid w:val="00580E3B"/>
    <w:rsid w:val="00580F38"/>
    <w:rsid w:val="00581855"/>
    <w:rsid w:val="005836A0"/>
    <w:rsid w:val="005837C7"/>
    <w:rsid w:val="00584378"/>
    <w:rsid w:val="005855F5"/>
    <w:rsid w:val="005860B7"/>
    <w:rsid w:val="00586A81"/>
    <w:rsid w:val="00586B2F"/>
    <w:rsid w:val="005900A1"/>
    <w:rsid w:val="005904E1"/>
    <w:rsid w:val="005908D4"/>
    <w:rsid w:val="0059102D"/>
    <w:rsid w:val="00591B3B"/>
    <w:rsid w:val="005922A1"/>
    <w:rsid w:val="005922AC"/>
    <w:rsid w:val="00593863"/>
    <w:rsid w:val="005938A5"/>
    <w:rsid w:val="0059461E"/>
    <w:rsid w:val="005948C3"/>
    <w:rsid w:val="00594F2C"/>
    <w:rsid w:val="00595E42"/>
    <w:rsid w:val="005962C7"/>
    <w:rsid w:val="00596641"/>
    <w:rsid w:val="005978F8"/>
    <w:rsid w:val="005A1794"/>
    <w:rsid w:val="005A3077"/>
    <w:rsid w:val="005A3225"/>
    <w:rsid w:val="005A503A"/>
    <w:rsid w:val="005A6990"/>
    <w:rsid w:val="005A6A34"/>
    <w:rsid w:val="005A74A6"/>
    <w:rsid w:val="005A77BF"/>
    <w:rsid w:val="005A7B55"/>
    <w:rsid w:val="005A7E1C"/>
    <w:rsid w:val="005B01A1"/>
    <w:rsid w:val="005B06F9"/>
    <w:rsid w:val="005B12F3"/>
    <w:rsid w:val="005B290E"/>
    <w:rsid w:val="005B3395"/>
    <w:rsid w:val="005B3DB7"/>
    <w:rsid w:val="005B4C27"/>
    <w:rsid w:val="005B5DBB"/>
    <w:rsid w:val="005B7B25"/>
    <w:rsid w:val="005C04DA"/>
    <w:rsid w:val="005C0553"/>
    <w:rsid w:val="005C0D87"/>
    <w:rsid w:val="005C118C"/>
    <w:rsid w:val="005C1505"/>
    <w:rsid w:val="005C1F34"/>
    <w:rsid w:val="005C1FA8"/>
    <w:rsid w:val="005C2AE1"/>
    <w:rsid w:val="005C62D2"/>
    <w:rsid w:val="005C6452"/>
    <w:rsid w:val="005D0119"/>
    <w:rsid w:val="005D01F0"/>
    <w:rsid w:val="005D075E"/>
    <w:rsid w:val="005D0905"/>
    <w:rsid w:val="005D0A5F"/>
    <w:rsid w:val="005D0C3F"/>
    <w:rsid w:val="005D133E"/>
    <w:rsid w:val="005D17C5"/>
    <w:rsid w:val="005D2FE6"/>
    <w:rsid w:val="005D36C9"/>
    <w:rsid w:val="005D3A38"/>
    <w:rsid w:val="005D5114"/>
    <w:rsid w:val="005D5A52"/>
    <w:rsid w:val="005D5D44"/>
    <w:rsid w:val="005D6215"/>
    <w:rsid w:val="005D7010"/>
    <w:rsid w:val="005E087F"/>
    <w:rsid w:val="005E21A2"/>
    <w:rsid w:val="005E4163"/>
    <w:rsid w:val="005E4F66"/>
    <w:rsid w:val="005F1594"/>
    <w:rsid w:val="005F1D10"/>
    <w:rsid w:val="005F2D82"/>
    <w:rsid w:val="005F35E5"/>
    <w:rsid w:val="005F3902"/>
    <w:rsid w:val="005F518D"/>
    <w:rsid w:val="005F624A"/>
    <w:rsid w:val="005F7D30"/>
    <w:rsid w:val="00603011"/>
    <w:rsid w:val="00603EF9"/>
    <w:rsid w:val="00605363"/>
    <w:rsid w:val="00605F71"/>
    <w:rsid w:val="00605FBB"/>
    <w:rsid w:val="0060794D"/>
    <w:rsid w:val="00607BA5"/>
    <w:rsid w:val="00607CD3"/>
    <w:rsid w:val="00610A27"/>
    <w:rsid w:val="00611671"/>
    <w:rsid w:val="006126E2"/>
    <w:rsid w:val="00612DC6"/>
    <w:rsid w:val="00612DF3"/>
    <w:rsid w:val="006136D1"/>
    <w:rsid w:val="006147C2"/>
    <w:rsid w:val="00614C89"/>
    <w:rsid w:val="00614F63"/>
    <w:rsid w:val="00615331"/>
    <w:rsid w:val="00615FE5"/>
    <w:rsid w:val="0061774E"/>
    <w:rsid w:val="00621A4B"/>
    <w:rsid w:val="00621CB6"/>
    <w:rsid w:val="00623EA5"/>
    <w:rsid w:val="00626DC3"/>
    <w:rsid w:val="006274FB"/>
    <w:rsid w:val="00627796"/>
    <w:rsid w:val="00630268"/>
    <w:rsid w:val="006308D1"/>
    <w:rsid w:val="006314A1"/>
    <w:rsid w:val="00631BB1"/>
    <w:rsid w:val="00631C81"/>
    <w:rsid w:val="00632233"/>
    <w:rsid w:val="00634C5D"/>
    <w:rsid w:val="00634E76"/>
    <w:rsid w:val="00635091"/>
    <w:rsid w:val="006361F1"/>
    <w:rsid w:val="00636A6A"/>
    <w:rsid w:val="00637242"/>
    <w:rsid w:val="0064142D"/>
    <w:rsid w:val="00642AED"/>
    <w:rsid w:val="006438BF"/>
    <w:rsid w:val="00644A90"/>
    <w:rsid w:val="00644CCC"/>
    <w:rsid w:val="00646C6D"/>
    <w:rsid w:val="00646D05"/>
    <w:rsid w:val="0064713A"/>
    <w:rsid w:val="00647AE8"/>
    <w:rsid w:val="006501BD"/>
    <w:rsid w:val="00650F2E"/>
    <w:rsid w:val="00651299"/>
    <w:rsid w:val="00651BE0"/>
    <w:rsid w:val="00651C8B"/>
    <w:rsid w:val="00651FDE"/>
    <w:rsid w:val="00653F35"/>
    <w:rsid w:val="00654AE2"/>
    <w:rsid w:val="00654E94"/>
    <w:rsid w:val="0065645C"/>
    <w:rsid w:val="00657708"/>
    <w:rsid w:val="00657B72"/>
    <w:rsid w:val="00660DAD"/>
    <w:rsid w:val="00662318"/>
    <w:rsid w:val="00662D2E"/>
    <w:rsid w:val="00663388"/>
    <w:rsid w:val="00664532"/>
    <w:rsid w:val="006649CA"/>
    <w:rsid w:val="0066538F"/>
    <w:rsid w:val="00665437"/>
    <w:rsid w:val="00665882"/>
    <w:rsid w:val="00665F91"/>
    <w:rsid w:val="00666126"/>
    <w:rsid w:val="00666B09"/>
    <w:rsid w:val="006719B7"/>
    <w:rsid w:val="00671ADD"/>
    <w:rsid w:val="006734DA"/>
    <w:rsid w:val="006736F1"/>
    <w:rsid w:val="00674C8A"/>
    <w:rsid w:val="00676105"/>
    <w:rsid w:val="00676A0E"/>
    <w:rsid w:val="00681C81"/>
    <w:rsid w:val="00684542"/>
    <w:rsid w:val="00686DF7"/>
    <w:rsid w:val="0068731F"/>
    <w:rsid w:val="00690280"/>
    <w:rsid w:val="006905FA"/>
    <w:rsid w:val="00690A63"/>
    <w:rsid w:val="006916B4"/>
    <w:rsid w:val="00691755"/>
    <w:rsid w:val="0069188F"/>
    <w:rsid w:val="00691D1B"/>
    <w:rsid w:val="00692129"/>
    <w:rsid w:val="00692EC4"/>
    <w:rsid w:val="0069423F"/>
    <w:rsid w:val="00694878"/>
    <w:rsid w:val="00695046"/>
    <w:rsid w:val="006959DC"/>
    <w:rsid w:val="00696279"/>
    <w:rsid w:val="00697D0E"/>
    <w:rsid w:val="006A0123"/>
    <w:rsid w:val="006A133B"/>
    <w:rsid w:val="006A1D88"/>
    <w:rsid w:val="006A30C0"/>
    <w:rsid w:val="006A3C9F"/>
    <w:rsid w:val="006A444C"/>
    <w:rsid w:val="006A4613"/>
    <w:rsid w:val="006A523C"/>
    <w:rsid w:val="006A54E0"/>
    <w:rsid w:val="006A650E"/>
    <w:rsid w:val="006A7399"/>
    <w:rsid w:val="006A786B"/>
    <w:rsid w:val="006B19BC"/>
    <w:rsid w:val="006B1E7D"/>
    <w:rsid w:val="006B24AC"/>
    <w:rsid w:val="006B4A9F"/>
    <w:rsid w:val="006B6346"/>
    <w:rsid w:val="006B63C8"/>
    <w:rsid w:val="006B70B7"/>
    <w:rsid w:val="006C01F7"/>
    <w:rsid w:val="006C1266"/>
    <w:rsid w:val="006C1354"/>
    <w:rsid w:val="006C1754"/>
    <w:rsid w:val="006C1A74"/>
    <w:rsid w:val="006C218E"/>
    <w:rsid w:val="006C24AF"/>
    <w:rsid w:val="006C2A1C"/>
    <w:rsid w:val="006C30EA"/>
    <w:rsid w:val="006C3955"/>
    <w:rsid w:val="006C3A56"/>
    <w:rsid w:val="006C4B5E"/>
    <w:rsid w:val="006C4CCC"/>
    <w:rsid w:val="006C4E46"/>
    <w:rsid w:val="006C52B4"/>
    <w:rsid w:val="006C7328"/>
    <w:rsid w:val="006C77BA"/>
    <w:rsid w:val="006D2227"/>
    <w:rsid w:val="006D2A2B"/>
    <w:rsid w:val="006D4388"/>
    <w:rsid w:val="006D58DA"/>
    <w:rsid w:val="006E0A58"/>
    <w:rsid w:val="006E1740"/>
    <w:rsid w:val="006E1C50"/>
    <w:rsid w:val="006E2114"/>
    <w:rsid w:val="006E26CE"/>
    <w:rsid w:val="006E4810"/>
    <w:rsid w:val="006E55F1"/>
    <w:rsid w:val="006E6431"/>
    <w:rsid w:val="006E6D07"/>
    <w:rsid w:val="006F2190"/>
    <w:rsid w:val="006F40A4"/>
    <w:rsid w:val="006F444B"/>
    <w:rsid w:val="006F492F"/>
    <w:rsid w:val="006F6CD7"/>
    <w:rsid w:val="006F7287"/>
    <w:rsid w:val="006F7E7F"/>
    <w:rsid w:val="00700398"/>
    <w:rsid w:val="00700DC7"/>
    <w:rsid w:val="007023F8"/>
    <w:rsid w:val="00702DFD"/>
    <w:rsid w:val="007032F6"/>
    <w:rsid w:val="00703D33"/>
    <w:rsid w:val="007040E2"/>
    <w:rsid w:val="007044BE"/>
    <w:rsid w:val="00704680"/>
    <w:rsid w:val="0070488D"/>
    <w:rsid w:val="00705BAC"/>
    <w:rsid w:val="00705D8D"/>
    <w:rsid w:val="00706499"/>
    <w:rsid w:val="0070695A"/>
    <w:rsid w:val="00706985"/>
    <w:rsid w:val="007069C4"/>
    <w:rsid w:val="00707DF2"/>
    <w:rsid w:val="00711118"/>
    <w:rsid w:val="0071123C"/>
    <w:rsid w:val="00713EC5"/>
    <w:rsid w:val="00714137"/>
    <w:rsid w:val="00714D90"/>
    <w:rsid w:val="007151EE"/>
    <w:rsid w:val="0071572D"/>
    <w:rsid w:val="00715BE2"/>
    <w:rsid w:val="007160E9"/>
    <w:rsid w:val="0071734A"/>
    <w:rsid w:val="00717C00"/>
    <w:rsid w:val="00720C51"/>
    <w:rsid w:val="00721570"/>
    <w:rsid w:val="00722565"/>
    <w:rsid w:val="00723EA0"/>
    <w:rsid w:val="007245E6"/>
    <w:rsid w:val="00724D3E"/>
    <w:rsid w:val="00724F1B"/>
    <w:rsid w:val="007255FA"/>
    <w:rsid w:val="00725724"/>
    <w:rsid w:val="0072686B"/>
    <w:rsid w:val="0073016C"/>
    <w:rsid w:val="00730517"/>
    <w:rsid w:val="00730B09"/>
    <w:rsid w:val="00731481"/>
    <w:rsid w:val="00731768"/>
    <w:rsid w:val="0073370D"/>
    <w:rsid w:val="00733720"/>
    <w:rsid w:val="00733974"/>
    <w:rsid w:val="00733F91"/>
    <w:rsid w:val="007341C0"/>
    <w:rsid w:val="0073518F"/>
    <w:rsid w:val="00735A83"/>
    <w:rsid w:val="00735E1D"/>
    <w:rsid w:val="007363EB"/>
    <w:rsid w:val="00736622"/>
    <w:rsid w:val="00736F44"/>
    <w:rsid w:val="00737100"/>
    <w:rsid w:val="00737183"/>
    <w:rsid w:val="00737400"/>
    <w:rsid w:val="0074178B"/>
    <w:rsid w:val="00741E8F"/>
    <w:rsid w:val="00741FE0"/>
    <w:rsid w:val="007422C4"/>
    <w:rsid w:val="007427B5"/>
    <w:rsid w:val="00742CF0"/>
    <w:rsid w:val="007436E0"/>
    <w:rsid w:val="00745F60"/>
    <w:rsid w:val="00746260"/>
    <w:rsid w:val="00746981"/>
    <w:rsid w:val="00746A5D"/>
    <w:rsid w:val="00750B4A"/>
    <w:rsid w:val="0075136F"/>
    <w:rsid w:val="007520DD"/>
    <w:rsid w:val="007523E9"/>
    <w:rsid w:val="007547D1"/>
    <w:rsid w:val="00757973"/>
    <w:rsid w:val="00760C1C"/>
    <w:rsid w:val="00760D30"/>
    <w:rsid w:val="00761317"/>
    <w:rsid w:val="0076149C"/>
    <w:rsid w:val="00764400"/>
    <w:rsid w:val="00764C07"/>
    <w:rsid w:val="007650BA"/>
    <w:rsid w:val="007664C8"/>
    <w:rsid w:val="00767EC4"/>
    <w:rsid w:val="007710A1"/>
    <w:rsid w:val="007725F9"/>
    <w:rsid w:val="007726DC"/>
    <w:rsid w:val="00772B43"/>
    <w:rsid w:val="0077442B"/>
    <w:rsid w:val="007746A5"/>
    <w:rsid w:val="00775CA0"/>
    <w:rsid w:val="0077672B"/>
    <w:rsid w:val="00776A96"/>
    <w:rsid w:val="00777219"/>
    <w:rsid w:val="007801B2"/>
    <w:rsid w:val="00781461"/>
    <w:rsid w:val="0078191B"/>
    <w:rsid w:val="007827A1"/>
    <w:rsid w:val="007847F6"/>
    <w:rsid w:val="00784B58"/>
    <w:rsid w:val="00786795"/>
    <w:rsid w:val="007867D8"/>
    <w:rsid w:val="007915BF"/>
    <w:rsid w:val="00791674"/>
    <w:rsid w:val="00791BEA"/>
    <w:rsid w:val="0079356D"/>
    <w:rsid w:val="00793EC4"/>
    <w:rsid w:val="00794F54"/>
    <w:rsid w:val="00795BB8"/>
    <w:rsid w:val="007966D8"/>
    <w:rsid w:val="00796E9B"/>
    <w:rsid w:val="00796FCF"/>
    <w:rsid w:val="007A04A4"/>
    <w:rsid w:val="007A08D0"/>
    <w:rsid w:val="007A0B49"/>
    <w:rsid w:val="007A19E8"/>
    <w:rsid w:val="007A2C73"/>
    <w:rsid w:val="007A2F1E"/>
    <w:rsid w:val="007A3455"/>
    <w:rsid w:val="007A49B9"/>
    <w:rsid w:val="007A5607"/>
    <w:rsid w:val="007A5853"/>
    <w:rsid w:val="007A6739"/>
    <w:rsid w:val="007A73A6"/>
    <w:rsid w:val="007B02B7"/>
    <w:rsid w:val="007B0D02"/>
    <w:rsid w:val="007B2242"/>
    <w:rsid w:val="007B3B6C"/>
    <w:rsid w:val="007B3CC4"/>
    <w:rsid w:val="007B3EAC"/>
    <w:rsid w:val="007B7B00"/>
    <w:rsid w:val="007C0380"/>
    <w:rsid w:val="007C0472"/>
    <w:rsid w:val="007C0FEF"/>
    <w:rsid w:val="007C126B"/>
    <w:rsid w:val="007C1F4C"/>
    <w:rsid w:val="007C2C03"/>
    <w:rsid w:val="007C2F28"/>
    <w:rsid w:val="007C3899"/>
    <w:rsid w:val="007C3E05"/>
    <w:rsid w:val="007C4949"/>
    <w:rsid w:val="007C51D1"/>
    <w:rsid w:val="007C541C"/>
    <w:rsid w:val="007C5606"/>
    <w:rsid w:val="007C5D98"/>
    <w:rsid w:val="007C79EE"/>
    <w:rsid w:val="007D04CB"/>
    <w:rsid w:val="007D0626"/>
    <w:rsid w:val="007D0A95"/>
    <w:rsid w:val="007D0FB3"/>
    <w:rsid w:val="007D2B4F"/>
    <w:rsid w:val="007D4CB8"/>
    <w:rsid w:val="007D5F48"/>
    <w:rsid w:val="007D62B9"/>
    <w:rsid w:val="007D6591"/>
    <w:rsid w:val="007D6EA7"/>
    <w:rsid w:val="007D6EEC"/>
    <w:rsid w:val="007D7DB9"/>
    <w:rsid w:val="007E0059"/>
    <w:rsid w:val="007E1997"/>
    <w:rsid w:val="007E2108"/>
    <w:rsid w:val="007E25F4"/>
    <w:rsid w:val="007E44FE"/>
    <w:rsid w:val="007E47E7"/>
    <w:rsid w:val="007E4832"/>
    <w:rsid w:val="007E67DB"/>
    <w:rsid w:val="007E7A76"/>
    <w:rsid w:val="007E7C30"/>
    <w:rsid w:val="007F09AC"/>
    <w:rsid w:val="007F1532"/>
    <w:rsid w:val="007F1B71"/>
    <w:rsid w:val="007F20DA"/>
    <w:rsid w:val="007F232F"/>
    <w:rsid w:val="007F2A10"/>
    <w:rsid w:val="007F3413"/>
    <w:rsid w:val="007F4345"/>
    <w:rsid w:val="007F5240"/>
    <w:rsid w:val="007F55FB"/>
    <w:rsid w:val="007F660C"/>
    <w:rsid w:val="00800CC8"/>
    <w:rsid w:val="00801686"/>
    <w:rsid w:val="00802FF8"/>
    <w:rsid w:val="0080381B"/>
    <w:rsid w:val="00803A04"/>
    <w:rsid w:val="00805D96"/>
    <w:rsid w:val="008063AD"/>
    <w:rsid w:val="00807049"/>
    <w:rsid w:val="0080738C"/>
    <w:rsid w:val="008112F7"/>
    <w:rsid w:val="00812128"/>
    <w:rsid w:val="00812DF9"/>
    <w:rsid w:val="00813153"/>
    <w:rsid w:val="008151B7"/>
    <w:rsid w:val="00815E47"/>
    <w:rsid w:val="00817151"/>
    <w:rsid w:val="008176BD"/>
    <w:rsid w:val="00817E49"/>
    <w:rsid w:val="00820C97"/>
    <w:rsid w:val="008217B7"/>
    <w:rsid w:val="00821B66"/>
    <w:rsid w:val="00821C52"/>
    <w:rsid w:val="0082281A"/>
    <w:rsid w:val="00822CD3"/>
    <w:rsid w:val="00823946"/>
    <w:rsid w:val="00823958"/>
    <w:rsid w:val="00823EF3"/>
    <w:rsid w:val="00826721"/>
    <w:rsid w:val="00826804"/>
    <w:rsid w:val="008300B0"/>
    <w:rsid w:val="00831401"/>
    <w:rsid w:val="00831F5E"/>
    <w:rsid w:val="008324A5"/>
    <w:rsid w:val="00832B4D"/>
    <w:rsid w:val="00833C98"/>
    <w:rsid w:val="0083402D"/>
    <w:rsid w:val="00834676"/>
    <w:rsid w:val="00835F21"/>
    <w:rsid w:val="00837FA3"/>
    <w:rsid w:val="00837FDD"/>
    <w:rsid w:val="0084023D"/>
    <w:rsid w:val="008408BC"/>
    <w:rsid w:val="00840B1A"/>
    <w:rsid w:val="00841485"/>
    <w:rsid w:val="008415FE"/>
    <w:rsid w:val="00841DAC"/>
    <w:rsid w:val="00842309"/>
    <w:rsid w:val="008423E6"/>
    <w:rsid w:val="00842965"/>
    <w:rsid w:val="00842BB6"/>
    <w:rsid w:val="00843381"/>
    <w:rsid w:val="00844416"/>
    <w:rsid w:val="008464EC"/>
    <w:rsid w:val="008474AA"/>
    <w:rsid w:val="008477F2"/>
    <w:rsid w:val="00847C8D"/>
    <w:rsid w:val="00850DF4"/>
    <w:rsid w:val="00851286"/>
    <w:rsid w:val="00851B02"/>
    <w:rsid w:val="00851C15"/>
    <w:rsid w:val="00853C21"/>
    <w:rsid w:val="00853F03"/>
    <w:rsid w:val="00854BC7"/>
    <w:rsid w:val="0085591D"/>
    <w:rsid w:val="00855A4B"/>
    <w:rsid w:val="008565C3"/>
    <w:rsid w:val="00856C94"/>
    <w:rsid w:val="00860C80"/>
    <w:rsid w:val="00862C38"/>
    <w:rsid w:val="00863D96"/>
    <w:rsid w:val="00863FE2"/>
    <w:rsid w:val="00864FD8"/>
    <w:rsid w:val="00865221"/>
    <w:rsid w:val="008652BE"/>
    <w:rsid w:val="0086587B"/>
    <w:rsid w:val="00867F3E"/>
    <w:rsid w:val="0087088C"/>
    <w:rsid w:val="0087157C"/>
    <w:rsid w:val="00871659"/>
    <w:rsid w:val="00872325"/>
    <w:rsid w:val="00872ADB"/>
    <w:rsid w:val="008736E7"/>
    <w:rsid w:val="00874AEB"/>
    <w:rsid w:val="00874B1D"/>
    <w:rsid w:val="00874CD0"/>
    <w:rsid w:val="008765C7"/>
    <w:rsid w:val="00877264"/>
    <w:rsid w:val="0087756E"/>
    <w:rsid w:val="008801FA"/>
    <w:rsid w:val="0088065F"/>
    <w:rsid w:val="008809F6"/>
    <w:rsid w:val="00880B93"/>
    <w:rsid w:val="008811B9"/>
    <w:rsid w:val="0088168D"/>
    <w:rsid w:val="00881E37"/>
    <w:rsid w:val="008822FD"/>
    <w:rsid w:val="008822FF"/>
    <w:rsid w:val="00882827"/>
    <w:rsid w:val="008829D2"/>
    <w:rsid w:val="00883755"/>
    <w:rsid w:val="0088415E"/>
    <w:rsid w:val="00884DE8"/>
    <w:rsid w:val="008853A7"/>
    <w:rsid w:val="00885611"/>
    <w:rsid w:val="00885B78"/>
    <w:rsid w:val="00885E5B"/>
    <w:rsid w:val="00886483"/>
    <w:rsid w:val="008864EB"/>
    <w:rsid w:val="008868E6"/>
    <w:rsid w:val="00886CE1"/>
    <w:rsid w:val="0088709F"/>
    <w:rsid w:val="008874C5"/>
    <w:rsid w:val="00887B94"/>
    <w:rsid w:val="00890CD9"/>
    <w:rsid w:val="0089129A"/>
    <w:rsid w:val="008913E2"/>
    <w:rsid w:val="00892707"/>
    <w:rsid w:val="008927C5"/>
    <w:rsid w:val="00892F5E"/>
    <w:rsid w:val="00894514"/>
    <w:rsid w:val="00894615"/>
    <w:rsid w:val="00894C48"/>
    <w:rsid w:val="00894F87"/>
    <w:rsid w:val="00895781"/>
    <w:rsid w:val="00896B64"/>
    <w:rsid w:val="008A0AB7"/>
    <w:rsid w:val="008A1A0F"/>
    <w:rsid w:val="008A1E31"/>
    <w:rsid w:val="008A3A26"/>
    <w:rsid w:val="008A3A73"/>
    <w:rsid w:val="008A5228"/>
    <w:rsid w:val="008A6FF3"/>
    <w:rsid w:val="008A7B77"/>
    <w:rsid w:val="008B0F82"/>
    <w:rsid w:val="008B1490"/>
    <w:rsid w:val="008B1DDC"/>
    <w:rsid w:val="008B2D2D"/>
    <w:rsid w:val="008B36C7"/>
    <w:rsid w:val="008B4959"/>
    <w:rsid w:val="008B49EA"/>
    <w:rsid w:val="008B6FAF"/>
    <w:rsid w:val="008B7691"/>
    <w:rsid w:val="008C166F"/>
    <w:rsid w:val="008C1751"/>
    <w:rsid w:val="008C1C64"/>
    <w:rsid w:val="008C29A3"/>
    <w:rsid w:val="008C2E8C"/>
    <w:rsid w:val="008C418A"/>
    <w:rsid w:val="008C66B7"/>
    <w:rsid w:val="008C6808"/>
    <w:rsid w:val="008C6B23"/>
    <w:rsid w:val="008C70D2"/>
    <w:rsid w:val="008D0461"/>
    <w:rsid w:val="008D1B1E"/>
    <w:rsid w:val="008D1C08"/>
    <w:rsid w:val="008D1C41"/>
    <w:rsid w:val="008D1FFD"/>
    <w:rsid w:val="008D2283"/>
    <w:rsid w:val="008D2B98"/>
    <w:rsid w:val="008D4EEE"/>
    <w:rsid w:val="008D4F32"/>
    <w:rsid w:val="008D7430"/>
    <w:rsid w:val="008D7687"/>
    <w:rsid w:val="008E06DC"/>
    <w:rsid w:val="008E0DA7"/>
    <w:rsid w:val="008E15DA"/>
    <w:rsid w:val="008E1BF9"/>
    <w:rsid w:val="008E512A"/>
    <w:rsid w:val="008E5A62"/>
    <w:rsid w:val="008E5CB3"/>
    <w:rsid w:val="008E5EBF"/>
    <w:rsid w:val="008E6BB0"/>
    <w:rsid w:val="008E6C81"/>
    <w:rsid w:val="008E6E36"/>
    <w:rsid w:val="008F0D38"/>
    <w:rsid w:val="008F10E9"/>
    <w:rsid w:val="008F1576"/>
    <w:rsid w:val="008F16E9"/>
    <w:rsid w:val="008F19CD"/>
    <w:rsid w:val="008F1BFF"/>
    <w:rsid w:val="008F221E"/>
    <w:rsid w:val="008F23FE"/>
    <w:rsid w:val="008F2BF9"/>
    <w:rsid w:val="008F4AAA"/>
    <w:rsid w:val="008F614E"/>
    <w:rsid w:val="008F6268"/>
    <w:rsid w:val="009004B2"/>
    <w:rsid w:val="0090066B"/>
    <w:rsid w:val="009012CA"/>
    <w:rsid w:val="00902A55"/>
    <w:rsid w:val="009037A9"/>
    <w:rsid w:val="00903C8C"/>
    <w:rsid w:val="00903D73"/>
    <w:rsid w:val="009046FD"/>
    <w:rsid w:val="0090615C"/>
    <w:rsid w:val="00910EEE"/>
    <w:rsid w:val="009118A7"/>
    <w:rsid w:val="00911AC6"/>
    <w:rsid w:val="009120F7"/>
    <w:rsid w:val="00912FB4"/>
    <w:rsid w:val="0091414C"/>
    <w:rsid w:val="00914A4B"/>
    <w:rsid w:val="0091564E"/>
    <w:rsid w:val="0091602D"/>
    <w:rsid w:val="00917143"/>
    <w:rsid w:val="009175B7"/>
    <w:rsid w:val="00917618"/>
    <w:rsid w:val="00922330"/>
    <w:rsid w:val="009230A7"/>
    <w:rsid w:val="009248D9"/>
    <w:rsid w:val="00925363"/>
    <w:rsid w:val="00925AA0"/>
    <w:rsid w:val="0092746D"/>
    <w:rsid w:val="00927F4D"/>
    <w:rsid w:val="0093171F"/>
    <w:rsid w:val="009324B9"/>
    <w:rsid w:val="00934111"/>
    <w:rsid w:val="009346A7"/>
    <w:rsid w:val="00936065"/>
    <w:rsid w:val="009365AC"/>
    <w:rsid w:val="00936763"/>
    <w:rsid w:val="009376BF"/>
    <w:rsid w:val="00937BB0"/>
    <w:rsid w:val="009400FC"/>
    <w:rsid w:val="0094113B"/>
    <w:rsid w:val="0094160C"/>
    <w:rsid w:val="00942270"/>
    <w:rsid w:val="009424C0"/>
    <w:rsid w:val="009429DE"/>
    <w:rsid w:val="0094441D"/>
    <w:rsid w:val="00944436"/>
    <w:rsid w:val="00944CE5"/>
    <w:rsid w:val="009455F6"/>
    <w:rsid w:val="009456BB"/>
    <w:rsid w:val="00945CF9"/>
    <w:rsid w:val="00945D18"/>
    <w:rsid w:val="00946079"/>
    <w:rsid w:val="0094651B"/>
    <w:rsid w:val="00950FB3"/>
    <w:rsid w:val="0095132C"/>
    <w:rsid w:val="009515AD"/>
    <w:rsid w:val="00952765"/>
    <w:rsid w:val="00952C59"/>
    <w:rsid w:val="00952D6D"/>
    <w:rsid w:val="00953286"/>
    <w:rsid w:val="009539EA"/>
    <w:rsid w:val="009541D5"/>
    <w:rsid w:val="00954B5B"/>
    <w:rsid w:val="00956EAA"/>
    <w:rsid w:val="00957A39"/>
    <w:rsid w:val="00960FE0"/>
    <w:rsid w:val="00961AA7"/>
    <w:rsid w:val="00961E24"/>
    <w:rsid w:val="0096273E"/>
    <w:rsid w:val="00962971"/>
    <w:rsid w:val="00967351"/>
    <w:rsid w:val="00970352"/>
    <w:rsid w:val="009706FC"/>
    <w:rsid w:val="009710B9"/>
    <w:rsid w:val="009711D4"/>
    <w:rsid w:val="00971A36"/>
    <w:rsid w:val="00972878"/>
    <w:rsid w:val="00972FCD"/>
    <w:rsid w:val="00976C72"/>
    <w:rsid w:val="00976EED"/>
    <w:rsid w:val="00981782"/>
    <w:rsid w:val="00981953"/>
    <w:rsid w:val="00981A69"/>
    <w:rsid w:val="0098298D"/>
    <w:rsid w:val="00982B0F"/>
    <w:rsid w:val="00983926"/>
    <w:rsid w:val="00983DA8"/>
    <w:rsid w:val="00983F7A"/>
    <w:rsid w:val="00984660"/>
    <w:rsid w:val="009853B5"/>
    <w:rsid w:val="009863A0"/>
    <w:rsid w:val="00991012"/>
    <w:rsid w:val="00991E10"/>
    <w:rsid w:val="0099450A"/>
    <w:rsid w:val="009954C8"/>
    <w:rsid w:val="00995B0A"/>
    <w:rsid w:val="00996042"/>
    <w:rsid w:val="00997167"/>
    <w:rsid w:val="0099797A"/>
    <w:rsid w:val="00997F25"/>
    <w:rsid w:val="009A0A95"/>
    <w:rsid w:val="009A2EB3"/>
    <w:rsid w:val="009A3077"/>
    <w:rsid w:val="009A5DD7"/>
    <w:rsid w:val="009B02BA"/>
    <w:rsid w:val="009B167C"/>
    <w:rsid w:val="009B2E30"/>
    <w:rsid w:val="009B35D4"/>
    <w:rsid w:val="009B370D"/>
    <w:rsid w:val="009B3EE3"/>
    <w:rsid w:val="009B3FD0"/>
    <w:rsid w:val="009B47C2"/>
    <w:rsid w:val="009B4F4D"/>
    <w:rsid w:val="009B6EA7"/>
    <w:rsid w:val="009B6F65"/>
    <w:rsid w:val="009C09A3"/>
    <w:rsid w:val="009C1530"/>
    <w:rsid w:val="009C22F4"/>
    <w:rsid w:val="009C267A"/>
    <w:rsid w:val="009C36AD"/>
    <w:rsid w:val="009C40B6"/>
    <w:rsid w:val="009C5019"/>
    <w:rsid w:val="009C563A"/>
    <w:rsid w:val="009C60A5"/>
    <w:rsid w:val="009C7563"/>
    <w:rsid w:val="009C77D4"/>
    <w:rsid w:val="009D0CBC"/>
    <w:rsid w:val="009D1BE7"/>
    <w:rsid w:val="009D1C98"/>
    <w:rsid w:val="009D2887"/>
    <w:rsid w:val="009D2910"/>
    <w:rsid w:val="009D320D"/>
    <w:rsid w:val="009D4DAC"/>
    <w:rsid w:val="009D52F0"/>
    <w:rsid w:val="009D578B"/>
    <w:rsid w:val="009D5F4A"/>
    <w:rsid w:val="009D67A5"/>
    <w:rsid w:val="009E1599"/>
    <w:rsid w:val="009E2E1D"/>
    <w:rsid w:val="009E3DEF"/>
    <w:rsid w:val="009E599A"/>
    <w:rsid w:val="009E5CB4"/>
    <w:rsid w:val="009E5DA5"/>
    <w:rsid w:val="009E607E"/>
    <w:rsid w:val="009E7C87"/>
    <w:rsid w:val="009E7EBC"/>
    <w:rsid w:val="009F1797"/>
    <w:rsid w:val="009F1CB9"/>
    <w:rsid w:val="009F223F"/>
    <w:rsid w:val="009F3208"/>
    <w:rsid w:val="009F4CFB"/>
    <w:rsid w:val="009F5214"/>
    <w:rsid w:val="009F5675"/>
    <w:rsid w:val="009F7064"/>
    <w:rsid w:val="00A012F4"/>
    <w:rsid w:val="00A01974"/>
    <w:rsid w:val="00A01A51"/>
    <w:rsid w:val="00A03D3B"/>
    <w:rsid w:val="00A063B9"/>
    <w:rsid w:val="00A0715A"/>
    <w:rsid w:val="00A07A26"/>
    <w:rsid w:val="00A07E8E"/>
    <w:rsid w:val="00A11EDE"/>
    <w:rsid w:val="00A122B2"/>
    <w:rsid w:val="00A137ED"/>
    <w:rsid w:val="00A13AD5"/>
    <w:rsid w:val="00A13FA9"/>
    <w:rsid w:val="00A14D33"/>
    <w:rsid w:val="00A14E85"/>
    <w:rsid w:val="00A15311"/>
    <w:rsid w:val="00A158E7"/>
    <w:rsid w:val="00A15B30"/>
    <w:rsid w:val="00A15D3A"/>
    <w:rsid w:val="00A16628"/>
    <w:rsid w:val="00A17847"/>
    <w:rsid w:val="00A20315"/>
    <w:rsid w:val="00A203D1"/>
    <w:rsid w:val="00A228E9"/>
    <w:rsid w:val="00A22F20"/>
    <w:rsid w:val="00A2380A"/>
    <w:rsid w:val="00A242FA"/>
    <w:rsid w:val="00A2491C"/>
    <w:rsid w:val="00A25079"/>
    <w:rsid w:val="00A258B6"/>
    <w:rsid w:val="00A25EB3"/>
    <w:rsid w:val="00A26123"/>
    <w:rsid w:val="00A27983"/>
    <w:rsid w:val="00A30FC3"/>
    <w:rsid w:val="00A31A7C"/>
    <w:rsid w:val="00A31D0C"/>
    <w:rsid w:val="00A32011"/>
    <w:rsid w:val="00A324B7"/>
    <w:rsid w:val="00A33AE0"/>
    <w:rsid w:val="00A33C82"/>
    <w:rsid w:val="00A3466B"/>
    <w:rsid w:val="00A368F8"/>
    <w:rsid w:val="00A36CB3"/>
    <w:rsid w:val="00A371E4"/>
    <w:rsid w:val="00A37CD6"/>
    <w:rsid w:val="00A42A1F"/>
    <w:rsid w:val="00A435D3"/>
    <w:rsid w:val="00A43F29"/>
    <w:rsid w:val="00A44151"/>
    <w:rsid w:val="00A45719"/>
    <w:rsid w:val="00A47CBD"/>
    <w:rsid w:val="00A50001"/>
    <w:rsid w:val="00A50648"/>
    <w:rsid w:val="00A50CB7"/>
    <w:rsid w:val="00A518EF"/>
    <w:rsid w:val="00A51BF0"/>
    <w:rsid w:val="00A51C1C"/>
    <w:rsid w:val="00A51E95"/>
    <w:rsid w:val="00A52408"/>
    <w:rsid w:val="00A52997"/>
    <w:rsid w:val="00A52DB0"/>
    <w:rsid w:val="00A5598A"/>
    <w:rsid w:val="00A57717"/>
    <w:rsid w:val="00A60D7D"/>
    <w:rsid w:val="00A6328C"/>
    <w:rsid w:val="00A64233"/>
    <w:rsid w:val="00A64AC1"/>
    <w:rsid w:val="00A65253"/>
    <w:rsid w:val="00A65B52"/>
    <w:rsid w:val="00A67C9A"/>
    <w:rsid w:val="00A67FD5"/>
    <w:rsid w:val="00A70106"/>
    <w:rsid w:val="00A7035E"/>
    <w:rsid w:val="00A70FAD"/>
    <w:rsid w:val="00A716E6"/>
    <w:rsid w:val="00A7225A"/>
    <w:rsid w:val="00A72A77"/>
    <w:rsid w:val="00A73BEE"/>
    <w:rsid w:val="00A73FD8"/>
    <w:rsid w:val="00A74813"/>
    <w:rsid w:val="00A748FB"/>
    <w:rsid w:val="00A75218"/>
    <w:rsid w:val="00A7552A"/>
    <w:rsid w:val="00A75BC8"/>
    <w:rsid w:val="00A762D3"/>
    <w:rsid w:val="00A76D6E"/>
    <w:rsid w:val="00A77D9C"/>
    <w:rsid w:val="00A8029B"/>
    <w:rsid w:val="00A80412"/>
    <w:rsid w:val="00A805B6"/>
    <w:rsid w:val="00A807E3"/>
    <w:rsid w:val="00A80F84"/>
    <w:rsid w:val="00A81C87"/>
    <w:rsid w:val="00A8333C"/>
    <w:rsid w:val="00A852F3"/>
    <w:rsid w:val="00A85318"/>
    <w:rsid w:val="00A86176"/>
    <w:rsid w:val="00A862AF"/>
    <w:rsid w:val="00A86FB0"/>
    <w:rsid w:val="00A90398"/>
    <w:rsid w:val="00A90442"/>
    <w:rsid w:val="00A9137A"/>
    <w:rsid w:val="00A9314F"/>
    <w:rsid w:val="00A934E6"/>
    <w:rsid w:val="00A944EB"/>
    <w:rsid w:val="00A95070"/>
    <w:rsid w:val="00A9560A"/>
    <w:rsid w:val="00A96B94"/>
    <w:rsid w:val="00A97A18"/>
    <w:rsid w:val="00A97B47"/>
    <w:rsid w:val="00AA103D"/>
    <w:rsid w:val="00AA1397"/>
    <w:rsid w:val="00AA2DB3"/>
    <w:rsid w:val="00AA6343"/>
    <w:rsid w:val="00AA6520"/>
    <w:rsid w:val="00AA6D4F"/>
    <w:rsid w:val="00AA7FE8"/>
    <w:rsid w:val="00AB008A"/>
    <w:rsid w:val="00AB09A2"/>
    <w:rsid w:val="00AB2625"/>
    <w:rsid w:val="00AB2985"/>
    <w:rsid w:val="00AB331D"/>
    <w:rsid w:val="00AB3A9B"/>
    <w:rsid w:val="00AB41D0"/>
    <w:rsid w:val="00AB53AC"/>
    <w:rsid w:val="00AB5852"/>
    <w:rsid w:val="00AB652C"/>
    <w:rsid w:val="00AB6799"/>
    <w:rsid w:val="00AB7377"/>
    <w:rsid w:val="00AB7504"/>
    <w:rsid w:val="00AC03FA"/>
    <w:rsid w:val="00AC18D2"/>
    <w:rsid w:val="00AC1EC0"/>
    <w:rsid w:val="00AC1EF7"/>
    <w:rsid w:val="00AC1FE1"/>
    <w:rsid w:val="00AC23D6"/>
    <w:rsid w:val="00AC23DD"/>
    <w:rsid w:val="00AC2D95"/>
    <w:rsid w:val="00AC483B"/>
    <w:rsid w:val="00AC5302"/>
    <w:rsid w:val="00AC7B72"/>
    <w:rsid w:val="00AD0542"/>
    <w:rsid w:val="00AD0967"/>
    <w:rsid w:val="00AD1311"/>
    <w:rsid w:val="00AD150E"/>
    <w:rsid w:val="00AD2C2B"/>
    <w:rsid w:val="00AD4D65"/>
    <w:rsid w:val="00AD5AA5"/>
    <w:rsid w:val="00AD667F"/>
    <w:rsid w:val="00AD67E0"/>
    <w:rsid w:val="00AD715A"/>
    <w:rsid w:val="00AD7455"/>
    <w:rsid w:val="00AE0180"/>
    <w:rsid w:val="00AE0AFB"/>
    <w:rsid w:val="00AE0DC7"/>
    <w:rsid w:val="00AE1140"/>
    <w:rsid w:val="00AE1148"/>
    <w:rsid w:val="00AE14F7"/>
    <w:rsid w:val="00AE1797"/>
    <w:rsid w:val="00AE31FD"/>
    <w:rsid w:val="00AE4606"/>
    <w:rsid w:val="00AE481F"/>
    <w:rsid w:val="00AE7AA1"/>
    <w:rsid w:val="00AF016E"/>
    <w:rsid w:val="00AF0F93"/>
    <w:rsid w:val="00AF0FCC"/>
    <w:rsid w:val="00AF17FC"/>
    <w:rsid w:val="00AF2432"/>
    <w:rsid w:val="00AF25E1"/>
    <w:rsid w:val="00AF2D8C"/>
    <w:rsid w:val="00AF2DB7"/>
    <w:rsid w:val="00AF33F6"/>
    <w:rsid w:val="00AF3567"/>
    <w:rsid w:val="00AF38B7"/>
    <w:rsid w:val="00AF3ED3"/>
    <w:rsid w:val="00AF408B"/>
    <w:rsid w:val="00AF40DC"/>
    <w:rsid w:val="00AF40DE"/>
    <w:rsid w:val="00AF4496"/>
    <w:rsid w:val="00AF4D99"/>
    <w:rsid w:val="00AF5040"/>
    <w:rsid w:val="00AF5448"/>
    <w:rsid w:val="00AF7131"/>
    <w:rsid w:val="00AF75B7"/>
    <w:rsid w:val="00B00D30"/>
    <w:rsid w:val="00B00D8A"/>
    <w:rsid w:val="00B023DD"/>
    <w:rsid w:val="00B032BF"/>
    <w:rsid w:val="00B03354"/>
    <w:rsid w:val="00B0486D"/>
    <w:rsid w:val="00B053A9"/>
    <w:rsid w:val="00B05738"/>
    <w:rsid w:val="00B0624C"/>
    <w:rsid w:val="00B06566"/>
    <w:rsid w:val="00B06BE4"/>
    <w:rsid w:val="00B07210"/>
    <w:rsid w:val="00B076DC"/>
    <w:rsid w:val="00B07E3A"/>
    <w:rsid w:val="00B108FD"/>
    <w:rsid w:val="00B119F0"/>
    <w:rsid w:val="00B11C26"/>
    <w:rsid w:val="00B12416"/>
    <w:rsid w:val="00B12933"/>
    <w:rsid w:val="00B133E9"/>
    <w:rsid w:val="00B1381A"/>
    <w:rsid w:val="00B148FF"/>
    <w:rsid w:val="00B15C12"/>
    <w:rsid w:val="00B175E7"/>
    <w:rsid w:val="00B21727"/>
    <w:rsid w:val="00B22684"/>
    <w:rsid w:val="00B23D14"/>
    <w:rsid w:val="00B24BF7"/>
    <w:rsid w:val="00B24E85"/>
    <w:rsid w:val="00B24FF4"/>
    <w:rsid w:val="00B2514E"/>
    <w:rsid w:val="00B25EDF"/>
    <w:rsid w:val="00B278AA"/>
    <w:rsid w:val="00B3094F"/>
    <w:rsid w:val="00B30BC9"/>
    <w:rsid w:val="00B30F10"/>
    <w:rsid w:val="00B30FF0"/>
    <w:rsid w:val="00B3285B"/>
    <w:rsid w:val="00B32E1F"/>
    <w:rsid w:val="00B3332C"/>
    <w:rsid w:val="00B36EF2"/>
    <w:rsid w:val="00B37914"/>
    <w:rsid w:val="00B412F4"/>
    <w:rsid w:val="00B41308"/>
    <w:rsid w:val="00B43A7C"/>
    <w:rsid w:val="00B43BA3"/>
    <w:rsid w:val="00B448A8"/>
    <w:rsid w:val="00B4490C"/>
    <w:rsid w:val="00B453AB"/>
    <w:rsid w:val="00B475E9"/>
    <w:rsid w:val="00B478C4"/>
    <w:rsid w:val="00B5033B"/>
    <w:rsid w:val="00B50D9C"/>
    <w:rsid w:val="00B52985"/>
    <w:rsid w:val="00B52D24"/>
    <w:rsid w:val="00B547AD"/>
    <w:rsid w:val="00B5594D"/>
    <w:rsid w:val="00B561DE"/>
    <w:rsid w:val="00B563FA"/>
    <w:rsid w:val="00B569FE"/>
    <w:rsid w:val="00B6030E"/>
    <w:rsid w:val="00B616EB"/>
    <w:rsid w:val="00B620F8"/>
    <w:rsid w:val="00B64947"/>
    <w:rsid w:val="00B655A7"/>
    <w:rsid w:val="00B6634F"/>
    <w:rsid w:val="00B6637E"/>
    <w:rsid w:val="00B669F9"/>
    <w:rsid w:val="00B66A1B"/>
    <w:rsid w:val="00B7020F"/>
    <w:rsid w:val="00B70EFB"/>
    <w:rsid w:val="00B72948"/>
    <w:rsid w:val="00B72E59"/>
    <w:rsid w:val="00B72FC1"/>
    <w:rsid w:val="00B73253"/>
    <w:rsid w:val="00B73CDB"/>
    <w:rsid w:val="00B74D76"/>
    <w:rsid w:val="00B753A6"/>
    <w:rsid w:val="00B7643F"/>
    <w:rsid w:val="00B77AC1"/>
    <w:rsid w:val="00B77D9A"/>
    <w:rsid w:val="00B80049"/>
    <w:rsid w:val="00B809A1"/>
    <w:rsid w:val="00B80F7C"/>
    <w:rsid w:val="00B82AEC"/>
    <w:rsid w:val="00B82EED"/>
    <w:rsid w:val="00B839B6"/>
    <w:rsid w:val="00B84A5C"/>
    <w:rsid w:val="00B850E6"/>
    <w:rsid w:val="00B87501"/>
    <w:rsid w:val="00B87E77"/>
    <w:rsid w:val="00B90E27"/>
    <w:rsid w:val="00B9217D"/>
    <w:rsid w:val="00B92DBF"/>
    <w:rsid w:val="00B9358F"/>
    <w:rsid w:val="00B9384A"/>
    <w:rsid w:val="00B94724"/>
    <w:rsid w:val="00B94756"/>
    <w:rsid w:val="00B954F2"/>
    <w:rsid w:val="00B9738E"/>
    <w:rsid w:val="00B97C33"/>
    <w:rsid w:val="00B97E47"/>
    <w:rsid w:val="00BA0E36"/>
    <w:rsid w:val="00BA194A"/>
    <w:rsid w:val="00BA21AB"/>
    <w:rsid w:val="00BA3AE4"/>
    <w:rsid w:val="00BA50D4"/>
    <w:rsid w:val="00BA679A"/>
    <w:rsid w:val="00BA6813"/>
    <w:rsid w:val="00BA6942"/>
    <w:rsid w:val="00BB00FC"/>
    <w:rsid w:val="00BB081B"/>
    <w:rsid w:val="00BB0DDC"/>
    <w:rsid w:val="00BB1972"/>
    <w:rsid w:val="00BB3BCD"/>
    <w:rsid w:val="00BB43E6"/>
    <w:rsid w:val="00BB4D78"/>
    <w:rsid w:val="00BB5098"/>
    <w:rsid w:val="00BB58D1"/>
    <w:rsid w:val="00BB737B"/>
    <w:rsid w:val="00BB7631"/>
    <w:rsid w:val="00BC06E7"/>
    <w:rsid w:val="00BC18B0"/>
    <w:rsid w:val="00BC26E7"/>
    <w:rsid w:val="00BC27D1"/>
    <w:rsid w:val="00BC2EF6"/>
    <w:rsid w:val="00BC304E"/>
    <w:rsid w:val="00BC4319"/>
    <w:rsid w:val="00BC5455"/>
    <w:rsid w:val="00BD12E7"/>
    <w:rsid w:val="00BD14EB"/>
    <w:rsid w:val="00BD1903"/>
    <w:rsid w:val="00BD1ED4"/>
    <w:rsid w:val="00BD2526"/>
    <w:rsid w:val="00BD35D1"/>
    <w:rsid w:val="00BD508F"/>
    <w:rsid w:val="00BD62AF"/>
    <w:rsid w:val="00BD6451"/>
    <w:rsid w:val="00BD7DED"/>
    <w:rsid w:val="00BE1734"/>
    <w:rsid w:val="00BE19C1"/>
    <w:rsid w:val="00BE3331"/>
    <w:rsid w:val="00BE344A"/>
    <w:rsid w:val="00BE3D61"/>
    <w:rsid w:val="00BE403F"/>
    <w:rsid w:val="00BE405D"/>
    <w:rsid w:val="00BE4378"/>
    <w:rsid w:val="00BE4518"/>
    <w:rsid w:val="00BE4533"/>
    <w:rsid w:val="00BE5044"/>
    <w:rsid w:val="00BE6F93"/>
    <w:rsid w:val="00BE6FD9"/>
    <w:rsid w:val="00BE76CA"/>
    <w:rsid w:val="00BF07F8"/>
    <w:rsid w:val="00BF0879"/>
    <w:rsid w:val="00BF1801"/>
    <w:rsid w:val="00BF1D3F"/>
    <w:rsid w:val="00BF2D03"/>
    <w:rsid w:val="00BF3A06"/>
    <w:rsid w:val="00BF3EB1"/>
    <w:rsid w:val="00BF487E"/>
    <w:rsid w:val="00BF4988"/>
    <w:rsid w:val="00BF4AF5"/>
    <w:rsid w:val="00BF5D5C"/>
    <w:rsid w:val="00BF660C"/>
    <w:rsid w:val="00C005D4"/>
    <w:rsid w:val="00C0117B"/>
    <w:rsid w:val="00C01B43"/>
    <w:rsid w:val="00C024E0"/>
    <w:rsid w:val="00C047CB"/>
    <w:rsid w:val="00C049F8"/>
    <w:rsid w:val="00C05D46"/>
    <w:rsid w:val="00C06041"/>
    <w:rsid w:val="00C0730B"/>
    <w:rsid w:val="00C077DC"/>
    <w:rsid w:val="00C07B98"/>
    <w:rsid w:val="00C10CB8"/>
    <w:rsid w:val="00C11B26"/>
    <w:rsid w:val="00C13032"/>
    <w:rsid w:val="00C130FF"/>
    <w:rsid w:val="00C136FB"/>
    <w:rsid w:val="00C14615"/>
    <w:rsid w:val="00C1481C"/>
    <w:rsid w:val="00C14A97"/>
    <w:rsid w:val="00C15C3A"/>
    <w:rsid w:val="00C16677"/>
    <w:rsid w:val="00C177EF"/>
    <w:rsid w:val="00C208F8"/>
    <w:rsid w:val="00C20CAC"/>
    <w:rsid w:val="00C213A5"/>
    <w:rsid w:val="00C219E8"/>
    <w:rsid w:val="00C2252D"/>
    <w:rsid w:val="00C24113"/>
    <w:rsid w:val="00C26014"/>
    <w:rsid w:val="00C26360"/>
    <w:rsid w:val="00C26ACB"/>
    <w:rsid w:val="00C276BD"/>
    <w:rsid w:val="00C30026"/>
    <w:rsid w:val="00C305F8"/>
    <w:rsid w:val="00C31BD6"/>
    <w:rsid w:val="00C32CE5"/>
    <w:rsid w:val="00C3360D"/>
    <w:rsid w:val="00C33D43"/>
    <w:rsid w:val="00C3474D"/>
    <w:rsid w:val="00C34781"/>
    <w:rsid w:val="00C34E8F"/>
    <w:rsid w:val="00C35287"/>
    <w:rsid w:val="00C3603A"/>
    <w:rsid w:val="00C3643E"/>
    <w:rsid w:val="00C40348"/>
    <w:rsid w:val="00C40485"/>
    <w:rsid w:val="00C40979"/>
    <w:rsid w:val="00C40C9A"/>
    <w:rsid w:val="00C40E0F"/>
    <w:rsid w:val="00C42A56"/>
    <w:rsid w:val="00C439ED"/>
    <w:rsid w:val="00C43EE2"/>
    <w:rsid w:val="00C44E92"/>
    <w:rsid w:val="00C464C9"/>
    <w:rsid w:val="00C465AB"/>
    <w:rsid w:val="00C4718A"/>
    <w:rsid w:val="00C47BD2"/>
    <w:rsid w:val="00C47EB9"/>
    <w:rsid w:val="00C509F5"/>
    <w:rsid w:val="00C52170"/>
    <w:rsid w:val="00C53727"/>
    <w:rsid w:val="00C53A1F"/>
    <w:rsid w:val="00C547E5"/>
    <w:rsid w:val="00C55496"/>
    <w:rsid w:val="00C55A31"/>
    <w:rsid w:val="00C56DA1"/>
    <w:rsid w:val="00C57875"/>
    <w:rsid w:val="00C60523"/>
    <w:rsid w:val="00C62BC9"/>
    <w:rsid w:val="00C63017"/>
    <w:rsid w:val="00C63160"/>
    <w:rsid w:val="00C6316E"/>
    <w:rsid w:val="00C658D7"/>
    <w:rsid w:val="00C67650"/>
    <w:rsid w:val="00C7151B"/>
    <w:rsid w:val="00C72861"/>
    <w:rsid w:val="00C7352F"/>
    <w:rsid w:val="00C73C5E"/>
    <w:rsid w:val="00C73CFE"/>
    <w:rsid w:val="00C741B8"/>
    <w:rsid w:val="00C7423F"/>
    <w:rsid w:val="00C768A7"/>
    <w:rsid w:val="00C76F7E"/>
    <w:rsid w:val="00C77067"/>
    <w:rsid w:val="00C771E7"/>
    <w:rsid w:val="00C77E69"/>
    <w:rsid w:val="00C80486"/>
    <w:rsid w:val="00C82D85"/>
    <w:rsid w:val="00C8315D"/>
    <w:rsid w:val="00C83ADC"/>
    <w:rsid w:val="00C83BDC"/>
    <w:rsid w:val="00C84676"/>
    <w:rsid w:val="00C848C1"/>
    <w:rsid w:val="00C848C9"/>
    <w:rsid w:val="00C85E3B"/>
    <w:rsid w:val="00C867C0"/>
    <w:rsid w:val="00C87317"/>
    <w:rsid w:val="00C87398"/>
    <w:rsid w:val="00C8743F"/>
    <w:rsid w:val="00C87D04"/>
    <w:rsid w:val="00C9237A"/>
    <w:rsid w:val="00C925F4"/>
    <w:rsid w:val="00C93370"/>
    <w:rsid w:val="00C93EA5"/>
    <w:rsid w:val="00C946FD"/>
    <w:rsid w:val="00C95CCB"/>
    <w:rsid w:val="00C96756"/>
    <w:rsid w:val="00C967EC"/>
    <w:rsid w:val="00C96D79"/>
    <w:rsid w:val="00C972D2"/>
    <w:rsid w:val="00C97912"/>
    <w:rsid w:val="00C979B5"/>
    <w:rsid w:val="00CA0086"/>
    <w:rsid w:val="00CA01EF"/>
    <w:rsid w:val="00CA077C"/>
    <w:rsid w:val="00CA1EAE"/>
    <w:rsid w:val="00CA293D"/>
    <w:rsid w:val="00CA3BFE"/>
    <w:rsid w:val="00CA560F"/>
    <w:rsid w:val="00CA5927"/>
    <w:rsid w:val="00CA59DE"/>
    <w:rsid w:val="00CB0727"/>
    <w:rsid w:val="00CB0C5D"/>
    <w:rsid w:val="00CB1675"/>
    <w:rsid w:val="00CB291B"/>
    <w:rsid w:val="00CB3916"/>
    <w:rsid w:val="00CB68D4"/>
    <w:rsid w:val="00CB75CE"/>
    <w:rsid w:val="00CC286F"/>
    <w:rsid w:val="00CC3AD5"/>
    <w:rsid w:val="00CC4ED3"/>
    <w:rsid w:val="00CC549A"/>
    <w:rsid w:val="00CC5D37"/>
    <w:rsid w:val="00CC674F"/>
    <w:rsid w:val="00CC67AB"/>
    <w:rsid w:val="00CC733D"/>
    <w:rsid w:val="00CC74C5"/>
    <w:rsid w:val="00CC7CF9"/>
    <w:rsid w:val="00CD0518"/>
    <w:rsid w:val="00CD10EA"/>
    <w:rsid w:val="00CD1300"/>
    <w:rsid w:val="00CD2B77"/>
    <w:rsid w:val="00CD5C98"/>
    <w:rsid w:val="00CD5CDD"/>
    <w:rsid w:val="00CD609D"/>
    <w:rsid w:val="00CD70A3"/>
    <w:rsid w:val="00CE00D1"/>
    <w:rsid w:val="00CE01C1"/>
    <w:rsid w:val="00CE1D70"/>
    <w:rsid w:val="00CE249B"/>
    <w:rsid w:val="00CE2CC0"/>
    <w:rsid w:val="00CE5857"/>
    <w:rsid w:val="00CE5A42"/>
    <w:rsid w:val="00CE5B76"/>
    <w:rsid w:val="00CE75C4"/>
    <w:rsid w:val="00CE7DAD"/>
    <w:rsid w:val="00CE7F18"/>
    <w:rsid w:val="00CE7F71"/>
    <w:rsid w:val="00CF01DE"/>
    <w:rsid w:val="00CF1250"/>
    <w:rsid w:val="00CF2389"/>
    <w:rsid w:val="00CF26A7"/>
    <w:rsid w:val="00CF32AD"/>
    <w:rsid w:val="00CF3543"/>
    <w:rsid w:val="00CF49B5"/>
    <w:rsid w:val="00CF4CF5"/>
    <w:rsid w:val="00CF6764"/>
    <w:rsid w:val="00CF6974"/>
    <w:rsid w:val="00CF6ED2"/>
    <w:rsid w:val="00CF6F34"/>
    <w:rsid w:val="00CF7C60"/>
    <w:rsid w:val="00CF7EA0"/>
    <w:rsid w:val="00D0032B"/>
    <w:rsid w:val="00D006B5"/>
    <w:rsid w:val="00D00FCC"/>
    <w:rsid w:val="00D018BB"/>
    <w:rsid w:val="00D02F4D"/>
    <w:rsid w:val="00D031F0"/>
    <w:rsid w:val="00D05A9C"/>
    <w:rsid w:val="00D06C91"/>
    <w:rsid w:val="00D06CC6"/>
    <w:rsid w:val="00D07937"/>
    <w:rsid w:val="00D07D77"/>
    <w:rsid w:val="00D10017"/>
    <w:rsid w:val="00D103F3"/>
    <w:rsid w:val="00D10512"/>
    <w:rsid w:val="00D10A89"/>
    <w:rsid w:val="00D10DAE"/>
    <w:rsid w:val="00D10F51"/>
    <w:rsid w:val="00D11186"/>
    <w:rsid w:val="00D11D21"/>
    <w:rsid w:val="00D130A2"/>
    <w:rsid w:val="00D14497"/>
    <w:rsid w:val="00D14657"/>
    <w:rsid w:val="00D16AF8"/>
    <w:rsid w:val="00D21E13"/>
    <w:rsid w:val="00D21E3B"/>
    <w:rsid w:val="00D21F7F"/>
    <w:rsid w:val="00D223F0"/>
    <w:rsid w:val="00D234EB"/>
    <w:rsid w:val="00D23C6C"/>
    <w:rsid w:val="00D24AC4"/>
    <w:rsid w:val="00D24F55"/>
    <w:rsid w:val="00D26402"/>
    <w:rsid w:val="00D27171"/>
    <w:rsid w:val="00D3099E"/>
    <w:rsid w:val="00D30D0B"/>
    <w:rsid w:val="00D3191A"/>
    <w:rsid w:val="00D31957"/>
    <w:rsid w:val="00D321B7"/>
    <w:rsid w:val="00D321C2"/>
    <w:rsid w:val="00D32445"/>
    <w:rsid w:val="00D3275D"/>
    <w:rsid w:val="00D32A76"/>
    <w:rsid w:val="00D32E34"/>
    <w:rsid w:val="00D3300B"/>
    <w:rsid w:val="00D33038"/>
    <w:rsid w:val="00D345FC"/>
    <w:rsid w:val="00D34644"/>
    <w:rsid w:val="00D34B6C"/>
    <w:rsid w:val="00D35FC9"/>
    <w:rsid w:val="00D405B8"/>
    <w:rsid w:val="00D42393"/>
    <w:rsid w:val="00D4329A"/>
    <w:rsid w:val="00D43B57"/>
    <w:rsid w:val="00D441C6"/>
    <w:rsid w:val="00D45031"/>
    <w:rsid w:val="00D45340"/>
    <w:rsid w:val="00D45D5B"/>
    <w:rsid w:val="00D46065"/>
    <w:rsid w:val="00D462AA"/>
    <w:rsid w:val="00D47BF4"/>
    <w:rsid w:val="00D47EE7"/>
    <w:rsid w:val="00D522E9"/>
    <w:rsid w:val="00D531AB"/>
    <w:rsid w:val="00D5333D"/>
    <w:rsid w:val="00D53ECA"/>
    <w:rsid w:val="00D5485C"/>
    <w:rsid w:val="00D561D6"/>
    <w:rsid w:val="00D56C5B"/>
    <w:rsid w:val="00D6045F"/>
    <w:rsid w:val="00D60C85"/>
    <w:rsid w:val="00D60FEB"/>
    <w:rsid w:val="00D61941"/>
    <w:rsid w:val="00D624CC"/>
    <w:rsid w:val="00D628B4"/>
    <w:rsid w:val="00D62EDF"/>
    <w:rsid w:val="00D65927"/>
    <w:rsid w:val="00D65C68"/>
    <w:rsid w:val="00D674FD"/>
    <w:rsid w:val="00D6781F"/>
    <w:rsid w:val="00D67CDF"/>
    <w:rsid w:val="00D7068F"/>
    <w:rsid w:val="00D70FF7"/>
    <w:rsid w:val="00D720BD"/>
    <w:rsid w:val="00D724C5"/>
    <w:rsid w:val="00D72B56"/>
    <w:rsid w:val="00D739A7"/>
    <w:rsid w:val="00D7463E"/>
    <w:rsid w:val="00D74E08"/>
    <w:rsid w:val="00D76043"/>
    <w:rsid w:val="00D77CDC"/>
    <w:rsid w:val="00D803A3"/>
    <w:rsid w:val="00D81362"/>
    <w:rsid w:val="00D81A6C"/>
    <w:rsid w:val="00D82E61"/>
    <w:rsid w:val="00D83A4E"/>
    <w:rsid w:val="00D842CB"/>
    <w:rsid w:val="00D853A9"/>
    <w:rsid w:val="00D865FC"/>
    <w:rsid w:val="00D90062"/>
    <w:rsid w:val="00D92753"/>
    <w:rsid w:val="00D92B53"/>
    <w:rsid w:val="00D9424C"/>
    <w:rsid w:val="00D95387"/>
    <w:rsid w:val="00D9622B"/>
    <w:rsid w:val="00D96A68"/>
    <w:rsid w:val="00D96D06"/>
    <w:rsid w:val="00D973B3"/>
    <w:rsid w:val="00D97D8C"/>
    <w:rsid w:val="00D97DA7"/>
    <w:rsid w:val="00DA18F4"/>
    <w:rsid w:val="00DA34D2"/>
    <w:rsid w:val="00DA39DF"/>
    <w:rsid w:val="00DA72EA"/>
    <w:rsid w:val="00DA751F"/>
    <w:rsid w:val="00DA7802"/>
    <w:rsid w:val="00DB2A23"/>
    <w:rsid w:val="00DB2D47"/>
    <w:rsid w:val="00DB2DE9"/>
    <w:rsid w:val="00DB2F75"/>
    <w:rsid w:val="00DB3103"/>
    <w:rsid w:val="00DB4E72"/>
    <w:rsid w:val="00DB7513"/>
    <w:rsid w:val="00DB77DB"/>
    <w:rsid w:val="00DB7A14"/>
    <w:rsid w:val="00DB7B5F"/>
    <w:rsid w:val="00DB7BA4"/>
    <w:rsid w:val="00DB7F0D"/>
    <w:rsid w:val="00DB7FF7"/>
    <w:rsid w:val="00DC0931"/>
    <w:rsid w:val="00DC197E"/>
    <w:rsid w:val="00DC462A"/>
    <w:rsid w:val="00DC4688"/>
    <w:rsid w:val="00DC5575"/>
    <w:rsid w:val="00DC5638"/>
    <w:rsid w:val="00DC66B7"/>
    <w:rsid w:val="00DC67E1"/>
    <w:rsid w:val="00DD0162"/>
    <w:rsid w:val="00DD46F0"/>
    <w:rsid w:val="00DD511E"/>
    <w:rsid w:val="00DD6298"/>
    <w:rsid w:val="00DD6B53"/>
    <w:rsid w:val="00DD7E03"/>
    <w:rsid w:val="00DE0913"/>
    <w:rsid w:val="00DE1157"/>
    <w:rsid w:val="00DE1A08"/>
    <w:rsid w:val="00DE1A0C"/>
    <w:rsid w:val="00DE5707"/>
    <w:rsid w:val="00DE7A13"/>
    <w:rsid w:val="00DE7AFE"/>
    <w:rsid w:val="00DE7CDA"/>
    <w:rsid w:val="00DF0D23"/>
    <w:rsid w:val="00DF1593"/>
    <w:rsid w:val="00DF1DC6"/>
    <w:rsid w:val="00DF3207"/>
    <w:rsid w:val="00DF3C09"/>
    <w:rsid w:val="00DF6011"/>
    <w:rsid w:val="00DF628C"/>
    <w:rsid w:val="00DF6373"/>
    <w:rsid w:val="00E005C6"/>
    <w:rsid w:val="00E006FB"/>
    <w:rsid w:val="00E008DE"/>
    <w:rsid w:val="00E008F2"/>
    <w:rsid w:val="00E00AC5"/>
    <w:rsid w:val="00E00F50"/>
    <w:rsid w:val="00E01B59"/>
    <w:rsid w:val="00E01DB1"/>
    <w:rsid w:val="00E026A0"/>
    <w:rsid w:val="00E02FE8"/>
    <w:rsid w:val="00E03927"/>
    <w:rsid w:val="00E03B81"/>
    <w:rsid w:val="00E0495B"/>
    <w:rsid w:val="00E049F7"/>
    <w:rsid w:val="00E05961"/>
    <w:rsid w:val="00E0599A"/>
    <w:rsid w:val="00E07C27"/>
    <w:rsid w:val="00E10C13"/>
    <w:rsid w:val="00E112E8"/>
    <w:rsid w:val="00E13ADD"/>
    <w:rsid w:val="00E15BA8"/>
    <w:rsid w:val="00E15E52"/>
    <w:rsid w:val="00E200A5"/>
    <w:rsid w:val="00E21E50"/>
    <w:rsid w:val="00E221FF"/>
    <w:rsid w:val="00E22463"/>
    <w:rsid w:val="00E228BC"/>
    <w:rsid w:val="00E22F8E"/>
    <w:rsid w:val="00E23459"/>
    <w:rsid w:val="00E23710"/>
    <w:rsid w:val="00E24D6A"/>
    <w:rsid w:val="00E25F44"/>
    <w:rsid w:val="00E266B4"/>
    <w:rsid w:val="00E27C25"/>
    <w:rsid w:val="00E27D92"/>
    <w:rsid w:val="00E3011D"/>
    <w:rsid w:val="00E315ED"/>
    <w:rsid w:val="00E31740"/>
    <w:rsid w:val="00E31B22"/>
    <w:rsid w:val="00E31F21"/>
    <w:rsid w:val="00E321D7"/>
    <w:rsid w:val="00E332A1"/>
    <w:rsid w:val="00E34143"/>
    <w:rsid w:val="00E35BCA"/>
    <w:rsid w:val="00E36423"/>
    <w:rsid w:val="00E378D0"/>
    <w:rsid w:val="00E4194C"/>
    <w:rsid w:val="00E41E34"/>
    <w:rsid w:val="00E422FC"/>
    <w:rsid w:val="00E42E2E"/>
    <w:rsid w:val="00E43942"/>
    <w:rsid w:val="00E43F85"/>
    <w:rsid w:val="00E44F2A"/>
    <w:rsid w:val="00E459B2"/>
    <w:rsid w:val="00E472F0"/>
    <w:rsid w:val="00E47CDF"/>
    <w:rsid w:val="00E47DCB"/>
    <w:rsid w:val="00E50669"/>
    <w:rsid w:val="00E50BD3"/>
    <w:rsid w:val="00E52088"/>
    <w:rsid w:val="00E52BEE"/>
    <w:rsid w:val="00E536A8"/>
    <w:rsid w:val="00E53785"/>
    <w:rsid w:val="00E5644C"/>
    <w:rsid w:val="00E56924"/>
    <w:rsid w:val="00E600D8"/>
    <w:rsid w:val="00E61FE8"/>
    <w:rsid w:val="00E62B67"/>
    <w:rsid w:val="00E62BCB"/>
    <w:rsid w:val="00E62FF0"/>
    <w:rsid w:val="00E63C99"/>
    <w:rsid w:val="00E646FC"/>
    <w:rsid w:val="00E6538D"/>
    <w:rsid w:val="00E65F7C"/>
    <w:rsid w:val="00E660EE"/>
    <w:rsid w:val="00E701BC"/>
    <w:rsid w:val="00E70F1E"/>
    <w:rsid w:val="00E714C4"/>
    <w:rsid w:val="00E71E55"/>
    <w:rsid w:val="00E721FB"/>
    <w:rsid w:val="00E7393D"/>
    <w:rsid w:val="00E803C9"/>
    <w:rsid w:val="00E829A8"/>
    <w:rsid w:val="00E842F6"/>
    <w:rsid w:val="00E8786B"/>
    <w:rsid w:val="00E87998"/>
    <w:rsid w:val="00E9018A"/>
    <w:rsid w:val="00E90400"/>
    <w:rsid w:val="00E90597"/>
    <w:rsid w:val="00E90A11"/>
    <w:rsid w:val="00E917E3"/>
    <w:rsid w:val="00E91AA1"/>
    <w:rsid w:val="00E91E24"/>
    <w:rsid w:val="00E927E5"/>
    <w:rsid w:val="00E92F80"/>
    <w:rsid w:val="00E9398D"/>
    <w:rsid w:val="00E93A92"/>
    <w:rsid w:val="00E93E0A"/>
    <w:rsid w:val="00E94A6C"/>
    <w:rsid w:val="00E95832"/>
    <w:rsid w:val="00E958CC"/>
    <w:rsid w:val="00E95AA7"/>
    <w:rsid w:val="00E96AD8"/>
    <w:rsid w:val="00E96F94"/>
    <w:rsid w:val="00E97C0C"/>
    <w:rsid w:val="00EA1CAE"/>
    <w:rsid w:val="00EA1CFE"/>
    <w:rsid w:val="00EA1E95"/>
    <w:rsid w:val="00EA251E"/>
    <w:rsid w:val="00EA2608"/>
    <w:rsid w:val="00EA3EB5"/>
    <w:rsid w:val="00EA46EC"/>
    <w:rsid w:val="00EA4EBF"/>
    <w:rsid w:val="00EA59FD"/>
    <w:rsid w:val="00EA633A"/>
    <w:rsid w:val="00EA7630"/>
    <w:rsid w:val="00EB0747"/>
    <w:rsid w:val="00EB0987"/>
    <w:rsid w:val="00EB1519"/>
    <w:rsid w:val="00EB1F27"/>
    <w:rsid w:val="00EB25BA"/>
    <w:rsid w:val="00EB29A4"/>
    <w:rsid w:val="00EB3143"/>
    <w:rsid w:val="00EB3696"/>
    <w:rsid w:val="00EB37B1"/>
    <w:rsid w:val="00EB3B88"/>
    <w:rsid w:val="00EB4614"/>
    <w:rsid w:val="00EB59CB"/>
    <w:rsid w:val="00EB6EE1"/>
    <w:rsid w:val="00EB7277"/>
    <w:rsid w:val="00EC0413"/>
    <w:rsid w:val="00EC0D24"/>
    <w:rsid w:val="00EC0EA4"/>
    <w:rsid w:val="00EC2EE8"/>
    <w:rsid w:val="00EC2EF3"/>
    <w:rsid w:val="00EC4051"/>
    <w:rsid w:val="00EC4B09"/>
    <w:rsid w:val="00EC5A5D"/>
    <w:rsid w:val="00EC5EC0"/>
    <w:rsid w:val="00EC6719"/>
    <w:rsid w:val="00EC67AC"/>
    <w:rsid w:val="00EC6816"/>
    <w:rsid w:val="00EC6EAC"/>
    <w:rsid w:val="00EC7431"/>
    <w:rsid w:val="00EC7EB8"/>
    <w:rsid w:val="00EC7F3D"/>
    <w:rsid w:val="00ED1A49"/>
    <w:rsid w:val="00ED24DB"/>
    <w:rsid w:val="00ED2B0E"/>
    <w:rsid w:val="00ED2C2E"/>
    <w:rsid w:val="00ED3D6E"/>
    <w:rsid w:val="00ED4774"/>
    <w:rsid w:val="00ED506A"/>
    <w:rsid w:val="00ED540F"/>
    <w:rsid w:val="00ED6649"/>
    <w:rsid w:val="00ED6822"/>
    <w:rsid w:val="00ED6CCC"/>
    <w:rsid w:val="00ED7371"/>
    <w:rsid w:val="00ED7ED5"/>
    <w:rsid w:val="00EE000F"/>
    <w:rsid w:val="00EE048F"/>
    <w:rsid w:val="00EE0DF6"/>
    <w:rsid w:val="00EE11B8"/>
    <w:rsid w:val="00EE153F"/>
    <w:rsid w:val="00EE18A1"/>
    <w:rsid w:val="00EE2008"/>
    <w:rsid w:val="00EE2AA7"/>
    <w:rsid w:val="00EE453D"/>
    <w:rsid w:val="00EE475B"/>
    <w:rsid w:val="00EE52DF"/>
    <w:rsid w:val="00EE5457"/>
    <w:rsid w:val="00EE62EE"/>
    <w:rsid w:val="00EE75FA"/>
    <w:rsid w:val="00EF048D"/>
    <w:rsid w:val="00EF1794"/>
    <w:rsid w:val="00EF1FC3"/>
    <w:rsid w:val="00EF2C5E"/>
    <w:rsid w:val="00EF3268"/>
    <w:rsid w:val="00EF5AAF"/>
    <w:rsid w:val="00EF5B34"/>
    <w:rsid w:val="00EF6255"/>
    <w:rsid w:val="00EF6C46"/>
    <w:rsid w:val="00EF7231"/>
    <w:rsid w:val="00EF7905"/>
    <w:rsid w:val="00F00DC9"/>
    <w:rsid w:val="00F0292A"/>
    <w:rsid w:val="00F03433"/>
    <w:rsid w:val="00F0613E"/>
    <w:rsid w:val="00F06768"/>
    <w:rsid w:val="00F06C4B"/>
    <w:rsid w:val="00F07091"/>
    <w:rsid w:val="00F07299"/>
    <w:rsid w:val="00F07318"/>
    <w:rsid w:val="00F07DEE"/>
    <w:rsid w:val="00F12221"/>
    <w:rsid w:val="00F12612"/>
    <w:rsid w:val="00F14C7B"/>
    <w:rsid w:val="00F151B1"/>
    <w:rsid w:val="00F163C7"/>
    <w:rsid w:val="00F17B97"/>
    <w:rsid w:val="00F20FAD"/>
    <w:rsid w:val="00F21E75"/>
    <w:rsid w:val="00F22A3C"/>
    <w:rsid w:val="00F23C75"/>
    <w:rsid w:val="00F24041"/>
    <w:rsid w:val="00F2443D"/>
    <w:rsid w:val="00F24F7E"/>
    <w:rsid w:val="00F25685"/>
    <w:rsid w:val="00F26763"/>
    <w:rsid w:val="00F26DD5"/>
    <w:rsid w:val="00F30127"/>
    <w:rsid w:val="00F315D0"/>
    <w:rsid w:val="00F31714"/>
    <w:rsid w:val="00F31CD5"/>
    <w:rsid w:val="00F35350"/>
    <w:rsid w:val="00F35F58"/>
    <w:rsid w:val="00F37027"/>
    <w:rsid w:val="00F37799"/>
    <w:rsid w:val="00F4017E"/>
    <w:rsid w:val="00F401EF"/>
    <w:rsid w:val="00F41806"/>
    <w:rsid w:val="00F421C5"/>
    <w:rsid w:val="00F4274B"/>
    <w:rsid w:val="00F43C60"/>
    <w:rsid w:val="00F44F99"/>
    <w:rsid w:val="00F452FF"/>
    <w:rsid w:val="00F45D41"/>
    <w:rsid w:val="00F4621B"/>
    <w:rsid w:val="00F47818"/>
    <w:rsid w:val="00F50F50"/>
    <w:rsid w:val="00F51348"/>
    <w:rsid w:val="00F53316"/>
    <w:rsid w:val="00F549B4"/>
    <w:rsid w:val="00F55356"/>
    <w:rsid w:val="00F55979"/>
    <w:rsid w:val="00F55D74"/>
    <w:rsid w:val="00F55EA9"/>
    <w:rsid w:val="00F56A2B"/>
    <w:rsid w:val="00F56E38"/>
    <w:rsid w:val="00F57F5F"/>
    <w:rsid w:val="00F632B1"/>
    <w:rsid w:val="00F64152"/>
    <w:rsid w:val="00F65A18"/>
    <w:rsid w:val="00F65CD9"/>
    <w:rsid w:val="00F662F9"/>
    <w:rsid w:val="00F66942"/>
    <w:rsid w:val="00F67DBF"/>
    <w:rsid w:val="00F7180C"/>
    <w:rsid w:val="00F721A6"/>
    <w:rsid w:val="00F72BF4"/>
    <w:rsid w:val="00F73B07"/>
    <w:rsid w:val="00F744C7"/>
    <w:rsid w:val="00F750FE"/>
    <w:rsid w:val="00F75528"/>
    <w:rsid w:val="00F804E8"/>
    <w:rsid w:val="00F81F3F"/>
    <w:rsid w:val="00F82AE0"/>
    <w:rsid w:val="00F838A1"/>
    <w:rsid w:val="00F840CE"/>
    <w:rsid w:val="00F84104"/>
    <w:rsid w:val="00F841A3"/>
    <w:rsid w:val="00F8464C"/>
    <w:rsid w:val="00F84CDC"/>
    <w:rsid w:val="00F8552C"/>
    <w:rsid w:val="00F85C4A"/>
    <w:rsid w:val="00F85CD3"/>
    <w:rsid w:val="00F86112"/>
    <w:rsid w:val="00F87090"/>
    <w:rsid w:val="00F8746F"/>
    <w:rsid w:val="00F90375"/>
    <w:rsid w:val="00F90D4A"/>
    <w:rsid w:val="00F91096"/>
    <w:rsid w:val="00F91621"/>
    <w:rsid w:val="00F947BA"/>
    <w:rsid w:val="00F959F6"/>
    <w:rsid w:val="00F96814"/>
    <w:rsid w:val="00F9725D"/>
    <w:rsid w:val="00F97ED9"/>
    <w:rsid w:val="00F97FC9"/>
    <w:rsid w:val="00FA155A"/>
    <w:rsid w:val="00FA1709"/>
    <w:rsid w:val="00FA1B0D"/>
    <w:rsid w:val="00FA4FC3"/>
    <w:rsid w:val="00FA50D2"/>
    <w:rsid w:val="00FA5C5C"/>
    <w:rsid w:val="00FA69E0"/>
    <w:rsid w:val="00FA6F10"/>
    <w:rsid w:val="00FA71B4"/>
    <w:rsid w:val="00FB4E1E"/>
    <w:rsid w:val="00FB4F81"/>
    <w:rsid w:val="00FB503A"/>
    <w:rsid w:val="00FB5045"/>
    <w:rsid w:val="00FB5920"/>
    <w:rsid w:val="00FC09A8"/>
    <w:rsid w:val="00FC27F2"/>
    <w:rsid w:val="00FD1D0F"/>
    <w:rsid w:val="00FD1D22"/>
    <w:rsid w:val="00FD2E8C"/>
    <w:rsid w:val="00FD340E"/>
    <w:rsid w:val="00FD3813"/>
    <w:rsid w:val="00FD3862"/>
    <w:rsid w:val="00FD3E2D"/>
    <w:rsid w:val="00FD44EF"/>
    <w:rsid w:val="00FD4DFC"/>
    <w:rsid w:val="00FD5061"/>
    <w:rsid w:val="00FD617E"/>
    <w:rsid w:val="00FD74B3"/>
    <w:rsid w:val="00FE0A51"/>
    <w:rsid w:val="00FE11A5"/>
    <w:rsid w:val="00FE12D3"/>
    <w:rsid w:val="00FE1FDA"/>
    <w:rsid w:val="00FE279D"/>
    <w:rsid w:val="00FE2B62"/>
    <w:rsid w:val="00FE2DF2"/>
    <w:rsid w:val="00FE4833"/>
    <w:rsid w:val="00FE5447"/>
    <w:rsid w:val="00FE568F"/>
    <w:rsid w:val="00FE6956"/>
    <w:rsid w:val="00FF0013"/>
    <w:rsid w:val="00FF057E"/>
    <w:rsid w:val="00FF16FF"/>
    <w:rsid w:val="00FF1D83"/>
    <w:rsid w:val="00FF40F5"/>
    <w:rsid w:val="00FF4C4B"/>
    <w:rsid w:val="00FF5013"/>
    <w:rsid w:val="00FF679A"/>
    <w:rsid w:val="00FF7552"/>
    <w:rsid w:val="02A5C3A9"/>
    <w:rsid w:val="052F636A"/>
    <w:rsid w:val="0976EF1B"/>
    <w:rsid w:val="0A9C6B8F"/>
    <w:rsid w:val="0AB91679"/>
    <w:rsid w:val="0B28285C"/>
    <w:rsid w:val="0BEF2053"/>
    <w:rsid w:val="15D50CD3"/>
    <w:rsid w:val="169A4389"/>
    <w:rsid w:val="17820A21"/>
    <w:rsid w:val="1AEC4680"/>
    <w:rsid w:val="1CCE4141"/>
    <w:rsid w:val="1D8E361D"/>
    <w:rsid w:val="21861567"/>
    <w:rsid w:val="25FD1CB3"/>
    <w:rsid w:val="26CE09FF"/>
    <w:rsid w:val="2E39E105"/>
    <w:rsid w:val="30509467"/>
    <w:rsid w:val="3309B211"/>
    <w:rsid w:val="33C2AE20"/>
    <w:rsid w:val="356F8B66"/>
    <w:rsid w:val="3CAE26CD"/>
    <w:rsid w:val="3D11CD7B"/>
    <w:rsid w:val="40CA36E5"/>
    <w:rsid w:val="424246A1"/>
    <w:rsid w:val="44AE919A"/>
    <w:rsid w:val="47415308"/>
    <w:rsid w:val="47753453"/>
    <w:rsid w:val="47E39B64"/>
    <w:rsid w:val="4B41CD3A"/>
    <w:rsid w:val="4EB47D2F"/>
    <w:rsid w:val="4F9760CC"/>
    <w:rsid w:val="4FCA5ADA"/>
    <w:rsid w:val="502C10BC"/>
    <w:rsid w:val="50E78C92"/>
    <w:rsid w:val="53A5BC0C"/>
    <w:rsid w:val="53DB54EB"/>
    <w:rsid w:val="5798E1C3"/>
    <w:rsid w:val="58A79CC2"/>
    <w:rsid w:val="5911A904"/>
    <w:rsid w:val="5AD7C3D3"/>
    <w:rsid w:val="5AECE0A8"/>
    <w:rsid w:val="5B80B303"/>
    <w:rsid w:val="5D00D6B1"/>
    <w:rsid w:val="61F5EB37"/>
    <w:rsid w:val="68169E4F"/>
    <w:rsid w:val="69525395"/>
    <w:rsid w:val="6B922399"/>
    <w:rsid w:val="6CC2BE2D"/>
    <w:rsid w:val="6E5A744B"/>
    <w:rsid w:val="6F2DBB9D"/>
    <w:rsid w:val="6FC0EAC6"/>
    <w:rsid w:val="7059708F"/>
    <w:rsid w:val="70BA0ACF"/>
    <w:rsid w:val="755B91A9"/>
    <w:rsid w:val="76BF241C"/>
    <w:rsid w:val="774986D3"/>
    <w:rsid w:val="7AE159ED"/>
    <w:rsid w:val="7AEDE5D7"/>
    <w:rsid w:val="7E024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088C1"/>
  <w15:chartTrackingRefBased/>
  <w15:docId w15:val="{316DED4F-B5A1-4760-902D-1E0C51E4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2C4"/>
  </w:style>
  <w:style w:type="paragraph" w:styleId="Heading1">
    <w:name w:val="heading 1"/>
    <w:basedOn w:val="Normal"/>
    <w:next w:val="Normal"/>
    <w:link w:val="Heading1Char"/>
    <w:uiPriority w:val="9"/>
    <w:qFormat/>
    <w:rsid w:val="006F2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190"/>
    <w:rPr>
      <w:rFonts w:eastAsiaTheme="majorEastAsia" w:cstheme="majorBidi"/>
      <w:color w:val="272727" w:themeColor="text1" w:themeTint="D8"/>
    </w:rPr>
  </w:style>
  <w:style w:type="paragraph" w:styleId="Title">
    <w:name w:val="Title"/>
    <w:basedOn w:val="Normal"/>
    <w:next w:val="Normal"/>
    <w:link w:val="TitleChar"/>
    <w:uiPriority w:val="10"/>
    <w:qFormat/>
    <w:rsid w:val="006F2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190"/>
    <w:pPr>
      <w:spacing w:before="160"/>
      <w:jc w:val="center"/>
    </w:pPr>
    <w:rPr>
      <w:i/>
      <w:iCs/>
      <w:color w:val="404040" w:themeColor="text1" w:themeTint="BF"/>
    </w:rPr>
  </w:style>
  <w:style w:type="character" w:customStyle="1" w:styleId="QuoteChar">
    <w:name w:val="Quote Char"/>
    <w:basedOn w:val="DefaultParagraphFont"/>
    <w:link w:val="Quote"/>
    <w:uiPriority w:val="29"/>
    <w:rsid w:val="006F2190"/>
    <w:rPr>
      <w:i/>
      <w:iCs/>
      <w:color w:val="404040" w:themeColor="text1" w:themeTint="BF"/>
    </w:rPr>
  </w:style>
  <w:style w:type="paragraph" w:styleId="ListParagraph">
    <w:name w:val="List Paragraph"/>
    <w:basedOn w:val="Normal"/>
    <w:uiPriority w:val="34"/>
    <w:qFormat/>
    <w:rsid w:val="006F2190"/>
    <w:pPr>
      <w:ind w:left="720"/>
      <w:contextualSpacing/>
    </w:pPr>
  </w:style>
  <w:style w:type="character" w:styleId="IntenseEmphasis">
    <w:name w:val="Intense Emphasis"/>
    <w:basedOn w:val="DefaultParagraphFont"/>
    <w:uiPriority w:val="21"/>
    <w:qFormat/>
    <w:rsid w:val="006F2190"/>
    <w:rPr>
      <w:i/>
      <w:iCs/>
      <w:color w:val="0F4761" w:themeColor="accent1" w:themeShade="BF"/>
    </w:rPr>
  </w:style>
  <w:style w:type="paragraph" w:styleId="IntenseQuote">
    <w:name w:val="Intense Quote"/>
    <w:basedOn w:val="Normal"/>
    <w:next w:val="Normal"/>
    <w:link w:val="IntenseQuoteChar"/>
    <w:uiPriority w:val="30"/>
    <w:qFormat/>
    <w:rsid w:val="006F2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190"/>
    <w:rPr>
      <w:i/>
      <w:iCs/>
      <w:color w:val="0F4761" w:themeColor="accent1" w:themeShade="BF"/>
    </w:rPr>
  </w:style>
  <w:style w:type="character" w:styleId="IntenseReference">
    <w:name w:val="Intense Reference"/>
    <w:basedOn w:val="DefaultParagraphFont"/>
    <w:uiPriority w:val="32"/>
    <w:qFormat/>
    <w:rsid w:val="006F2190"/>
    <w:rPr>
      <w:b/>
      <w:bCs/>
      <w:smallCaps/>
      <w:color w:val="0F4761" w:themeColor="accent1" w:themeShade="BF"/>
      <w:spacing w:val="5"/>
    </w:rPr>
  </w:style>
  <w:style w:type="character" w:customStyle="1" w:styleId="normaltextrun">
    <w:name w:val="normaltextrun"/>
    <w:basedOn w:val="DefaultParagraphFont"/>
    <w:rsid w:val="00530E58"/>
  </w:style>
  <w:style w:type="character" w:styleId="CommentReference">
    <w:name w:val="annotation reference"/>
    <w:basedOn w:val="DefaultParagraphFont"/>
    <w:uiPriority w:val="99"/>
    <w:semiHidden/>
    <w:unhideWhenUsed/>
    <w:rsid w:val="004476FD"/>
    <w:rPr>
      <w:sz w:val="16"/>
      <w:szCs w:val="16"/>
    </w:rPr>
  </w:style>
  <w:style w:type="paragraph" w:styleId="CommentText">
    <w:name w:val="annotation text"/>
    <w:basedOn w:val="Normal"/>
    <w:link w:val="CommentTextChar"/>
    <w:uiPriority w:val="99"/>
    <w:unhideWhenUsed/>
    <w:rsid w:val="004476FD"/>
    <w:pPr>
      <w:spacing w:line="240" w:lineRule="auto"/>
    </w:pPr>
    <w:rPr>
      <w:sz w:val="20"/>
      <w:szCs w:val="20"/>
    </w:rPr>
  </w:style>
  <w:style w:type="character" w:customStyle="1" w:styleId="CommentTextChar">
    <w:name w:val="Comment Text Char"/>
    <w:basedOn w:val="DefaultParagraphFont"/>
    <w:link w:val="CommentText"/>
    <w:uiPriority w:val="99"/>
    <w:rsid w:val="004476FD"/>
    <w:rPr>
      <w:sz w:val="20"/>
      <w:szCs w:val="20"/>
    </w:rPr>
  </w:style>
  <w:style w:type="paragraph" w:styleId="CommentSubject">
    <w:name w:val="annotation subject"/>
    <w:basedOn w:val="CommentText"/>
    <w:next w:val="CommentText"/>
    <w:link w:val="CommentSubjectChar"/>
    <w:uiPriority w:val="99"/>
    <w:semiHidden/>
    <w:unhideWhenUsed/>
    <w:rsid w:val="004476FD"/>
    <w:rPr>
      <w:b/>
      <w:bCs/>
    </w:rPr>
  </w:style>
  <w:style w:type="character" w:customStyle="1" w:styleId="CommentSubjectChar">
    <w:name w:val="Comment Subject Char"/>
    <w:basedOn w:val="CommentTextChar"/>
    <w:link w:val="CommentSubject"/>
    <w:uiPriority w:val="99"/>
    <w:semiHidden/>
    <w:rsid w:val="004476FD"/>
    <w:rPr>
      <w:b/>
      <w:bCs/>
      <w:sz w:val="20"/>
      <w:szCs w:val="20"/>
    </w:rPr>
  </w:style>
  <w:style w:type="character" w:styleId="Hyperlink">
    <w:name w:val="Hyperlink"/>
    <w:basedOn w:val="DefaultParagraphFont"/>
    <w:uiPriority w:val="99"/>
    <w:unhideWhenUsed/>
    <w:rsid w:val="0007458F"/>
    <w:rPr>
      <w:color w:val="467886" w:themeColor="hyperlink"/>
      <w:u w:val="single"/>
    </w:rPr>
  </w:style>
  <w:style w:type="character" w:styleId="UnresolvedMention">
    <w:name w:val="Unresolved Mention"/>
    <w:basedOn w:val="DefaultParagraphFont"/>
    <w:uiPriority w:val="99"/>
    <w:semiHidden/>
    <w:unhideWhenUsed/>
    <w:rsid w:val="0007458F"/>
    <w:rPr>
      <w:color w:val="605E5C"/>
      <w:shd w:val="clear" w:color="auto" w:fill="E1DFDD"/>
    </w:rPr>
  </w:style>
  <w:style w:type="paragraph" w:styleId="Revision">
    <w:name w:val="Revision"/>
    <w:hidden/>
    <w:uiPriority w:val="99"/>
    <w:semiHidden/>
    <w:rsid w:val="00A31A7C"/>
    <w:pPr>
      <w:spacing w:after="0" w:line="240" w:lineRule="auto"/>
    </w:pPr>
  </w:style>
  <w:style w:type="character" w:styleId="Mention">
    <w:name w:val="Mention"/>
    <w:basedOn w:val="DefaultParagraphFont"/>
    <w:uiPriority w:val="99"/>
    <w:unhideWhenUsed/>
    <w:rsid w:val="0060794D"/>
    <w:rPr>
      <w:color w:val="2B579A"/>
      <w:shd w:val="clear" w:color="auto" w:fill="E1DFDD"/>
    </w:rPr>
  </w:style>
  <w:style w:type="paragraph" w:styleId="Header">
    <w:name w:val="header"/>
    <w:basedOn w:val="Normal"/>
    <w:link w:val="HeaderChar"/>
    <w:uiPriority w:val="99"/>
    <w:unhideWhenUsed/>
    <w:rsid w:val="00DD0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162"/>
  </w:style>
  <w:style w:type="paragraph" w:styleId="Footer">
    <w:name w:val="footer"/>
    <w:basedOn w:val="Normal"/>
    <w:link w:val="FooterChar"/>
    <w:uiPriority w:val="99"/>
    <w:unhideWhenUsed/>
    <w:rsid w:val="00DD0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162"/>
  </w:style>
  <w:style w:type="character" w:styleId="FollowedHyperlink">
    <w:name w:val="FollowedHyperlink"/>
    <w:basedOn w:val="DefaultParagraphFont"/>
    <w:uiPriority w:val="99"/>
    <w:semiHidden/>
    <w:unhideWhenUsed/>
    <w:rsid w:val="0007583E"/>
    <w:rPr>
      <w:color w:val="96607D" w:themeColor="followedHyperlink"/>
      <w:u w:val="single"/>
    </w:rPr>
  </w:style>
  <w:style w:type="paragraph" w:customStyle="1" w:styleId="paragraph">
    <w:name w:val="paragraph"/>
    <w:basedOn w:val="Normal"/>
    <w:rsid w:val="00B32E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3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8555">
      <w:bodyDiv w:val="1"/>
      <w:marLeft w:val="0"/>
      <w:marRight w:val="0"/>
      <w:marTop w:val="0"/>
      <w:marBottom w:val="0"/>
      <w:divBdr>
        <w:top w:val="none" w:sz="0" w:space="0" w:color="auto"/>
        <w:left w:val="none" w:sz="0" w:space="0" w:color="auto"/>
        <w:bottom w:val="none" w:sz="0" w:space="0" w:color="auto"/>
        <w:right w:val="none" w:sz="0" w:space="0" w:color="auto"/>
      </w:divBdr>
    </w:div>
    <w:div w:id="260141569">
      <w:bodyDiv w:val="1"/>
      <w:marLeft w:val="0"/>
      <w:marRight w:val="0"/>
      <w:marTop w:val="0"/>
      <w:marBottom w:val="0"/>
      <w:divBdr>
        <w:top w:val="none" w:sz="0" w:space="0" w:color="auto"/>
        <w:left w:val="none" w:sz="0" w:space="0" w:color="auto"/>
        <w:bottom w:val="none" w:sz="0" w:space="0" w:color="auto"/>
        <w:right w:val="none" w:sz="0" w:space="0" w:color="auto"/>
      </w:divBdr>
    </w:div>
    <w:div w:id="409304663">
      <w:bodyDiv w:val="1"/>
      <w:marLeft w:val="0"/>
      <w:marRight w:val="0"/>
      <w:marTop w:val="0"/>
      <w:marBottom w:val="0"/>
      <w:divBdr>
        <w:top w:val="none" w:sz="0" w:space="0" w:color="auto"/>
        <w:left w:val="none" w:sz="0" w:space="0" w:color="auto"/>
        <w:bottom w:val="none" w:sz="0" w:space="0" w:color="auto"/>
        <w:right w:val="none" w:sz="0" w:space="0" w:color="auto"/>
      </w:divBdr>
    </w:div>
    <w:div w:id="441850938">
      <w:bodyDiv w:val="1"/>
      <w:marLeft w:val="0"/>
      <w:marRight w:val="0"/>
      <w:marTop w:val="0"/>
      <w:marBottom w:val="0"/>
      <w:divBdr>
        <w:top w:val="none" w:sz="0" w:space="0" w:color="auto"/>
        <w:left w:val="none" w:sz="0" w:space="0" w:color="auto"/>
        <w:bottom w:val="none" w:sz="0" w:space="0" w:color="auto"/>
        <w:right w:val="none" w:sz="0" w:space="0" w:color="auto"/>
      </w:divBdr>
    </w:div>
    <w:div w:id="485049912">
      <w:bodyDiv w:val="1"/>
      <w:marLeft w:val="0"/>
      <w:marRight w:val="0"/>
      <w:marTop w:val="0"/>
      <w:marBottom w:val="0"/>
      <w:divBdr>
        <w:top w:val="none" w:sz="0" w:space="0" w:color="auto"/>
        <w:left w:val="none" w:sz="0" w:space="0" w:color="auto"/>
        <w:bottom w:val="none" w:sz="0" w:space="0" w:color="auto"/>
        <w:right w:val="none" w:sz="0" w:space="0" w:color="auto"/>
      </w:divBdr>
    </w:div>
    <w:div w:id="704716170">
      <w:bodyDiv w:val="1"/>
      <w:marLeft w:val="0"/>
      <w:marRight w:val="0"/>
      <w:marTop w:val="0"/>
      <w:marBottom w:val="0"/>
      <w:divBdr>
        <w:top w:val="none" w:sz="0" w:space="0" w:color="auto"/>
        <w:left w:val="none" w:sz="0" w:space="0" w:color="auto"/>
        <w:bottom w:val="none" w:sz="0" w:space="0" w:color="auto"/>
        <w:right w:val="none" w:sz="0" w:space="0" w:color="auto"/>
      </w:divBdr>
    </w:div>
    <w:div w:id="835993678">
      <w:bodyDiv w:val="1"/>
      <w:marLeft w:val="0"/>
      <w:marRight w:val="0"/>
      <w:marTop w:val="0"/>
      <w:marBottom w:val="0"/>
      <w:divBdr>
        <w:top w:val="none" w:sz="0" w:space="0" w:color="auto"/>
        <w:left w:val="none" w:sz="0" w:space="0" w:color="auto"/>
        <w:bottom w:val="none" w:sz="0" w:space="0" w:color="auto"/>
        <w:right w:val="none" w:sz="0" w:space="0" w:color="auto"/>
      </w:divBdr>
    </w:div>
    <w:div w:id="963148664">
      <w:bodyDiv w:val="1"/>
      <w:marLeft w:val="0"/>
      <w:marRight w:val="0"/>
      <w:marTop w:val="0"/>
      <w:marBottom w:val="0"/>
      <w:divBdr>
        <w:top w:val="none" w:sz="0" w:space="0" w:color="auto"/>
        <w:left w:val="none" w:sz="0" w:space="0" w:color="auto"/>
        <w:bottom w:val="none" w:sz="0" w:space="0" w:color="auto"/>
        <w:right w:val="none" w:sz="0" w:space="0" w:color="auto"/>
      </w:divBdr>
    </w:div>
    <w:div w:id="1363045246">
      <w:bodyDiv w:val="1"/>
      <w:marLeft w:val="0"/>
      <w:marRight w:val="0"/>
      <w:marTop w:val="0"/>
      <w:marBottom w:val="0"/>
      <w:divBdr>
        <w:top w:val="none" w:sz="0" w:space="0" w:color="auto"/>
        <w:left w:val="none" w:sz="0" w:space="0" w:color="auto"/>
        <w:bottom w:val="none" w:sz="0" w:space="0" w:color="auto"/>
        <w:right w:val="none" w:sz="0" w:space="0" w:color="auto"/>
      </w:divBdr>
    </w:div>
    <w:div w:id="1375695732">
      <w:bodyDiv w:val="1"/>
      <w:marLeft w:val="0"/>
      <w:marRight w:val="0"/>
      <w:marTop w:val="0"/>
      <w:marBottom w:val="0"/>
      <w:divBdr>
        <w:top w:val="none" w:sz="0" w:space="0" w:color="auto"/>
        <w:left w:val="none" w:sz="0" w:space="0" w:color="auto"/>
        <w:bottom w:val="none" w:sz="0" w:space="0" w:color="auto"/>
        <w:right w:val="none" w:sz="0" w:space="0" w:color="auto"/>
      </w:divBdr>
    </w:div>
    <w:div w:id="1450852356">
      <w:bodyDiv w:val="1"/>
      <w:marLeft w:val="0"/>
      <w:marRight w:val="0"/>
      <w:marTop w:val="0"/>
      <w:marBottom w:val="0"/>
      <w:divBdr>
        <w:top w:val="none" w:sz="0" w:space="0" w:color="auto"/>
        <w:left w:val="none" w:sz="0" w:space="0" w:color="auto"/>
        <w:bottom w:val="none" w:sz="0" w:space="0" w:color="auto"/>
        <w:right w:val="none" w:sz="0" w:space="0" w:color="auto"/>
      </w:divBdr>
      <w:divsChild>
        <w:div w:id="60951982">
          <w:marLeft w:val="0"/>
          <w:marRight w:val="0"/>
          <w:marTop w:val="0"/>
          <w:marBottom w:val="0"/>
          <w:divBdr>
            <w:top w:val="none" w:sz="0" w:space="0" w:color="auto"/>
            <w:left w:val="none" w:sz="0" w:space="0" w:color="auto"/>
            <w:bottom w:val="none" w:sz="0" w:space="0" w:color="auto"/>
            <w:right w:val="none" w:sz="0" w:space="0" w:color="auto"/>
          </w:divBdr>
          <w:divsChild>
            <w:div w:id="808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3904">
      <w:bodyDiv w:val="1"/>
      <w:marLeft w:val="0"/>
      <w:marRight w:val="0"/>
      <w:marTop w:val="0"/>
      <w:marBottom w:val="0"/>
      <w:divBdr>
        <w:top w:val="none" w:sz="0" w:space="0" w:color="auto"/>
        <w:left w:val="none" w:sz="0" w:space="0" w:color="auto"/>
        <w:bottom w:val="none" w:sz="0" w:space="0" w:color="auto"/>
        <w:right w:val="none" w:sz="0" w:space="0" w:color="auto"/>
      </w:divBdr>
    </w:div>
    <w:div w:id="1851985294">
      <w:bodyDiv w:val="1"/>
      <w:marLeft w:val="0"/>
      <w:marRight w:val="0"/>
      <w:marTop w:val="0"/>
      <w:marBottom w:val="0"/>
      <w:divBdr>
        <w:top w:val="none" w:sz="0" w:space="0" w:color="auto"/>
        <w:left w:val="none" w:sz="0" w:space="0" w:color="auto"/>
        <w:bottom w:val="none" w:sz="0" w:space="0" w:color="auto"/>
        <w:right w:val="none" w:sz="0" w:space="0" w:color="auto"/>
      </w:divBdr>
    </w:div>
    <w:div w:id="19844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bts.gov/stories/s/myhq-rm6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o.ca.gov/handouts/resources/2023/Ports-Overview-0817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iize.org/infrastructure?section=infrastructure.more-details.technolog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2.arb.ca.gov/sites/default/files/2020-07/2020_lcfs_fro_oal-approved_unofficial_0630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C865-6794-438C-BE92-2DA84BE8B96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97B0E695-C4A2-4C62-BDAB-E27E83038B44}">
  <ds:schemaRefs>
    <ds:schemaRef ds:uri="http://schemas.microsoft.com/sharepoint/v3/contenttype/forms"/>
  </ds:schemaRefs>
</ds:datastoreItem>
</file>

<file path=customXml/itemProps3.xml><?xml version="1.0" encoding="utf-8"?>
<ds:datastoreItem xmlns:ds="http://schemas.openxmlformats.org/officeDocument/2006/customXml" ds:itemID="{9357F0BF-B18C-43FC-90CE-80D5C164B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2420B-4E22-44A4-AB2E-A16090C6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7757</Words>
  <Characters>44370</Characters>
  <Application>Microsoft Office Word</Application>
  <DocSecurity>4</DocSecurity>
  <Lines>2016</Lines>
  <Paragraphs>1797</Paragraphs>
  <ScaleCrop>false</ScaleCrop>
  <Company/>
  <LinksUpToDate>false</LinksUpToDate>
  <CharactersWithSpaces>50330</CharactersWithSpaces>
  <SharedDoc>false</SharedDoc>
  <HLinks>
    <vt:vector size="24" baseType="variant">
      <vt:variant>
        <vt:i4>6029344</vt:i4>
      </vt:variant>
      <vt:variant>
        <vt:i4>9</vt:i4>
      </vt:variant>
      <vt:variant>
        <vt:i4>0</vt:i4>
      </vt:variant>
      <vt:variant>
        <vt:i4>5</vt:i4>
      </vt:variant>
      <vt:variant>
        <vt:lpwstr>https://ww2.arb.ca.gov/sites/default/files/2020-07/2020_lcfs_fro_oal-approved_unofficial_06302020.pdf</vt:lpwstr>
      </vt:variant>
      <vt:variant>
        <vt:lpwstr/>
      </vt:variant>
      <vt:variant>
        <vt:i4>5242955</vt:i4>
      </vt:variant>
      <vt:variant>
        <vt:i4>6</vt:i4>
      </vt:variant>
      <vt:variant>
        <vt:i4>0</vt:i4>
      </vt:variant>
      <vt:variant>
        <vt:i4>5</vt:i4>
      </vt:variant>
      <vt:variant>
        <vt:lpwstr>https://data.bts.gov/stories/s/myhq-rm6q</vt:lpwstr>
      </vt:variant>
      <vt:variant>
        <vt:lpwstr/>
      </vt:variant>
      <vt:variant>
        <vt:i4>4325459</vt:i4>
      </vt:variant>
      <vt:variant>
        <vt:i4>3</vt:i4>
      </vt:variant>
      <vt:variant>
        <vt:i4>0</vt:i4>
      </vt:variant>
      <vt:variant>
        <vt:i4>5</vt:i4>
      </vt:variant>
      <vt:variant>
        <vt:lpwstr>https://lao.ca.gov/handouts/resources/2023/Ports-Overview-081723.pdf</vt:lpwstr>
      </vt:variant>
      <vt:variant>
        <vt:lpwstr/>
      </vt:variant>
      <vt:variant>
        <vt:i4>7864353</vt:i4>
      </vt:variant>
      <vt:variant>
        <vt:i4>0</vt:i4>
      </vt:variant>
      <vt:variant>
        <vt:i4>0</vt:i4>
      </vt:variant>
      <vt:variant>
        <vt:i4>5</vt:i4>
      </vt:variant>
      <vt:variant>
        <vt:lpwstr>https://www.energiize.org/infrastructure?section=infrastructure.more-details.technology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Vater, Michelle@Energy</dc:creator>
  <cp:keywords/>
  <dc:description/>
  <cp:lastModifiedBy>Johnson, Natalie@Energy</cp:lastModifiedBy>
  <cp:revision>2</cp:revision>
  <dcterms:created xsi:type="dcterms:W3CDTF">2025-06-13T19:08:00Z</dcterms:created>
  <dcterms:modified xsi:type="dcterms:W3CDTF">2025-06-13T19:08:00Z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4975de84-f743-49e6-a721-1042dda3bc50</vt:lpwstr>
  </property>
</Properties>
</file>