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94487" w14:textId="77777777" w:rsidR="00FE6B2A" w:rsidRDefault="00FE6B2A"/>
    <w:p w14:paraId="7CA8D8D1" w14:textId="77777777" w:rsidR="0023499E" w:rsidRPr="00201658" w:rsidRDefault="0023499E" w:rsidP="0023499E">
      <w:pPr>
        <w:spacing w:after="0" w:line="276" w:lineRule="auto"/>
        <w:jc w:val="center"/>
        <w:rPr>
          <w:rFonts w:ascii="Tahoma" w:hAnsi="Tahoma" w:cs="Tahoma"/>
          <w:b/>
          <w:bCs/>
          <w:sz w:val="28"/>
          <w:szCs w:val="28"/>
        </w:rPr>
      </w:pPr>
      <w:r w:rsidRPr="00201658">
        <w:rPr>
          <w:rFonts w:ascii="Tahoma" w:hAnsi="Tahoma" w:cs="Tahoma"/>
          <w:b/>
          <w:bCs/>
          <w:sz w:val="28"/>
          <w:szCs w:val="28"/>
        </w:rPr>
        <w:t>PON-24-002</w:t>
      </w:r>
    </w:p>
    <w:p w14:paraId="7492B9DE" w14:textId="77777777" w:rsidR="0023499E" w:rsidRPr="00201658" w:rsidRDefault="0023499E" w:rsidP="0023499E">
      <w:pPr>
        <w:spacing w:after="0" w:line="276" w:lineRule="auto"/>
        <w:jc w:val="center"/>
        <w:rPr>
          <w:rFonts w:ascii="Tahoma" w:hAnsi="Tahoma" w:cs="Tahoma"/>
          <w:b/>
          <w:bCs/>
          <w:sz w:val="28"/>
          <w:szCs w:val="28"/>
        </w:rPr>
      </w:pPr>
      <w:r w:rsidRPr="00201658">
        <w:rPr>
          <w:rFonts w:ascii="Tahoma" w:hAnsi="Tahoma" w:cs="Tahoma"/>
          <w:b/>
          <w:bCs/>
          <w:sz w:val="28"/>
          <w:szCs w:val="28"/>
        </w:rPr>
        <w:t>Kindergarten through Twelfth Grade Energy Efficiency Program</w:t>
      </w:r>
    </w:p>
    <w:p w14:paraId="3BF161E0" w14:textId="77777777" w:rsidR="0023499E" w:rsidRPr="00201658" w:rsidRDefault="0023499E" w:rsidP="0023499E">
      <w:pPr>
        <w:spacing w:after="0" w:line="276" w:lineRule="auto"/>
        <w:jc w:val="center"/>
        <w:rPr>
          <w:rFonts w:ascii="Tahoma" w:hAnsi="Tahoma" w:cs="Tahoma"/>
          <w:b/>
          <w:bCs/>
          <w:sz w:val="28"/>
          <w:szCs w:val="28"/>
        </w:rPr>
      </w:pPr>
      <w:r w:rsidRPr="00201658">
        <w:rPr>
          <w:rFonts w:ascii="Tahoma" w:hAnsi="Tahoma" w:cs="Tahoma"/>
          <w:b/>
          <w:bCs/>
          <w:sz w:val="28"/>
          <w:szCs w:val="28"/>
        </w:rPr>
        <w:t>KTEP Questions and Answers</w:t>
      </w:r>
    </w:p>
    <w:p w14:paraId="36449B54" w14:textId="77777777" w:rsidR="0023499E" w:rsidRPr="00201658" w:rsidRDefault="0023499E" w:rsidP="0023499E">
      <w:pPr>
        <w:spacing w:after="0" w:line="276" w:lineRule="auto"/>
        <w:jc w:val="center"/>
        <w:rPr>
          <w:rFonts w:ascii="Tahoma" w:hAnsi="Tahoma" w:cs="Tahoma"/>
          <w:b/>
          <w:bCs/>
          <w:sz w:val="28"/>
          <w:szCs w:val="28"/>
        </w:rPr>
      </w:pPr>
      <w:r w:rsidRPr="00201658">
        <w:rPr>
          <w:rFonts w:ascii="Tahoma" w:hAnsi="Tahoma" w:cs="Tahoma"/>
          <w:b/>
          <w:bCs/>
          <w:sz w:val="28"/>
          <w:szCs w:val="28"/>
        </w:rPr>
        <w:t>Addendum 1</w:t>
      </w:r>
    </w:p>
    <w:p w14:paraId="0107ADE7" w14:textId="4145DB70" w:rsidR="0023499E" w:rsidRPr="00201658" w:rsidRDefault="0023499E" w:rsidP="0023499E">
      <w:pPr>
        <w:spacing w:after="0" w:line="276" w:lineRule="auto"/>
        <w:jc w:val="center"/>
        <w:rPr>
          <w:rFonts w:ascii="Tahoma" w:hAnsi="Tahoma" w:cs="Tahoma"/>
          <w:b/>
          <w:bCs/>
          <w:sz w:val="28"/>
          <w:szCs w:val="28"/>
        </w:rPr>
      </w:pPr>
      <w:r w:rsidRPr="00201658">
        <w:rPr>
          <w:rFonts w:ascii="Tahoma" w:hAnsi="Tahoma" w:cs="Tahoma"/>
          <w:b/>
          <w:bCs/>
          <w:sz w:val="28"/>
          <w:szCs w:val="28"/>
        </w:rPr>
        <w:t xml:space="preserve">August </w:t>
      </w:r>
      <w:r w:rsidR="004B6602" w:rsidRPr="004B6602">
        <w:rPr>
          <w:rFonts w:ascii="Tahoma" w:hAnsi="Tahoma" w:cs="Tahoma"/>
          <w:b/>
          <w:bCs/>
          <w:sz w:val="28"/>
          <w:szCs w:val="28"/>
        </w:rPr>
        <w:t>1</w:t>
      </w:r>
      <w:r w:rsidR="002A3350">
        <w:rPr>
          <w:rFonts w:ascii="Tahoma" w:hAnsi="Tahoma" w:cs="Tahoma"/>
          <w:b/>
          <w:bCs/>
          <w:sz w:val="28"/>
          <w:szCs w:val="28"/>
        </w:rPr>
        <w:t>4</w:t>
      </w:r>
      <w:r w:rsidRPr="004B6602">
        <w:rPr>
          <w:rFonts w:ascii="Tahoma" w:hAnsi="Tahoma" w:cs="Tahoma"/>
          <w:b/>
          <w:bCs/>
          <w:sz w:val="28"/>
          <w:szCs w:val="28"/>
        </w:rPr>
        <w:t>,</w:t>
      </w:r>
      <w:r w:rsidRPr="00201658">
        <w:rPr>
          <w:rFonts w:ascii="Tahoma" w:hAnsi="Tahoma" w:cs="Tahoma"/>
          <w:b/>
          <w:bCs/>
          <w:sz w:val="28"/>
          <w:szCs w:val="28"/>
        </w:rPr>
        <w:t xml:space="preserve"> 2025</w:t>
      </w:r>
    </w:p>
    <w:p w14:paraId="1EA715DE" w14:textId="77777777" w:rsidR="0023499E" w:rsidRDefault="0023499E" w:rsidP="0023499E">
      <w:pPr>
        <w:spacing w:after="0" w:line="276" w:lineRule="auto"/>
        <w:jc w:val="center"/>
        <w:rPr>
          <w:rFonts w:ascii="Tahoma" w:hAnsi="Tahoma" w:cs="Tahoma"/>
        </w:rPr>
      </w:pPr>
    </w:p>
    <w:p w14:paraId="0AFE99CE" w14:textId="77777777" w:rsidR="0023499E" w:rsidRDefault="0023499E" w:rsidP="0023499E">
      <w:pPr>
        <w:spacing w:after="0" w:line="276" w:lineRule="auto"/>
        <w:rPr>
          <w:rFonts w:ascii="Tahoma" w:hAnsi="Tahoma" w:cs="Tahoma"/>
        </w:rPr>
      </w:pPr>
      <w:r>
        <w:rPr>
          <w:rFonts w:ascii="Tahoma" w:hAnsi="Tahoma" w:cs="Tahoma"/>
        </w:rPr>
        <w:t xml:space="preserve">Disclaimer: This addendum includes the following revisions to the KTEP Questions and Answers document. Added language appears in </w:t>
      </w:r>
      <w:r w:rsidRPr="00201658">
        <w:rPr>
          <w:rFonts w:ascii="Tahoma" w:hAnsi="Tahoma" w:cs="Tahoma"/>
          <w:b/>
          <w:bCs/>
          <w:u w:val="single"/>
        </w:rPr>
        <w:t>bold underline</w:t>
      </w:r>
      <w:r>
        <w:rPr>
          <w:rFonts w:ascii="Tahoma" w:hAnsi="Tahoma" w:cs="Tahoma"/>
        </w:rPr>
        <w:t xml:space="preserve"> and deleted language appears in </w:t>
      </w:r>
      <w:r w:rsidRPr="00201658">
        <w:rPr>
          <w:rFonts w:ascii="Tahoma" w:hAnsi="Tahoma" w:cs="Tahoma"/>
          <w:strike/>
        </w:rPr>
        <w:t>strikethrough</w:t>
      </w:r>
      <w:r>
        <w:rPr>
          <w:rFonts w:ascii="Tahoma" w:hAnsi="Tahoma" w:cs="Tahoma"/>
        </w:rPr>
        <w:t>.</w:t>
      </w:r>
    </w:p>
    <w:p w14:paraId="645F1CA2" w14:textId="77777777" w:rsidR="0023499E" w:rsidRDefault="0023499E" w:rsidP="0023499E">
      <w:pPr>
        <w:spacing w:after="0" w:line="276" w:lineRule="auto"/>
        <w:rPr>
          <w:rFonts w:ascii="Tahoma" w:hAnsi="Tahoma" w:cs="Tahoma"/>
        </w:rPr>
      </w:pPr>
    </w:p>
    <w:p w14:paraId="2FDA5C2A" w14:textId="77777777" w:rsidR="0023499E" w:rsidRDefault="0023499E" w:rsidP="0023499E">
      <w:pPr>
        <w:spacing w:after="0" w:line="276" w:lineRule="auto"/>
        <w:rPr>
          <w:rFonts w:ascii="Tahoma" w:hAnsi="Tahoma" w:cs="Tahoma"/>
        </w:rPr>
      </w:pPr>
      <w:r>
        <w:rPr>
          <w:rFonts w:ascii="Tahoma" w:hAnsi="Tahoma" w:cs="Tahoma"/>
        </w:rPr>
        <w:t>The purpose of this addendum is to notify potential applicants of changes that have been made to the PON-24-002 KTEP Questions and Answers document.</w:t>
      </w:r>
    </w:p>
    <w:p w14:paraId="670E893A" w14:textId="77777777" w:rsidR="0023499E" w:rsidRDefault="0023499E" w:rsidP="0023499E">
      <w:pPr>
        <w:spacing w:after="0" w:line="276" w:lineRule="auto"/>
        <w:rPr>
          <w:rFonts w:ascii="Tahoma" w:hAnsi="Tahoma" w:cs="Tahoma"/>
        </w:rPr>
      </w:pPr>
    </w:p>
    <w:p w14:paraId="33B36B56" w14:textId="77777777" w:rsidR="0023499E" w:rsidRDefault="0023499E" w:rsidP="0023499E">
      <w:pPr>
        <w:spacing w:after="0" w:line="360" w:lineRule="auto"/>
        <w:rPr>
          <w:rFonts w:ascii="Tahoma" w:hAnsi="Tahoma" w:cs="Tahoma"/>
        </w:rPr>
      </w:pPr>
      <w:r>
        <w:rPr>
          <w:rFonts w:ascii="Tahoma" w:hAnsi="Tahoma" w:cs="Tahoma"/>
        </w:rPr>
        <w:t xml:space="preserve">PON-24-002 KTEP Questions and Answers </w:t>
      </w:r>
    </w:p>
    <w:p w14:paraId="05297FFD" w14:textId="77777777" w:rsidR="0023499E" w:rsidRPr="00201658" w:rsidRDefault="0023499E" w:rsidP="0023499E">
      <w:pPr>
        <w:spacing w:after="0" w:line="360" w:lineRule="auto"/>
        <w:rPr>
          <w:rFonts w:ascii="Tahoma" w:hAnsi="Tahoma" w:cs="Tahoma"/>
          <w:b/>
          <w:bCs/>
          <w:i/>
          <w:iCs/>
          <w:u w:val="single"/>
        </w:rPr>
      </w:pPr>
      <w:r w:rsidRPr="00201658">
        <w:rPr>
          <w:rFonts w:ascii="Tahoma" w:hAnsi="Tahoma" w:cs="Tahoma"/>
          <w:b/>
          <w:bCs/>
          <w:i/>
          <w:iCs/>
          <w:u w:val="single"/>
        </w:rPr>
        <w:t>Energy Audit</w:t>
      </w:r>
    </w:p>
    <w:p w14:paraId="241FB3CD" w14:textId="77777777" w:rsidR="0023499E" w:rsidRPr="00201658" w:rsidRDefault="0023499E" w:rsidP="0023499E">
      <w:pPr>
        <w:spacing w:line="240" w:lineRule="auto"/>
        <w:ind w:left="720" w:hanging="720"/>
        <w:rPr>
          <w:rFonts w:ascii="Tahoma" w:hAnsi="Tahoma" w:cs="Tahoma"/>
          <w:b/>
          <w:bCs/>
          <w:sz w:val="22"/>
          <w:szCs w:val="22"/>
        </w:rPr>
      </w:pPr>
      <w:r w:rsidRPr="00201658">
        <w:rPr>
          <w:rFonts w:ascii="Tahoma" w:hAnsi="Tahoma" w:cs="Tahoma"/>
          <w:b/>
          <w:sz w:val="22"/>
          <w:szCs w:val="22"/>
        </w:rPr>
        <w:t>Q14:</w:t>
      </w:r>
      <w:r w:rsidRPr="00201658">
        <w:rPr>
          <w:rFonts w:ascii="Tahoma" w:hAnsi="Tahoma" w:cs="Tahoma"/>
          <w:b/>
          <w:bCs/>
          <w:sz w:val="22"/>
          <w:szCs w:val="22"/>
        </w:rPr>
        <w:tab/>
        <w:t>A project cannot begin before there is an approved loan application. Is project start defined as construction start, audit start, project scoping, or some other milestone?</w:t>
      </w:r>
    </w:p>
    <w:p w14:paraId="6F417D5C" w14:textId="77777777" w:rsidR="0023499E" w:rsidRPr="00201658" w:rsidRDefault="0023499E" w:rsidP="0023499E">
      <w:pPr>
        <w:ind w:left="720" w:hanging="720"/>
        <w:rPr>
          <w:rFonts w:ascii="Tahoma" w:hAnsi="Tahoma" w:cs="Tahoma"/>
          <w:color w:val="000000" w:themeColor="text1"/>
          <w:sz w:val="22"/>
          <w:szCs w:val="22"/>
        </w:rPr>
      </w:pPr>
      <w:r w:rsidRPr="00201658">
        <w:rPr>
          <w:rFonts w:ascii="Tahoma" w:hAnsi="Tahoma" w:cs="Tahoma"/>
          <w:sz w:val="22"/>
          <w:szCs w:val="22"/>
        </w:rPr>
        <w:t>A14:</w:t>
      </w:r>
      <w:r w:rsidRPr="00201658">
        <w:rPr>
          <w:rFonts w:ascii="Tahoma" w:hAnsi="Tahoma" w:cs="Tahoma"/>
          <w:sz w:val="22"/>
          <w:szCs w:val="22"/>
        </w:rPr>
        <w:tab/>
      </w:r>
      <w:r w:rsidRPr="00201658">
        <w:rPr>
          <w:rFonts w:ascii="Tahoma" w:hAnsi="Tahoma" w:cs="Tahoma"/>
          <w:b/>
          <w:bCs/>
          <w:sz w:val="22"/>
          <w:szCs w:val="22"/>
          <w:u w:val="single"/>
        </w:rPr>
        <w:t xml:space="preserve">Reimbursable </w:t>
      </w:r>
      <w:r>
        <w:rPr>
          <w:rFonts w:ascii="Tahoma" w:hAnsi="Tahoma" w:cs="Tahoma"/>
          <w:b/>
          <w:bCs/>
          <w:sz w:val="22"/>
          <w:szCs w:val="22"/>
          <w:u w:val="single"/>
        </w:rPr>
        <w:t>P</w:t>
      </w:r>
      <w:r w:rsidRPr="00201658">
        <w:rPr>
          <w:rFonts w:ascii="Tahoma" w:hAnsi="Tahoma" w:cs="Tahoma"/>
          <w:b/>
          <w:bCs/>
          <w:sz w:val="22"/>
          <w:szCs w:val="22"/>
          <w:u w:val="single"/>
        </w:rPr>
        <w:t xml:space="preserve">roject work can only begin after a </w:t>
      </w:r>
      <w:r>
        <w:rPr>
          <w:rFonts w:ascii="Tahoma" w:hAnsi="Tahoma" w:cs="Tahoma"/>
          <w:b/>
          <w:bCs/>
          <w:sz w:val="22"/>
          <w:szCs w:val="22"/>
          <w:u w:val="single"/>
        </w:rPr>
        <w:t>L</w:t>
      </w:r>
      <w:r w:rsidRPr="00201658">
        <w:rPr>
          <w:rFonts w:ascii="Tahoma" w:hAnsi="Tahoma" w:cs="Tahoma"/>
          <w:b/>
          <w:bCs/>
          <w:sz w:val="22"/>
          <w:szCs w:val="22"/>
          <w:u w:val="single"/>
        </w:rPr>
        <w:t>oan agreement is signed by both the applicant and CEC.</w:t>
      </w:r>
      <w:r w:rsidRPr="00201658">
        <w:rPr>
          <w:rFonts w:ascii="Tahoma" w:hAnsi="Tahoma" w:cs="Tahoma"/>
          <w:color w:val="000000" w:themeColor="text1"/>
          <w:sz w:val="22"/>
          <w:szCs w:val="22"/>
          <w:u w:val="single"/>
        </w:rPr>
        <w:t xml:space="preserve"> </w:t>
      </w:r>
      <w:r w:rsidRPr="00201658">
        <w:rPr>
          <w:rFonts w:ascii="Tahoma" w:hAnsi="Tahoma" w:cs="Tahoma"/>
          <w:strike/>
          <w:color w:val="000000" w:themeColor="text1"/>
          <w:sz w:val="22"/>
          <w:szCs w:val="22"/>
        </w:rPr>
        <w:t>The audit must be completed before submitting an application. Project start is defined as when activities funded by the loan—such as construction—begin.</w:t>
      </w:r>
      <w:r w:rsidRPr="00201658">
        <w:rPr>
          <w:rFonts w:ascii="Tahoma" w:hAnsi="Tahoma" w:cs="Tahoma"/>
          <w:color w:val="000000" w:themeColor="text1"/>
          <w:sz w:val="22"/>
          <w:szCs w:val="22"/>
        </w:rPr>
        <w:t xml:space="preserve"> Therefore, you should not </w:t>
      </w:r>
      <w:r w:rsidRPr="00201658">
        <w:rPr>
          <w:rFonts w:ascii="Tahoma" w:hAnsi="Tahoma" w:cs="Tahoma"/>
          <w:b/>
          <w:bCs/>
          <w:color w:val="000000" w:themeColor="text1"/>
          <w:sz w:val="22"/>
          <w:szCs w:val="22"/>
          <w:u w:val="single"/>
        </w:rPr>
        <w:t xml:space="preserve">incur </w:t>
      </w:r>
      <w:r w:rsidRPr="00201658">
        <w:rPr>
          <w:rFonts w:ascii="Tahoma" w:hAnsi="Tahoma" w:cs="Tahoma"/>
          <w:b/>
          <w:strike/>
          <w:color w:val="000000" w:themeColor="text1"/>
          <w:sz w:val="22"/>
          <w:szCs w:val="22"/>
          <w:u w:val="single"/>
        </w:rPr>
        <w:t>start</w:t>
      </w:r>
      <w:r w:rsidRPr="00201658">
        <w:rPr>
          <w:rFonts w:ascii="Tahoma" w:hAnsi="Tahoma" w:cs="Tahoma"/>
          <w:color w:val="000000" w:themeColor="text1"/>
          <w:sz w:val="22"/>
          <w:szCs w:val="22"/>
        </w:rPr>
        <w:t xml:space="preserve"> any costs </w:t>
      </w:r>
      <w:r w:rsidRPr="00201658">
        <w:rPr>
          <w:rFonts w:ascii="Tahoma" w:hAnsi="Tahoma" w:cs="Tahoma"/>
          <w:b/>
          <w:bCs/>
          <w:color w:val="000000" w:themeColor="text1"/>
          <w:sz w:val="22"/>
          <w:szCs w:val="22"/>
          <w:u w:val="single"/>
        </w:rPr>
        <w:t xml:space="preserve">for which you plan to seek reimbursement until your </w:t>
      </w:r>
      <w:r>
        <w:rPr>
          <w:rFonts w:ascii="Tahoma" w:hAnsi="Tahoma" w:cs="Tahoma"/>
          <w:b/>
          <w:bCs/>
          <w:color w:val="000000" w:themeColor="text1"/>
          <w:sz w:val="22"/>
          <w:szCs w:val="22"/>
          <w:u w:val="single"/>
        </w:rPr>
        <w:t>L</w:t>
      </w:r>
      <w:r w:rsidRPr="00201658">
        <w:rPr>
          <w:rFonts w:ascii="Tahoma" w:hAnsi="Tahoma" w:cs="Tahoma"/>
          <w:b/>
          <w:bCs/>
          <w:color w:val="000000" w:themeColor="text1"/>
          <w:sz w:val="22"/>
          <w:szCs w:val="22"/>
          <w:u w:val="single"/>
        </w:rPr>
        <w:t xml:space="preserve">oan application is approved and a </w:t>
      </w:r>
      <w:r>
        <w:rPr>
          <w:rFonts w:ascii="Tahoma" w:hAnsi="Tahoma" w:cs="Tahoma"/>
          <w:b/>
          <w:bCs/>
          <w:color w:val="000000" w:themeColor="text1"/>
          <w:sz w:val="22"/>
          <w:szCs w:val="22"/>
          <w:u w:val="single"/>
        </w:rPr>
        <w:t>L</w:t>
      </w:r>
      <w:r w:rsidRPr="00201658">
        <w:rPr>
          <w:rFonts w:ascii="Tahoma" w:hAnsi="Tahoma" w:cs="Tahoma"/>
          <w:b/>
          <w:bCs/>
          <w:color w:val="000000" w:themeColor="text1"/>
          <w:sz w:val="22"/>
          <w:szCs w:val="22"/>
          <w:u w:val="single"/>
        </w:rPr>
        <w:t>oan agreement is signed</w:t>
      </w:r>
      <w:r w:rsidRPr="00201658">
        <w:rPr>
          <w:rFonts w:ascii="Tahoma" w:hAnsi="Tahoma" w:cs="Tahoma"/>
          <w:color w:val="000000" w:themeColor="text1"/>
          <w:sz w:val="22"/>
          <w:szCs w:val="22"/>
        </w:rPr>
        <w:t>.</w:t>
      </w:r>
      <w:r>
        <w:rPr>
          <w:rFonts w:ascii="Tahoma" w:hAnsi="Tahoma" w:cs="Tahoma"/>
          <w:color w:val="000000" w:themeColor="text1"/>
          <w:sz w:val="22"/>
          <w:szCs w:val="22"/>
        </w:rPr>
        <w:t xml:space="preserve"> </w:t>
      </w:r>
      <w:r w:rsidRPr="00201658">
        <w:rPr>
          <w:rFonts w:ascii="Tahoma" w:hAnsi="Tahoma" w:cs="Tahoma"/>
          <w:strike/>
          <w:color w:val="000000" w:themeColor="text1"/>
          <w:sz w:val="22"/>
          <w:szCs w:val="22"/>
        </w:rPr>
        <w:t>or activities you plan to include in your loan application before submitting your application as they will not be covered by the loan. Measure installation can include costs for all labor, engineering, construction, materials, equipment, inspection, demolition (if applicable) and removal (if applicable) less equipment salvage value (if applicable).</w:t>
      </w:r>
    </w:p>
    <w:p w14:paraId="3E7333F9" w14:textId="77777777" w:rsidR="0023499E" w:rsidRDefault="0023499E" w:rsidP="0023499E">
      <w:pPr>
        <w:ind w:left="720"/>
        <w:rPr>
          <w:rFonts w:ascii="Tahoma" w:hAnsi="Tahoma" w:cs="Tahoma"/>
          <w:b/>
          <w:bCs/>
          <w:color w:val="000000" w:themeColor="text1"/>
          <w:sz w:val="22"/>
          <w:szCs w:val="22"/>
          <w:u w:val="single"/>
        </w:rPr>
      </w:pPr>
      <w:r w:rsidRPr="00201658">
        <w:rPr>
          <w:rFonts w:ascii="Tahoma" w:hAnsi="Tahoma" w:cs="Tahoma"/>
          <w:b/>
          <w:bCs/>
          <w:color w:val="000000" w:themeColor="text1"/>
          <w:sz w:val="22"/>
          <w:szCs w:val="22"/>
          <w:u w:val="single"/>
        </w:rPr>
        <w:t xml:space="preserve">The audit must be completed before submitting a </w:t>
      </w:r>
      <w:r>
        <w:rPr>
          <w:rFonts w:ascii="Tahoma" w:hAnsi="Tahoma" w:cs="Tahoma"/>
          <w:b/>
          <w:bCs/>
          <w:color w:val="000000" w:themeColor="text1"/>
          <w:sz w:val="22"/>
          <w:szCs w:val="22"/>
          <w:u w:val="single"/>
        </w:rPr>
        <w:t>L</w:t>
      </w:r>
      <w:r w:rsidRPr="00201658">
        <w:rPr>
          <w:rFonts w:ascii="Tahoma" w:hAnsi="Tahoma" w:cs="Tahoma"/>
          <w:b/>
          <w:bCs/>
          <w:color w:val="000000" w:themeColor="text1"/>
          <w:sz w:val="22"/>
          <w:szCs w:val="22"/>
          <w:u w:val="single"/>
        </w:rPr>
        <w:t>oan application.  The costs for the audit and for project scoping are not reimbursable.  Reimbursable costs include costs for all labor, engineering, construction, materials, equipment, inspection, demolition (if applicable) and removal (if applicable) less equipment salvage value (if applicable) related to the energy measures funded by the loan agreement.</w:t>
      </w:r>
    </w:p>
    <w:p w14:paraId="649DB38B" w14:textId="77777777" w:rsidR="0023499E" w:rsidRPr="00201658" w:rsidRDefault="0023499E" w:rsidP="0023499E">
      <w:pPr>
        <w:rPr>
          <w:rFonts w:ascii="Tahoma" w:hAnsi="Tahoma" w:cs="Tahoma"/>
          <w:b/>
          <w:bCs/>
          <w:i/>
          <w:iCs/>
          <w:color w:val="000000" w:themeColor="text1"/>
          <w:u w:val="single"/>
        </w:rPr>
      </w:pPr>
      <w:r w:rsidRPr="00201658">
        <w:rPr>
          <w:rFonts w:ascii="Tahoma" w:hAnsi="Tahoma" w:cs="Tahoma"/>
          <w:b/>
          <w:bCs/>
          <w:i/>
          <w:iCs/>
          <w:color w:val="000000" w:themeColor="text1"/>
          <w:u w:val="single"/>
        </w:rPr>
        <w:lastRenderedPageBreak/>
        <w:t>Loan Repayment</w:t>
      </w:r>
    </w:p>
    <w:p w14:paraId="10FDBE68" w14:textId="77777777" w:rsidR="0023499E" w:rsidRPr="00201658" w:rsidRDefault="0023499E" w:rsidP="0023499E">
      <w:pPr>
        <w:tabs>
          <w:tab w:val="left" w:pos="720"/>
        </w:tabs>
        <w:ind w:left="720" w:hanging="720"/>
        <w:rPr>
          <w:rFonts w:ascii="Tahoma" w:hAnsi="Tahoma" w:cs="Tahoma"/>
          <w:b/>
          <w:bCs/>
          <w:sz w:val="22"/>
          <w:szCs w:val="22"/>
        </w:rPr>
      </w:pPr>
      <w:r w:rsidRPr="00201658">
        <w:rPr>
          <w:rFonts w:ascii="Tahoma" w:hAnsi="Tahoma" w:cs="Tahoma"/>
          <w:b/>
          <w:sz w:val="22"/>
          <w:szCs w:val="22"/>
        </w:rPr>
        <w:t>Q22:</w:t>
      </w:r>
      <w:r w:rsidRPr="00201658">
        <w:rPr>
          <w:rFonts w:ascii="Tahoma" w:hAnsi="Tahoma" w:cs="Tahoma"/>
          <w:b/>
          <w:bCs/>
          <w:sz w:val="22"/>
          <w:szCs w:val="22"/>
        </w:rPr>
        <w:tab/>
        <w:t>Is there a risk to the school or to the auditor if the savings don't equal the estimates? Meaning, if the savings can't pay back the loan, what's the risk there?</w:t>
      </w:r>
    </w:p>
    <w:p w14:paraId="717E4643" w14:textId="77777777" w:rsidR="0023499E" w:rsidRPr="00201658" w:rsidRDefault="0023499E" w:rsidP="0023499E">
      <w:pPr>
        <w:ind w:left="720" w:hanging="720"/>
        <w:rPr>
          <w:rFonts w:ascii="Tahoma" w:hAnsi="Tahoma" w:cs="Tahoma"/>
          <w:sz w:val="22"/>
          <w:szCs w:val="22"/>
        </w:rPr>
      </w:pPr>
      <w:r w:rsidRPr="00201658">
        <w:rPr>
          <w:rFonts w:ascii="Tahoma" w:hAnsi="Tahoma" w:cs="Tahoma"/>
          <w:sz w:val="22"/>
          <w:szCs w:val="22"/>
        </w:rPr>
        <w:t>A22:</w:t>
      </w:r>
      <w:r w:rsidRPr="00201658">
        <w:rPr>
          <w:rFonts w:ascii="Tahoma" w:hAnsi="Tahoma" w:cs="Tahoma"/>
          <w:sz w:val="22"/>
          <w:szCs w:val="22"/>
        </w:rPr>
        <w:tab/>
      </w:r>
      <w:r w:rsidRPr="00201658">
        <w:rPr>
          <w:rFonts w:ascii="Tahoma" w:hAnsi="Tahoma" w:cs="Tahoma"/>
          <w:b/>
          <w:bCs/>
          <w:sz w:val="22"/>
          <w:szCs w:val="22"/>
          <w:u w:val="single"/>
        </w:rPr>
        <w:t xml:space="preserve">Energy cost savings will be based on energy usage and serving utility rate schedules at the time the Loan application is submitted, and the information and data contained in the </w:t>
      </w:r>
      <w:r>
        <w:rPr>
          <w:rFonts w:ascii="Tahoma" w:hAnsi="Tahoma" w:cs="Tahoma"/>
          <w:b/>
          <w:bCs/>
          <w:sz w:val="22"/>
          <w:szCs w:val="22"/>
          <w:u w:val="single"/>
        </w:rPr>
        <w:t>L</w:t>
      </w:r>
      <w:r w:rsidRPr="00201658">
        <w:rPr>
          <w:rFonts w:ascii="Tahoma" w:hAnsi="Tahoma" w:cs="Tahoma"/>
          <w:b/>
          <w:bCs/>
          <w:sz w:val="22"/>
          <w:szCs w:val="22"/>
          <w:u w:val="single"/>
        </w:rPr>
        <w:t xml:space="preserve">oan application and energy audit. The following will not affect energy cost savings, and are not a basis for claiming a lack of energy savings: a) changes in energy use and/or rate schedules which occur after submittal of the Loan application, b) deviations in the Project work scope from what is approved by the Energy Commission, c) changes in the Borrower’s facility and/or equipment which occur after submittal of the Loan application, including, but not limited to maintenance, operations, schedules, employees and facility alterations and expansions, d) deviations, omissions or errors found in the Loan application and energy audit after submittal of the Loan application. The Applicant is responsible for ensuring the accuracy of the information contained in its Loan application and energy audit. In the event annual energy cost savings resulting from the </w:t>
      </w:r>
      <w:r>
        <w:rPr>
          <w:rFonts w:ascii="Tahoma" w:hAnsi="Tahoma" w:cs="Tahoma"/>
          <w:b/>
          <w:bCs/>
          <w:sz w:val="22"/>
          <w:szCs w:val="22"/>
          <w:u w:val="single"/>
        </w:rPr>
        <w:t>P</w:t>
      </w:r>
      <w:r w:rsidRPr="00201658">
        <w:rPr>
          <w:rFonts w:ascii="Tahoma" w:hAnsi="Tahoma" w:cs="Tahoma"/>
          <w:b/>
          <w:bCs/>
          <w:sz w:val="22"/>
          <w:szCs w:val="22"/>
          <w:u w:val="single"/>
        </w:rPr>
        <w:t>roject, as determined by the Energy Commission, fail to equal or exceed the amount due under the Loan agreement, the agreement may be renegotiated to assure that the repayment amount does not exceed the actual energy savings or avoided costs resulting from the Project. In no event, however, will the installments payable exceed 15 years.</w:t>
      </w:r>
      <w:r w:rsidRPr="00201658">
        <w:rPr>
          <w:rFonts w:ascii="Tahoma" w:hAnsi="Tahoma" w:cs="Tahoma"/>
          <w:strike/>
          <w:color w:val="000000" w:themeColor="text1"/>
          <w:sz w:val="22"/>
          <w:szCs w:val="22"/>
          <w:u w:val="single"/>
        </w:rPr>
        <w:t xml:space="preserve"> </w:t>
      </w:r>
      <w:r w:rsidRPr="00201658">
        <w:rPr>
          <w:rFonts w:ascii="Tahoma" w:hAnsi="Tahoma" w:cs="Tahoma"/>
          <w:strike/>
          <w:color w:val="000000" w:themeColor="text1"/>
          <w:sz w:val="22"/>
          <w:szCs w:val="22"/>
        </w:rPr>
        <w:t>If the savings don't equal the loan amount, the schools are still expected to repay the loan. It is up to the applicants to consider this possibility during their application development. This issue has not occurred with loans funded through the similar ECAA program.</w:t>
      </w:r>
    </w:p>
    <w:p w14:paraId="2347A3E3" w14:textId="77777777" w:rsidR="0023499E" w:rsidRDefault="0023499E"/>
    <w:sectPr w:rsidR="0023499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4213F" w14:textId="77777777" w:rsidR="007F5618" w:rsidRDefault="007F5618" w:rsidP="008826FA">
      <w:pPr>
        <w:spacing w:after="0" w:line="240" w:lineRule="auto"/>
      </w:pPr>
      <w:r>
        <w:separator/>
      </w:r>
    </w:p>
  </w:endnote>
  <w:endnote w:type="continuationSeparator" w:id="0">
    <w:p w14:paraId="5459961B" w14:textId="77777777" w:rsidR="007F5618" w:rsidRDefault="007F5618" w:rsidP="0088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E713C" w14:textId="77777777" w:rsidR="0023499E" w:rsidRDefault="00234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919652"/>
      <w:docPartObj>
        <w:docPartGallery w:val="Page Numbers (Bottom of Page)"/>
        <w:docPartUnique/>
      </w:docPartObj>
    </w:sdtPr>
    <w:sdtEndPr>
      <w:rPr>
        <w:noProof/>
      </w:rPr>
    </w:sdtEndPr>
    <w:sdtContent>
      <w:p w14:paraId="3A0C8D48" w14:textId="7F3CBC53" w:rsidR="0023499E" w:rsidRDefault="002349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ECD5AC" w14:textId="77777777" w:rsidR="0023499E" w:rsidRDefault="002349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0613" w14:textId="77777777" w:rsidR="0023499E" w:rsidRDefault="00234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1FFEC" w14:textId="77777777" w:rsidR="007F5618" w:rsidRDefault="007F5618" w:rsidP="008826FA">
      <w:pPr>
        <w:spacing w:after="0" w:line="240" w:lineRule="auto"/>
      </w:pPr>
      <w:r>
        <w:separator/>
      </w:r>
    </w:p>
  </w:footnote>
  <w:footnote w:type="continuationSeparator" w:id="0">
    <w:p w14:paraId="592AD71E" w14:textId="77777777" w:rsidR="007F5618" w:rsidRDefault="007F5618" w:rsidP="00882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0DEF6" w14:textId="77777777" w:rsidR="0023499E" w:rsidRDefault="00234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824B7" w14:textId="4B12F2EB" w:rsidR="008826FA" w:rsidRPr="008826FA" w:rsidRDefault="008826FA" w:rsidP="008826FA">
    <w:pPr>
      <w:pStyle w:val="Header"/>
    </w:pPr>
    <w:r>
      <w:rPr>
        <w:noProof/>
      </w:rPr>
      <w:drawing>
        <wp:inline distT="0" distB="0" distL="0" distR="0" wp14:anchorId="30FDF478" wp14:editId="0AAB91C0">
          <wp:extent cx="5943600" cy="778596"/>
          <wp:effectExtent l="0" t="0" r="0" b="2540"/>
          <wp:docPr id="83" name="Picture 83" descr="Letterheas with logos of the California Energy Commission and the California Natural Resource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Letterheas with logos of the California Energy Commission and the California Natural Resources Agency"/>
                  <pic:cNvPicPr/>
                </pic:nvPicPr>
                <pic:blipFill>
                  <a:blip r:embed="rId1"/>
                  <a:stretch>
                    <a:fillRect/>
                  </a:stretch>
                </pic:blipFill>
                <pic:spPr>
                  <a:xfrm>
                    <a:off x="0" y="0"/>
                    <a:ext cx="5943600" cy="7785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BC43E" w14:textId="77777777" w:rsidR="0023499E" w:rsidRDefault="002349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FA"/>
    <w:rsid w:val="000C6621"/>
    <w:rsid w:val="00217594"/>
    <w:rsid w:val="0023499E"/>
    <w:rsid w:val="002A3350"/>
    <w:rsid w:val="002B1C12"/>
    <w:rsid w:val="002C74A5"/>
    <w:rsid w:val="004B6602"/>
    <w:rsid w:val="00525AA2"/>
    <w:rsid w:val="0053013E"/>
    <w:rsid w:val="00754A32"/>
    <w:rsid w:val="00764FF8"/>
    <w:rsid w:val="007F5618"/>
    <w:rsid w:val="008826FA"/>
    <w:rsid w:val="008C2747"/>
    <w:rsid w:val="00AD0113"/>
    <w:rsid w:val="00CB0E4A"/>
    <w:rsid w:val="00CE6AEC"/>
    <w:rsid w:val="00E43F3E"/>
    <w:rsid w:val="00FE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AF1E"/>
  <w15:chartTrackingRefBased/>
  <w15:docId w15:val="{6174053D-725C-4B9A-AC91-B9776942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99E"/>
  </w:style>
  <w:style w:type="paragraph" w:styleId="Heading1">
    <w:name w:val="heading 1"/>
    <w:basedOn w:val="Normal"/>
    <w:next w:val="Normal"/>
    <w:link w:val="Heading1Char"/>
    <w:uiPriority w:val="9"/>
    <w:qFormat/>
    <w:rsid w:val="008826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6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6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6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6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6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6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6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6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6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6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6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6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6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6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6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6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6FA"/>
    <w:rPr>
      <w:rFonts w:eastAsiaTheme="majorEastAsia" w:cstheme="majorBidi"/>
      <w:color w:val="272727" w:themeColor="text1" w:themeTint="D8"/>
    </w:rPr>
  </w:style>
  <w:style w:type="paragraph" w:styleId="Title">
    <w:name w:val="Title"/>
    <w:basedOn w:val="Normal"/>
    <w:next w:val="Normal"/>
    <w:link w:val="TitleChar"/>
    <w:uiPriority w:val="10"/>
    <w:qFormat/>
    <w:rsid w:val="00882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6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6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6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6FA"/>
    <w:pPr>
      <w:spacing w:before="160"/>
      <w:jc w:val="center"/>
    </w:pPr>
    <w:rPr>
      <w:i/>
      <w:iCs/>
      <w:color w:val="404040" w:themeColor="text1" w:themeTint="BF"/>
    </w:rPr>
  </w:style>
  <w:style w:type="character" w:customStyle="1" w:styleId="QuoteChar">
    <w:name w:val="Quote Char"/>
    <w:basedOn w:val="DefaultParagraphFont"/>
    <w:link w:val="Quote"/>
    <w:uiPriority w:val="29"/>
    <w:rsid w:val="008826FA"/>
    <w:rPr>
      <w:i/>
      <w:iCs/>
      <w:color w:val="404040" w:themeColor="text1" w:themeTint="BF"/>
    </w:rPr>
  </w:style>
  <w:style w:type="paragraph" w:styleId="ListParagraph">
    <w:name w:val="List Paragraph"/>
    <w:basedOn w:val="Normal"/>
    <w:uiPriority w:val="34"/>
    <w:qFormat/>
    <w:rsid w:val="008826FA"/>
    <w:pPr>
      <w:ind w:left="720"/>
      <w:contextualSpacing/>
    </w:pPr>
  </w:style>
  <w:style w:type="character" w:styleId="IntenseEmphasis">
    <w:name w:val="Intense Emphasis"/>
    <w:basedOn w:val="DefaultParagraphFont"/>
    <w:uiPriority w:val="21"/>
    <w:qFormat/>
    <w:rsid w:val="008826FA"/>
    <w:rPr>
      <w:i/>
      <w:iCs/>
      <w:color w:val="0F4761" w:themeColor="accent1" w:themeShade="BF"/>
    </w:rPr>
  </w:style>
  <w:style w:type="paragraph" w:styleId="IntenseQuote">
    <w:name w:val="Intense Quote"/>
    <w:basedOn w:val="Normal"/>
    <w:next w:val="Normal"/>
    <w:link w:val="IntenseQuoteChar"/>
    <w:uiPriority w:val="30"/>
    <w:qFormat/>
    <w:rsid w:val="00882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6FA"/>
    <w:rPr>
      <w:i/>
      <w:iCs/>
      <w:color w:val="0F4761" w:themeColor="accent1" w:themeShade="BF"/>
    </w:rPr>
  </w:style>
  <w:style w:type="character" w:styleId="IntenseReference">
    <w:name w:val="Intense Reference"/>
    <w:basedOn w:val="DefaultParagraphFont"/>
    <w:uiPriority w:val="32"/>
    <w:qFormat/>
    <w:rsid w:val="008826FA"/>
    <w:rPr>
      <w:b/>
      <w:bCs/>
      <w:smallCaps/>
      <w:color w:val="0F4761" w:themeColor="accent1" w:themeShade="BF"/>
      <w:spacing w:val="5"/>
    </w:rPr>
  </w:style>
  <w:style w:type="paragraph" w:styleId="Header">
    <w:name w:val="header"/>
    <w:basedOn w:val="Normal"/>
    <w:link w:val="HeaderChar"/>
    <w:uiPriority w:val="99"/>
    <w:unhideWhenUsed/>
    <w:rsid w:val="00882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6FA"/>
  </w:style>
  <w:style w:type="paragraph" w:styleId="Footer">
    <w:name w:val="footer"/>
    <w:basedOn w:val="Normal"/>
    <w:link w:val="FooterChar"/>
    <w:uiPriority w:val="99"/>
    <w:unhideWhenUsed/>
    <w:rsid w:val="00882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SharedWithUsers xmlns="5067c814-4b34-462c-a21d-c185ff6548d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4149C-4F0D-4FC4-9859-323CB19EA09C}">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2.xml><?xml version="1.0" encoding="utf-8"?>
<ds:datastoreItem xmlns:ds="http://schemas.openxmlformats.org/officeDocument/2006/customXml" ds:itemID="{78406B14-708D-4031-BB8E-D2E1D1C8C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D74AA-FD12-4011-80DE-C0FBCA9E7E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Drew@Energy</dc:creator>
  <cp:keywords/>
  <dc:description/>
  <cp:lastModifiedBy>Sutton, Marissa@Energy</cp:lastModifiedBy>
  <cp:revision>7</cp:revision>
  <cp:lastPrinted>2025-08-12T18:24:00Z</cp:lastPrinted>
  <dcterms:created xsi:type="dcterms:W3CDTF">2025-08-12T18:27:00Z</dcterms:created>
  <dcterms:modified xsi:type="dcterms:W3CDTF">2025-08-14T19:47:00Z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27906100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