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1A153" w14:textId="3F07CA63" w:rsidR="00374404" w:rsidRPr="002E1A5F" w:rsidRDefault="00374404" w:rsidP="00374404">
      <w:pPr>
        <w:jc w:val="center"/>
        <w:rPr>
          <w:b/>
          <w:bCs/>
        </w:rPr>
      </w:pPr>
      <w:r w:rsidRPr="002E1A5F">
        <w:rPr>
          <w:b/>
          <w:bCs/>
        </w:rPr>
        <w:t xml:space="preserve">EXHIBIT </w:t>
      </w:r>
      <w:r w:rsidR="003E7757">
        <w:rPr>
          <w:b/>
          <w:bCs/>
        </w:rPr>
        <w:t>Z</w:t>
      </w:r>
    </w:p>
    <w:p w14:paraId="58660101" w14:textId="585B17F4" w:rsidR="00D81903" w:rsidRPr="002E1A5F" w:rsidRDefault="00374404" w:rsidP="00B964C0">
      <w:pPr>
        <w:spacing w:before="240"/>
        <w:jc w:val="center"/>
        <w:rPr>
          <w:b/>
          <w:bCs/>
        </w:rPr>
      </w:pPr>
      <w:r w:rsidRPr="002E1A5F">
        <w:rPr>
          <w:b/>
          <w:bCs/>
        </w:rPr>
        <w:t>FEDERAL AWARD TERMS AND CONDITIONS</w:t>
      </w:r>
    </w:p>
    <w:p w14:paraId="3A495372" w14:textId="77777777" w:rsidR="007B624D" w:rsidRPr="002E1A5F" w:rsidRDefault="007B624D" w:rsidP="7A327B2A">
      <w:pPr>
        <w:jc w:val="both"/>
      </w:pPr>
    </w:p>
    <w:p w14:paraId="778C3AB8" w14:textId="1B771D97" w:rsidR="002546AC" w:rsidRPr="002E1A5F" w:rsidRDefault="00DA14E6" w:rsidP="4A64087E">
      <w:pPr>
        <w:pBdr>
          <w:top w:val="single" w:sz="4" w:space="1" w:color="auto"/>
          <w:left w:val="single" w:sz="4" w:space="4" w:color="auto"/>
          <w:bottom w:val="single" w:sz="4" w:space="1" w:color="auto"/>
          <w:right w:val="single" w:sz="4" w:space="4" w:color="auto"/>
        </w:pBdr>
        <w:shd w:val="clear" w:color="auto" w:fill="BFBFBF" w:themeFill="background1" w:themeFillShade="BF"/>
        <w:spacing w:after="240"/>
        <w:jc w:val="center"/>
        <w:rPr>
          <w:b/>
          <w:bCs/>
        </w:rPr>
      </w:pPr>
      <w:r w:rsidRPr="002E1A5F">
        <w:rPr>
          <w:b/>
          <w:bCs/>
        </w:rPr>
        <w:t>TABLE OF CONTENTS</w:t>
      </w:r>
    </w:p>
    <w:p w14:paraId="593BEC6F" w14:textId="5522415A" w:rsidR="002B778F" w:rsidRDefault="00A91423" w:rsidP="001021D2">
      <w:pPr>
        <w:pStyle w:val="TOC1"/>
        <w:rPr>
          <w:rFonts w:asciiTheme="minorHAnsi" w:eastAsiaTheme="minorEastAsia" w:hAnsiTheme="minorHAnsi" w:cstheme="minorBidi"/>
          <w:kern w:val="2"/>
          <w:sz w:val="24"/>
          <w:szCs w:val="24"/>
          <w:shd w:val="clear" w:color="auto" w:fill="auto"/>
          <w14:ligatures w14:val="standardContextual"/>
        </w:rPr>
      </w:pPr>
      <w:r>
        <w:fldChar w:fldCharType="begin"/>
      </w:r>
      <w:r w:rsidR="00022D37">
        <w:instrText>TOC \o "1-2" \h \z \u</w:instrText>
      </w:r>
      <w:r>
        <w:fldChar w:fldCharType="separate"/>
      </w:r>
      <w:hyperlink w:anchor="_Toc206158577" w:history="1">
        <w:r w:rsidR="002B778F" w:rsidRPr="00910A04">
          <w:rPr>
            <w:rStyle w:val="Hyperlink"/>
          </w:rPr>
          <w:t>Subpart A. Award Specific Provisions</w:t>
        </w:r>
        <w:r w:rsidR="002B778F">
          <w:rPr>
            <w:webHidden/>
          </w:rPr>
          <w:tab/>
        </w:r>
        <w:r w:rsidR="002B778F">
          <w:rPr>
            <w:webHidden/>
          </w:rPr>
          <w:fldChar w:fldCharType="begin"/>
        </w:r>
        <w:r w:rsidR="002B778F">
          <w:rPr>
            <w:webHidden/>
          </w:rPr>
          <w:instrText xml:space="preserve"> PAGEREF _Toc206158577 \h </w:instrText>
        </w:r>
        <w:r w:rsidR="002B778F">
          <w:rPr>
            <w:webHidden/>
          </w:rPr>
        </w:r>
        <w:r w:rsidR="002B778F">
          <w:rPr>
            <w:webHidden/>
          </w:rPr>
          <w:fldChar w:fldCharType="separate"/>
        </w:r>
        <w:r w:rsidR="002B778F">
          <w:rPr>
            <w:webHidden/>
          </w:rPr>
          <w:t>3</w:t>
        </w:r>
        <w:r w:rsidR="002B778F">
          <w:rPr>
            <w:webHidden/>
          </w:rPr>
          <w:fldChar w:fldCharType="end"/>
        </w:r>
      </w:hyperlink>
    </w:p>
    <w:p w14:paraId="6AEA542F" w14:textId="7C392D5F" w:rsidR="002B778F" w:rsidRPr="001021D2" w:rsidRDefault="002B778F">
      <w:pPr>
        <w:pStyle w:val="TOC2"/>
        <w:rPr>
          <w:rFonts w:asciiTheme="minorHAnsi" w:eastAsiaTheme="minorEastAsia" w:hAnsiTheme="minorHAnsi" w:cstheme="minorBidi"/>
          <w:noProof/>
          <w:kern w:val="2"/>
          <w:sz w:val="24"/>
          <w:szCs w:val="24"/>
          <w14:ligatures w14:val="standardContextual"/>
        </w:rPr>
      </w:pPr>
      <w:hyperlink w:anchor="_Toc206158578" w:history="1">
        <w:r w:rsidRPr="001021D2">
          <w:rPr>
            <w:rStyle w:val="Hyperlink"/>
            <w:noProof/>
          </w:rPr>
          <w:t>1.</w:t>
        </w:r>
        <w:r w:rsidRPr="001021D2">
          <w:rPr>
            <w:rFonts w:asciiTheme="minorHAnsi" w:eastAsiaTheme="minorEastAsia" w:hAnsiTheme="minorHAnsi" w:cstheme="minorBidi"/>
            <w:noProof/>
            <w:kern w:val="2"/>
            <w:sz w:val="24"/>
            <w:szCs w:val="24"/>
            <w14:ligatures w14:val="standardContextual"/>
          </w:rPr>
          <w:tab/>
        </w:r>
        <w:r w:rsidRPr="00845BD1">
          <w:rPr>
            <w:rStyle w:val="Hyperlink"/>
            <w:noProof/>
          </w:rPr>
          <w:t>Purpose</w:t>
        </w:r>
        <w:r w:rsidRPr="001021D2">
          <w:rPr>
            <w:noProof/>
            <w:webHidden/>
          </w:rPr>
          <w:tab/>
        </w:r>
        <w:r w:rsidRPr="001021D2">
          <w:rPr>
            <w:noProof/>
            <w:webHidden/>
          </w:rPr>
          <w:fldChar w:fldCharType="begin"/>
        </w:r>
        <w:r w:rsidRPr="001021D2">
          <w:rPr>
            <w:noProof/>
            <w:webHidden/>
          </w:rPr>
          <w:instrText xml:space="preserve"> PAGEREF _Toc206158578 \h </w:instrText>
        </w:r>
        <w:r w:rsidRPr="001021D2">
          <w:rPr>
            <w:noProof/>
            <w:webHidden/>
          </w:rPr>
        </w:r>
        <w:r w:rsidRPr="001021D2">
          <w:rPr>
            <w:noProof/>
            <w:webHidden/>
          </w:rPr>
          <w:fldChar w:fldCharType="separate"/>
        </w:r>
        <w:r w:rsidRPr="001021D2">
          <w:rPr>
            <w:noProof/>
            <w:webHidden/>
          </w:rPr>
          <w:t>3</w:t>
        </w:r>
        <w:r w:rsidRPr="001021D2">
          <w:rPr>
            <w:noProof/>
            <w:webHidden/>
          </w:rPr>
          <w:fldChar w:fldCharType="end"/>
        </w:r>
      </w:hyperlink>
    </w:p>
    <w:p w14:paraId="3AAC8490" w14:textId="4F85B113" w:rsidR="002B778F" w:rsidRPr="001021D2" w:rsidRDefault="002B778F">
      <w:pPr>
        <w:pStyle w:val="TOC2"/>
        <w:rPr>
          <w:rFonts w:asciiTheme="minorHAnsi" w:eastAsiaTheme="minorEastAsia" w:hAnsiTheme="minorHAnsi" w:cstheme="minorBidi"/>
          <w:noProof/>
          <w:kern w:val="2"/>
          <w:sz w:val="24"/>
          <w:szCs w:val="24"/>
          <w14:ligatures w14:val="standardContextual"/>
        </w:rPr>
      </w:pPr>
      <w:hyperlink w:anchor="_Toc206158579" w:history="1">
        <w:r w:rsidRPr="001021D2">
          <w:rPr>
            <w:rStyle w:val="Hyperlink"/>
            <w:noProof/>
          </w:rPr>
          <w:t>2.</w:t>
        </w:r>
        <w:r w:rsidRPr="001021D2">
          <w:rPr>
            <w:rFonts w:asciiTheme="minorHAnsi" w:eastAsiaTheme="minorEastAsia" w:hAnsiTheme="minorHAnsi" w:cstheme="minorBidi"/>
            <w:noProof/>
            <w:kern w:val="2"/>
            <w:sz w:val="24"/>
            <w:szCs w:val="24"/>
            <w14:ligatures w14:val="standardContextual"/>
          </w:rPr>
          <w:tab/>
        </w:r>
        <w:r w:rsidRPr="00845BD1">
          <w:rPr>
            <w:rStyle w:val="Hyperlink"/>
            <w:noProof/>
          </w:rPr>
          <w:t>Summary of Award</w:t>
        </w:r>
        <w:r w:rsidRPr="001021D2">
          <w:rPr>
            <w:noProof/>
            <w:webHidden/>
          </w:rPr>
          <w:tab/>
        </w:r>
        <w:r w:rsidRPr="001021D2">
          <w:rPr>
            <w:noProof/>
            <w:webHidden/>
          </w:rPr>
          <w:fldChar w:fldCharType="begin"/>
        </w:r>
        <w:r w:rsidRPr="001021D2">
          <w:rPr>
            <w:noProof/>
            <w:webHidden/>
          </w:rPr>
          <w:instrText xml:space="preserve"> PAGEREF _Toc206158579 \h </w:instrText>
        </w:r>
        <w:r w:rsidRPr="001021D2">
          <w:rPr>
            <w:noProof/>
            <w:webHidden/>
          </w:rPr>
        </w:r>
        <w:r w:rsidRPr="001021D2">
          <w:rPr>
            <w:noProof/>
            <w:webHidden/>
          </w:rPr>
          <w:fldChar w:fldCharType="separate"/>
        </w:r>
        <w:r w:rsidRPr="001021D2">
          <w:rPr>
            <w:noProof/>
            <w:webHidden/>
          </w:rPr>
          <w:t>3</w:t>
        </w:r>
        <w:r w:rsidRPr="001021D2">
          <w:rPr>
            <w:noProof/>
            <w:webHidden/>
          </w:rPr>
          <w:fldChar w:fldCharType="end"/>
        </w:r>
      </w:hyperlink>
    </w:p>
    <w:p w14:paraId="07665AF6" w14:textId="76E54E15" w:rsidR="002B778F" w:rsidRPr="001021D2" w:rsidRDefault="002B778F">
      <w:pPr>
        <w:pStyle w:val="TOC2"/>
        <w:rPr>
          <w:rFonts w:asciiTheme="minorHAnsi" w:eastAsiaTheme="minorEastAsia" w:hAnsiTheme="minorHAnsi" w:cstheme="minorBidi"/>
          <w:noProof/>
          <w:kern w:val="2"/>
          <w:sz w:val="24"/>
          <w:szCs w:val="24"/>
          <w14:ligatures w14:val="standardContextual"/>
        </w:rPr>
      </w:pPr>
      <w:hyperlink w:anchor="_Toc206158580" w:history="1">
        <w:r w:rsidRPr="001021D2">
          <w:rPr>
            <w:rStyle w:val="Hyperlink"/>
            <w:noProof/>
          </w:rPr>
          <w:t>3.</w:t>
        </w:r>
        <w:r w:rsidRPr="001021D2">
          <w:rPr>
            <w:rFonts w:asciiTheme="minorHAnsi" w:eastAsiaTheme="minorEastAsia" w:hAnsiTheme="minorHAnsi" w:cstheme="minorBidi"/>
            <w:noProof/>
            <w:kern w:val="2"/>
            <w:sz w:val="24"/>
            <w:szCs w:val="24"/>
            <w14:ligatures w14:val="standardContextual"/>
          </w:rPr>
          <w:tab/>
        </w:r>
        <w:r w:rsidRPr="00845BD1">
          <w:rPr>
            <w:rStyle w:val="Hyperlink"/>
            <w:noProof/>
          </w:rPr>
          <w:t>Resolution of Conflicting terms</w:t>
        </w:r>
        <w:r w:rsidRPr="001021D2">
          <w:rPr>
            <w:noProof/>
            <w:webHidden/>
          </w:rPr>
          <w:tab/>
        </w:r>
        <w:r w:rsidRPr="001021D2">
          <w:rPr>
            <w:noProof/>
            <w:webHidden/>
          </w:rPr>
          <w:fldChar w:fldCharType="begin"/>
        </w:r>
        <w:r w:rsidRPr="001021D2">
          <w:rPr>
            <w:noProof/>
            <w:webHidden/>
          </w:rPr>
          <w:instrText xml:space="preserve"> PAGEREF _Toc206158580 \h </w:instrText>
        </w:r>
        <w:r w:rsidRPr="001021D2">
          <w:rPr>
            <w:noProof/>
            <w:webHidden/>
          </w:rPr>
        </w:r>
        <w:r w:rsidRPr="001021D2">
          <w:rPr>
            <w:noProof/>
            <w:webHidden/>
          </w:rPr>
          <w:fldChar w:fldCharType="separate"/>
        </w:r>
        <w:r w:rsidRPr="001021D2">
          <w:rPr>
            <w:noProof/>
            <w:webHidden/>
          </w:rPr>
          <w:t>4</w:t>
        </w:r>
        <w:r w:rsidRPr="001021D2">
          <w:rPr>
            <w:noProof/>
            <w:webHidden/>
          </w:rPr>
          <w:fldChar w:fldCharType="end"/>
        </w:r>
      </w:hyperlink>
    </w:p>
    <w:p w14:paraId="7CBC5040" w14:textId="2831B9DB" w:rsidR="002B778F" w:rsidRPr="001021D2" w:rsidRDefault="002B778F">
      <w:pPr>
        <w:pStyle w:val="TOC2"/>
        <w:rPr>
          <w:rFonts w:asciiTheme="minorHAnsi" w:eastAsiaTheme="minorEastAsia" w:hAnsiTheme="minorHAnsi" w:cstheme="minorBidi"/>
          <w:noProof/>
          <w:kern w:val="2"/>
          <w:sz w:val="24"/>
          <w:szCs w:val="24"/>
          <w14:ligatures w14:val="standardContextual"/>
        </w:rPr>
      </w:pPr>
      <w:hyperlink w:anchor="_Toc206158581" w:history="1">
        <w:r w:rsidRPr="001021D2">
          <w:rPr>
            <w:rStyle w:val="Hyperlink"/>
            <w:noProof/>
          </w:rPr>
          <w:t>4.</w:t>
        </w:r>
        <w:r w:rsidRPr="001021D2">
          <w:rPr>
            <w:rFonts w:asciiTheme="minorHAnsi" w:eastAsiaTheme="minorEastAsia" w:hAnsiTheme="minorHAnsi" w:cstheme="minorBidi"/>
            <w:noProof/>
            <w:kern w:val="2"/>
            <w:sz w:val="24"/>
            <w:szCs w:val="24"/>
            <w14:ligatures w14:val="standardContextual"/>
          </w:rPr>
          <w:tab/>
        </w:r>
        <w:r w:rsidRPr="00845BD1">
          <w:rPr>
            <w:rStyle w:val="Hyperlink"/>
            <w:noProof/>
          </w:rPr>
          <w:t>Documents Incorporated by Reference</w:t>
        </w:r>
        <w:r w:rsidRPr="001021D2">
          <w:rPr>
            <w:noProof/>
            <w:webHidden/>
          </w:rPr>
          <w:tab/>
        </w:r>
        <w:r w:rsidRPr="001021D2">
          <w:rPr>
            <w:noProof/>
            <w:webHidden/>
          </w:rPr>
          <w:fldChar w:fldCharType="begin"/>
        </w:r>
        <w:r w:rsidRPr="001021D2">
          <w:rPr>
            <w:noProof/>
            <w:webHidden/>
          </w:rPr>
          <w:instrText xml:space="preserve"> PAGEREF _Toc206158581 \h </w:instrText>
        </w:r>
        <w:r w:rsidRPr="001021D2">
          <w:rPr>
            <w:noProof/>
            <w:webHidden/>
          </w:rPr>
        </w:r>
        <w:r w:rsidRPr="001021D2">
          <w:rPr>
            <w:noProof/>
            <w:webHidden/>
          </w:rPr>
          <w:fldChar w:fldCharType="separate"/>
        </w:r>
        <w:r w:rsidRPr="001021D2">
          <w:rPr>
            <w:noProof/>
            <w:webHidden/>
          </w:rPr>
          <w:t>4</w:t>
        </w:r>
        <w:r w:rsidRPr="001021D2">
          <w:rPr>
            <w:noProof/>
            <w:webHidden/>
          </w:rPr>
          <w:fldChar w:fldCharType="end"/>
        </w:r>
      </w:hyperlink>
    </w:p>
    <w:p w14:paraId="5F5FB2FD" w14:textId="09844AF8" w:rsidR="002B778F" w:rsidRPr="001021D2" w:rsidRDefault="002B778F">
      <w:pPr>
        <w:pStyle w:val="TOC2"/>
        <w:rPr>
          <w:rFonts w:asciiTheme="minorHAnsi" w:eastAsiaTheme="minorEastAsia" w:hAnsiTheme="minorHAnsi" w:cstheme="minorBidi"/>
          <w:noProof/>
          <w:kern w:val="2"/>
          <w:sz w:val="24"/>
          <w:szCs w:val="24"/>
          <w14:ligatures w14:val="standardContextual"/>
        </w:rPr>
      </w:pPr>
      <w:hyperlink w:anchor="_Toc206158582" w:history="1">
        <w:r w:rsidRPr="001021D2">
          <w:rPr>
            <w:rStyle w:val="Hyperlink"/>
            <w:noProof/>
          </w:rPr>
          <w:t>5.</w:t>
        </w:r>
        <w:r w:rsidRPr="001021D2">
          <w:rPr>
            <w:rFonts w:asciiTheme="minorHAnsi" w:eastAsiaTheme="minorEastAsia" w:hAnsiTheme="minorHAnsi" w:cstheme="minorBidi"/>
            <w:noProof/>
            <w:kern w:val="2"/>
            <w:sz w:val="24"/>
            <w:szCs w:val="24"/>
            <w14:ligatures w14:val="standardContextual"/>
          </w:rPr>
          <w:tab/>
        </w:r>
        <w:r w:rsidRPr="00845BD1">
          <w:rPr>
            <w:rStyle w:val="Hyperlink"/>
            <w:noProof/>
          </w:rPr>
          <w:t>Funding Restrictions</w:t>
        </w:r>
        <w:r w:rsidRPr="001021D2">
          <w:rPr>
            <w:noProof/>
            <w:webHidden/>
          </w:rPr>
          <w:tab/>
        </w:r>
        <w:r w:rsidRPr="001021D2">
          <w:rPr>
            <w:noProof/>
            <w:webHidden/>
          </w:rPr>
          <w:fldChar w:fldCharType="begin"/>
        </w:r>
        <w:r w:rsidRPr="001021D2">
          <w:rPr>
            <w:noProof/>
            <w:webHidden/>
          </w:rPr>
          <w:instrText xml:space="preserve"> PAGEREF _Toc206158582 \h </w:instrText>
        </w:r>
        <w:r w:rsidRPr="001021D2">
          <w:rPr>
            <w:noProof/>
            <w:webHidden/>
          </w:rPr>
        </w:r>
        <w:r w:rsidRPr="001021D2">
          <w:rPr>
            <w:noProof/>
            <w:webHidden/>
          </w:rPr>
          <w:fldChar w:fldCharType="separate"/>
        </w:r>
        <w:r w:rsidRPr="001021D2">
          <w:rPr>
            <w:noProof/>
            <w:webHidden/>
          </w:rPr>
          <w:t>4</w:t>
        </w:r>
        <w:r w:rsidRPr="001021D2">
          <w:rPr>
            <w:noProof/>
            <w:webHidden/>
          </w:rPr>
          <w:fldChar w:fldCharType="end"/>
        </w:r>
      </w:hyperlink>
    </w:p>
    <w:p w14:paraId="75628AF8" w14:textId="3CE171F6" w:rsidR="002B778F" w:rsidRPr="001021D2" w:rsidRDefault="002B778F">
      <w:pPr>
        <w:pStyle w:val="TOC2"/>
        <w:rPr>
          <w:rFonts w:asciiTheme="minorHAnsi" w:eastAsiaTheme="minorEastAsia" w:hAnsiTheme="minorHAnsi" w:cstheme="minorBidi"/>
          <w:noProof/>
          <w:kern w:val="2"/>
          <w:sz w:val="24"/>
          <w:szCs w:val="24"/>
          <w14:ligatures w14:val="standardContextual"/>
        </w:rPr>
      </w:pPr>
      <w:hyperlink w:anchor="_Toc206158583" w:history="1">
        <w:r w:rsidRPr="001021D2">
          <w:rPr>
            <w:rStyle w:val="Hyperlink"/>
            <w:noProof/>
          </w:rPr>
          <w:t>6.</w:t>
        </w:r>
        <w:r w:rsidRPr="001021D2">
          <w:rPr>
            <w:rFonts w:asciiTheme="minorHAnsi" w:eastAsiaTheme="minorEastAsia" w:hAnsiTheme="minorHAnsi" w:cstheme="minorBidi"/>
            <w:noProof/>
            <w:kern w:val="2"/>
            <w:sz w:val="24"/>
            <w:szCs w:val="24"/>
            <w14:ligatures w14:val="standardContextual"/>
          </w:rPr>
          <w:tab/>
        </w:r>
        <w:r w:rsidRPr="00845BD1">
          <w:rPr>
            <w:rStyle w:val="Hyperlink"/>
            <w:noProof/>
          </w:rPr>
          <w:t>Flow Down Requirements</w:t>
        </w:r>
        <w:r w:rsidRPr="001021D2">
          <w:rPr>
            <w:noProof/>
            <w:webHidden/>
          </w:rPr>
          <w:tab/>
        </w:r>
        <w:r w:rsidRPr="001021D2">
          <w:rPr>
            <w:noProof/>
            <w:webHidden/>
          </w:rPr>
          <w:fldChar w:fldCharType="begin"/>
        </w:r>
        <w:r w:rsidRPr="001021D2">
          <w:rPr>
            <w:noProof/>
            <w:webHidden/>
          </w:rPr>
          <w:instrText xml:space="preserve"> PAGEREF _Toc206158583 \h </w:instrText>
        </w:r>
        <w:r w:rsidRPr="001021D2">
          <w:rPr>
            <w:noProof/>
            <w:webHidden/>
          </w:rPr>
        </w:r>
        <w:r w:rsidRPr="001021D2">
          <w:rPr>
            <w:noProof/>
            <w:webHidden/>
          </w:rPr>
          <w:fldChar w:fldCharType="separate"/>
        </w:r>
        <w:r w:rsidRPr="001021D2">
          <w:rPr>
            <w:noProof/>
            <w:webHidden/>
          </w:rPr>
          <w:t>4</w:t>
        </w:r>
        <w:r w:rsidRPr="001021D2">
          <w:rPr>
            <w:noProof/>
            <w:webHidden/>
          </w:rPr>
          <w:fldChar w:fldCharType="end"/>
        </w:r>
      </w:hyperlink>
    </w:p>
    <w:p w14:paraId="607A3DFC" w14:textId="69021F54" w:rsidR="002B778F" w:rsidRPr="001021D2" w:rsidRDefault="002B778F">
      <w:pPr>
        <w:pStyle w:val="TOC2"/>
        <w:rPr>
          <w:rFonts w:asciiTheme="minorHAnsi" w:eastAsiaTheme="minorEastAsia" w:hAnsiTheme="minorHAnsi" w:cstheme="minorBidi"/>
          <w:noProof/>
          <w:kern w:val="2"/>
          <w:sz w:val="24"/>
          <w:szCs w:val="24"/>
          <w14:ligatures w14:val="standardContextual"/>
        </w:rPr>
      </w:pPr>
      <w:hyperlink w:anchor="_Toc206158584" w:history="1">
        <w:r w:rsidRPr="001021D2">
          <w:rPr>
            <w:rStyle w:val="Hyperlink"/>
            <w:noProof/>
          </w:rPr>
          <w:t>7.</w:t>
        </w:r>
        <w:r w:rsidRPr="001021D2">
          <w:rPr>
            <w:rFonts w:asciiTheme="minorHAnsi" w:eastAsiaTheme="minorEastAsia" w:hAnsiTheme="minorHAnsi" w:cstheme="minorBidi"/>
            <w:noProof/>
            <w:kern w:val="2"/>
            <w:sz w:val="24"/>
            <w:szCs w:val="24"/>
            <w14:ligatures w14:val="standardContextual"/>
          </w:rPr>
          <w:tab/>
        </w:r>
        <w:r w:rsidRPr="00845BD1">
          <w:rPr>
            <w:rStyle w:val="Hyperlink"/>
            <w:noProof/>
          </w:rPr>
          <w:t>Reporting Requirements</w:t>
        </w:r>
        <w:r w:rsidRPr="001021D2">
          <w:rPr>
            <w:noProof/>
            <w:webHidden/>
          </w:rPr>
          <w:tab/>
        </w:r>
        <w:r w:rsidRPr="001021D2">
          <w:rPr>
            <w:noProof/>
            <w:webHidden/>
          </w:rPr>
          <w:fldChar w:fldCharType="begin"/>
        </w:r>
        <w:r w:rsidRPr="001021D2">
          <w:rPr>
            <w:noProof/>
            <w:webHidden/>
          </w:rPr>
          <w:instrText xml:space="preserve"> PAGEREF _Toc206158584 \h </w:instrText>
        </w:r>
        <w:r w:rsidRPr="001021D2">
          <w:rPr>
            <w:noProof/>
            <w:webHidden/>
          </w:rPr>
        </w:r>
        <w:r w:rsidRPr="001021D2">
          <w:rPr>
            <w:noProof/>
            <w:webHidden/>
          </w:rPr>
          <w:fldChar w:fldCharType="separate"/>
        </w:r>
        <w:r w:rsidRPr="001021D2">
          <w:rPr>
            <w:noProof/>
            <w:webHidden/>
          </w:rPr>
          <w:t>4</w:t>
        </w:r>
        <w:r w:rsidRPr="001021D2">
          <w:rPr>
            <w:noProof/>
            <w:webHidden/>
          </w:rPr>
          <w:fldChar w:fldCharType="end"/>
        </w:r>
      </w:hyperlink>
    </w:p>
    <w:p w14:paraId="4CA8C9FB" w14:textId="641A1B74" w:rsidR="002B778F" w:rsidRPr="001021D2" w:rsidRDefault="002B778F">
      <w:pPr>
        <w:pStyle w:val="TOC2"/>
        <w:rPr>
          <w:rFonts w:asciiTheme="minorHAnsi" w:eastAsiaTheme="minorEastAsia" w:hAnsiTheme="minorHAnsi" w:cstheme="minorBidi"/>
          <w:noProof/>
          <w:kern w:val="2"/>
          <w:sz w:val="24"/>
          <w:szCs w:val="24"/>
          <w14:ligatures w14:val="standardContextual"/>
        </w:rPr>
      </w:pPr>
      <w:hyperlink w:anchor="_Toc206158585" w:history="1">
        <w:r w:rsidRPr="001021D2">
          <w:rPr>
            <w:rStyle w:val="Hyperlink"/>
            <w:noProof/>
          </w:rPr>
          <w:t>8.</w:t>
        </w:r>
        <w:r w:rsidRPr="001021D2">
          <w:rPr>
            <w:rFonts w:asciiTheme="minorHAnsi" w:eastAsiaTheme="minorEastAsia" w:hAnsiTheme="minorHAnsi" w:cstheme="minorBidi"/>
            <w:noProof/>
            <w:kern w:val="2"/>
            <w:sz w:val="24"/>
            <w:szCs w:val="24"/>
            <w14:ligatures w14:val="standardContextual"/>
          </w:rPr>
          <w:tab/>
        </w:r>
        <w:r w:rsidRPr="00845BD1">
          <w:rPr>
            <w:rStyle w:val="Hyperlink"/>
            <w:noProof/>
          </w:rPr>
          <w:t>Stewardship</w:t>
        </w:r>
        <w:r w:rsidRPr="001021D2">
          <w:rPr>
            <w:noProof/>
            <w:webHidden/>
          </w:rPr>
          <w:tab/>
        </w:r>
        <w:r w:rsidRPr="001021D2">
          <w:rPr>
            <w:noProof/>
            <w:webHidden/>
          </w:rPr>
          <w:fldChar w:fldCharType="begin"/>
        </w:r>
        <w:r w:rsidRPr="001021D2">
          <w:rPr>
            <w:noProof/>
            <w:webHidden/>
          </w:rPr>
          <w:instrText xml:space="preserve"> PAGEREF _Toc206158585 \h </w:instrText>
        </w:r>
        <w:r w:rsidRPr="001021D2">
          <w:rPr>
            <w:noProof/>
            <w:webHidden/>
          </w:rPr>
        </w:r>
        <w:r w:rsidRPr="001021D2">
          <w:rPr>
            <w:noProof/>
            <w:webHidden/>
          </w:rPr>
          <w:fldChar w:fldCharType="separate"/>
        </w:r>
        <w:r w:rsidRPr="001021D2">
          <w:rPr>
            <w:noProof/>
            <w:webHidden/>
          </w:rPr>
          <w:t>5</w:t>
        </w:r>
        <w:r w:rsidRPr="001021D2">
          <w:rPr>
            <w:noProof/>
            <w:webHidden/>
          </w:rPr>
          <w:fldChar w:fldCharType="end"/>
        </w:r>
      </w:hyperlink>
    </w:p>
    <w:p w14:paraId="02598F6F" w14:textId="78D08926" w:rsidR="002B778F" w:rsidRPr="001021D2" w:rsidRDefault="002B778F">
      <w:pPr>
        <w:pStyle w:val="TOC2"/>
        <w:rPr>
          <w:rFonts w:asciiTheme="minorHAnsi" w:eastAsiaTheme="minorEastAsia" w:hAnsiTheme="minorHAnsi" w:cstheme="minorBidi"/>
          <w:noProof/>
          <w:kern w:val="2"/>
          <w:sz w:val="24"/>
          <w:szCs w:val="24"/>
          <w14:ligatures w14:val="standardContextual"/>
        </w:rPr>
      </w:pPr>
      <w:hyperlink w:anchor="_Toc206158586" w:history="1">
        <w:r w:rsidRPr="001021D2">
          <w:rPr>
            <w:rStyle w:val="Hyperlink"/>
            <w:noProof/>
          </w:rPr>
          <w:t>9.</w:t>
        </w:r>
        <w:r w:rsidRPr="001021D2">
          <w:rPr>
            <w:rFonts w:asciiTheme="minorHAnsi" w:eastAsiaTheme="minorEastAsia" w:hAnsiTheme="minorHAnsi" w:cstheme="minorBidi"/>
            <w:noProof/>
            <w:kern w:val="2"/>
            <w:sz w:val="24"/>
            <w:szCs w:val="24"/>
            <w14:ligatures w14:val="standardContextual"/>
          </w:rPr>
          <w:tab/>
        </w:r>
        <w:r w:rsidRPr="00845BD1">
          <w:rPr>
            <w:rStyle w:val="Hyperlink"/>
            <w:noProof/>
          </w:rPr>
          <w:t>Site Visits</w:t>
        </w:r>
        <w:r w:rsidRPr="001021D2">
          <w:rPr>
            <w:noProof/>
            <w:webHidden/>
          </w:rPr>
          <w:tab/>
        </w:r>
        <w:r w:rsidRPr="001021D2">
          <w:rPr>
            <w:noProof/>
            <w:webHidden/>
          </w:rPr>
          <w:fldChar w:fldCharType="begin"/>
        </w:r>
        <w:r w:rsidRPr="001021D2">
          <w:rPr>
            <w:noProof/>
            <w:webHidden/>
          </w:rPr>
          <w:instrText xml:space="preserve"> PAGEREF _Toc206158586 \h </w:instrText>
        </w:r>
        <w:r w:rsidRPr="001021D2">
          <w:rPr>
            <w:noProof/>
            <w:webHidden/>
          </w:rPr>
        </w:r>
        <w:r w:rsidRPr="001021D2">
          <w:rPr>
            <w:noProof/>
            <w:webHidden/>
          </w:rPr>
          <w:fldChar w:fldCharType="separate"/>
        </w:r>
        <w:r w:rsidRPr="001021D2">
          <w:rPr>
            <w:noProof/>
            <w:webHidden/>
          </w:rPr>
          <w:t>5</w:t>
        </w:r>
        <w:r w:rsidRPr="001021D2">
          <w:rPr>
            <w:noProof/>
            <w:webHidden/>
          </w:rPr>
          <w:fldChar w:fldCharType="end"/>
        </w:r>
      </w:hyperlink>
    </w:p>
    <w:p w14:paraId="40E0425B" w14:textId="3F32B8C1" w:rsidR="002B778F" w:rsidRPr="001021D2" w:rsidRDefault="002B778F">
      <w:pPr>
        <w:pStyle w:val="TOC2"/>
        <w:rPr>
          <w:rFonts w:asciiTheme="minorHAnsi" w:eastAsiaTheme="minorEastAsia" w:hAnsiTheme="minorHAnsi" w:cstheme="minorBidi"/>
          <w:noProof/>
          <w:kern w:val="2"/>
          <w:sz w:val="24"/>
          <w:szCs w:val="24"/>
          <w14:ligatures w14:val="standardContextual"/>
        </w:rPr>
      </w:pPr>
      <w:hyperlink w:anchor="_Toc206158587" w:history="1">
        <w:r w:rsidRPr="001021D2">
          <w:rPr>
            <w:rStyle w:val="Hyperlink"/>
            <w:noProof/>
          </w:rPr>
          <w:t>10.</w:t>
        </w:r>
        <w:r w:rsidRPr="001021D2">
          <w:rPr>
            <w:rFonts w:asciiTheme="minorHAnsi" w:eastAsiaTheme="minorEastAsia" w:hAnsiTheme="minorHAnsi" w:cstheme="minorBidi"/>
            <w:noProof/>
            <w:kern w:val="2"/>
            <w:sz w:val="24"/>
            <w:szCs w:val="24"/>
            <w14:ligatures w14:val="standardContextual"/>
          </w:rPr>
          <w:tab/>
        </w:r>
        <w:r w:rsidRPr="00845BD1">
          <w:rPr>
            <w:rStyle w:val="Hyperlink"/>
            <w:noProof/>
          </w:rPr>
          <w:t>Audits</w:t>
        </w:r>
        <w:r w:rsidRPr="001021D2">
          <w:rPr>
            <w:noProof/>
            <w:webHidden/>
          </w:rPr>
          <w:tab/>
        </w:r>
        <w:r w:rsidRPr="001021D2">
          <w:rPr>
            <w:noProof/>
            <w:webHidden/>
          </w:rPr>
          <w:fldChar w:fldCharType="begin"/>
        </w:r>
        <w:r w:rsidRPr="001021D2">
          <w:rPr>
            <w:noProof/>
            <w:webHidden/>
          </w:rPr>
          <w:instrText xml:space="preserve"> PAGEREF _Toc206158587 \h </w:instrText>
        </w:r>
        <w:r w:rsidRPr="001021D2">
          <w:rPr>
            <w:noProof/>
            <w:webHidden/>
          </w:rPr>
        </w:r>
        <w:r w:rsidRPr="001021D2">
          <w:rPr>
            <w:noProof/>
            <w:webHidden/>
          </w:rPr>
          <w:fldChar w:fldCharType="separate"/>
        </w:r>
        <w:r w:rsidRPr="001021D2">
          <w:rPr>
            <w:noProof/>
            <w:webHidden/>
          </w:rPr>
          <w:t>5</w:t>
        </w:r>
        <w:r w:rsidRPr="001021D2">
          <w:rPr>
            <w:noProof/>
            <w:webHidden/>
          </w:rPr>
          <w:fldChar w:fldCharType="end"/>
        </w:r>
      </w:hyperlink>
    </w:p>
    <w:p w14:paraId="765E7D44" w14:textId="02218F87" w:rsidR="002B778F" w:rsidRPr="001021D2" w:rsidRDefault="002B778F">
      <w:pPr>
        <w:pStyle w:val="TOC2"/>
        <w:rPr>
          <w:rFonts w:asciiTheme="minorHAnsi" w:eastAsiaTheme="minorEastAsia" w:hAnsiTheme="minorHAnsi" w:cstheme="minorBidi"/>
          <w:noProof/>
          <w:kern w:val="2"/>
          <w:sz w:val="24"/>
          <w:szCs w:val="24"/>
          <w14:ligatures w14:val="standardContextual"/>
        </w:rPr>
      </w:pPr>
      <w:hyperlink w:anchor="_Toc206158588" w:history="1">
        <w:r w:rsidRPr="001021D2">
          <w:rPr>
            <w:rStyle w:val="Hyperlink"/>
            <w:noProof/>
          </w:rPr>
          <w:t>11.</w:t>
        </w:r>
        <w:r w:rsidRPr="001021D2">
          <w:rPr>
            <w:rFonts w:asciiTheme="minorHAnsi" w:eastAsiaTheme="minorEastAsia" w:hAnsiTheme="minorHAnsi" w:cstheme="minorBidi"/>
            <w:noProof/>
            <w:kern w:val="2"/>
            <w:sz w:val="24"/>
            <w:szCs w:val="24"/>
            <w14:ligatures w14:val="standardContextual"/>
          </w:rPr>
          <w:tab/>
        </w:r>
        <w:r w:rsidRPr="00845BD1">
          <w:rPr>
            <w:rStyle w:val="Hyperlink"/>
            <w:noProof/>
          </w:rPr>
          <w:t>Refund Obligation</w:t>
        </w:r>
        <w:r w:rsidRPr="001021D2">
          <w:rPr>
            <w:noProof/>
            <w:webHidden/>
          </w:rPr>
          <w:tab/>
        </w:r>
        <w:r w:rsidRPr="001021D2">
          <w:rPr>
            <w:noProof/>
            <w:webHidden/>
          </w:rPr>
          <w:fldChar w:fldCharType="begin"/>
        </w:r>
        <w:r w:rsidRPr="001021D2">
          <w:rPr>
            <w:noProof/>
            <w:webHidden/>
          </w:rPr>
          <w:instrText xml:space="preserve"> PAGEREF _Toc206158588 \h </w:instrText>
        </w:r>
        <w:r w:rsidRPr="001021D2">
          <w:rPr>
            <w:noProof/>
            <w:webHidden/>
          </w:rPr>
        </w:r>
        <w:r w:rsidRPr="001021D2">
          <w:rPr>
            <w:noProof/>
            <w:webHidden/>
          </w:rPr>
          <w:fldChar w:fldCharType="separate"/>
        </w:r>
        <w:r w:rsidRPr="001021D2">
          <w:rPr>
            <w:noProof/>
            <w:webHidden/>
          </w:rPr>
          <w:t>5</w:t>
        </w:r>
        <w:r w:rsidRPr="001021D2">
          <w:rPr>
            <w:noProof/>
            <w:webHidden/>
          </w:rPr>
          <w:fldChar w:fldCharType="end"/>
        </w:r>
      </w:hyperlink>
    </w:p>
    <w:p w14:paraId="21F8933D" w14:textId="7DB93897" w:rsidR="002B778F" w:rsidRPr="001021D2" w:rsidRDefault="002B778F">
      <w:pPr>
        <w:pStyle w:val="TOC2"/>
        <w:rPr>
          <w:rFonts w:asciiTheme="minorHAnsi" w:eastAsiaTheme="minorEastAsia" w:hAnsiTheme="minorHAnsi" w:cstheme="minorBidi"/>
          <w:noProof/>
          <w:kern w:val="2"/>
          <w:sz w:val="24"/>
          <w:szCs w:val="24"/>
          <w14:ligatures w14:val="standardContextual"/>
        </w:rPr>
      </w:pPr>
      <w:hyperlink w:anchor="_Toc206158589" w:history="1">
        <w:r w:rsidRPr="001021D2">
          <w:rPr>
            <w:rStyle w:val="Hyperlink"/>
            <w:noProof/>
          </w:rPr>
          <w:t>12.</w:t>
        </w:r>
        <w:r w:rsidRPr="001021D2">
          <w:rPr>
            <w:rFonts w:asciiTheme="minorHAnsi" w:eastAsiaTheme="minorEastAsia" w:hAnsiTheme="minorHAnsi" w:cstheme="minorBidi"/>
            <w:noProof/>
            <w:kern w:val="2"/>
            <w:sz w:val="24"/>
            <w:szCs w:val="24"/>
            <w14:ligatures w14:val="standardContextual"/>
          </w:rPr>
          <w:tab/>
        </w:r>
        <w:r w:rsidRPr="00845BD1">
          <w:rPr>
            <w:rStyle w:val="Hyperlink"/>
            <w:noProof/>
          </w:rPr>
          <w:t>Foreign Travel</w:t>
        </w:r>
        <w:r w:rsidRPr="001021D2">
          <w:rPr>
            <w:noProof/>
            <w:webHidden/>
          </w:rPr>
          <w:tab/>
        </w:r>
        <w:r w:rsidRPr="001021D2">
          <w:rPr>
            <w:noProof/>
            <w:webHidden/>
          </w:rPr>
          <w:fldChar w:fldCharType="begin"/>
        </w:r>
        <w:r w:rsidRPr="001021D2">
          <w:rPr>
            <w:noProof/>
            <w:webHidden/>
          </w:rPr>
          <w:instrText xml:space="preserve"> PAGEREF _Toc206158589 \h </w:instrText>
        </w:r>
        <w:r w:rsidRPr="001021D2">
          <w:rPr>
            <w:noProof/>
            <w:webHidden/>
          </w:rPr>
        </w:r>
        <w:r w:rsidRPr="001021D2">
          <w:rPr>
            <w:noProof/>
            <w:webHidden/>
          </w:rPr>
          <w:fldChar w:fldCharType="separate"/>
        </w:r>
        <w:r w:rsidRPr="001021D2">
          <w:rPr>
            <w:noProof/>
            <w:webHidden/>
          </w:rPr>
          <w:t>6</w:t>
        </w:r>
        <w:r w:rsidRPr="001021D2">
          <w:rPr>
            <w:noProof/>
            <w:webHidden/>
          </w:rPr>
          <w:fldChar w:fldCharType="end"/>
        </w:r>
      </w:hyperlink>
    </w:p>
    <w:p w14:paraId="5835569D" w14:textId="7D4CAA89" w:rsidR="002B778F" w:rsidRPr="001021D2" w:rsidRDefault="002B778F">
      <w:pPr>
        <w:pStyle w:val="TOC2"/>
        <w:rPr>
          <w:rFonts w:asciiTheme="minorHAnsi" w:eastAsiaTheme="minorEastAsia" w:hAnsiTheme="minorHAnsi" w:cstheme="minorBidi"/>
          <w:noProof/>
          <w:kern w:val="2"/>
          <w:sz w:val="24"/>
          <w:szCs w:val="24"/>
          <w14:ligatures w14:val="standardContextual"/>
        </w:rPr>
      </w:pPr>
      <w:hyperlink w:anchor="_Toc206158590" w:history="1">
        <w:r w:rsidRPr="001021D2">
          <w:rPr>
            <w:rStyle w:val="Hyperlink"/>
            <w:noProof/>
          </w:rPr>
          <w:t>13.</w:t>
        </w:r>
        <w:r w:rsidRPr="001021D2">
          <w:rPr>
            <w:rFonts w:asciiTheme="minorHAnsi" w:eastAsiaTheme="minorEastAsia" w:hAnsiTheme="minorHAnsi" w:cstheme="minorBidi"/>
            <w:noProof/>
            <w:kern w:val="2"/>
            <w:sz w:val="24"/>
            <w:szCs w:val="24"/>
            <w14:ligatures w14:val="standardContextual"/>
          </w:rPr>
          <w:tab/>
        </w:r>
        <w:r w:rsidRPr="00845BD1">
          <w:rPr>
            <w:rStyle w:val="Hyperlink"/>
            <w:noProof/>
          </w:rPr>
          <w:t>Program Income</w:t>
        </w:r>
        <w:r w:rsidRPr="001021D2">
          <w:rPr>
            <w:noProof/>
            <w:webHidden/>
          </w:rPr>
          <w:tab/>
        </w:r>
        <w:r w:rsidRPr="001021D2">
          <w:rPr>
            <w:noProof/>
            <w:webHidden/>
          </w:rPr>
          <w:fldChar w:fldCharType="begin"/>
        </w:r>
        <w:r w:rsidRPr="001021D2">
          <w:rPr>
            <w:noProof/>
            <w:webHidden/>
          </w:rPr>
          <w:instrText xml:space="preserve"> PAGEREF _Toc206158590 \h </w:instrText>
        </w:r>
        <w:r w:rsidRPr="001021D2">
          <w:rPr>
            <w:noProof/>
            <w:webHidden/>
          </w:rPr>
        </w:r>
        <w:r w:rsidRPr="001021D2">
          <w:rPr>
            <w:noProof/>
            <w:webHidden/>
          </w:rPr>
          <w:fldChar w:fldCharType="separate"/>
        </w:r>
        <w:r w:rsidRPr="001021D2">
          <w:rPr>
            <w:noProof/>
            <w:webHidden/>
          </w:rPr>
          <w:t>6</w:t>
        </w:r>
        <w:r w:rsidRPr="001021D2">
          <w:rPr>
            <w:noProof/>
            <w:webHidden/>
          </w:rPr>
          <w:fldChar w:fldCharType="end"/>
        </w:r>
      </w:hyperlink>
    </w:p>
    <w:p w14:paraId="11489B81" w14:textId="40854E22" w:rsidR="002B778F" w:rsidRPr="001021D2" w:rsidRDefault="002B778F">
      <w:pPr>
        <w:pStyle w:val="TOC2"/>
        <w:rPr>
          <w:rFonts w:asciiTheme="minorHAnsi" w:eastAsiaTheme="minorEastAsia" w:hAnsiTheme="minorHAnsi" w:cstheme="minorBidi"/>
          <w:noProof/>
          <w:kern w:val="2"/>
          <w:sz w:val="24"/>
          <w:szCs w:val="24"/>
          <w14:ligatures w14:val="standardContextual"/>
        </w:rPr>
      </w:pPr>
      <w:hyperlink w:anchor="_Toc206158591" w:history="1">
        <w:r w:rsidRPr="001021D2">
          <w:rPr>
            <w:rStyle w:val="Hyperlink"/>
            <w:noProof/>
          </w:rPr>
          <w:t>14.</w:t>
        </w:r>
        <w:r w:rsidRPr="001021D2">
          <w:rPr>
            <w:rFonts w:asciiTheme="minorHAnsi" w:eastAsiaTheme="minorEastAsia" w:hAnsiTheme="minorHAnsi" w:cstheme="minorBidi"/>
            <w:noProof/>
            <w:kern w:val="2"/>
            <w:sz w:val="24"/>
            <w:szCs w:val="24"/>
            <w14:ligatures w14:val="standardContextual"/>
          </w:rPr>
          <w:tab/>
        </w:r>
        <w:r w:rsidRPr="00845BD1">
          <w:rPr>
            <w:rStyle w:val="Hyperlink"/>
            <w:noProof/>
          </w:rPr>
          <w:t>National Environmental Policy Act (NEPA)</w:t>
        </w:r>
        <w:r w:rsidRPr="001021D2">
          <w:rPr>
            <w:noProof/>
            <w:webHidden/>
          </w:rPr>
          <w:tab/>
        </w:r>
        <w:r w:rsidRPr="001021D2">
          <w:rPr>
            <w:noProof/>
            <w:webHidden/>
          </w:rPr>
          <w:fldChar w:fldCharType="begin"/>
        </w:r>
        <w:r w:rsidRPr="001021D2">
          <w:rPr>
            <w:noProof/>
            <w:webHidden/>
          </w:rPr>
          <w:instrText xml:space="preserve"> PAGEREF _Toc206158591 \h </w:instrText>
        </w:r>
        <w:r w:rsidRPr="001021D2">
          <w:rPr>
            <w:noProof/>
            <w:webHidden/>
          </w:rPr>
        </w:r>
        <w:r w:rsidRPr="001021D2">
          <w:rPr>
            <w:noProof/>
            <w:webHidden/>
          </w:rPr>
          <w:fldChar w:fldCharType="separate"/>
        </w:r>
        <w:r w:rsidRPr="001021D2">
          <w:rPr>
            <w:noProof/>
            <w:webHidden/>
          </w:rPr>
          <w:t>6</w:t>
        </w:r>
        <w:r w:rsidRPr="001021D2">
          <w:rPr>
            <w:noProof/>
            <w:webHidden/>
          </w:rPr>
          <w:fldChar w:fldCharType="end"/>
        </w:r>
      </w:hyperlink>
    </w:p>
    <w:p w14:paraId="29826EDE" w14:textId="600779F6" w:rsidR="002B778F" w:rsidRPr="001021D2" w:rsidRDefault="002B778F">
      <w:pPr>
        <w:pStyle w:val="TOC2"/>
        <w:rPr>
          <w:rFonts w:asciiTheme="minorHAnsi" w:eastAsiaTheme="minorEastAsia" w:hAnsiTheme="minorHAnsi" w:cstheme="minorBidi"/>
          <w:noProof/>
          <w:kern w:val="2"/>
          <w:sz w:val="24"/>
          <w:szCs w:val="24"/>
          <w14:ligatures w14:val="standardContextual"/>
        </w:rPr>
      </w:pPr>
      <w:hyperlink w:anchor="_Toc206158592" w:history="1">
        <w:r w:rsidRPr="001021D2">
          <w:rPr>
            <w:rStyle w:val="Hyperlink"/>
            <w:noProof/>
          </w:rPr>
          <w:t>15.</w:t>
        </w:r>
        <w:r w:rsidRPr="001021D2">
          <w:rPr>
            <w:rFonts w:asciiTheme="minorHAnsi" w:eastAsiaTheme="minorEastAsia" w:hAnsiTheme="minorHAnsi" w:cstheme="minorBidi"/>
            <w:noProof/>
            <w:kern w:val="2"/>
            <w:sz w:val="24"/>
            <w:szCs w:val="24"/>
            <w14:ligatures w14:val="standardContextual"/>
          </w:rPr>
          <w:tab/>
        </w:r>
        <w:r w:rsidRPr="00845BD1">
          <w:rPr>
            <w:rStyle w:val="Hyperlink"/>
            <w:noProof/>
          </w:rPr>
          <w:t>Historic Preservation</w:t>
        </w:r>
        <w:r w:rsidRPr="001021D2">
          <w:rPr>
            <w:noProof/>
            <w:webHidden/>
          </w:rPr>
          <w:tab/>
        </w:r>
        <w:r w:rsidRPr="001021D2">
          <w:rPr>
            <w:noProof/>
            <w:webHidden/>
          </w:rPr>
          <w:fldChar w:fldCharType="begin"/>
        </w:r>
        <w:r w:rsidRPr="001021D2">
          <w:rPr>
            <w:noProof/>
            <w:webHidden/>
          </w:rPr>
          <w:instrText xml:space="preserve"> PAGEREF _Toc206158592 \h </w:instrText>
        </w:r>
        <w:r w:rsidRPr="001021D2">
          <w:rPr>
            <w:noProof/>
            <w:webHidden/>
          </w:rPr>
        </w:r>
        <w:r w:rsidRPr="001021D2">
          <w:rPr>
            <w:noProof/>
            <w:webHidden/>
          </w:rPr>
          <w:fldChar w:fldCharType="separate"/>
        </w:r>
        <w:r w:rsidRPr="001021D2">
          <w:rPr>
            <w:noProof/>
            <w:webHidden/>
          </w:rPr>
          <w:t>6</w:t>
        </w:r>
        <w:r w:rsidRPr="001021D2">
          <w:rPr>
            <w:noProof/>
            <w:webHidden/>
          </w:rPr>
          <w:fldChar w:fldCharType="end"/>
        </w:r>
      </w:hyperlink>
    </w:p>
    <w:p w14:paraId="0BE40DAC" w14:textId="10476A7F" w:rsidR="002B778F" w:rsidRPr="001021D2" w:rsidRDefault="002B778F">
      <w:pPr>
        <w:pStyle w:val="TOC2"/>
        <w:rPr>
          <w:rFonts w:asciiTheme="minorHAnsi" w:eastAsiaTheme="minorEastAsia" w:hAnsiTheme="minorHAnsi" w:cstheme="minorBidi"/>
          <w:noProof/>
          <w:kern w:val="2"/>
          <w:sz w:val="24"/>
          <w:szCs w:val="24"/>
          <w14:ligatures w14:val="standardContextual"/>
        </w:rPr>
      </w:pPr>
      <w:hyperlink w:anchor="_Toc206158593" w:history="1">
        <w:r w:rsidRPr="001021D2">
          <w:rPr>
            <w:rStyle w:val="Hyperlink"/>
            <w:noProof/>
          </w:rPr>
          <w:t>16.</w:t>
        </w:r>
        <w:r w:rsidRPr="001021D2">
          <w:rPr>
            <w:rFonts w:asciiTheme="minorHAnsi" w:eastAsiaTheme="minorEastAsia" w:hAnsiTheme="minorHAnsi" w:cstheme="minorBidi"/>
            <w:noProof/>
            <w:kern w:val="2"/>
            <w:sz w:val="24"/>
            <w:szCs w:val="24"/>
            <w14:ligatures w14:val="standardContextual"/>
          </w:rPr>
          <w:tab/>
        </w:r>
        <w:r w:rsidRPr="00845BD1">
          <w:rPr>
            <w:rStyle w:val="Hyperlink"/>
            <w:noProof/>
          </w:rPr>
          <w:t>Intellectual Property</w:t>
        </w:r>
        <w:r w:rsidRPr="001021D2">
          <w:rPr>
            <w:noProof/>
            <w:webHidden/>
          </w:rPr>
          <w:tab/>
        </w:r>
        <w:r w:rsidRPr="001021D2">
          <w:rPr>
            <w:noProof/>
            <w:webHidden/>
          </w:rPr>
          <w:fldChar w:fldCharType="begin"/>
        </w:r>
        <w:r w:rsidRPr="001021D2">
          <w:rPr>
            <w:noProof/>
            <w:webHidden/>
          </w:rPr>
          <w:instrText xml:space="preserve"> PAGEREF _Toc206158593 \h </w:instrText>
        </w:r>
        <w:r w:rsidRPr="001021D2">
          <w:rPr>
            <w:noProof/>
            <w:webHidden/>
          </w:rPr>
        </w:r>
        <w:r w:rsidRPr="001021D2">
          <w:rPr>
            <w:noProof/>
            <w:webHidden/>
          </w:rPr>
          <w:fldChar w:fldCharType="separate"/>
        </w:r>
        <w:r w:rsidRPr="001021D2">
          <w:rPr>
            <w:noProof/>
            <w:webHidden/>
          </w:rPr>
          <w:t>6</w:t>
        </w:r>
        <w:r w:rsidRPr="001021D2">
          <w:rPr>
            <w:noProof/>
            <w:webHidden/>
          </w:rPr>
          <w:fldChar w:fldCharType="end"/>
        </w:r>
      </w:hyperlink>
    </w:p>
    <w:p w14:paraId="46ED3CDA" w14:textId="42D880AC" w:rsidR="002B778F" w:rsidRPr="001021D2" w:rsidRDefault="002B778F">
      <w:pPr>
        <w:pStyle w:val="TOC2"/>
        <w:rPr>
          <w:rFonts w:asciiTheme="minorHAnsi" w:eastAsiaTheme="minorEastAsia" w:hAnsiTheme="minorHAnsi" w:cstheme="minorBidi"/>
          <w:noProof/>
          <w:kern w:val="2"/>
          <w:sz w:val="24"/>
          <w:szCs w:val="24"/>
          <w14:ligatures w14:val="standardContextual"/>
        </w:rPr>
      </w:pPr>
      <w:hyperlink w:anchor="_Toc206158594" w:history="1">
        <w:r w:rsidRPr="001021D2">
          <w:rPr>
            <w:rStyle w:val="Hyperlink"/>
            <w:noProof/>
          </w:rPr>
          <w:t>17.</w:t>
        </w:r>
        <w:r w:rsidRPr="001021D2">
          <w:rPr>
            <w:rFonts w:asciiTheme="minorHAnsi" w:eastAsiaTheme="minorEastAsia" w:hAnsiTheme="minorHAnsi" w:cstheme="minorBidi"/>
            <w:noProof/>
            <w:kern w:val="2"/>
            <w:sz w:val="24"/>
            <w:szCs w:val="24"/>
            <w14:ligatures w14:val="standardContextual"/>
          </w:rPr>
          <w:tab/>
        </w:r>
        <w:r w:rsidRPr="00845BD1">
          <w:rPr>
            <w:rStyle w:val="Hyperlink"/>
            <w:noProof/>
          </w:rPr>
          <w:t>Post-Award Due Diligence Review</w:t>
        </w:r>
        <w:r w:rsidRPr="001021D2">
          <w:rPr>
            <w:noProof/>
            <w:webHidden/>
          </w:rPr>
          <w:tab/>
        </w:r>
        <w:r w:rsidRPr="001021D2">
          <w:rPr>
            <w:noProof/>
            <w:webHidden/>
          </w:rPr>
          <w:fldChar w:fldCharType="begin"/>
        </w:r>
        <w:r w:rsidRPr="001021D2">
          <w:rPr>
            <w:noProof/>
            <w:webHidden/>
          </w:rPr>
          <w:instrText xml:space="preserve"> PAGEREF _Toc206158594 \h </w:instrText>
        </w:r>
        <w:r w:rsidRPr="001021D2">
          <w:rPr>
            <w:noProof/>
            <w:webHidden/>
          </w:rPr>
        </w:r>
        <w:r w:rsidRPr="001021D2">
          <w:rPr>
            <w:noProof/>
            <w:webHidden/>
          </w:rPr>
          <w:fldChar w:fldCharType="separate"/>
        </w:r>
        <w:r w:rsidRPr="001021D2">
          <w:rPr>
            <w:noProof/>
            <w:webHidden/>
          </w:rPr>
          <w:t>7</w:t>
        </w:r>
        <w:r w:rsidRPr="001021D2">
          <w:rPr>
            <w:noProof/>
            <w:webHidden/>
          </w:rPr>
          <w:fldChar w:fldCharType="end"/>
        </w:r>
      </w:hyperlink>
    </w:p>
    <w:p w14:paraId="164447F9" w14:textId="071B994B" w:rsidR="002B778F" w:rsidRPr="001021D2" w:rsidRDefault="002B778F">
      <w:pPr>
        <w:pStyle w:val="TOC2"/>
        <w:rPr>
          <w:rFonts w:asciiTheme="minorHAnsi" w:eastAsiaTheme="minorEastAsia" w:hAnsiTheme="minorHAnsi" w:cstheme="minorBidi"/>
          <w:noProof/>
          <w:kern w:val="2"/>
          <w:sz w:val="24"/>
          <w:szCs w:val="24"/>
          <w14:ligatures w14:val="standardContextual"/>
        </w:rPr>
      </w:pPr>
      <w:hyperlink w:anchor="_Toc206158595" w:history="1">
        <w:r w:rsidRPr="001021D2">
          <w:rPr>
            <w:rStyle w:val="Hyperlink"/>
            <w:noProof/>
          </w:rPr>
          <w:t>18.</w:t>
        </w:r>
        <w:r w:rsidRPr="001021D2">
          <w:rPr>
            <w:rFonts w:asciiTheme="minorHAnsi" w:eastAsiaTheme="minorEastAsia" w:hAnsiTheme="minorHAnsi" w:cstheme="minorBidi"/>
            <w:noProof/>
            <w:kern w:val="2"/>
            <w:sz w:val="24"/>
            <w:szCs w:val="24"/>
            <w14:ligatures w14:val="standardContextual"/>
          </w:rPr>
          <w:tab/>
        </w:r>
        <w:r w:rsidRPr="00845BD1">
          <w:rPr>
            <w:rStyle w:val="Hyperlink"/>
            <w:noProof/>
          </w:rPr>
          <w:t>Construction</w:t>
        </w:r>
        <w:r w:rsidRPr="001021D2">
          <w:rPr>
            <w:noProof/>
            <w:webHidden/>
          </w:rPr>
          <w:tab/>
        </w:r>
        <w:r w:rsidRPr="001021D2">
          <w:rPr>
            <w:noProof/>
            <w:webHidden/>
          </w:rPr>
          <w:fldChar w:fldCharType="begin"/>
        </w:r>
        <w:r w:rsidRPr="001021D2">
          <w:rPr>
            <w:noProof/>
            <w:webHidden/>
          </w:rPr>
          <w:instrText xml:space="preserve"> PAGEREF _Toc206158595 \h </w:instrText>
        </w:r>
        <w:r w:rsidRPr="001021D2">
          <w:rPr>
            <w:noProof/>
            <w:webHidden/>
          </w:rPr>
        </w:r>
        <w:r w:rsidRPr="001021D2">
          <w:rPr>
            <w:noProof/>
            <w:webHidden/>
          </w:rPr>
          <w:fldChar w:fldCharType="separate"/>
        </w:r>
        <w:r w:rsidRPr="001021D2">
          <w:rPr>
            <w:noProof/>
            <w:webHidden/>
          </w:rPr>
          <w:t>7</w:t>
        </w:r>
        <w:r w:rsidRPr="001021D2">
          <w:rPr>
            <w:noProof/>
            <w:webHidden/>
          </w:rPr>
          <w:fldChar w:fldCharType="end"/>
        </w:r>
      </w:hyperlink>
    </w:p>
    <w:p w14:paraId="5489C797" w14:textId="1B85629B" w:rsidR="002B778F" w:rsidRPr="001021D2" w:rsidRDefault="002B778F">
      <w:pPr>
        <w:pStyle w:val="TOC2"/>
        <w:rPr>
          <w:rFonts w:asciiTheme="minorHAnsi" w:eastAsiaTheme="minorEastAsia" w:hAnsiTheme="minorHAnsi" w:cstheme="minorBidi"/>
          <w:noProof/>
          <w:kern w:val="2"/>
          <w:sz w:val="24"/>
          <w:szCs w:val="24"/>
          <w14:ligatures w14:val="standardContextual"/>
        </w:rPr>
      </w:pPr>
      <w:hyperlink w:anchor="_Toc206158596" w:history="1">
        <w:r w:rsidRPr="001021D2">
          <w:rPr>
            <w:rStyle w:val="Hyperlink"/>
            <w:noProof/>
          </w:rPr>
          <w:t>20.</w:t>
        </w:r>
        <w:r w:rsidRPr="001021D2">
          <w:rPr>
            <w:rFonts w:asciiTheme="minorHAnsi" w:eastAsiaTheme="minorEastAsia" w:hAnsiTheme="minorHAnsi" w:cstheme="minorBidi"/>
            <w:noProof/>
            <w:kern w:val="2"/>
            <w:sz w:val="24"/>
            <w:szCs w:val="24"/>
            <w14:ligatures w14:val="standardContextual"/>
          </w:rPr>
          <w:tab/>
        </w:r>
        <w:r w:rsidRPr="00845BD1">
          <w:rPr>
            <w:rStyle w:val="Hyperlink"/>
            <w:noProof/>
          </w:rPr>
          <w:t>Davis-Bacon Act Requirements</w:t>
        </w:r>
        <w:r w:rsidRPr="001021D2">
          <w:rPr>
            <w:noProof/>
            <w:webHidden/>
          </w:rPr>
          <w:tab/>
        </w:r>
        <w:r w:rsidRPr="001021D2">
          <w:rPr>
            <w:noProof/>
            <w:webHidden/>
          </w:rPr>
          <w:fldChar w:fldCharType="begin"/>
        </w:r>
        <w:r w:rsidRPr="001021D2">
          <w:rPr>
            <w:noProof/>
            <w:webHidden/>
          </w:rPr>
          <w:instrText xml:space="preserve"> PAGEREF _Toc206158596 \h </w:instrText>
        </w:r>
        <w:r w:rsidRPr="001021D2">
          <w:rPr>
            <w:noProof/>
            <w:webHidden/>
          </w:rPr>
        </w:r>
        <w:r w:rsidRPr="001021D2">
          <w:rPr>
            <w:noProof/>
            <w:webHidden/>
          </w:rPr>
          <w:fldChar w:fldCharType="separate"/>
        </w:r>
        <w:r w:rsidRPr="001021D2">
          <w:rPr>
            <w:noProof/>
            <w:webHidden/>
          </w:rPr>
          <w:t>7</w:t>
        </w:r>
        <w:r w:rsidRPr="001021D2">
          <w:rPr>
            <w:noProof/>
            <w:webHidden/>
          </w:rPr>
          <w:fldChar w:fldCharType="end"/>
        </w:r>
      </w:hyperlink>
    </w:p>
    <w:p w14:paraId="44BAC52C" w14:textId="02C715AC" w:rsidR="002B778F" w:rsidRPr="001021D2" w:rsidRDefault="002B778F">
      <w:pPr>
        <w:pStyle w:val="TOC2"/>
        <w:rPr>
          <w:rFonts w:asciiTheme="minorHAnsi" w:eastAsiaTheme="minorEastAsia" w:hAnsiTheme="minorHAnsi" w:cstheme="minorBidi"/>
          <w:noProof/>
          <w:kern w:val="2"/>
          <w:sz w:val="24"/>
          <w:szCs w:val="24"/>
          <w14:ligatures w14:val="standardContextual"/>
        </w:rPr>
      </w:pPr>
      <w:hyperlink w:anchor="_Toc206158597" w:history="1">
        <w:r w:rsidRPr="001021D2">
          <w:rPr>
            <w:rStyle w:val="Hyperlink"/>
            <w:noProof/>
          </w:rPr>
          <w:t>21.</w:t>
        </w:r>
        <w:r w:rsidRPr="001021D2">
          <w:rPr>
            <w:rFonts w:asciiTheme="minorHAnsi" w:eastAsiaTheme="minorEastAsia" w:hAnsiTheme="minorHAnsi" w:cstheme="minorBidi"/>
            <w:noProof/>
            <w:kern w:val="2"/>
            <w:sz w:val="24"/>
            <w:szCs w:val="24"/>
            <w14:ligatures w14:val="standardContextual"/>
          </w:rPr>
          <w:tab/>
        </w:r>
        <w:r w:rsidRPr="00845BD1">
          <w:rPr>
            <w:rStyle w:val="Hyperlink"/>
            <w:noProof/>
          </w:rPr>
          <w:t>Buy America Requirement for Infrastructure Projects</w:t>
        </w:r>
        <w:r w:rsidRPr="001021D2">
          <w:rPr>
            <w:noProof/>
            <w:webHidden/>
          </w:rPr>
          <w:tab/>
        </w:r>
        <w:r w:rsidRPr="001021D2">
          <w:rPr>
            <w:noProof/>
            <w:webHidden/>
          </w:rPr>
          <w:fldChar w:fldCharType="begin"/>
        </w:r>
        <w:r w:rsidRPr="001021D2">
          <w:rPr>
            <w:noProof/>
            <w:webHidden/>
          </w:rPr>
          <w:instrText xml:space="preserve"> PAGEREF _Toc206158597 \h </w:instrText>
        </w:r>
        <w:r w:rsidRPr="001021D2">
          <w:rPr>
            <w:noProof/>
            <w:webHidden/>
          </w:rPr>
        </w:r>
        <w:r w:rsidRPr="001021D2">
          <w:rPr>
            <w:noProof/>
            <w:webHidden/>
          </w:rPr>
          <w:fldChar w:fldCharType="separate"/>
        </w:r>
        <w:r w:rsidRPr="001021D2">
          <w:rPr>
            <w:noProof/>
            <w:webHidden/>
          </w:rPr>
          <w:t>9</w:t>
        </w:r>
        <w:r w:rsidRPr="001021D2">
          <w:rPr>
            <w:noProof/>
            <w:webHidden/>
          </w:rPr>
          <w:fldChar w:fldCharType="end"/>
        </w:r>
      </w:hyperlink>
    </w:p>
    <w:p w14:paraId="4C2AF03E" w14:textId="04480625" w:rsidR="002B778F" w:rsidRPr="001021D2" w:rsidRDefault="002B778F">
      <w:pPr>
        <w:pStyle w:val="TOC2"/>
        <w:rPr>
          <w:rFonts w:asciiTheme="minorHAnsi" w:eastAsiaTheme="minorEastAsia" w:hAnsiTheme="minorHAnsi" w:cstheme="minorBidi"/>
          <w:noProof/>
          <w:kern w:val="2"/>
          <w:sz w:val="24"/>
          <w:szCs w:val="24"/>
          <w14:ligatures w14:val="standardContextual"/>
        </w:rPr>
      </w:pPr>
      <w:hyperlink w:anchor="_Toc206158598" w:history="1">
        <w:r w:rsidRPr="001021D2">
          <w:rPr>
            <w:rStyle w:val="Hyperlink"/>
            <w:noProof/>
          </w:rPr>
          <w:t>22.</w:t>
        </w:r>
        <w:r w:rsidRPr="001021D2">
          <w:rPr>
            <w:rFonts w:asciiTheme="minorHAnsi" w:eastAsiaTheme="minorEastAsia" w:hAnsiTheme="minorHAnsi" w:cstheme="minorBidi"/>
            <w:noProof/>
            <w:kern w:val="2"/>
            <w:sz w:val="24"/>
            <w:szCs w:val="24"/>
            <w14:ligatures w14:val="standardContextual"/>
          </w:rPr>
          <w:tab/>
        </w:r>
        <w:r w:rsidRPr="00845BD1">
          <w:rPr>
            <w:rStyle w:val="Hyperlink"/>
            <w:noProof/>
          </w:rPr>
          <w:t>Performance of Work in United States</w:t>
        </w:r>
        <w:r w:rsidRPr="001021D2">
          <w:rPr>
            <w:noProof/>
            <w:webHidden/>
          </w:rPr>
          <w:tab/>
        </w:r>
        <w:r w:rsidRPr="001021D2">
          <w:rPr>
            <w:noProof/>
            <w:webHidden/>
          </w:rPr>
          <w:fldChar w:fldCharType="begin"/>
        </w:r>
        <w:r w:rsidRPr="001021D2">
          <w:rPr>
            <w:noProof/>
            <w:webHidden/>
          </w:rPr>
          <w:instrText xml:space="preserve"> PAGEREF _Toc206158598 \h </w:instrText>
        </w:r>
        <w:r w:rsidRPr="001021D2">
          <w:rPr>
            <w:noProof/>
            <w:webHidden/>
          </w:rPr>
        </w:r>
        <w:r w:rsidRPr="001021D2">
          <w:rPr>
            <w:noProof/>
            <w:webHidden/>
          </w:rPr>
          <w:fldChar w:fldCharType="separate"/>
        </w:r>
        <w:r w:rsidRPr="001021D2">
          <w:rPr>
            <w:noProof/>
            <w:webHidden/>
          </w:rPr>
          <w:t>13</w:t>
        </w:r>
        <w:r w:rsidRPr="001021D2">
          <w:rPr>
            <w:noProof/>
            <w:webHidden/>
          </w:rPr>
          <w:fldChar w:fldCharType="end"/>
        </w:r>
      </w:hyperlink>
    </w:p>
    <w:p w14:paraId="264F4A66" w14:textId="2A6694E1" w:rsidR="002B778F" w:rsidRPr="001021D2" w:rsidRDefault="002B778F">
      <w:pPr>
        <w:pStyle w:val="TOC2"/>
        <w:rPr>
          <w:rFonts w:asciiTheme="minorHAnsi" w:eastAsiaTheme="minorEastAsia" w:hAnsiTheme="minorHAnsi" w:cstheme="minorBidi"/>
          <w:noProof/>
          <w:kern w:val="2"/>
          <w:sz w:val="24"/>
          <w:szCs w:val="24"/>
          <w14:ligatures w14:val="standardContextual"/>
        </w:rPr>
      </w:pPr>
      <w:hyperlink w:anchor="_Toc206158599" w:history="1">
        <w:r w:rsidRPr="001021D2">
          <w:rPr>
            <w:rStyle w:val="Hyperlink"/>
            <w:noProof/>
          </w:rPr>
          <w:t>23.</w:t>
        </w:r>
        <w:r w:rsidRPr="001021D2">
          <w:rPr>
            <w:rFonts w:asciiTheme="minorHAnsi" w:eastAsiaTheme="minorEastAsia" w:hAnsiTheme="minorHAnsi" w:cstheme="minorBidi"/>
            <w:noProof/>
            <w:kern w:val="2"/>
            <w:sz w:val="24"/>
            <w:szCs w:val="24"/>
            <w14:ligatures w14:val="standardContextual"/>
          </w:rPr>
          <w:tab/>
        </w:r>
        <w:r w:rsidRPr="00845BD1">
          <w:rPr>
            <w:rStyle w:val="Hyperlink"/>
            <w:noProof/>
          </w:rPr>
          <w:t>Foreign National Participation</w:t>
        </w:r>
        <w:r w:rsidRPr="001021D2">
          <w:rPr>
            <w:noProof/>
            <w:webHidden/>
          </w:rPr>
          <w:tab/>
        </w:r>
        <w:r w:rsidRPr="001021D2">
          <w:rPr>
            <w:noProof/>
            <w:webHidden/>
          </w:rPr>
          <w:fldChar w:fldCharType="begin"/>
        </w:r>
        <w:r w:rsidRPr="001021D2">
          <w:rPr>
            <w:noProof/>
            <w:webHidden/>
          </w:rPr>
          <w:instrText xml:space="preserve"> PAGEREF _Toc206158599 \h </w:instrText>
        </w:r>
        <w:r w:rsidRPr="001021D2">
          <w:rPr>
            <w:noProof/>
            <w:webHidden/>
          </w:rPr>
        </w:r>
        <w:r w:rsidRPr="001021D2">
          <w:rPr>
            <w:noProof/>
            <w:webHidden/>
          </w:rPr>
          <w:fldChar w:fldCharType="separate"/>
        </w:r>
        <w:r w:rsidRPr="001021D2">
          <w:rPr>
            <w:noProof/>
            <w:webHidden/>
          </w:rPr>
          <w:t>13</w:t>
        </w:r>
        <w:r w:rsidRPr="001021D2">
          <w:rPr>
            <w:noProof/>
            <w:webHidden/>
          </w:rPr>
          <w:fldChar w:fldCharType="end"/>
        </w:r>
      </w:hyperlink>
    </w:p>
    <w:p w14:paraId="4AE5F6A8" w14:textId="53DB1D89" w:rsidR="002B778F" w:rsidRPr="001021D2" w:rsidRDefault="002B778F">
      <w:pPr>
        <w:pStyle w:val="TOC2"/>
        <w:rPr>
          <w:rFonts w:asciiTheme="minorHAnsi" w:eastAsiaTheme="minorEastAsia" w:hAnsiTheme="minorHAnsi" w:cstheme="minorBidi"/>
          <w:noProof/>
          <w:kern w:val="2"/>
          <w:sz w:val="24"/>
          <w:szCs w:val="24"/>
          <w14:ligatures w14:val="standardContextual"/>
        </w:rPr>
      </w:pPr>
      <w:hyperlink w:anchor="_Toc206158600" w:history="1">
        <w:r w:rsidRPr="001021D2">
          <w:rPr>
            <w:rStyle w:val="Hyperlink"/>
            <w:noProof/>
          </w:rPr>
          <w:t>24.</w:t>
        </w:r>
        <w:r w:rsidRPr="001021D2">
          <w:rPr>
            <w:rFonts w:asciiTheme="minorHAnsi" w:eastAsiaTheme="minorEastAsia" w:hAnsiTheme="minorHAnsi" w:cstheme="minorBidi"/>
            <w:noProof/>
            <w:kern w:val="2"/>
            <w:sz w:val="24"/>
            <w:szCs w:val="24"/>
            <w14:ligatures w14:val="standardContextual"/>
          </w:rPr>
          <w:tab/>
        </w:r>
        <w:r w:rsidRPr="00845BD1">
          <w:rPr>
            <w:rStyle w:val="Hyperlink"/>
            <w:noProof/>
          </w:rPr>
          <w:t>Foreign Collaboration</w:t>
        </w:r>
        <w:r w:rsidRPr="001021D2">
          <w:rPr>
            <w:noProof/>
            <w:webHidden/>
          </w:rPr>
          <w:tab/>
        </w:r>
        <w:r w:rsidRPr="001021D2">
          <w:rPr>
            <w:noProof/>
            <w:webHidden/>
          </w:rPr>
          <w:fldChar w:fldCharType="begin"/>
        </w:r>
        <w:r w:rsidRPr="001021D2">
          <w:rPr>
            <w:noProof/>
            <w:webHidden/>
          </w:rPr>
          <w:instrText xml:space="preserve"> PAGEREF _Toc206158600 \h </w:instrText>
        </w:r>
        <w:r w:rsidRPr="001021D2">
          <w:rPr>
            <w:noProof/>
            <w:webHidden/>
          </w:rPr>
        </w:r>
        <w:r w:rsidRPr="001021D2">
          <w:rPr>
            <w:noProof/>
            <w:webHidden/>
          </w:rPr>
          <w:fldChar w:fldCharType="separate"/>
        </w:r>
        <w:r w:rsidRPr="001021D2">
          <w:rPr>
            <w:noProof/>
            <w:webHidden/>
          </w:rPr>
          <w:t>13</w:t>
        </w:r>
        <w:r w:rsidRPr="001021D2">
          <w:rPr>
            <w:noProof/>
            <w:webHidden/>
          </w:rPr>
          <w:fldChar w:fldCharType="end"/>
        </w:r>
      </w:hyperlink>
    </w:p>
    <w:p w14:paraId="73346F6F" w14:textId="2A0609DF" w:rsidR="002B778F" w:rsidRPr="001021D2" w:rsidRDefault="002B778F">
      <w:pPr>
        <w:pStyle w:val="TOC2"/>
        <w:rPr>
          <w:rFonts w:asciiTheme="minorHAnsi" w:eastAsiaTheme="minorEastAsia" w:hAnsiTheme="minorHAnsi" w:cstheme="minorBidi"/>
          <w:noProof/>
          <w:kern w:val="2"/>
          <w:sz w:val="24"/>
          <w:szCs w:val="24"/>
          <w14:ligatures w14:val="standardContextual"/>
        </w:rPr>
      </w:pPr>
      <w:hyperlink w:anchor="_Toc206158601" w:history="1">
        <w:r w:rsidRPr="001021D2">
          <w:rPr>
            <w:rStyle w:val="Hyperlink"/>
            <w:noProof/>
          </w:rPr>
          <w:t>25.</w:t>
        </w:r>
        <w:r w:rsidRPr="001021D2">
          <w:rPr>
            <w:rFonts w:asciiTheme="minorHAnsi" w:eastAsiaTheme="minorEastAsia" w:hAnsiTheme="minorHAnsi" w:cstheme="minorBidi"/>
            <w:noProof/>
            <w:kern w:val="2"/>
            <w:sz w:val="24"/>
            <w:szCs w:val="24"/>
            <w14:ligatures w14:val="standardContextual"/>
          </w:rPr>
          <w:tab/>
        </w:r>
        <w:r w:rsidRPr="00845BD1">
          <w:rPr>
            <w:rStyle w:val="Hyperlink"/>
            <w:noProof/>
          </w:rPr>
          <w:t>Foreign Government-Sponsored Talent Recruitment Programs Prohibition</w:t>
        </w:r>
        <w:r w:rsidRPr="001021D2">
          <w:rPr>
            <w:noProof/>
            <w:webHidden/>
          </w:rPr>
          <w:tab/>
        </w:r>
        <w:r w:rsidRPr="001021D2">
          <w:rPr>
            <w:noProof/>
            <w:webHidden/>
          </w:rPr>
          <w:fldChar w:fldCharType="begin"/>
        </w:r>
        <w:r w:rsidRPr="001021D2">
          <w:rPr>
            <w:noProof/>
            <w:webHidden/>
          </w:rPr>
          <w:instrText xml:space="preserve"> PAGEREF _Toc206158601 \h </w:instrText>
        </w:r>
        <w:r w:rsidRPr="001021D2">
          <w:rPr>
            <w:noProof/>
            <w:webHidden/>
          </w:rPr>
        </w:r>
        <w:r w:rsidRPr="001021D2">
          <w:rPr>
            <w:noProof/>
            <w:webHidden/>
          </w:rPr>
          <w:fldChar w:fldCharType="separate"/>
        </w:r>
        <w:r w:rsidRPr="001021D2">
          <w:rPr>
            <w:noProof/>
            <w:webHidden/>
          </w:rPr>
          <w:t>14</w:t>
        </w:r>
        <w:r w:rsidRPr="001021D2">
          <w:rPr>
            <w:noProof/>
            <w:webHidden/>
          </w:rPr>
          <w:fldChar w:fldCharType="end"/>
        </w:r>
      </w:hyperlink>
    </w:p>
    <w:p w14:paraId="3DA3DE73" w14:textId="7F5D1111" w:rsidR="002B778F" w:rsidRPr="001021D2" w:rsidRDefault="002B778F">
      <w:pPr>
        <w:pStyle w:val="TOC2"/>
        <w:rPr>
          <w:rFonts w:asciiTheme="minorHAnsi" w:eastAsiaTheme="minorEastAsia" w:hAnsiTheme="minorHAnsi" w:cstheme="minorBidi"/>
          <w:noProof/>
          <w:kern w:val="2"/>
          <w:sz w:val="24"/>
          <w:szCs w:val="24"/>
          <w14:ligatures w14:val="standardContextual"/>
        </w:rPr>
      </w:pPr>
      <w:hyperlink w:anchor="_Toc206158602" w:history="1">
        <w:r w:rsidRPr="001021D2">
          <w:rPr>
            <w:rStyle w:val="Hyperlink"/>
            <w:noProof/>
          </w:rPr>
          <w:t>26.</w:t>
        </w:r>
        <w:r w:rsidRPr="001021D2">
          <w:rPr>
            <w:rFonts w:asciiTheme="minorHAnsi" w:eastAsiaTheme="minorEastAsia" w:hAnsiTheme="minorHAnsi" w:cstheme="minorBidi"/>
            <w:noProof/>
            <w:kern w:val="2"/>
            <w:sz w:val="24"/>
            <w:szCs w:val="24"/>
            <w14:ligatures w14:val="standardContextual"/>
          </w:rPr>
          <w:tab/>
        </w:r>
        <w:r w:rsidRPr="00845BD1">
          <w:rPr>
            <w:rStyle w:val="Hyperlink"/>
            <w:noProof/>
          </w:rPr>
          <w:t>Transparency of Foreign Connections</w:t>
        </w:r>
        <w:r w:rsidRPr="001021D2">
          <w:rPr>
            <w:noProof/>
            <w:webHidden/>
          </w:rPr>
          <w:tab/>
        </w:r>
        <w:r w:rsidRPr="001021D2">
          <w:rPr>
            <w:noProof/>
            <w:webHidden/>
          </w:rPr>
          <w:fldChar w:fldCharType="begin"/>
        </w:r>
        <w:r w:rsidRPr="001021D2">
          <w:rPr>
            <w:noProof/>
            <w:webHidden/>
          </w:rPr>
          <w:instrText xml:space="preserve"> PAGEREF _Toc206158602 \h </w:instrText>
        </w:r>
        <w:r w:rsidRPr="001021D2">
          <w:rPr>
            <w:noProof/>
            <w:webHidden/>
          </w:rPr>
        </w:r>
        <w:r w:rsidRPr="001021D2">
          <w:rPr>
            <w:noProof/>
            <w:webHidden/>
          </w:rPr>
          <w:fldChar w:fldCharType="separate"/>
        </w:r>
        <w:r w:rsidRPr="001021D2">
          <w:rPr>
            <w:noProof/>
            <w:webHidden/>
          </w:rPr>
          <w:t>15</w:t>
        </w:r>
        <w:r w:rsidRPr="001021D2">
          <w:rPr>
            <w:noProof/>
            <w:webHidden/>
          </w:rPr>
          <w:fldChar w:fldCharType="end"/>
        </w:r>
      </w:hyperlink>
    </w:p>
    <w:p w14:paraId="5299B59F" w14:textId="244AE2DA" w:rsidR="002B778F" w:rsidRPr="001021D2" w:rsidRDefault="002B778F">
      <w:pPr>
        <w:pStyle w:val="TOC2"/>
        <w:rPr>
          <w:rFonts w:asciiTheme="minorHAnsi" w:eastAsiaTheme="minorEastAsia" w:hAnsiTheme="minorHAnsi" w:cstheme="minorBidi"/>
          <w:noProof/>
          <w:kern w:val="2"/>
          <w:sz w:val="24"/>
          <w:szCs w:val="24"/>
          <w14:ligatures w14:val="standardContextual"/>
        </w:rPr>
      </w:pPr>
      <w:hyperlink w:anchor="_Toc206158603" w:history="1">
        <w:r w:rsidRPr="001021D2">
          <w:rPr>
            <w:rStyle w:val="Hyperlink"/>
            <w:noProof/>
          </w:rPr>
          <w:t>27.</w:t>
        </w:r>
        <w:r w:rsidRPr="001021D2">
          <w:rPr>
            <w:rFonts w:asciiTheme="minorHAnsi" w:eastAsiaTheme="minorEastAsia" w:hAnsiTheme="minorHAnsi" w:cstheme="minorBidi"/>
            <w:noProof/>
            <w:kern w:val="2"/>
            <w:sz w:val="24"/>
            <w:szCs w:val="24"/>
            <w14:ligatures w14:val="standardContextual"/>
          </w:rPr>
          <w:tab/>
        </w:r>
        <w:r w:rsidRPr="00845BD1">
          <w:rPr>
            <w:rStyle w:val="Hyperlink"/>
            <w:noProof/>
          </w:rPr>
          <w:t>Cost Match</w:t>
        </w:r>
        <w:r w:rsidRPr="001021D2">
          <w:rPr>
            <w:noProof/>
            <w:webHidden/>
          </w:rPr>
          <w:tab/>
        </w:r>
        <w:r w:rsidRPr="001021D2">
          <w:rPr>
            <w:noProof/>
            <w:webHidden/>
          </w:rPr>
          <w:fldChar w:fldCharType="begin"/>
        </w:r>
        <w:r w:rsidRPr="001021D2">
          <w:rPr>
            <w:noProof/>
            <w:webHidden/>
          </w:rPr>
          <w:instrText xml:space="preserve"> PAGEREF _Toc206158603 \h </w:instrText>
        </w:r>
        <w:r w:rsidRPr="001021D2">
          <w:rPr>
            <w:noProof/>
            <w:webHidden/>
          </w:rPr>
        </w:r>
        <w:r w:rsidRPr="001021D2">
          <w:rPr>
            <w:noProof/>
            <w:webHidden/>
          </w:rPr>
          <w:fldChar w:fldCharType="separate"/>
        </w:r>
        <w:r w:rsidRPr="001021D2">
          <w:rPr>
            <w:noProof/>
            <w:webHidden/>
          </w:rPr>
          <w:t>16</w:t>
        </w:r>
        <w:r w:rsidRPr="001021D2">
          <w:rPr>
            <w:noProof/>
            <w:webHidden/>
          </w:rPr>
          <w:fldChar w:fldCharType="end"/>
        </w:r>
      </w:hyperlink>
    </w:p>
    <w:p w14:paraId="6DD9786A" w14:textId="1D0746FA" w:rsidR="002B778F" w:rsidRPr="001021D2" w:rsidRDefault="002B778F">
      <w:pPr>
        <w:pStyle w:val="TOC2"/>
        <w:rPr>
          <w:rFonts w:asciiTheme="minorHAnsi" w:eastAsiaTheme="minorEastAsia" w:hAnsiTheme="minorHAnsi" w:cstheme="minorBidi"/>
          <w:noProof/>
          <w:kern w:val="2"/>
          <w:sz w:val="24"/>
          <w:szCs w:val="24"/>
          <w14:ligatures w14:val="standardContextual"/>
        </w:rPr>
      </w:pPr>
      <w:hyperlink w:anchor="_Toc206158604" w:history="1">
        <w:r w:rsidRPr="001021D2">
          <w:rPr>
            <w:rStyle w:val="Hyperlink"/>
            <w:noProof/>
          </w:rPr>
          <w:t>28.</w:t>
        </w:r>
        <w:r w:rsidRPr="001021D2">
          <w:rPr>
            <w:rFonts w:asciiTheme="minorHAnsi" w:eastAsiaTheme="minorEastAsia" w:hAnsiTheme="minorHAnsi" w:cstheme="minorBidi"/>
            <w:noProof/>
            <w:kern w:val="2"/>
            <w:sz w:val="24"/>
            <w:szCs w:val="24"/>
            <w14:ligatures w14:val="standardContextual"/>
          </w:rPr>
          <w:tab/>
        </w:r>
        <w:r w:rsidRPr="00845BD1">
          <w:rPr>
            <w:rStyle w:val="Hyperlink"/>
            <w:noProof/>
          </w:rPr>
          <w:t>Revision of Budget and Program Plans</w:t>
        </w:r>
        <w:r w:rsidRPr="001021D2">
          <w:rPr>
            <w:noProof/>
            <w:webHidden/>
          </w:rPr>
          <w:tab/>
        </w:r>
        <w:r w:rsidRPr="001021D2">
          <w:rPr>
            <w:noProof/>
            <w:webHidden/>
          </w:rPr>
          <w:fldChar w:fldCharType="begin"/>
        </w:r>
        <w:r w:rsidRPr="001021D2">
          <w:rPr>
            <w:noProof/>
            <w:webHidden/>
          </w:rPr>
          <w:instrText xml:space="preserve"> PAGEREF _Toc206158604 \h </w:instrText>
        </w:r>
        <w:r w:rsidRPr="001021D2">
          <w:rPr>
            <w:noProof/>
            <w:webHidden/>
          </w:rPr>
        </w:r>
        <w:r w:rsidRPr="001021D2">
          <w:rPr>
            <w:noProof/>
            <w:webHidden/>
          </w:rPr>
          <w:fldChar w:fldCharType="separate"/>
        </w:r>
        <w:r w:rsidRPr="001021D2">
          <w:rPr>
            <w:noProof/>
            <w:webHidden/>
          </w:rPr>
          <w:t>16</w:t>
        </w:r>
        <w:r w:rsidRPr="001021D2">
          <w:rPr>
            <w:noProof/>
            <w:webHidden/>
          </w:rPr>
          <w:fldChar w:fldCharType="end"/>
        </w:r>
      </w:hyperlink>
    </w:p>
    <w:p w14:paraId="4AED6AAD" w14:textId="5405355B" w:rsidR="002B778F" w:rsidRPr="001021D2" w:rsidRDefault="002B778F">
      <w:pPr>
        <w:pStyle w:val="TOC2"/>
        <w:rPr>
          <w:rFonts w:asciiTheme="minorHAnsi" w:eastAsiaTheme="minorEastAsia" w:hAnsiTheme="minorHAnsi" w:cstheme="minorBidi"/>
          <w:noProof/>
          <w:kern w:val="2"/>
          <w:sz w:val="24"/>
          <w:szCs w:val="24"/>
          <w14:ligatures w14:val="standardContextual"/>
        </w:rPr>
      </w:pPr>
      <w:hyperlink w:anchor="_Toc206158605" w:history="1">
        <w:r w:rsidRPr="001021D2">
          <w:rPr>
            <w:rStyle w:val="Hyperlink"/>
            <w:noProof/>
          </w:rPr>
          <w:t>29.</w:t>
        </w:r>
        <w:r w:rsidRPr="001021D2">
          <w:rPr>
            <w:rFonts w:asciiTheme="minorHAnsi" w:eastAsiaTheme="minorEastAsia" w:hAnsiTheme="minorHAnsi" w:cstheme="minorBidi"/>
            <w:noProof/>
            <w:kern w:val="2"/>
            <w:sz w:val="24"/>
            <w:szCs w:val="24"/>
            <w14:ligatures w14:val="standardContextual"/>
          </w:rPr>
          <w:tab/>
        </w:r>
        <w:r w:rsidRPr="00845BD1">
          <w:rPr>
            <w:rStyle w:val="Hyperlink"/>
            <w:noProof/>
          </w:rPr>
          <w:t>Continued Use of Real Property and Equipment</w:t>
        </w:r>
        <w:r w:rsidRPr="001021D2">
          <w:rPr>
            <w:noProof/>
            <w:webHidden/>
          </w:rPr>
          <w:tab/>
        </w:r>
        <w:r w:rsidRPr="001021D2">
          <w:rPr>
            <w:noProof/>
            <w:webHidden/>
          </w:rPr>
          <w:fldChar w:fldCharType="begin"/>
        </w:r>
        <w:r w:rsidRPr="001021D2">
          <w:rPr>
            <w:noProof/>
            <w:webHidden/>
          </w:rPr>
          <w:instrText xml:space="preserve"> PAGEREF _Toc206158605 \h </w:instrText>
        </w:r>
        <w:r w:rsidRPr="001021D2">
          <w:rPr>
            <w:noProof/>
            <w:webHidden/>
          </w:rPr>
        </w:r>
        <w:r w:rsidRPr="001021D2">
          <w:rPr>
            <w:noProof/>
            <w:webHidden/>
          </w:rPr>
          <w:fldChar w:fldCharType="separate"/>
        </w:r>
        <w:r w:rsidRPr="001021D2">
          <w:rPr>
            <w:noProof/>
            <w:webHidden/>
          </w:rPr>
          <w:t>16</w:t>
        </w:r>
        <w:r w:rsidRPr="001021D2">
          <w:rPr>
            <w:noProof/>
            <w:webHidden/>
          </w:rPr>
          <w:fldChar w:fldCharType="end"/>
        </w:r>
      </w:hyperlink>
    </w:p>
    <w:p w14:paraId="1122458B" w14:textId="3E178A99" w:rsidR="002B778F" w:rsidRPr="001021D2" w:rsidRDefault="002B778F">
      <w:pPr>
        <w:pStyle w:val="TOC2"/>
        <w:rPr>
          <w:rFonts w:asciiTheme="minorHAnsi" w:eastAsiaTheme="minorEastAsia" w:hAnsiTheme="minorHAnsi" w:cstheme="minorBidi"/>
          <w:noProof/>
          <w:kern w:val="2"/>
          <w:sz w:val="24"/>
          <w:szCs w:val="24"/>
          <w14:ligatures w14:val="standardContextual"/>
        </w:rPr>
      </w:pPr>
      <w:hyperlink w:anchor="_Toc206158606" w:history="1">
        <w:r w:rsidRPr="001021D2">
          <w:rPr>
            <w:rStyle w:val="Hyperlink"/>
            <w:noProof/>
          </w:rPr>
          <w:t>30.</w:t>
        </w:r>
        <w:r w:rsidRPr="001021D2">
          <w:rPr>
            <w:rFonts w:asciiTheme="minorHAnsi" w:eastAsiaTheme="minorEastAsia" w:hAnsiTheme="minorHAnsi" w:cstheme="minorBidi"/>
            <w:noProof/>
            <w:kern w:val="2"/>
            <w:sz w:val="24"/>
            <w:szCs w:val="24"/>
            <w14:ligatures w14:val="standardContextual"/>
          </w:rPr>
          <w:tab/>
        </w:r>
        <w:r w:rsidRPr="00845BD1">
          <w:rPr>
            <w:rStyle w:val="Hyperlink"/>
            <w:noProof/>
          </w:rPr>
          <w:t>Interim Conflict of Interest Policy for Financial Assistance</w:t>
        </w:r>
        <w:r w:rsidRPr="001021D2">
          <w:rPr>
            <w:noProof/>
            <w:webHidden/>
          </w:rPr>
          <w:tab/>
        </w:r>
        <w:r w:rsidRPr="001021D2">
          <w:rPr>
            <w:noProof/>
            <w:webHidden/>
          </w:rPr>
          <w:fldChar w:fldCharType="begin"/>
        </w:r>
        <w:r w:rsidRPr="001021D2">
          <w:rPr>
            <w:noProof/>
            <w:webHidden/>
          </w:rPr>
          <w:instrText xml:space="preserve"> PAGEREF _Toc206158606 \h </w:instrText>
        </w:r>
        <w:r w:rsidRPr="001021D2">
          <w:rPr>
            <w:noProof/>
            <w:webHidden/>
          </w:rPr>
        </w:r>
        <w:r w:rsidRPr="001021D2">
          <w:rPr>
            <w:noProof/>
            <w:webHidden/>
          </w:rPr>
          <w:fldChar w:fldCharType="separate"/>
        </w:r>
        <w:r w:rsidRPr="001021D2">
          <w:rPr>
            <w:noProof/>
            <w:webHidden/>
          </w:rPr>
          <w:t>17</w:t>
        </w:r>
        <w:r w:rsidRPr="001021D2">
          <w:rPr>
            <w:noProof/>
            <w:webHidden/>
          </w:rPr>
          <w:fldChar w:fldCharType="end"/>
        </w:r>
      </w:hyperlink>
    </w:p>
    <w:p w14:paraId="6AD29F0A" w14:textId="5C011D0E" w:rsidR="002B778F" w:rsidRPr="001021D2" w:rsidRDefault="002B778F">
      <w:pPr>
        <w:pStyle w:val="TOC2"/>
        <w:rPr>
          <w:rFonts w:asciiTheme="minorHAnsi" w:eastAsiaTheme="minorEastAsia" w:hAnsiTheme="minorHAnsi" w:cstheme="minorBidi"/>
          <w:noProof/>
          <w:kern w:val="2"/>
          <w:sz w:val="24"/>
          <w:szCs w:val="24"/>
          <w14:ligatures w14:val="standardContextual"/>
        </w:rPr>
      </w:pPr>
      <w:hyperlink w:anchor="_Toc206158607" w:history="1">
        <w:r w:rsidRPr="001021D2">
          <w:rPr>
            <w:rStyle w:val="Hyperlink"/>
            <w:noProof/>
          </w:rPr>
          <w:t>31.</w:t>
        </w:r>
        <w:r w:rsidRPr="001021D2">
          <w:rPr>
            <w:rFonts w:asciiTheme="minorHAnsi" w:eastAsiaTheme="minorEastAsia" w:hAnsiTheme="minorHAnsi" w:cstheme="minorBidi"/>
            <w:noProof/>
            <w:kern w:val="2"/>
            <w:sz w:val="24"/>
            <w:szCs w:val="24"/>
            <w14:ligatures w14:val="standardContextual"/>
          </w:rPr>
          <w:tab/>
        </w:r>
        <w:r w:rsidRPr="00845BD1">
          <w:rPr>
            <w:rStyle w:val="Hyperlink"/>
            <w:noProof/>
          </w:rPr>
          <w:t>Organizational Conflict of Interest</w:t>
        </w:r>
        <w:r w:rsidRPr="001021D2">
          <w:rPr>
            <w:noProof/>
            <w:webHidden/>
          </w:rPr>
          <w:tab/>
        </w:r>
        <w:r w:rsidRPr="001021D2">
          <w:rPr>
            <w:noProof/>
            <w:webHidden/>
          </w:rPr>
          <w:fldChar w:fldCharType="begin"/>
        </w:r>
        <w:r w:rsidRPr="001021D2">
          <w:rPr>
            <w:noProof/>
            <w:webHidden/>
          </w:rPr>
          <w:instrText xml:space="preserve"> PAGEREF _Toc206158607 \h </w:instrText>
        </w:r>
        <w:r w:rsidRPr="001021D2">
          <w:rPr>
            <w:noProof/>
            <w:webHidden/>
          </w:rPr>
        </w:r>
        <w:r w:rsidRPr="001021D2">
          <w:rPr>
            <w:noProof/>
            <w:webHidden/>
          </w:rPr>
          <w:fldChar w:fldCharType="separate"/>
        </w:r>
        <w:r w:rsidRPr="001021D2">
          <w:rPr>
            <w:noProof/>
            <w:webHidden/>
          </w:rPr>
          <w:t>17</w:t>
        </w:r>
        <w:r w:rsidRPr="001021D2">
          <w:rPr>
            <w:noProof/>
            <w:webHidden/>
          </w:rPr>
          <w:fldChar w:fldCharType="end"/>
        </w:r>
      </w:hyperlink>
    </w:p>
    <w:p w14:paraId="2D2C2FA8" w14:textId="5B12166A" w:rsidR="002B778F" w:rsidRPr="001021D2" w:rsidRDefault="002B778F">
      <w:pPr>
        <w:pStyle w:val="TOC2"/>
        <w:rPr>
          <w:rFonts w:asciiTheme="minorHAnsi" w:eastAsiaTheme="minorEastAsia" w:hAnsiTheme="minorHAnsi" w:cstheme="minorBidi"/>
          <w:noProof/>
          <w:kern w:val="2"/>
          <w:sz w:val="24"/>
          <w:szCs w:val="24"/>
          <w14:ligatures w14:val="standardContextual"/>
        </w:rPr>
      </w:pPr>
      <w:hyperlink w:anchor="_Toc206158608" w:history="1">
        <w:r w:rsidRPr="001021D2">
          <w:rPr>
            <w:rStyle w:val="Hyperlink"/>
            <w:noProof/>
          </w:rPr>
          <w:t>32.</w:t>
        </w:r>
        <w:r w:rsidRPr="001021D2">
          <w:rPr>
            <w:rFonts w:asciiTheme="minorHAnsi" w:eastAsiaTheme="minorEastAsia" w:hAnsiTheme="minorHAnsi" w:cstheme="minorBidi"/>
            <w:noProof/>
            <w:kern w:val="2"/>
            <w:sz w:val="24"/>
            <w:szCs w:val="24"/>
            <w14:ligatures w14:val="standardContextual"/>
          </w:rPr>
          <w:tab/>
        </w:r>
        <w:r w:rsidRPr="00845BD1">
          <w:rPr>
            <w:rStyle w:val="Hyperlink"/>
            <w:noProof/>
          </w:rPr>
          <w:t>Publication of Information on the Internet</w:t>
        </w:r>
        <w:r w:rsidRPr="001021D2">
          <w:rPr>
            <w:noProof/>
            <w:webHidden/>
          </w:rPr>
          <w:tab/>
        </w:r>
        <w:r w:rsidRPr="001021D2">
          <w:rPr>
            <w:noProof/>
            <w:webHidden/>
          </w:rPr>
          <w:fldChar w:fldCharType="begin"/>
        </w:r>
        <w:r w:rsidRPr="001021D2">
          <w:rPr>
            <w:noProof/>
            <w:webHidden/>
          </w:rPr>
          <w:instrText xml:space="preserve"> PAGEREF _Toc206158608 \h </w:instrText>
        </w:r>
        <w:r w:rsidRPr="001021D2">
          <w:rPr>
            <w:noProof/>
            <w:webHidden/>
          </w:rPr>
        </w:r>
        <w:r w:rsidRPr="001021D2">
          <w:rPr>
            <w:noProof/>
            <w:webHidden/>
          </w:rPr>
          <w:fldChar w:fldCharType="separate"/>
        </w:r>
        <w:r w:rsidRPr="001021D2">
          <w:rPr>
            <w:noProof/>
            <w:webHidden/>
          </w:rPr>
          <w:t>18</w:t>
        </w:r>
        <w:r w:rsidRPr="001021D2">
          <w:rPr>
            <w:noProof/>
            <w:webHidden/>
          </w:rPr>
          <w:fldChar w:fldCharType="end"/>
        </w:r>
      </w:hyperlink>
    </w:p>
    <w:p w14:paraId="132CFE99" w14:textId="7E4295BC" w:rsidR="002B778F" w:rsidRPr="001021D2" w:rsidRDefault="002B778F">
      <w:pPr>
        <w:pStyle w:val="TOC2"/>
        <w:rPr>
          <w:rFonts w:asciiTheme="minorHAnsi" w:eastAsiaTheme="minorEastAsia" w:hAnsiTheme="minorHAnsi" w:cstheme="minorBidi"/>
          <w:noProof/>
          <w:kern w:val="2"/>
          <w:sz w:val="24"/>
          <w:szCs w:val="24"/>
          <w14:ligatures w14:val="standardContextual"/>
        </w:rPr>
      </w:pPr>
      <w:hyperlink w:anchor="_Toc206158609" w:history="1">
        <w:r w:rsidRPr="001021D2">
          <w:rPr>
            <w:rStyle w:val="Hyperlink"/>
            <w:noProof/>
          </w:rPr>
          <w:t>33.</w:t>
        </w:r>
        <w:r w:rsidRPr="001021D2">
          <w:rPr>
            <w:rFonts w:asciiTheme="minorHAnsi" w:eastAsiaTheme="minorEastAsia" w:hAnsiTheme="minorHAnsi" w:cstheme="minorBidi"/>
            <w:noProof/>
            <w:kern w:val="2"/>
            <w:sz w:val="24"/>
            <w:szCs w:val="24"/>
            <w14:ligatures w14:val="standardContextual"/>
          </w:rPr>
          <w:tab/>
        </w:r>
        <w:r w:rsidRPr="00845BD1">
          <w:rPr>
            <w:rStyle w:val="Hyperlink"/>
            <w:noProof/>
          </w:rPr>
          <w:t>Requirement to Report Potentially Duplicative Funding</w:t>
        </w:r>
        <w:r w:rsidRPr="001021D2">
          <w:rPr>
            <w:noProof/>
            <w:webHidden/>
          </w:rPr>
          <w:tab/>
        </w:r>
        <w:r w:rsidRPr="001021D2">
          <w:rPr>
            <w:noProof/>
            <w:webHidden/>
          </w:rPr>
          <w:fldChar w:fldCharType="begin"/>
        </w:r>
        <w:r w:rsidRPr="001021D2">
          <w:rPr>
            <w:noProof/>
            <w:webHidden/>
          </w:rPr>
          <w:instrText xml:space="preserve"> PAGEREF _Toc206158609 \h </w:instrText>
        </w:r>
        <w:r w:rsidRPr="001021D2">
          <w:rPr>
            <w:noProof/>
            <w:webHidden/>
          </w:rPr>
        </w:r>
        <w:r w:rsidRPr="001021D2">
          <w:rPr>
            <w:noProof/>
            <w:webHidden/>
          </w:rPr>
          <w:fldChar w:fldCharType="separate"/>
        </w:r>
        <w:r w:rsidRPr="001021D2">
          <w:rPr>
            <w:noProof/>
            <w:webHidden/>
          </w:rPr>
          <w:t>18</w:t>
        </w:r>
        <w:r w:rsidRPr="001021D2">
          <w:rPr>
            <w:noProof/>
            <w:webHidden/>
          </w:rPr>
          <w:fldChar w:fldCharType="end"/>
        </w:r>
      </w:hyperlink>
    </w:p>
    <w:p w14:paraId="403000C2" w14:textId="07B1BE2F" w:rsidR="002B778F" w:rsidRPr="001021D2" w:rsidRDefault="002B778F">
      <w:pPr>
        <w:pStyle w:val="TOC2"/>
        <w:rPr>
          <w:rFonts w:asciiTheme="minorHAnsi" w:eastAsiaTheme="minorEastAsia" w:hAnsiTheme="minorHAnsi" w:cstheme="minorBidi"/>
          <w:noProof/>
          <w:kern w:val="2"/>
          <w:sz w:val="24"/>
          <w:szCs w:val="24"/>
          <w14:ligatures w14:val="standardContextual"/>
        </w:rPr>
      </w:pPr>
      <w:hyperlink w:anchor="_Toc206158610" w:history="1">
        <w:r w:rsidRPr="001021D2">
          <w:rPr>
            <w:rStyle w:val="Hyperlink"/>
            <w:noProof/>
          </w:rPr>
          <w:t>34.</w:t>
        </w:r>
        <w:r w:rsidRPr="001021D2">
          <w:rPr>
            <w:rFonts w:asciiTheme="minorHAnsi" w:eastAsiaTheme="minorEastAsia" w:hAnsiTheme="minorHAnsi" w:cstheme="minorBidi"/>
            <w:noProof/>
            <w:kern w:val="2"/>
            <w:sz w:val="24"/>
            <w:szCs w:val="24"/>
            <w14:ligatures w14:val="standardContextual"/>
          </w:rPr>
          <w:tab/>
        </w:r>
        <w:r w:rsidRPr="00845BD1">
          <w:rPr>
            <w:rStyle w:val="Hyperlink"/>
            <w:noProof/>
          </w:rPr>
          <w:t>Flood Resilience</w:t>
        </w:r>
        <w:r w:rsidRPr="001021D2">
          <w:rPr>
            <w:noProof/>
            <w:webHidden/>
          </w:rPr>
          <w:tab/>
        </w:r>
        <w:r w:rsidRPr="001021D2">
          <w:rPr>
            <w:noProof/>
            <w:webHidden/>
          </w:rPr>
          <w:fldChar w:fldCharType="begin"/>
        </w:r>
        <w:r w:rsidRPr="001021D2">
          <w:rPr>
            <w:noProof/>
            <w:webHidden/>
          </w:rPr>
          <w:instrText xml:space="preserve"> PAGEREF _Toc206158610 \h </w:instrText>
        </w:r>
        <w:r w:rsidRPr="001021D2">
          <w:rPr>
            <w:noProof/>
            <w:webHidden/>
          </w:rPr>
        </w:r>
        <w:r w:rsidRPr="001021D2">
          <w:rPr>
            <w:noProof/>
            <w:webHidden/>
          </w:rPr>
          <w:fldChar w:fldCharType="separate"/>
        </w:r>
        <w:r w:rsidRPr="001021D2">
          <w:rPr>
            <w:noProof/>
            <w:webHidden/>
          </w:rPr>
          <w:t>18</w:t>
        </w:r>
        <w:r w:rsidRPr="001021D2">
          <w:rPr>
            <w:noProof/>
            <w:webHidden/>
          </w:rPr>
          <w:fldChar w:fldCharType="end"/>
        </w:r>
      </w:hyperlink>
    </w:p>
    <w:p w14:paraId="0C99EFC4" w14:textId="65254917" w:rsidR="002B778F" w:rsidRPr="001021D2" w:rsidRDefault="002B778F">
      <w:pPr>
        <w:pStyle w:val="TOC2"/>
        <w:rPr>
          <w:rFonts w:asciiTheme="minorHAnsi" w:eastAsiaTheme="minorEastAsia" w:hAnsiTheme="minorHAnsi" w:cstheme="minorBidi"/>
          <w:noProof/>
          <w:kern w:val="2"/>
          <w:sz w:val="24"/>
          <w:szCs w:val="24"/>
          <w14:ligatures w14:val="standardContextual"/>
        </w:rPr>
      </w:pPr>
      <w:hyperlink w:anchor="_Toc206158611" w:history="1">
        <w:r w:rsidRPr="001021D2">
          <w:rPr>
            <w:rStyle w:val="Hyperlink"/>
            <w:rFonts w:eastAsia="Calibri Light"/>
            <w:noProof/>
          </w:rPr>
          <w:t>35.</w:t>
        </w:r>
        <w:r w:rsidRPr="001021D2">
          <w:rPr>
            <w:rFonts w:asciiTheme="minorHAnsi" w:eastAsiaTheme="minorEastAsia" w:hAnsiTheme="minorHAnsi" w:cstheme="minorBidi"/>
            <w:noProof/>
            <w:kern w:val="2"/>
            <w:sz w:val="24"/>
            <w:szCs w:val="24"/>
            <w14:ligatures w14:val="standardContextual"/>
          </w:rPr>
          <w:tab/>
        </w:r>
        <w:r w:rsidRPr="00845BD1">
          <w:rPr>
            <w:rStyle w:val="Hyperlink"/>
            <w:rFonts w:eastAsia="Calibri Light"/>
            <w:noProof/>
          </w:rPr>
          <w:t>Indemnity</w:t>
        </w:r>
        <w:r w:rsidRPr="001021D2">
          <w:rPr>
            <w:noProof/>
            <w:webHidden/>
          </w:rPr>
          <w:tab/>
        </w:r>
        <w:r w:rsidRPr="001021D2">
          <w:rPr>
            <w:noProof/>
            <w:webHidden/>
          </w:rPr>
          <w:fldChar w:fldCharType="begin"/>
        </w:r>
        <w:r w:rsidRPr="001021D2">
          <w:rPr>
            <w:noProof/>
            <w:webHidden/>
          </w:rPr>
          <w:instrText xml:space="preserve"> PAGEREF _Toc206158611 \h </w:instrText>
        </w:r>
        <w:r w:rsidRPr="001021D2">
          <w:rPr>
            <w:noProof/>
            <w:webHidden/>
          </w:rPr>
        </w:r>
        <w:r w:rsidRPr="001021D2">
          <w:rPr>
            <w:noProof/>
            <w:webHidden/>
          </w:rPr>
          <w:fldChar w:fldCharType="separate"/>
        </w:r>
        <w:r w:rsidRPr="001021D2">
          <w:rPr>
            <w:noProof/>
            <w:webHidden/>
          </w:rPr>
          <w:t>18</w:t>
        </w:r>
        <w:r w:rsidRPr="001021D2">
          <w:rPr>
            <w:noProof/>
            <w:webHidden/>
          </w:rPr>
          <w:fldChar w:fldCharType="end"/>
        </w:r>
      </w:hyperlink>
    </w:p>
    <w:p w14:paraId="088FEB27" w14:textId="4821E6E8" w:rsidR="002B778F" w:rsidRPr="001021D2" w:rsidRDefault="002B778F">
      <w:pPr>
        <w:pStyle w:val="TOC2"/>
        <w:rPr>
          <w:rFonts w:asciiTheme="minorHAnsi" w:eastAsiaTheme="minorEastAsia" w:hAnsiTheme="minorHAnsi" w:cstheme="minorBidi"/>
          <w:noProof/>
          <w:kern w:val="2"/>
          <w:sz w:val="24"/>
          <w:szCs w:val="24"/>
          <w14:ligatures w14:val="standardContextual"/>
        </w:rPr>
      </w:pPr>
      <w:hyperlink w:anchor="_Toc206158612" w:history="1">
        <w:r w:rsidRPr="001021D2">
          <w:rPr>
            <w:rStyle w:val="Hyperlink"/>
            <w:noProof/>
          </w:rPr>
          <w:t>36.</w:t>
        </w:r>
        <w:r w:rsidRPr="001021D2">
          <w:rPr>
            <w:rFonts w:asciiTheme="minorHAnsi" w:eastAsiaTheme="minorEastAsia" w:hAnsiTheme="minorHAnsi" w:cstheme="minorBidi"/>
            <w:noProof/>
            <w:kern w:val="2"/>
            <w:sz w:val="24"/>
            <w:szCs w:val="24"/>
            <w14:ligatures w14:val="standardContextual"/>
          </w:rPr>
          <w:tab/>
        </w:r>
        <w:r w:rsidRPr="00845BD1">
          <w:rPr>
            <w:rStyle w:val="Hyperlink"/>
            <w:noProof/>
          </w:rPr>
          <w:t>Rebudgeting and Recovery of Indirect Costs</w:t>
        </w:r>
        <w:r w:rsidRPr="001021D2">
          <w:rPr>
            <w:noProof/>
            <w:webHidden/>
          </w:rPr>
          <w:tab/>
        </w:r>
        <w:r w:rsidRPr="001021D2">
          <w:rPr>
            <w:noProof/>
            <w:webHidden/>
          </w:rPr>
          <w:fldChar w:fldCharType="begin"/>
        </w:r>
        <w:r w:rsidRPr="001021D2">
          <w:rPr>
            <w:noProof/>
            <w:webHidden/>
          </w:rPr>
          <w:instrText xml:space="preserve"> PAGEREF _Toc206158612 \h </w:instrText>
        </w:r>
        <w:r w:rsidRPr="001021D2">
          <w:rPr>
            <w:noProof/>
            <w:webHidden/>
          </w:rPr>
        </w:r>
        <w:r w:rsidRPr="001021D2">
          <w:rPr>
            <w:noProof/>
            <w:webHidden/>
          </w:rPr>
          <w:fldChar w:fldCharType="separate"/>
        </w:r>
        <w:r w:rsidRPr="001021D2">
          <w:rPr>
            <w:noProof/>
            <w:webHidden/>
          </w:rPr>
          <w:t>19</w:t>
        </w:r>
        <w:r w:rsidRPr="001021D2">
          <w:rPr>
            <w:noProof/>
            <w:webHidden/>
          </w:rPr>
          <w:fldChar w:fldCharType="end"/>
        </w:r>
      </w:hyperlink>
    </w:p>
    <w:p w14:paraId="143CEC72" w14:textId="515A0621" w:rsidR="002B778F" w:rsidRPr="001021D2" w:rsidRDefault="002B778F">
      <w:pPr>
        <w:pStyle w:val="TOC2"/>
        <w:rPr>
          <w:rFonts w:asciiTheme="minorHAnsi" w:eastAsiaTheme="minorEastAsia" w:hAnsiTheme="minorHAnsi" w:cstheme="minorBidi"/>
          <w:noProof/>
          <w:kern w:val="2"/>
          <w:sz w:val="24"/>
          <w:szCs w:val="24"/>
          <w14:ligatures w14:val="standardContextual"/>
        </w:rPr>
      </w:pPr>
      <w:hyperlink w:anchor="_Toc206158613" w:history="1">
        <w:r w:rsidRPr="001021D2">
          <w:rPr>
            <w:rStyle w:val="Hyperlink"/>
            <w:rFonts w:eastAsia="Calibri Light"/>
            <w:noProof/>
          </w:rPr>
          <w:t>37.</w:t>
        </w:r>
        <w:r w:rsidRPr="001021D2">
          <w:rPr>
            <w:rFonts w:asciiTheme="minorHAnsi" w:eastAsiaTheme="minorEastAsia" w:hAnsiTheme="minorHAnsi" w:cstheme="minorBidi"/>
            <w:noProof/>
            <w:kern w:val="2"/>
            <w:sz w:val="24"/>
            <w:szCs w:val="24"/>
            <w14:ligatures w14:val="standardContextual"/>
          </w:rPr>
          <w:tab/>
        </w:r>
        <w:r w:rsidRPr="00845BD1">
          <w:rPr>
            <w:rStyle w:val="Hyperlink"/>
            <w:rFonts w:eastAsia="Calibri Light"/>
            <w:noProof/>
          </w:rPr>
          <w:t>Real Property – Grid Resilience</w:t>
        </w:r>
        <w:r w:rsidRPr="001021D2">
          <w:rPr>
            <w:noProof/>
            <w:webHidden/>
          </w:rPr>
          <w:tab/>
        </w:r>
        <w:r w:rsidRPr="001021D2">
          <w:rPr>
            <w:noProof/>
            <w:webHidden/>
          </w:rPr>
          <w:fldChar w:fldCharType="begin"/>
        </w:r>
        <w:r w:rsidRPr="001021D2">
          <w:rPr>
            <w:noProof/>
            <w:webHidden/>
          </w:rPr>
          <w:instrText xml:space="preserve"> PAGEREF _Toc206158613 \h </w:instrText>
        </w:r>
        <w:r w:rsidRPr="001021D2">
          <w:rPr>
            <w:noProof/>
            <w:webHidden/>
          </w:rPr>
        </w:r>
        <w:r w:rsidRPr="001021D2">
          <w:rPr>
            <w:noProof/>
            <w:webHidden/>
          </w:rPr>
          <w:fldChar w:fldCharType="separate"/>
        </w:r>
        <w:r w:rsidRPr="001021D2">
          <w:rPr>
            <w:noProof/>
            <w:webHidden/>
          </w:rPr>
          <w:t>19</w:t>
        </w:r>
        <w:r w:rsidRPr="001021D2">
          <w:rPr>
            <w:noProof/>
            <w:webHidden/>
          </w:rPr>
          <w:fldChar w:fldCharType="end"/>
        </w:r>
      </w:hyperlink>
    </w:p>
    <w:p w14:paraId="00478A83" w14:textId="66EA5447" w:rsidR="002B778F" w:rsidRPr="001021D2" w:rsidRDefault="002B778F">
      <w:pPr>
        <w:pStyle w:val="TOC2"/>
        <w:rPr>
          <w:rFonts w:asciiTheme="minorHAnsi" w:eastAsiaTheme="minorEastAsia" w:hAnsiTheme="minorHAnsi" w:cstheme="minorBidi"/>
          <w:noProof/>
          <w:kern w:val="2"/>
          <w:sz w:val="24"/>
          <w:szCs w:val="24"/>
          <w14:ligatures w14:val="standardContextual"/>
        </w:rPr>
      </w:pPr>
      <w:hyperlink w:anchor="_Toc206158614" w:history="1">
        <w:r w:rsidRPr="001021D2">
          <w:rPr>
            <w:rStyle w:val="Hyperlink"/>
            <w:rFonts w:eastAsia="Calibri Light"/>
            <w:noProof/>
          </w:rPr>
          <w:t>38.</w:t>
        </w:r>
        <w:r w:rsidRPr="001021D2">
          <w:rPr>
            <w:rFonts w:asciiTheme="minorHAnsi" w:eastAsiaTheme="minorEastAsia" w:hAnsiTheme="minorHAnsi" w:cstheme="minorBidi"/>
            <w:noProof/>
            <w:kern w:val="2"/>
            <w:sz w:val="24"/>
            <w:szCs w:val="24"/>
            <w14:ligatures w14:val="standardContextual"/>
          </w:rPr>
          <w:tab/>
        </w:r>
        <w:r w:rsidRPr="00845BD1">
          <w:rPr>
            <w:rStyle w:val="Hyperlink"/>
            <w:noProof/>
          </w:rPr>
          <w:t>Cybersecurity Plan</w:t>
        </w:r>
        <w:r w:rsidRPr="001021D2">
          <w:rPr>
            <w:noProof/>
            <w:webHidden/>
          </w:rPr>
          <w:tab/>
        </w:r>
        <w:r w:rsidRPr="001021D2">
          <w:rPr>
            <w:noProof/>
            <w:webHidden/>
          </w:rPr>
          <w:fldChar w:fldCharType="begin"/>
        </w:r>
        <w:r w:rsidRPr="001021D2">
          <w:rPr>
            <w:noProof/>
            <w:webHidden/>
          </w:rPr>
          <w:instrText xml:space="preserve"> PAGEREF _Toc206158614 \h </w:instrText>
        </w:r>
        <w:r w:rsidRPr="001021D2">
          <w:rPr>
            <w:noProof/>
            <w:webHidden/>
          </w:rPr>
        </w:r>
        <w:r w:rsidRPr="001021D2">
          <w:rPr>
            <w:noProof/>
            <w:webHidden/>
          </w:rPr>
          <w:fldChar w:fldCharType="separate"/>
        </w:r>
        <w:r w:rsidRPr="001021D2">
          <w:rPr>
            <w:noProof/>
            <w:webHidden/>
          </w:rPr>
          <w:t>19</w:t>
        </w:r>
        <w:r w:rsidRPr="001021D2">
          <w:rPr>
            <w:noProof/>
            <w:webHidden/>
          </w:rPr>
          <w:fldChar w:fldCharType="end"/>
        </w:r>
      </w:hyperlink>
    </w:p>
    <w:p w14:paraId="539986CD" w14:textId="6C5D7170" w:rsidR="002B778F" w:rsidRPr="00845BD1" w:rsidRDefault="002B778F" w:rsidP="001021D2">
      <w:pPr>
        <w:pStyle w:val="TOC1"/>
        <w:rPr>
          <w:rFonts w:asciiTheme="minorHAnsi" w:eastAsiaTheme="minorEastAsia" w:hAnsiTheme="minorHAnsi" w:cstheme="minorBidi"/>
          <w:kern w:val="2"/>
          <w:sz w:val="24"/>
          <w:szCs w:val="24"/>
          <w:shd w:val="clear" w:color="auto" w:fill="auto"/>
          <w14:ligatures w14:val="standardContextual"/>
        </w:rPr>
      </w:pPr>
      <w:hyperlink w:anchor="_Toc206158615" w:history="1">
        <w:r w:rsidRPr="001021D2">
          <w:rPr>
            <w:rStyle w:val="Hyperlink"/>
          </w:rPr>
          <w:t>Subpart B. General Provisions</w:t>
        </w:r>
        <w:r w:rsidRPr="001021D2">
          <w:rPr>
            <w:webHidden/>
          </w:rPr>
          <w:tab/>
        </w:r>
        <w:r w:rsidRPr="001021D2">
          <w:rPr>
            <w:webHidden/>
          </w:rPr>
          <w:fldChar w:fldCharType="begin"/>
        </w:r>
        <w:r w:rsidRPr="001021D2">
          <w:rPr>
            <w:webHidden/>
          </w:rPr>
          <w:instrText xml:space="preserve"> PAGEREF _Toc206158615 \h </w:instrText>
        </w:r>
        <w:r w:rsidRPr="001021D2">
          <w:rPr>
            <w:webHidden/>
          </w:rPr>
        </w:r>
        <w:r w:rsidRPr="001021D2">
          <w:rPr>
            <w:webHidden/>
          </w:rPr>
          <w:fldChar w:fldCharType="separate"/>
        </w:r>
        <w:r w:rsidRPr="001021D2">
          <w:rPr>
            <w:webHidden/>
          </w:rPr>
          <w:t>20</w:t>
        </w:r>
        <w:r w:rsidRPr="001021D2">
          <w:rPr>
            <w:webHidden/>
          </w:rPr>
          <w:fldChar w:fldCharType="end"/>
        </w:r>
      </w:hyperlink>
    </w:p>
    <w:p w14:paraId="43D53DB1" w14:textId="41953C56" w:rsidR="002B778F" w:rsidRPr="001021D2" w:rsidRDefault="002B778F">
      <w:pPr>
        <w:pStyle w:val="TOC2"/>
        <w:rPr>
          <w:rFonts w:asciiTheme="minorHAnsi" w:eastAsiaTheme="minorEastAsia" w:hAnsiTheme="minorHAnsi" w:cstheme="minorBidi"/>
          <w:noProof/>
          <w:kern w:val="2"/>
          <w:sz w:val="24"/>
          <w:szCs w:val="24"/>
          <w14:ligatures w14:val="standardContextual"/>
        </w:rPr>
      </w:pPr>
      <w:hyperlink w:anchor="_Toc206158616" w:history="1">
        <w:r w:rsidRPr="001021D2">
          <w:rPr>
            <w:rStyle w:val="Hyperlink"/>
            <w:noProof/>
          </w:rPr>
          <w:t>1.</w:t>
        </w:r>
        <w:r w:rsidRPr="001021D2">
          <w:rPr>
            <w:rFonts w:asciiTheme="minorHAnsi" w:eastAsiaTheme="minorEastAsia" w:hAnsiTheme="minorHAnsi" w:cstheme="minorBidi"/>
            <w:noProof/>
            <w:kern w:val="2"/>
            <w:sz w:val="24"/>
            <w:szCs w:val="24"/>
            <w14:ligatures w14:val="standardContextual"/>
          </w:rPr>
          <w:tab/>
        </w:r>
        <w:r w:rsidRPr="00845BD1">
          <w:rPr>
            <w:rStyle w:val="Hyperlink"/>
            <w:noProof/>
          </w:rPr>
          <w:t>Compliance with Federal, State, and Municipal Law</w:t>
        </w:r>
        <w:r w:rsidRPr="001021D2">
          <w:rPr>
            <w:noProof/>
            <w:webHidden/>
          </w:rPr>
          <w:tab/>
        </w:r>
        <w:r w:rsidRPr="001021D2">
          <w:rPr>
            <w:noProof/>
            <w:webHidden/>
          </w:rPr>
          <w:fldChar w:fldCharType="begin"/>
        </w:r>
        <w:r w:rsidRPr="001021D2">
          <w:rPr>
            <w:noProof/>
            <w:webHidden/>
          </w:rPr>
          <w:instrText xml:space="preserve"> PAGEREF _Toc206158616 \h </w:instrText>
        </w:r>
        <w:r w:rsidRPr="001021D2">
          <w:rPr>
            <w:noProof/>
            <w:webHidden/>
          </w:rPr>
        </w:r>
        <w:r w:rsidRPr="001021D2">
          <w:rPr>
            <w:noProof/>
            <w:webHidden/>
          </w:rPr>
          <w:fldChar w:fldCharType="separate"/>
        </w:r>
        <w:r w:rsidRPr="001021D2">
          <w:rPr>
            <w:noProof/>
            <w:webHidden/>
          </w:rPr>
          <w:t>20</w:t>
        </w:r>
        <w:r w:rsidRPr="001021D2">
          <w:rPr>
            <w:noProof/>
            <w:webHidden/>
          </w:rPr>
          <w:fldChar w:fldCharType="end"/>
        </w:r>
      </w:hyperlink>
    </w:p>
    <w:p w14:paraId="66AC81A5" w14:textId="350F5AE1" w:rsidR="002B778F" w:rsidRPr="001021D2" w:rsidRDefault="002B778F">
      <w:pPr>
        <w:pStyle w:val="TOC2"/>
        <w:rPr>
          <w:rFonts w:asciiTheme="minorHAnsi" w:eastAsiaTheme="minorEastAsia" w:hAnsiTheme="minorHAnsi" w:cstheme="minorBidi"/>
          <w:noProof/>
          <w:kern w:val="2"/>
          <w:sz w:val="24"/>
          <w:szCs w:val="24"/>
          <w14:ligatures w14:val="standardContextual"/>
        </w:rPr>
      </w:pPr>
      <w:hyperlink w:anchor="_Toc206158617" w:history="1">
        <w:r w:rsidRPr="001021D2">
          <w:rPr>
            <w:rStyle w:val="Hyperlink"/>
            <w:noProof/>
          </w:rPr>
          <w:t>2.</w:t>
        </w:r>
        <w:r w:rsidRPr="001021D2">
          <w:rPr>
            <w:rFonts w:asciiTheme="minorHAnsi" w:eastAsiaTheme="minorEastAsia" w:hAnsiTheme="minorHAnsi" w:cstheme="minorBidi"/>
            <w:noProof/>
            <w:kern w:val="2"/>
            <w:sz w:val="24"/>
            <w:szCs w:val="24"/>
            <w14:ligatures w14:val="standardContextual"/>
          </w:rPr>
          <w:tab/>
        </w:r>
        <w:r w:rsidRPr="00845BD1">
          <w:rPr>
            <w:rStyle w:val="Hyperlink"/>
            <w:noProof/>
          </w:rPr>
          <w:t>Record Retention</w:t>
        </w:r>
        <w:r w:rsidRPr="001021D2">
          <w:rPr>
            <w:noProof/>
            <w:webHidden/>
          </w:rPr>
          <w:tab/>
        </w:r>
        <w:r w:rsidRPr="001021D2">
          <w:rPr>
            <w:noProof/>
            <w:webHidden/>
          </w:rPr>
          <w:fldChar w:fldCharType="begin"/>
        </w:r>
        <w:r w:rsidRPr="001021D2">
          <w:rPr>
            <w:noProof/>
            <w:webHidden/>
          </w:rPr>
          <w:instrText xml:space="preserve"> PAGEREF _Toc206158617 \h </w:instrText>
        </w:r>
        <w:r w:rsidRPr="001021D2">
          <w:rPr>
            <w:noProof/>
            <w:webHidden/>
          </w:rPr>
        </w:r>
        <w:r w:rsidRPr="001021D2">
          <w:rPr>
            <w:noProof/>
            <w:webHidden/>
          </w:rPr>
          <w:fldChar w:fldCharType="separate"/>
        </w:r>
        <w:r w:rsidRPr="001021D2">
          <w:rPr>
            <w:noProof/>
            <w:webHidden/>
          </w:rPr>
          <w:t>20</w:t>
        </w:r>
        <w:r w:rsidRPr="001021D2">
          <w:rPr>
            <w:noProof/>
            <w:webHidden/>
          </w:rPr>
          <w:fldChar w:fldCharType="end"/>
        </w:r>
      </w:hyperlink>
    </w:p>
    <w:p w14:paraId="02F688B0" w14:textId="07F6C33F" w:rsidR="002B778F" w:rsidRPr="001021D2" w:rsidRDefault="002B778F">
      <w:pPr>
        <w:pStyle w:val="TOC2"/>
        <w:rPr>
          <w:rFonts w:asciiTheme="minorHAnsi" w:eastAsiaTheme="minorEastAsia" w:hAnsiTheme="minorHAnsi" w:cstheme="minorBidi"/>
          <w:noProof/>
          <w:kern w:val="2"/>
          <w:sz w:val="24"/>
          <w:szCs w:val="24"/>
          <w14:ligatures w14:val="standardContextual"/>
        </w:rPr>
      </w:pPr>
      <w:hyperlink w:anchor="_Toc206158618" w:history="1">
        <w:r w:rsidRPr="001021D2">
          <w:rPr>
            <w:rStyle w:val="Hyperlink"/>
            <w:noProof/>
          </w:rPr>
          <w:t>3.</w:t>
        </w:r>
        <w:r w:rsidRPr="001021D2">
          <w:rPr>
            <w:rFonts w:asciiTheme="minorHAnsi" w:eastAsiaTheme="minorEastAsia" w:hAnsiTheme="minorHAnsi" w:cstheme="minorBidi"/>
            <w:noProof/>
            <w:kern w:val="2"/>
            <w:sz w:val="24"/>
            <w:szCs w:val="24"/>
            <w14:ligatures w14:val="standardContextual"/>
          </w:rPr>
          <w:tab/>
        </w:r>
        <w:r w:rsidRPr="00845BD1">
          <w:rPr>
            <w:rStyle w:val="Hyperlink"/>
            <w:noProof/>
          </w:rPr>
          <w:t>Allowable costs</w:t>
        </w:r>
        <w:r w:rsidRPr="001021D2">
          <w:rPr>
            <w:noProof/>
            <w:webHidden/>
          </w:rPr>
          <w:tab/>
        </w:r>
        <w:r w:rsidRPr="001021D2">
          <w:rPr>
            <w:noProof/>
            <w:webHidden/>
          </w:rPr>
          <w:fldChar w:fldCharType="begin"/>
        </w:r>
        <w:r w:rsidRPr="001021D2">
          <w:rPr>
            <w:noProof/>
            <w:webHidden/>
          </w:rPr>
          <w:instrText xml:space="preserve"> PAGEREF _Toc206158618 \h </w:instrText>
        </w:r>
        <w:r w:rsidRPr="001021D2">
          <w:rPr>
            <w:noProof/>
            <w:webHidden/>
          </w:rPr>
        </w:r>
        <w:r w:rsidRPr="001021D2">
          <w:rPr>
            <w:noProof/>
            <w:webHidden/>
          </w:rPr>
          <w:fldChar w:fldCharType="separate"/>
        </w:r>
        <w:r w:rsidRPr="001021D2">
          <w:rPr>
            <w:noProof/>
            <w:webHidden/>
          </w:rPr>
          <w:t>20</w:t>
        </w:r>
        <w:r w:rsidRPr="001021D2">
          <w:rPr>
            <w:noProof/>
            <w:webHidden/>
          </w:rPr>
          <w:fldChar w:fldCharType="end"/>
        </w:r>
      </w:hyperlink>
    </w:p>
    <w:p w14:paraId="46E67113" w14:textId="2509296B" w:rsidR="002B778F" w:rsidRPr="001021D2" w:rsidRDefault="002B778F">
      <w:pPr>
        <w:pStyle w:val="TOC2"/>
        <w:rPr>
          <w:rFonts w:asciiTheme="minorHAnsi" w:eastAsiaTheme="minorEastAsia" w:hAnsiTheme="minorHAnsi" w:cstheme="minorBidi"/>
          <w:noProof/>
          <w:kern w:val="2"/>
          <w:sz w:val="24"/>
          <w:szCs w:val="24"/>
          <w14:ligatures w14:val="standardContextual"/>
        </w:rPr>
      </w:pPr>
      <w:hyperlink w:anchor="_Toc206158619" w:history="1">
        <w:r w:rsidRPr="001021D2">
          <w:rPr>
            <w:rStyle w:val="Hyperlink"/>
            <w:noProof/>
          </w:rPr>
          <w:t>4.</w:t>
        </w:r>
        <w:r w:rsidRPr="001021D2">
          <w:rPr>
            <w:rFonts w:asciiTheme="minorHAnsi" w:eastAsiaTheme="minorEastAsia" w:hAnsiTheme="minorHAnsi" w:cstheme="minorBidi"/>
            <w:noProof/>
            <w:kern w:val="2"/>
            <w:sz w:val="24"/>
            <w:szCs w:val="24"/>
            <w14:ligatures w14:val="standardContextual"/>
          </w:rPr>
          <w:tab/>
        </w:r>
        <w:r w:rsidRPr="00845BD1">
          <w:rPr>
            <w:rStyle w:val="Hyperlink"/>
            <w:noProof/>
          </w:rPr>
          <w:t>Indirect Costs</w:t>
        </w:r>
        <w:r w:rsidRPr="001021D2">
          <w:rPr>
            <w:noProof/>
            <w:webHidden/>
          </w:rPr>
          <w:tab/>
        </w:r>
        <w:r w:rsidRPr="001021D2">
          <w:rPr>
            <w:noProof/>
            <w:webHidden/>
          </w:rPr>
          <w:fldChar w:fldCharType="begin"/>
        </w:r>
        <w:r w:rsidRPr="001021D2">
          <w:rPr>
            <w:noProof/>
            <w:webHidden/>
          </w:rPr>
          <w:instrText xml:space="preserve"> PAGEREF _Toc206158619 \h </w:instrText>
        </w:r>
        <w:r w:rsidRPr="001021D2">
          <w:rPr>
            <w:noProof/>
            <w:webHidden/>
          </w:rPr>
        </w:r>
        <w:r w:rsidRPr="001021D2">
          <w:rPr>
            <w:noProof/>
            <w:webHidden/>
          </w:rPr>
          <w:fldChar w:fldCharType="separate"/>
        </w:r>
        <w:r w:rsidRPr="001021D2">
          <w:rPr>
            <w:noProof/>
            <w:webHidden/>
          </w:rPr>
          <w:t>20</w:t>
        </w:r>
        <w:r w:rsidRPr="001021D2">
          <w:rPr>
            <w:noProof/>
            <w:webHidden/>
          </w:rPr>
          <w:fldChar w:fldCharType="end"/>
        </w:r>
      </w:hyperlink>
    </w:p>
    <w:p w14:paraId="118CB508" w14:textId="2B0D5549" w:rsidR="002B778F" w:rsidRPr="001021D2" w:rsidRDefault="002B778F">
      <w:pPr>
        <w:pStyle w:val="TOC2"/>
        <w:rPr>
          <w:rFonts w:asciiTheme="minorHAnsi" w:eastAsiaTheme="minorEastAsia" w:hAnsiTheme="minorHAnsi" w:cstheme="minorBidi"/>
          <w:noProof/>
          <w:kern w:val="2"/>
          <w:sz w:val="24"/>
          <w:szCs w:val="24"/>
          <w14:ligatures w14:val="standardContextual"/>
        </w:rPr>
      </w:pPr>
      <w:hyperlink w:anchor="_Toc206158620" w:history="1">
        <w:r w:rsidRPr="001021D2">
          <w:rPr>
            <w:rStyle w:val="Hyperlink"/>
            <w:noProof/>
          </w:rPr>
          <w:t>5.</w:t>
        </w:r>
        <w:r w:rsidRPr="001021D2">
          <w:rPr>
            <w:rFonts w:asciiTheme="minorHAnsi" w:eastAsiaTheme="minorEastAsia" w:hAnsiTheme="minorHAnsi" w:cstheme="minorBidi"/>
            <w:noProof/>
            <w:kern w:val="2"/>
            <w:sz w:val="24"/>
            <w:szCs w:val="24"/>
            <w14:ligatures w14:val="standardContextual"/>
          </w:rPr>
          <w:tab/>
        </w:r>
        <w:r w:rsidRPr="00845BD1">
          <w:rPr>
            <w:rStyle w:val="Hyperlink"/>
            <w:noProof/>
          </w:rPr>
          <w:t>Property Standards</w:t>
        </w:r>
        <w:r w:rsidRPr="001021D2">
          <w:rPr>
            <w:noProof/>
            <w:webHidden/>
          </w:rPr>
          <w:tab/>
        </w:r>
        <w:r w:rsidRPr="001021D2">
          <w:rPr>
            <w:noProof/>
            <w:webHidden/>
          </w:rPr>
          <w:fldChar w:fldCharType="begin"/>
        </w:r>
        <w:r w:rsidRPr="001021D2">
          <w:rPr>
            <w:noProof/>
            <w:webHidden/>
          </w:rPr>
          <w:instrText xml:space="preserve"> PAGEREF _Toc206158620 \h </w:instrText>
        </w:r>
        <w:r w:rsidRPr="001021D2">
          <w:rPr>
            <w:noProof/>
            <w:webHidden/>
          </w:rPr>
        </w:r>
        <w:r w:rsidRPr="001021D2">
          <w:rPr>
            <w:noProof/>
            <w:webHidden/>
          </w:rPr>
          <w:fldChar w:fldCharType="separate"/>
        </w:r>
        <w:r w:rsidRPr="001021D2">
          <w:rPr>
            <w:noProof/>
            <w:webHidden/>
          </w:rPr>
          <w:t>20</w:t>
        </w:r>
        <w:r w:rsidRPr="001021D2">
          <w:rPr>
            <w:noProof/>
            <w:webHidden/>
          </w:rPr>
          <w:fldChar w:fldCharType="end"/>
        </w:r>
      </w:hyperlink>
    </w:p>
    <w:p w14:paraId="5E09B731" w14:textId="07396509" w:rsidR="002B778F" w:rsidRPr="001021D2" w:rsidRDefault="002B778F">
      <w:pPr>
        <w:pStyle w:val="TOC2"/>
        <w:rPr>
          <w:rFonts w:asciiTheme="minorHAnsi" w:eastAsiaTheme="minorEastAsia" w:hAnsiTheme="minorHAnsi" w:cstheme="minorBidi"/>
          <w:noProof/>
          <w:kern w:val="2"/>
          <w:sz w:val="24"/>
          <w:szCs w:val="24"/>
          <w14:ligatures w14:val="standardContextual"/>
        </w:rPr>
      </w:pPr>
      <w:hyperlink w:anchor="_Toc206158621" w:history="1">
        <w:r w:rsidRPr="001021D2">
          <w:rPr>
            <w:rStyle w:val="Hyperlink"/>
            <w:noProof/>
          </w:rPr>
          <w:t>6.</w:t>
        </w:r>
        <w:r w:rsidRPr="001021D2">
          <w:rPr>
            <w:rFonts w:asciiTheme="minorHAnsi" w:eastAsiaTheme="minorEastAsia" w:hAnsiTheme="minorHAnsi" w:cstheme="minorBidi"/>
            <w:noProof/>
            <w:kern w:val="2"/>
            <w:sz w:val="24"/>
            <w:szCs w:val="24"/>
            <w14:ligatures w14:val="standardContextual"/>
          </w:rPr>
          <w:tab/>
        </w:r>
        <w:r w:rsidRPr="00845BD1">
          <w:rPr>
            <w:rStyle w:val="Hyperlink"/>
            <w:noProof/>
          </w:rPr>
          <w:t>Insurance Coverage</w:t>
        </w:r>
        <w:r w:rsidRPr="001021D2">
          <w:rPr>
            <w:noProof/>
            <w:webHidden/>
          </w:rPr>
          <w:tab/>
        </w:r>
        <w:r w:rsidRPr="001021D2">
          <w:rPr>
            <w:noProof/>
            <w:webHidden/>
          </w:rPr>
          <w:fldChar w:fldCharType="begin"/>
        </w:r>
        <w:r w:rsidRPr="001021D2">
          <w:rPr>
            <w:noProof/>
            <w:webHidden/>
          </w:rPr>
          <w:instrText xml:space="preserve"> PAGEREF _Toc206158621 \h </w:instrText>
        </w:r>
        <w:r w:rsidRPr="001021D2">
          <w:rPr>
            <w:noProof/>
            <w:webHidden/>
          </w:rPr>
        </w:r>
        <w:r w:rsidRPr="001021D2">
          <w:rPr>
            <w:noProof/>
            <w:webHidden/>
          </w:rPr>
          <w:fldChar w:fldCharType="separate"/>
        </w:r>
        <w:r w:rsidRPr="001021D2">
          <w:rPr>
            <w:noProof/>
            <w:webHidden/>
          </w:rPr>
          <w:t>20</w:t>
        </w:r>
        <w:r w:rsidRPr="001021D2">
          <w:rPr>
            <w:noProof/>
            <w:webHidden/>
          </w:rPr>
          <w:fldChar w:fldCharType="end"/>
        </w:r>
      </w:hyperlink>
    </w:p>
    <w:p w14:paraId="35C5B0FD" w14:textId="69AD7114" w:rsidR="002B778F" w:rsidRPr="001021D2" w:rsidRDefault="002B778F">
      <w:pPr>
        <w:pStyle w:val="TOC2"/>
        <w:rPr>
          <w:rFonts w:asciiTheme="minorHAnsi" w:eastAsiaTheme="minorEastAsia" w:hAnsiTheme="minorHAnsi" w:cstheme="minorBidi"/>
          <w:noProof/>
          <w:kern w:val="2"/>
          <w:sz w:val="24"/>
          <w:szCs w:val="24"/>
          <w14:ligatures w14:val="standardContextual"/>
        </w:rPr>
      </w:pPr>
      <w:hyperlink w:anchor="_Toc206158622" w:history="1">
        <w:r w:rsidRPr="001021D2">
          <w:rPr>
            <w:rStyle w:val="Hyperlink"/>
            <w:noProof/>
          </w:rPr>
          <w:t>7.</w:t>
        </w:r>
        <w:r w:rsidRPr="001021D2">
          <w:rPr>
            <w:rFonts w:asciiTheme="minorHAnsi" w:eastAsiaTheme="minorEastAsia" w:hAnsiTheme="minorHAnsi" w:cstheme="minorBidi"/>
            <w:noProof/>
            <w:kern w:val="2"/>
            <w:sz w:val="24"/>
            <w:szCs w:val="24"/>
            <w14:ligatures w14:val="standardContextual"/>
          </w:rPr>
          <w:tab/>
        </w:r>
        <w:r w:rsidRPr="00845BD1">
          <w:rPr>
            <w:rStyle w:val="Hyperlink"/>
            <w:noProof/>
          </w:rPr>
          <w:t>Equipment</w:t>
        </w:r>
        <w:r w:rsidRPr="001021D2">
          <w:rPr>
            <w:noProof/>
            <w:webHidden/>
          </w:rPr>
          <w:tab/>
        </w:r>
        <w:r w:rsidRPr="001021D2">
          <w:rPr>
            <w:noProof/>
            <w:webHidden/>
          </w:rPr>
          <w:fldChar w:fldCharType="begin"/>
        </w:r>
        <w:r w:rsidRPr="001021D2">
          <w:rPr>
            <w:noProof/>
            <w:webHidden/>
          </w:rPr>
          <w:instrText xml:space="preserve"> PAGEREF _Toc206158622 \h </w:instrText>
        </w:r>
        <w:r w:rsidRPr="001021D2">
          <w:rPr>
            <w:noProof/>
            <w:webHidden/>
          </w:rPr>
        </w:r>
        <w:r w:rsidRPr="001021D2">
          <w:rPr>
            <w:noProof/>
            <w:webHidden/>
          </w:rPr>
          <w:fldChar w:fldCharType="separate"/>
        </w:r>
        <w:r w:rsidRPr="001021D2">
          <w:rPr>
            <w:noProof/>
            <w:webHidden/>
          </w:rPr>
          <w:t>21</w:t>
        </w:r>
        <w:r w:rsidRPr="001021D2">
          <w:rPr>
            <w:noProof/>
            <w:webHidden/>
          </w:rPr>
          <w:fldChar w:fldCharType="end"/>
        </w:r>
      </w:hyperlink>
    </w:p>
    <w:p w14:paraId="7C2399BF" w14:textId="1F44643E" w:rsidR="002B778F" w:rsidRPr="001021D2" w:rsidRDefault="002B778F">
      <w:pPr>
        <w:pStyle w:val="TOC2"/>
        <w:rPr>
          <w:rFonts w:asciiTheme="minorHAnsi" w:eastAsiaTheme="minorEastAsia" w:hAnsiTheme="minorHAnsi" w:cstheme="minorBidi"/>
          <w:noProof/>
          <w:kern w:val="2"/>
          <w:sz w:val="24"/>
          <w:szCs w:val="24"/>
          <w14:ligatures w14:val="standardContextual"/>
        </w:rPr>
      </w:pPr>
      <w:hyperlink w:anchor="_Toc206158623" w:history="1">
        <w:r w:rsidRPr="001021D2">
          <w:rPr>
            <w:rStyle w:val="Hyperlink"/>
            <w:noProof/>
          </w:rPr>
          <w:t>8.</w:t>
        </w:r>
        <w:r w:rsidRPr="001021D2">
          <w:rPr>
            <w:rFonts w:asciiTheme="minorHAnsi" w:eastAsiaTheme="minorEastAsia" w:hAnsiTheme="minorHAnsi" w:cstheme="minorBidi"/>
            <w:noProof/>
            <w:kern w:val="2"/>
            <w:sz w:val="24"/>
            <w:szCs w:val="24"/>
            <w14:ligatures w14:val="standardContextual"/>
          </w:rPr>
          <w:tab/>
        </w:r>
        <w:r w:rsidRPr="00845BD1">
          <w:rPr>
            <w:rStyle w:val="Hyperlink"/>
            <w:noProof/>
          </w:rPr>
          <w:t>Supplies</w:t>
        </w:r>
        <w:r w:rsidRPr="001021D2">
          <w:rPr>
            <w:noProof/>
            <w:webHidden/>
          </w:rPr>
          <w:tab/>
        </w:r>
        <w:r w:rsidRPr="001021D2">
          <w:rPr>
            <w:noProof/>
            <w:webHidden/>
          </w:rPr>
          <w:fldChar w:fldCharType="begin"/>
        </w:r>
        <w:r w:rsidRPr="001021D2">
          <w:rPr>
            <w:noProof/>
            <w:webHidden/>
          </w:rPr>
          <w:instrText xml:space="preserve"> PAGEREF _Toc206158623 \h </w:instrText>
        </w:r>
        <w:r w:rsidRPr="001021D2">
          <w:rPr>
            <w:noProof/>
            <w:webHidden/>
          </w:rPr>
        </w:r>
        <w:r w:rsidRPr="001021D2">
          <w:rPr>
            <w:noProof/>
            <w:webHidden/>
          </w:rPr>
          <w:fldChar w:fldCharType="separate"/>
        </w:r>
        <w:r w:rsidRPr="001021D2">
          <w:rPr>
            <w:noProof/>
            <w:webHidden/>
          </w:rPr>
          <w:t>21</w:t>
        </w:r>
        <w:r w:rsidRPr="001021D2">
          <w:rPr>
            <w:noProof/>
            <w:webHidden/>
          </w:rPr>
          <w:fldChar w:fldCharType="end"/>
        </w:r>
      </w:hyperlink>
    </w:p>
    <w:p w14:paraId="7CCE2B4B" w14:textId="5C1C5D7B" w:rsidR="002B778F" w:rsidRPr="001021D2" w:rsidRDefault="002B778F">
      <w:pPr>
        <w:pStyle w:val="TOC2"/>
        <w:rPr>
          <w:rFonts w:asciiTheme="minorHAnsi" w:eastAsiaTheme="minorEastAsia" w:hAnsiTheme="minorHAnsi" w:cstheme="minorBidi"/>
          <w:noProof/>
          <w:kern w:val="2"/>
          <w:sz w:val="24"/>
          <w:szCs w:val="24"/>
          <w14:ligatures w14:val="standardContextual"/>
        </w:rPr>
      </w:pPr>
      <w:hyperlink w:anchor="_Toc206158624" w:history="1">
        <w:r w:rsidRPr="001021D2">
          <w:rPr>
            <w:rStyle w:val="Hyperlink"/>
            <w:noProof/>
          </w:rPr>
          <w:t>9.</w:t>
        </w:r>
        <w:r w:rsidRPr="001021D2">
          <w:rPr>
            <w:rFonts w:asciiTheme="minorHAnsi" w:eastAsiaTheme="minorEastAsia" w:hAnsiTheme="minorHAnsi" w:cstheme="minorBidi"/>
            <w:noProof/>
            <w:kern w:val="2"/>
            <w:sz w:val="24"/>
            <w:szCs w:val="24"/>
            <w14:ligatures w14:val="standardContextual"/>
          </w:rPr>
          <w:tab/>
        </w:r>
        <w:r w:rsidRPr="00845BD1">
          <w:rPr>
            <w:rStyle w:val="Hyperlink"/>
            <w:noProof/>
          </w:rPr>
          <w:t>Property Trust Relationship</w:t>
        </w:r>
        <w:r w:rsidRPr="001021D2">
          <w:rPr>
            <w:noProof/>
            <w:webHidden/>
          </w:rPr>
          <w:tab/>
        </w:r>
        <w:r w:rsidRPr="001021D2">
          <w:rPr>
            <w:noProof/>
            <w:webHidden/>
          </w:rPr>
          <w:fldChar w:fldCharType="begin"/>
        </w:r>
        <w:r w:rsidRPr="001021D2">
          <w:rPr>
            <w:noProof/>
            <w:webHidden/>
          </w:rPr>
          <w:instrText xml:space="preserve"> PAGEREF _Toc206158624 \h </w:instrText>
        </w:r>
        <w:r w:rsidRPr="001021D2">
          <w:rPr>
            <w:noProof/>
            <w:webHidden/>
          </w:rPr>
        </w:r>
        <w:r w:rsidRPr="001021D2">
          <w:rPr>
            <w:noProof/>
            <w:webHidden/>
          </w:rPr>
          <w:fldChar w:fldCharType="separate"/>
        </w:r>
        <w:r w:rsidRPr="001021D2">
          <w:rPr>
            <w:noProof/>
            <w:webHidden/>
          </w:rPr>
          <w:t>21</w:t>
        </w:r>
        <w:r w:rsidRPr="001021D2">
          <w:rPr>
            <w:noProof/>
            <w:webHidden/>
          </w:rPr>
          <w:fldChar w:fldCharType="end"/>
        </w:r>
      </w:hyperlink>
    </w:p>
    <w:p w14:paraId="0C5FE6A4" w14:textId="42F072C3" w:rsidR="002B778F" w:rsidRPr="001021D2" w:rsidRDefault="002B778F">
      <w:pPr>
        <w:pStyle w:val="TOC2"/>
        <w:rPr>
          <w:rFonts w:asciiTheme="minorHAnsi" w:eastAsiaTheme="minorEastAsia" w:hAnsiTheme="minorHAnsi" w:cstheme="minorBidi"/>
          <w:noProof/>
          <w:kern w:val="2"/>
          <w:sz w:val="24"/>
          <w:szCs w:val="24"/>
          <w14:ligatures w14:val="standardContextual"/>
        </w:rPr>
      </w:pPr>
      <w:hyperlink w:anchor="_Toc206158625" w:history="1">
        <w:r w:rsidRPr="001021D2">
          <w:rPr>
            <w:rStyle w:val="Hyperlink"/>
            <w:noProof/>
          </w:rPr>
          <w:t>10.</w:t>
        </w:r>
        <w:r w:rsidRPr="001021D2">
          <w:rPr>
            <w:rFonts w:asciiTheme="minorHAnsi" w:eastAsiaTheme="minorEastAsia" w:hAnsiTheme="minorHAnsi" w:cstheme="minorBidi"/>
            <w:noProof/>
            <w:kern w:val="2"/>
            <w:sz w:val="24"/>
            <w:szCs w:val="24"/>
            <w14:ligatures w14:val="standardContextual"/>
          </w:rPr>
          <w:tab/>
        </w:r>
        <w:r w:rsidRPr="00845BD1">
          <w:rPr>
            <w:rStyle w:val="Hyperlink"/>
            <w:noProof/>
          </w:rPr>
          <w:t>Uniform Commercial Code (UCC) Financing Statements</w:t>
        </w:r>
        <w:r w:rsidRPr="001021D2">
          <w:rPr>
            <w:noProof/>
            <w:webHidden/>
          </w:rPr>
          <w:tab/>
        </w:r>
        <w:r w:rsidRPr="001021D2">
          <w:rPr>
            <w:noProof/>
            <w:webHidden/>
          </w:rPr>
          <w:fldChar w:fldCharType="begin"/>
        </w:r>
        <w:r w:rsidRPr="001021D2">
          <w:rPr>
            <w:noProof/>
            <w:webHidden/>
          </w:rPr>
          <w:instrText xml:space="preserve"> PAGEREF _Toc206158625 \h </w:instrText>
        </w:r>
        <w:r w:rsidRPr="001021D2">
          <w:rPr>
            <w:noProof/>
            <w:webHidden/>
          </w:rPr>
        </w:r>
        <w:r w:rsidRPr="001021D2">
          <w:rPr>
            <w:noProof/>
            <w:webHidden/>
          </w:rPr>
          <w:fldChar w:fldCharType="separate"/>
        </w:r>
        <w:r w:rsidRPr="001021D2">
          <w:rPr>
            <w:noProof/>
            <w:webHidden/>
          </w:rPr>
          <w:t>22</w:t>
        </w:r>
        <w:r w:rsidRPr="001021D2">
          <w:rPr>
            <w:noProof/>
            <w:webHidden/>
          </w:rPr>
          <w:fldChar w:fldCharType="end"/>
        </w:r>
      </w:hyperlink>
    </w:p>
    <w:p w14:paraId="561FE7EF" w14:textId="58963650" w:rsidR="002B778F" w:rsidRPr="001021D2" w:rsidRDefault="002B778F">
      <w:pPr>
        <w:pStyle w:val="TOC2"/>
        <w:rPr>
          <w:rFonts w:asciiTheme="minorHAnsi" w:eastAsiaTheme="minorEastAsia" w:hAnsiTheme="minorHAnsi" w:cstheme="minorBidi"/>
          <w:noProof/>
          <w:kern w:val="2"/>
          <w:sz w:val="24"/>
          <w:szCs w:val="24"/>
          <w14:ligatures w14:val="standardContextual"/>
        </w:rPr>
      </w:pPr>
      <w:hyperlink w:anchor="_Toc206158626" w:history="1">
        <w:r w:rsidRPr="001021D2">
          <w:rPr>
            <w:rStyle w:val="Hyperlink"/>
            <w:noProof/>
          </w:rPr>
          <w:t>11.</w:t>
        </w:r>
        <w:r w:rsidRPr="001021D2">
          <w:rPr>
            <w:rFonts w:asciiTheme="minorHAnsi" w:eastAsiaTheme="minorEastAsia" w:hAnsiTheme="minorHAnsi" w:cstheme="minorBidi"/>
            <w:noProof/>
            <w:kern w:val="2"/>
            <w:sz w:val="24"/>
            <w:szCs w:val="24"/>
            <w14:ligatures w14:val="standardContextual"/>
          </w:rPr>
          <w:tab/>
        </w:r>
        <w:r w:rsidRPr="00845BD1">
          <w:rPr>
            <w:rStyle w:val="Hyperlink"/>
            <w:noProof/>
          </w:rPr>
          <w:t>Conference Spending</w:t>
        </w:r>
        <w:r w:rsidRPr="001021D2">
          <w:rPr>
            <w:noProof/>
            <w:webHidden/>
          </w:rPr>
          <w:tab/>
        </w:r>
        <w:r w:rsidRPr="001021D2">
          <w:rPr>
            <w:noProof/>
            <w:webHidden/>
          </w:rPr>
          <w:fldChar w:fldCharType="begin"/>
        </w:r>
        <w:r w:rsidRPr="001021D2">
          <w:rPr>
            <w:noProof/>
            <w:webHidden/>
          </w:rPr>
          <w:instrText xml:space="preserve"> PAGEREF _Toc206158626 \h </w:instrText>
        </w:r>
        <w:r w:rsidRPr="001021D2">
          <w:rPr>
            <w:noProof/>
            <w:webHidden/>
          </w:rPr>
        </w:r>
        <w:r w:rsidRPr="001021D2">
          <w:rPr>
            <w:noProof/>
            <w:webHidden/>
          </w:rPr>
          <w:fldChar w:fldCharType="separate"/>
        </w:r>
        <w:r w:rsidRPr="001021D2">
          <w:rPr>
            <w:noProof/>
            <w:webHidden/>
          </w:rPr>
          <w:t>22</w:t>
        </w:r>
        <w:r w:rsidRPr="001021D2">
          <w:rPr>
            <w:noProof/>
            <w:webHidden/>
          </w:rPr>
          <w:fldChar w:fldCharType="end"/>
        </w:r>
      </w:hyperlink>
    </w:p>
    <w:p w14:paraId="2111AB2B" w14:textId="63A7727B" w:rsidR="002B778F" w:rsidRPr="001021D2" w:rsidRDefault="002B778F">
      <w:pPr>
        <w:pStyle w:val="TOC2"/>
        <w:rPr>
          <w:rFonts w:asciiTheme="minorHAnsi" w:eastAsiaTheme="minorEastAsia" w:hAnsiTheme="minorHAnsi" w:cstheme="minorBidi"/>
          <w:noProof/>
          <w:kern w:val="2"/>
          <w:sz w:val="24"/>
          <w:szCs w:val="24"/>
          <w14:ligatures w14:val="standardContextual"/>
        </w:rPr>
      </w:pPr>
      <w:hyperlink w:anchor="_Toc206158627" w:history="1">
        <w:r w:rsidRPr="001021D2">
          <w:rPr>
            <w:rStyle w:val="Hyperlink"/>
            <w:noProof/>
          </w:rPr>
          <w:t>12.</w:t>
        </w:r>
        <w:r w:rsidRPr="001021D2">
          <w:rPr>
            <w:rFonts w:asciiTheme="minorHAnsi" w:eastAsiaTheme="minorEastAsia" w:hAnsiTheme="minorHAnsi" w:cstheme="minorBidi"/>
            <w:noProof/>
            <w:kern w:val="2"/>
            <w:sz w:val="24"/>
            <w:szCs w:val="24"/>
            <w14:ligatures w14:val="standardContextual"/>
          </w:rPr>
          <w:tab/>
        </w:r>
        <w:r w:rsidRPr="00845BD1">
          <w:rPr>
            <w:rStyle w:val="Hyperlink"/>
            <w:noProof/>
          </w:rPr>
          <w:t>Lobbying</w:t>
        </w:r>
        <w:r w:rsidRPr="001021D2">
          <w:rPr>
            <w:noProof/>
            <w:webHidden/>
          </w:rPr>
          <w:tab/>
        </w:r>
        <w:r w:rsidRPr="001021D2">
          <w:rPr>
            <w:noProof/>
            <w:webHidden/>
          </w:rPr>
          <w:fldChar w:fldCharType="begin"/>
        </w:r>
        <w:r w:rsidRPr="001021D2">
          <w:rPr>
            <w:noProof/>
            <w:webHidden/>
          </w:rPr>
          <w:instrText xml:space="preserve"> PAGEREF _Toc206158627 \h </w:instrText>
        </w:r>
        <w:r w:rsidRPr="001021D2">
          <w:rPr>
            <w:noProof/>
            <w:webHidden/>
          </w:rPr>
        </w:r>
        <w:r w:rsidRPr="001021D2">
          <w:rPr>
            <w:noProof/>
            <w:webHidden/>
          </w:rPr>
          <w:fldChar w:fldCharType="separate"/>
        </w:r>
        <w:r w:rsidRPr="001021D2">
          <w:rPr>
            <w:noProof/>
            <w:webHidden/>
          </w:rPr>
          <w:t>22</w:t>
        </w:r>
        <w:r w:rsidRPr="001021D2">
          <w:rPr>
            <w:noProof/>
            <w:webHidden/>
          </w:rPr>
          <w:fldChar w:fldCharType="end"/>
        </w:r>
      </w:hyperlink>
    </w:p>
    <w:p w14:paraId="3DE06750" w14:textId="089F3006" w:rsidR="002B778F" w:rsidRPr="001021D2" w:rsidRDefault="002B778F">
      <w:pPr>
        <w:pStyle w:val="TOC2"/>
        <w:rPr>
          <w:rFonts w:asciiTheme="minorHAnsi" w:eastAsiaTheme="minorEastAsia" w:hAnsiTheme="minorHAnsi" w:cstheme="minorBidi"/>
          <w:noProof/>
          <w:kern w:val="2"/>
          <w:sz w:val="24"/>
          <w:szCs w:val="24"/>
          <w14:ligatures w14:val="standardContextual"/>
        </w:rPr>
      </w:pPr>
      <w:hyperlink w:anchor="_Toc206158628" w:history="1">
        <w:r w:rsidRPr="001021D2">
          <w:rPr>
            <w:rStyle w:val="Hyperlink"/>
            <w:noProof/>
          </w:rPr>
          <w:t>13.</w:t>
        </w:r>
        <w:r w:rsidRPr="001021D2">
          <w:rPr>
            <w:rFonts w:asciiTheme="minorHAnsi" w:eastAsiaTheme="minorEastAsia" w:hAnsiTheme="minorHAnsi" w:cstheme="minorBidi"/>
            <w:noProof/>
            <w:kern w:val="2"/>
            <w:sz w:val="24"/>
            <w:szCs w:val="24"/>
            <w14:ligatures w14:val="standardContextual"/>
          </w:rPr>
          <w:tab/>
        </w:r>
        <w:r w:rsidRPr="00845BD1">
          <w:rPr>
            <w:rStyle w:val="Hyperlink"/>
            <w:noProof/>
          </w:rPr>
          <w:t>Telecommunications and Video Surveillance Services or Equipment Prohibition</w:t>
        </w:r>
        <w:r w:rsidRPr="001021D2">
          <w:rPr>
            <w:noProof/>
            <w:webHidden/>
          </w:rPr>
          <w:tab/>
        </w:r>
        <w:r w:rsidRPr="001021D2">
          <w:rPr>
            <w:noProof/>
            <w:webHidden/>
          </w:rPr>
          <w:fldChar w:fldCharType="begin"/>
        </w:r>
        <w:r w:rsidRPr="001021D2">
          <w:rPr>
            <w:noProof/>
            <w:webHidden/>
          </w:rPr>
          <w:instrText xml:space="preserve"> PAGEREF _Toc206158628 \h </w:instrText>
        </w:r>
        <w:r w:rsidRPr="001021D2">
          <w:rPr>
            <w:noProof/>
            <w:webHidden/>
          </w:rPr>
        </w:r>
        <w:r w:rsidRPr="001021D2">
          <w:rPr>
            <w:noProof/>
            <w:webHidden/>
          </w:rPr>
          <w:fldChar w:fldCharType="separate"/>
        </w:r>
        <w:r w:rsidRPr="001021D2">
          <w:rPr>
            <w:noProof/>
            <w:webHidden/>
          </w:rPr>
          <w:t>22</w:t>
        </w:r>
        <w:r w:rsidRPr="001021D2">
          <w:rPr>
            <w:noProof/>
            <w:webHidden/>
          </w:rPr>
          <w:fldChar w:fldCharType="end"/>
        </w:r>
      </w:hyperlink>
    </w:p>
    <w:p w14:paraId="64E847F8" w14:textId="0FFCBAEA" w:rsidR="002B778F" w:rsidRPr="001021D2" w:rsidRDefault="002B778F">
      <w:pPr>
        <w:pStyle w:val="TOC2"/>
        <w:rPr>
          <w:rFonts w:asciiTheme="minorHAnsi" w:eastAsiaTheme="minorEastAsia" w:hAnsiTheme="minorHAnsi" w:cstheme="minorBidi"/>
          <w:noProof/>
          <w:kern w:val="2"/>
          <w:sz w:val="24"/>
          <w:szCs w:val="24"/>
          <w14:ligatures w14:val="standardContextual"/>
        </w:rPr>
      </w:pPr>
      <w:hyperlink w:anchor="_Toc206158629" w:history="1">
        <w:r w:rsidRPr="001021D2">
          <w:rPr>
            <w:rStyle w:val="Hyperlink"/>
            <w:noProof/>
          </w:rPr>
          <w:t>14.</w:t>
        </w:r>
        <w:r w:rsidRPr="001021D2">
          <w:rPr>
            <w:rFonts w:asciiTheme="minorHAnsi" w:eastAsiaTheme="minorEastAsia" w:hAnsiTheme="minorHAnsi" w:cstheme="minorBidi"/>
            <w:noProof/>
            <w:kern w:val="2"/>
            <w:sz w:val="24"/>
            <w:szCs w:val="24"/>
            <w14:ligatures w14:val="standardContextual"/>
          </w:rPr>
          <w:tab/>
        </w:r>
        <w:r w:rsidRPr="00845BD1">
          <w:rPr>
            <w:rStyle w:val="Hyperlink"/>
            <w:noProof/>
          </w:rPr>
          <w:t>Affirmative Action and Pay Transparency Requirements</w:t>
        </w:r>
        <w:r w:rsidRPr="001021D2">
          <w:rPr>
            <w:noProof/>
            <w:webHidden/>
          </w:rPr>
          <w:tab/>
        </w:r>
        <w:r w:rsidRPr="001021D2">
          <w:rPr>
            <w:noProof/>
            <w:webHidden/>
          </w:rPr>
          <w:fldChar w:fldCharType="begin"/>
        </w:r>
        <w:r w:rsidRPr="001021D2">
          <w:rPr>
            <w:noProof/>
            <w:webHidden/>
          </w:rPr>
          <w:instrText xml:space="preserve"> PAGEREF _Toc206158629 \h </w:instrText>
        </w:r>
        <w:r w:rsidRPr="001021D2">
          <w:rPr>
            <w:noProof/>
            <w:webHidden/>
          </w:rPr>
        </w:r>
        <w:r w:rsidRPr="001021D2">
          <w:rPr>
            <w:noProof/>
            <w:webHidden/>
          </w:rPr>
          <w:fldChar w:fldCharType="separate"/>
        </w:r>
        <w:r w:rsidRPr="001021D2">
          <w:rPr>
            <w:noProof/>
            <w:webHidden/>
          </w:rPr>
          <w:t>23</w:t>
        </w:r>
        <w:r w:rsidRPr="001021D2">
          <w:rPr>
            <w:noProof/>
            <w:webHidden/>
          </w:rPr>
          <w:fldChar w:fldCharType="end"/>
        </w:r>
      </w:hyperlink>
    </w:p>
    <w:p w14:paraId="3E1DE21D" w14:textId="797FF9AB" w:rsidR="002B778F" w:rsidRPr="001021D2" w:rsidRDefault="002B778F">
      <w:pPr>
        <w:pStyle w:val="TOC2"/>
        <w:rPr>
          <w:rFonts w:asciiTheme="minorHAnsi" w:eastAsiaTheme="minorEastAsia" w:hAnsiTheme="minorHAnsi" w:cstheme="minorBidi"/>
          <w:noProof/>
          <w:kern w:val="2"/>
          <w:sz w:val="24"/>
          <w:szCs w:val="24"/>
          <w14:ligatures w14:val="standardContextual"/>
        </w:rPr>
      </w:pPr>
      <w:hyperlink w:anchor="_Toc206158630" w:history="1">
        <w:r w:rsidRPr="001021D2">
          <w:rPr>
            <w:rStyle w:val="Hyperlink"/>
            <w:noProof/>
          </w:rPr>
          <w:t>15.</w:t>
        </w:r>
        <w:r w:rsidRPr="001021D2">
          <w:rPr>
            <w:rFonts w:asciiTheme="minorHAnsi" w:eastAsiaTheme="minorEastAsia" w:hAnsiTheme="minorHAnsi" w:cstheme="minorBidi"/>
            <w:noProof/>
            <w:kern w:val="2"/>
            <w:sz w:val="24"/>
            <w:szCs w:val="24"/>
            <w14:ligatures w14:val="standardContextual"/>
          </w:rPr>
          <w:tab/>
        </w:r>
        <w:r w:rsidRPr="00845BD1">
          <w:rPr>
            <w:rStyle w:val="Hyperlink"/>
            <w:noProof/>
          </w:rPr>
          <w:t>Nondiscrimination</w:t>
        </w:r>
        <w:r w:rsidRPr="001021D2">
          <w:rPr>
            <w:noProof/>
            <w:webHidden/>
          </w:rPr>
          <w:tab/>
        </w:r>
        <w:r w:rsidRPr="001021D2">
          <w:rPr>
            <w:noProof/>
            <w:webHidden/>
          </w:rPr>
          <w:fldChar w:fldCharType="begin"/>
        </w:r>
        <w:r w:rsidRPr="001021D2">
          <w:rPr>
            <w:noProof/>
            <w:webHidden/>
          </w:rPr>
          <w:instrText xml:space="preserve"> PAGEREF _Toc206158630 \h </w:instrText>
        </w:r>
        <w:r w:rsidRPr="001021D2">
          <w:rPr>
            <w:noProof/>
            <w:webHidden/>
          </w:rPr>
        </w:r>
        <w:r w:rsidRPr="001021D2">
          <w:rPr>
            <w:noProof/>
            <w:webHidden/>
          </w:rPr>
          <w:fldChar w:fldCharType="separate"/>
        </w:r>
        <w:r w:rsidRPr="001021D2">
          <w:rPr>
            <w:noProof/>
            <w:webHidden/>
          </w:rPr>
          <w:t>24</w:t>
        </w:r>
        <w:r w:rsidRPr="001021D2">
          <w:rPr>
            <w:noProof/>
            <w:webHidden/>
          </w:rPr>
          <w:fldChar w:fldCharType="end"/>
        </w:r>
      </w:hyperlink>
    </w:p>
    <w:p w14:paraId="1B785764" w14:textId="57B00B3F" w:rsidR="002B778F" w:rsidRPr="001021D2" w:rsidRDefault="002B778F">
      <w:pPr>
        <w:pStyle w:val="TOC2"/>
        <w:rPr>
          <w:rFonts w:asciiTheme="minorHAnsi" w:eastAsiaTheme="minorEastAsia" w:hAnsiTheme="minorHAnsi" w:cstheme="minorBidi"/>
          <w:noProof/>
          <w:kern w:val="2"/>
          <w:sz w:val="24"/>
          <w:szCs w:val="24"/>
          <w14:ligatures w14:val="standardContextual"/>
        </w:rPr>
      </w:pPr>
      <w:hyperlink w:anchor="_Toc206158631" w:history="1">
        <w:r w:rsidRPr="001021D2">
          <w:rPr>
            <w:rStyle w:val="Hyperlink"/>
            <w:noProof/>
          </w:rPr>
          <w:t>16.</w:t>
        </w:r>
        <w:r w:rsidRPr="001021D2">
          <w:rPr>
            <w:rFonts w:asciiTheme="minorHAnsi" w:eastAsiaTheme="minorEastAsia" w:hAnsiTheme="minorHAnsi" w:cstheme="minorBidi"/>
            <w:noProof/>
            <w:kern w:val="2"/>
            <w:sz w:val="24"/>
            <w:szCs w:val="24"/>
            <w14:ligatures w14:val="standardContextual"/>
          </w:rPr>
          <w:tab/>
        </w:r>
        <w:r w:rsidRPr="00845BD1">
          <w:rPr>
            <w:rStyle w:val="Hyperlink"/>
            <w:noProof/>
          </w:rPr>
          <w:t>Americans with Disabilities Act of 1990</w:t>
        </w:r>
        <w:r w:rsidRPr="001021D2">
          <w:rPr>
            <w:noProof/>
            <w:webHidden/>
          </w:rPr>
          <w:tab/>
        </w:r>
        <w:r w:rsidRPr="001021D2">
          <w:rPr>
            <w:noProof/>
            <w:webHidden/>
          </w:rPr>
          <w:fldChar w:fldCharType="begin"/>
        </w:r>
        <w:r w:rsidRPr="001021D2">
          <w:rPr>
            <w:noProof/>
            <w:webHidden/>
          </w:rPr>
          <w:instrText xml:space="preserve"> PAGEREF _Toc206158631 \h </w:instrText>
        </w:r>
        <w:r w:rsidRPr="001021D2">
          <w:rPr>
            <w:noProof/>
            <w:webHidden/>
          </w:rPr>
        </w:r>
        <w:r w:rsidRPr="001021D2">
          <w:rPr>
            <w:noProof/>
            <w:webHidden/>
          </w:rPr>
          <w:fldChar w:fldCharType="separate"/>
        </w:r>
        <w:r w:rsidRPr="001021D2">
          <w:rPr>
            <w:noProof/>
            <w:webHidden/>
          </w:rPr>
          <w:t>24</w:t>
        </w:r>
        <w:r w:rsidRPr="001021D2">
          <w:rPr>
            <w:noProof/>
            <w:webHidden/>
          </w:rPr>
          <w:fldChar w:fldCharType="end"/>
        </w:r>
      </w:hyperlink>
    </w:p>
    <w:p w14:paraId="72BD5D88" w14:textId="4B8628D9" w:rsidR="002B778F" w:rsidRPr="001021D2" w:rsidRDefault="002B778F">
      <w:pPr>
        <w:pStyle w:val="TOC2"/>
        <w:rPr>
          <w:rFonts w:asciiTheme="minorHAnsi" w:eastAsiaTheme="minorEastAsia" w:hAnsiTheme="minorHAnsi" w:cstheme="minorBidi"/>
          <w:noProof/>
          <w:kern w:val="2"/>
          <w:sz w:val="24"/>
          <w:szCs w:val="24"/>
          <w14:ligatures w14:val="standardContextual"/>
        </w:rPr>
      </w:pPr>
      <w:hyperlink w:anchor="_Toc206158632" w:history="1">
        <w:r w:rsidRPr="001021D2">
          <w:rPr>
            <w:rStyle w:val="Hyperlink"/>
            <w:noProof/>
          </w:rPr>
          <w:t>17.</w:t>
        </w:r>
        <w:r w:rsidRPr="001021D2">
          <w:rPr>
            <w:rFonts w:asciiTheme="minorHAnsi" w:eastAsiaTheme="minorEastAsia" w:hAnsiTheme="minorHAnsi" w:cstheme="minorBidi"/>
            <w:noProof/>
            <w:kern w:val="2"/>
            <w:sz w:val="24"/>
            <w:szCs w:val="24"/>
            <w14:ligatures w14:val="standardContextual"/>
          </w:rPr>
          <w:tab/>
        </w:r>
        <w:r w:rsidRPr="00845BD1">
          <w:rPr>
            <w:rStyle w:val="Hyperlink"/>
            <w:noProof/>
          </w:rPr>
          <w:t>Promoting Free Speech and Religious Liberty</w:t>
        </w:r>
        <w:r w:rsidRPr="001021D2">
          <w:rPr>
            <w:noProof/>
            <w:webHidden/>
          </w:rPr>
          <w:tab/>
        </w:r>
        <w:r w:rsidRPr="001021D2">
          <w:rPr>
            <w:noProof/>
            <w:webHidden/>
          </w:rPr>
          <w:fldChar w:fldCharType="begin"/>
        </w:r>
        <w:r w:rsidRPr="001021D2">
          <w:rPr>
            <w:noProof/>
            <w:webHidden/>
          </w:rPr>
          <w:instrText xml:space="preserve"> PAGEREF _Toc206158632 \h </w:instrText>
        </w:r>
        <w:r w:rsidRPr="001021D2">
          <w:rPr>
            <w:noProof/>
            <w:webHidden/>
          </w:rPr>
        </w:r>
        <w:r w:rsidRPr="001021D2">
          <w:rPr>
            <w:noProof/>
            <w:webHidden/>
          </w:rPr>
          <w:fldChar w:fldCharType="separate"/>
        </w:r>
        <w:r w:rsidRPr="001021D2">
          <w:rPr>
            <w:noProof/>
            <w:webHidden/>
          </w:rPr>
          <w:t>24</w:t>
        </w:r>
        <w:r w:rsidRPr="001021D2">
          <w:rPr>
            <w:noProof/>
            <w:webHidden/>
          </w:rPr>
          <w:fldChar w:fldCharType="end"/>
        </w:r>
      </w:hyperlink>
    </w:p>
    <w:p w14:paraId="65BA322D" w14:textId="6813F367" w:rsidR="002B778F" w:rsidRPr="001021D2" w:rsidRDefault="002B778F">
      <w:pPr>
        <w:pStyle w:val="TOC2"/>
        <w:rPr>
          <w:rFonts w:asciiTheme="minorHAnsi" w:eastAsiaTheme="minorEastAsia" w:hAnsiTheme="minorHAnsi" w:cstheme="minorBidi"/>
          <w:noProof/>
          <w:kern w:val="2"/>
          <w:sz w:val="24"/>
          <w:szCs w:val="24"/>
          <w14:ligatures w14:val="standardContextual"/>
        </w:rPr>
      </w:pPr>
      <w:hyperlink w:anchor="_Toc206158633" w:history="1">
        <w:r w:rsidRPr="001021D2">
          <w:rPr>
            <w:rStyle w:val="Hyperlink"/>
            <w:noProof/>
          </w:rPr>
          <w:t>18.</w:t>
        </w:r>
        <w:r w:rsidRPr="001021D2">
          <w:rPr>
            <w:rFonts w:asciiTheme="minorHAnsi" w:eastAsiaTheme="minorEastAsia" w:hAnsiTheme="minorHAnsi" w:cstheme="minorBidi"/>
            <w:noProof/>
            <w:kern w:val="2"/>
            <w:sz w:val="24"/>
            <w:szCs w:val="24"/>
            <w14:ligatures w14:val="standardContextual"/>
          </w:rPr>
          <w:tab/>
        </w:r>
        <w:r w:rsidRPr="00845BD1">
          <w:rPr>
            <w:rStyle w:val="Hyperlink"/>
            <w:noProof/>
          </w:rPr>
          <w:t>Nondisclosure and Confidentiality Agreement Assurances</w:t>
        </w:r>
        <w:r w:rsidRPr="001021D2">
          <w:rPr>
            <w:noProof/>
            <w:webHidden/>
          </w:rPr>
          <w:tab/>
        </w:r>
        <w:r w:rsidRPr="001021D2">
          <w:rPr>
            <w:noProof/>
            <w:webHidden/>
          </w:rPr>
          <w:fldChar w:fldCharType="begin"/>
        </w:r>
        <w:r w:rsidRPr="001021D2">
          <w:rPr>
            <w:noProof/>
            <w:webHidden/>
          </w:rPr>
          <w:instrText xml:space="preserve"> PAGEREF _Toc206158633 \h </w:instrText>
        </w:r>
        <w:r w:rsidRPr="001021D2">
          <w:rPr>
            <w:noProof/>
            <w:webHidden/>
          </w:rPr>
        </w:r>
        <w:r w:rsidRPr="001021D2">
          <w:rPr>
            <w:noProof/>
            <w:webHidden/>
          </w:rPr>
          <w:fldChar w:fldCharType="separate"/>
        </w:r>
        <w:r w:rsidRPr="001021D2">
          <w:rPr>
            <w:noProof/>
            <w:webHidden/>
          </w:rPr>
          <w:t>24</w:t>
        </w:r>
        <w:r w:rsidRPr="001021D2">
          <w:rPr>
            <w:noProof/>
            <w:webHidden/>
          </w:rPr>
          <w:fldChar w:fldCharType="end"/>
        </w:r>
      </w:hyperlink>
    </w:p>
    <w:p w14:paraId="3323C748" w14:textId="68A56A3B" w:rsidR="002B778F" w:rsidRPr="001021D2" w:rsidRDefault="002B778F">
      <w:pPr>
        <w:pStyle w:val="TOC2"/>
        <w:rPr>
          <w:rFonts w:asciiTheme="minorHAnsi" w:eastAsiaTheme="minorEastAsia" w:hAnsiTheme="minorHAnsi" w:cstheme="minorBidi"/>
          <w:noProof/>
          <w:kern w:val="2"/>
          <w:sz w:val="24"/>
          <w:szCs w:val="24"/>
          <w14:ligatures w14:val="standardContextual"/>
        </w:rPr>
      </w:pPr>
      <w:hyperlink w:anchor="_Toc206158634" w:history="1">
        <w:r w:rsidRPr="001021D2">
          <w:rPr>
            <w:rStyle w:val="Hyperlink"/>
            <w:noProof/>
          </w:rPr>
          <w:t>19.</w:t>
        </w:r>
        <w:r w:rsidRPr="001021D2">
          <w:rPr>
            <w:rFonts w:asciiTheme="minorHAnsi" w:eastAsiaTheme="minorEastAsia" w:hAnsiTheme="minorHAnsi" w:cstheme="minorBidi"/>
            <w:noProof/>
            <w:kern w:val="2"/>
            <w:sz w:val="24"/>
            <w:szCs w:val="24"/>
            <w14:ligatures w14:val="standardContextual"/>
          </w:rPr>
          <w:tab/>
        </w:r>
        <w:r w:rsidRPr="00845BD1">
          <w:rPr>
            <w:rStyle w:val="Hyperlink"/>
            <w:noProof/>
          </w:rPr>
          <w:t>Export Control</w:t>
        </w:r>
        <w:r w:rsidRPr="001021D2">
          <w:rPr>
            <w:noProof/>
            <w:webHidden/>
          </w:rPr>
          <w:tab/>
        </w:r>
        <w:r w:rsidRPr="001021D2">
          <w:rPr>
            <w:noProof/>
            <w:webHidden/>
          </w:rPr>
          <w:fldChar w:fldCharType="begin"/>
        </w:r>
        <w:r w:rsidRPr="001021D2">
          <w:rPr>
            <w:noProof/>
            <w:webHidden/>
          </w:rPr>
          <w:instrText xml:space="preserve"> PAGEREF _Toc206158634 \h </w:instrText>
        </w:r>
        <w:r w:rsidRPr="001021D2">
          <w:rPr>
            <w:noProof/>
            <w:webHidden/>
          </w:rPr>
        </w:r>
        <w:r w:rsidRPr="001021D2">
          <w:rPr>
            <w:noProof/>
            <w:webHidden/>
          </w:rPr>
          <w:fldChar w:fldCharType="separate"/>
        </w:r>
        <w:r w:rsidRPr="001021D2">
          <w:rPr>
            <w:noProof/>
            <w:webHidden/>
          </w:rPr>
          <w:t>25</w:t>
        </w:r>
        <w:r w:rsidRPr="001021D2">
          <w:rPr>
            <w:noProof/>
            <w:webHidden/>
          </w:rPr>
          <w:fldChar w:fldCharType="end"/>
        </w:r>
      </w:hyperlink>
    </w:p>
    <w:p w14:paraId="7EA0F450" w14:textId="0A9D07E1" w:rsidR="002B778F" w:rsidRPr="001021D2" w:rsidRDefault="002B778F">
      <w:pPr>
        <w:pStyle w:val="TOC2"/>
        <w:rPr>
          <w:rFonts w:asciiTheme="minorHAnsi" w:eastAsiaTheme="minorEastAsia" w:hAnsiTheme="minorHAnsi" w:cstheme="minorBidi"/>
          <w:noProof/>
          <w:kern w:val="2"/>
          <w:sz w:val="24"/>
          <w:szCs w:val="24"/>
          <w14:ligatures w14:val="standardContextual"/>
        </w:rPr>
      </w:pPr>
      <w:hyperlink w:anchor="_Toc206158635" w:history="1">
        <w:r w:rsidRPr="001021D2">
          <w:rPr>
            <w:rStyle w:val="Hyperlink"/>
            <w:noProof/>
          </w:rPr>
          <w:t>20.</w:t>
        </w:r>
        <w:r w:rsidRPr="001021D2">
          <w:rPr>
            <w:rFonts w:asciiTheme="minorHAnsi" w:eastAsiaTheme="minorEastAsia" w:hAnsiTheme="minorHAnsi" w:cstheme="minorBidi"/>
            <w:noProof/>
            <w:kern w:val="2"/>
            <w:sz w:val="24"/>
            <w:szCs w:val="24"/>
            <w14:ligatures w14:val="standardContextual"/>
          </w:rPr>
          <w:tab/>
        </w:r>
        <w:r w:rsidRPr="00845BD1">
          <w:rPr>
            <w:rStyle w:val="Hyperlink"/>
            <w:noProof/>
          </w:rPr>
          <w:t>Corporate Felony Conviction and Federal Tax Liability Assurances</w:t>
        </w:r>
        <w:r w:rsidRPr="001021D2">
          <w:rPr>
            <w:noProof/>
            <w:webHidden/>
          </w:rPr>
          <w:tab/>
        </w:r>
        <w:r w:rsidRPr="001021D2">
          <w:rPr>
            <w:noProof/>
            <w:webHidden/>
          </w:rPr>
          <w:fldChar w:fldCharType="begin"/>
        </w:r>
        <w:r w:rsidRPr="001021D2">
          <w:rPr>
            <w:noProof/>
            <w:webHidden/>
          </w:rPr>
          <w:instrText xml:space="preserve"> PAGEREF _Toc206158635 \h </w:instrText>
        </w:r>
        <w:r w:rsidRPr="001021D2">
          <w:rPr>
            <w:noProof/>
            <w:webHidden/>
          </w:rPr>
        </w:r>
        <w:r w:rsidRPr="001021D2">
          <w:rPr>
            <w:noProof/>
            <w:webHidden/>
          </w:rPr>
          <w:fldChar w:fldCharType="separate"/>
        </w:r>
        <w:r w:rsidRPr="001021D2">
          <w:rPr>
            <w:noProof/>
            <w:webHidden/>
          </w:rPr>
          <w:t>25</w:t>
        </w:r>
        <w:r w:rsidRPr="001021D2">
          <w:rPr>
            <w:noProof/>
            <w:webHidden/>
          </w:rPr>
          <w:fldChar w:fldCharType="end"/>
        </w:r>
      </w:hyperlink>
    </w:p>
    <w:p w14:paraId="7FC9951F" w14:textId="5C466245" w:rsidR="002B778F" w:rsidRPr="001021D2" w:rsidRDefault="002B778F">
      <w:pPr>
        <w:pStyle w:val="TOC2"/>
        <w:rPr>
          <w:rFonts w:asciiTheme="minorHAnsi" w:eastAsiaTheme="minorEastAsia" w:hAnsiTheme="minorHAnsi" w:cstheme="minorBidi"/>
          <w:noProof/>
          <w:kern w:val="2"/>
          <w:sz w:val="24"/>
          <w:szCs w:val="24"/>
          <w14:ligatures w14:val="standardContextual"/>
        </w:rPr>
      </w:pPr>
      <w:hyperlink w:anchor="_Toc206158636" w:history="1">
        <w:r w:rsidRPr="001021D2">
          <w:rPr>
            <w:rStyle w:val="Hyperlink"/>
            <w:noProof/>
          </w:rPr>
          <w:t>21.</w:t>
        </w:r>
        <w:r w:rsidRPr="001021D2">
          <w:rPr>
            <w:rFonts w:asciiTheme="minorHAnsi" w:eastAsiaTheme="minorEastAsia" w:hAnsiTheme="minorHAnsi" w:cstheme="minorBidi"/>
            <w:noProof/>
            <w:kern w:val="2"/>
            <w:sz w:val="24"/>
            <w:szCs w:val="24"/>
            <w14:ligatures w14:val="standardContextual"/>
          </w:rPr>
          <w:tab/>
        </w:r>
        <w:r w:rsidRPr="00845BD1">
          <w:rPr>
            <w:rStyle w:val="Hyperlink"/>
            <w:noProof/>
          </w:rPr>
          <w:t>Insolvency, Bankruptcy or Receivership</w:t>
        </w:r>
        <w:r w:rsidRPr="001021D2">
          <w:rPr>
            <w:noProof/>
            <w:webHidden/>
          </w:rPr>
          <w:tab/>
        </w:r>
        <w:r w:rsidRPr="001021D2">
          <w:rPr>
            <w:noProof/>
            <w:webHidden/>
          </w:rPr>
          <w:fldChar w:fldCharType="begin"/>
        </w:r>
        <w:r w:rsidRPr="001021D2">
          <w:rPr>
            <w:noProof/>
            <w:webHidden/>
          </w:rPr>
          <w:instrText xml:space="preserve"> PAGEREF _Toc206158636 \h </w:instrText>
        </w:r>
        <w:r w:rsidRPr="001021D2">
          <w:rPr>
            <w:noProof/>
            <w:webHidden/>
          </w:rPr>
        </w:r>
        <w:r w:rsidRPr="001021D2">
          <w:rPr>
            <w:noProof/>
            <w:webHidden/>
          </w:rPr>
          <w:fldChar w:fldCharType="separate"/>
        </w:r>
        <w:r w:rsidRPr="001021D2">
          <w:rPr>
            <w:noProof/>
            <w:webHidden/>
          </w:rPr>
          <w:t>26</w:t>
        </w:r>
        <w:r w:rsidRPr="001021D2">
          <w:rPr>
            <w:noProof/>
            <w:webHidden/>
          </w:rPr>
          <w:fldChar w:fldCharType="end"/>
        </w:r>
      </w:hyperlink>
    </w:p>
    <w:p w14:paraId="736AD466" w14:textId="6E6C9484" w:rsidR="002B778F" w:rsidRPr="001021D2" w:rsidRDefault="002B778F">
      <w:pPr>
        <w:pStyle w:val="TOC2"/>
        <w:rPr>
          <w:rFonts w:asciiTheme="minorHAnsi" w:eastAsiaTheme="minorEastAsia" w:hAnsiTheme="minorHAnsi" w:cstheme="minorBidi"/>
          <w:noProof/>
          <w:kern w:val="2"/>
          <w:sz w:val="24"/>
          <w:szCs w:val="24"/>
          <w14:ligatures w14:val="standardContextual"/>
        </w:rPr>
      </w:pPr>
      <w:hyperlink w:anchor="_Toc206158637" w:history="1">
        <w:r w:rsidRPr="001021D2">
          <w:rPr>
            <w:rStyle w:val="Hyperlink"/>
            <w:noProof/>
          </w:rPr>
          <w:t>22.</w:t>
        </w:r>
        <w:r w:rsidRPr="001021D2">
          <w:rPr>
            <w:rFonts w:asciiTheme="minorHAnsi" w:eastAsiaTheme="minorEastAsia" w:hAnsiTheme="minorHAnsi" w:cstheme="minorBidi"/>
            <w:noProof/>
            <w:kern w:val="2"/>
            <w:sz w:val="24"/>
            <w:szCs w:val="24"/>
            <w14:ligatures w14:val="standardContextual"/>
          </w:rPr>
          <w:tab/>
        </w:r>
        <w:r w:rsidRPr="00845BD1">
          <w:rPr>
            <w:rStyle w:val="Hyperlink"/>
            <w:noProof/>
          </w:rPr>
          <w:t>Contract Provisions for Non-Federal Entity Contracts Under Federal Awards</w:t>
        </w:r>
        <w:r w:rsidRPr="001021D2">
          <w:rPr>
            <w:noProof/>
            <w:webHidden/>
          </w:rPr>
          <w:tab/>
        </w:r>
        <w:r w:rsidRPr="001021D2">
          <w:rPr>
            <w:noProof/>
            <w:webHidden/>
          </w:rPr>
          <w:fldChar w:fldCharType="begin"/>
        </w:r>
        <w:r w:rsidRPr="001021D2">
          <w:rPr>
            <w:noProof/>
            <w:webHidden/>
          </w:rPr>
          <w:instrText xml:space="preserve"> PAGEREF _Toc206158637 \h </w:instrText>
        </w:r>
        <w:r w:rsidRPr="001021D2">
          <w:rPr>
            <w:noProof/>
            <w:webHidden/>
          </w:rPr>
        </w:r>
        <w:r w:rsidRPr="001021D2">
          <w:rPr>
            <w:noProof/>
            <w:webHidden/>
          </w:rPr>
          <w:fldChar w:fldCharType="separate"/>
        </w:r>
        <w:r w:rsidRPr="001021D2">
          <w:rPr>
            <w:noProof/>
            <w:webHidden/>
          </w:rPr>
          <w:t>26</w:t>
        </w:r>
        <w:r w:rsidRPr="001021D2">
          <w:rPr>
            <w:noProof/>
            <w:webHidden/>
          </w:rPr>
          <w:fldChar w:fldCharType="end"/>
        </w:r>
      </w:hyperlink>
    </w:p>
    <w:p w14:paraId="64633CEC" w14:textId="19A049C4" w:rsidR="002B778F" w:rsidRPr="001021D2" w:rsidRDefault="002B778F">
      <w:pPr>
        <w:pStyle w:val="TOC2"/>
        <w:rPr>
          <w:rFonts w:asciiTheme="minorHAnsi" w:eastAsiaTheme="minorEastAsia" w:hAnsiTheme="minorHAnsi" w:cstheme="minorBidi"/>
          <w:noProof/>
          <w:kern w:val="2"/>
          <w:sz w:val="24"/>
          <w:szCs w:val="24"/>
          <w14:ligatures w14:val="standardContextual"/>
        </w:rPr>
      </w:pPr>
      <w:hyperlink w:anchor="_Toc206158638" w:history="1">
        <w:r w:rsidRPr="001021D2">
          <w:rPr>
            <w:rStyle w:val="Hyperlink"/>
            <w:noProof/>
          </w:rPr>
          <w:t>23.</w:t>
        </w:r>
        <w:r w:rsidRPr="001021D2">
          <w:rPr>
            <w:rFonts w:asciiTheme="minorHAnsi" w:eastAsiaTheme="minorEastAsia" w:hAnsiTheme="minorHAnsi" w:cstheme="minorBidi"/>
            <w:noProof/>
            <w:kern w:val="2"/>
            <w:sz w:val="24"/>
            <w:szCs w:val="24"/>
            <w14:ligatures w14:val="standardContextual"/>
          </w:rPr>
          <w:tab/>
        </w:r>
        <w:r w:rsidRPr="00845BD1">
          <w:rPr>
            <w:rStyle w:val="Hyperlink"/>
            <w:noProof/>
          </w:rPr>
          <w:t>Final Incurred Cost Audit</w:t>
        </w:r>
        <w:r w:rsidRPr="001021D2">
          <w:rPr>
            <w:noProof/>
            <w:webHidden/>
          </w:rPr>
          <w:tab/>
        </w:r>
        <w:r w:rsidRPr="001021D2">
          <w:rPr>
            <w:noProof/>
            <w:webHidden/>
          </w:rPr>
          <w:fldChar w:fldCharType="begin"/>
        </w:r>
        <w:r w:rsidRPr="001021D2">
          <w:rPr>
            <w:noProof/>
            <w:webHidden/>
          </w:rPr>
          <w:instrText xml:space="preserve"> PAGEREF _Toc206158638 \h </w:instrText>
        </w:r>
        <w:r w:rsidRPr="001021D2">
          <w:rPr>
            <w:noProof/>
            <w:webHidden/>
          </w:rPr>
        </w:r>
        <w:r w:rsidRPr="001021D2">
          <w:rPr>
            <w:noProof/>
            <w:webHidden/>
          </w:rPr>
          <w:fldChar w:fldCharType="separate"/>
        </w:r>
        <w:r w:rsidRPr="001021D2">
          <w:rPr>
            <w:noProof/>
            <w:webHidden/>
          </w:rPr>
          <w:t>28</w:t>
        </w:r>
        <w:r w:rsidRPr="001021D2">
          <w:rPr>
            <w:noProof/>
            <w:webHidden/>
          </w:rPr>
          <w:fldChar w:fldCharType="end"/>
        </w:r>
      </w:hyperlink>
    </w:p>
    <w:p w14:paraId="4E250AEA" w14:textId="27A8340B" w:rsidR="002B778F" w:rsidRPr="001021D2" w:rsidRDefault="002B778F">
      <w:pPr>
        <w:pStyle w:val="TOC2"/>
        <w:rPr>
          <w:rFonts w:asciiTheme="minorHAnsi" w:eastAsiaTheme="minorEastAsia" w:hAnsiTheme="minorHAnsi" w:cstheme="minorBidi"/>
          <w:noProof/>
          <w:kern w:val="2"/>
          <w:sz w:val="24"/>
          <w:szCs w:val="24"/>
          <w14:ligatures w14:val="standardContextual"/>
        </w:rPr>
      </w:pPr>
      <w:hyperlink w:anchor="_Toc206158639" w:history="1">
        <w:r w:rsidRPr="001021D2">
          <w:rPr>
            <w:rStyle w:val="Hyperlink"/>
            <w:noProof/>
          </w:rPr>
          <w:t>24.</w:t>
        </w:r>
        <w:r w:rsidRPr="001021D2">
          <w:rPr>
            <w:rFonts w:asciiTheme="minorHAnsi" w:eastAsiaTheme="minorEastAsia" w:hAnsiTheme="minorHAnsi" w:cstheme="minorBidi"/>
            <w:noProof/>
            <w:kern w:val="2"/>
            <w:sz w:val="24"/>
            <w:szCs w:val="24"/>
            <w14:ligatures w14:val="standardContextual"/>
          </w:rPr>
          <w:tab/>
        </w:r>
        <w:r w:rsidRPr="00845BD1">
          <w:rPr>
            <w:rStyle w:val="Hyperlink"/>
            <w:noProof/>
          </w:rPr>
          <w:t>Required Reporting under the Federal Funding and Transparency Act of 2006</w:t>
        </w:r>
        <w:r w:rsidRPr="001021D2">
          <w:rPr>
            <w:noProof/>
            <w:webHidden/>
          </w:rPr>
          <w:tab/>
        </w:r>
        <w:r w:rsidRPr="001021D2">
          <w:rPr>
            <w:noProof/>
            <w:webHidden/>
          </w:rPr>
          <w:fldChar w:fldCharType="begin"/>
        </w:r>
        <w:r w:rsidRPr="001021D2">
          <w:rPr>
            <w:noProof/>
            <w:webHidden/>
          </w:rPr>
          <w:instrText xml:space="preserve"> PAGEREF _Toc206158639 \h </w:instrText>
        </w:r>
        <w:r w:rsidRPr="001021D2">
          <w:rPr>
            <w:noProof/>
            <w:webHidden/>
          </w:rPr>
        </w:r>
        <w:r w:rsidRPr="001021D2">
          <w:rPr>
            <w:noProof/>
            <w:webHidden/>
          </w:rPr>
          <w:fldChar w:fldCharType="separate"/>
        </w:r>
        <w:r w:rsidRPr="001021D2">
          <w:rPr>
            <w:noProof/>
            <w:webHidden/>
          </w:rPr>
          <w:t>28</w:t>
        </w:r>
        <w:r w:rsidRPr="001021D2">
          <w:rPr>
            <w:noProof/>
            <w:webHidden/>
          </w:rPr>
          <w:fldChar w:fldCharType="end"/>
        </w:r>
      </w:hyperlink>
    </w:p>
    <w:p w14:paraId="7E20A366" w14:textId="314A56BD" w:rsidR="002B778F" w:rsidRPr="001021D2" w:rsidRDefault="002B778F">
      <w:pPr>
        <w:pStyle w:val="TOC2"/>
        <w:rPr>
          <w:rFonts w:asciiTheme="minorHAnsi" w:eastAsiaTheme="minorEastAsia" w:hAnsiTheme="minorHAnsi" w:cstheme="minorBidi"/>
          <w:noProof/>
          <w:kern w:val="2"/>
          <w:sz w:val="24"/>
          <w:szCs w:val="24"/>
          <w14:ligatures w14:val="standardContextual"/>
        </w:rPr>
      </w:pPr>
      <w:hyperlink w:anchor="_Toc206158640" w:history="1">
        <w:r w:rsidRPr="001021D2">
          <w:rPr>
            <w:rStyle w:val="Hyperlink"/>
            <w:noProof/>
          </w:rPr>
          <w:t>25.</w:t>
        </w:r>
        <w:r w:rsidRPr="001021D2">
          <w:rPr>
            <w:rFonts w:asciiTheme="minorHAnsi" w:eastAsiaTheme="minorEastAsia" w:hAnsiTheme="minorHAnsi" w:cstheme="minorBidi"/>
            <w:noProof/>
            <w:kern w:val="2"/>
            <w:sz w:val="24"/>
            <w:szCs w:val="24"/>
            <w14:ligatures w14:val="standardContextual"/>
          </w:rPr>
          <w:tab/>
        </w:r>
        <w:r w:rsidRPr="00845BD1">
          <w:rPr>
            <w:rStyle w:val="Hyperlink"/>
            <w:noProof/>
          </w:rPr>
          <w:t>Unique Entity Identifier</w:t>
        </w:r>
        <w:r w:rsidRPr="001021D2">
          <w:rPr>
            <w:noProof/>
            <w:webHidden/>
          </w:rPr>
          <w:tab/>
        </w:r>
        <w:r w:rsidRPr="001021D2">
          <w:rPr>
            <w:noProof/>
            <w:webHidden/>
          </w:rPr>
          <w:fldChar w:fldCharType="begin"/>
        </w:r>
        <w:r w:rsidRPr="001021D2">
          <w:rPr>
            <w:noProof/>
            <w:webHidden/>
          </w:rPr>
          <w:instrText xml:space="preserve"> PAGEREF _Toc206158640 \h </w:instrText>
        </w:r>
        <w:r w:rsidRPr="001021D2">
          <w:rPr>
            <w:noProof/>
            <w:webHidden/>
          </w:rPr>
        </w:r>
        <w:r w:rsidRPr="001021D2">
          <w:rPr>
            <w:noProof/>
            <w:webHidden/>
          </w:rPr>
          <w:fldChar w:fldCharType="separate"/>
        </w:r>
        <w:r w:rsidRPr="001021D2">
          <w:rPr>
            <w:noProof/>
            <w:webHidden/>
          </w:rPr>
          <w:t>29</w:t>
        </w:r>
        <w:r w:rsidRPr="001021D2">
          <w:rPr>
            <w:noProof/>
            <w:webHidden/>
          </w:rPr>
          <w:fldChar w:fldCharType="end"/>
        </w:r>
      </w:hyperlink>
    </w:p>
    <w:p w14:paraId="45296B94" w14:textId="51AFA23E" w:rsidR="002B778F" w:rsidRPr="001021D2" w:rsidRDefault="002B778F">
      <w:pPr>
        <w:pStyle w:val="TOC2"/>
        <w:rPr>
          <w:rFonts w:asciiTheme="minorHAnsi" w:eastAsiaTheme="minorEastAsia" w:hAnsiTheme="minorHAnsi" w:cstheme="minorBidi"/>
          <w:noProof/>
          <w:kern w:val="2"/>
          <w:sz w:val="24"/>
          <w:szCs w:val="24"/>
          <w14:ligatures w14:val="standardContextual"/>
        </w:rPr>
      </w:pPr>
      <w:hyperlink w:anchor="_Toc206158641" w:history="1">
        <w:r w:rsidRPr="001021D2">
          <w:rPr>
            <w:rStyle w:val="Hyperlink"/>
            <w:noProof/>
          </w:rPr>
          <w:t>26.</w:t>
        </w:r>
        <w:r w:rsidRPr="001021D2">
          <w:rPr>
            <w:rFonts w:asciiTheme="minorHAnsi" w:eastAsiaTheme="minorEastAsia" w:hAnsiTheme="minorHAnsi" w:cstheme="minorBidi"/>
            <w:noProof/>
            <w:kern w:val="2"/>
            <w:sz w:val="24"/>
            <w:szCs w:val="24"/>
            <w14:ligatures w14:val="standardContextual"/>
          </w:rPr>
          <w:tab/>
        </w:r>
        <w:r w:rsidRPr="00845BD1">
          <w:rPr>
            <w:rStyle w:val="Hyperlink"/>
            <w:noProof/>
          </w:rPr>
          <w:t>Annual Independent Audits</w:t>
        </w:r>
        <w:r w:rsidRPr="001021D2">
          <w:rPr>
            <w:noProof/>
            <w:webHidden/>
          </w:rPr>
          <w:tab/>
        </w:r>
        <w:r w:rsidRPr="001021D2">
          <w:rPr>
            <w:noProof/>
            <w:webHidden/>
          </w:rPr>
          <w:fldChar w:fldCharType="begin"/>
        </w:r>
        <w:r w:rsidRPr="001021D2">
          <w:rPr>
            <w:noProof/>
            <w:webHidden/>
          </w:rPr>
          <w:instrText xml:space="preserve"> PAGEREF _Toc206158641 \h </w:instrText>
        </w:r>
        <w:r w:rsidRPr="001021D2">
          <w:rPr>
            <w:noProof/>
            <w:webHidden/>
          </w:rPr>
        </w:r>
        <w:r w:rsidRPr="001021D2">
          <w:rPr>
            <w:noProof/>
            <w:webHidden/>
          </w:rPr>
          <w:fldChar w:fldCharType="separate"/>
        </w:r>
        <w:r w:rsidRPr="001021D2">
          <w:rPr>
            <w:noProof/>
            <w:webHidden/>
          </w:rPr>
          <w:t>29</w:t>
        </w:r>
        <w:r w:rsidRPr="001021D2">
          <w:rPr>
            <w:noProof/>
            <w:webHidden/>
          </w:rPr>
          <w:fldChar w:fldCharType="end"/>
        </w:r>
      </w:hyperlink>
    </w:p>
    <w:p w14:paraId="6110D96A" w14:textId="6A9B9DD0" w:rsidR="002B778F" w:rsidRPr="001021D2" w:rsidRDefault="002B778F">
      <w:pPr>
        <w:pStyle w:val="TOC2"/>
        <w:rPr>
          <w:rFonts w:asciiTheme="minorHAnsi" w:eastAsiaTheme="minorEastAsia" w:hAnsiTheme="minorHAnsi" w:cstheme="minorBidi"/>
          <w:noProof/>
          <w:kern w:val="2"/>
          <w:sz w:val="24"/>
          <w:szCs w:val="24"/>
          <w14:ligatures w14:val="standardContextual"/>
        </w:rPr>
      </w:pPr>
      <w:hyperlink w:anchor="_Toc206158642" w:history="1">
        <w:r w:rsidRPr="001021D2">
          <w:rPr>
            <w:rStyle w:val="Hyperlink"/>
            <w:noProof/>
          </w:rPr>
          <w:t>27.</w:t>
        </w:r>
        <w:r w:rsidRPr="001021D2">
          <w:rPr>
            <w:rFonts w:asciiTheme="minorHAnsi" w:eastAsiaTheme="minorEastAsia" w:hAnsiTheme="minorHAnsi" w:cstheme="minorBidi"/>
            <w:noProof/>
            <w:kern w:val="2"/>
            <w:sz w:val="24"/>
            <w:szCs w:val="24"/>
            <w14:ligatures w14:val="standardContextual"/>
          </w:rPr>
          <w:tab/>
        </w:r>
        <w:r w:rsidRPr="00845BD1">
          <w:rPr>
            <w:rStyle w:val="Hyperlink"/>
            <w:noProof/>
          </w:rPr>
          <w:t>Integrity and Performance Matters</w:t>
        </w:r>
        <w:r w:rsidRPr="001021D2">
          <w:rPr>
            <w:noProof/>
            <w:webHidden/>
          </w:rPr>
          <w:tab/>
        </w:r>
        <w:r w:rsidRPr="001021D2">
          <w:rPr>
            <w:noProof/>
            <w:webHidden/>
          </w:rPr>
          <w:fldChar w:fldCharType="begin"/>
        </w:r>
        <w:r w:rsidRPr="001021D2">
          <w:rPr>
            <w:noProof/>
            <w:webHidden/>
          </w:rPr>
          <w:instrText xml:space="preserve"> PAGEREF _Toc206158642 \h </w:instrText>
        </w:r>
        <w:r w:rsidRPr="001021D2">
          <w:rPr>
            <w:noProof/>
            <w:webHidden/>
          </w:rPr>
        </w:r>
        <w:r w:rsidRPr="001021D2">
          <w:rPr>
            <w:noProof/>
            <w:webHidden/>
          </w:rPr>
          <w:fldChar w:fldCharType="separate"/>
        </w:r>
        <w:r w:rsidRPr="001021D2">
          <w:rPr>
            <w:noProof/>
            <w:webHidden/>
          </w:rPr>
          <w:t>30</w:t>
        </w:r>
        <w:r w:rsidRPr="001021D2">
          <w:rPr>
            <w:noProof/>
            <w:webHidden/>
          </w:rPr>
          <w:fldChar w:fldCharType="end"/>
        </w:r>
      </w:hyperlink>
    </w:p>
    <w:p w14:paraId="5E71B0BE" w14:textId="3F39BCB5" w:rsidR="002B778F" w:rsidRPr="001021D2" w:rsidRDefault="002B778F">
      <w:pPr>
        <w:pStyle w:val="TOC2"/>
        <w:rPr>
          <w:rFonts w:asciiTheme="minorHAnsi" w:eastAsiaTheme="minorEastAsia" w:hAnsiTheme="minorHAnsi" w:cstheme="minorBidi"/>
          <w:noProof/>
          <w:kern w:val="2"/>
          <w:sz w:val="24"/>
          <w:szCs w:val="24"/>
          <w14:ligatures w14:val="standardContextual"/>
        </w:rPr>
      </w:pPr>
      <w:hyperlink w:anchor="_Toc206158643" w:history="1">
        <w:r w:rsidRPr="001021D2">
          <w:rPr>
            <w:rStyle w:val="Hyperlink"/>
            <w:noProof/>
          </w:rPr>
          <w:t>28.</w:t>
        </w:r>
        <w:r w:rsidRPr="001021D2">
          <w:rPr>
            <w:rFonts w:asciiTheme="minorHAnsi" w:eastAsiaTheme="minorEastAsia" w:hAnsiTheme="minorHAnsi" w:cstheme="minorBidi"/>
            <w:noProof/>
            <w:kern w:val="2"/>
            <w:sz w:val="24"/>
            <w:szCs w:val="24"/>
            <w14:ligatures w14:val="standardContextual"/>
          </w:rPr>
          <w:tab/>
        </w:r>
        <w:r w:rsidRPr="00845BD1">
          <w:rPr>
            <w:rStyle w:val="Hyperlink"/>
            <w:noProof/>
          </w:rPr>
          <w:t>Fraud, Waste, and Abuse</w:t>
        </w:r>
        <w:r w:rsidRPr="001021D2">
          <w:rPr>
            <w:noProof/>
            <w:webHidden/>
          </w:rPr>
          <w:tab/>
        </w:r>
        <w:r w:rsidRPr="001021D2">
          <w:rPr>
            <w:noProof/>
            <w:webHidden/>
          </w:rPr>
          <w:fldChar w:fldCharType="begin"/>
        </w:r>
        <w:r w:rsidRPr="001021D2">
          <w:rPr>
            <w:noProof/>
            <w:webHidden/>
          </w:rPr>
          <w:instrText xml:space="preserve"> PAGEREF _Toc206158643 \h </w:instrText>
        </w:r>
        <w:r w:rsidRPr="001021D2">
          <w:rPr>
            <w:noProof/>
            <w:webHidden/>
          </w:rPr>
        </w:r>
        <w:r w:rsidRPr="001021D2">
          <w:rPr>
            <w:noProof/>
            <w:webHidden/>
          </w:rPr>
          <w:fldChar w:fldCharType="separate"/>
        </w:r>
        <w:r w:rsidRPr="001021D2">
          <w:rPr>
            <w:noProof/>
            <w:webHidden/>
          </w:rPr>
          <w:t>30</w:t>
        </w:r>
        <w:r w:rsidRPr="001021D2">
          <w:rPr>
            <w:noProof/>
            <w:webHidden/>
          </w:rPr>
          <w:fldChar w:fldCharType="end"/>
        </w:r>
      </w:hyperlink>
    </w:p>
    <w:p w14:paraId="3EC21B78" w14:textId="12F7672F" w:rsidR="005E2F32" w:rsidRDefault="00A91423" w:rsidP="00FC507D">
      <w:pPr>
        <w:pStyle w:val="TOC2"/>
        <w:rPr>
          <w:rFonts w:asciiTheme="minorHAnsi" w:eastAsiaTheme="minorEastAsia" w:hAnsiTheme="minorHAnsi" w:cstheme="minorBidi"/>
          <w:noProof/>
          <w:kern w:val="2"/>
          <w:sz w:val="22"/>
          <w:szCs w:val="22"/>
          <w14:ligatures w14:val="standardContextual"/>
        </w:rPr>
      </w:pPr>
      <w:r>
        <w:fldChar w:fldCharType="end"/>
      </w:r>
    </w:p>
    <w:p w14:paraId="281A6F20" w14:textId="4D5EA928" w:rsidR="00462D52" w:rsidRPr="002E1A5F" w:rsidRDefault="00462D52" w:rsidP="7A327B2A">
      <w:pPr>
        <w:spacing w:after="240"/>
        <w:jc w:val="both"/>
        <w:rPr>
          <w:b/>
          <w:bCs/>
        </w:rPr>
      </w:pPr>
    </w:p>
    <w:p w14:paraId="7C501635" w14:textId="765B7154" w:rsidR="00022D37" w:rsidRPr="002E1A5F" w:rsidRDefault="00022D37" w:rsidP="7A327B2A">
      <w:pPr>
        <w:widowControl/>
        <w:autoSpaceDE/>
        <w:autoSpaceDN/>
        <w:adjustRightInd/>
        <w:spacing w:after="160" w:line="259" w:lineRule="auto"/>
        <w:jc w:val="both"/>
        <w:rPr>
          <w:b/>
          <w:bCs/>
        </w:rPr>
      </w:pPr>
      <w:r w:rsidRPr="002E1A5F">
        <w:rPr>
          <w:b/>
          <w:bCs/>
        </w:rPr>
        <w:br w:type="page"/>
      </w:r>
    </w:p>
    <w:p w14:paraId="76824198" w14:textId="74277B34" w:rsidR="31F137FA" w:rsidRPr="002E1A5F" w:rsidRDefault="3BE13586" w:rsidP="7A327B2A">
      <w:pPr>
        <w:pStyle w:val="Heading1"/>
        <w:spacing w:after="240"/>
        <w:jc w:val="both"/>
        <w:rPr>
          <w:rFonts w:ascii="Arial" w:hAnsi="Arial" w:cs="Arial"/>
          <w:b/>
          <w:color w:val="auto"/>
          <w:sz w:val="20"/>
          <w:szCs w:val="20"/>
        </w:rPr>
      </w:pPr>
      <w:bookmarkStart w:id="0" w:name="_Toc128225376"/>
      <w:bookmarkStart w:id="1" w:name="_Toc149654092"/>
      <w:bookmarkStart w:id="2" w:name="_Toc206158577"/>
      <w:r w:rsidRPr="002E1A5F">
        <w:rPr>
          <w:rFonts w:ascii="Arial" w:hAnsi="Arial" w:cs="Arial"/>
          <w:b/>
          <w:bCs/>
          <w:color w:val="auto"/>
          <w:sz w:val="20"/>
          <w:szCs w:val="20"/>
        </w:rPr>
        <w:lastRenderedPageBreak/>
        <w:t xml:space="preserve">Subpart A. Award </w:t>
      </w:r>
      <w:r w:rsidR="4390B254" w:rsidRPr="002E1A5F">
        <w:rPr>
          <w:rFonts w:ascii="Arial" w:hAnsi="Arial" w:cs="Arial"/>
          <w:b/>
          <w:bCs/>
          <w:color w:val="auto"/>
          <w:sz w:val="20"/>
          <w:szCs w:val="20"/>
        </w:rPr>
        <w:t xml:space="preserve">Specific </w:t>
      </w:r>
      <w:r w:rsidRPr="002E1A5F">
        <w:rPr>
          <w:rFonts w:ascii="Arial" w:hAnsi="Arial" w:cs="Arial"/>
          <w:b/>
          <w:bCs/>
          <w:color w:val="auto"/>
          <w:sz w:val="20"/>
          <w:szCs w:val="20"/>
        </w:rPr>
        <w:t>Provisions</w:t>
      </w:r>
      <w:bookmarkEnd w:id="0"/>
      <w:bookmarkEnd w:id="1"/>
      <w:bookmarkEnd w:id="2"/>
    </w:p>
    <w:p w14:paraId="0F7E4B10" w14:textId="283986E0" w:rsidR="00352B4A" w:rsidRPr="002263C8" w:rsidRDefault="1AFE2376" w:rsidP="7A327B2A">
      <w:pPr>
        <w:pStyle w:val="Heading2"/>
        <w:numPr>
          <w:ilvl w:val="0"/>
          <w:numId w:val="27"/>
        </w:numPr>
        <w:jc w:val="both"/>
        <w:rPr>
          <w:rFonts w:ascii="Arial" w:hAnsi="Arial" w:cs="Arial"/>
          <w:b/>
          <w:bCs/>
          <w:color w:val="auto"/>
          <w:sz w:val="20"/>
          <w:szCs w:val="20"/>
        </w:rPr>
      </w:pPr>
      <w:bookmarkStart w:id="3" w:name="_Toc149654093"/>
      <w:bookmarkStart w:id="4" w:name="_Toc206158578"/>
      <w:r w:rsidRPr="002263C8">
        <w:rPr>
          <w:rFonts w:ascii="Arial" w:hAnsi="Arial" w:cs="Arial"/>
          <w:b/>
          <w:bCs/>
          <w:color w:val="auto"/>
          <w:sz w:val="20"/>
          <w:szCs w:val="20"/>
        </w:rPr>
        <w:t>Purpose</w:t>
      </w:r>
      <w:bookmarkEnd w:id="3"/>
      <w:bookmarkEnd w:id="4"/>
    </w:p>
    <w:p w14:paraId="7B1265C6" w14:textId="77777777" w:rsidR="00352B4A" w:rsidRPr="002E1A5F" w:rsidRDefault="00352B4A" w:rsidP="0F584CDF">
      <w:pPr>
        <w:pStyle w:val="ListParagraph"/>
        <w:jc w:val="both"/>
      </w:pPr>
    </w:p>
    <w:p w14:paraId="0BD74948" w14:textId="0C110D96" w:rsidR="00352B4A" w:rsidRPr="002E1A5F" w:rsidRDefault="00352B4A" w:rsidP="0F584CDF">
      <w:pPr>
        <w:pStyle w:val="ListParagraph"/>
        <w:jc w:val="both"/>
      </w:pPr>
      <w:r>
        <w:t xml:space="preserve">The purpose of this exhibit is to provide the federal terms and conditions for </w:t>
      </w:r>
      <w:r w:rsidR="00A92B72">
        <w:t>California Energy Commission</w:t>
      </w:r>
      <w:r w:rsidR="003E695B">
        <w:t>’s</w:t>
      </w:r>
      <w:r w:rsidR="00A92B72">
        <w:t xml:space="preserve"> (</w:t>
      </w:r>
      <w:r>
        <w:t>CEC</w:t>
      </w:r>
      <w:r w:rsidR="00A92B72">
        <w:t>)</w:t>
      </w:r>
      <w:r>
        <w:t xml:space="preserve"> </w:t>
      </w:r>
      <w:r w:rsidR="00076615">
        <w:t>A</w:t>
      </w:r>
      <w:r>
        <w:t xml:space="preserve">ward to </w:t>
      </w:r>
      <w:r w:rsidR="00AD3F70">
        <w:t>S</w:t>
      </w:r>
      <w:r>
        <w:t xml:space="preserve">ubrecipient under this Agreement. This </w:t>
      </w:r>
      <w:r w:rsidR="00076615">
        <w:t>A</w:t>
      </w:r>
      <w:r>
        <w:t xml:space="preserve">ward is made pursuant to the </w:t>
      </w:r>
      <w:r w:rsidR="00B7515D">
        <w:t xml:space="preserve">Section 40101 (d) Formula Grant or </w:t>
      </w:r>
      <w:r w:rsidR="2FC9F7BD">
        <w:t>Community Energy Reliability and Resilience Investment</w:t>
      </w:r>
      <w:r w:rsidR="00076615">
        <w:t xml:space="preserve"> </w:t>
      </w:r>
      <w:r w:rsidR="00B7515D">
        <w:t xml:space="preserve">program </w:t>
      </w:r>
      <w:r w:rsidR="007F136D">
        <w:t xml:space="preserve">(Program) </w:t>
      </w:r>
      <w:r>
        <w:t xml:space="preserve">as authorized under </w:t>
      </w:r>
      <w:r w:rsidR="00180A65">
        <w:t>Section 4010</w:t>
      </w:r>
      <w:r w:rsidR="00B7515D">
        <w:t>1(d)</w:t>
      </w:r>
      <w:r w:rsidR="00180A65">
        <w:t xml:space="preserve"> of </w:t>
      </w:r>
      <w:r>
        <w:t xml:space="preserve">the Bipartisan Infrastructure Law. </w:t>
      </w:r>
    </w:p>
    <w:p w14:paraId="5D22F571" w14:textId="77777777" w:rsidR="00352B4A" w:rsidRPr="002E1A5F" w:rsidRDefault="00352B4A" w:rsidP="7A327B2A">
      <w:pPr>
        <w:pStyle w:val="ListParagraph"/>
        <w:jc w:val="both"/>
      </w:pPr>
    </w:p>
    <w:p w14:paraId="23E87B7F" w14:textId="1596A70F" w:rsidR="00E52484" w:rsidRPr="002263C8" w:rsidRDefault="3E87443F" w:rsidP="7A327B2A">
      <w:pPr>
        <w:pStyle w:val="Heading2"/>
        <w:numPr>
          <w:ilvl w:val="0"/>
          <w:numId w:val="27"/>
        </w:numPr>
        <w:jc w:val="both"/>
        <w:rPr>
          <w:rFonts w:ascii="Arial" w:hAnsi="Arial" w:cs="Arial"/>
          <w:b/>
          <w:bCs/>
          <w:color w:val="auto"/>
          <w:sz w:val="20"/>
          <w:szCs w:val="20"/>
        </w:rPr>
      </w:pPr>
      <w:bookmarkStart w:id="5" w:name="_Toc149654094"/>
      <w:bookmarkStart w:id="6" w:name="_Toc206158579"/>
      <w:r w:rsidRPr="002263C8">
        <w:rPr>
          <w:rFonts w:ascii="Arial" w:hAnsi="Arial" w:cs="Arial"/>
          <w:b/>
          <w:bCs/>
          <w:color w:val="auto"/>
          <w:sz w:val="20"/>
          <w:szCs w:val="20"/>
        </w:rPr>
        <w:t>Summary of Award</w:t>
      </w:r>
      <w:bookmarkEnd w:id="5"/>
      <w:bookmarkEnd w:id="6"/>
    </w:p>
    <w:p w14:paraId="51EA075D" w14:textId="77777777" w:rsidR="00092721" w:rsidRPr="002E1A5F" w:rsidRDefault="00092721" w:rsidP="7A327B2A">
      <w:pPr>
        <w:jc w:val="both"/>
      </w:pPr>
    </w:p>
    <w:tbl>
      <w:tblPr>
        <w:tblW w:w="9353" w:type="dxa"/>
        <w:tblInd w:w="712" w:type="dxa"/>
        <w:tblLayout w:type="fixed"/>
        <w:tblCellMar>
          <w:left w:w="0" w:type="dxa"/>
          <w:right w:w="0" w:type="dxa"/>
        </w:tblCellMar>
        <w:tblLook w:val="01E0" w:firstRow="1" w:lastRow="1" w:firstColumn="1" w:lastColumn="1" w:noHBand="0" w:noVBand="0"/>
      </w:tblPr>
      <w:tblGrid>
        <w:gridCol w:w="5899"/>
        <w:gridCol w:w="3454"/>
      </w:tblGrid>
      <w:tr w:rsidR="00092721" w:rsidRPr="002E1A5F" w14:paraId="17070764" w14:textId="77777777" w:rsidTr="0F584CDF">
        <w:tc>
          <w:tcPr>
            <w:tcW w:w="9353" w:type="dxa"/>
            <w:gridSpan w:val="2"/>
            <w:tcBorders>
              <w:top w:val="single" w:sz="6" w:space="0" w:color="000000" w:themeColor="text1"/>
              <w:left w:val="single" w:sz="6" w:space="0" w:color="000000" w:themeColor="text1"/>
              <w:bottom w:val="nil"/>
              <w:right w:val="single" w:sz="6" w:space="0" w:color="000000" w:themeColor="text1"/>
            </w:tcBorders>
            <w:vAlign w:val="center"/>
          </w:tcPr>
          <w:p w14:paraId="17821AD3" w14:textId="77777777" w:rsidR="00092721" w:rsidRPr="002E1A5F" w:rsidRDefault="00092721" w:rsidP="7A327B2A">
            <w:pPr>
              <w:widowControl/>
              <w:jc w:val="both"/>
              <w:rPr>
                <w:b/>
                <w:lang w:val="en-CA"/>
              </w:rPr>
            </w:pPr>
          </w:p>
          <w:p w14:paraId="0F9A00D7" w14:textId="264EDB88" w:rsidR="00092721" w:rsidRPr="002E1A5F" w:rsidRDefault="00092721" w:rsidP="7A327B2A">
            <w:pPr>
              <w:ind w:left="102"/>
              <w:jc w:val="both"/>
              <w:rPr>
                <w:rFonts w:eastAsia="Arial"/>
                <w:b/>
              </w:rPr>
            </w:pPr>
            <w:r w:rsidRPr="002E1A5F">
              <w:rPr>
                <w:rFonts w:eastAsia="Arial"/>
                <w:b/>
                <w:spacing w:val="1"/>
              </w:rPr>
              <w:t>F</w:t>
            </w:r>
            <w:r w:rsidRPr="002E1A5F">
              <w:rPr>
                <w:rFonts w:eastAsia="Arial"/>
                <w:b/>
              </w:rPr>
              <w:t>e</w:t>
            </w:r>
            <w:r w:rsidRPr="002E1A5F">
              <w:rPr>
                <w:rFonts w:eastAsia="Arial"/>
                <w:b/>
                <w:spacing w:val="1"/>
              </w:rPr>
              <w:t>d</w:t>
            </w:r>
            <w:r w:rsidRPr="002E1A5F">
              <w:rPr>
                <w:rFonts w:eastAsia="Arial"/>
                <w:b/>
              </w:rPr>
              <w:t>e</w:t>
            </w:r>
            <w:r w:rsidRPr="002E1A5F">
              <w:rPr>
                <w:rFonts w:eastAsia="Arial"/>
                <w:b/>
                <w:spacing w:val="-1"/>
              </w:rPr>
              <w:t>r</w:t>
            </w:r>
            <w:r w:rsidRPr="002E1A5F">
              <w:rPr>
                <w:rFonts w:eastAsia="Arial"/>
                <w:b/>
              </w:rPr>
              <w:t>al</w:t>
            </w:r>
            <w:r w:rsidRPr="002E1A5F">
              <w:rPr>
                <w:rFonts w:eastAsia="Arial"/>
                <w:b/>
                <w:spacing w:val="-5"/>
              </w:rPr>
              <w:t xml:space="preserve"> </w:t>
            </w:r>
            <w:r w:rsidRPr="002E1A5F">
              <w:rPr>
                <w:rFonts w:eastAsia="Arial"/>
                <w:b/>
              </w:rPr>
              <w:t>A</w:t>
            </w:r>
            <w:r w:rsidRPr="002E1A5F">
              <w:rPr>
                <w:rFonts w:eastAsia="Arial"/>
                <w:b/>
                <w:spacing w:val="3"/>
              </w:rPr>
              <w:t>w</w:t>
            </w:r>
            <w:r w:rsidRPr="002E1A5F">
              <w:rPr>
                <w:rFonts w:eastAsia="Arial"/>
                <w:b/>
              </w:rPr>
              <w:t>a</w:t>
            </w:r>
            <w:r w:rsidRPr="002E1A5F">
              <w:rPr>
                <w:rFonts w:eastAsia="Arial"/>
                <w:b/>
                <w:spacing w:val="-1"/>
              </w:rPr>
              <w:t>r</w:t>
            </w:r>
            <w:r w:rsidRPr="002E1A5F">
              <w:rPr>
                <w:rFonts w:eastAsia="Arial"/>
                <w:b/>
              </w:rPr>
              <w:t>d</w:t>
            </w:r>
            <w:r w:rsidRPr="002E1A5F">
              <w:rPr>
                <w:rFonts w:eastAsia="Arial"/>
                <w:b/>
                <w:spacing w:val="-6"/>
              </w:rPr>
              <w:t xml:space="preserve"> </w:t>
            </w:r>
            <w:r w:rsidRPr="002E1A5F">
              <w:rPr>
                <w:rFonts w:eastAsia="Arial"/>
                <w:b/>
              </w:rPr>
              <w:t>I</w:t>
            </w:r>
            <w:r w:rsidRPr="002E1A5F">
              <w:rPr>
                <w:rFonts w:eastAsia="Arial"/>
                <w:b/>
                <w:spacing w:val="1"/>
              </w:rPr>
              <w:t>d</w:t>
            </w:r>
            <w:r w:rsidRPr="002E1A5F">
              <w:rPr>
                <w:rFonts w:eastAsia="Arial"/>
                <w:b/>
              </w:rPr>
              <w:t>e</w:t>
            </w:r>
            <w:r w:rsidRPr="002E1A5F">
              <w:rPr>
                <w:rFonts w:eastAsia="Arial"/>
                <w:b/>
                <w:spacing w:val="1"/>
              </w:rPr>
              <w:t>nt</w:t>
            </w:r>
            <w:r w:rsidRPr="002E1A5F">
              <w:rPr>
                <w:rFonts w:eastAsia="Arial"/>
                <w:b/>
              </w:rPr>
              <w:t>i</w:t>
            </w:r>
            <w:r w:rsidRPr="002E1A5F">
              <w:rPr>
                <w:rFonts w:eastAsia="Arial"/>
                <w:b/>
                <w:spacing w:val="1"/>
              </w:rPr>
              <w:t>f</w:t>
            </w:r>
            <w:r w:rsidRPr="002E1A5F">
              <w:rPr>
                <w:rFonts w:eastAsia="Arial"/>
                <w:b/>
              </w:rPr>
              <w:t>ica</w:t>
            </w:r>
            <w:r w:rsidRPr="002E1A5F">
              <w:rPr>
                <w:rFonts w:eastAsia="Arial"/>
                <w:b/>
                <w:spacing w:val="1"/>
              </w:rPr>
              <w:t>t</w:t>
            </w:r>
            <w:r w:rsidRPr="002E1A5F">
              <w:rPr>
                <w:rFonts w:eastAsia="Arial"/>
                <w:b/>
                <w:spacing w:val="2"/>
              </w:rPr>
              <w:t>i</w:t>
            </w:r>
            <w:r w:rsidRPr="002E1A5F">
              <w:rPr>
                <w:rFonts w:eastAsia="Arial"/>
                <w:b/>
                <w:spacing w:val="1"/>
              </w:rPr>
              <w:t>on Information (2 CFR §200.33</w:t>
            </w:r>
            <w:r w:rsidR="00107195" w:rsidRPr="002E1A5F">
              <w:rPr>
                <w:rFonts w:eastAsia="Arial"/>
                <w:b/>
                <w:spacing w:val="1"/>
              </w:rPr>
              <w:t>2</w:t>
            </w:r>
            <w:r w:rsidRPr="002E1A5F">
              <w:rPr>
                <w:rFonts w:eastAsia="Arial"/>
                <w:b/>
                <w:spacing w:val="1"/>
              </w:rPr>
              <w:t>)</w:t>
            </w:r>
          </w:p>
          <w:p w14:paraId="221EEA16" w14:textId="77777777" w:rsidR="00092721" w:rsidRPr="002E1A5F" w:rsidRDefault="00092721" w:rsidP="7A327B2A">
            <w:pPr>
              <w:ind w:left="102"/>
              <w:jc w:val="both"/>
              <w:rPr>
                <w:rFonts w:eastAsia="Arial"/>
              </w:rPr>
            </w:pPr>
          </w:p>
        </w:tc>
      </w:tr>
      <w:tr w:rsidR="00C24907" w:rsidRPr="002E1A5F" w14:paraId="3CB34FBE" w14:textId="77777777" w:rsidTr="0F584CDF">
        <w:trPr>
          <w:trHeight w:hRule="exact" w:val="576"/>
        </w:trPr>
        <w:tc>
          <w:tcPr>
            <w:tcW w:w="589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A3333AC" w14:textId="42208B77" w:rsidR="00C24907" w:rsidRPr="002E1A5F" w:rsidRDefault="00930FA1" w:rsidP="7A327B2A">
            <w:pPr>
              <w:ind w:left="102" w:right="249"/>
              <w:jc w:val="both"/>
              <w:rPr>
                <w:rFonts w:eastAsia="Arial"/>
                <w:spacing w:val="-1"/>
              </w:rPr>
            </w:pPr>
            <w:r w:rsidRPr="002E1A5F">
              <w:rPr>
                <w:rFonts w:eastAsia="Arial"/>
                <w:spacing w:val="-1"/>
              </w:rPr>
              <w:t xml:space="preserve">Name of </w:t>
            </w:r>
            <w:r w:rsidR="00C24907" w:rsidRPr="002E1A5F">
              <w:rPr>
                <w:rFonts w:eastAsia="Arial"/>
                <w:spacing w:val="-1"/>
              </w:rPr>
              <w:t xml:space="preserve">Federal </w:t>
            </w:r>
            <w:r w:rsidR="0040691D" w:rsidRPr="002E1A5F">
              <w:rPr>
                <w:rFonts w:eastAsia="Arial"/>
                <w:spacing w:val="-1"/>
              </w:rPr>
              <w:t xml:space="preserve">awarding </w:t>
            </w:r>
            <w:r w:rsidR="005B58AA" w:rsidRPr="002E1A5F">
              <w:rPr>
                <w:rFonts w:eastAsia="Arial"/>
                <w:spacing w:val="-1"/>
              </w:rPr>
              <w:t>a</w:t>
            </w:r>
            <w:r w:rsidR="00C24907" w:rsidRPr="002E1A5F">
              <w:rPr>
                <w:rFonts w:eastAsia="Arial"/>
                <w:spacing w:val="-1"/>
              </w:rPr>
              <w:t>gency</w:t>
            </w:r>
            <w:r w:rsidR="000A05D7" w:rsidRPr="002E1A5F">
              <w:rPr>
                <w:rFonts w:eastAsia="Arial"/>
                <w:spacing w:val="-1"/>
              </w:rPr>
              <w:t xml:space="preserve"> </w:t>
            </w:r>
          </w:p>
        </w:tc>
        <w:tc>
          <w:tcPr>
            <w:tcW w:w="3454"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9521317" w14:textId="6F4D6357" w:rsidR="00C24907" w:rsidRPr="002E1A5F" w:rsidRDefault="005B58AA" w:rsidP="7A327B2A">
            <w:pPr>
              <w:ind w:left="90"/>
              <w:jc w:val="both"/>
            </w:pPr>
            <w:r w:rsidRPr="002E1A5F">
              <w:t>U.S. Department of Energy or DOE</w:t>
            </w:r>
          </w:p>
        </w:tc>
      </w:tr>
      <w:tr w:rsidR="00B072AA" w:rsidRPr="002E1A5F" w14:paraId="3BE2FE83" w14:textId="77777777" w:rsidTr="0F584CDF">
        <w:trPr>
          <w:trHeight w:hRule="exact" w:val="576"/>
        </w:trPr>
        <w:tc>
          <w:tcPr>
            <w:tcW w:w="589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5CED255" w14:textId="4A773D67" w:rsidR="00B072AA" w:rsidRPr="002E1A5F" w:rsidRDefault="00930FA1" w:rsidP="7A327B2A">
            <w:pPr>
              <w:ind w:left="102" w:right="249"/>
              <w:jc w:val="both"/>
              <w:rPr>
                <w:rFonts w:eastAsia="Arial"/>
                <w:spacing w:val="-1"/>
              </w:rPr>
            </w:pPr>
            <w:r w:rsidRPr="002E1A5F">
              <w:rPr>
                <w:rFonts w:eastAsia="Arial"/>
                <w:spacing w:val="-1"/>
              </w:rPr>
              <w:t xml:space="preserve">Name of </w:t>
            </w:r>
            <w:r w:rsidR="00B072AA" w:rsidRPr="002E1A5F">
              <w:rPr>
                <w:rFonts w:eastAsia="Arial"/>
                <w:spacing w:val="-1"/>
              </w:rPr>
              <w:t>Recipient</w:t>
            </w:r>
            <w:r w:rsidRPr="002E1A5F">
              <w:rPr>
                <w:rFonts w:eastAsia="Arial"/>
                <w:spacing w:val="-1"/>
              </w:rPr>
              <w:t xml:space="preserve"> /</w:t>
            </w:r>
            <w:r w:rsidR="0040691D" w:rsidRPr="002E1A5F">
              <w:rPr>
                <w:rFonts w:eastAsia="Arial"/>
                <w:spacing w:val="-1"/>
              </w:rPr>
              <w:t>pass-through entity</w:t>
            </w:r>
            <w:r w:rsidR="0040691D" w:rsidRPr="002E1A5F">
              <w:rPr>
                <w:rFonts w:eastAsia="Arial"/>
              </w:rPr>
              <w:t>, a</w:t>
            </w:r>
            <w:r w:rsidR="0040691D" w:rsidRPr="002E1A5F">
              <w:rPr>
                <w:rFonts w:eastAsia="Arial"/>
                <w:spacing w:val="2"/>
              </w:rPr>
              <w:t>n</w:t>
            </w:r>
            <w:r w:rsidR="0040691D" w:rsidRPr="002E1A5F">
              <w:rPr>
                <w:rFonts w:eastAsia="Arial"/>
              </w:rPr>
              <w:t>d</w:t>
            </w:r>
            <w:r w:rsidR="0040691D" w:rsidRPr="002E1A5F">
              <w:rPr>
                <w:rFonts w:eastAsia="Arial"/>
                <w:spacing w:val="-4"/>
              </w:rPr>
              <w:t xml:space="preserve"> </w:t>
            </w:r>
            <w:r w:rsidR="0040691D" w:rsidRPr="002E1A5F">
              <w:rPr>
                <w:rFonts w:eastAsia="Arial"/>
                <w:spacing w:val="1"/>
              </w:rPr>
              <w:t>c</w:t>
            </w:r>
            <w:r w:rsidR="0040691D" w:rsidRPr="002E1A5F">
              <w:rPr>
                <w:rFonts w:eastAsia="Arial"/>
              </w:rPr>
              <w:t>on</w:t>
            </w:r>
            <w:r w:rsidR="0040691D" w:rsidRPr="002E1A5F">
              <w:rPr>
                <w:rFonts w:eastAsia="Arial"/>
                <w:spacing w:val="2"/>
              </w:rPr>
              <w:t>t</w:t>
            </w:r>
            <w:r w:rsidR="0040691D" w:rsidRPr="002E1A5F">
              <w:rPr>
                <w:rFonts w:eastAsia="Arial"/>
              </w:rPr>
              <w:t>a</w:t>
            </w:r>
            <w:r w:rsidR="0040691D" w:rsidRPr="002E1A5F">
              <w:rPr>
                <w:rFonts w:eastAsia="Arial"/>
                <w:spacing w:val="1"/>
              </w:rPr>
              <w:t>c</w:t>
            </w:r>
            <w:r w:rsidR="0040691D" w:rsidRPr="002E1A5F">
              <w:rPr>
                <w:rFonts w:eastAsia="Arial"/>
              </w:rPr>
              <w:t>t</w:t>
            </w:r>
            <w:r w:rsidR="0040691D" w:rsidRPr="002E1A5F">
              <w:rPr>
                <w:rFonts w:eastAsia="Arial"/>
                <w:spacing w:val="-6"/>
              </w:rPr>
              <w:t xml:space="preserve"> </w:t>
            </w:r>
            <w:r w:rsidR="0040691D" w:rsidRPr="002E1A5F">
              <w:rPr>
                <w:rFonts w:eastAsia="Arial"/>
                <w:spacing w:val="-1"/>
              </w:rPr>
              <w:t>i</w:t>
            </w:r>
            <w:r w:rsidR="0040691D" w:rsidRPr="002E1A5F">
              <w:rPr>
                <w:rFonts w:eastAsia="Arial"/>
              </w:rPr>
              <w:t>n</w:t>
            </w:r>
            <w:r w:rsidR="0040691D" w:rsidRPr="002E1A5F">
              <w:rPr>
                <w:rFonts w:eastAsia="Arial"/>
                <w:spacing w:val="2"/>
              </w:rPr>
              <w:t>f</w:t>
            </w:r>
            <w:r w:rsidR="0040691D" w:rsidRPr="002E1A5F">
              <w:rPr>
                <w:rFonts w:eastAsia="Arial"/>
              </w:rPr>
              <w:t>o</w:t>
            </w:r>
            <w:r w:rsidR="0040691D" w:rsidRPr="002E1A5F">
              <w:rPr>
                <w:rFonts w:eastAsia="Arial"/>
                <w:spacing w:val="1"/>
              </w:rPr>
              <w:t>r</w:t>
            </w:r>
            <w:r w:rsidR="0040691D" w:rsidRPr="002E1A5F">
              <w:rPr>
                <w:rFonts w:eastAsia="Arial"/>
                <w:spacing w:val="4"/>
              </w:rPr>
              <w:t>m</w:t>
            </w:r>
            <w:r w:rsidR="0040691D" w:rsidRPr="002E1A5F">
              <w:rPr>
                <w:rFonts w:eastAsia="Arial"/>
              </w:rPr>
              <w:t>at</w:t>
            </w:r>
            <w:r w:rsidR="0040691D" w:rsidRPr="002E1A5F">
              <w:rPr>
                <w:rFonts w:eastAsia="Arial"/>
                <w:spacing w:val="-1"/>
              </w:rPr>
              <w:t>i</w:t>
            </w:r>
            <w:r w:rsidR="0040691D" w:rsidRPr="002E1A5F">
              <w:rPr>
                <w:rFonts w:eastAsia="Arial"/>
              </w:rPr>
              <w:t>on</w:t>
            </w:r>
            <w:r w:rsidR="0040691D" w:rsidRPr="002E1A5F">
              <w:rPr>
                <w:rFonts w:eastAsia="Arial"/>
                <w:spacing w:val="-11"/>
              </w:rPr>
              <w:t xml:space="preserve"> </w:t>
            </w:r>
            <w:r w:rsidR="0040691D" w:rsidRPr="002E1A5F">
              <w:rPr>
                <w:rFonts w:eastAsia="Arial"/>
                <w:spacing w:val="2"/>
              </w:rPr>
              <w:t>f</w:t>
            </w:r>
            <w:r w:rsidR="0040691D" w:rsidRPr="002E1A5F">
              <w:rPr>
                <w:rFonts w:eastAsia="Arial"/>
              </w:rPr>
              <w:t>or</w:t>
            </w:r>
            <w:r w:rsidR="0040691D" w:rsidRPr="002E1A5F">
              <w:rPr>
                <w:rFonts w:eastAsia="Arial"/>
                <w:spacing w:val="-1"/>
              </w:rPr>
              <w:t xml:space="preserve"> </w:t>
            </w:r>
            <w:r w:rsidR="0040691D" w:rsidRPr="002E1A5F">
              <w:rPr>
                <w:rFonts w:eastAsia="Arial"/>
                <w:spacing w:val="2"/>
              </w:rPr>
              <w:t>a</w:t>
            </w:r>
            <w:r w:rsidR="0040691D" w:rsidRPr="002E1A5F">
              <w:rPr>
                <w:rFonts w:eastAsia="Arial"/>
                <w:spacing w:val="-2"/>
              </w:rPr>
              <w:t>w</w:t>
            </w:r>
            <w:r w:rsidR="0040691D" w:rsidRPr="002E1A5F">
              <w:rPr>
                <w:rFonts w:eastAsia="Arial"/>
              </w:rPr>
              <w:t>a</w:t>
            </w:r>
            <w:r w:rsidR="0040691D" w:rsidRPr="002E1A5F">
              <w:rPr>
                <w:rFonts w:eastAsia="Arial"/>
                <w:spacing w:val="1"/>
              </w:rPr>
              <w:t>r</w:t>
            </w:r>
            <w:r w:rsidR="0040691D" w:rsidRPr="002E1A5F">
              <w:rPr>
                <w:rFonts w:eastAsia="Arial"/>
                <w:spacing w:val="2"/>
              </w:rPr>
              <w:t>d</w:t>
            </w:r>
            <w:r w:rsidR="0040691D" w:rsidRPr="002E1A5F">
              <w:rPr>
                <w:rFonts w:eastAsia="Arial"/>
                <w:spacing w:val="-1"/>
              </w:rPr>
              <w:t>i</w:t>
            </w:r>
            <w:r w:rsidR="0040691D" w:rsidRPr="002E1A5F">
              <w:rPr>
                <w:rFonts w:eastAsia="Arial"/>
              </w:rPr>
              <w:t>ng</w:t>
            </w:r>
            <w:r w:rsidR="0040691D" w:rsidRPr="002E1A5F">
              <w:rPr>
                <w:rFonts w:eastAsia="Arial"/>
                <w:spacing w:val="-6"/>
              </w:rPr>
              <w:t xml:space="preserve"> </w:t>
            </w:r>
            <w:r w:rsidR="0040691D" w:rsidRPr="002E1A5F">
              <w:rPr>
                <w:rFonts w:eastAsia="Arial"/>
              </w:rPr>
              <w:t>o</w:t>
            </w:r>
            <w:r w:rsidR="0040691D" w:rsidRPr="002E1A5F">
              <w:rPr>
                <w:rFonts w:eastAsia="Arial"/>
                <w:spacing w:val="2"/>
              </w:rPr>
              <w:t>ff</w:t>
            </w:r>
            <w:r w:rsidR="0040691D" w:rsidRPr="002E1A5F">
              <w:rPr>
                <w:rFonts w:eastAsia="Arial"/>
                <w:spacing w:val="-1"/>
              </w:rPr>
              <w:t>i</w:t>
            </w:r>
            <w:r w:rsidR="0040691D" w:rsidRPr="002E1A5F">
              <w:rPr>
                <w:rFonts w:eastAsia="Arial"/>
                <w:spacing w:val="1"/>
              </w:rPr>
              <w:t>c</w:t>
            </w:r>
            <w:r w:rsidR="0040691D" w:rsidRPr="002E1A5F">
              <w:rPr>
                <w:rFonts w:eastAsia="Arial"/>
                <w:spacing w:val="-1"/>
              </w:rPr>
              <w:t>i</w:t>
            </w:r>
            <w:r w:rsidR="0040691D" w:rsidRPr="002E1A5F">
              <w:rPr>
                <w:rFonts w:eastAsia="Arial"/>
              </w:rPr>
              <w:t>al of the</w:t>
            </w:r>
            <w:r w:rsidR="0040691D" w:rsidRPr="002E1A5F">
              <w:rPr>
                <w:rFonts w:eastAsia="Arial"/>
                <w:spacing w:val="-4"/>
              </w:rPr>
              <w:t xml:space="preserve"> </w:t>
            </w:r>
            <w:r w:rsidR="0040691D" w:rsidRPr="002E1A5F">
              <w:rPr>
                <w:rFonts w:eastAsia="Arial"/>
              </w:rPr>
              <w:t>Recipient</w:t>
            </w:r>
          </w:p>
        </w:tc>
        <w:tc>
          <w:tcPr>
            <w:tcW w:w="3454"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A67D1A8" w14:textId="736C544C" w:rsidR="00B072AA" w:rsidRPr="002E1A5F" w:rsidRDefault="00B072AA" w:rsidP="7A327B2A">
            <w:pPr>
              <w:ind w:left="90"/>
              <w:jc w:val="both"/>
            </w:pPr>
            <w:r w:rsidRPr="002E1A5F">
              <w:t>California Energy Commission or CEC</w:t>
            </w:r>
          </w:p>
        </w:tc>
      </w:tr>
      <w:tr w:rsidR="00092721" w:rsidRPr="002E1A5F" w14:paraId="1CEAC2F7" w14:textId="77777777" w:rsidTr="0F584CDF">
        <w:trPr>
          <w:trHeight w:hRule="exact" w:val="576"/>
        </w:trPr>
        <w:tc>
          <w:tcPr>
            <w:tcW w:w="589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3B3400E" w14:textId="22AC949E" w:rsidR="00092721" w:rsidRPr="002E1A5F" w:rsidRDefault="00930FA1" w:rsidP="7A327B2A">
            <w:pPr>
              <w:ind w:left="102" w:right="249"/>
              <w:jc w:val="both"/>
              <w:rPr>
                <w:rFonts w:eastAsia="Arial"/>
              </w:rPr>
            </w:pPr>
            <w:r w:rsidRPr="002E1A5F">
              <w:rPr>
                <w:rFonts w:eastAsia="Arial"/>
                <w:spacing w:val="-1"/>
              </w:rPr>
              <w:t xml:space="preserve">Name of </w:t>
            </w:r>
            <w:r w:rsidR="00092721" w:rsidRPr="002E1A5F">
              <w:rPr>
                <w:rFonts w:eastAsia="Arial"/>
                <w:spacing w:val="-1"/>
              </w:rPr>
              <w:t xml:space="preserve">Subrecipient </w:t>
            </w:r>
          </w:p>
        </w:tc>
        <w:tc>
          <w:tcPr>
            <w:tcW w:w="3454"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EACF975" w14:textId="77777777" w:rsidR="00092721" w:rsidRPr="002E1A5F" w:rsidRDefault="00092721" w:rsidP="7A327B2A">
            <w:pPr>
              <w:ind w:left="90"/>
              <w:jc w:val="both"/>
            </w:pPr>
          </w:p>
        </w:tc>
      </w:tr>
      <w:tr w:rsidR="00092721" w:rsidRPr="00711784" w14:paraId="7B72F93D" w14:textId="77777777" w:rsidTr="0F584CDF">
        <w:trPr>
          <w:trHeight w:hRule="exact" w:val="576"/>
        </w:trPr>
        <w:tc>
          <w:tcPr>
            <w:tcW w:w="589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5463FD0" w14:textId="77777777" w:rsidR="00092721" w:rsidRPr="00711784" w:rsidRDefault="00092721" w:rsidP="7A327B2A">
            <w:pPr>
              <w:ind w:left="102"/>
              <w:jc w:val="both"/>
              <w:rPr>
                <w:rFonts w:eastAsia="Arial"/>
                <w:lang w:val="fr-FR"/>
              </w:rPr>
            </w:pPr>
            <w:proofErr w:type="spellStart"/>
            <w:r w:rsidRPr="00711784">
              <w:rPr>
                <w:rFonts w:eastAsia="Arial"/>
                <w:spacing w:val="-1"/>
                <w:lang w:val="fr-FR"/>
              </w:rPr>
              <w:t>S</w:t>
            </w:r>
            <w:r w:rsidRPr="00711784">
              <w:rPr>
                <w:rFonts w:eastAsia="Arial"/>
                <w:lang w:val="fr-FR"/>
              </w:rPr>
              <w:t>ub</w:t>
            </w:r>
            <w:r w:rsidRPr="00711784">
              <w:rPr>
                <w:rFonts w:eastAsia="Arial"/>
                <w:spacing w:val="1"/>
                <w:lang w:val="fr-FR"/>
              </w:rPr>
              <w:t>r</w:t>
            </w:r>
            <w:r w:rsidRPr="00711784">
              <w:rPr>
                <w:rFonts w:eastAsia="Arial"/>
                <w:lang w:val="fr-FR"/>
              </w:rPr>
              <w:t>e</w:t>
            </w:r>
            <w:r w:rsidRPr="00711784">
              <w:rPr>
                <w:rFonts w:eastAsia="Arial"/>
                <w:spacing w:val="4"/>
                <w:lang w:val="fr-FR"/>
              </w:rPr>
              <w:t>c</w:t>
            </w:r>
            <w:r w:rsidRPr="00711784">
              <w:rPr>
                <w:rFonts w:eastAsia="Arial"/>
                <w:spacing w:val="-1"/>
                <w:lang w:val="fr-FR"/>
              </w:rPr>
              <w:t>i</w:t>
            </w:r>
            <w:r w:rsidRPr="00711784">
              <w:rPr>
                <w:rFonts w:eastAsia="Arial"/>
                <w:lang w:val="fr-FR"/>
              </w:rPr>
              <w:t>p</w:t>
            </w:r>
            <w:r w:rsidRPr="00711784">
              <w:rPr>
                <w:rFonts w:eastAsia="Arial"/>
                <w:spacing w:val="1"/>
                <w:lang w:val="fr-FR"/>
              </w:rPr>
              <w:t>i</w:t>
            </w:r>
            <w:r w:rsidRPr="00711784">
              <w:rPr>
                <w:rFonts w:eastAsia="Arial"/>
                <w:lang w:val="fr-FR"/>
              </w:rPr>
              <w:t>en</w:t>
            </w:r>
            <w:r w:rsidRPr="00711784">
              <w:rPr>
                <w:rFonts w:eastAsia="Arial"/>
                <w:spacing w:val="2"/>
                <w:lang w:val="fr-FR"/>
              </w:rPr>
              <w:t>t</w:t>
            </w:r>
            <w:r w:rsidRPr="00711784">
              <w:rPr>
                <w:rFonts w:eastAsia="Arial"/>
                <w:spacing w:val="-1"/>
                <w:lang w:val="fr-FR"/>
              </w:rPr>
              <w:t>’</w:t>
            </w:r>
            <w:r w:rsidRPr="00711784">
              <w:rPr>
                <w:rFonts w:eastAsia="Arial"/>
                <w:lang w:val="fr-FR"/>
              </w:rPr>
              <w:t>s</w:t>
            </w:r>
            <w:proofErr w:type="spellEnd"/>
            <w:r w:rsidRPr="00711784">
              <w:rPr>
                <w:rFonts w:eastAsia="Arial"/>
                <w:spacing w:val="-12"/>
                <w:lang w:val="fr-FR"/>
              </w:rPr>
              <w:t xml:space="preserve"> </w:t>
            </w:r>
            <w:r w:rsidRPr="00711784">
              <w:rPr>
                <w:rFonts w:eastAsia="Arial"/>
                <w:lang w:val="fr-FR"/>
              </w:rPr>
              <w:t>u</w:t>
            </w:r>
            <w:r w:rsidRPr="00711784">
              <w:rPr>
                <w:rFonts w:eastAsia="Arial"/>
                <w:spacing w:val="2"/>
                <w:lang w:val="fr-FR"/>
              </w:rPr>
              <w:t>n</w:t>
            </w:r>
            <w:r w:rsidRPr="00711784">
              <w:rPr>
                <w:rFonts w:eastAsia="Arial"/>
                <w:spacing w:val="-1"/>
                <w:lang w:val="fr-FR"/>
              </w:rPr>
              <w:t>i</w:t>
            </w:r>
            <w:r w:rsidRPr="00711784">
              <w:rPr>
                <w:rFonts w:eastAsia="Arial"/>
                <w:spacing w:val="2"/>
                <w:lang w:val="fr-FR"/>
              </w:rPr>
              <w:t>q</w:t>
            </w:r>
            <w:r w:rsidRPr="00711784">
              <w:rPr>
                <w:rFonts w:eastAsia="Arial"/>
                <w:lang w:val="fr-FR"/>
              </w:rPr>
              <w:t>ue</w:t>
            </w:r>
            <w:r w:rsidRPr="00711784">
              <w:rPr>
                <w:rFonts w:eastAsia="Arial"/>
                <w:spacing w:val="-7"/>
                <w:lang w:val="fr-FR"/>
              </w:rPr>
              <w:t xml:space="preserve"> </w:t>
            </w:r>
            <w:proofErr w:type="spellStart"/>
            <w:r w:rsidRPr="00711784">
              <w:rPr>
                <w:rFonts w:eastAsia="Arial"/>
                <w:spacing w:val="2"/>
                <w:lang w:val="fr-FR"/>
              </w:rPr>
              <w:t>e</w:t>
            </w:r>
            <w:r w:rsidRPr="00711784">
              <w:rPr>
                <w:rFonts w:eastAsia="Arial"/>
                <w:lang w:val="fr-FR"/>
              </w:rPr>
              <w:t>nt</w:t>
            </w:r>
            <w:r w:rsidRPr="00711784">
              <w:rPr>
                <w:rFonts w:eastAsia="Arial"/>
                <w:spacing w:val="1"/>
                <w:lang w:val="fr-FR"/>
              </w:rPr>
              <w:t>i</w:t>
            </w:r>
            <w:r w:rsidRPr="00711784">
              <w:rPr>
                <w:rFonts w:eastAsia="Arial"/>
                <w:spacing w:val="2"/>
                <w:lang w:val="fr-FR"/>
              </w:rPr>
              <w:t>t</w:t>
            </w:r>
            <w:r w:rsidRPr="00711784">
              <w:rPr>
                <w:rFonts w:eastAsia="Arial"/>
                <w:lang w:val="fr-FR"/>
              </w:rPr>
              <w:t>y</w:t>
            </w:r>
            <w:proofErr w:type="spellEnd"/>
            <w:r w:rsidRPr="00711784">
              <w:rPr>
                <w:rFonts w:eastAsia="Arial"/>
                <w:spacing w:val="-6"/>
                <w:lang w:val="fr-FR"/>
              </w:rPr>
              <w:t xml:space="preserve"> </w:t>
            </w:r>
            <w:r w:rsidRPr="00711784">
              <w:rPr>
                <w:rFonts w:eastAsia="Arial"/>
                <w:spacing w:val="-1"/>
                <w:lang w:val="fr-FR"/>
              </w:rPr>
              <w:t>i</w:t>
            </w:r>
            <w:r w:rsidRPr="00711784">
              <w:rPr>
                <w:rFonts w:eastAsia="Arial"/>
                <w:lang w:val="fr-FR"/>
              </w:rPr>
              <w:t>d</w:t>
            </w:r>
            <w:r w:rsidRPr="00711784">
              <w:rPr>
                <w:rFonts w:eastAsia="Arial"/>
                <w:spacing w:val="2"/>
                <w:lang w:val="fr-FR"/>
              </w:rPr>
              <w:t>e</w:t>
            </w:r>
            <w:r w:rsidRPr="00711784">
              <w:rPr>
                <w:rFonts w:eastAsia="Arial"/>
                <w:lang w:val="fr-FR"/>
              </w:rPr>
              <w:t>nt</w:t>
            </w:r>
            <w:r w:rsidRPr="00711784">
              <w:rPr>
                <w:rFonts w:eastAsia="Arial"/>
                <w:spacing w:val="-1"/>
                <w:lang w:val="fr-FR"/>
              </w:rPr>
              <w:t>i</w:t>
            </w:r>
            <w:r w:rsidRPr="00711784">
              <w:rPr>
                <w:rFonts w:eastAsia="Arial"/>
                <w:spacing w:val="2"/>
                <w:lang w:val="fr-FR"/>
              </w:rPr>
              <w:t>f</w:t>
            </w:r>
            <w:r w:rsidRPr="00711784">
              <w:rPr>
                <w:rFonts w:eastAsia="Arial"/>
                <w:spacing w:val="-1"/>
                <w:lang w:val="fr-FR"/>
              </w:rPr>
              <w:t>i</w:t>
            </w:r>
            <w:r w:rsidRPr="00711784">
              <w:rPr>
                <w:rFonts w:eastAsia="Arial"/>
                <w:lang w:val="fr-FR"/>
              </w:rPr>
              <w:t>er</w:t>
            </w:r>
            <w:r w:rsidRPr="00711784">
              <w:rPr>
                <w:rFonts w:eastAsia="Arial"/>
                <w:spacing w:val="-7"/>
                <w:lang w:val="fr-FR"/>
              </w:rPr>
              <w:t xml:space="preserve"> </w:t>
            </w:r>
            <w:r w:rsidRPr="00711784">
              <w:rPr>
                <w:rFonts w:eastAsia="Arial"/>
                <w:spacing w:val="1"/>
                <w:lang w:val="fr-FR"/>
              </w:rPr>
              <w:t>(</w:t>
            </w:r>
            <w:r w:rsidRPr="00711784">
              <w:rPr>
                <w:rFonts w:eastAsia="Arial"/>
                <w:lang w:val="fr-FR"/>
              </w:rPr>
              <w:t>D</w:t>
            </w:r>
            <w:r w:rsidRPr="00711784">
              <w:rPr>
                <w:rFonts w:eastAsia="Arial"/>
                <w:spacing w:val="3"/>
                <w:lang w:val="fr-FR"/>
              </w:rPr>
              <w:t>U</w:t>
            </w:r>
            <w:r w:rsidRPr="00711784">
              <w:rPr>
                <w:rFonts w:eastAsia="Arial"/>
                <w:lang w:val="fr-FR"/>
              </w:rPr>
              <w:t>N</w:t>
            </w:r>
            <w:r w:rsidRPr="00711784">
              <w:rPr>
                <w:rFonts w:eastAsia="Arial"/>
                <w:spacing w:val="-1"/>
                <w:lang w:val="fr-FR"/>
              </w:rPr>
              <w:t>S</w:t>
            </w:r>
            <w:r w:rsidRPr="00711784">
              <w:rPr>
                <w:rFonts w:eastAsia="Arial"/>
                <w:lang w:val="fr-FR"/>
              </w:rPr>
              <w:t>)</w:t>
            </w:r>
          </w:p>
        </w:tc>
        <w:tc>
          <w:tcPr>
            <w:tcW w:w="3454"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30B16B6" w14:textId="77777777" w:rsidR="00092721" w:rsidRPr="00711784" w:rsidRDefault="00092721" w:rsidP="7A327B2A">
            <w:pPr>
              <w:ind w:left="90"/>
              <w:jc w:val="both"/>
              <w:rPr>
                <w:lang w:val="fr-FR"/>
              </w:rPr>
            </w:pPr>
          </w:p>
        </w:tc>
      </w:tr>
      <w:tr w:rsidR="00092721" w:rsidRPr="002E1A5F" w14:paraId="0BB1B609" w14:textId="77777777" w:rsidTr="0F584CDF">
        <w:trPr>
          <w:trHeight w:hRule="exact" w:val="576"/>
        </w:trPr>
        <w:tc>
          <w:tcPr>
            <w:tcW w:w="589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4D0910D" w14:textId="77777777" w:rsidR="00092721" w:rsidRPr="002E1A5F" w:rsidRDefault="00092721" w:rsidP="7A327B2A">
            <w:pPr>
              <w:ind w:left="102"/>
              <w:jc w:val="both"/>
              <w:rPr>
                <w:rFonts w:eastAsia="Arial"/>
              </w:rPr>
            </w:pPr>
            <w:r w:rsidRPr="002E1A5F">
              <w:rPr>
                <w:rFonts w:eastAsia="Arial"/>
                <w:spacing w:val="1"/>
              </w:rPr>
              <w:t>F</w:t>
            </w:r>
            <w:r w:rsidRPr="002E1A5F">
              <w:rPr>
                <w:rFonts w:eastAsia="Arial"/>
              </w:rPr>
              <w:t>ede</w:t>
            </w:r>
            <w:r w:rsidRPr="002E1A5F">
              <w:rPr>
                <w:rFonts w:eastAsia="Arial"/>
                <w:spacing w:val="1"/>
              </w:rPr>
              <w:t>r</w:t>
            </w:r>
            <w:r w:rsidRPr="002E1A5F">
              <w:rPr>
                <w:rFonts w:eastAsia="Arial"/>
                <w:spacing w:val="2"/>
              </w:rPr>
              <w:t>a</w:t>
            </w:r>
            <w:r w:rsidRPr="002E1A5F">
              <w:rPr>
                <w:rFonts w:eastAsia="Arial"/>
              </w:rPr>
              <w:t>l</w:t>
            </w:r>
            <w:r w:rsidRPr="002E1A5F">
              <w:rPr>
                <w:rFonts w:eastAsia="Arial"/>
                <w:spacing w:val="-8"/>
              </w:rPr>
              <w:t xml:space="preserve"> </w:t>
            </w:r>
            <w:r w:rsidRPr="002E1A5F">
              <w:rPr>
                <w:rFonts w:eastAsia="Arial"/>
                <w:spacing w:val="2"/>
              </w:rPr>
              <w:t>a</w:t>
            </w:r>
            <w:r w:rsidRPr="002E1A5F">
              <w:rPr>
                <w:rFonts w:eastAsia="Arial"/>
              </w:rPr>
              <w:t>wa</w:t>
            </w:r>
            <w:r w:rsidRPr="002E1A5F">
              <w:rPr>
                <w:rFonts w:eastAsia="Arial"/>
                <w:spacing w:val="1"/>
              </w:rPr>
              <w:t>r</w:t>
            </w:r>
            <w:r w:rsidRPr="002E1A5F">
              <w:rPr>
                <w:rFonts w:eastAsia="Arial"/>
              </w:rPr>
              <w:t>d</w:t>
            </w:r>
            <w:r w:rsidRPr="002E1A5F">
              <w:rPr>
                <w:rFonts w:eastAsia="Arial"/>
                <w:spacing w:val="-6"/>
              </w:rPr>
              <w:t xml:space="preserve"> </w:t>
            </w:r>
            <w:r w:rsidRPr="002E1A5F">
              <w:rPr>
                <w:rFonts w:eastAsia="Arial"/>
                <w:spacing w:val="1"/>
              </w:rPr>
              <w:t>i</w:t>
            </w:r>
            <w:r w:rsidRPr="002E1A5F">
              <w:rPr>
                <w:rFonts w:eastAsia="Arial"/>
              </w:rPr>
              <w:t>de</w:t>
            </w:r>
            <w:r w:rsidRPr="002E1A5F">
              <w:rPr>
                <w:rFonts w:eastAsia="Arial"/>
                <w:spacing w:val="2"/>
              </w:rPr>
              <w:t>n</w:t>
            </w:r>
            <w:r w:rsidRPr="002E1A5F">
              <w:rPr>
                <w:rFonts w:eastAsia="Arial"/>
              </w:rPr>
              <w:t>t</w:t>
            </w:r>
            <w:r w:rsidRPr="002E1A5F">
              <w:rPr>
                <w:rFonts w:eastAsia="Arial"/>
                <w:spacing w:val="-1"/>
              </w:rPr>
              <w:t>i</w:t>
            </w:r>
            <w:r w:rsidRPr="002E1A5F">
              <w:rPr>
                <w:rFonts w:eastAsia="Arial"/>
                <w:spacing w:val="2"/>
              </w:rPr>
              <w:t>f</w:t>
            </w:r>
            <w:r w:rsidRPr="002E1A5F">
              <w:rPr>
                <w:rFonts w:eastAsia="Arial"/>
                <w:spacing w:val="-1"/>
              </w:rPr>
              <w:t>i</w:t>
            </w:r>
            <w:r w:rsidRPr="002E1A5F">
              <w:rPr>
                <w:rFonts w:eastAsia="Arial"/>
                <w:spacing w:val="1"/>
              </w:rPr>
              <w:t>c</w:t>
            </w:r>
            <w:r w:rsidRPr="002E1A5F">
              <w:rPr>
                <w:rFonts w:eastAsia="Arial"/>
              </w:rPr>
              <w:t>at</w:t>
            </w:r>
            <w:r w:rsidRPr="002E1A5F">
              <w:rPr>
                <w:rFonts w:eastAsia="Arial"/>
                <w:spacing w:val="1"/>
              </w:rPr>
              <w:t>i</w:t>
            </w:r>
            <w:r w:rsidRPr="002E1A5F">
              <w:rPr>
                <w:rFonts w:eastAsia="Arial"/>
              </w:rPr>
              <w:t>on</w:t>
            </w:r>
            <w:r w:rsidRPr="002E1A5F">
              <w:rPr>
                <w:rFonts w:eastAsia="Arial"/>
                <w:spacing w:val="-9"/>
              </w:rPr>
              <w:t xml:space="preserve"> </w:t>
            </w:r>
            <w:r w:rsidRPr="002E1A5F">
              <w:rPr>
                <w:rFonts w:eastAsia="Arial"/>
              </w:rPr>
              <w:t>nu</w:t>
            </w:r>
            <w:r w:rsidRPr="002E1A5F">
              <w:rPr>
                <w:rFonts w:eastAsia="Arial"/>
                <w:spacing w:val="4"/>
              </w:rPr>
              <w:t>m</w:t>
            </w:r>
            <w:r w:rsidRPr="002E1A5F">
              <w:rPr>
                <w:rFonts w:eastAsia="Arial"/>
              </w:rPr>
              <w:t>ber</w:t>
            </w:r>
            <w:r w:rsidRPr="002E1A5F">
              <w:rPr>
                <w:rFonts w:eastAsia="Arial"/>
                <w:spacing w:val="-6"/>
              </w:rPr>
              <w:t xml:space="preserve"> </w:t>
            </w:r>
            <w:r w:rsidRPr="002E1A5F">
              <w:rPr>
                <w:rFonts w:eastAsia="Arial"/>
                <w:spacing w:val="1"/>
              </w:rPr>
              <w:t>(F</w:t>
            </w:r>
            <w:r w:rsidRPr="002E1A5F">
              <w:rPr>
                <w:rFonts w:eastAsia="Arial"/>
                <w:spacing w:val="-1"/>
              </w:rPr>
              <w:t>A</w:t>
            </w:r>
            <w:r w:rsidRPr="002E1A5F">
              <w:rPr>
                <w:rFonts w:eastAsia="Arial"/>
              </w:rPr>
              <w:t>IN)</w:t>
            </w:r>
          </w:p>
        </w:tc>
        <w:tc>
          <w:tcPr>
            <w:tcW w:w="3454"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05944D0" w14:textId="77777777" w:rsidR="00092721" w:rsidRPr="002E1A5F" w:rsidRDefault="00092721" w:rsidP="7A327B2A">
            <w:pPr>
              <w:ind w:left="90"/>
              <w:jc w:val="both"/>
            </w:pPr>
          </w:p>
        </w:tc>
      </w:tr>
      <w:tr w:rsidR="00092721" w:rsidRPr="002E1A5F" w14:paraId="78F9397C" w14:textId="77777777" w:rsidTr="0F584CDF">
        <w:trPr>
          <w:trHeight w:hRule="exact" w:val="576"/>
        </w:trPr>
        <w:tc>
          <w:tcPr>
            <w:tcW w:w="589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BA11BE9" w14:textId="31EC8BB0" w:rsidR="00092721" w:rsidRPr="002E1A5F" w:rsidRDefault="00092721" w:rsidP="7A327B2A">
            <w:pPr>
              <w:ind w:left="102" w:right="350"/>
              <w:jc w:val="both"/>
              <w:rPr>
                <w:rFonts w:eastAsia="Arial"/>
              </w:rPr>
            </w:pPr>
            <w:r w:rsidRPr="002E1A5F">
              <w:rPr>
                <w:rFonts w:eastAsia="Arial"/>
                <w:spacing w:val="1"/>
              </w:rPr>
              <w:t xml:space="preserve">Federal Award Date of award to the </w:t>
            </w:r>
            <w:r w:rsidR="4D6DDD64" w:rsidRPr="002E1A5F">
              <w:rPr>
                <w:rFonts w:eastAsia="Arial"/>
                <w:spacing w:val="1"/>
              </w:rPr>
              <w:t>R</w:t>
            </w:r>
            <w:r w:rsidR="3F563ED1" w:rsidRPr="002E1A5F">
              <w:rPr>
                <w:rFonts w:eastAsia="Arial"/>
                <w:spacing w:val="1"/>
              </w:rPr>
              <w:t>ecipient</w:t>
            </w:r>
            <w:r w:rsidRPr="002E1A5F">
              <w:rPr>
                <w:rFonts w:eastAsia="Arial"/>
                <w:spacing w:val="1"/>
              </w:rPr>
              <w:t xml:space="preserve"> by the Federal agency</w:t>
            </w:r>
          </w:p>
        </w:tc>
        <w:tc>
          <w:tcPr>
            <w:tcW w:w="3454"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EB88CAB" w14:textId="77777777" w:rsidR="00092721" w:rsidRPr="002E1A5F" w:rsidRDefault="00092721" w:rsidP="7A327B2A">
            <w:pPr>
              <w:ind w:left="90"/>
              <w:jc w:val="both"/>
            </w:pPr>
          </w:p>
        </w:tc>
      </w:tr>
      <w:tr w:rsidR="00092721" w:rsidRPr="002E1A5F" w14:paraId="7AB4CC17" w14:textId="77777777" w:rsidTr="0F584CDF">
        <w:trPr>
          <w:trHeight w:hRule="exact" w:val="576"/>
        </w:trPr>
        <w:tc>
          <w:tcPr>
            <w:tcW w:w="589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C1F4130" w14:textId="77777777" w:rsidR="00092721" w:rsidRPr="002E1A5F" w:rsidRDefault="00092721" w:rsidP="7A327B2A">
            <w:pPr>
              <w:ind w:left="102" w:right="396"/>
              <w:jc w:val="both"/>
              <w:rPr>
                <w:rFonts w:eastAsia="Arial"/>
              </w:rPr>
            </w:pPr>
            <w:r w:rsidRPr="002E1A5F">
              <w:rPr>
                <w:rFonts w:eastAsia="Arial"/>
                <w:spacing w:val="-1"/>
              </w:rPr>
              <w:t>S</w:t>
            </w:r>
            <w:r w:rsidRPr="002E1A5F">
              <w:rPr>
                <w:rFonts w:eastAsia="Arial"/>
              </w:rPr>
              <w:t>u</w:t>
            </w:r>
            <w:r w:rsidRPr="002E1A5F">
              <w:rPr>
                <w:rFonts w:eastAsia="Arial"/>
                <w:spacing w:val="2"/>
              </w:rPr>
              <w:t>ba</w:t>
            </w:r>
            <w:r w:rsidRPr="002E1A5F">
              <w:rPr>
                <w:rFonts w:eastAsia="Arial"/>
                <w:spacing w:val="-2"/>
              </w:rPr>
              <w:t>w</w:t>
            </w:r>
            <w:r w:rsidRPr="002E1A5F">
              <w:rPr>
                <w:rFonts w:eastAsia="Arial"/>
              </w:rPr>
              <w:t>a</w:t>
            </w:r>
            <w:r w:rsidRPr="002E1A5F">
              <w:rPr>
                <w:rFonts w:eastAsia="Arial"/>
                <w:spacing w:val="1"/>
              </w:rPr>
              <w:t>r</w:t>
            </w:r>
            <w:r w:rsidRPr="002E1A5F">
              <w:rPr>
                <w:rFonts w:eastAsia="Arial"/>
              </w:rPr>
              <w:t>d</w:t>
            </w:r>
            <w:r w:rsidRPr="002E1A5F">
              <w:rPr>
                <w:rFonts w:eastAsia="Arial"/>
                <w:spacing w:val="-7"/>
              </w:rPr>
              <w:t xml:space="preserve"> </w:t>
            </w:r>
            <w:r w:rsidRPr="002E1A5F">
              <w:rPr>
                <w:rFonts w:eastAsia="Arial"/>
              </w:rPr>
              <w:t>pe</w:t>
            </w:r>
            <w:r w:rsidRPr="002E1A5F">
              <w:rPr>
                <w:rFonts w:eastAsia="Arial"/>
                <w:spacing w:val="1"/>
              </w:rPr>
              <w:t>ri</w:t>
            </w:r>
            <w:r w:rsidRPr="002E1A5F">
              <w:rPr>
                <w:rFonts w:eastAsia="Arial"/>
              </w:rPr>
              <w:t>od</w:t>
            </w:r>
            <w:r w:rsidRPr="002E1A5F">
              <w:rPr>
                <w:rFonts w:eastAsia="Arial"/>
                <w:spacing w:val="-4"/>
              </w:rPr>
              <w:t xml:space="preserve"> </w:t>
            </w:r>
            <w:r w:rsidRPr="002E1A5F">
              <w:rPr>
                <w:rFonts w:eastAsia="Arial"/>
              </w:rPr>
              <w:t>of pe</w:t>
            </w:r>
            <w:r w:rsidRPr="002E1A5F">
              <w:rPr>
                <w:rFonts w:eastAsia="Arial"/>
                <w:spacing w:val="1"/>
              </w:rPr>
              <w:t>r</w:t>
            </w:r>
            <w:r w:rsidRPr="002E1A5F">
              <w:rPr>
                <w:rFonts w:eastAsia="Arial"/>
                <w:spacing w:val="2"/>
              </w:rPr>
              <w:t>f</w:t>
            </w:r>
            <w:r w:rsidRPr="002E1A5F">
              <w:rPr>
                <w:rFonts w:eastAsia="Arial"/>
              </w:rPr>
              <w:t>o</w:t>
            </w:r>
            <w:r w:rsidRPr="002E1A5F">
              <w:rPr>
                <w:rFonts w:eastAsia="Arial"/>
                <w:spacing w:val="1"/>
              </w:rPr>
              <w:t>r</w:t>
            </w:r>
            <w:r w:rsidRPr="002E1A5F">
              <w:rPr>
                <w:rFonts w:eastAsia="Arial"/>
                <w:spacing w:val="4"/>
              </w:rPr>
              <w:t>m</w:t>
            </w:r>
            <w:r w:rsidRPr="002E1A5F">
              <w:rPr>
                <w:rFonts w:eastAsia="Arial"/>
              </w:rPr>
              <w:t>an</w:t>
            </w:r>
            <w:r w:rsidRPr="002E1A5F">
              <w:rPr>
                <w:rFonts w:eastAsia="Arial"/>
                <w:spacing w:val="1"/>
              </w:rPr>
              <w:t>c</w:t>
            </w:r>
            <w:r w:rsidRPr="002E1A5F">
              <w:rPr>
                <w:rFonts w:eastAsia="Arial"/>
              </w:rPr>
              <w:t>e</w:t>
            </w:r>
            <w:r w:rsidRPr="002E1A5F">
              <w:rPr>
                <w:rFonts w:eastAsia="Arial"/>
                <w:spacing w:val="-11"/>
              </w:rPr>
              <w:t xml:space="preserve"> </w:t>
            </w:r>
            <w:r w:rsidRPr="002E1A5F">
              <w:rPr>
                <w:rFonts w:eastAsia="Arial"/>
                <w:spacing w:val="1"/>
              </w:rPr>
              <w:t>s</w:t>
            </w:r>
            <w:r w:rsidRPr="002E1A5F">
              <w:rPr>
                <w:rFonts w:eastAsia="Arial"/>
              </w:rPr>
              <w:t>ta</w:t>
            </w:r>
            <w:r w:rsidRPr="002E1A5F">
              <w:rPr>
                <w:rFonts w:eastAsia="Arial"/>
                <w:spacing w:val="1"/>
              </w:rPr>
              <w:t>r</w:t>
            </w:r>
            <w:r w:rsidRPr="002E1A5F">
              <w:rPr>
                <w:rFonts w:eastAsia="Arial"/>
              </w:rPr>
              <w:t>t</w:t>
            </w:r>
            <w:r w:rsidRPr="002E1A5F">
              <w:rPr>
                <w:rFonts w:eastAsia="Arial"/>
                <w:spacing w:val="-4"/>
              </w:rPr>
              <w:t xml:space="preserve"> </w:t>
            </w:r>
            <w:r w:rsidRPr="002E1A5F">
              <w:rPr>
                <w:rFonts w:eastAsia="Arial"/>
              </w:rPr>
              <w:t>and</w:t>
            </w:r>
            <w:r w:rsidRPr="002E1A5F">
              <w:rPr>
                <w:rFonts w:eastAsia="Arial"/>
                <w:spacing w:val="-4"/>
              </w:rPr>
              <w:t xml:space="preserve"> </w:t>
            </w:r>
            <w:r w:rsidRPr="002E1A5F">
              <w:rPr>
                <w:rFonts w:eastAsia="Arial"/>
              </w:rPr>
              <w:t>e</w:t>
            </w:r>
            <w:r w:rsidRPr="002E1A5F">
              <w:rPr>
                <w:rFonts w:eastAsia="Arial"/>
                <w:spacing w:val="2"/>
              </w:rPr>
              <w:t>n</w:t>
            </w:r>
            <w:r w:rsidRPr="002E1A5F">
              <w:rPr>
                <w:rFonts w:eastAsia="Arial"/>
              </w:rPr>
              <w:t>d date</w:t>
            </w:r>
          </w:p>
        </w:tc>
        <w:tc>
          <w:tcPr>
            <w:tcW w:w="3454"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6147AB9" w14:textId="77777777" w:rsidR="00092721" w:rsidRPr="002E1A5F" w:rsidRDefault="00092721" w:rsidP="7A327B2A">
            <w:pPr>
              <w:ind w:left="90"/>
              <w:jc w:val="both"/>
            </w:pPr>
          </w:p>
        </w:tc>
      </w:tr>
      <w:tr w:rsidR="00092721" w:rsidRPr="002E1A5F" w14:paraId="1D49A130" w14:textId="77777777" w:rsidTr="0F584CDF">
        <w:trPr>
          <w:trHeight w:hRule="exact" w:val="576"/>
        </w:trPr>
        <w:tc>
          <w:tcPr>
            <w:tcW w:w="589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5069A1A" w14:textId="1C1056F5" w:rsidR="00092721" w:rsidRPr="002E1A5F" w:rsidRDefault="00092721" w:rsidP="7A327B2A">
            <w:pPr>
              <w:ind w:left="102" w:right="255"/>
              <w:jc w:val="both"/>
              <w:rPr>
                <w:rFonts w:eastAsia="Arial"/>
              </w:rPr>
            </w:pPr>
            <w:r w:rsidRPr="002E1A5F">
              <w:rPr>
                <w:rFonts w:eastAsia="Arial"/>
                <w:spacing w:val="-1"/>
              </w:rPr>
              <w:t>A</w:t>
            </w:r>
            <w:r w:rsidRPr="002E1A5F">
              <w:rPr>
                <w:rFonts w:eastAsia="Arial"/>
                <w:spacing w:val="4"/>
              </w:rPr>
              <w:t>m</w:t>
            </w:r>
            <w:r w:rsidRPr="002E1A5F">
              <w:rPr>
                <w:rFonts w:eastAsia="Arial"/>
              </w:rPr>
              <w:t>ount</w:t>
            </w:r>
            <w:r w:rsidRPr="002E1A5F">
              <w:rPr>
                <w:rFonts w:eastAsia="Arial"/>
                <w:spacing w:val="-7"/>
              </w:rPr>
              <w:t xml:space="preserve"> </w:t>
            </w:r>
            <w:r w:rsidRPr="002E1A5F">
              <w:rPr>
                <w:rFonts w:eastAsia="Arial"/>
              </w:rPr>
              <w:t xml:space="preserve">of </w:t>
            </w:r>
            <w:r w:rsidRPr="002E1A5F">
              <w:rPr>
                <w:rFonts w:eastAsia="Arial"/>
                <w:spacing w:val="1"/>
              </w:rPr>
              <w:t>F</w:t>
            </w:r>
            <w:r w:rsidRPr="002E1A5F">
              <w:rPr>
                <w:rFonts w:eastAsia="Arial"/>
              </w:rPr>
              <w:t>ede</w:t>
            </w:r>
            <w:r w:rsidRPr="002E1A5F">
              <w:rPr>
                <w:rFonts w:eastAsia="Arial"/>
                <w:spacing w:val="1"/>
              </w:rPr>
              <w:t>r</w:t>
            </w:r>
            <w:r w:rsidRPr="002E1A5F">
              <w:rPr>
                <w:rFonts w:eastAsia="Arial"/>
                <w:spacing w:val="2"/>
              </w:rPr>
              <w:t>a</w:t>
            </w:r>
            <w:r w:rsidRPr="002E1A5F">
              <w:rPr>
                <w:rFonts w:eastAsia="Arial"/>
              </w:rPr>
              <w:t>l</w:t>
            </w:r>
            <w:r w:rsidRPr="002E1A5F">
              <w:rPr>
                <w:rFonts w:eastAsia="Arial"/>
                <w:spacing w:val="-8"/>
              </w:rPr>
              <w:t xml:space="preserve"> </w:t>
            </w:r>
            <w:r w:rsidRPr="002E1A5F">
              <w:rPr>
                <w:rFonts w:eastAsia="Arial"/>
                <w:spacing w:val="2"/>
              </w:rPr>
              <w:t>f</w:t>
            </w:r>
            <w:r w:rsidRPr="002E1A5F">
              <w:rPr>
                <w:rFonts w:eastAsia="Arial"/>
              </w:rPr>
              <w:t>unds</w:t>
            </w:r>
            <w:r w:rsidRPr="002E1A5F">
              <w:rPr>
                <w:rFonts w:eastAsia="Arial"/>
                <w:spacing w:val="-4"/>
              </w:rPr>
              <w:t xml:space="preserve"> </w:t>
            </w:r>
            <w:r w:rsidRPr="002E1A5F">
              <w:rPr>
                <w:rFonts w:eastAsia="Arial"/>
                <w:spacing w:val="2"/>
              </w:rPr>
              <w:t>o</w:t>
            </w:r>
            <w:r w:rsidRPr="002E1A5F">
              <w:rPr>
                <w:rFonts w:eastAsia="Arial"/>
              </w:rPr>
              <w:t>b</w:t>
            </w:r>
            <w:r w:rsidRPr="002E1A5F">
              <w:rPr>
                <w:rFonts w:eastAsia="Arial"/>
                <w:spacing w:val="-1"/>
              </w:rPr>
              <w:t>l</w:t>
            </w:r>
            <w:r w:rsidRPr="002E1A5F">
              <w:rPr>
                <w:rFonts w:eastAsia="Arial"/>
                <w:spacing w:val="1"/>
              </w:rPr>
              <w:t>i</w:t>
            </w:r>
            <w:r w:rsidRPr="002E1A5F">
              <w:rPr>
                <w:rFonts w:eastAsia="Arial"/>
              </w:rPr>
              <w:t>ga</w:t>
            </w:r>
            <w:r w:rsidRPr="002E1A5F">
              <w:rPr>
                <w:rFonts w:eastAsia="Arial"/>
                <w:spacing w:val="2"/>
              </w:rPr>
              <w:t>t</w:t>
            </w:r>
            <w:r w:rsidRPr="002E1A5F">
              <w:rPr>
                <w:rFonts w:eastAsia="Arial"/>
              </w:rPr>
              <w:t>ed</w:t>
            </w:r>
            <w:r w:rsidRPr="002E1A5F">
              <w:rPr>
                <w:rFonts w:eastAsia="Arial"/>
                <w:spacing w:val="-9"/>
              </w:rPr>
              <w:t xml:space="preserve"> </w:t>
            </w:r>
            <w:r w:rsidRPr="002E1A5F">
              <w:rPr>
                <w:rFonts w:eastAsia="Arial"/>
                <w:spacing w:val="4"/>
              </w:rPr>
              <w:t>b</w:t>
            </w:r>
            <w:r w:rsidRPr="002E1A5F">
              <w:rPr>
                <w:rFonts w:eastAsia="Arial"/>
              </w:rPr>
              <w:t>y</w:t>
            </w:r>
            <w:r w:rsidRPr="002E1A5F">
              <w:rPr>
                <w:rFonts w:eastAsia="Arial"/>
                <w:spacing w:val="-6"/>
              </w:rPr>
              <w:t xml:space="preserve"> </w:t>
            </w:r>
            <w:r w:rsidRPr="002E1A5F">
              <w:rPr>
                <w:rFonts w:eastAsia="Arial"/>
                <w:spacing w:val="2"/>
              </w:rPr>
              <w:t>t</w:t>
            </w:r>
            <w:r w:rsidRPr="002E1A5F">
              <w:rPr>
                <w:rFonts w:eastAsia="Arial"/>
              </w:rPr>
              <w:t>h</w:t>
            </w:r>
            <w:r w:rsidRPr="002E1A5F">
              <w:rPr>
                <w:rFonts w:eastAsia="Arial"/>
                <w:spacing w:val="-1"/>
              </w:rPr>
              <w:t>i</w:t>
            </w:r>
            <w:r w:rsidRPr="002E1A5F">
              <w:rPr>
                <w:rFonts w:eastAsia="Arial"/>
              </w:rPr>
              <w:t>s</w:t>
            </w:r>
            <w:r w:rsidRPr="002E1A5F">
              <w:rPr>
                <w:rFonts w:eastAsia="Arial"/>
                <w:spacing w:val="-1"/>
              </w:rPr>
              <w:t xml:space="preserve"> </w:t>
            </w:r>
            <w:r w:rsidRPr="002E1A5F">
              <w:rPr>
                <w:rFonts w:eastAsia="Arial"/>
              </w:rPr>
              <w:t>a</w:t>
            </w:r>
            <w:r w:rsidRPr="002E1A5F">
              <w:rPr>
                <w:rFonts w:eastAsia="Arial"/>
                <w:spacing w:val="1"/>
              </w:rPr>
              <w:t>c</w:t>
            </w:r>
            <w:r w:rsidRPr="002E1A5F">
              <w:rPr>
                <w:rFonts w:eastAsia="Arial"/>
                <w:spacing w:val="2"/>
              </w:rPr>
              <w:t>t</w:t>
            </w:r>
            <w:r w:rsidRPr="002E1A5F">
              <w:rPr>
                <w:rFonts w:eastAsia="Arial"/>
                <w:spacing w:val="-1"/>
              </w:rPr>
              <w:t>i</w:t>
            </w:r>
            <w:r w:rsidRPr="002E1A5F">
              <w:rPr>
                <w:rFonts w:eastAsia="Arial"/>
              </w:rPr>
              <w:t xml:space="preserve">on </w:t>
            </w:r>
            <w:r w:rsidRPr="002E1A5F">
              <w:rPr>
                <w:rFonts w:eastAsia="Arial"/>
                <w:spacing w:val="2"/>
              </w:rPr>
              <w:t>b</w:t>
            </w:r>
            <w:r w:rsidRPr="002E1A5F">
              <w:rPr>
                <w:rFonts w:eastAsia="Arial"/>
              </w:rPr>
              <w:t>y</w:t>
            </w:r>
            <w:r w:rsidRPr="002E1A5F">
              <w:rPr>
                <w:rFonts w:eastAsia="Arial"/>
                <w:spacing w:val="-6"/>
              </w:rPr>
              <w:t xml:space="preserve"> </w:t>
            </w:r>
            <w:r w:rsidRPr="002E1A5F">
              <w:rPr>
                <w:rFonts w:eastAsia="Arial"/>
                <w:spacing w:val="2"/>
              </w:rPr>
              <w:t>t</w:t>
            </w:r>
            <w:r w:rsidRPr="002E1A5F">
              <w:rPr>
                <w:rFonts w:eastAsia="Arial"/>
              </w:rPr>
              <w:t>he</w:t>
            </w:r>
            <w:r w:rsidRPr="002E1A5F">
              <w:rPr>
                <w:rFonts w:eastAsia="Arial"/>
                <w:spacing w:val="-1"/>
              </w:rPr>
              <w:t xml:space="preserve"> </w:t>
            </w:r>
            <w:r w:rsidRPr="002E1A5F">
              <w:rPr>
                <w:rFonts w:eastAsia="Arial"/>
              </w:rPr>
              <w:t>pa</w:t>
            </w:r>
            <w:r w:rsidRPr="002E1A5F">
              <w:rPr>
                <w:rFonts w:eastAsia="Arial"/>
                <w:spacing w:val="1"/>
              </w:rPr>
              <w:t>s</w:t>
            </w:r>
            <w:r w:rsidRPr="002E1A5F">
              <w:rPr>
                <w:rFonts w:eastAsia="Arial"/>
                <w:spacing w:val="2"/>
              </w:rPr>
              <w:t>s</w:t>
            </w:r>
            <w:r w:rsidRPr="002E1A5F">
              <w:rPr>
                <w:rFonts w:eastAsia="Arial"/>
                <w:spacing w:val="1"/>
              </w:rPr>
              <w:t>-</w:t>
            </w:r>
            <w:r w:rsidRPr="002E1A5F">
              <w:rPr>
                <w:rFonts w:eastAsia="Arial"/>
              </w:rPr>
              <w:t>th</w:t>
            </w:r>
            <w:r w:rsidRPr="002E1A5F">
              <w:rPr>
                <w:rFonts w:eastAsia="Arial"/>
                <w:spacing w:val="1"/>
              </w:rPr>
              <w:t>r</w:t>
            </w:r>
            <w:r w:rsidRPr="002E1A5F">
              <w:rPr>
                <w:rFonts w:eastAsia="Arial"/>
              </w:rPr>
              <w:t>ou</w:t>
            </w:r>
            <w:r w:rsidRPr="002E1A5F">
              <w:rPr>
                <w:rFonts w:eastAsia="Arial"/>
                <w:spacing w:val="2"/>
              </w:rPr>
              <w:t>g</w:t>
            </w:r>
            <w:r w:rsidRPr="002E1A5F">
              <w:rPr>
                <w:rFonts w:eastAsia="Arial"/>
              </w:rPr>
              <w:t>h</w:t>
            </w:r>
            <w:r w:rsidRPr="002E1A5F">
              <w:rPr>
                <w:rFonts w:eastAsia="Arial"/>
                <w:spacing w:val="-13"/>
              </w:rPr>
              <w:t xml:space="preserve"> </w:t>
            </w:r>
            <w:r w:rsidRPr="002E1A5F">
              <w:rPr>
                <w:rFonts w:eastAsia="Arial"/>
              </w:rPr>
              <w:t>e</w:t>
            </w:r>
            <w:r w:rsidRPr="002E1A5F">
              <w:rPr>
                <w:rFonts w:eastAsia="Arial"/>
                <w:spacing w:val="2"/>
              </w:rPr>
              <w:t>n</w:t>
            </w:r>
            <w:r w:rsidRPr="002E1A5F">
              <w:rPr>
                <w:rFonts w:eastAsia="Arial"/>
              </w:rPr>
              <w:t>t</w:t>
            </w:r>
            <w:r w:rsidRPr="002E1A5F">
              <w:rPr>
                <w:rFonts w:eastAsia="Arial"/>
                <w:spacing w:val="-1"/>
              </w:rPr>
              <w:t>i</w:t>
            </w:r>
            <w:r w:rsidRPr="002E1A5F">
              <w:rPr>
                <w:rFonts w:eastAsia="Arial"/>
                <w:spacing w:val="5"/>
              </w:rPr>
              <w:t>t</w:t>
            </w:r>
            <w:r w:rsidRPr="002E1A5F">
              <w:rPr>
                <w:rFonts w:eastAsia="Arial"/>
              </w:rPr>
              <w:t>y</w:t>
            </w:r>
            <w:r w:rsidRPr="002E1A5F">
              <w:rPr>
                <w:rFonts w:eastAsia="Arial"/>
                <w:spacing w:val="-9"/>
              </w:rPr>
              <w:t xml:space="preserve"> </w:t>
            </w:r>
            <w:r w:rsidRPr="002E1A5F">
              <w:rPr>
                <w:rFonts w:eastAsia="Arial"/>
                <w:spacing w:val="2"/>
              </w:rPr>
              <w:t>t</w:t>
            </w:r>
            <w:r w:rsidRPr="002E1A5F">
              <w:rPr>
                <w:rFonts w:eastAsia="Arial"/>
              </w:rPr>
              <w:t>o</w:t>
            </w:r>
            <w:r w:rsidRPr="002E1A5F">
              <w:rPr>
                <w:rFonts w:eastAsia="Arial"/>
                <w:spacing w:val="-3"/>
              </w:rPr>
              <w:t xml:space="preserve"> </w:t>
            </w:r>
            <w:r w:rsidRPr="002E1A5F">
              <w:rPr>
                <w:rFonts w:eastAsia="Arial"/>
              </w:rPr>
              <w:t>the</w:t>
            </w:r>
            <w:r w:rsidRPr="002E1A5F">
              <w:rPr>
                <w:rFonts w:eastAsia="Arial"/>
                <w:spacing w:val="-1"/>
              </w:rPr>
              <w:t xml:space="preserve"> </w:t>
            </w:r>
            <w:r w:rsidR="1C25E002" w:rsidRPr="002E1A5F">
              <w:rPr>
                <w:rFonts w:eastAsia="Arial"/>
                <w:spacing w:val="-1"/>
              </w:rPr>
              <w:t>S</w:t>
            </w:r>
            <w:r w:rsidR="415DE3BB" w:rsidRPr="002E1A5F">
              <w:rPr>
                <w:rFonts w:eastAsia="Arial"/>
              </w:rPr>
              <w:t>ub</w:t>
            </w:r>
            <w:r w:rsidR="415DE3BB" w:rsidRPr="002E1A5F">
              <w:rPr>
                <w:rFonts w:eastAsia="Arial"/>
                <w:spacing w:val="1"/>
              </w:rPr>
              <w:t>r</w:t>
            </w:r>
            <w:r w:rsidR="415DE3BB" w:rsidRPr="002E1A5F">
              <w:rPr>
                <w:rFonts w:eastAsia="Arial"/>
              </w:rPr>
              <w:t>e</w:t>
            </w:r>
            <w:r w:rsidR="415DE3BB" w:rsidRPr="002E1A5F">
              <w:rPr>
                <w:rFonts w:eastAsia="Arial"/>
                <w:spacing w:val="1"/>
              </w:rPr>
              <w:t>ci</w:t>
            </w:r>
            <w:r w:rsidR="415DE3BB" w:rsidRPr="002E1A5F">
              <w:rPr>
                <w:rFonts w:eastAsia="Arial"/>
              </w:rPr>
              <w:t>p</w:t>
            </w:r>
            <w:r w:rsidR="415DE3BB" w:rsidRPr="002E1A5F">
              <w:rPr>
                <w:rFonts w:eastAsia="Arial"/>
                <w:spacing w:val="-1"/>
              </w:rPr>
              <w:t>i</w:t>
            </w:r>
            <w:r w:rsidR="415DE3BB" w:rsidRPr="002E1A5F">
              <w:rPr>
                <w:rFonts w:eastAsia="Arial"/>
                <w:spacing w:val="2"/>
              </w:rPr>
              <w:t>e</w:t>
            </w:r>
            <w:r w:rsidR="415DE3BB" w:rsidRPr="002E1A5F">
              <w:rPr>
                <w:rFonts w:eastAsia="Arial"/>
              </w:rPr>
              <w:t>nt</w:t>
            </w:r>
          </w:p>
        </w:tc>
        <w:tc>
          <w:tcPr>
            <w:tcW w:w="3454"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95281C7" w14:textId="77777777" w:rsidR="00092721" w:rsidRPr="002E1A5F" w:rsidRDefault="00092721" w:rsidP="7A327B2A">
            <w:pPr>
              <w:ind w:left="90"/>
              <w:jc w:val="both"/>
            </w:pPr>
          </w:p>
        </w:tc>
      </w:tr>
      <w:tr w:rsidR="00092721" w:rsidRPr="002E1A5F" w14:paraId="1D760A5B" w14:textId="77777777" w:rsidTr="0F584CDF">
        <w:trPr>
          <w:trHeight w:hRule="exact" w:val="576"/>
        </w:trPr>
        <w:tc>
          <w:tcPr>
            <w:tcW w:w="589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CB96583" w14:textId="7419D4F7" w:rsidR="00092721" w:rsidRPr="002E1A5F" w:rsidRDefault="00092721" w:rsidP="7A327B2A">
            <w:pPr>
              <w:ind w:left="102" w:right="252"/>
              <w:jc w:val="both"/>
              <w:rPr>
                <w:rFonts w:eastAsia="Arial"/>
              </w:rPr>
            </w:pPr>
            <w:r w:rsidRPr="002E1A5F">
              <w:rPr>
                <w:rFonts w:eastAsia="Arial"/>
                <w:spacing w:val="3"/>
              </w:rPr>
              <w:t>T</w:t>
            </w:r>
            <w:r w:rsidRPr="002E1A5F">
              <w:rPr>
                <w:rFonts w:eastAsia="Arial"/>
              </w:rPr>
              <w:t>otal</w:t>
            </w:r>
            <w:r w:rsidRPr="002E1A5F">
              <w:rPr>
                <w:rFonts w:eastAsia="Arial"/>
                <w:spacing w:val="-5"/>
              </w:rPr>
              <w:t xml:space="preserve"> </w:t>
            </w:r>
            <w:r w:rsidRPr="002E1A5F">
              <w:rPr>
                <w:rFonts w:eastAsia="Arial"/>
              </w:rPr>
              <w:t>a</w:t>
            </w:r>
            <w:r w:rsidRPr="002E1A5F">
              <w:rPr>
                <w:rFonts w:eastAsia="Arial"/>
                <w:spacing w:val="4"/>
              </w:rPr>
              <w:t>m</w:t>
            </w:r>
            <w:r w:rsidRPr="002E1A5F">
              <w:rPr>
                <w:rFonts w:eastAsia="Arial"/>
              </w:rPr>
              <w:t>ount</w:t>
            </w:r>
            <w:r w:rsidRPr="002E1A5F">
              <w:rPr>
                <w:rFonts w:eastAsia="Arial"/>
                <w:spacing w:val="-7"/>
              </w:rPr>
              <w:t xml:space="preserve"> </w:t>
            </w:r>
            <w:r w:rsidRPr="002E1A5F">
              <w:rPr>
                <w:rFonts w:eastAsia="Arial"/>
              </w:rPr>
              <w:t xml:space="preserve">of </w:t>
            </w:r>
            <w:r w:rsidRPr="002E1A5F">
              <w:rPr>
                <w:rFonts w:eastAsia="Arial"/>
                <w:spacing w:val="1"/>
              </w:rPr>
              <w:t>F</w:t>
            </w:r>
            <w:r w:rsidRPr="002E1A5F">
              <w:rPr>
                <w:rFonts w:eastAsia="Arial"/>
              </w:rPr>
              <w:t>ede</w:t>
            </w:r>
            <w:r w:rsidRPr="002E1A5F">
              <w:rPr>
                <w:rFonts w:eastAsia="Arial"/>
                <w:spacing w:val="1"/>
              </w:rPr>
              <w:t>r</w:t>
            </w:r>
            <w:r w:rsidRPr="002E1A5F">
              <w:rPr>
                <w:rFonts w:eastAsia="Arial"/>
                <w:spacing w:val="2"/>
              </w:rPr>
              <w:t>a</w:t>
            </w:r>
            <w:r w:rsidRPr="002E1A5F">
              <w:rPr>
                <w:rFonts w:eastAsia="Arial"/>
              </w:rPr>
              <w:t>l</w:t>
            </w:r>
            <w:r w:rsidRPr="002E1A5F">
              <w:rPr>
                <w:rFonts w:eastAsia="Arial"/>
                <w:spacing w:val="-8"/>
              </w:rPr>
              <w:t xml:space="preserve"> </w:t>
            </w:r>
            <w:r w:rsidRPr="002E1A5F">
              <w:rPr>
                <w:rFonts w:eastAsia="Arial"/>
                <w:spacing w:val="2"/>
              </w:rPr>
              <w:t>f</w:t>
            </w:r>
            <w:r w:rsidRPr="002E1A5F">
              <w:rPr>
                <w:rFonts w:eastAsia="Arial"/>
              </w:rPr>
              <w:t>unds</w:t>
            </w:r>
            <w:r w:rsidRPr="002E1A5F">
              <w:rPr>
                <w:rFonts w:eastAsia="Arial"/>
                <w:spacing w:val="-4"/>
              </w:rPr>
              <w:t xml:space="preserve"> </w:t>
            </w:r>
            <w:r w:rsidRPr="002E1A5F">
              <w:rPr>
                <w:rFonts w:eastAsia="Arial"/>
              </w:rPr>
              <w:t>o</w:t>
            </w:r>
            <w:r w:rsidRPr="002E1A5F">
              <w:rPr>
                <w:rFonts w:eastAsia="Arial"/>
                <w:spacing w:val="2"/>
              </w:rPr>
              <w:t>b</w:t>
            </w:r>
            <w:r w:rsidRPr="002E1A5F">
              <w:rPr>
                <w:rFonts w:eastAsia="Arial"/>
                <w:spacing w:val="-1"/>
              </w:rPr>
              <w:t>l</w:t>
            </w:r>
            <w:r w:rsidRPr="002E1A5F">
              <w:rPr>
                <w:rFonts w:eastAsia="Arial"/>
                <w:spacing w:val="1"/>
              </w:rPr>
              <w:t>i</w:t>
            </w:r>
            <w:r w:rsidRPr="002E1A5F">
              <w:rPr>
                <w:rFonts w:eastAsia="Arial"/>
              </w:rPr>
              <w:t>gat</w:t>
            </w:r>
            <w:r w:rsidRPr="002E1A5F">
              <w:rPr>
                <w:rFonts w:eastAsia="Arial"/>
                <w:spacing w:val="2"/>
              </w:rPr>
              <w:t>e</w:t>
            </w:r>
            <w:r w:rsidRPr="002E1A5F">
              <w:rPr>
                <w:rFonts w:eastAsia="Arial"/>
              </w:rPr>
              <w:t>d</w:t>
            </w:r>
            <w:r w:rsidRPr="002E1A5F">
              <w:rPr>
                <w:rFonts w:eastAsia="Arial"/>
                <w:spacing w:val="-9"/>
              </w:rPr>
              <w:t xml:space="preserve"> </w:t>
            </w:r>
            <w:r w:rsidRPr="002E1A5F">
              <w:rPr>
                <w:rFonts w:eastAsia="Arial"/>
              </w:rPr>
              <w:t xml:space="preserve">to the </w:t>
            </w:r>
            <w:r w:rsidR="502AF1E1" w:rsidRPr="002E1A5F">
              <w:rPr>
                <w:rFonts w:eastAsia="Arial"/>
              </w:rPr>
              <w:t>S</w:t>
            </w:r>
            <w:r w:rsidR="415DE3BB" w:rsidRPr="002E1A5F">
              <w:rPr>
                <w:rFonts w:eastAsia="Arial"/>
              </w:rPr>
              <w:t>ub</w:t>
            </w:r>
            <w:r w:rsidR="415DE3BB" w:rsidRPr="002E1A5F">
              <w:rPr>
                <w:rFonts w:eastAsia="Arial"/>
                <w:spacing w:val="1"/>
              </w:rPr>
              <w:t>r</w:t>
            </w:r>
            <w:r w:rsidR="415DE3BB" w:rsidRPr="002E1A5F">
              <w:rPr>
                <w:rFonts w:eastAsia="Arial"/>
              </w:rPr>
              <w:t>e</w:t>
            </w:r>
            <w:r w:rsidR="415DE3BB" w:rsidRPr="002E1A5F">
              <w:rPr>
                <w:rFonts w:eastAsia="Arial"/>
                <w:spacing w:val="1"/>
              </w:rPr>
              <w:t>c</w:t>
            </w:r>
            <w:r w:rsidR="415DE3BB" w:rsidRPr="002E1A5F">
              <w:rPr>
                <w:rFonts w:eastAsia="Arial"/>
                <w:spacing w:val="-1"/>
              </w:rPr>
              <w:t>i</w:t>
            </w:r>
            <w:r w:rsidR="415DE3BB" w:rsidRPr="002E1A5F">
              <w:rPr>
                <w:rFonts w:eastAsia="Arial"/>
                <w:spacing w:val="2"/>
              </w:rPr>
              <w:t>p</w:t>
            </w:r>
            <w:r w:rsidR="415DE3BB" w:rsidRPr="002E1A5F">
              <w:rPr>
                <w:rFonts w:eastAsia="Arial"/>
                <w:spacing w:val="-1"/>
              </w:rPr>
              <w:t>i</w:t>
            </w:r>
            <w:r w:rsidR="415DE3BB" w:rsidRPr="002E1A5F">
              <w:rPr>
                <w:rFonts w:eastAsia="Arial"/>
              </w:rPr>
              <w:t>ent</w:t>
            </w:r>
            <w:r w:rsidRPr="002E1A5F">
              <w:rPr>
                <w:rFonts w:eastAsia="Arial"/>
                <w:spacing w:val="-9"/>
              </w:rPr>
              <w:t xml:space="preserve"> </w:t>
            </w:r>
            <w:r w:rsidRPr="002E1A5F">
              <w:rPr>
                <w:rFonts w:eastAsia="Arial"/>
                <w:spacing w:val="4"/>
              </w:rPr>
              <w:t>b</w:t>
            </w:r>
            <w:r w:rsidRPr="002E1A5F">
              <w:rPr>
                <w:rFonts w:eastAsia="Arial"/>
              </w:rPr>
              <w:t>y</w:t>
            </w:r>
            <w:r w:rsidRPr="002E1A5F">
              <w:rPr>
                <w:rFonts w:eastAsia="Arial"/>
                <w:spacing w:val="-6"/>
              </w:rPr>
              <w:t xml:space="preserve"> </w:t>
            </w:r>
            <w:r w:rsidRPr="002E1A5F">
              <w:rPr>
                <w:rFonts w:eastAsia="Arial"/>
              </w:rPr>
              <w:t>t</w:t>
            </w:r>
            <w:r w:rsidRPr="002E1A5F">
              <w:rPr>
                <w:rFonts w:eastAsia="Arial"/>
                <w:spacing w:val="2"/>
              </w:rPr>
              <w:t>h</w:t>
            </w:r>
            <w:r w:rsidRPr="002E1A5F">
              <w:rPr>
                <w:rFonts w:eastAsia="Arial"/>
              </w:rPr>
              <w:t>e</w:t>
            </w:r>
            <w:r w:rsidRPr="002E1A5F">
              <w:rPr>
                <w:rFonts w:eastAsia="Arial"/>
                <w:spacing w:val="-4"/>
              </w:rPr>
              <w:t xml:space="preserve"> </w:t>
            </w:r>
            <w:r w:rsidRPr="002E1A5F">
              <w:rPr>
                <w:rFonts w:eastAsia="Arial"/>
              </w:rPr>
              <w:t>pa</w:t>
            </w:r>
            <w:r w:rsidRPr="002E1A5F">
              <w:rPr>
                <w:rFonts w:eastAsia="Arial"/>
                <w:spacing w:val="1"/>
              </w:rPr>
              <w:t>s</w:t>
            </w:r>
            <w:r w:rsidRPr="002E1A5F">
              <w:rPr>
                <w:rFonts w:eastAsia="Arial"/>
                <w:spacing w:val="2"/>
              </w:rPr>
              <w:t>s</w:t>
            </w:r>
            <w:r w:rsidRPr="002E1A5F">
              <w:rPr>
                <w:rFonts w:eastAsia="Arial"/>
                <w:spacing w:val="1"/>
              </w:rPr>
              <w:t>-</w:t>
            </w:r>
            <w:r w:rsidRPr="002E1A5F">
              <w:rPr>
                <w:rFonts w:eastAsia="Arial"/>
              </w:rPr>
              <w:t>t</w:t>
            </w:r>
            <w:r w:rsidRPr="002E1A5F">
              <w:rPr>
                <w:rFonts w:eastAsia="Arial"/>
                <w:spacing w:val="2"/>
              </w:rPr>
              <w:t>h</w:t>
            </w:r>
            <w:r w:rsidRPr="002E1A5F">
              <w:rPr>
                <w:rFonts w:eastAsia="Arial"/>
                <w:spacing w:val="1"/>
              </w:rPr>
              <w:t>r</w:t>
            </w:r>
            <w:r w:rsidRPr="002E1A5F">
              <w:rPr>
                <w:rFonts w:eastAsia="Arial"/>
              </w:rPr>
              <w:t>ough</w:t>
            </w:r>
            <w:r w:rsidRPr="002E1A5F">
              <w:rPr>
                <w:rFonts w:eastAsia="Arial"/>
                <w:spacing w:val="-10"/>
              </w:rPr>
              <w:t xml:space="preserve"> </w:t>
            </w:r>
            <w:r w:rsidRPr="002E1A5F">
              <w:rPr>
                <w:rFonts w:eastAsia="Arial"/>
              </w:rPr>
              <w:t>en</w:t>
            </w:r>
            <w:r w:rsidRPr="002E1A5F">
              <w:rPr>
                <w:rFonts w:eastAsia="Arial"/>
                <w:spacing w:val="2"/>
              </w:rPr>
              <w:t>t</w:t>
            </w:r>
            <w:r w:rsidRPr="002E1A5F">
              <w:rPr>
                <w:rFonts w:eastAsia="Arial"/>
                <w:spacing w:val="-1"/>
              </w:rPr>
              <w:t>i</w:t>
            </w:r>
            <w:r w:rsidRPr="002E1A5F">
              <w:rPr>
                <w:rFonts w:eastAsia="Arial"/>
                <w:spacing w:val="2"/>
              </w:rPr>
              <w:t>t</w:t>
            </w:r>
            <w:r w:rsidRPr="002E1A5F">
              <w:rPr>
                <w:rFonts w:eastAsia="Arial"/>
              </w:rPr>
              <w:t>y</w:t>
            </w:r>
            <w:r w:rsidRPr="002E1A5F">
              <w:rPr>
                <w:rFonts w:eastAsia="Arial"/>
                <w:spacing w:val="-6"/>
              </w:rPr>
              <w:t xml:space="preserve"> </w:t>
            </w:r>
            <w:r w:rsidRPr="002E1A5F">
              <w:rPr>
                <w:rFonts w:eastAsia="Arial"/>
                <w:spacing w:val="1"/>
              </w:rPr>
              <w:t>i</w:t>
            </w:r>
            <w:r w:rsidRPr="002E1A5F">
              <w:rPr>
                <w:rFonts w:eastAsia="Arial"/>
              </w:rPr>
              <w:t>n</w:t>
            </w:r>
            <w:r w:rsidRPr="002E1A5F">
              <w:rPr>
                <w:rFonts w:eastAsia="Arial"/>
                <w:spacing w:val="1"/>
              </w:rPr>
              <w:t>c</w:t>
            </w:r>
            <w:r w:rsidRPr="002E1A5F">
              <w:rPr>
                <w:rFonts w:eastAsia="Arial"/>
                <w:spacing w:val="-1"/>
              </w:rPr>
              <w:t>l</w:t>
            </w:r>
            <w:r w:rsidRPr="002E1A5F">
              <w:rPr>
                <w:rFonts w:eastAsia="Arial"/>
              </w:rPr>
              <w:t>u</w:t>
            </w:r>
            <w:r w:rsidRPr="002E1A5F">
              <w:rPr>
                <w:rFonts w:eastAsia="Arial"/>
                <w:spacing w:val="2"/>
              </w:rPr>
              <w:t>d</w:t>
            </w:r>
            <w:r w:rsidRPr="002E1A5F">
              <w:rPr>
                <w:rFonts w:eastAsia="Arial"/>
                <w:spacing w:val="-1"/>
              </w:rPr>
              <w:t>i</w:t>
            </w:r>
            <w:r w:rsidRPr="002E1A5F">
              <w:rPr>
                <w:rFonts w:eastAsia="Arial"/>
                <w:spacing w:val="2"/>
              </w:rPr>
              <w:t>n</w:t>
            </w:r>
            <w:r w:rsidRPr="002E1A5F">
              <w:rPr>
                <w:rFonts w:eastAsia="Arial"/>
              </w:rPr>
              <w:t>g the</w:t>
            </w:r>
            <w:r w:rsidRPr="002E1A5F">
              <w:rPr>
                <w:rFonts w:eastAsia="Arial"/>
                <w:spacing w:val="-4"/>
              </w:rPr>
              <w:t xml:space="preserve"> </w:t>
            </w:r>
            <w:r w:rsidRPr="002E1A5F">
              <w:rPr>
                <w:rFonts w:eastAsia="Arial"/>
                <w:spacing w:val="1"/>
              </w:rPr>
              <w:t>c</w:t>
            </w:r>
            <w:r w:rsidRPr="002E1A5F">
              <w:rPr>
                <w:rFonts w:eastAsia="Arial"/>
              </w:rPr>
              <w:t>u</w:t>
            </w:r>
            <w:r w:rsidRPr="002E1A5F">
              <w:rPr>
                <w:rFonts w:eastAsia="Arial"/>
                <w:spacing w:val="1"/>
              </w:rPr>
              <w:t>rr</w:t>
            </w:r>
            <w:r w:rsidRPr="002E1A5F">
              <w:rPr>
                <w:rFonts w:eastAsia="Arial"/>
              </w:rPr>
              <w:t>ent</w:t>
            </w:r>
            <w:r w:rsidRPr="002E1A5F">
              <w:rPr>
                <w:rFonts w:eastAsia="Arial"/>
                <w:spacing w:val="-4"/>
              </w:rPr>
              <w:t xml:space="preserve"> </w:t>
            </w:r>
            <w:r w:rsidRPr="002E1A5F">
              <w:rPr>
                <w:rFonts w:eastAsia="Arial"/>
              </w:rPr>
              <w:t>o</w:t>
            </w:r>
            <w:r w:rsidRPr="002E1A5F">
              <w:rPr>
                <w:rFonts w:eastAsia="Arial"/>
                <w:spacing w:val="2"/>
              </w:rPr>
              <w:t>b</w:t>
            </w:r>
            <w:r w:rsidRPr="002E1A5F">
              <w:rPr>
                <w:rFonts w:eastAsia="Arial"/>
                <w:spacing w:val="-1"/>
              </w:rPr>
              <w:t>l</w:t>
            </w:r>
            <w:r w:rsidRPr="002E1A5F">
              <w:rPr>
                <w:rFonts w:eastAsia="Arial"/>
                <w:spacing w:val="1"/>
              </w:rPr>
              <w:t>i</w:t>
            </w:r>
            <w:r w:rsidRPr="002E1A5F">
              <w:rPr>
                <w:rFonts w:eastAsia="Arial"/>
              </w:rPr>
              <w:t>ga</w:t>
            </w:r>
            <w:r w:rsidRPr="002E1A5F">
              <w:rPr>
                <w:rFonts w:eastAsia="Arial"/>
                <w:spacing w:val="2"/>
              </w:rPr>
              <w:t>t</w:t>
            </w:r>
            <w:r w:rsidRPr="002E1A5F">
              <w:rPr>
                <w:rFonts w:eastAsia="Arial"/>
                <w:spacing w:val="-1"/>
              </w:rPr>
              <w:t>i</w:t>
            </w:r>
            <w:r w:rsidRPr="002E1A5F">
              <w:rPr>
                <w:rFonts w:eastAsia="Arial"/>
              </w:rPr>
              <w:t>on</w:t>
            </w:r>
          </w:p>
        </w:tc>
        <w:tc>
          <w:tcPr>
            <w:tcW w:w="3454"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F781978" w14:textId="77777777" w:rsidR="00092721" w:rsidRPr="002E1A5F" w:rsidRDefault="00092721" w:rsidP="7A327B2A">
            <w:pPr>
              <w:ind w:left="90"/>
              <w:jc w:val="both"/>
            </w:pPr>
          </w:p>
        </w:tc>
      </w:tr>
      <w:tr w:rsidR="00092721" w:rsidRPr="002E1A5F" w14:paraId="731BFE25" w14:textId="77777777" w:rsidTr="0F584CDF">
        <w:trPr>
          <w:trHeight w:hRule="exact" w:val="576"/>
        </w:trPr>
        <w:tc>
          <w:tcPr>
            <w:tcW w:w="589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477FEE7" w14:textId="68CA7122" w:rsidR="00092721" w:rsidRPr="002E1A5F" w:rsidRDefault="00092721" w:rsidP="7A327B2A">
            <w:pPr>
              <w:ind w:left="102" w:right="276"/>
              <w:jc w:val="both"/>
              <w:rPr>
                <w:rFonts w:eastAsia="Arial"/>
              </w:rPr>
            </w:pPr>
            <w:r w:rsidRPr="002E1A5F">
              <w:rPr>
                <w:rFonts w:eastAsia="Arial"/>
                <w:spacing w:val="3"/>
              </w:rPr>
              <w:t>T</w:t>
            </w:r>
            <w:r w:rsidRPr="002E1A5F">
              <w:rPr>
                <w:rFonts w:eastAsia="Arial"/>
              </w:rPr>
              <w:t>otal</w:t>
            </w:r>
            <w:r w:rsidRPr="002E1A5F">
              <w:rPr>
                <w:rFonts w:eastAsia="Arial"/>
                <w:spacing w:val="-5"/>
              </w:rPr>
              <w:t xml:space="preserve"> </w:t>
            </w:r>
            <w:r w:rsidRPr="002E1A5F">
              <w:rPr>
                <w:rFonts w:eastAsia="Arial"/>
              </w:rPr>
              <w:t>a</w:t>
            </w:r>
            <w:r w:rsidRPr="002E1A5F">
              <w:rPr>
                <w:rFonts w:eastAsia="Arial"/>
                <w:spacing w:val="4"/>
              </w:rPr>
              <w:t>m</w:t>
            </w:r>
            <w:r w:rsidRPr="002E1A5F">
              <w:rPr>
                <w:rFonts w:eastAsia="Arial"/>
              </w:rPr>
              <w:t>ount</w:t>
            </w:r>
            <w:r w:rsidRPr="002E1A5F">
              <w:rPr>
                <w:rFonts w:eastAsia="Arial"/>
                <w:spacing w:val="-7"/>
              </w:rPr>
              <w:t xml:space="preserve"> </w:t>
            </w:r>
            <w:r w:rsidRPr="002E1A5F">
              <w:rPr>
                <w:rFonts w:eastAsia="Arial"/>
              </w:rPr>
              <w:t>of the</w:t>
            </w:r>
            <w:r w:rsidRPr="002E1A5F">
              <w:rPr>
                <w:rFonts w:eastAsia="Arial"/>
                <w:spacing w:val="-4"/>
              </w:rPr>
              <w:t xml:space="preserve"> </w:t>
            </w:r>
            <w:r w:rsidRPr="002E1A5F">
              <w:rPr>
                <w:rFonts w:eastAsia="Arial"/>
                <w:spacing w:val="1"/>
              </w:rPr>
              <w:t>F</w:t>
            </w:r>
            <w:r w:rsidRPr="002E1A5F">
              <w:rPr>
                <w:rFonts w:eastAsia="Arial"/>
                <w:spacing w:val="2"/>
              </w:rPr>
              <w:t>e</w:t>
            </w:r>
            <w:r w:rsidRPr="002E1A5F">
              <w:rPr>
                <w:rFonts w:eastAsia="Arial"/>
              </w:rPr>
              <w:t>de</w:t>
            </w:r>
            <w:r w:rsidRPr="002E1A5F">
              <w:rPr>
                <w:rFonts w:eastAsia="Arial"/>
                <w:spacing w:val="1"/>
              </w:rPr>
              <w:t>r</w:t>
            </w:r>
            <w:r w:rsidRPr="002E1A5F">
              <w:rPr>
                <w:rFonts w:eastAsia="Arial"/>
                <w:spacing w:val="2"/>
              </w:rPr>
              <w:t>a</w:t>
            </w:r>
            <w:r w:rsidRPr="002E1A5F">
              <w:rPr>
                <w:rFonts w:eastAsia="Arial"/>
              </w:rPr>
              <w:t>l</w:t>
            </w:r>
            <w:r w:rsidRPr="002E1A5F">
              <w:rPr>
                <w:rFonts w:eastAsia="Arial"/>
                <w:spacing w:val="-8"/>
              </w:rPr>
              <w:t xml:space="preserve"> </w:t>
            </w:r>
            <w:r w:rsidRPr="002E1A5F">
              <w:rPr>
                <w:rFonts w:eastAsia="Arial"/>
                <w:spacing w:val="2"/>
              </w:rPr>
              <w:t>a</w:t>
            </w:r>
            <w:r w:rsidRPr="002E1A5F">
              <w:rPr>
                <w:rFonts w:eastAsia="Arial"/>
              </w:rPr>
              <w:t>wa</w:t>
            </w:r>
            <w:r w:rsidRPr="002E1A5F">
              <w:rPr>
                <w:rFonts w:eastAsia="Arial"/>
                <w:spacing w:val="1"/>
              </w:rPr>
              <w:t>r</w:t>
            </w:r>
            <w:r w:rsidRPr="002E1A5F">
              <w:rPr>
                <w:rFonts w:eastAsia="Arial"/>
              </w:rPr>
              <w:t>d</w:t>
            </w:r>
            <w:r w:rsidRPr="002E1A5F">
              <w:rPr>
                <w:rFonts w:eastAsia="Arial"/>
                <w:spacing w:val="-6"/>
              </w:rPr>
              <w:t xml:space="preserve"> </w:t>
            </w:r>
            <w:r w:rsidRPr="002E1A5F">
              <w:rPr>
                <w:rFonts w:eastAsia="Arial"/>
                <w:spacing w:val="1"/>
              </w:rPr>
              <w:t>c</w:t>
            </w:r>
            <w:r w:rsidRPr="002E1A5F">
              <w:rPr>
                <w:rFonts w:eastAsia="Arial"/>
              </w:rPr>
              <w:t>o</w:t>
            </w:r>
            <w:r w:rsidRPr="002E1A5F">
              <w:rPr>
                <w:rFonts w:eastAsia="Arial"/>
                <w:spacing w:val="2"/>
              </w:rPr>
              <w:t>m</w:t>
            </w:r>
            <w:r w:rsidRPr="002E1A5F">
              <w:rPr>
                <w:rFonts w:eastAsia="Arial"/>
                <w:spacing w:val="4"/>
              </w:rPr>
              <w:t>m</w:t>
            </w:r>
            <w:r w:rsidRPr="002E1A5F">
              <w:rPr>
                <w:rFonts w:eastAsia="Arial"/>
                <w:spacing w:val="-1"/>
              </w:rPr>
              <w:t>i</w:t>
            </w:r>
            <w:r w:rsidRPr="002E1A5F">
              <w:rPr>
                <w:rFonts w:eastAsia="Arial"/>
              </w:rPr>
              <w:t>tted</w:t>
            </w:r>
            <w:r w:rsidRPr="002E1A5F">
              <w:rPr>
                <w:rFonts w:eastAsia="Arial"/>
                <w:spacing w:val="-10"/>
              </w:rPr>
              <w:t xml:space="preserve"> </w:t>
            </w:r>
            <w:r w:rsidRPr="002E1A5F">
              <w:rPr>
                <w:rFonts w:eastAsia="Arial"/>
              </w:rPr>
              <w:t>to the</w:t>
            </w:r>
            <w:r w:rsidRPr="002E1A5F">
              <w:rPr>
                <w:rFonts w:eastAsia="Arial"/>
                <w:spacing w:val="-4"/>
              </w:rPr>
              <w:t xml:space="preserve"> </w:t>
            </w:r>
            <w:r w:rsidR="34AEE122" w:rsidRPr="002E1A5F">
              <w:rPr>
                <w:rFonts w:eastAsia="Arial"/>
                <w:spacing w:val="-4"/>
              </w:rPr>
              <w:t>S</w:t>
            </w:r>
            <w:r w:rsidR="415DE3BB" w:rsidRPr="002E1A5F">
              <w:rPr>
                <w:rFonts w:eastAsia="Arial"/>
              </w:rPr>
              <w:t>ub</w:t>
            </w:r>
            <w:r w:rsidR="415DE3BB" w:rsidRPr="002E1A5F">
              <w:rPr>
                <w:rFonts w:eastAsia="Arial"/>
                <w:spacing w:val="1"/>
              </w:rPr>
              <w:t>r</w:t>
            </w:r>
            <w:r w:rsidR="415DE3BB" w:rsidRPr="002E1A5F">
              <w:rPr>
                <w:rFonts w:eastAsia="Arial"/>
              </w:rPr>
              <w:t>e</w:t>
            </w:r>
            <w:r w:rsidR="415DE3BB" w:rsidRPr="002E1A5F">
              <w:rPr>
                <w:rFonts w:eastAsia="Arial"/>
                <w:spacing w:val="4"/>
              </w:rPr>
              <w:t>c</w:t>
            </w:r>
            <w:r w:rsidR="415DE3BB" w:rsidRPr="002E1A5F">
              <w:rPr>
                <w:rFonts w:eastAsia="Arial"/>
                <w:spacing w:val="-1"/>
              </w:rPr>
              <w:t>i</w:t>
            </w:r>
            <w:r w:rsidR="415DE3BB" w:rsidRPr="002E1A5F">
              <w:rPr>
                <w:rFonts w:eastAsia="Arial"/>
                <w:spacing w:val="2"/>
              </w:rPr>
              <w:t>p</w:t>
            </w:r>
            <w:r w:rsidR="415DE3BB" w:rsidRPr="002E1A5F">
              <w:rPr>
                <w:rFonts w:eastAsia="Arial"/>
                <w:spacing w:val="-1"/>
              </w:rPr>
              <w:t>i</w:t>
            </w:r>
            <w:r w:rsidR="415DE3BB" w:rsidRPr="002E1A5F">
              <w:rPr>
                <w:rFonts w:eastAsia="Arial"/>
              </w:rPr>
              <w:t>ent</w:t>
            </w:r>
            <w:r w:rsidRPr="002E1A5F">
              <w:rPr>
                <w:rFonts w:eastAsia="Arial"/>
                <w:spacing w:val="-9"/>
              </w:rPr>
              <w:t xml:space="preserve"> </w:t>
            </w:r>
            <w:r w:rsidRPr="002E1A5F">
              <w:rPr>
                <w:rFonts w:eastAsia="Arial"/>
                <w:spacing w:val="4"/>
              </w:rPr>
              <w:t>b</w:t>
            </w:r>
            <w:r w:rsidRPr="002E1A5F">
              <w:rPr>
                <w:rFonts w:eastAsia="Arial"/>
              </w:rPr>
              <w:t>y</w:t>
            </w:r>
            <w:r w:rsidRPr="002E1A5F">
              <w:rPr>
                <w:rFonts w:eastAsia="Arial"/>
                <w:spacing w:val="-6"/>
              </w:rPr>
              <w:t xml:space="preserve"> </w:t>
            </w:r>
            <w:r w:rsidRPr="002E1A5F">
              <w:rPr>
                <w:rFonts w:eastAsia="Arial"/>
              </w:rPr>
              <w:t>t</w:t>
            </w:r>
            <w:r w:rsidRPr="002E1A5F">
              <w:rPr>
                <w:rFonts w:eastAsia="Arial"/>
                <w:spacing w:val="2"/>
              </w:rPr>
              <w:t>h</w:t>
            </w:r>
            <w:r w:rsidRPr="002E1A5F">
              <w:rPr>
                <w:rFonts w:eastAsia="Arial"/>
              </w:rPr>
              <w:t>e</w:t>
            </w:r>
            <w:r w:rsidRPr="002E1A5F">
              <w:rPr>
                <w:rFonts w:eastAsia="Arial"/>
                <w:spacing w:val="-4"/>
              </w:rPr>
              <w:t xml:space="preserve"> </w:t>
            </w:r>
            <w:r w:rsidRPr="002E1A5F">
              <w:rPr>
                <w:rFonts w:eastAsia="Arial"/>
              </w:rPr>
              <w:t>pa</w:t>
            </w:r>
            <w:r w:rsidRPr="002E1A5F">
              <w:rPr>
                <w:rFonts w:eastAsia="Arial"/>
                <w:spacing w:val="4"/>
              </w:rPr>
              <w:t>s</w:t>
            </w:r>
            <w:r w:rsidRPr="002E1A5F">
              <w:rPr>
                <w:rFonts w:eastAsia="Arial"/>
                <w:spacing w:val="1"/>
              </w:rPr>
              <w:t>s-</w:t>
            </w:r>
            <w:r w:rsidRPr="002E1A5F">
              <w:rPr>
                <w:rFonts w:eastAsia="Arial"/>
              </w:rPr>
              <w:t>th</w:t>
            </w:r>
            <w:r w:rsidRPr="002E1A5F">
              <w:rPr>
                <w:rFonts w:eastAsia="Arial"/>
                <w:spacing w:val="1"/>
              </w:rPr>
              <w:t>r</w:t>
            </w:r>
            <w:r w:rsidRPr="002E1A5F">
              <w:rPr>
                <w:rFonts w:eastAsia="Arial"/>
              </w:rPr>
              <w:t>ough</w:t>
            </w:r>
            <w:r w:rsidRPr="002E1A5F">
              <w:rPr>
                <w:rFonts w:eastAsia="Arial"/>
                <w:spacing w:val="-10"/>
              </w:rPr>
              <w:t xml:space="preserve"> </w:t>
            </w:r>
            <w:r w:rsidRPr="002E1A5F">
              <w:rPr>
                <w:rFonts w:eastAsia="Arial"/>
              </w:rPr>
              <w:t>en</w:t>
            </w:r>
            <w:r w:rsidRPr="002E1A5F">
              <w:rPr>
                <w:rFonts w:eastAsia="Arial"/>
                <w:spacing w:val="2"/>
              </w:rPr>
              <w:t>t</w:t>
            </w:r>
            <w:r w:rsidRPr="002E1A5F">
              <w:rPr>
                <w:rFonts w:eastAsia="Arial"/>
                <w:spacing w:val="-1"/>
              </w:rPr>
              <w:t>i</w:t>
            </w:r>
            <w:r w:rsidRPr="002E1A5F">
              <w:rPr>
                <w:rFonts w:eastAsia="Arial"/>
                <w:spacing w:val="2"/>
              </w:rPr>
              <w:t>t</w:t>
            </w:r>
            <w:r w:rsidRPr="002E1A5F">
              <w:rPr>
                <w:rFonts w:eastAsia="Arial"/>
              </w:rPr>
              <w:t>y</w:t>
            </w:r>
          </w:p>
        </w:tc>
        <w:tc>
          <w:tcPr>
            <w:tcW w:w="3454"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A7AC674" w14:textId="77777777" w:rsidR="00092721" w:rsidRPr="002E1A5F" w:rsidRDefault="00092721" w:rsidP="7A327B2A">
            <w:pPr>
              <w:ind w:left="90"/>
              <w:jc w:val="both"/>
            </w:pPr>
          </w:p>
        </w:tc>
      </w:tr>
      <w:tr w:rsidR="00092721" w:rsidRPr="002E1A5F" w14:paraId="6B06BEC1" w14:textId="77777777" w:rsidTr="0F584CDF">
        <w:trPr>
          <w:trHeight w:hRule="exact" w:val="576"/>
        </w:trPr>
        <w:tc>
          <w:tcPr>
            <w:tcW w:w="589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3F1BF84" w14:textId="77777777" w:rsidR="00092721" w:rsidRPr="002E1A5F" w:rsidRDefault="00092721" w:rsidP="7A327B2A">
            <w:pPr>
              <w:ind w:left="102" w:right="206"/>
              <w:jc w:val="both"/>
              <w:rPr>
                <w:rFonts w:eastAsia="Arial"/>
              </w:rPr>
            </w:pPr>
            <w:r w:rsidRPr="002E1A5F">
              <w:rPr>
                <w:rFonts w:eastAsia="Arial"/>
                <w:spacing w:val="1"/>
              </w:rPr>
              <w:t>F</w:t>
            </w:r>
            <w:r w:rsidRPr="002E1A5F">
              <w:rPr>
                <w:rFonts w:eastAsia="Arial"/>
              </w:rPr>
              <w:t>ede</w:t>
            </w:r>
            <w:r w:rsidRPr="002E1A5F">
              <w:rPr>
                <w:rFonts w:eastAsia="Arial"/>
                <w:spacing w:val="1"/>
              </w:rPr>
              <w:t>r</w:t>
            </w:r>
            <w:r w:rsidRPr="002E1A5F">
              <w:rPr>
                <w:rFonts w:eastAsia="Arial"/>
                <w:spacing w:val="2"/>
              </w:rPr>
              <w:t>a</w:t>
            </w:r>
            <w:r w:rsidRPr="002E1A5F">
              <w:rPr>
                <w:rFonts w:eastAsia="Arial"/>
              </w:rPr>
              <w:t>l</w:t>
            </w:r>
            <w:r w:rsidRPr="002E1A5F">
              <w:rPr>
                <w:rFonts w:eastAsia="Arial"/>
                <w:spacing w:val="-8"/>
              </w:rPr>
              <w:t xml:space="preserve"> </w:t>
            </w:r>
            <w:r w:rsidRPr="002E1A5F">
              <w:rPr>
                <w:rFonts w:eastAsia="Arial"/>
                <w:spacing w:val="2"/>
              </w:rPr>
              <w:t>a</w:t>
            </w:r>
            <w:r w:rsidRPr="002E1A5F">
              <w:rPr>
                <w:rFonts w:eastAsia="Arial"/>
              </w:rPr>
              <w:t>wa</w:t>
            </w:r>
            <w:r w:rsidRPr="002E1A5F">
              <w:rPr>
                <w:rFonts w:eastAsia="Arial"/>
                <w:spacing w:val="1"/>
              </w:rPr>
              <w:t>r</w:t>
            </w:r>
            <w:r w:rsidRPr="002E1A5F">
              <w:rPr>
                <w:rFonts w:eastAsia="Arial"/>
              </w:rPr>
              <w:t>d</w:t>
            </w:r>
            <w:r w:rsidRPr="002E1A5F">
              <w:rPr>
                <w:rFonts w:eastAsia="Arial"/>
                <w:spacing w:val="-6"/>
              </w:rPr>
              <w:t xml:space="preserve"> </w:t>
            </w:r>
            <w:r w:rsidRPr="002E1A5F">
              <w:rPr>
                <w:rFonts w:eastAsia="Arial"/>
                <w:spacing w:val="2"/>
              </w:rPr>
              <w:t>d</w:t>
            </w:r>
            <w:r w:rsidRPr="002E1A5F">
              <w:rPr>
                <w:rFonts w:eastAsia="Arial"/>
              </w:rPr>
              <w:t>e</w:t>
            </w:r>
            <w:r w:rsidRPr="002E1A5F">
              <w:rPr>
                <w:rFonts w:eastAsia="Arial"/>
                <w:spacing w:val="1"/>
              </w:rPr>
              <w:t>scr</w:t>
            </w:r>
            <w:r w:rsidRPr="002E1A5F">
              <w:rPr>
                <w:rFonts w:eastAsia="Arial"/>
                <w:spacing w:val="-1"/>
              </w:rPr>
              <w:t>i</w:t>
            </w:r>
            <w:r w:rsidRPr="002E1A5F">
              <w:rPr>
                <w:rFonts w:eastAsia="Arial"/>
              </w:rPr>
              <w:t>pt</w:t>
            </w:r>
            <w:r w:rsidRPr="002E1A5F">
              <w:rPr>
                <w:rFonts w:eastAsia="Arial"/>
                <w:spacing w:val="1"/>
              </w:rPr>
              <w:t>i</w:t>
            </w:r>
            <w:r w:rsidRPr="002E1A5F">
              <w:rPr>
                <w:rFonts w:eastAsia="Arial"/>
              </w:rPr>
              <w:t>on</w:t>
            </w:r>
            <w:r w:rsidRPr="002E1A5F">
              <w:rPr>
                <w:rFonts w:eastAsia="Arial"/>
                <w:spacing w:val="-8"/>
              </w:rPr>
              <w:t xml:space="preserve"> </w:t>
            </w:r>
            <w:r w:rsidRPr="002E1A5F">
              <w:rPr>
                <w:rFonts w:eastAsia="Arial"/>
              </w:rPr>
              <w:t>as</w:t>
            </w:r>
            <w:r w:rsidRPr="002E1A5F">
              <w:rPr>
                <w:rFonts w:eastAsia="Arial"/>
                <w:spacing w:val="-1"/>
              </w:rPr>
              <w:t xml:space="preserve"> </w:t>
            </w:r>
            <w:r w:rsidRPr="002E1A5F">
              <w:rPr>
                <w:rFonts w:eastAsia="Arial"/>
                <w:spacing w:val="1"/>
              </w:rPr>
              <w:t>r</w:t>
            </w:r>
            <w:r w:rsidRPr="002E1A5F">
              <w:rPr>
                <w:rFonts w:eastAsia="Arial"/>
              </w:rPr>
              <w:t>equ</w:t>
            </w:r>
            <w:r w:rsidRPr="002E1A5F">
              <w:rPr>
                <w:rFonts w:eastAsia="Arial"/>
                <w:spacing w:val="-1"/>
              </w:rPr>
              <w:t>i</w:t>
            </w:r>
            <w:r w:rsidRPr="002E1A5F">
              <w:rPr>
                <w:rFonts w:eastAsia="Arial"/>
                <w:spacing w:val="3"/>
              </w:rPr>
              <w:t>r</w:t>
            </w:r>
            <w:r w:rsidRPr="002E1A5F">
              <w:rPr>
                <w:rFonts w:eastAsia="Arial"/>
              </w:rPr>
              <w:t>ed</w:t>
            </w:r>
            <w:r w:rsidRPr="002E1A5F">
              <w:rPr>
                <w:rFonts w:eastAsia="Arial"/>
                <w:spacing w:val="-8"/>
              </w:rPr>
              <w:t xml:space="preserve"> </w:t>
            </w:r>
            <w:r w:rsidRPr="002E1A5F">
              <w:rPr>
                <w:rFonts w:eastAsia="Arial"/>
                <w:spacing w:val="2"/>
              </w:rPr>
              <w:t>t</w:t>
            </w:r>
            <w:r w:rsidRPr="002E1A5F">
              <w:rPr>
                <w:rFonts w:eastAsia="Arial"/>
              </w:rPr>
              <w:t>o</w:t>
            </w:r>
            <w:r w:rsidRPr="002E1A5F">
              <w:rPr>
                <w:rFonts w:eastAsia="Arial"/>
                <w:spacing w:val="-3"/>
              </w:rPr>
              <w:t xml:space="preserve"> </w:t>
            </w:r>
            <w:r w:rsidRPr="002E1A5F">
              <w:rPr>
                <w:rFonts w:eastAsia="Arial"/>
              </w:rPr>
              <w:t xml:space="preserve">be </w:t>
            </w:r>
            <w:r w:rsidRPr="002E1A5F">
              <w:rPr>
                <w:rFonts w:eastAsia="Arial"/>
                <w:spacing w:val="1"/>
              </w:rPr>
              <w:t>r</w:t>
            </w:r>
            <w:r w:rsidRPr="002E1A5F">
              <w:rPr>
                <w:rFonts w:eastAsia="Arial"/>
              </w:rPr>
              <w:t>e</w:t>
            </w:r>
            <w:r w:rsidRPr="002E1A5F">
              <w:rPr>
                <w:rFonts w:eastAsia="Arial"/>
                <w:spacing w:val="1"/>
              </w:rPr>
              <w:t>s</w:t>
            </w:r>
            <w:r w:rsidRPr="002E1A5F">
              <w:rPr>
                <w:rFonts w:eastAsia="Arial"/>
              </w:rPr>
              <w:t>pon</w:t>
            </w:r>
            <w:r w:rsidRPr="002E1A5F">
              <w:rPr>
                <w:rFonts w:eastAsia="Arial"/>
                <w:spacing w:val="1"/>
              </w:rPr>
              <w:t>si</w:t>
            </w:r>
            <w:r w:rsidRPr="002E1A5F">
              <w:rPr>
                <w:rFonts w:eastAsia="Arial"/>
                <w:spacing w:val="-1"/>
              </w:rPr>
              <w:t>v</w:t>
            </w:r>
            <w:r w:rsidRPr="002E1A5F">
              <w:rPr>
                <w:rFonts w:eastAsia="Arial"/>
              </w:rPr>
              <w:t>e</w:t>
            </w:r>
            <w:r w:rsidRPr="002E1A5F">
              <w:rPr>
                <w:rFonts w:eastAsia="Arial"/>
                <w:spacing w:val="-11"/>
              </w:rPr>
              <w:t xml:space="preserve"> </w:t>
            </w:r>
            <w:r w:rsidRPr="002E1A5F">
              <w:rPr>
                <w:rFonts w:eastAsia="Arial"/>
                <w:spacing w:val="2"/>
              </w:rPr>
              <w:t>t</w:t>
            </w:r>
            <w:r w:rsidRPr="002E1A5F">
              <w:rPr>
                <w:rFonts w:eastAsia="Arial"/>
              </w:rPr>
              <w:t>o</w:t>
            </w:r>
            <w:r w:rsidRPr="002E1A5F">
              <w:rPr>
                <w:rFonts w:eastAsia="Arial"/>
                <w:spacing w:val="-3"/>
              </w:rPr>
              <w:t xml:space="preserve"> </w:t>
            </w:r>
            <w:r w:rsidRPr="002E1A5F">
              <w:rPr>
                <w:rFonts w:eastAsia="Arial"/>
              </w:rPr>
              <w:t>t</w:t>
            </w:r>
            <w:r w:rsidRPr="002E1A5F">
              <w:rPr>
                <w:rFonts w:eastAsia="Arial"/>
                <w:spacing w:val="2"/>
              </w:rPr>
              <w:t>h</w:t>
            </w:r>
            <w:r w:rsidRPr="002E1A5F">
              <w:rPr>
                <w:rFonts w:eastAsia="Arial"/>
              </w:rPr>
              <w:t>e</w:t>
            </w:r>
            <w:r w:rsidRPr="002E1A5F">
              <w:rPr>
                <w:rFonts w:eastAsia="Arial"/>
                <w:spacing w:val="-4"/>
              </w:rPr>
              <w:t xml:space="preserve"> </w:t>
            </w:r>
            <w:r w:rsidRPr="002E1A5F">
              <w:rPr>
                <w:rFonts w:eastAsia="Arial"/>
                <w:spacing w:val="1"/>
              </w:rPr>
              <w:t>F</w:t>
            </w:r>
            <w:r w:rsidRPr="002E1A5F">
              <w:rPr>
                <w:rFonts w:eastAsia="Arial"/>
              </w:rPr>
              <w:t>e</w:t>
            </w:r>
            <w:r w:rsidRPr="002E1A5F">
              <w:rPr>
                <w:rFonts w:eastAsia="Arial"/>
                <w:spacing w:val="2"/>
              </w:rPr>
              <w:t>d</w:t>
            </w:r>
            <w:r w:rsidRPr="002E1A5F">
              <w:rPr>
                <w:rFonts w:eastAsia="Arial"/>
              </w:rPr>
              <w:t>e</w:t>
            </w:r>
            <w:r w:rsidRPr="002E1A5F">
              <w:rPr>
                <w:rFonts w:eastAsia="Arial"/>
                <w:spacing w:val="1"/>
              </w:rPr>
              <w:t>r</w:t>
            </w:r>
            <w:r w:rsidRPr="002E1A5F">
              <w:rPr>
                <w:rFonts w:eastAsia="Arial"/>
              </w:rPr>
              <w:t>al</w:t>
            </w:r>
            <w:r w:rsidRPr="002E1A5F">
              <w:rPr>
                <w:rFonts w:eastAsia="Arial"/>
                <w:spacing w:val="-6"/>
              </w:rPr>
              <w:t xml:space="preserve"> </w:t>
            </w:r>
            <w:r w:rsidRPr="002E1A5F">
              <w:rPr>
                <w:rFonts w:eastAsia="Arial"/>
                <w:spacing w:val="1"/>
              </w:rPr>
              <w:t>F</w:t>
            </w:r>
            <w:r w:rsidRPr="002E1A5F">
              <w:rPr>
                <w:rFonts w:eastAsia="Arial"/>
              </w:rPr>
              <w:t>un</w:t>
            </w:r>
            <w:r w:rsidRPr="002E1A5F">
              <w:rPr>
                <w:rFonts w:eastAsia="Arial"/>
                <w:spacing w:val="2"/>
              </w:rPr>
              <w:t>d</w:t>
            </w:r>
            <w:r w:rsidRPr="002E1A5F">
              <w:rPr>
                <w:rFonts w:eastAsia="Arial"/>
                <w:spacing w:val="-1"/>
              </w:rPr>
              <w:t>i</w:t>
            </w:r>
            <w:r w:rsidRPr="002E1A5F">
              <w:rPr>
                <w:rFonts w:eastAsia="Arial"/>
              </w:rPr>
              <w:t>ng</w:t>
            </w:r>
            <w:r w:rsidRPr="002E1A5F">
              <w:rPr>
                <w:rFonts w:eastAsia="Arial"/>
                <w:spacing w:val="-5"/>
              </w:rPr>
              <w:t xml:space="preserve"> </w:t>
            </w:r>
            <w:r w:rsidRPr="002E1A5F">
              <w:rPr>
                <w:rFonts w:eastAsia="Arial"/>
                <w:spacing w:val="-1"/>
              </w:rPr>
              <w:t>A</w:t>
            </w:r>
            <w:r w:rsidRPr="002E1A5F">
              <w:rPr>
                <w:rFonts w:eastAsia="Arial"/>
                <w:spacing w:val="1"/>
              </w:rPr>
              <w:t>cc</w:t>
            </w:r>
            <w:r w:rsidRPr="002E1A5F">
              <w:rPr>
                <w:rFonts w:eastAsia="Arial"/>
              </w:rPr>
              <w:t>ou</w:t>
            </w:r>
            <w:r w:rsidRPr="002E1A5F">
              <w:rPr>
                <w:rFonts w:eastAsia="Arial"/>
                <w:spacing w:val="2"/>
              </w:rPr>
              <w:t>n</w:t>
            </w:r>
            <w:r w:rsidRPr="002E1A5F">
              <w:rPr>
                <w:rFonts w:eastAsia="Arial"/>
              </w:rPr>
              <w:t>ta</w:t>
            </w:r>
            <w:r w:rsidRPr="002E1A5F">
              <w:rPr>
                <w:rFonts w:eastAsia="Arial"/>
                <w:spacing w:val="2"/>
              </w:rPr>
              <w:t>b</w:t>
            </w:r>
            <w:r w:rsidRPr="002E1A5F">
              <w:rPr>
                <w:rFonts w:eastAsia="Arial"/>
                <w:spacing w:val="-1"/>
              </w:rPr>
              <w:t>i</w:t>
            </w:r>
            <w:r w:rsidRPr="002E1A5F">
              <w:rPr>
                <w:rFonts w:eastAsia="Arial"/>
                <w:spacing w:val="1"/>
              </w:rPr>
              <w:t>l</w:t>
            </w:r>
            <w:r w:rsidRPr="002E1A5F">
              <w:rPr>
                <w:rFonts w:eastAsia="Arial"/>
                <w:spacing w:val="-1"/>
              </w:rPr>
              <w:t>i</w:t>
            </w:r>
            <w:r w:rsidRPr="002E1A5F">
              <w:rPr>
                <w:rFonts w:eastAsia="Arial"/>
                <w:spacing w:val="5"/>
              </w:rPr>
              <w:t>t</w:t>
            </w:r>
            <w:r w:rsidRPr="002E1A5F">
              <w:rPr>
                <w:rFonts w:eastAsia="Arial"/>
              </w:rPr>
              <w:t>y and</w:t>
            </w:r>
            <w:r w:rsidRPr="002E1A5F">
              <w:rPr>
                <w:rFonts w:eastAsia="Arial"/>
                <w:spacing w:val="-4"/>
              </w:rPr>
              <w:t xml:space="preserve"> </w:t>
            </w:r>
            <w:r w:rsidRPr="002E1A5F">
              <w:rPr>
                <w:rFonts w:eastAsia="Arial"/>
                <w:spacing w:val="3"/>
              </w:rPr>
              <w:t>T</w:t>
            </w:r>
            <w:r w:rsidRPr="002E1A5F">
              <w:rPr>
                <w:rFonts w:eastAsia="Arial"/>
                <w:spacing w:val="1"/>
              </w:rPr>
              <w:t>r</w:t>
            </w:r>
            <w:r w:rsidRPr="002E1A5F">
              <w:rPr>
                <w:rFonts w:eastAsia="Arial"/>
              </w:rPr>
              <w:t>an</w:t>
            </w:r>
            <w:r w:rsidRPr="002E1A5F">
              <w:rPr>
                <w:rFonts w:eastAsia="Arial"/>
                <w:spacing w:val="1"/>
              </w:rPr>
              <w:t>s</w:t>
            </w:r>
            <w:r w:rsidRPr="002E1A5F">
              <w:rPr>
                <w:rFonts w:eastAsia="Arial"/>
              </w:rPr>
              <w:t>pa</w:t>
            </w:r>
            <w:r w:rsidRPr="002E1A5F">
              <w:rPr>
                <w:rFonts w:eastAsia="Arial"/>
                <w:spacing w:val="1"/>
              </w:rPr>
              <w:t>r</w:t>
            </w:r>
            <w:r w:rsidRPr="002E1A5F">
              <w:rPr>
                <w:rFonts w:eastAsia="Arial"/>
              </w:rPr>
              <w:t>en</w:t>
            </w:r>
            <w:r w:rsidRPr="002E1A5F">
              <w:rPr>
                <w:rFonts w:eastAsia="Arial"/>
                <w:spacing w:val="6"/>
              </w:rPr>
              <w:t>c</w:t>
            </w:r>
            <w:r w:rsidRPr="002E1A5F">
              <w:rPr>
                <w:rFonts w:eastAsia="Arial"/>
              </w:rPr>
              <w:t>y</w:t>
            </w:r>
            <w:r w:rsidRPr="002E1A5F">
              <w:rPr>
                <w:rFonts w:eastAsia="Arial"/>
                <w:spacing w:val="-16"/>
              </w:rPr>
              <w:t xml:space="preserve"> </w:t>
            </w:r>
            <w:r w:rsidRPr="002E1A5F">
              <w:rPr>
                <w:rFonts w:eastAsia="Arial"/>
                <w:spacing w:val="-1"/>
              </w:rPr>
              <w:t>A</w:t>
            </w:r>
            <w:r w:rsidRPr="002E1A5F">
              <w:rPr>
                <w:rFonts w:eastAsia="Arial"/>
                <w:spacing w:val="1"/>
              </w:rPr>
              <w:t>c</w:t>
            </w:r>
            <w:r w:rsidRPr="002E1A5F">
              <w:rPr>
                <w:rFonts w:eastAsia="Arial"/>
              </w:rPr>
              <w:t>t (FFATA)</w:t>
            </w:r>
          </w:p>
        </w:tc>
        <w:tc>
          <w:tcPr>
            <w:tcW w:w="3454"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C4CD7FC" w14:textId="77777777" w:rsidR="00092721" w:rsidRPr="002E1A5F" w:rsidRDefault="00092721" w:rsidP="7A327B2A">
            <w:pPr>
              <w:ind w:left="90"/>
              <w:jc w:val="both"/>
            </w:pPr>
          </w:p>
        </w:tc>
      </w:tr>
      <w:tr w:rsidR="00092721" w:rsidRPr="002E1A5F" w14:paraId="1AD1D882" w14:textId="77777777" w:rsidTr="0F584CDF">
        <w:trPr>
          <w:trHeight w:hRule="exact" w:val="1434"/>
        </w:trPr>
        <w:tc>
          <w:tcPr>
            <w:tcW w:w="589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C9178B9" w14:textId="77777777" w:rsidR="00092721" w:rsidRPr="002E1A5F" w:rsidRDefault="00092721" w:rsidP="7A327B2A">
            <w:pPr>
              <w:ind w:left="102" w:right="243"/>
              <w:jc w:val="both"/>
              <w:rPr>
                <w:rFonts w:eastAsia="Arial"/>
              </w:rPr>
            </w:pPr>
            <w:r w:rsidRPr="002E1A5F">
              <w:t>Assistance Listings number and Title; the pass-through entity must identify the dollar amount made available under each Federal award and the Assistance Listings Number at time of disbursement;</w:t>
            </w:r>
          </w:p>
        </w:tc>
        <w:tc>
          <w:tcPr>
            <w:tcW w:w="3454"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3D12DAB" w14:textId="77777777" w:rsidR="00092721" w:rsidRPr="002E1A5F" w:rsidRDefault="00092721" w:rsidP="7A327B2A">
            <w:pPr>
              <w:ind w:left="90"/>
              <w:jc w:val="both"/>
            </w:pPr>
          </w:p>
        </w:tc>
      </w:tr>
      <w:tr w:rsidR="00092721" w:rsidRPr="002E1A5F" w14:paraId="25E7B97D" w14:textId="77777777" w:rsidTr="0F584CDF">
        <w:trPr>
          <w:trHeight w:hRule="exact" w:val="576"/>
        </w:trPr>
        <w:tc>
          <w:tcPr>
            <w:tcW w:w="589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F6BAF77" w14:textId="77777777" w:rsidR="00092721" w:rsidRPr="002E1A5F" w:rsidRDefault="00092721" w:rsidP="7A327B2A">
            <w:pPr>
              <w:ind w:left="102" w:right="453"/>
              <w:jc w:val="both"/>
              <w:rPr>
                <w:rFonts w:eastAsia="Arial"/>
              </w:rPr>
            </w:pPr>
            <w:r w:rsidRPr="002E1A5F">
              <w:rPr>
                <w:rFonts w:eastAsia="Arial"/>
              </w:rPr>
              <w:t>Iden</w:t>
            </w:r>
            <w:r w:rsidRPr="002E1A5F">
              <w:rPr>
                <w:rFonts w:eastAsia="Arial"/>
                <w:spacing w:val="2"/>
              </w:rPr>
              <w:t>t</w:t>
            </w:r>
            <w:r w:rsidRPr="002E1A5F">
              <w:rPr>
                <w:rFonts w:eastAsia="Arial"/>
                <w:spacing w:val="-1"/>
              </w:rPr>
              <w:t>i</w:t>
            </w:r>
            <w:r w:rsidRPr="002E1A5F">
              <w:rPr>
                <w:rFonts w:eastAsia="Arial"/>
                <w:spacing w:val="2"/>
              </w:rPr>
              <w:t>f</w:t>
            </w:r>
            <w:r w:rsidRPr="002E1A5F">
              <w:rPr>
                <w:rFonts w:eastAsia="Arial"/>
                <w:spacing w:val="-1"/>
              </w:rPr>
              <w:t>i</w:t>
            </w:r>
            <w:r w:rsidRPr="002E1A5F">
              <w:rPr>
                <w:rFonts w:eastAsia="Arial"/>
                <w:spacing w:val="1"/>
              </w:rPr>
              <w:t>c</w:t>
            </w:r>
            <w:r w:rsidRPr="002E1A5F">
              <w:rPr>
                <w:rFonts w:eastAsia="Arial"/>
              </w:rPr>
              <w:t>at</w:t>
            </w:r>
            <w:r w:rsidRPr="002E1A5F">
              <w:rPr>
                <w:rFonts w:eastAsia="Arial"/>
                <w:spacing w:val="1"/>
              </w:rPr>
              <w:t>i</w:t>
            </w:r>
            <w:r w:rsidRPr="002E1A5F">
              <w:rPr>
                <w:rFonts w:eastAsia="Arial"/>
              </w:rPr>
              <w:t>on</w:t>
            </w:r>
            <w:r w:rsidRPr="002E1A5F">
              <w:rPr>
                <w:rFonts w:eastAsia="Arial"/>
                <w:spacing w:val="-12"/>
              </w:rPr>
              <w:t xml:space="preserve"> </w:t>
            </w:r>
            <w:r w:rsidRPr="002E1A5F">
              <w:rPr>
                <w:rFonts w:eastAsia="Arial"/>
              </w:rPr>
              <w:t>of</w:t>
            </w:r>
            <w:r w:rsidRPr="002E1A5F">
              <w:rPr>
                <w:rFonts w:eastAsia="Arial"/>
                <w:spacing w:val="2"/>
              </w:rPr>
              <w:t xml:space="preserve"> </w:t>
            </w:r>
            <w:r w:rsidRPr="002E1A5F">
              <w:rPr>
                <w:rFonts w:eastAsia="Arial"/>
                <w:spacing w:val="-2"/>
              </w:rPr>
              <w:t>w</w:t>
            </w:r>
            <w:r w:rsidRPr="002E1A5F">
              <w:rPr>
                <w:rFonts w:eastAsia="Arial"/>
                <w:spacing w:val="2"/>
              </w:rPr>
              <w:t>h</w:t>
            </w:r>
            <w:r w:rsidRPr="002E1A5F">
              <w:rPr>
                <w:rFonts w:eastAsia="Arial"/>
              </w:rPr>
              <w:t>ether</w:t>
            </w:r>
            <w:r w:rsidRPr="002E1A5F">
              <w:rPr>
                <w:rFonts w:eastAsia="Arial"/>
                <w:spacing w:val="-4"/>
              </w:rPr>
              <w:t xml:space="preserve"> </w:t>
            </w:r>
            <w:r w:rsidRPr="002E1A5F">
              <w:rPr>
                <w:rFonts w:eastAsia="Arial"/>
              </w:rPr>
              <w:t>the</w:t>
            </w:r>
            <w:r w:rsidRPr="002E1A5F">
              <w:rPr>
                <w:rFonts w:eastAsia="Arial"/>
                <w:spacing w:val="-1"/>
              </w:rPr>
              <w:t xml:space="preserve"> </w:t>
            </w:r>
            <w:r w:rsidRPr="002E1A5F">
              <w:rPr>
                <w:rFonts w:eastAsia="Arial"/>
                <w:spacing w:val="2"/>
              </w:rPr>
              <w:t>a</w:t>
            </w:r>
            <w:r w:rsidRPr="002E1A5F">
              <w:rPr>
                <w:rFonts w:eastAsia="Arial"/>
                <w:spacing w:val="-2"/>
              </w:rPr>
              <w:t>w</w:t>
            </w:r>
            <w:r w:rsidRPr="002E1A5F">
              <w:rPr>
                <w:rFonts w:eastAsia="Arial"/>
              </w:rPr>
              <w:t>a</w:t>
            </w:r>
            <w:r w:rsidRPr="002E1A5F">
              <w:rPr>
                <w:rFonts w:eastAsia="Arial"/>
                <w:spacing w:val="1"/>
              </w:rPr>
              <w:t>r</w:t>
            </w:r>
            <w:r w:rsidRPr="002E1A5F">
              <w:rPr>
                <w:rFonts w:eastAsia="Arial"/>
              </w:rPr>
              <w:t>d</w:t>
            </w:r>
            <w:r w:rsidRPr="002E1A5F">
              <w:rPr>
                <w:rFonts w:eastAsia="Arial"/>
                <w:spacing w:val="-3"/>
              </w:rPr>
              <w:t xml:space="preserve"> </w:t>
            </w:r>
            <w:r w:rsidRPr="002E1A5F">
              <w:rPr>
                <w:rFonts w:eastAsia="Arial"/>
                <w:spacing w:val="-1"/>
              </w:rPr>
              <w:t>i</w:t>
            </w:r>
            <w:r w:rsidRPr="002E1A5F">
              <w:rPr>
                <w:rFonts w:eastAsia="Arial"/>
              </w:rPr>
              <w:t>s</w:t>
            </w:r>
            <w:r w:rsidRPr="002E1A5F">
              <w:rPr>
                <w:rFonts w:eastAsia="Arial"/>
                <w:spacing w:val="1"/>
              </w:rPr>
              <w:t xml:space="preserve"> r</w:t>
            </w:r>
            <w:r w:rsidRPr="002E1A5F">
              <w:rPr>
                <w:rFonts w:eastAsia="Arial"/>
              </w:rPr>
              <w:t>e</w:t>
            </w:r>
            <w:r w:rsidRPr="002E1A5F">
              <w:rPr>
                <w:rFonts w:eastAsia="Arial"/>
                <w:spacing w:val="1"/>
              </w:rPr>
              <w:t>s</w:t>
            </w:r>
            <w:r w:rsidRPr="002E1A5F">
              <w:rPr>
                <w:rFonts w:eastAsia="Arial"/>
              </w:rPr>
              <w:t>ea</w:t>
            </w:r>
            <w:r w:rsidRPr="002E1A5F">
              <w:rPr>
                <w:rFonts w:eastAsia="Arial"/>
                <w:spacing w:val="1"/>
              </w:rPr>
              <w:t>rc</w:t>
            </w:r>
            <w:r w:rsidRPr="002E1A5F">
              <w:rPr>
                <w:rFonts w:eastAsia="Arial"/>
              </w:rPr>
              <w:t>h and</w:t>
            </w:r>
            <w:r w:rsidRPr="002E1A5F">
              <w:rPr>
                <w:rFonts w:eastAsia="Arial"/>
                <w:spacing w:val="-1"/>
              </w:rPr>
              <w:t xml:space="preserve"> </w:t>
            </w:r>
            <w:r w:rsidRPr="002E1A5F">
              <w:rPr>
                <w:rFonts w:eastAsia="Arial"/>
              </w:rPr>
              <w:t>d</w:t>
            </w:r>
            <w:r w:rsidRPr="002E1A5F">
              <w:rPr>
                <w:rFonts w:eastAsia="Arial"/>
                <w:spacing w:val="2"/>
              </w:rPr>
              <w:t>e</w:t>
            </w:r>
            <w:r w:rsidRPr="002E1A5F">
              <w:rPr>
                <w:rFonts w:eastAsia="Arial"/>
                <w:spacing w:val="-1"/>
              </w:rPr>
              <w:t>v</w:t>
            </w:r>
            <w:r w:rsidRPr="002E1A5F">
              <w:rPr>
                <w:rFonts w:eastAsia="Arial"/>
              </w:rPr>
              <w:t>e</w:t>
            </w:r>
            <w:r w:rsidRPr="002E1A5F">
              <w:rPr>
                <w:rFonts w:eastAsia="Arial"/>
                <w:spacing w:val="1"/>
              </w:rPr>
              <w:t>l</w:t>
            </w:r>
            <w:r w:rsidRPr="002E1A5F">
              <w:rPr>
                <w:rFonts w:eastAsia="Arial"/>
              </w:rPr>
              <w:t>op</w:t>
            </w:r>
            <w:r w:rsidRPr="002E1A5F">
              <w:rPr>
                <w:rFonts w:eastAsia="Arial"/>
                <w:spacing w:val="4"/>
              </w:rPr>
              <w:t>m</w:t>
            </w:r>
            <w:r w:rsidRPr="002E1A5F">
              <w:rPr>
                <w:rFonts w:eastAsia="Arial"/>
              </w:rPr>
              <w:t>ent</w:t>
            </w:r>
            <w:r w:rsidRPr="002E1A5F">
              <w:rPr>
                <w:rFonts w:eastAsia="Arial"/>
                <w:spacing w:val="-11"/>
              </w:rPr>
              <w:t xml:space="preserve"> </w:t>
            </w:r>
            <w:r w:rsidRPr="002E1A5F">
              <w:rPr>
                <w:rFonts w:eastAsia="Arial"/>
                <w:spacing w:val="1"/>
              </w:rPr>
              <w:t>(</w:t>
            </w:r>
            <w:r w:rsidRPr="002E1A5F">
              <w:rPr>
                <w:rFonts w:eastAsia="Arial"/>
              </w:rPr>
              <w:t>R</w:t>
            </w:r>
            <w:r w:rsidRPr="002E1A5F">
              <w:rPr>
                <w:rFonts w:eastAsia="Arial"/>
                <w:spacing w:val="-1"/>
              </w:rPr>
              <w:t>&amp;</w:t>
            </w:r>
            <w:r w:rsidRPr="002E1A5F">
              <w:rPr>
                <w:rFonts w:eastAsia="Arial"/>
              </w:rPr>
              <w:t>D)</w:t>
            </w:r>
          </w:p>
        </w:tc>
        <w:tc>
          <w:tcPr>
            <w:tcW w:w="3454"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13769EE" w14:textId="77777777" w:rsidR="00092721" w:rsidRPr="002E1A5F" w:rsidRDefault="00092721" w:rsidP="7A327B2A">
            <w:pPr>
              <w:ind w:left="90"/>
              <w:jc w:val="both"/>
            </w:pPr>
          </w:p>
        </w:tc>
      </w:tr>
      <w:tr w:rsidR="00092721" w:rsidRPr="002E1A5F" w14:paraId="7ED25DE6" w14:textId="77777777" w:rsidTr="0F584CDF">
        <w:trPr>
          <w:trHeight w:hRule="exact" w:val="576"/>
        </w:trPr>
        <w:tc>
          <w:tcPr>
            <w:tcW w:w="5899"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5C3A4B6" w14:textId="77777777" w:rsidR="00092721" w:rsidRPr="002E1A5F" w:rsidRDefault="00092721" w:rsidP="7A327B2A">
            <w:pPr>
              <w:ind w:left="102" w:right="188"/>
              <w:jc w:val="both"/>
              <w:rPr>
                <w:rFonts w:eastAsia="Arial"/>
              </w:rPr>
            </w:pPr>
            <w:r w:rsidRPr="002E1A5F">
              <w:rPr>
                <w:rFonts w:eastAsia="Arial"/>
              </w:rPr>
              <w:t>Ind</w:t>
            </w:r>
            <w:r w:rsidRPr="002E1A5F">
              <w:rPr>
                <w:rFonts w:eastAsia="Arial"/>
                <w:spacing w:val="-1"/>
              </w:rPr>
              <w:t>i</w:t>
            </w:r>
            <w:r w:rsidRPr="002E1A5F">
              <w:rPr>
                <w:rFonts w:eastAsia="Arial"/>
                <w:spacing w:val="1"/>
              </w:rPr>
              <w:t>r</w:t>
            </w:r>
            <w:r w:rsidRPr="002E1A5F">
              <w:rPr>
                <w:rFonts w:eastAsia="Arial"/>
              </w:rPr>
              <w:t>e</w:t>
            </w:r>
            <w:r w:rsidRPr="002E1A5F">
              <w:rPr>
                <w:rFonts w:eastAsia="Arial"/>
                <w:spacing w:val="1"/>
              </w:rPr>
              <w:t>c</w:t>
            </w:r>
            <w:r w:rsidRPr="002E1A5F">
              <w:rPr>
                <w:rFonts w:eastAsia="Arial"/>
              </w:rPr>
              <w:t>t</w:t>
            </w:r>
            <w:r w:rsidRPr="002E1A5F">
              <w:rPr>
                <w:rFonts w:eastAsia="Arial"/>
                <w:spacing w:val="-7"/>
              </w:rPr>
              <w:t xml:space="preserve"> </w:t>
            </w:r>
            <w:r w:rsidRPr="002E1A5F">
              <w:rPr>
                <w:rFonts w:eastAsia="Arial"/>
                <w:spacing w:val="1"/>
              </w:rPr>
              <w:t>c</w:t>
            </w:r>
            <w:r w:rsidRPr="002E1A5F">
              <w:rPr>
                <w:rFonts w:eastAsia="Arial"/>
              </w:rPr>
              <w:t>o</w:t>
            </w:r>
            <w:r w:rsidRPr="002E1A5F">
              <w:rPr>
                <w:rFonts w:eastAsia="Arial"/>
                <w:spacing w:val="1"/>
              </w:rPr>
              <w:t>s</w:t>
            </w:r>
            <w:r w:rsidRPr="002E1A5F">
              <w:rPr>
                <w:rFonts w:eastAsia="Arial"/>
              </w:rPr>
              <w:t>t</w:t>
            </w:r>
            <w:r w:rsidRPr="002E1A5F">
              <w:rPr>
                <w:rFonts w:eastAsia="Arial"/>
                <w:spacing w:val="-4"/>
              </w:rPr>
              <w:t xml:space="preserve"> </w:t>
            </w:r>
            <w:r w:rsidRPr="002E1A5F">
              <w:rPr>
                <w:rFonts w:eastAsia="Arial"/>
                <w:spacing w:val="3"/>
              </w:rPr>
              <w:t>r</w:t>
            </w:r>
            <w:r w:rsidRPr="002E1A5F">
              <w:rPr>
                <w:rFonts w:eastAsia="Arial"/>
              </w:rPr>
              <w:t>ate</w:t>
            </w:r>
            <w:r w:rsidRPr="002E1A5F">
              <w:rPr>
                <w:rFonts w:eastAsia="Arial"/>
                <w:spacing w:val="-4"/>
              </w:rPr>
              <w:t xml:space="preserve"> </w:t>
            </w:r>
            <w:r w:rsidRPr="002E1A5F">
              <w:rPr>
                <w:rFonts w:eastAsia="Arial"/>
                <w:spacing w:val="2"/>
              </w:rPr>
              <w:t>f</w:t>
            </w:r>
            <w:r w:rsidRPr="002E1A5F">
              <w:rPr>
                <w:rFonts w:eastAsia="Arial"/>
              </w:rPr>
              <w:t>or</w:t>
            </w:r>
            <w:r w:rsidRPr="002E1A5F">
              <w:rPr>
                <w:rFonts w:eastAsia="Arial"/>
                <w:spacing w:val="-1"/>
              </w:rPr>
              <w:t xml:space="preserve"> </w:t>
            </w:r>
            <w:r w:rsidRPr="002E1A5F">
              <w:rPr>
                <w:rFonts w:eastAsia="Arial"/>
                <w:spacing w:val="1"/>
              </w:rPr>
              <w:t>F</w:t>
            </w:r>
            <w:r w:rsidRPr="002E1A5F">
              <w:rPr>
                <w:rFonts w:eastAsia="Arial"/>
                <w:spacing w:val="2"/>
              </w:rPr>
              <w:t>e</w:t>
            </w:r>
            <w:r w:rsidRPr="002E1A5F">
              <w:rPr>
                <w:rFonts w:eastAsia="Arial"/>
              </w:rPr>
              <w:t>de</w:t>
            </w:r>
            <w:r w:rsidRPr="002E1A5F">
              <w:rPr>
                <w:rFonts w:eastAsia="Arial"/>
                <w:spacing w:val="1"/>
              </w:rPr>
              <w:t>r</w:t>
            </w:r>
            <w:r w:rsidRPr="002E1A5F">
              <w:rPr>
                <w:rFonts w:eastAsia="Arial"/>
              </w:rPr>
              <w:t>al</w:t>
            </w:r>
            <w:r w:rsidRPr="002E1A5F">
              <w:rPr>
                <w:rFonts w:eastAsia="Arial"/>
                <w:spacing w:val="-6"/>
              </w:rPr>
              <w:t xml:space="preserve"> </w:t>
            </w:r>
            <w:r w:rsidRPr="002E1A5F">
              <w:rPr>
                <w:rFonts w:eastAsia="Arial"/>
                <w:spacing w:val="2"/>
              </w:rPr>
              <w:t>a</w:t>
            </w:r>
            <w:r w:rsidRPr="002E1A5F">
              <w:rPr>
                <w:rFonts w:eastAsia="Arial"/>
                <w:spacing w:val="-2"/>
              </w:rPr>
              <w:t>w</w:t>
            </w:r>
            <w:r w:rsidRPr="002E1A5F">
              <w:rPr>
                <w:rFonts w:eastAsia="Arial"/>
              </w:rPr>
              <w:t>a</w:t>
            </w:r>
            <w:r w:rsidRPr="002E1A5F">
              <w:rPr>
                <w:rFonts w:eastAsia="Arial"/>
                <w:spacing w:val="1"/>
              </w:rPr>
              <w:t>r</w:t>
            </w:r>
            <w:r w:rsidRPr="002E1A5F">
              <w:rPr>
                <w:rFonts w:eastAsia="Arial"/>
              </w:rPr>
              <w:t>d</w:t>
            </w:r>
            <w:r w:rsidRPr="002E1A5F">
              <w:rPr>
                <w:rFonts w:eastAsia="Arial"/>
                <w:spacing w:val="-3"/>
              </w:rPr>
              <w:t xml:space="preserve"> </w:t>
            </w:r>
            <w:r w:rsidRPr="002E1A5F">
              <w:rPr>
                <w:rFonts w:eastAsia="Arial"/>
                <w:spacing w:val="1"/>
              </w:rPr>
              <w:t>(</w:t>
            </w:r>
            <w:r w:rsidRPr="002E1A5F">
              <w:rPr>
                <w:rFonts w:eastAsia="Arial"/>
                <w:spacing w:val="-1"/>
              </w:rPr>
              <w:t>i</w:t>
            </w:r>
            <w:r w:rsidRPr="002E1A5F">
              <w:rPr>
                <w:rFonts w:eastAsia="Arial"/>
              </w:rPr>
              <w:t>n</w:t>
            </w:r>
            <w:r w:rsidRPr="002E1A5F">
              <w:rPr>
                <w:rFonts w:eastAsia="Arial"/>
                <w:spacing w:val="1"/>
              </w:rPr>
              <w:t>cl</w:t>
            </w:r>
            <w:r w:rsidRPr="002E1A5F">
              <w:rPr>
                <w:rFonts w:eastAsia="Arial"/>
              </w:rPr>
              <w:t>u</w:t>
            </w:r>
            <w:r w:rsidRPr="002E1A5F">
              <w:rPr>
                <w:rFonts w:eastAsia="Arial"/>
                <w:spacing w:val="2"/>
              </w:rPr>
              <w:t>d</w:t>
            </w:r>
            <w:r w:rsidRPr="002E1A5F">
              <w:rPr>
                <w:rFonts w:eastAsia="Arial"/>
                <w:spacing w:val="-1"/>
              </w:rPr>
              <w:t>i</w:t>
            </w:r>
            <w:r w:rsidRPr="002E1A5F">
              <w:rPr>
                <w:rFonts w:eastAsia="Arial"/>
              </w:rPr>
              <w:t xml:space="preserve">ng </w:t>
            </w:r>
            <w:r w:rsidRPr="002E1A5F">
              <w:rPr>
                <w:rFonts w:eastAsia="Arial"/>
                <w:spacing w:val="-1"/>
              </w:rPr>
              <w:t>i</w:t>
            </w:r>
            <w:r w:rsidRPr="002E1A5F">
              <w:rPr>
                <w:rFonts w:eastAsia="Arial"/>
              </w:rPr>
              <w:t>f</w:t>
            </w:r>
            <w:r w:rsidRPr="002E1A5F">
              <w:rPr>
                <w:rFonts w:eastAsia="Arial"/>
                <w:spacing w:val="1"/>
              </w:rPr>
              <w:t xml:space="preserve"> </w:t>
            </w:r>
            <w:r w:rsidRPr="002E1A5F">
              <w:rPr>
                <w:rFonts w:eastAsia="Arial"/>
              </w:rPr>
              <w:t>the</w:t>
            </w:r>
            <w:r w:rsidRPr="002E1A5F">
              <w:rPr>
                <w:rFonts w:eastAsia="Arial"/>
                <w:spacing w:val="-4"/>
              </w:rPr>
              <w:t xml:space="preserve"> </w:t>
            </w:r>
            <w:r w:rsidRPr="002E1A5F">
              <w:rPr>
                <w:rFonts w:eastAsia="Arial"/>
                <w:spacing w:val="2"/>
              </w:rPr>
              <w:t>a</w:t>
            </w:r>
            <w:r w:rsidRPr="002E1A5F">
              <w:rPr>
                <w:rFonts w:eastAsia="Arial"/>
              </w:rPr>
              <w:t>pp</w:t>
            </w:r>
            <w:r w:rsidRPr="002E1A5F">
              <w:rPr>
                <w:rFonts w:eastAsia="Arial"/>
                <w:spacing w:val="1"/>
              </w:rPr>
              <w:t>l</w:t>
            </w:r>
            <w:r w:rsidRPr="002E1A5F">
              <w:rPr>
                <w:rFonts w:eastAsia="Arial"/>
                <w:spacing w:val="-1"/>
              </w:rPr>
              <w:t>i</w:t>
            </w:r>
            <w:r w:rsidRPr="002E1A5F">
              <w:rPr>
                <w:rFonts w:eastAsia="Arial"/>
                <w:spacing w:val="1"/>
              </w:rPr>
              <w:t>c</w:t>
            </w:r>
            <w:r w:rsidRPr="002E1A5F">
              <w:rPr>
                <w:rFonts w:eastAsia="Arial"/>
              </w:rPr>
              <w:t>a</w:t>
            </w:r>
            <w:r w:rsidRPr="002E1A5F">
              <w:rPr>
                <w:rFonts w:eastAsia="Arial"/>
                <w:spacing w:val="2"/>
              </w:rPr>
              <w:t>t</w:t>
            </w:r>
            <w:r w:rsidRPr="002E1A5F">
              <w:rPr>
                <w:rFonts w:eastAsia="Arial"/>
                <w:spacing w:val="-1"/>
              </w:rPr>
              <w:t>i</w:t>
            </w:r>
            <w:r w:rsidRPr="002E1A5F">
              <w:rPr>
                <w:rFonts w:eastAsia="Arial"/>
              </w:rPr>
              <w:t>on</w:t>
            </w:r>
            <w:r w:rsidRPr="002E1A5F">
              <w:rPr>
                <w:rFonts w:eastAsia="Arial"/>
                <w:spacing w:val="-8"/>
              </w:rPr>
              <w:t xml:space="preserve"> </w:t>
            </w:r>
            <w:r w:rsidRPr="002E1A5F">
              <w:rPr>
                <w:rFonts w:eastAsia="Arial"/>
              </w:rPr>
              <w:t>of the</w:t>
            </w:r>
            <w:r w:rsidRPr="002E1A5F">
              <w:rPr>
                <w:rFonts w:eastAsia="Arial"/>
                <w:spacing w:val="-4"/>
              </w:rPr>
              <w:t xml:space="preserve"> </w:t>
            </w:r>
            <w:r w:rsidRPr="002E1A5F">
              <w:rPr>
                <w:rFonts w:eastAsia="Arial"/>
                <w:spacing w:val="2"/>
              </w:rPr>
              <w:t>d</w:t>
            </w:r>
            <w:r w:rsidRPr="002E1A5F">
              <w:rPr>
                <w:rFonts w:eastAsia="Arial"/>
              </w:rPr>
              <w:t xml:space="preserve">e </w:t>
            </w:r>
            <w:r w:rsidRPr="002E1A5F">
              <w:rPr>
                <w:rFonts w:eastAsia="Arial"/>
                <w:spacing w:val="4"/>
              </w:rPr>
              <w:t>m</w:t>
            </w:r>
            <w:r w:rsidRPr="002E1A5F">
              <w:rPr>
                <w:rFonts w:eastAsia="Arial"/>
                <w:spacing w:val="-1"/>
              </w:rPr>
              <w:t>i</w:t>
            </w:r>
            <w:r w:rsidRPr="002E1A5F">
              <w:rPr>
                <w:rFonts w:eastAsia="Arial"/>
              </w:rPr>
              <w:t>n</w:t>
            </w:r>
            <w:r w:rsidRPr="002E1A5F">
              <w:rPr>
                <w:rFonts w:eastAsia="Arial"/>
                <w:spacing w:val="-3"/>
              </w:rPr>
              <w:t>i</w:t>
            </w:r>
            <w:r w:rsidRPr="002E1A5F">
              <w:rPr>
                <w:rFonts w:eastAsia="Arial"/>
                <w:spacing w:val="4"/>
              </w:rPr>
              <w:t>m</w:t>
            </w:r>
            <w:r w:rsidRPr="002E1A5F">
              <w:rPr>
                <w:rFonts w:eastAsia="Arial"/>
                <w:spacing w:val="-1"/>
              </w:rPr>
              <w:t>i</w:t>
            </w:r>
            <w:r w:rsidRPr="002E1A5F">
              <w:rPr>
                <w:rFonts w:eastAsia="Arial"/>
              </w:rPr>
              <w:t>s</w:t>
            </w:r>
            <w:r w:rsidRPr="002E1A5F">
              <w:rPr>
                <w:rFonts w:eastAsia="Arial"/>
                <w:spacing w:val="-6"/>
              </w:rPr>
              <w:t xml:space="preserve"> </w:t>
            </w:r>
            <w:r w:rsidRPr="002E1A5F">
              <w:rPr>
                <w:rFonts w:eastAsia="Arial"/>
                <w:spacing w:val="1"/>
              </w:rPr>
              <w:t>r</w:t>
            </w:r>
            <w:r w:rsidRPr="002E1A5F">
              <w:rPr>
                <w:rFonts w:eastAsia="Arial"/>
              </w:rPr>
              <w:t>ate</w:t>
            </w:r>
            <w:r w:rsidRPr="002E1A5F">
              <w:rPr>
                <w:rFonts w:eastAsia="Arial"/>
                <w:spacing w:val="-4"/>
              </w:rPr>
              <w:t xml:space="preserve"> </w:t>
            </w:r>
            <w:r w:rsidRPr="002E1A5F">
              <w:rPr>
                <w:rFonts w:eastAsia="Arial"/>
              </w:rPr>
              <w:t>per §20</w:t>
            </w:r>
            <w:r w:rsidRPr="002E1A5F">
              <w:rPr>
                <w:rFonts w:eastAsia="Arial"/>
                <w:spacing w:val="2"/>
              </w:rPr>
              <w:t>0</w:t>
            </w:r>
            <w:r w:rsidRPr="002E1A5F">
              <w:rPr>
                <w:rFonts w:eastAsia="Arial"/>
              </w:rPr>
              <w:t>.4</w:t>
            </w:r>
            <w:r w:rsidRPr="002E1A5F">
              <w:rPr>
                <w:rFonts w:eastAsia="Arial"/>
                <w:spacing w:val="2"/>
              </w:rPr>
              <w:t>1</w:t>
            </w:r>
            <w:r w:rsidRPr="002E1A5F">
              <w:rPr>
                <w:rFonts w:eastAsia="Arial"/>
              </w:rPr>
              <w:t>4</w:t>
            </w:r>
            <w:r w:rsidRPr="002E1A5F">
              <w:rPr>
                <w:rFonts w:eastAsia="Arial"/>
                <w:spacing w:val="-9"/>
              </w:rPr>
              <w:t xml:space="preserve"> </w:t>
            </w:r>
            <w:r w:rsidRPr="002E1A5F">
              <w:rPr>
                <w:rFonts w:eastAsia="Arial"/>
              </w:rPr>
              <w:t>I</w:t>
            </w:r>
            <w:r w:rsidRPr="002E1A5F">
              <w:rPr>
                <w:rFonts w:eastAsia="Arial"/>
                <w:spacing w:val="2"/>
              </w:rPr>
              <w:t>n</w:t>
            </w:r>
            <w:r w:rsidRPr="002E1A5F">
              <w:rPr>
                <w:rFonts w:eastAsia="Arial"/>
              </w:rPr>
              <w:t>d</w:t>
            </w:r>
            <w:r w:rsidRPr="002E1A5F">
              <w:rPr>
                <w:rFonts w:eastAsia="Arial"/>
                <w:spacing w:val="-1"/>
              </w:rPr>
              <w:t>i</w:t>
            </w:r>
            <w:r w:rsidRPr="002E1A5F">
              <w:rPr>
                <w:rFonts w:eastAsia="Arial"/>
                <w:spacing w:val="1"/>
              </w:rPr>
              <w:t>r</w:t>
            </w:r>
            <w:r w:rsidRPr="002E1A5F">
              <w:rPr>
                <w:rFonts w:eastAsia="Arial"/>
              </w:rPr>
              <w:t>e</w:t>
            </w:r>
            <w:r w:rsidRPr="002E1A5F">
              <w:rPr>
                <w:rFonts w:eastAsia="Arial"/>
                <w:spacing w:val="1"/>
              </w:rPr>
              <w:t>c</w:t>
            </w:r>
            <w:r w:rsidRPr="002E1A5F">
              <w:rPr>
                <w:rFonts w:eastAsia="Arial"/>
              </w:rPr>
              <w:t>t</w:t>
            </w:r>
            <w:r w:rsidRPr="002E1A5F">
              <w:rPr>
                <w:rFonts w:eastAsia="Arial"/>
                <w:spacing w:val="-7"/>
              </w:rPr>
              <w:t xml:space="preserve"> </w:t>
            </w:r>
            <w:r w:rsidRPr="002E1A5F">
              <w:rPr>
                <w:rFonts w:eastAsia="Arial"/>
                <w:spacing w:val="1"/>
              </w:rPr>
              <w:t>(F</w:t>
            </w:r>
            <w:r w:rsidRPr="002E1A5F">
              <w:rPr>
                <w:rFonts w:eastAsia="Arial"/>
                <w:spacing w:val="2"/>
              </w:rPr>
              <w:t>&amp;</w:t>
            </w:r>
            <w:r w:rsidRPr="002E1A5F">
              <w:rPr>
                <w:rFonts w:eastAsia="Arial"/>
                <w:spacing w:val="-1"/>
              </w:rPr>
              <w:t>A</w:t>
            </w:r>
            <w:r w:rsidRPr="002E1A5F">
              <w:rPr>
                <w:rFonts w:eastAsia="Arial"/>
              </w:rPr>
              <w:t>)</w:t>
            </w:r>
            <w:r w:rsidRPr="002E1A5F">
              <w:rPr>
                <w:rFonts w:eastAsia="Arial"/>
                <w:spacing w:val="-4"/>
              </w:rPr>
              <w:t xml:space="preserve"> </w:t>
            </w:r>
            <w:r w:rsidRPr="002E1A5F">
              <w:rPr>
                <w:rFonts w:eastAsia="Arial"/>
                <w:spacing w:val="1"/>
              </w:rPr>
              <w:t>c</w:t>
            </w:r>
            <w:r w:rsidRPr="002E1A5F">
              <w:rPr>
                <w:rFonts w:eastAsia="Arial"/>
                <w:spacing w:val="2"/>
              </w:rPr>
              <w:t>o</w:t>
            </w:r>
            <w:r w:rsidRPr="002E1A5F">
              <w:rPr>
                <w:rFonts w:eastAsia="Arial"/>
                <w:spacing w:val="1"/>
              </w:rPr>
              <w:t>s</w:t>
            </w:r>
            <w:r w:rsidRPr="002E1A5F">
              <w:rPr>
                <w:rFonts w:eastAsia="Arial"/>
              </w:rPr>
              <w:t>t</w:t>
            </w:r>
            <w:r w:rsidRPr="002E1A5F">
              <w:rPr>
                <w:rFonts w:eastAsia="Arial"/>
                <w:spacing w:val="1"/>
              </w:rPr>
              <w:t>s</w:t>
            </w:r>
            <w:r w:rsidRPr="002E1A5F">
              <w:rPr>
                <w:rFonts w:eastAsia="Arial"/>
              </w:rPr>
              <w:t>)</w:t>
            </w:r>
          </w:p>
        </w:tc>
        <w:tc>
          <w:tcPr>
            <w:tcW w:w="3454"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D92ABB6" w14:textId="76DF0EB7" w:rsidR="00092721" w:rsidRPr="002E1A5F" w:rsidRDefault="00B7515D" w:rsidP="7A327B2A">
            <w:pPr>
              <w:ind w:left="90"/>
              <w:jc w:val="both"/>
              <w:rPr>
                <w:rStyle w:val="eop"/>
                <w:color w:val="000000" w:themeColor="text1"/>
              </w:rPr>
            </w:pPr>
            <w:r w:rsidRPr="002E1A5F">
              <w:rPr>
                <w:rStyle w:val="normaltextrun"/>
                <w:color w:val="000000" w:themeColor="text1"/>
              </w:rPr>
              <w:t>[refer to Sub’s grant application]</w:t>
            </w:r>
            <w:r w:rsidRPr="002E1A5F">
              <w:rPr>
                <w:rStyle w:val="eop"/>
                <w:color w:val="000000" w:themeColor="text1"/>
              </w:rPr>
              <w:t> </w:t>
            </w:r>
          </w:p>
        </w:tc>
      </w:tr>
    </w:tbl>
    <w:p w14:paraId="6D7E0B3D" w14:textId="6DAE2A0D" w:rsidR="004A3B01" w:rsidRPr="002E1A5F" w:rsidRDefault="004A3B01" w:rsidP="7A327B2A">
      <w:pPr>
        <w:widowControl/>
        <w:autoSpaceDE/>
        <w:autoSpaceDN/>
        <w:adjustRightInd/>
        <w:spacing w:after="160" w:line="259" w:lineRule="auto"/>
        <w:jc w:val="both"/>
      </w:pPr>
    </w:p>
    <w:p w14:paraId="5FFB29F2" w14:textId="1F312B7B" w:rsidR="00C33F92" w:rsidRPr="002263C8" w:rsidRDefault="00CA7DCA" w:rsidP="006F30C1">
      <w:pPr>
        <w:pStyle w:val="Heading2"/>
        <w:numPr>
          <w:ilvl w:val="0"/>
          <w:numId w:val="27"/>
        </w:numPr>
        <w:spacing w:before="120"/>
        <w:jc w:val="both"/>
        <w:rPr>
          <w:rFonts w:ascii="Arial" w:hAnsi="Arial" w:cs="Arial"/>
          <w:b/>
          <w:bCs/>
          <w:color w:val="auto"/>
          <w:sz w:val="20"/>
          <w:szCs w:val="20"/>
        </w:rPr>
      </w:pPr>
      <w:bookmarkStart w:id="7" w:name="_Toc206158580"/>
      <w:bookmarkStart w:id="8" w:name="_Toc149654095"/>
      <w:r w:rsidRPr="002263C8">
        <w:rPr>
          <w:rFonts w:ascii="Arial" w:hAnsi="Arial" w:cs="Arial"/>
          <w:b/>
          <w:bCs/>
          <w:color w:val="auto"/>
          <w:sz w:val="20"/>
          <w:szCs w:val="20"/>
        </w:rPr>
        <w:lastRenderedPageBreak/>
        <w:t>Resolution of Conflicting terms</w:t>
      </w:r>
      <w:bookmarkEnd w:id="7"/>
    </w:p>
    <w:p w14:paraId="50279B43" w14:textId="77777777" w:rsidR="008E1F9F" w:rsidRPr="002E1A5F" w:rsidRDefault="008E1F9F" w:rsidP="7A327B2A">
      <w:pPr>
        <w:jc w:val="both"/>
      </w:pPr>
    </w:p>
    <w:p w14:paraId="09CD75AB" w14:textId="13C3A87F" w:rsidR="008E1F9F" w:rsidRPr="002E1A5F" w:rsidRDefault="008E1F9F" w:rsidP="7A327B2A">
      <w:pPr>
        <w:ind w:left="720"/>
        <w:jc w:val="both"/>
      </w:pPr>
      <w:r w:rsidRPr="002E1A5F">
        <w:t>In the event of any conflict in the terms of this Agreement, this Exhibit will take precedence.</w:t>
      </w:r>
    </w:p>
    <w:p w14:paraId="0E54F9E2" w14:textId="77777777" w:rsidR="00A52396" w:rsidRPr="002E1A5F" w:rsidRDefault="00A52396" w:rsidP="7A327B2A">
      <w:pPr>
        <w:ind w:left="720"/>
        <w:jc w:val="both"/>
      </w:pPr>
    </w:p>
    <w:p w14:paraId="4765E85F" w14:textId="0CF2F705" w:rsidR="007A7119" w:rsidRPr="002263C8" w:rsidRDefault="319BD029" w:rsidP="00A52396">
      <w:pPr>
        <w:pStyle w:val="Heading2"/>
        <w:numPr>
          <w:ilvl w:val="0"/>
          <w:numId w:val="27"/>
        </w:numPr>
        <w:spacing w:before="0"/>
        <w:jc w:val="both"/>
        <w:rPr>
          <w:rFonts w:ascii="Arial" w:hAnsi="Arial" w:cs="Arial"/>
          <w:b/>
          <w:bCs/>
          <w:color w:val="auto"/>
          <w:sz w:val="20"/>
          <w:szCs w:val="20"/>
        </w:rPr>
      </w:pPr>
      <w:bookmarkStart w:id="9" w:name="_Toc206158581"/>
      <w:r w:rsidRPr="002263C8">
        <w:rPr>
          <w:rFonts w:ascii="Arial" w:hAnsi="Arial" w:cs="Arial"/>
          <w:b/>
          <w:bCs/>
          <w:color w:val="auto"/>
          <w:sz w:val="20"/>
          <w:szCs w:val="20"/>
        </w:rPr>
        <w:t>Documents Incorporated by Reference</w:t>
      </w:r>
      <w:bookmarkEnd w:id="8"/>
      <w:bookmarkEnd w:id="9"/>
    </w:p>
    <w:p w14:paraId="68D429D8" w14:textId="77777777" w:rsidR="00642733" w:rsidRPr="002E1A5F" w:rsidRDefault="00642733" w:rsidP="0F584CDF">
      <w:pPr>
        <w:jc w:val="both"/>
      </w:pPr>
    </w:p>
    <w:p w14:paraId="7917A1FA" w14:textId="7BE0CD5F" w:rsidR="00642733" w:rsidRPr="002E1A5F" w:rsidRDefault="00642733" w:rsidP="0F584CDF">
      <w:pPr>
        <w:ind w:left="360" w:firstLine="360"/>
        <w:jc w:val="both"/>
      </w:pPr>
      <w:r w:rsidRPr="002E1A5F">
        <w:t>The following documents are hereby incorporated by reference:</w:t>
      </w:r>
    </w:p>
    <w:p w14:paraId="2CA6C10A" w14:textId="77777777" w:rsidR="00642733" w:rsidRPr="002E1A5F" w:rsidRDefault="00642733" w:rsidP="0F584CDF">
      <w:pPr>
        <w:ind w:left="360"/>
        <w:jc w:val="both"/>
      </w:pPr>
    </w:p>
    <w:p w14:paraId="5A43E49A" w14:textId="7648E291" w:rsidR="00234775" w:rsidRPr="002E1A5F" w:rsidRDefault="003A0A24" w:rsidP="006F30C1">
      <w:pPr>
        <w:pStyle w:val="ListParagraph"/>
        <w:numPr>
          <w:ilvl w:val="0"/>
          <w:numId w:val="9"/>
        </w:numPr>
        <w:jc w:val="both"/>
      </w:pPr>
      <w:r w:rsidRPr="002E1A5F">
        <w:t>Award Agreement between the U.S. Department of Energy (DOE) and CEC, Award No. DE-</w:t>
      </w:r>
      <w:r w:rsidR="001D3105" w:rsidRPr="002E1A5F">
        <w:t xml:space="preserve"> GD0000005 </w:t>
      </w:r>
      <w:r w:rsidRPr="002E1A5F">
        <w:t>(</w:t>
      </w:r>
      <w:r w:rsidR="00076615">
        <w:t xml:space="preserve">DOE </w:t>
      </w:r>
      <w:r w:rsidRPr="002E1A5F">
        <w:t>Award).</w:t>
      </w:r>
    </w:p>
    <w:p w14:paraId="5202E605" w14:textId="77777777" w:rsidR="00234775" w:rsidRPr="002E1A5F" w:rsidRDefault="00234775" w:rsidP="00234775">
      <w:pPr>
        <w:pStyle w:val="ListParagraph"/>
        <w:ind w:left="1080"/>
        <w:jc w:val="both"/>
      </w:pPr>
    </w:p>
    <w:p w14:paraId="74E978B5" w14:textId="192F98BA" w:rsidR="007A7119" w:rsidRPr="002E1A5F" w:rsidRDefault="319BD029" w:rsidP="006F30C1">
      <w:pPr>
        <w:pStyle w:val="ListParagraph"/>
        <w:numPr>
          <w:ilvl w:val="0"/>
          <w:numId w:val="9"/>
        </w:numPr>
        <w:jc w:val="both"/>
      </w:pPr>
      <w:r w:rsidRPr="002E1A5F">
        <w:t>Public Law 117-58, Bipartisan Infrastructure Law</w:t>
      </w:r>
      <w:r w:rsidR="46DA9964" w:rsidRPr="002E1A5F">
        <w:t xml:space="preserve"> (BIL)</w:t>
      </w:r>
      <w:r w:rsidR="295A8E45" w:rsidRPr="002E1A5F">
        <w:t>.</w:t>
      </w:r>
    </w:p>
    <w:p w14:paraId="19FED51A" w14:textId="77777777" w:rsidR="007A7119" w:rsidRPr="002E1A5F" w:rsidRDefault="007A7119" w:rsidP="0F584CDF">
      <w:pPr>
        <w:pStyle w:val="ListParagraph"/>
        <w:ind w:left="1080"/>
        <w:jc w:val="both"/>
      </w:pPr>
    </w:p>
    <w:p w14:paraId="2FFA78FD" w14:textId="5BB602C9" w:rsidR="007A7119" w:rsidRPr="002E1A5F" w:rsidRDefault="304E1936" w:rsidP="006F30C1">
      <w:pPr>
        <w:pStyle w:val="ListParagraph"/>
        <w:numPr>
          <w:ilvl w:val="0"/>
          <w:numId w:val="9"/>
        </w:numPr>
        <w:jc w:val="both"/>
      </w:pPr>
      <w:hyperlink r:id="rId11" w:history="1">
        <w:r w:rsidRPr="00FC3639">
          <w:rPr>
            <w:rStyle w:val="Hyperlink"/>
          </w:rPr>
          <w:t xml:space="preserve">Uniform Administrative Requirements, Cost Principles, and Audit Requirements for Federal Awards, </w:t>
        </w:r>
        <w:r w:rsidR="319BD029" w:rsidRPr="00FC3639">
          <w:rPr>
            <w:rStyle w:val="Hyperlink"/>
          </w:rPr>
          <w:t>2 CFR part 200 as amended by 2 CFR part 910</w:t>
        </w:r>
      </w:hyperlink>
      <w:r w:rsidR="0D8D1E62" w:rsidRPr="002E1A5F">
        <w:t>, located</w:t>
      </w:r>
      <w:r w:rsidR="319BD029" w:rsidRPr="002E1A5F">
        <w:t xml:space="preserve"> at </w:t>
      </w:r>
      <w:r w:rsidR="1F7EFD06" w:rsidRPr="00FC3639">
        <w:t>http://www.eCFR.gov</w:t>
      </w:r>
      <w:r w:rsidR="319BD029" w:rsidRPr="002E1A5F">
        <w:t>.</w:t>
      </w:r>
    </w:p>
    <w:p w14:paraId="25B51695" w14:textId="77777777" w:rsidR="007A7119" w:rsidRPr="002E1A5F" w:rsidRDefault="007A7119" w:rsidP="0F584CDF">
      <w:pPr>
        <w:pStyle w:val="ListParagraph"/>
        <w:ind w:left="1080"/>
        <w:jc w:val="both"/>
      </w:pPr>
    </w:p>
    <w:p w14:paraId="42943648" w14:textId="5430EFB7" w:rsidR="007F136D" w:rsidRPr="002E1A5F" w:rsidRDefault="51D18911" w:rsidP="006F30C1">
      <w:pPr>
        <w:pStyle w:val="ListParagraph"/>
        <w:numPr>
          <w:ilvl w:val="0"/>
          <w:numId w:val="9"/>
        </w:numPr>
        <w:jc w:val="both"/>
      </w:pPr>
      <w:hyperlink r:id="rId12" w:history="1">
        <w:r w:rsidRPr="00FC3639">
          <w:rPr>
            <w:rStyle w:val="Hyperlink"/>
          </w:rPr>
          <w:t>The</w:t>
        </w:r>
        <w:r w:rsidR="1FADC118" w:rsidRPr="00FC3639">
          <w:rPr>
            <w:rStyle w:val="Hyperlink"/>
          </w:rPr>
          <w:t xml:space="preserve"> Funding Opportunity Annou</w:t>
        </w:r>
        <w:r w:rsidR="4AA60566" w:rsidRPr="00FC3639">
          <w:rPr>
            <w:rStyle w:val="Hyperlink"/>
          </w:rPr>
          <w:t xml:space="preserve">ncement </w:t>
        </w:r>
        <w:r w:rsidR="4A698C17" w:rsidRPr="00FC3639">
          <w:rPr>
            <w:rStyle w:val="Hyperlink"/>
          </w:rPr>
          <w:t xml:space="preserve">(FOA) </w:t>
        </w:r>
        <w:r w:rsidR="4AA60566" w:rsidRPr="00FC3639">
          <w:rPr>
            <w:rStyle w:val="Hyperlink"/>
          </w:rPr>
          <w:t>for this Program</w:t>
        </w:r>
      </w:hyperlink>
      <w:r w:rsidR="7DFA7D17" w:rsidRPr="002E1A5F">
        <w:t>,</w:t>
      </w:r>
      <w:r w:rsidR="4AA60566" w:rsidRPr="002E1A5F">
        <w:t xml:space="preserve"> located at</w:t>
      </w:r>
      <w:r w:rsidR="7E95F351" w:rsidRPr="002E1A5F">
        <w:t xml:space="preserve"> </w:t>
      </w:r>
      <w:r w:rsidR="004948B9" w:rsidRPr="00FC3639">
        <w:t>https://www.fedconnect.net/FedConnect/default.aspx?ReturnUrl=%2ffedconnect%2f%3fdoc%3dDE-FOA-0002736%26agency%3dDOE&amp;doc=DE-FOA-0002736&amp;agency=DOE</w:t>
      </w:r>
      <w:r w:rsidR="004948B9" w:rsidRPr="002E1A5F">
        <w:t>.</w:t>
      </w:r>
      <w:r w:rsidR="305AEA18" w:rsidRPr="002E1A5F">
        <w:t xml:space="preserve"> </w:t>
      </w:r>
    </w:p>
    <w:p w14:paraId="66C16FF2" w14:textId="77777777" w:rsidR="007F136D" w:rsidRPr="002E1A5F" w:rsidRDefault="007F136D" w:rsidP="0F584CDF">
      <w:pPr>
        <w:jc w:val="both"/>
      </w:pPr>
    </w:p>
    <w:p w14:paraId="048EE3EB" w14:textId="4D605056" w:rsidR="00D47C2C" w:rsidRPr="002E1A5F" w:rsidRDefault="1289CB0F" w:rsidP="006F30C1">
      <w:pPr>
        <w:pStyle w:val="ListParagraph"/>
        <w:numPr>
          <w:ilvl w:val="0"/>
          <w:numId w:val="9"/>
        </w:numPr>
        <w:jc w:val="both"/>
      </w:pPr>
      <w:hyperlink r:id="rId13" w:history="1">
        <w:r w:rsidRPr="000506B1">
          <w:rPr>
            <w:rStyle w:val="Hyperlink"/>
          </w:rPr>
          <w:t>The standard DOE financial assistance intellectual property provisions applicable to various types of recipients</w:t>
        </w:r>
      </w:hyperlink>
      <w:r w:rsidR="5E2C0B12" w:rsidRPr="002E1A5F">
        <w:t xml:space="preserve">, </w:t>
      </w:r>
      <w:r w:rsidRPr="002E1A5F">
        <w:t xml:space="preserve">located at: </w:t>
      </w:r>
      <w:r w:rsidRPr="000506B1">
        <w:t>https://energy.gov/gc/standard-intellectual-property-ip-provisions-financial-assistance-awards</w:t>
      </w:r>
      <w:r w:rsidRPr="002E1A5F">
        <w:t xml:space="preserve">.  </w:t>
      </w:r>
    </w:p>
    <w:p w14:paraId="78CA5A6D" w14:textId="77777777" w:rsidR="00D47C2C" w:rsidRPr="002E1A5F" w:rsidRDefault="00D47C2C" w:rsidP="0F584CDF">
      <w:pPr>
        <w:pStyle w:val="ListParagraph"/>
        <w:jc w:val="both"/>
      </w:pPr>
    </w:p>
    <w:p w14:paraId="404C9126" w14:textId="5ACAA576" w:rsidR="00E41A45" w:rsidRPr="002E1A5F" w:rsidRDefault="19917568" w:rsidP="006F30C1">
      <w:pPr>
        <w:pStyle w:val="ListParagraph"/>
        <w:numPr>
          <w:ilvl w:val="0"/>
          <w:numId w:val="9"/>
        </w:numPr>
        <w:jc w:val="both"/>
      </w:pPr>
      <w:hyperlink r:id="rId14" w:history="1">
        <w:r w:rsidRPr="000C1335">
          <w:rPr>
            <w:rStyle w:val="Hyperlink"/>
          </w:rPr>
          <w:t>The National Policy Assurances</w:t>
        </w:r>
      </w:hyperlink>
      <w:r w:rsidR="5BBB2464" w:rsidRPr="002E1A5F">
        <w:t xml:space="preserve">, </w:t>
      </w:r>
      <w:r w:rsidRPr="002E1A5F">
        <w:t xml:space="preserve">located at: </w:t>
      </w:r>
      <w:r w:rsidR="5BBB2464" w:rsidRPr="000C1335">
        <w:t>http://www.nsf.gov/awards/managing/rtc.jsp</w:t>
      </w:r>
      <w:r w:rsidR="5BBB2464" w:rsidRPr="002E1A5F">
        <w:t xml:space="preserve"> </w:t>
      </w:r>
      <w:r w:rsidR="7BDEF018" w:rsidRPr="002E1A5F">
        <w:t xml:space="preserve">and </w:t>
      </w:r>
      <w:r w:rsidR="1BCEBCED" w:rsidRPr="009F27D3">
        <w:t>https://www.energy.gov/management/articles/national-policy-assurances-be-incorporated-award-terms</w:t>
      </w:r>
      <w:r w:rsidR="7BDEF018" w:rsidRPr="002E1A5F">
        <w:t>.</w:t>
      </w:r>
    </w:p>
    <w:p w14:paraId="37BFFBDF" w14:textId="77777777" w:rsidR="00B7515D" w:rsidRPr="002E1A5F" w:rsidRDefault="00B7515D" w:rsidP="0F584CDF">
      <w:pPr>
        <w:pStyle w:val="ListParagraph"/>
        <w:jc w:val="both"/>
      </w:pPr>
    </w:p>
    <w:p w14:paraId="61E8B6F7" w14:textId="1450347D" w:rsidR="00B7515D" w:rsidRPr="002E1A5F" w:rsidRDefault="247EEA77" w:rsidP="006F30C1">
      <w:pPr>
        <w:pStyle w:val="ListParagraph"/>
        <w:numPr>
          <w:ilvl w:val="0"/>
          <w:numId w:val="9"/>
        </w:numPr>
        <w:jc w:val="both"/>
        <w:rPr>
          <w:rStyle w:val="eop"/>
        </w:rPr>
      </w:pPr>
      <w:hyperlink r:id="rId15" w:history="1">
        <w:r w:rsidRPr="00E71AE1">
          <w:rPr>
            <w:rStyle w:val="Hyperlink"/>
          </w:rPr>
          <w:t xml:space="preserve">Research Terms and Conditions and the </w:t>
        </w:r>
        <w:r w:rsidR="6253E614" w:rsidRPr="00E71AE1">
          <w:rPr>
            <w:rStyle w:val="Hyperlink"/>
          </w:rPr>
          <w:t xml:space="preserve">DOE Agency </w:t>
        </w:r>
        <w:r w:rsidRPr="00E71AE1">
          <w:rPr>
            <w:rStyle w:val="Hyperlink"/>
          </w:rPr>
          <w:t>Specific Requirements</w:t>
        </w:r>
      </w:hyperlink>
      <w:r w:rsidRPr="002E1A5F">
        <w:rPr>
          <w:rStyle w:val="normaltextrun"/>
        </w:rPr>
        <w:t xml:space="preserve"> at</w:t>
      </w:r>
      <w:r w:rsidRPr="002E1A5F">
        <w:rPr>
          <w:rStyle w:val="normaltextrun"/>
          <w:u w:val="single"/>
        </w:rPr>
        <w:t xml:space="preserve"> </w:t>
      </w:r>
      <w:r w:rsidR="00E71AE1" w:rsidRPr="00E71AE1">
        <w:t>http://www.nsf.gov/bfa/dias/policy/rtc/index.jsp</w:t>
      </w:r>
      <w:r w:rsidR="00E71AE1">
        <w:rPr>
          <w:color w:val="0000FF"/>
          <w:u w:val="single"/>
        </w:rPr>
        <w:t xml:space="preserve"> </w:t>
      </w:r>
      <w:r w:rsidRPr="002E1A5F">
        <w:rPr>
          <w:rStyle w:val="normaltextrun"/>
        </w:rPr>
        <w:t>(if the Award is for research and the Award is to a university or non-profit).</w:t>
      </w:r>
      <w:r w:rsidRPr="002E1A5F">
        <w:rPr>
          <w:rStyle w:val="eop"/>
        </w:rPr>
        <w:t> </w:t>
      </w:r>
    </w:p>
    <w:p w14:paraId="23FD6BCD" w14:textId="77777777" w:rsidR="00F565EE" w:rsidRPr="002E1A5F" w:rsidRDefault="00F565EE" w:rsidP="0F584CDF">
      <w:pPr>
        <w:jc w:val="both"/>
      </w:pPr>
    </w:p>
    <w:p w14:paraId="39B0C530" w14:textId="73C62F4D" w:rsidR="03966A88" w:rsidRPr="002E1A5F" w:rsidRDefault="03966A88" w:rsidP="6735B4C0">
      <w:pPr>
        <w:pStyle w:val="ListParagraph"/>
        <w:numPr>
          <w:ilvl w:val="0"/>
          <w:numId w:val="9"/>
        </w:numPr>
        <w:jc w:val="both"/>
      </w:pPr>
      <w:r>
        <w:t xml:space="preserve">The </w:t>
      </w:r>
      <w:hyperlink r:id="rId16">
        <w:r w:rsidRPr="6735B4C0">
          <w:rPr>
            <w:rStyle w:val="Hyperlink"/>
          </w:rPr>
          <w:t>CEC Agency Specific Requirements</w:t>
        </w:r>
      </w:hyperlink>
      <w:r>
        <w:t xml:space="preserve"> at </w:t>
      </w:r>
      <w:r w:rsidR="1C0BCB7E">
        <w:t>https://www.energy.ca.gov/media/9025.</w:t>
      </w:r>
      <w:r w:rsidR="423B4FB9">
        <w:t xml:space="preserve"> </w:t>
      </w:r>
    </w:p>
    <w:p w14:paraId="22F7EFFE" w14:textId="77777777" w:rsidR="007A7119" w:rsidRPr="002E1A5F" w:rsidRDefault="007A7119" w:rsidP="0F584CDF">
      <w:pPr>
        <w:jc w:val="both"/>
      </w:pPr>
    </w:p>
    <w:p w14:paraId="1B247A88" w14:textId="30E8624F" w:rsidR="00953635" w:rsidRPr="002263C8" w:rsidRDefault="00953635" w:rsidP="006F30C1">
      <w:pPr>
        <w:pStyle w:val="Heading2"/>
        <w:numPr>
          <w:ilvl w:val="0"/>
          <w:numId w:val="27"/>
        </w:numPr>
        <w:jc w:val="both"/>
        <w:rPr>
          <w:rFonts w:ascii="Arial" w:hAnsi="Arial" w:cs="Arial"/>
          <w:b/>
          <w:bCs/>
          <w:color w:val="auto"/>
          <w:sz w:val="20"/>
          <w:szCs w:val="20"/>
        </w:rPr>
      </w:pPr>
      <w:bookmarkStart w:id="10" w:name="_Toc206158582"/>
      <w:bookmarkStart w:id="11" w:name="_Toc149654096"/>
      <w:r w:rsidRPr="002263C8">
        <w:rPr>
          <w:rFonts w:ascii="Arial" w:hAnsi="Arial" w:cs="Arial"/>
          <w:b/>
          <w:bCs/>
          <w:color w:val="auto"/>
          <w:sz w:val="20"/>
          <w:szCs w:val="20"/>
        </w:rPr>
        <w:t>Funding Restrictions</w:t>
      </w:r>
      <w:bookmarkEnd w:id="10"/>
    </w:p>
    <w:p w14:paraId="3E54B7CF" w14:textId="77777777" w:rsidR="00953635" w:rsidRPr="002E1A5F" w:rsidRDefault="00953635" w:rsidP="7A327B2A">
      <w:pPr>
        <w:jc w:val="both"/>
      </w:pPr>
    </w:p>
    <w:p w14:paraId="160C20B3" w14:textId="56504C0B" w:rsidR="00953635" w:rsidRPr="002E1A5F" w:rsidRDefault="007961FC" w:rsidP="7A327B2A">
      <w:pPr>
        <w:ind w:left="720"/>
        <w:jc w:val="both"/>
      </w:pPr>
      <w:r w:rsidRPr="002E1A5F">
        <w:t>Funding is contingent upon the availability of funds appropriated by Congress for the purpose of this program and the availability of future-year budget authority.</w:t>
      </w:r>
    </w:p>
    <w:p w14:paraId="4D36CAE9" w14:textId="77777777" w:rsidR="007961FC" w:rsidRPr="002E1A5F" w:rsidRDefault="007961FC" w:rsidP="7A327B2A">
      <w:pPr>
        <w:ind w:left="720"/>
        <w:jc w:val="both"/>
      </w:pPr>
    </w:p>
    <w:p w14:paraId="28F2133E" w14:textId="5026DDEF" w:rsidR="0065260E" w:rsidRPr="002263C8" w:rsidRDefault="0362ED1F" w:rsidP="006F30C1">
      <w:pPr>
        <w:pStyle w:val="Heading2"/>
        <w:numPr>
          <w:ilvl w:val="0"/>
          <w:numId w:val="27"/>
        </w:numPr>
        <w:jc w:val="both"/>
        <w:rPr>
          <w:rFonts w:ascii="Arial" w:hAnsi="Arial" w:cs="Arial"/>
          <w:b/>
          <w:bCs/>
          <w:color w:val="auto"/>
          <w:sz w:val="20"/>
          <w:szCs w:val="20"/>
        </w:rPr>
      </w:pPr>
      <w:bookmarkStart w:id="12" w:name="_Toc206158583"/>
      <w:r w:rsidRPr="002263C8">
        <w:rPr>
          <w:rFonts w:ascii="Arial" w:hAnsi="Arial" w:cs="Arial"/>
          <w:b/>
          <w:bCs/>
          <w:color w:val="auto"/>
          <w:sz w:val="20"/>
          <w:szCs w:val="20"/>
        </w:rPr>
        <w:t xml:space="preserve">Flow </w:t>
      </w:r>
      <w:r w:rsidR="00516214" w:rsidRPr="002E1A5F">
        <w:rPr>
          <w:rFonts w:ascii="Arial" w:hAnsi="Arial" w:cs="Arial"/>
          <w:b/>
          <w:bCs/>
          <w:color w:val="auto"/>
          <w:sz w:val="20"/>
          <w:szCs w:val="20"/>
        </w:rPr>
        <w:t>D</w:t>
      </w:r>
      <w:r w:rsidRPr="002263C8">
        <w:rPr>
          <w:rFonts w:ascii="Arial" w:hAnsi="Arial" w:cs="Arial"/>
          <w:b/>
          <w:bCs/>
          <w:color w:val="auto"/>
          <w:sz w:val="20"/>
          <w:szCs w:val="20"/>
        </w:rPr>
        <w:t xml:space="preserve">own </w:t>
      </w:r>
      <w:r w:rsidR="00516214" w:rsidRPr="002E1A5F">
        <w:rPr>
          <w:rFonts w:ascii="Arial" w:hAnsi="Arial" w:cs="Arial"/>
          <w:b/>
          <w:bCs/>
          <w:color w:val="auto"/>
          <w:sz w:val="20"/>
          <w:szCs w:val="20"/>
        </w:rPr>
        <w:t>R</w:t>
      </w:r>
      <w:r w:rsidRPr="002263C8">
        <w:rPr>
          <w:rFonts w:ascii="Arial" w:hAnsi="Arial" w:cs="Arial"/>
          <w:b/>
          <w:bCs/>
          <w:color w:val="auto"/>
          <w:sz w:val="20"/>
          <w:szCs w:val="20"/>
        </w:rPr>
        <w:t>equirements</w:t>
      </w:r>
      <w:bookmarkEnd w:id="11"/>
      <w:bookmarkEnd w:id="12"/>
    </w:p>
    <w:p w14:paraId="69D901FF" w14:textId="77777777" w:rsidR="0065260E" w:rsidRPr="002E1A5F" w:rsidRDefault="0065260E" w:rsidP="0F584CDF">
      <w:pPr>
        <w:jc w:val="both"/>
      </w:pPr>
    </w:p>
    <w:p w14:paraId="452E709F" w14:textId="7CAA88E9" w:rsidR="0065260E" w:rsidRPr="002E1A5F" w:rsidRDefault="0065260E" w:rsidP="006F30C1">
      <w:pPr>
        <w:pStyle w:val="ListParagraph"/>
        <w:numPr>
          <w:ilvl w:val="0"/>
          <w:numId w:val="8"/>
        </w:numPr>
        <w:jc w:val="both"/>
      </w:pPr>
      <w:r>
        <w:t>Subrecipient must</w:t>
      </w:r>
      <w:r w:rsidRPr="002E1A5F" w:rsidDel="005D667F">
        <w:t xml:space="preserve"> </w:t>
      </w:r>
      <w:r w:rsidRPr="002E1A5F">
        <w:t xml:space="preserve">require inclusion in all lower tier subrecipient or subcontract </w:t>
      </w:r>
      <w:r>
        <w:t>agreement</w:t>
      </w:r>
      <w:r w:rsidR="4EDB5999">
        <w:t>s</w:t>
      </w:r>
      <w:r w:rsidRPr="002E1A5F">
        <w:t xml:space="preserve">, all federal award terms and conditions in 2 CFR part 200 as amended by 2 CFR part 910 as set forth in 2 CFR 200.101 and ensure strict compliance.  </w:t>
      </w:r>
    </w:p>
    <w:p w14:paraId="21A36D90" w14:textId="77777777" w:rsidR="0065260E" w:rsidRPr="002E1A5F" w:rsidRDefault="0065260E" w:rsidP="0F584CDF">
      <w:pPr>
        <w:jc w:val="both"/>
      </w:pPr>
    </w:p>
    <w:p w14:paraId="15AEF313" w14:textId="15274B1B" w:rsidR="0065260E" w:rsidRPr="002E1A5F" w:rsidRDefault="3DAAE347" w:rsidP="006F30C1">
      <w:pPr>
        <w:pStyle w:val="ListParagraph"/>
        <w:numPr>
          <w:ilvl w:val="0"/>
          <w:numId w:val="8"/>
        </w:numPr>
        <w:jc w:val="both"/>
      </w:pPr>
      <w:r>
        <w:t>Subrecipient must</w:t>
      </w:r>
      <w:r w:rsidRPr="002E1A5F" w:rsidDel="005D667F">
        <w:t xml:space="preserve"> </w:t>
      </w:r>
      <w:r w:rsidRPr="002E1A5F">
        <w:t xml:space="preserve">require inclusion in all lower tier </w:t>
      </w:r>
      <w:proofErr w:type="gramStart"/>
      <w:r w:rsidRPr="002E1A5F">
        <w:t>subrecipient</w:t>
      </w:r>
      <w:proofErr w:type="gramEnd"/>
      <w:r w:rsidRPr="002E1A5F">
        <w:t xml:space="preserve"> or subcontract </w:t>
      </w:r>
      <w:r>
        <w:t>agreement</w:t>
      </w:r>
      <w:r w:rsidR="7D0B128F">
        <w:t>s</w:t>
      </w:r>
      <w:r w:rsidRPr="002E1A5F">
        <w:t xml:space="preserve"> all </w:t>
      </w:r>
      <w:r w:rsidR="642C9BD6" w:rsidRPr="002E1A5F">
        <w:t xml:space="preserve">applicable </w:t>
      </w:r>
      <w:r w:rsidR="0065260E" w:rsidRPr="002E1A5F">
        <w:t xml:space="preserve">Intellectual </w:t>
      </w:r>
      <w:r w:rsidR="7332938A" w:rsidRPr="002E1A5F">
        <w:t>P</w:t>
      </w:r>
      <w:r w:rsidR="0065260E" w:rsidRPr="002E1A5F">
        <w:t xml:space="preserve">roperty </w:t>
      </w:r>
      <w:r w:rsidR="26BA9051" w:rsidRPr="002E1A5F">
        <w:t xml:space="preserve">provisions </w:t>
      </w:r>
      <w:r w:rsidR="0065260E" w:rsidRPr="002E1A5F">
        <w:t>and</w:t>
      </w:r>
      <w:r w:rsidR="4CCD1993" w:rsidRPr="002E1A5F">
        <w:t xml:space="preserve"> </w:t>
      </w:r>
      <w:r w:rsidR="51F7413B" w:rsidRPr="002E1A5F">
        <w:t>N</w:t>
      </w:r>
      <w:r w:rsidR="0065260E" w:rsidRPr="002E1A5F">
        <w:t xml:space="preserve">ational </w:t>
      </w:r>
      <w:r w:rsidR="0F90FD86" w:rsidRPr="002E1A5F">
        <w:t>P</w:t>
      </w:r>
      <w:r w:rsidR="0065260E" w:rsidRPr="002E1A5F">
        <w:t xml:space="preserve">olicy </w:t>
      </w:r>
      <w:r w:rsidR="3639F3BD" w:rsidRPr="002E1A5F">
        <w:t>A</w:t>
      </w:r>
      <w:r w:rsidR="0065260E" w:rsidRPr="002E1A5F">
        <w:t>ssurances</w:t>
      </w:r>
      <w:r w:rsidR="5F6FDD4D" w:rsidRPr="002E1A5F">
        <w:t xml:space="preserve"> incorporated by reference in Subpart A</w:t>
      </w:r>
      <w:r w:rsidR="34FCDFF0" w:rsidRPr="002E1A5F">
        <w:t>.3</w:t>
      </w:r>
      <w:r w:rsidR="0EE9F00B" w:rsidRPr="002E1A5F">
        <w:t>.</w:t>
      </w:r>
    </w:p>
    <w:p w14:paraId="03AC9075" w14:textId="77777777" w:rsidR="005B6503" w:rsidRPr="002E1A5F" w:rsidRDefault="005B6503" w:rsidP="0F584CDF">
      <w:pPr>
        <w:jc w:val="both"/>
      </w:pPr>
    </w:p>
    <w:p w14:paraId="5EA1E3C9" w14:textId="10612960" w:rsidR="005B6503" w:rsidRPr="002E1A5F" w:rsidRDefault="005B6503" w:rsidP="006F30C1">
      <w:pPr>
        <w:pStyle w:val="ListParagraph"/>
        <w:numPr>
          <w:ilvl w:val="0"/>
          <w:numId w:val="8"/>
        </w:numPr>
        <w:jc w:val="both"/>
      </w:pPr>
      <w:r w:rsidRPr="002E1A5F">
        <w:t xml:space="preserve">Subrecipient must require inclusion in all lower tier subrecipient or subcontract </w:t>
      </w:r>
      <w:r>
        <w:t>agreement</w:t>
      </w:r>
      <w:r w:rsidR="152E6F8F">
        <w:t>s</w:t>
      </w:r>
      <w:r w:rsidRPr="002E1A5F">
        <w:t xml:space="preserve">, </w:t>
      </w:r>
      <w:r w:rsidR="00EC39F8" w:rsidRPr="002E1A5F">
        <w:t xml:space="preserve">all </w:t>
      </w:r>
      <w:r w:rsidRPr="002E1A5F">
        <w:t xml:space="preserve">other requirements as </w:t>
      </w:r>
      <w:r w:rsidR="004C73E6" w:rsidRPr="002E1A5F">
        <w:t>applicable</w:t>
      </w:r>
      <w:r w:rsidRPr="002E1A5F">
        <w:t xml:space="preserve"> in this Exhibit or elsewhere in </w:t>
      </w:r>
      <w:r w:rsidR="00AF2315" w:rsidRPr="002E1A5F">
        <w:t>the</w:t>
      </w:r>
      <w:r w:rsidRPr="002E1A5F">
        <w:t xml:space="preserve"> Agreement.</w:t>
      </w:r>
    </w:p>
    <w:p w14:paraId="60609713" w14:textId="77777777" w:rsidR="0065260E" w:rsidRPr="002E1A5F" w:rsidRDefault="0065260E" w:rsidP="0F584CDF">
      <w:pPr>
        <w:pStyle w:val="ListParagraph"/>
        <w:jc w:val="both"/>
      </w:pPr>
    </w:p>
    <w:p w14:paraId="7159239B" w14:textId="1DE0A215" w:rsidR="00EE1C80" w:rsidRPr="002263C8" w:rsidRDefault="44A662A8" w:rsidP="006F30C1">
      <w:pPr>
        <w:pStyle w:val="Heading2"/>
        <w:numPr>
          <w:ilvl w:val="0"/>
          <w:numId w:val="27"/>
        </w:numPr>
        <w:jc w:val="both"/>
        <w:rPr>
          <w:rFonts w:ascii="Arial" w:hAnsi="Arial" w:cs="Arial"/>
          <w:b/>
          <w:bCs/>
          <w:color w:val="auto"/>
          <w:sz w:val="20"/>
          <w:szCs w:val="20"/>
        </w:rPr>
      </w:pPr>
      <w:bookmarkStart w:id="13" w:name="_Toc149654097"/>
      <w:bookmarkStart w:id="14" w:name="_Toc206158584"/>
      <w:r w:rsidRPr="002263C8">
        <w:rPr>
          <w:rFonts w:ascii="Arial" w:hAnsi="Arial" w:cs="Arial"/>
          <w:b/>
          <w:bCs/>
          <w:color w:val="auto"/>
          <w:sz w:val="20"/>
          <w:szCs w:val="20"/>
        </w:rPr>
        <w:t>Reporting Requirements</w:t>
      </w:r>
      <w:bookmarkEnd w:id="13"/>
      <w:bookmarkEnd w:id="14"/>
    </w:p>
    <w:p w14:paraId="03B7D51E" w14:textId="77777777" w:rsidR="00EE1C80" w:rsidRPr="002E1A5F" w:rsidRDefault="00EE1C80" w:rsidP="0F584CDF">
      <w:pPr>
        <w:pStyle w:val="ListParagraph"/>
        <w:jc w:val="both"/>
      </w:pPr>
    </w:p>
    <w:p w14:paraId="759BEC70" w14:textId="587B336D" w:rsidR="00BE5BC0" w:rsidRPr="002E1A5F" w:rsidRDefault="00807732" w:rsidP="006F30C1">
      <w:pPr>
        <w:pStyle w:val="ListParagraph"/>
        <w:numPr>
          <w:ilvl w:val="1"/>
          <w:numId w:val="27"/>
        </w:numPr>
        <w:ind w:left="1080"/>
        <w:jc w:val="both"/>
      </w:pPr>
      <w:r w:rsidRPr="002E1A5F">
        <w:t xml:space="preserve">The federal reporting requirements are described in the Federal Assistance Reporting </w:t>
      </w:r>
      <w:r w:rsidRPr="002E1A5F">
        <w:lastRenderedPageBreak/>
        <w:t xml:space="preserve">Checklist, Attachment </w:t>
      </w:r>
      <w:r w:rsidR="008D2986" w:rsidRPr="002E1A5F">
        <w:t>3</w:t>
      </w:r>
      <w:r w:rsidR="001E7E71">
        <w:t xml:space="preserve"> of </w:t>
      </w:r>
      <w:r w:rsidRPr="002E1A5F">
        <w:t xml:space="preserve">the </w:t>
      </w:r>
      <w:r w:rsidR="001E7E71">
        <w:t xml:space="preserve">DOE </w:t>
      </w:r>
      <w:r w:rsidRPr="002E1A5F">
        <w:t>Award.</w:t>
      </w:r>
    </w:p>
    <w:p w14:paraId="6A98024B" w14:textId="77777777" w:rsidR="00BE5BC0" w:rsidRPr="002E1A5F" w:rsidRDefault="00BE5BC0" w:rsidP="0F584CDF">
      <w:pPr>
        <w:pStyle w:val="ListParagraph"/>
        <w:ind w:left="1080"/>
        <w:jc w:val="both"/>
      </w:pPr>
    </w:p>
    <w:p w14:paraId="0BDBC0CD" w14:textId="7D871119" w:rsidR="31F137FA" w:rsidRPr="002E1A5F" w:rsidRDefault="31F137FA" w:rsidP="0F584CDF">
      <w:pPr>
        <w:jc w:val="both"/>
        <w:rPr>
          <w:color w:val="000000" w:themeColor="text1"/>
        </w:rPr>
      </w:pPr>
    </w:p>
    <w:p w14:paraId="4C65AC3E" w14:textId="77777777" w:rsidR="00D23963" w:rsidRPr="002E1A5F" w:rsidRDefault="00D23963" w:rsidP="006F30C1">
      <w:pPr>
        <w:pStyle w:val="ListParagraph"/>
        <w:numPr>
          <w:ilvl w:val="1"/>
          <w:numId w:val="27"/>
        </w:numPr>
        <w:ind w:left="1080"/>
        <w:jc w:val="both"/>
        <w:rPr>
          <w:rFonts w:eastAsia="Arial"/>
          <w:color w:val="000000" w:themeColor="text1"/>
        </w:rPr>
      </w:pPr>
      <w:r w:rsidRPr="002E1A5F">
        <w:rPr>
          <w:rFonts w:eastAsia="Arial"/>
        </w:rPr>
        <w:t xml:space="preserve">CEC’s noncompliance with reporting requirements may result in </w:t>
      </w:r>
      <w:proofErr w:type="gramStart"/>
      <w:r w:rsidRPr="002E1A5F">
        <w:rPr>
          <w:rFonts w:eastAsia="Arial"/>
        </w:rPr>
        <w:t>withholding of</w:t>
      </w:r>
      <w:proofErr w:type="gramEnd"/>
      <w:r w:rsidRPr="002E1A5F">
        <w:rPr>
          <w:rFonts w:eastAsia="Arial"/>
        </w:rPr>
        <w:t xml:space="preserve"> future payments, suspension, or termination of the Award, and withholding of future federal awards.</w:t>
      </w:r>
    </w:p>
    <w:p w14:paraId="5C6C168A" w14:textId="77777777" w:rsidR="00D23963" w:rsidRPr="002E1A5F" w:rsidRDefault="00D23963" w:rsidP="008261CA">
      <w:pPr>
        <w:pStyle w:val="ListParagraph"/>
        <w:ind w:left="1080"/>
        <w:jc w:val="both"/>
        <w:rPr>
          <w:rFonts w:eastAsia="Arial"/>
          <w:color w:val="000000" w:themeColor="text1"/>
        </w:rPr>
      </w:pPr>
    </w:p>
    <w:p w14:paraId="5B4B7D1A" w14:textId="61E54DA6" w:rsidR="06BDA5B9" w:rsidRPr="002E1A5F" w:rsidRDefault="6D772D63" w:rsidP="006F30C1">
      <w:pPr>
        <w:pStyle w:val="ListParagraph"/>
        <w:numPr>
          <w:ilvl w:val="1"/>
          <w:numId w:val="27"/>
        </w:numPr>
        <w:ind w:left="1080"/>
        <w:jc w:val="both"/>
        <w:rPr>
          <w:rFonts w:eastAsia="Arial"/>
          <w:color w:val="000000" w:themeColor="text1"/>
        </w:rPr>
      </w:pPr>
      <w:r w:rsidRPr="002E1A5F">
        <w:rPr>
          <w:rFonts w:eastAsia="Arial"/>
          <w:color w:val="000000" w:themeColor="text1"/>
        </w:rPr>
        <w:t xml:space="preserve">Subrecipient must </w:t>
      </w:r>
      <w:r w:rsidR="000E54CD" w:rsidRPr="002E1A5F">
        <w:rPr>
          <w:rFonts w:eastAsia="Arial"/>
        </w:rPr>
        <w:t>assist CEC with meeting all federal reporting requirements by</w:t>
      </w:r>
      <w:r w:rsidR="000E54CD" w:rsidRPr="002E1A5F">
        <w:rPr>
          <w:rFonts w:eastAsia="Arial"/>
          <w:color w:val="000000" w:themeColor="text1"/>
        </w:rPr>
        <w:t xml:space="preserve"> </w:t>
      </w:r>
      <w:r w:rsidRPr="002E1A5F">
        <w:rPr>
          <w:rFonts w:eastAsia="Arial"/>
          <w:color w:val="000000" w:themeColor="text1"/>
        </w:rPr>
        <w:t>maintain</w:t>
      </w:r>
      <w:r w:rsidR="00ED6DE3" w:rsidRPr="002E1A5F">
        <w:rPr>
          <w:rFonts w:eastAsia="Arial"/>
          <w:color w:val="000000" w:themeColor="text1"/>
        </w:rPr>
        <w:t>ing</w:t>
      </w:r>
      <w:r w:rsidRPr="002E1A5F">
        <w:rPr>
          <w:rFonts w:eastAsia="Arial"/>
          <w:color w:val="000000" w:themeColor="text1"/>
        </w:rPr>
        <w:t xml:space="preserve"> sufficient records to substantiate </w:t>
      </w:r>
      <w:r w:rsidR="00ED6DE3" w:rsidRPr="002E1A5F">
        <w:rPr>
          <w:rFonts w:eastAsia="Arial"/>
          <w:color w:val="000000" w:themeColor="text1"/>
        </w:rPr>
        <w:t xml:space="preserve">the required </w:t>
      </w:r>
      <w:r w:rsidRPr="002E1A5F">
        <w:rPr>
          <w:rFonts w:eastAsia="Arial"/>
          <w:color w:val="000000" w:themeColor="text1"/>
        </w:rPr>
        <w:t xml:space="preserve">information </w:t>
      </w:r>
      <w:r w:rsidR="00AD4A5A" w:rsidRPr="002E1A5F">
        <w:rPr>
          <w:rFonts w:eastAsia="Arial"/>
          <w:color w:val="000000" w:themeColor="text1"/>
        </w:rPr>
        <w:t>and</w:t>
      </w:r>
      <w:r w:rsidR="006D2850" w:rsidRPr="002E1A5F">
        <w:rPr>
          <w:rFonts w:eastAsia="Arial"/>
          <w:color w:val="000000" w:themeColor="text1"/>
        </w:rPr>
        <w:t>,</w:t>
      </w:r>
      <w:r w:rsidR="00AD4A5A" w:rsidRPr="002E1A5F">
        <w:rPr>
          <w:rFonts w:eastAsia="Arial"/>
          <w:color w:val="000000" w:themeColor="text1"/>
        </w:rPr>
        <w:t xml:space="preserve"> </w:t>
      </w:r>
      <w:r w:rsidRPr="002E1A5F">
        <w:rPr>
          <w:rFonts w:eastAsia="Arial"/>
          <w:color w:val="000000" w:themeColor="text1"/>
        </w:rPr>
        <w:t>upon request</w:t>
      </w:r>
      <w:r w:rsidR="00AD4A5A" w:rsidRPr="002E1A5F">
        <w:rPr>
          <w:rFonts w:eastAsia="Arial"/>
          <w:color w:val="000000" w:themeColor="text1"/>
        </w:rPr>
        <w:t xml:space="preserve"> by CEC or DOE</w:t>
      </w:r>
      <w:r w:rsidR="006D2850" w:rsidRPr="002E1A5F">
        <w:rPr>
          <w:rFonts w:eastAsia="Arial"/>
          <w:color w:val="000000" w:themeColor="text1"/>
        </w:rPr>
        <w:t>,</w:t>
      </w:r>
      <w:r w:rsidR="00AD4A5A" w:rsidRPr="002E1A5F">
        <w:rPr>
          <w:rFonts w:eastAsia="Arial"/>
          <w:color w:val="000000" w:themeColor="text1"/>
        </w:rPr>
        <w:t xml:space="preserve"> </w:t>
      </w:r>
      <w:r w:rsidR="00ED6DE3" w:rsidRPr="002E1A5F">
        <w:rPr>
          <w:rFonts w:eastAsia="Arial"/>
        </w:rPr>
        <w:t>provid</w:t>
      </w:r>
      <w:r w:rsidR="0064549F" w:rsidRPr="002E1A5F">
        <w:rPr>
          <w:rFonts w:eastAsia="Arial"/>
        </w:rPr>
        <w:t>e</w:t>
      </w:r>
      <w:r w:rsidR="00ED6DE3" w:rsidRPr="002E1A5F">
        <w:rPr>
          <w:rFonts w:eastAsia="Arial"/>
        </w:rPr>
        <w:t xml:space="preserve"> information for reporting purposes within the timeframe requested. Failure to by Subrecipient to comply with this requirement is a material breach of this Agreement</w:t>
      </w:r>
      <w:r w:rsidRPr="002E1A5F">
        <w:rPr>
          <w:rFonts w:eastAsia="Arial"/>
          <w:color w:val="000000" w:themeColor="text1"/>
        </w:rPr>
        <w:t>.</w:t>
      </w:r>
    </w:p>
    <w:p w14:paraId="26245625" w14:textId="34B775C7" w:rsidR="00525D96" w:rsidRPr="002E1A5F" w:rsidRDefault="00525D96" w:rsidP="0F584CDF">
      <w:pPr>
        <w:jc w:val="both"/>
      </w:pPr>
    </w:p>
    <w:p w14:paraId="415366F5" w14:textId="5B80E3E5" w:rsidR="00CB2CB0" w:rsidRPr="002263C8" w:rsidRDefault="00CB2CB0" w:rsidP="006F30C1">
      <w:pPr>
        <w:pStyle w:val="Heading2"/>
        <w:numPr>
          <w:ilvl w:val="0"/>
          <w:numId w:val="27"/>
        </w:numPr>
        <w:jc w:val="both"/>
        <w:rPr>
          <w:rFonts w:ascii="Arial" w:eastAsia="Times New Roman" w:hAnsi="Arial" w:cs="Arial"/>
          <w:b/>
          <w:bCs/>
          <w:color w:val="auto"/>
          <w:sz w:val="20"/>
          <w:szCs w:val="20"/>
        </w:rPr>
      </w:pPr>
      <w:bookmarkStart w:id="15" w:name="_Toc206158585"/>
      <w:bookmarkStart w:id="16" w:name="_Toc149654098"/>
      <w:r w:rsidRPr="002263C8">
        <w:rPr>
          <w:rFonts w:ascii="Arial" w:eastAsia="Times New Roman" w:hAnsi="Arial" w:cs="Arial"/>
          <w:b/>
          <w:bCs/>
          <w:color w:val="auto"/>
          <w:sz w:val="20"/>
          <w:szCs w:val="20"/>
        </w:rPr>
        <w:t>Stewardship</w:t>
      </w:r>
      <w:bookmarkEnd w:id="15"/>
    </w:p>
    <w:p w14:paraId="5BDE11B4" w14:textId="77777777" w:rsidR="00CB2CB0" w:rsidRPr="002E1A5F" w:rsidRDefault="00CB2CB0" w:rsidP="7A327B2A">
      <w:pPr>
        <w:jc w:val="both"/>
      </w:pPr>
    </w:p>
    <w:p w14:paraId="35A99230" w14:textId="5CDA2783" w:rsidR="00CB2CB0" w:rsidRPr="002E1A5F" w:rsidRDefault="00CB2CB0" w:rsidP="7A327B2A">
      <w:pPr>
        <w:ind w:left="720"/>
        <w:jc w:val="both"/>
      </w:pPr>
      <w:r w:rsidRPr="002E1A5F">
        <w:t xml:space="preserve">The DOE, National Nuclear Security Administration (NNSA) and the CEC will exercise normal stewardship in overseeing the project activities performed under this federal grant agreement. Stewardship Activities include, but are not limited to, conducting site visits; reviewing performance and financial reports; </w:t>
      </w:r>
      <w:proofErr w:type="gramStart"/>
      <w:r w:rsidRPr="002E1A5F">
        <w:t>providing assistance</w:t>
      </w:r>
      <w:proofErr w:type="gramEnd"/>
      <w:r w:rsidRPr="002E1A5F">
        <w:t xml:space="preserve"> and/or temporary intervention in unusual circumstances to correct deficiencies that develop during the project; assuring compliance with terms and conditions; and reviewing technical performance after project completion to ensure that the project objectives have been accomplished.</w:t>
      </w:r>
    </w:p>
    <w:p w14:paraId="04F21725" w14:textId="77777777" w:rsidR="00C0450E" w:rsidRPr="002E1A5F" w:rsidRDefault="00C0450E" w:rsidP="7A327B2A">
      <w:pPr>
        <w:ind w:left="720"/>
        <w:jc w:val="both"/>
      </w:pPr>
    </w:p>
    <w:p w14:paraId="6B4B2C9F" w14:textId="6DDFA5CC" w:rsidR="000F5E5A" w:rsidRPr="002E1A5F" w:rsidRDefault="000F5E5A" w:rsidP="006F30C1">
      <w:pPr>
        <w:pStyle w:val="Heading2"/>
        <w:numPr>
          <w:ilvl w:val="0"/>
          <w:numId w:val="27"/>
        </w:numPr>
        <w:jc w:val="both"/>
        <w:rPr>
          <w:rFonts w:ascii="Arial" w:eastAsia="Times New Roman" w:hAnsi="Arial" w:cs="Arial"/>
          <w:b/>
          <w:bCs/>
          <w:color w:val="auto"/>
          <w:sz w:val="20"/>
          <w:szCs w:val="20"/>
        </w:rPr>
      </w:pPr>
      <w:bookmarkStart w:id="17" w:name="_Toc206158586"/>
      <w:r w:rsidRPr="002E1A5F">
        <w:rPr>
          <w:rFonts w:ascii="Arial" w:eastAsia="Times New Roman" w:hAnsi="Arial" w:cs="Arial"/>
          <w:b/>
          <w:bCs/>
          <w:color w:val="auto"/>
          <w:sz w:val="20"/>
          <w:szCs w:val="20"/>
        </w:rPr>
        <w:t>Site Visits</w:t>
      </w:r>
      <w:bookmarkEnd w:id="17"/>
    </w:p>
    <w:p w14:paraId="1DC634D7" w14:textId="77777777" w:rsidR="000F5E5A" w:rsidRPr="002E1A5F" w:rsidRDefault="000F5E5A" w:rsidP="7A327B2A">
      <w:pPr>
        <w:jc w:val="both"/>
      </w:pPr>
    </w:p>
    <w:p w14:paraId="7E4093D4" w14:textId="5094B65C" w:rsidR="000F5E5A" w:rsidRPr="002E1A5F" w:rsidRDefault="000F5E5A" w:rsidP="7A327B2A">
      <w:pPr>
        <w:ind w:left="720"/>
        <w:jc w:val="both"/>
      </w:pPr>
      <w:r w:rsidRPr="002E1A5F">
        <w:t>The CEC, DOE and NNSA's authorized representatives have the right to make site visits at reasonable times to review project accomplishments and management control systems and to provide technical assistance, if required. The Subrecipient must provide, and must require its lower tier subrecipients to provide, reasonable access to facilities, office space, resources, and assistance for the safety and convenience of the United States Government and CEC representatives in the performance of their duties. All site visits and evaluations must be performed in a manner that does not unduly interfere with or delay the work.</w:t>
      </w:r>
    </w:p>
    <w:p w14:paraId="050FAA0B" w14:textId="77777777" w:rsidR="000F5E5A" w:rsidRPr="002E1A5F" w:rsidRDefault="000F5E5A" w:rsidP="7A327B2A">
      <w:pPr>
        <w:ind w:left="720"/>
        <w:jc w:val="both"/>
      </w:pPr>
    </w:p>
    <w:p w14:paraId="13BC26DB" w14:textId="1A7A924C" w:rsidR="00765F93" w:rsidRPr="002E1A5F" w:rsidRDefault="00765F93" w:rsidP="006F30C1">
      <w:pPr>
        <w:pStyle w:val="Heading2"/>
        <w:numPr>
          <w:ilvl w:val="0"/>
          <w:numId w:val="27"/>
        </w:numPr>
        <w:jc w:val="both"/>
        <w:rPr>
          <w:rFonts w:ascii="Arial" w:eastAsia="Times New Roman" w:hAnsi="Arial" w:cs="Arial"/>
          <w:b/>
          <w:bCs/>
          <w:color w:val="auto"/>
          <w:sz w:val="20"/>
          <w:szCs w:val="20"/>
        </w:rPr>
      </w:pPr>
      <w:bookmarkStart w:id="18" w:name="_Toc206158587"/>
      <w:r w:rsidRPr="002E1A5F">
        <w:rPr>
          <w:rFonts w:ascii="Arial" w:eastAsia="Times New Roman" w:hAnsi="Arial" w:cs="Arial"/>
          <w:b/>
          <w:bCs/>
          <w:color w:val="auto"/>
          <w:sz w:val="20"/>
          <w:szCs w:val="20"/>
        </w:rPr>
        <w:t>Audits</w:t>
      </w:r>
      <w:bookmarkEnd w:id="18"/>
    </w:p>
    <w:p w14:paraId="5C10A1F0" w14:textId="77777777" w:rsidR="00F44AA6" w:rsidRPr="002E1A5F" w:rsidRDefault="00F44AA6" w:rsidP="7A327B2A">
      <w:pPr>
        <w:jc w:val="both"/>
      </w:pPr>
    </w:p>
    <w:p w14:paraId="577A5350" w14:textId="7EADDEAB" w:rsidR="00F44AA6" w:rsidRPr="002E1A5F" w:rsidRDefault="00F44AA6" w:rsidP="00F44AA6">
      <w:pPr>
        <w:pStyle w:val="ListParagraph"/>
        <w:numPr>
          <w:ilvl w:val="0"/>
          <w:numId w:val="12"/>
        </w:numPr>
        <w:ind w:left="1080"/>
        <w:jc w:val="both"/>
        <w:rPr>
          <w:bCs/>
        </w:rPr>
      </w:pPr>
      <w:r w:rsidRPr="002E1A5F">
        <w:t xml:space="preserve">Subrecipient and its lower tier subrecipients, contractors, and subcontractors must provide any information, documents, site access, or other assistance requested by DOE or Federal auditing agencies (e.g., DOE Inspector General, Government Accountability Office) for the purpose of audits and investigations. Such assistance may include, but is not limited to, reasonable access to records of the Subrecipient and its lower tier subrecipients, contractors, and subcontractors relating to this Agreement.  </w:t>
      </w:r>
    </w:p>
    <w:p w14:paraId="0ADB19EE" w14:textId="77777777" w:rsidR="00F44AA6" w:rsidRPr="002E1A5F" w:rsidRDefault="00F44AA6" w:rsidP="00F44AA6">
      <w:pPr>
        <w:pStyle w:val="ListParagraph"/>
        <w:ind w:left="1080"/>
        <w:jc w:val="both"/>
        <w:rPr>
          <w:bCs/>
        </w:rPr>
      </w:pPr>
    </w:p>
    <w:p w14:paraId="127E683A" w14:textId="77777777" w:rsidR="00F44AA6" w:rsidRPr="002E1A5F" w:rsidRDefault="00F44AA6" w:rsidP="00F44AA6">
      <w:pPr>
        <w:pStyle w:val="ListParagraph"/>
        <w:numPr>
          <w:ilvl w:val="0"/>
          <w:numId w:val="12"/>
        </w:numPr>
        <w:ind w:left="1080"/>
        <w:jc w:val="both"/>
        <w:rPr>
          <w:bCs/>
        </w:rPr>
      </w:pPr>
      <w:r w:rsidRPr="002E1A5F">
        <w:t xml:space="preserve">Consistent with 2 CFR part 200 as amended by 2 CFR part 910, DOE may audit the financial records or administrative records of the Subrecipient and its lower tier subrecipients, contractors, and subcontractors relating to this Award at any time. Government-initiated audits are generally paid for by DOE. </w:t>
      </w:r>
    </w:p>
    <w:p w14:paraId="1671255B" w14:textId="77777777" w:rsidR="00F44AA6" w:rsidRPr="002E1A5F" w:rsidRDefault="00F44AA6" w:rsidP="7A327B2A">
      <w:pPr>
        <w:pStyle w:val="ListParagraph"/>
        <w:ind w:left="1080"/>
        <w:jc w:val="both"/>
      </w:pPr>
    </w:p>
    <w:p w14:paraId="0DB2D4F3" w14:textId="77777777" w:rsidR="00F44AA6" w:rsidRPr="002E1A5F" w:rsidRDefault="00F44AA6" w:rsidP="00F44AA6">
      <w:pPr>
        <w:pStyle w:val="ListParagraph"/>
        <w:numPr>
          <w:ilvl w:val="0"/>
          <w:numId w:val="12"/>
        </w:numPr>
        <w:ind w:left="1080"/>
        <w:jc w:val="both"/>
        <w:rPr>
          <w:bCs/>
        </w:rPr>
      </w:pPr>
      <w:r w:rsidRPr="002E1A5F">
        <w:t>DOE may conduct a final audit at the end of the project period (or the termination of the Award, if applicable). Upon completion of the audit, the Subrecipient and its lower tier subrecipients, contractors, and subcontractors are required to refund to DOE any payments for costs that were determined to be unallowable. If the audit has not been performed or completed prior to the closeout of the award, DOE retains the right to recover an appropriate amount after fully considering the recommendations on disallowed costs resulting from the final audit.</w:t>
      </w:r>
    </w:p>
    <w:p w14:paraId="1D426FF2" w14:textId="77777777" w:rsidR="00F44AA6" w:rsidRPr="002E1A5F" w:rsidRDefault="00F44AA6" w:rsidP="7A327B2A">
      <w:pPr>
        <w:jc w:val="both"/>
      </w:pPr>
    </w:p>
    <w:p w14:paraId="23F80892" w14:textId="61474796" w:rsidR="00DD2C98" w:rsidRPr="002E1A5F" w:rsidRDefault="00DD2C98" w:rsidP="006F30C1">
      <w:pPr>
        <w:pStyle w:val="Heading2"/>
        <w:numPr>
          <w:ilvl w:val="0"/>
          <w:numId w:val="27"/>
        </w:numPr>
        <w:jc w:val="both"/>
        <w:rPr>
          <w:rFonts w:ascii="Arial" w:eastAsia="Times New Roman" w:hAnsi="Arial" w:cs="Arial"/>
          <w:b/>
          <w:bCs/>
          <w:color w:val="auto"/>
          <w:sz w:val="20"/>
          <w:szCs w:val="20"/>
        </w:rPr>
      </w:pPr>
      <w:bookmarkStart w:id="19" w:name="_Toc206158588"/>
      <w:r w:rsidRPr="002E1A5F">
        <w:rPr>
          <w:rFonts w:ascii="Arial" w:eastAsia="Times New Roman" w:hAnsi="Arial" w:cs="Arial"/>
          <w:b/>
          <w:bCs/>
          <w:color w:val="auto"/>
          <w:sz w:val="20"/>
          <w:szCs w:val="20"/>
        </w:rPr>
        <w:t>Refund Obligation</w:t>
      </w:r>
      <w:bookmarkEnd w:id="19"/>
    </w:p>
    <w:p w14:paraId="66F8E505" w14:textId="77777777" w:rsidR="00DD2C98" w:rsidRPr="002E1A5F" w:rsidRDefault="00DD2C98" w:rsidP="7A327B2A">
      <w:pPr>
        <w:jc w:val="both"/>
      </w:pPr>
    </w:p>
    <w:p w14:paraId="4C4AE4FC" w14:textId="6FDD8E66" w:rsidR="00DD2C98" w:rsidRPr="002E1A5F" w:rsidRDefault="00DD2C98" w:rsidP="7A327B2A">
      <w:pPr>
        <w:ind w:left="720"/>
        <w:jc w:val="both"/>
      </w:pPr>
      <w:r w:rsidRPr="002E1A5F">
        <w:t xml:space="preserve">Subrecipient must refund any excess </w:t>
      </w:r>
      <w:proofErr w:type="gramStart"/>
      <w:r w:rsidRPr="002E1A5F">
        <w:t>payments,</w:t>
      </w:r>
      <w:proofErr w:type="gramEnd"/>
      <w:r w:rsidRPr="002E1A5F">
        <w:t xml:space="preserve"> received from CEC, including any interest.</w:t>
      </w:r>
    </w:p>
    <w:p w14:paraId="70805E68" w14:textId="77777777" w:rsidR="00DD2C98" w:rsidRPr="002E1A5F" w:rsidRDefault="00DD2C98" w:rsidP="7A327B2A">
      <w:pPr>
        <w:ind w:left="720"/>
        <w:jc w:val="both"/>
      </w:pPr>
    </w:p>
    <w:p w14:paraId="3682F393" w14:textId="521E050D" w:rsidR="00F8492C" w:rsidRPr="002E1A5F" w:rsidRDefault="00F8492C" w:rsidP="006F30C1">
      <w:pPr>
        <w:pStyle w:val="Heading2"/>
        <w:numPr>
          <w:ilvl w:val="0"/>
          <w:numId w:val="27"/>
        </w:numPr>
        <w:jc w:val="both"/>
        <w:rPr>
          <w:rFonts w:ascii="Arial" w:eastAsia="Times New Roman" w:hAnsi="Arial" w:cs="Arial"/>
          <w:b/>
          <w:bCs/>
          <w:color w:val="auto"/>
          <w:sz w:val="20"/>
          <w:szCs w:val="20"/>
        </w:rPr>
      </w:pPr>
      <w:bookmarkStart w:id="20" w:name="_Toc206158589"/>
      <w:r w:rsidRPr="002E1A5F">
        <w:rPr>
          <w:rFonts w:ascii="Arial" w:eastAsia="Times New Roman" w:hAnsi="Arial" w:cs="Arial"/>
          <w:b/>
          <w:bCs/>
          <w:color w:val="auto"/>
          <w:sz w:val="20"/>
          <w:szCs w:val="20"/>
        </w:rPr>
        <w:t>Foreign Travel</w:t>
      </w:r>
      <w:bookmarkEnd w:id="20"/>
    </w:p>
    <w:p w14:paraId="220BFB8E" w14:textId="77777777" w:rsidR="00F8492C" w:rsidRPr="002E1A5F" w:rsidRDefault="00F8492C" w:rsidP="7A327B2A">
      <w:pPr>
        <w:jc w:val="both"/>
      </w:pPr>
    </w:p>
    <w:p w14:paraId="280404BB" w14:textId="76CB8ECC" w:rsidR="00F8492C" w:rsidRPr="002E1A5F" w:rsidRDefault="00096B16" w:rsidP="7A327B2A">
      <w:pPr>
        <w:ind w:left="720"/>
        <w:jc w:val="both"/>
      </w:pPr>
      <w:r w:rsidRPr="002E1A5F">
        <w:t>Foreign travel and associated costs are not allowable under this Program.</w:t>
      </w:r>
    </w:p>
    <w:p w14:paraId="63A1870C" w14:textId="77777777" w:rsidR="00F8492C" w:rsidRPr="002E1A5F" w:rsidRDefault="00F8492C" w:rsidP="7A327B2A">
      <w:pPr>
        <w:jc w:val="both"/>
      </w:pPr>
    </w:p>
    <w:p w14:paraId="6BC38D97" w14:textId="63A11A83" w:rsidR="007D54DD" w:rsidRPr="002E1A5F" w:rsidRDefault="00197F9C" w:rsidP="006F30C1">
      <w:pPr>
        <w:pStyle w:val="Heading2"/>
        <w:numPr>
          <w:ilvl w:val="0"/>
          <w:numId w:val="27"/>
        </w:numPr>
        <w:jc w:val="both"/>
        <w:rPr>
          <w:rFonts w:ascii="Arial" w:eastAsia="Times New Roman" w:hAnsi="Arial" w:cs="Arial"/>
          <w:b/>
          <w:bCs/>
          <w:color w:val="auto"/>
          <w:sz w:val="20"/>
          <w:szCs w:val="20"/>
        </w:rPr>
      </w:pPr>
      <w:bookmarkStart w:id="21" w:name="_Toc206158590"/>
      <w:r w:rsidRPr="002E1A5F">
        <w:rPr>
          <w:rFonts w:ascii="Arial" w:eastAsia="Times New Roman" w:hAnsi="Arial" w:cs="Arial"/>
          <w:b/>
          <w:bCs/>
          <w:color w:val="auto"/>
          <w:sz w:val="20"/>
          <w:szCs w:val="20"/>
        </w:rPr>
        <w:t>Program Income</w:t>
      </w:r>
      <w:bookmarkEnd w:id="21"/>
    </w:p>
    <w:p w14:paraId="7470B7D5" w14:textId="77777777" w:rsidR="00931421" w:rsidRPr="002E1A5F" w:rsidRDefault="00931421" w:rsidP="7A327B2A">
      <w:pPr>
        <w:jc w:val="both"/>
      </w:pPr>
    </w:p>
    <w:p w14:paraId="7463215E" w14:textId="54497B5B" w:rsidR="00931421" w:rsidRPr="002E1A5F" w:rsidRDefault="00931421" w:rsidP="7A327B2A">
      <w:pPr>
        <w:ind w:left="720"/>
        <w:jc w:val="both"/>
      </w:pPr>
      <w:r w:rsidRPr="002E1A5F">
        <w:t xml:space="preserve">If </w:t>
      </w:r>
      <w:r w:rsidR="00BD4DEA" w:rsidRPr="002E1A5F">
        <w:t xml:space="preserve">the Subrecipient </w:t>
      </w:r>
      <w:r w:rsidRPr="002E1A5F">
        <w:t>earn</w:t>
      </w:r>
      <w:r w:rsidR="00BD4DEA" w:rsidRPr="002E1A5F">
        <w:t>s</w:t>
      </w:r>
      <w:r w:rsidRPr="002E1A5F">
        <w:t xml:space="preserve"> program income during the project period </w:t>
      </w:r>
      <w:proofErr w:type="gramStart"/>
      <w:r w:rsidRPr="002E1A5F">
        <w:t>as a result of</w:t>
      </w:r>
      <w:proofErr w:type="gramEnd"/>
      <w:r w:rsidRPr="002E1A5F">
        <w:t xml:space="preserve"> this </w:t>
      </w:r>
      <w:r w:rsidR="002B1835" w:rsidRPr="002E1A5F">
        <w:t>Agreement</w:t>
      </w:r>
      <w:r w:rsidRPr="002E1A5F">
        <w:t xml:space="preserve">, </w:t>
      </w:r>
      <w:r w:rsidR="002B1835" w:rsidRPr="002E1A5F">
        <w:t xml:space="preserve">Subrecipient </w:t>
      </w:r>
      <w:r w:rsidR="00E3604F" w:rsidRPr="002E1A5F">
        <w:t xml:space="preserve">must </w:t>
      </w:r>
      <w:r w:rsidRPr="002E1A5F">
        <w:t>add the program income to the</w:t>
      </w:r>
      <w:r w:rsidR="00E3604F" w:rsidRPr="002E1A5F">
        <w:t xml:space="preserve"> </w:t>
      </w:r>
      <w:r w:rsidRPr="002E1A5F">
        <w:t xml:space="preserve">funds committed to </w:t>
      </w:r>
      <w:r w:rsidR="00E3604F" w:rsidRPr="002E1A5F">
        <w:t>this Agreement</w:t>
      </w:r>
      <w:r w:rsidRPr="002E1A5F">
        <w:t xml:space="preserve"> and use it to further eligible project objectives.</w:t>
      </w:r>
    </w:p>
    <w:p w14:paraId="6BDC3E27" w14:textId="77777777" w:rsidR="00077FC5" w:rsidRPr="002E1A5F" w:rsidRDefault="00077FC5" w:rsidP="7A327B2A">
      <w:pPr>
        <w:ind w:left="720"/>
        <w:jc w:val="both"/>
      </w:pPr>
    </w:p>
    <w:p w14:paraId="540F3C53" w14:textId="07232352" w:rsidR="001D46E7" w:rsidRPr="002E1A5F" w:rsidRDefault="001D46E7" w:rsidP="001D46E7">
      <w:pPr>
        <w:pStyle w:val="Heading2"/>
        <w:numPr>
          <w:ilvl w:val="0"/>
          <w:numId w:val="27"/>
        </w:numPr>
        <w:jc w:val="both"/>
        <w:rPr>
          <w:rFonts w:ascii="Arial" w:hAnsi="Arial" w:cs="Arial"/>
          <w:b/>
          <w:bCs/>
          <w:color w:val="auto"/>
          <w:sz w:val="20"/>
          <w:szCs w:val="20"/>
        </w:rPr>
      </w:pPr>
      <w:bookmarkStart w:id="22" w:name="_Toc149654101"/>
      <w:bookmarkStart w:id="23" w:name="_Toc206158591"/>
      <w:r w:rsidRPr="002E1A5F">
        <w:rPr>
          <w:rStyle w:val="Heading2Char"/>
          <w:rFonts w:ascii="Arial" w:hAnsi="Arial" w:cs="Arial"/>
          <w:b/>
          <w:bCs/>
          <w:color w:val="auto"/>
          <w:sz w:val="20"/>
          <w:szCs w:val="20"/>
        </w:rPr>
        <w:t>National Environmental Policy Act (NEPA)</w:t>
      </w:r>
      <w:bookmarkEnd w:id="22"/>
      <w:bookmarkEnd w:id="23"/>
    </w:p>
    <w:p w14:paraId="678A17CA" w14:textId="77777777" w:rsidR="001D46E7" w:rsidRPr="002E1A5F" w:rsidRDefault="001D46E7" w:rsidP="001D46E7">
      <w:pPr>
        <w:pStyle w:val="ListParagraph"/>
        <w:jc w:val="both"/>
      </w:pPr>
    </w:p>
    <w:p w14:paraId="37BF7FD8" w14:textId="1C318FBD" w:rsidR="001D46E7" w:rsidRPr="002E1A5F" w:rsidRDefault="001D46E7" w:rsidP="001D46E7">
      <w:pPr>
        <w:pStyle w:val="ListParagraph"/>
        <w:numPr>
          <w:ilvl w:val="1"/>
          <w:numId w:val="27"/>
        </w:numPr>
        <w:ind w:left="1080"/>
        <w:jc w:val="both"/>
      </w:pPr>
      <w:r w:rsidRPr="002E1A5F">
        <w:t xml:space="preserve">DOE’s decision whether and how to distribute federal funds under this Award is subject to the National Environmental Policy Act (NEPA) (42 U.S.C. 4321, et seq.). NEPA requires federal agencies to integrate environmental values into their decision-making processes by considering the potential environmental impacts of their proposed actions. For additional background on NEPA, please see </w:t>
      </w:r>
      <w:hyperlink r:id="rId17" w:history="1">
        <w:r w:rsidRPr="001A139A">
          <w:rPr>
            <w:rStyle w:val="Hyperlink"/>
          </w:rPr>
          <w:t>DOE’s NEPA website</w:t>
        </w:r>
      </w:hyperlink>
      <w:r w:rsidRPr="002E1A5F">
        <w:t xml:space="preserve">, located at </w:t>
      </w:r>
      <w:r w:rsidRPr="001A139A">
        <w:t>http://nepa.energy.gov/</w:t>
      </w:r>
      <w:r w:rsidRPr="002E1A5F">
        <w:t xml:space="preserve">. </w:t>
      </w:r>
    </w:p>
    <w:p w14:paraId="489844AE" w14:textId="77777777" w:rsidR="001D46E7" w:rsidRPr="002E1A5F" w:rsidRDefault="001D46E7" w:rsidP="001D46E7">
      <w:pPr>
        <w:pStyle w:val="ListParagraph"/>
        <w:ind w:left="1080"/>
        <w:jc w:val="both"/>
      </w:pPr>
    </w:p>
    <w:p w14:paraId="148F9E6E" w14:textId="1F776556" w:rsidR="001D46E7" w:rsidRPr="002E1A5F" w:rsidRDefault="001D46E7" w:rsidP="00483AA3">
      <w:pPr>
        <w:pStyle w:val="ListParagraph"/>
        <w:numPr>
          <w:ilvl w:val="1"/>
          <w:numId w:val="27"/>
        </w:numPr>
        <w:ind w:left="1080"/>
        <w:jc w:val="both"/>
      </w:pPr>
      <w:r w:rsidRPr="002E1A5F">
        <w:t>The Subrecipient will be required to submit an environmental questionnaire (NETL Form 451.1-1/3) for each of its proposed work locations</w:t>
      </w:r>
      <w:r>
        <w:t>.</w:t>
      </w:r>
      <w:r w:rsidRPr="002E1A5F">
        <w:t xml:space="preserve"> A NEPA representative will review these documents and any other pertinent information to determine the likely level of NEPA documentation required for qualified projects. Computer modeling, data analysis and classroom training are examples of actions typically covered by NEPA categorical exclusions (CX’s). If any projects are likely to require an environmental assessment (EA) or environmental impact statement (EIS), the NEPA representative will provide further documentation.</w:t>
      </w:r>
      <w:r w:rsidR="00072A2F" w:rsidRPr="002E1A5F">
        <w:t xml:space="preserve"> </w:t>
      </w:r>
    </w:p>
    <w:p w14:paraId="64BDA5EB" w14:textId="77777777" w:rsidR="001D46E7" w:rsidRPr="002E1A5F" w:rsidRDefault="001D46E7" w:rsidP="001D46E7">
      <w:pPr>
        <w:pStyle w:val="ListParagraph"/>
        <w:ind w:left="1080"/>
        <w:jc w:val="both"/>
      </w:pPr>
    </w:p>
    <w:p w14:paraId="5A931EE8" w14:textId="6AAC16A6" w:rsidR="001D46E7" w:rsidRPr="002E1A5F" w:rsidRDefault="001D46E7" w:rsidP="001D46E7">
      <w:pPr>
        <w:pStyle w:val="ListParagraph"/>
        <w:numPr>
          <w:ilvl w:val="1"/>
          <w:numId w:val="27"/>
        </w:numPr>
        <w:ind w:left="1080"/>
        <w:jc w:val="both"/>
      </w:pPr>
      <w:r w:rsidRPr="002E1A5F">
        <w:t>While NEPA compliance is a federal agency responsibility and the ultimate decisions remain with the federal agency, the Subrecipient</w:t>
      </w:r>
      <w:r w:rsidRPr="002E1A5F" w:rsidDel="5E17FBA2">
        <w:t xml:space="preserve"> </w:t>
      </w:r>
      <w:r w:rsidRPr="002E1A5F">
        <w:t xml:space="preserve">will be required to assist in the timely and effective completion of the NEPA process in the manner most pertinent to their proposed project. If CEC or DOE determines certain records must be prepared to complete the NEPA review process (e.g., biological evaluations or environmental assessments), the Subrecipient may be required to prepare the records and the costs to prepare the necessary records may be included as part of the project costs. As required, Subrecipient must provide to CEC, which will in turn provide to </w:t>
      </w:r>
      <w:proofErr w:type="gramStart"/>
      <w:r w:rsidRPr="002E1A5F">
        <w:t>DOE,</w:t>
      </w:r>
      <w:proofErr w:type="gramEnd"/>
      <w:r w:rsidRPr="002E1A5F">
        <w:t xml:space="preserve"> documentation necessary for NEPA compliance.</w:t>
      </w:r>
    </w:p>
    <w:p w14:paraId="25FE9905" w14:textId="77777777" w:rsidR="00132901" w:rsidRPr="002E1A5F" w:rsidRDefault="00132901" w:rsidP="7A327B2A">
      <w:pPr>
        <w:pStyle w:val="ListParagraph"/>
        <w:jc w:val="both"/>
      </w:pPr>
    </w:p>
    <w:p w14:paraId="52587147" w14:textId="2B9FADDD" w:rsidR="00132901" w:rsidRPr="002E1A5F" w:rsidRDefault="00940294" w:rsidP="001D46E7">
      <w:pPr>
        <w:pStyle w:val="ListParagraph"/>
        <w:numPr>
          <w:ilvl w:val="1"/>
          <w:numId w:val="27"/>
        </w:numPr>
        <w:ind w:left="1080"/>
        <w:jc w:val="both"/>
      </w:pPr>
      <w:r w:rsidRPr="002E1A5F">
        <w:t>Should the Subrecipient elect to undertake activities prior to authorization from the DOE, the Subrecipient does so at risk and such costs may not be authorized and recognized as allowable cost.</w:t>
      </w:r>
    </w:p>
    <w:p w14:paraId="591591C2" w14:textId="77777777" w:rsidR="001D46E7" w:rsidRPr="002E1A5F" w:rsidRDefault="001D46E7" w:rsidP="001D46E7">
      <w:pPr>
        <w:jc w:val="both"/>
        <w:rPr>
          <w:rFonts w:eastAsiaTheme="majorEastAsia"/>
        </w:rPr>
      </w:pPr>
    </w:p>
    <w:p w14:paraId="59F8E877" w14:textId="1F081691" w:rsidR="00D668FB" w:rsidRPr="00037CD5" w:rsidRDefault="00D668FB" w:rsidP="006F30C1">
      <w:pPr>
        <w:pStyle w:val="Heading2"/>
        <w:numPr>
          <w:ilvl w:val="0"/>
          <w:numId w:val="27"/>
        </w:numPr>
        <w:jc w:val="both"/>
        <w:rPr>
          <w:rFonts w:ascii="Arial" w:eastAsia="Times New Roman" w:hAnsi="Arial" w:cs="Arial"/>
          <w:b/>
          <w:color w:val="auto"/>
          <w:sz w:val="20"/>
          <w:szCs w:val="20"/>
        </w:rPr>
      </w:pPr>
      <w:bookmarkStart w:id="24" w:name="_Toc206158592"/>
      <w:r w:rsidRPr="7A327B2A">
        <w:rPr>
          <w:rFonts w:ascii="Arial" w:eastAsia="Times New Roman" w:hAnsi="Arial" w:cs="Arial"/>
          <w:b/>
          <w:color w:val="auto"/>
          <w:sz w:val="20"/>
          <w:szCs w:val="20"/>
        </w:rPr>
        <w:t>Historic Preservation</w:t>
      </w:r>
      <w:bookmarkEnd w:id="24"/>
    </w:p>
    <w:p w14:paraId="1673DD41" w14:textId="77777777" w:rsidR="00D668FB" w:rsidRPr="00037CD5" w:rsidRDefault="00D668FB" w:rsidP="7A327B2A">
      <w:pPr>
        <w:jc w:val="both"/>
      </w:pPr>
    </w:p>
    <w:p w14:paraId="0CA30545" w14:textId="3261B2D0" w:rsidR="00D668FB" w:rsidRPr="00037CD5" w:rsidRDefault="00D668FB" w:rsidP="7A327B2A">
      <w:pPr>
        <w:ind w:left="720"/>
        <w:jc w:val="both"/>
      </w:pPr>
      <w:r w:rsidRPr="7A327B2A">
        <w:t>[Reserved</w:t>
      </w:r>
      <w:r w:rsidR="005E2F32" w:rsidRPr="7A327B2A">
        <w:t xml:space="preserve"> for now – delete if not needed</w:t>
      </w:r>
      <w:r w:rsidRPr="7A327B2A">
        <w:t>]</w:t>
      </w:r>
    </w:p>
    <w:p w14:paraId="3B81665E" w14:textId="77777777" w:rsidR="00D668FB" w:rsidRPr="002E1A5F" w:rsidRDefault="00D668FB" w:rsidP="7A327B2A">
      <w:pPr>
        <w:ind w:left="720"/>
        <w:jc w:val="both"/>
      </w:pPr>
    </w:p>
    <w:p w14:paraId="505B39AB" w14:textId="7BA52EC8" w:rsidR="00FE21AC" w:rsidRPr="002E1A5F" w:rsidRDefault="00FE21AC" w:rsidP="006F30C1">
      <w:pPr>
        <w:pStyle w:val="Heading2"/>
        <w:numPr>
          <w:ilvl w:val="0"/>
          <w:numId w:val="27"/>
        </w:numPr>
        <w:jc w:val="both"/>
        <w:rPr>
          <w:rFonts w:ascii="Arial" w:eastAsia="Times New Roman" w:hAnsi="Arial" w:cs="Arial"/>
          <w:b/>
          <w:bCs/>
          <w:color w:val="auto"/>
          <w:sz w:val="20"/>
          <w:szCs w:val="20"/>
        </w:rPr>
      </w:pPr>
      <w:bookmarkStart w:id="25" w:name="_Toc206158593"/>
      <w:r w:rsidRPr="002E1A5F">
        <w:rPr>
          <w:rFonts w:ascii="Arial" w:eastAsia="Times New Roman" w:hAnsi="Arial" w:cs="Arial"/>
          <w:b/>
          <w:bCs/>
          <w:color w:val="auto"/>
          <w:sz w:val="20"/>
          <w:szCs w:val="20"/>
        </w:rPr>
        <w:t>Intellectual Property</w:t>
      </w:r>
      <w:bookmarkEnd w:id="25"/>
    </w:p>
    <w:p w14:paraId="2152B7EB" w14:textId="77777777" w:rsidR="00FE21AC" w:rsidRPr="002E1A5F" w:rsidRDefault="00FE21AC" w:rsidP="7A327B2A">
      <w:pPr>
        <w:jc w:val="both"/>
      </w:pPr>
    </w:p>
    <w:p w14:paraId="390FE812" w14:textId="4162359B" w:rsidR="00FE21AC" w:rsidRPr="002E1A5F" w:rsidRDefault="00117F2F" w:rsidP="7A327B2A">
      <w:pPr>
        <w:pStyle w:val="ListParagraph"/>
        <w:numPr>
          <w:ilvl w:val="1"/>
          <w:numId w:val="27"/>
        </w:numPr>
        <w:ind w:left="1080"/>
        <w:jc w:val="both"/>
      </w:pPr>
      <w:r w:rsidRPr="002E1A5F">
        <w:t>Intellectual property rights are subject to 2 CFR 200.315 (e.g. institution of higher</w:t>
      </w:r>
      <w:r w:rsidR="00B77A89" w:rsidRPr="002E1A5F">
        <w:t xml:space="preserve"> </w:t>
      </w:r>
      <w:r w:rsidRPr="002E1A5F">
        <w:t>education or nonprofit organizations) or 2 CFR 910.362 (e.g., for-profit).</w:t>
      </w:r>
    </w:p>
    <w:p w14:paraId="1FA3293B" w14:textId="77777777" w:rsidR="00B77A89" w:rsidRPr="002E1A5F" w:rsidRDefault="00B77A89" w:rsidP="7A327B2A">
      <w:pPr>
        <w:ind w:left="1080"/>
        <w:jc w:val="both"/>
      </w:pPr>
    </w:p>
    <w:p w14:paraId="06E43860" w14:textId="78810020" w:rsidR="00E73690" w:rsidRPr="00037CD5" w:rsidRDefault="00B77A89" w:rsidP="7A327B2A">
      <w:pPr>
        <w:pStyle w:val="ListParagraph"/>
        <w:numPr>
          <w:ilvl w:val="1"/>
          <w:numId w:val="27"/>
        </w:numPr>
        <w:ind w:left="1080"/>
        <w:jc w:val="both"/>
      </w:pPr>
      <w:r w:rsidRPr="002E1A5F">
        <w:t>Rights in Technical Data: Normally, the government has unlimited rights in technical data created under a DOE agreement. Delivery or third-party licensing of proprietary software or data developed solely at private expense will not normally be required except as specifically negotiated in a particular agreement to satisfy DOE's own needs or to ensure the commercialization of technology developed under a DOE agreement.</w:t>
      </w:r>
    </w:p>
    <w:p w14:paraId="49EFDB60" w14:textId="3C49B849" w:rsidR="00E91DC3" w:rsidRPr="002E1A5F" w:rsidRDefault="00E91DC3" w:rsidP="7A327B2A">
      <w:pPr>
        <w:jc w:val="both"/>
      </w:pPr>
    </w:p>
    <w:p w14:paraId="0AA79B3B" w14:textId="27AB36EE" w:rsidR="006B3C03" w:rsidRPr="002E1A5F" w:rsidRDefault="00ED7EC6" w:rsidP="006F30C1">
      <w:pPr>
        <w:pStyle w:val="Heading2"/>
        <w:numPr>
          <w:ilvl w:val="0"/>
          <w:numId w:val="27"/>
        </w:numPr>
        <w:jc w:val="both"/>
        <w:rPr>
          <w:rFonts w:ascii="Arial" w:eastAsia="Times New Roman" w:hAnsi="Arial" w:cs="Arial"/>
          <w:b/>
          <w:bCs/>
          <w:color w:val="auto"/>
          <w:sz w:val="20"/>
          <w:szCs w:val="20"/>
        </w:rPr>
      </w:pPr>
      <w:bookmarkStart w:id="26" w:name="_Toc206158594"/>
      <w:r w:rsidRPr="002E1A5F">
        <w:rPr>
          <w:rFonts w:ascii="Arial" w:eastAsia="Times New Roman" w:hAnsi="Arial" w:cs="Arial"/>
          <w:b/>
          <w:bCs/>
          <w:color w:val="auto"/>
          <w:sz w:val="20"/>
          <w:szCs w:val="20"/>
        </w:rPr>
        <w:lastRenderedPageBreak/>
        <w:t>Post</w:t>
      </w:r>
      <w:r w:rsidR="00B602B1" w:rsidRPr="002E1A5F">
        <w:rPr>
          <w:rFonts w:ascii="Arial" w:eastAsia="Times New Roman" w:hAnsi="Arial" w:cs="Arial"/>
          <w:b/>
          <w:bCs/>
          <w:color w:val="auto"/>
          <w:sz w:val="20"/>
          <w:szCs w:val="20"/>
        </w:rPr>
        <w:t>-A</w:t>
      </w:r>
      <w:r w:rsidRPr="002E1A5F">
        <w:rPr>
          <w:rFonts w:ascii="Arial" w:eastAsia="Times New Roman" w:hAnsi="Arial" w:cs="Arial"/>
          <w:b/>
          <w:bCs/>
          <w:color w:val="auto"/>
          <w:sz w:val="20"/>
          <w:szCs w:val="20"/>
        </w:rPr>
        <w:t xml:space="preserve">ward Due Diligence </w:t>
      </w:r>
      <w:r w:rsidR="00B602B1" w:rsidRPr="002E1A5F">
        <w:rPr>
          <w:rFonts w:ascii="Arial" w:eastAsia="Times New Roman" w:hAnsi="Arial" w:cs="Arial"/>
          <w:b/>
          <w:bCs/>
          <w:color w:val="auto"/>
          <w:sz w:val="20"/>
          <w:szCs w:val="20"/>
        </w:rPr>
        <w:t>Review</w:t>
      </w:r>
      <w:bookmarkEnd w:id="26"/>
    </w:p>
    <w:p w14:paraId="283FC579" w14:textId="77777777" w:rsidR="00B602B1" w:rsidRPr="002E1A5F" w:rsidRDefault="00B602B1" w:rsidP="7A327B2A">
      <w:pPr>
        <w:jc w:val="both"/>
      </w:pPr>
    </w:p>
    <w:p w14:paraId="54BE59FB" w14:textId="6BE10DFD" w:rsidR="00B602B1" w:rsidRPr="002D43BB" w:rsidRDefault="00B602B1" w:rsidP="7A327B2A">
      <w:pPr>
        <w:ind w:left="720"/>
        <w:jc w:val="both"/>
      </w:pPr>
      <w:r w:rsidRPr="002E1A5F">
        <w:t xml:space="preserve">During the </w:t>
      </w:r>
      <w:r w:rsidR="008D3964">
        <w:t>period of performance</w:t>
      </w:r>
      <w:r w:rsidRPr="002E1A5F">
        <w:t xml:space="preserve">, DOE may conduct ongoing due diligence reviews, through United States Government resources, to identify potential risks of undue foreign influence. In the event a risk is identified, DOE may require risk mitigation measures, including but not limited to, requiring an individual or entity not </w:t>
      </w:r>
      <w:proofErr w:type="gramStart"/>
      <w:r w:rsidRPr="002E1A5F">
        <w:t>participate</w:t>
      </w:r>
      <w:proofErr w:type="gramEnd"/>
      <w:r w:rsidRPr="002E1A5F">
        <w:t xml:space="preserve"> in the Award.</w:t>
      </w:r>
      <w:r w:rsidR="002D43BB">
        <w:t xml:space="preserve"> </w:t>
      </w:r>
      <w:r w:rsidR="002D43BB" w:rsidRPr="00845BD1">
        <w:t>As part of the research, technology, and economic security risk review, DOE ma</w:t>
      </w:r>
      <w:r w:rsidR="002D43BB">
        <w:t>y</w:t>
      </w:r>
      <w:r w:rsidR="002D43BB" w:rsidRPr="00845BD1">
        <w:t xml:space="preserve"> contac</w:t>
      </w:r>
      <w:r w:rsidR="002D43BB">
        <w:t>t</w:t>
      </w:r>
      <w:r w:rsidR="002D43BB" w:rsidRPr="00845BD1">
        <w:t xml:space="preserve"> the </w:t>
      </w:r>
      <w:r w:rsidR="00B42C23">
        <w:t>Subr</w:t>
      </w:r>
      <w:r w:rsidR="002D43BB" w:rsidRPr="00845BD1">
        <w:t>ecipient project team members</w:t>
      </w:r>
      <w:r w:rsidR="002D43BB">
        <w:t>, directly or through the CEC,</w:t>
      </w:r>
      <w:r w:rsidR="002D43BB" w:rsidRPr="00845BD1">
        <w:t xml:space="preserve"> for additional information to inform the review.</w:t>
      </w:r>
    </w:p>
    <w:p w14:paraId="0BACAB5A" w14:textId="77777777" w:rsidR="00B602B1" w:rsidRPr="002E1A5F" w:rsidRDefault="00B602B1" w:rsidP="7A327B2A">
      <w:pPr>
        <w:ind w:left="720"/>
        <w:jc w:val="both"/>
      </w:pPr>
    </w:p>
    <w:p w14:paraId="24BF26E1" w14:textId="4934EB23" w:rsidR="006B3C03" w:rsidRPr="002E1A5F" w:rsidRDefault="004E77BA" w:rsidP="006F30C1">
      <w:pPr>
        <w:pStyle w:val="Heading2"/>
        <w:numPr>
          <w:ilvl w:val="0"/>
          <w:numId w:val="27"/>
        </w:numPr>
        <w:jc w:val="both"/>
        <w:rPr>
          <w:rFonts w:ascii="Arial" w:hAnsi="Arial" w:cs="Arial"/>
          <w:b/>
          <w:bCs/>
          <w:color w:val="auto"/>
          <w:sz w:val="20"/>
          <w:szCs w:val="20"/>
        </w:rPr>
      </w:pPr>
      <w:bookmarkStart w:id="27" w:name="_Toc206158595"/>
      <w:bookmarkStart w:id="28" w:name="_Toc149654100"/>
      <w:bookmarkEnd w:id="16"/>
      <w:r w:rsidRPr="002E1A5F">
        <w:rPr>
          <w:rFonts w:ascii="Arial" w:hAnsi="Arial" w:cs="Arial"/>
          <w:b/>
          <w:bCs/>
          <w:color w:val="auto"/>
          <w:sz w:val="20"/>
          <w:szCs w:val="20"/>
        </w:rPr>
        <w:t>Construction</w:t>
      </w:r>
      <w:bookmarkEnd w:id="27"/>
    </w:p>
    <w:p w14:paraId="2679A3DF" w14:textId="77777777" w:rsidR="00CE0930" w:rsidRPr="002E1A5F" w:rsidRDefault="00CE0930" w:rsidP="7A327B2A">
      <w:pPr>
        <w:jc w:val="both"/>
      </w:pPr>
    </w:p>
    <w:p w14:paraId="092784DD" w14:textId="24DDE370" w:rsidR="00CE0930" w:rsidRPr="002E1A5F" w:rsidRDefault="008D3964" w:rsidP="7A327B2A">
      <w:pPr>
        <w:ind w:left="720"/>
        <w:jc w:val="both"/>
      </w:pPr>
      <w:r>
        <w:t xml:space="preserve">The </w:t>
      </w:r>
      <w:r w:rsidR="00CE0930" w:rsidRPr="002E1A5F">
        <w:t>Subrecipient must obtain written authorization from CEC and the DOE Contracting Officer before incurring any major construction costs.</w:t>
      </w:r>
    </w:p>
    <w:p w14:paraId="484B1B5A" w14:textId="77777777" w:rsidR="00CE0930" w:rsidRPr="002E1A5F" w:rsidRDefault="00CE0930" w:rsidP="7A327B2A">
      <w:pPr>
        <w:jc w:val="both"/>
      </w:pPr>
    </w:p>
    <w:p w14:paraId="2861AFFC" w14:textId="77777777" w:rsidR="00E97DC8" w:rsidRPr="00E97DC8" w:rsidRDefault="00E97DC8" w:rsidP="00E97DC8">
      <w:pPr>
        <w:pStyle w:val="ListParagraph"/>
        <w:numPr>
          <w:ilvl w:val="0"/>
          <w:numId w:val="27"/>
        </w:numPr>
        <w:jc w:val="both"/>
        <w:rPr>
          <w:b/>
        </w:rPr>
      </w:pPr>
      <w:r w:rsidRPr="00E97DC8">
        <w:rPr>
          <w:b/>
        </w:rPr>
        <w:t xml:space="preserve">Construction Signage </w:t>
      </w:r>
    </w:p>
    <w:p w14:paraId="46A91E67" w14:textId="77777777" w:rsidR="00E97DC8" w:rsidRPr="006C63CE" w:rsidRDefault="00E97DC8" w:rsidP="00E97DC8">
      <w:pPr>
        <w:pStyle w:val="ListParagraph"/>
        <w:jc w:val="both"/>
        <w:rPr>
          <w:b/>
        </w:rPr>
      </w:pPr>
    </w:p>
    <w:p w14:paraId="610036AC" w14:textId="77777777" w:rsidR="00E97DC8" w:rsidRPr="00845BD1" w:rsidRDefault="00E97DC8" w:rsidP="00845BD1">
      <w:pPr>
        <w:pStyle w:val="ListParagraph"/>
      </w:pPr>
      <w:r w:rsidRPr="00845BD1">
        <w:t xml:space="preserve">The Subrecipient is encouraged to display DOE Investing in America signage during and after construction. Guidance can be found at: https://www.energy.gov/design Proposed signage costs that meet these specifications are an allowable cost and may be included in the proposed project budget. </w:t>
      </w:r>
    </w:p>
    <w:p w14:paraId="4A885AE7" w14:textId="77777777" w:rsidR="00E97DC8" w:rsidRDefault="00E97DC8" w:rsidP="00845BD1">
      <w:pPr>
        <w:pStyle w:val="Heading2"/>
        <w:ind w:left="720"/>
        <w:jc w:val="both"/>
        <w:rPr>
          <w:rFonts w:ascii="Arial" w:hAnsi="Arial" w:cs="Arial"/>
          <w:b/>
          <w:bCs/>
          <w:color w:val="auto"/>
          <w:sz w:val="20"/>
          <w:szCs w:val="20"/>
        </w:rPr>
      </w:pPr>
    </w:p>
    <w:p w14:paraId="1F239048" w14:textId="6C99275F" w:rsidR="00D3461A" w:rsidRPr="002263C8" w:rsidRDefault="00D3461A" w:rsidP="006F30C1">
      <w:pPr>
        <w:pStyle w:val="Heading2"/>
        <w:numPr>
          <w:ilvl w:val="0"/>
          <w:numId w:val="27"/>
        </w:numPr>
        <w:jc w:val="both"/>
        <w:rPr>
          <w:rFonts w:ascii="Arial" w:hAnsi="Arial" w:cs="Arial"/>
          <w:b/>
          <w:bCs/>
          <w:color w:val="auto"/>
          <w:sz w:val="20"/>
          <w:szCs w:val="20"/>
        </w:rPr>
      </w:pPr>
      <w:bookmarkStart w:id="29" w:name="_Toc206158596"/>
      <w:r w:rsidRPr="002263C8">
        <w:rPr>
          <w:rFonts w:ascii="Arial" w:hAnsi="Arial" w:cs="Arial"/>
          <w:b/>
          <w:bCs/>
          <w:color w:val="auto"/>
          <w:sz w:val="20"/>
          <w:szCs w:val="20"/>
        </w:rPr>
        <w:t>Davis</w:t>
      </w:r>
      <w:r w:rsidR="0068581F" w:rsidRPr="002263C8">
        <w:rPr>
          <w:rFonts w:ascii="Arial" w:hAnsi="Arial" w:cs="Arial"/>
          <w:b/>
          <w:bCs/>
          <w:color w:val="auto"/>
          <w:sz w:val="20"/>
          <w:szCs w:val="20"/>
        </w:rPr>
        <w:t>-</w:t>
      </w:r>
      <w:r w:rsidRPr="002263C8">
        <w:rPr>
          <w:rFonts w:ascii="Arial" w:hAnsi="Arial" w:cs="Arial"/>
          <w:b/>
          <w:bCs/>
          <w:color w:val="auto"/>
          <w:sz w:val="20"/>
          <w:szCs w:val="20"/>
        </w:rPr>
        <w:t>Bacon Act</w:t>
      </w:r>
      <w:r w:rsidR="0068581F" w:rsidRPr="002263C8">
        <w:rPr>
          <w:rFonts w:ascii="Arial" w:hAnsi="Arial" w:cs="Arial"/>
          <w:b/>
          <w:bCs/>
          <w:color w:val="auto"/>
          <w:sz w:val="20"/>
          <w:szCs w:val="20"/>
        </w:rPr>
        <w:t xml:space="preserve"> Requirements</w:t>
      </w:r>
      <w:bookmarkEnd w:id="29"/>
    </w:p>
    <w:p w14:paraId="06EE111C" w14:textId="77777777" w:rsidR="00D3461A" w:rsidRPr="002E1A5F" w:rsidRDefault="00D3461A" w:rsidP="7A327B2A">
      <w:pPr>
        <w:jc w:val="both"/>
      </w:pPr>
    </w:p>
    <w:p w14:paraId="64608F1F" w14:textId="145C2BA1" w:rsidR="00576545" w:rsidRPr="002F7736" w:rsidRDefault="00F354FE" w:rsidP="00576545">
      <w:pPr>
        <w:pStyle w:val="ListParagraph"/>
        <w:numPr>
          <w:ilvl w:val="0"/>
          <w:numId w:val="23"/>
        </w:numPr>
        <w:ind w:left="1080"/>
        <w:jc w:val="both"/>
        <w:rPr>
          <w:rFonts w:eastAsiaTheme="minorEastAsia"/>
        </w:rPr>
      </w:pPr>
      <w:r w:rsidRPr="002E1A5F">
        <w:rPr>
          <w:rFonts w:eastAsiaTheme="minorEastAsia"/>
        </w:rPr>
        <w:t xml:space="preserve">This Agreement is funded under Division D of the Bipartisan Infrastructure Law (BIL). </w:t>
      </w:r>
      <w:r w:rsidR="00576545" w:rsidRPr="002E1A5F">
        <w:rPr>
          <w:rFonts w:eastAsiaTheme="minorEastAsia"/>
        </w:rPr>
        <w:t xml:space="preserve">All laborers and mechanics employed by the Subrecipient, its lower tier subrecipients, contractors or subcontractors in the performance of construction, alteration, or repair work in excess of $2,000 on </w:t>
      </w:r>
      <w:r w:rsidR="0003400C">
        <w:rPr>
          <w:rFonts w:eastAsiaTheme="minorEastAsia"/>
        </w:rPr>
        <w:t xml:space="preserve">a </w:t>
      </w:r>
      <w:r w:rsidR="00C97208">
        <w:rPr>
          <w:rFonts w:eastAsiaTheme="minorEastAsia"/>
        </w:rPr>
        <w:t>project</w:t>
      </w:r>
      <w:r w:rsidR="00576545" w:rsidRPr="002E1A5F">
        <w:rPr>
          <w:rFonts w:eastAsiaTheme="minorEastAsia"/>
        </w:rPr>
        <w:t xml:space="preserve"> assisted in whole or in part by funds made available under this Award shall be paid wages at rates not less than those prevailing on similar projects in the locality, as determined by the Secretary of Labor in accordance with </w:t>
      </w:r>
      <w:r w:rsidR="00345DA1">
        <w:rPr>
          <w:rFonts w:eastAsiaTheme="minorEastAsia"/>
        </w:rPr>
        <w:t>S</w:t>
      </w:r>
      <w:r w:rsidR="00576545" w:rsidRPr="002E1A5F">
        <w:rPr>
          <w:rFonts w:eastAsiaTheme="minorEastAsia"/>
        </w:rPr>
        <w:t xml:space="preserve">ubchapter IV </w:t>
      </w:r>
      <w:r w:rsidR="00576545" w:rsidRPr="002F7736">
        <w:rPr>
          <w:rFonts w:eastAsiaTheme="minorEastAsia"/>
        </w:rPr>
        <w:t xml:space="preserve">of </w:t>
      </w:r>
      <w:r w:rsidR="00345DA1" w:rsidRPr="002F7736">
        <w:rPr>
          <w:rFonts w:eastAsiaTheme="minorEastAsia"/>
        </w:rPr>
        <w:t>C</w:t>
      </w:r>
      <w:r w:rsidR="00576545" w:rsidRPr="002F7736">
        <w:rPr>
          <w:rFonts w:eastAsiaTheme="minorEastAsia"/>
        </w:rPr>
        <w:t xml:space="preserve">hapter 31 of </w:t>
      </w:r>
      <w:r w:rsidR="00345DA1" w:rsidRPr="002F7736">
        <w:rPr>
          <w:rFonts w:eastAsiaTheme="minorEastAsia"/>
        </w:rPr>
        <w:t>T</w:t>
      </w:r>
      <w:r w:rsidR="00576545" w:rsidRPr="002F7736">
        <w:rPr>
          <w:rFonts w:eastAsiaTheme="minorEastAsia"/>
        </w:rPr>
        <w:t>itle 40, United States Code commonly referred to as the “Davis-Bacon Act”</w:t>
      </w:r>
      <w:r w:rsidR="007E5EE2" w:rsidRPr="00845BD1">
        <w:t xml:space="preserve"> and its implementing regulations in 29 CFR parts 1, 3, and 5 (collectively the “Davis-Bacon Act Requirements”)</w:t>
      </w:r>
      <w:r w:rsidR="00576545" w:rsidRPr="002F7736">
        <w:rPr>
          <w:rFonts w:eastAsiaTheme="minorEastAsia"/>
        </w:rPr>
        <w:t>.</w:t>
      </w:r>
    </w:p>
    <w:p w14:paraId="675F8C19" w14:textId="77777777" w:rsidR="00576545" w:rsidRPr="002E1A5F" w:rsidRDefault="00576545" w:rsidP="00576545">
      <w:pPr>
        <w:pStyle w:val="ListParagraph"/>
        <w:ind w:left="1080"/>
        <w:jc w:val="both"/>
        <w:rPr>
          <w:rFonts w:eastAsiaTheme="minorEastAsia"/>
        </w:rPr>
      </w:pPr>
    </w:p>
    <w:p w14:paraId="13D9DD5A" w14:textId="77777777" w:rsidR="00576545" w:rsidRPr="002E1A5F" w:rsidRDefault="00576545" w:rsidP="00576545">
      <w:pPr>
        <w:pStyle w:val="ListParagraph"/>
        <w:ind w:left="1080"/>
        <w:jc w:val="both"/>
        <w:rPr>
          <w:rFonts w:eastAsiaTheme="minorEastAsia"/>
        </w:rPr>
      </w:pPr>
    </w:p>
    <w:p w14:paraId="280D7C78" w14:textId="2E314DDB" w:rsidR="00576545" w:rsidRDefault="00576545" w:rsidP="00576545">
      <w:pPr>
        <w:pStyle w:val="ListParagraph"/>
        <w:numPr>
          <w:ilvl w:val="0"/>
          <w:numId w:val="23"/>
        </w:numPr>
        <w:ind w:left="1080"/>
        <w:jc w:val="both"/>
        <w:rPr>
          <w:rFonts w:eastAsiaTheme="minorEastAsia"/>
        </w:rPr>
      </w:pPr>
      <w:r w:rsidRPr="002E1A5F">
        <w:rPr>
          <w:rFonts w:eastAsiaTheme="minorEastAsia"/>
        </w:rPr>
        <w:t xml:space="preserve">The Subrecipient </w:t>
      </w:r>
      <w:r w:rsidR="00171B43">
        <w:rPr>
          <w:rFonts w:eastAsiaTheme="minorEastAsia"/>
        </w:rPr>
        <w:t xml:space="preserve"> shall provide written acknowledgment and confirmation of </w:t>
      </w:r>
      <w:r w:rsidRPr="002E1A5F">
        <w:rPr>
          <w:rFonts w:eastAsiaTheme="minorEastAsia"/>
        </w:rPr>
        <w:t>compl</w:t>
      </w:r>
      <w:r w:rsidR="00171B43">
        <w:rPr>
          <w:rFonts w:eastAsiaTheme="minorEastAsia"/>
        </w:rPr>
        <w:t>iance</w:t>
      </w:r>
      <w:r w:rsidRPr="002E1A5F">
        <w:rPr>
          <w:rFonts w:eastAsiaTheme="minorEastAsia"/>
        </w:rPr>
        <w:t xml:space="preserve"> with the Davis-Bacon Act </w:t>
      </w:r>
      <w:r w:rsidR="00AB0F02">
        <w:rPr>
          <w:rFonts w:eastAsiaTheme="minorEastAsia"/>
        </w:rPr>
        <w:t>R</w:t>
      </w:r>
      <w:r w:rsidRPr="002E1A5F">
        <w:rPr>
          <w:rFonts w:eastAsiaTheme="minorEastAsia"/>
        </w:rPr>
        <w:t xml:space="preserve">equirements, </w:t>
      </w:r>
      <w:r w:rsidR="00AB0F02">
        <w:rPr>
          <w:rFonts w:eastAsiaTheme="minorEastAsia"/>
        </w:rPr>
        <w:t xml:space="preserve">which </w:t>
      </w:r>
      <w:r w:rsidRPr="002E1A5F">
        <w:rPr>
          <w:rFonts w:eastAsiaTheme="minorEastAsia"/>
        </w:rPr>
        <w:t>includ</w:t>
      </w:r>
      <w:r w:rsidR="00AB0F02">
        <w:rPr>
          <w:rFonts w:eastAsiaTheme="minorEastAsia"/>
        </w:rPr>
        <w:t>e</w:t>
      </w:r>
      <w:r w:rsidRPr="002E1A5F">
        <w:rPr>
          <w:rFonts w:eastAsiaTheme="minorEastAsia"/>
        </w:rPr>
        <w:t xml:space="preserve"> but</w:t>
      </w:r>
      <w:r w:rsidR="00AB0F02">
        <w:rPr>
          <w:rFonts w:eastAsiaTheme="minorEastAsia"/>
        </w:rPr>
        <w:t xml:space="preserve"> are</w:t>
      </w:r>
      <w:r w:rsidRPr="002E1A5F">
        <w:rPr>
          <w:rFonts w:eastAsiaTheme="minorEastAsia"/>
        </w:rPr>
        <w:t xml:space="preserve"> not limited to:</w:t>
      </w:r>
    </w:p>
    <w:p w14:paraId="575AF0D2" w14:textId="77777777" w:rsidR="00226352" w:rsidRPr="00226352" w:rsidRDefault="00226352" w:rsidP="00845BD1">
      <w:pPr>
        <w:pStyle w:val="ListParagraph"/>
        <w:rPr>
          <w:rFonts w:eastAsiaTheme="minorEastAsia"/>
        </w:rPr>
      </w:pPr>
    </w:p>
    <w:p w14:paraId="7992172D" w14:textId="6F9AEF40" w:rsidR="00226352" w:rsidRPr="00845BD1" w:rsidRDefault="00226352" w:rsidP="00845BD1">
      <w:pPr>
        <w:pStyle w:val="FOATemplateBody"/>
        <w:numPr>
          <w:ilvl w:val="2"/>
          <w:numId w:val="23"/>
        </w:numPr>
        <w:spacing w:before="120"/>
        <w:ind w:left="1440"/>
        <w:rPr>
          <w:rFonts w:ascii="Arial" w:hAnsi="Arial" w:cs="Arial"/>
          <w:sz w:val="20"/>
          <w:szCs w:val="20"/>
        </w:rPr>
      </w:pPr>
      <w:r w:rsidRPr="00845BD1">
        <w:rPr>
          <w:rFonts w:ascii="Arial" w:hAnsi="Arial" w:cs="Arial"/>
          <w:sz w:val="20"/>
          <w:szCs w:val="20"/>
        </w:rPr>
        <w:t xml:space="preserve">Ensuring that laborers and mechanics on BIL funded/assisted projects are paid at least the prevailing wage for their work classification on applicable projects. </w:t>
      </w:r>
    </w:p>
    <w:p w14:paraId="749024F0" w14:textId="77777777" w:rsidR="00226352" w:rsidRPr="00845BD1" w:rsidRDefault="00226352" w:rsidP="00845BD1">
      <w:pPr>
        <w:pStyle w:val="FOATemplateBody"/>
        <w:numPr>
          <w:ilvl w:val="2"/>
          <w:numId w:val="23"/>
        </w:numPr>
        <w:spacing w:before="120"/>
        <w:ind w:left="1440"/>
        <w:rPr>
          <w:rFonts w:ascii="Arial" w:hAnsi="Arial" w:cs="Arial"/>
          <w:sz w:val="20"/>
          <w:szCs w:val="20"/>
        </w:rPr>
      </w:pPr>
      <w:r w:rsidRPr="00845BD1">
        <w:rPr>
          <w:rFonts w:ascii="Arial" w:hAnsi="Arial" w:cs="Arial"/>
          <w:sz w:val="20"/>
          <w:szCs w:val="20"/>
        </w:rPr>
        <w:t>Ensuring that laborers and mechanics on BIL funded/assisted projects are paid on a weekly basis.</w:t>
      </w:r>
    </w:p>
    <w:p w14:paraId="58E5F450" w14:textId="1197579D" w:rsidR="00226352" w:rsidRPr="00845BD1" w:rsidRDefault="00226352" w:rsidP="00845BD1">
      <w:pPr>
        <w:pStyle w:val="FOATemplateBody"/>
        <w:numPr>
          <w:ilvl w:val="2"/>
          <w:numId w:val="23"/>
        </w:numPr>
        <w:spacing w:before="120"/>
        <w:ind w:left="1440"/>
        <w:rPr>
          <w:rFonts w:ascii="Arial" w:hAnsi="Arial" w:cs="Arial"/>
          <w:sz w:val="20"/>
          <w:szCs w:val="20"/>
        </w:rPr>
      </w:pPr>
      <w:r w:rsidRPr="00845BD1">
        <w:rPr>
          <w:rFonts w:ascii="Arial" w:hAnsi="Arial" w:cs="Arial"/>
          <w:sz w:val="20"/>
          <w:szCs w:val="20"/>
        </w:rPr>
        <w:t>Ensuring that the applicable wage determination(s) for construction work performed by laborers and mechanics employed by the</w:t>
      </w:r>
      <w:r w:rsidRPr="00E976D6">
        <w:rPr>
          <w:rFonts w:ascii="Arial" w:hAnsi="Arial" w:cs="Arial"/>
          <w:sz w:val="20"/>
          <w:szCs w:val="20"/>
        </w:rPr>
        <w:t xml:space="preserve"> lower tier </w:t>
      </w:r>
      <w:r w:rsidRPr="00845BD1">
        <w:rPr>
          <w:rFonts w:ascii="Arial" w:hAnsi="Arial" w:cs="Arial"/>
          <w:sz w:val="20"/>
          <w:szCs w:val="20"/>
        </w:rPr>
        <w:t xml:space="preserve">subrecipients, contractors, or subcontractors are identified and obtained from the database at </w:t>
      </w:r>
      <w:hyperlink r:id="rId18" w:history="1">
        <w:r w:rsidRPr="00845BD1">
          <w:rPr>
            <w:rFonts w:ascii="Arial" w:hAnsi="Arial" w:cs="Arial"/>
            <w:sz w:val="20"/>
            <w:szCs w:val="20"/>
          </w:rPr>
          <w:t>www.sam.gov</w:t>
        </w:r>
      </w:hyperlink>
      <w:r w:rsidRPr="00845BD1">
        <w:rPr>
          <w:rFonts w:ascii="Arial" w:hAnsi="Arial" w:cs="Arial"/>
          <w:sz w:val="20"/>
          <w:szCs w:val="20"/>
        </w:rPr>
        <w:t xml:space="preserve">, by 1) selecting “Wage Determinations,” then, 2) selecting “Public Buildings and Public Works,” then, 3) filtering search results by State (selecting the appropriate state from the drop-down menus), and by County or Independent City (selecting the appropriate County/Independent City from the drop-down menu) in which the work will take place, then, 4) selecting the appropriate construction type (e.g., Building, Residential, Heavy, or Highway). The appropriate wage determination number hyperlink should be selected from the result. If the wage determination which opens lists a “Last Revised Date” after the date of the contract award/start of construction, then scroll to the bottom of the document, and under History, click on the wage determination with the date closest to, but still before the date of contract award/start of construction. </w:t>
      </w:r>
    </w:p>
    <w:p w14:paraId="08DA74E9" w14:textId="77777777" w:rsidR="00226352" w:rsidRPr="00845BD1" w:rsidRDefault="00226352" w:rsidP="00845BD1">
      <w:pPr>
        <w:pStyle w:val="FOATemplateBody"/>
        <w:numPr>
          <w:ilvl w:val="2"/>
          <w:numId w:val="23"/>
        </w:numPr>
        <w:spacing w:before="120"/>
        <w:ind w:left="1440"/>
        <w:rPr>
          <w:rFonts w:ascii="Arial" w:hAnsi="Arial" w:cs="Arial"/>
          <w:sz w:val="20"/>
          <w:szCs w:val="20"/>
        </w:rPr>
      </w:pPr>
      <w:r w:rsidRPr="00845BD1">
        <w:rPr>
          <w:rFonts w:ascii="Arial" w:hAnsi="Arial" w:cs="Arial"/>
          <w:sz w:val="20"/>
          <w:szCs w:val="20"/>
        </w:rPr>
        <w:lastRenderedPageBreak/>
        <w:t xml:space="preserve">Ensuring that applicable wage determination(s) are uploaded to </w:t>
      </w:r>
      <w:proofErr w:type="spellStart"/>
      <w:r w:rsidRPr="00845BD1">
        <w:rPr>
          <w:rFonts w:ascii="Arial" w:hAnsi="Arial" w:cs="Arial"/>
          <w:sz w:val="20"/>
          <w:szCs w:val="20"/>
        </w:rPr>
        <w:t>LCPtracker</w:t>
      </w:r>
      <w:proofErr w:type="spellEnd"/>
      <w:r w:rsidRPr="00845BD1">
        <w:rPr>
          <w:rFonts w:ascii="Arial" w:hAnsi="Arial" w:cs="Arial"/>
          <w:sz w:val="20"/>
          <w:szCs w:val="20"/>
        </w:rPr>
        <w:t xml:space="preserve"> (see below section on </w:t>
      </w:r>
      <w:proofErr w:type="spellStart"/>
      <w:r w:rsidRPr="00845BD1">
        <w:rPr>
          <w:rFonts w:ascii="Arial" w:hAnsi="Arial" w:cs="Arial"/>
          <w:sz w:val="20"/>
          <w:szCs w:val="20"/>
        </w:rPr>
        <w:t>LCPtracker</w:t>
      </w:r>
      <w:proofErr w:type="spellEnd"/>
      <w:r w:rsidRPr="00845BD1">
        <w:rPr>
          <w:rFonts w:ascii="Arial" w:hAnsi="Arial" w:cs="Arial"/>
          <w:sz w:val="20"/>
          <w:szCs w:val="20"/>
        </w:rPr>
        <w:t>).</w:t>
      </w:r>
    </w:p>
    <w:p w14:paraId="3FC3CBF0" w14:textId="6999A2A5" w:rsidR="00226352" w:rsidRPr="00845BD1" w:rsidRDefault="00226352" w:rsidP="00845BD1">
      <w:pPr>
        <w:pStyle w:val="FOATemplateBody"/>
        <w:numPr>
          <w:ilvl w:val="2"/>
          <w:numId w:val="23"/>
        </w:numPr>
        <w:spacing w:before="120"/>
        <w:ind w:left="1440"/>
        <w:rPr>
          <w:rFonts w:ascii="Arial" w:hAnsi="Arial" w:cs="Arial"/>
          <w:sz w:val="20"/>
          <w:szCs w:val="20"/>
        </w:rPr>
      </w:pPr>
      <w:r w:rsidRPr="00845BD1">
        <w:rPr>
          <w:rFonts w:ascii="Arial" w:hAnsi="Arial" w:cs="Arial"/>
          <w:sz w:val="20"/>
          <w:szCs w:val="20"/>
        </w:rPr>
        <w:t xml:space="preserve">Ensuring that the applicable wage determination(s) and the required contract provisions per 29 CFR 5.5 are flowed down to and incorporated into any applicable </w:t>
      </w:r>
      <w:r>
        <w:rPr>
          <w:rFonts w:ascii="Arial" w:hAnsi="Arial" w:cs="Arial"/>
          <w:sz w:val="20"/>
          <w:szCs w:val="20"/>
        </w:rPr>
        <w:t xml:space="preserve">lower tier </w:t>
      </w:r>
      <w:r w:rsidRPr="00845BD1">
        <w:rPr>
          <w:rFonts w:ascii="Arial" w:hAnsi="Arial" w:cs="Arial"/>
          <w:sz w:val="20"/>
          <w:szCs w:val="20"/>
        </w:rPr>
        <w:t>contracts/subcontracts or</w:t>
      </w:r>
      <w:r>
        <w:rPr>
          <w:rFonts w:ascii="Arial" w:hAnsi="Arial" w:cs="Arial"/>
          <w:sz w:val="20"/>
          <w:szCs w:val="20"/>
        </w:rPr>
        <w:t xml:space="preserve"> lower tier</w:t>
      </w:r>
      <w:r w:rsidRPr="00845BD1">
        <w:rPr>
          <w:rFonts w:ascii="Arial" w:hAnsi="Arial" w:cs="Arial"/>
          <w:sz w:val="20"/>
          <w:szCs w:val="20"/>
        </w:rPr>
        <w:t xml:space="preserve"> subrecipient awards.</w:t>
      </w:r>
    </w:p>
    <w:p w14:paraId="55737FFE" w14:textId="77777777" w:rsidR="00226352" w:rsidRPr="00845BD1" w:rsidRDefault="00226352" w:rsidP="00845BD1">
      <w:pPr>
        <w:pStyle w:val="FOATemplateBody"/>
        <w:numPr>
          <w:ilvl w:val="2"/>
          <w:numId w:val="23"/>
        </w:numPr>
        <w:spacing w:before="120"/>
        <w:ind w:left="1440"/>
        <w:rPr>
          <w:rFonts w:ascii="Arial" w:hAnsi="Arial" w:cs="Arial"/>
          <w:sz w:val="20"/>
          <w:szCs w:val="20"/>
        </w:rPr>
      </w:pPr>
      <w:r w:rsidRPr="00845BD1">
        <w:rPr>
          <w:rFonts w:ascii="Arial" w:hAnsi="Arial" w:cs="Arial"/>
          <w:sz w:val="20"/>
          <w:szCs w:val="20"/>
        </w:rPr>
        <w:t>Preserving a copy of the applicable wage determination(s) identified and obtained from www.sam.gov, for a period of 3 years after the construction, alteration or repair work herein is completed.</w:t>
      </w:r>
    </w:p>
    <w:p w14:paraId="4B0209E4" w14:textId="77777777" w:rsidR="00226352" w:rsidRPr="00845BD1" w:rsidRDefault="00226352" w:rsidP="00845BD1">
      <w:pPr>
        <w:pStyle w:val="FOATemplateBody"/>
        <w:numPr>
          <w:ilvl w:val="2"/>
          <w:numId w:val="23"/>
        </w:numPr>
        <w:spacing w:before="120"/>
        <w:ind w:left="1440"/>
        <w:rPr>
          <w:rFonts w:ascii="Arial" w:hAnsi="Arial" w:cs="Arial"/>
          <w:sz w:val="20"/>
          <w:szCs w:val="20"/>
        </w:rPr>
      </w:pPr>
      <w:r w:rsidRPr="00845BD1">
        <w:rPr>
          <w:rFonts w:ascii="Arial" w:hAnsi="Arial" w:cs="Arial"/>
          <w:sz w:val="20"/>
          <w:szCs w:val="20"/>
        </w:rPr>
        <w:t xml:space="preserve">Maintaining responsibility for compliance by any lower-tier subcontractors or subrecipients subject to the Davis-Bacon Act Requirements. </w:t>
      </w:r>
    </w:p>
    <w:p w14:paraId="284248C5" w14:textId="5C18CD96" w:rsidR="00226352" w:rsidRPr="00845BD1" w:rsidRDefault="00226352" w:rsidP="00845BD1">
      <w:pPr>
        <w:pStyle w:val="FOATemplateBody"/>
        <w:numPr>
          <w:ilvl w:val="2"/>
          <w:numId w:val="23"/>
        </w:numPr>
        <w:spacing w:before="120"/>
        <w:ind w:left="1440"/>
        <w:rPr>
          <w:rFonts w:ascii="Arial" w:hAnsi="Arial" w:cs="Arial"/>
          <w:sz w:val="20"/>
          <w:szCs w:val="20"/>
        </w:rPr>
      </w:pPr>
      <w:r w:rsidRPr="00845BD1">
        <w:rPr>
          <w:rFonts w:ascii="Arial" w:hAnsi="Arial" w:cs="Arial"/>
          <w:sz w:val="20"/>
          <w:szCs w:val="20"/>
        </w:rPr>
        <w:t xml:space="preserve">Receiving and reviewing certified weekly payrolls submitted by all </w:t>
      </w:r>
      <w:r>
        <w:rPr>
          <w:rFonts w:ascii="Arial" w:hAnsi="Arial" w:cs="Arial"/>
          <w:sz w:val="20"/>
          <w:szCs w:val="20"/>
        </w:rPr>
        <w:t xml:space="preserve">lower tier </w:t>
      </w:r>
      <w:r w:rsidRPr="00845BD1">
        <w:rPr>
          <w:rFonts w:ascii="Arial" w:hAnsi="Arial" w:cs="Arial"/>
          <w:sz w:val="20"/>
          <w:szCs w:val="20"/>
        </w:rPr>
        <w:t xml:space="preserve">subcontractors and </w:t>
      </w:r>
      <w:r>
        <w:rPr>
          <w:rFonts w:ascii="Arial" w:hAnsi="Arial" w:cs="Arial"/>
          <w:sz w:val="20"/>
          <w:szCs w:val="20"/>
        </w:rPr>
        <w:t xml:space="preserve">lower tier </w:t>
      </w:r>
      <w:r w:rsidRPr="00845BD1">
        <w:rPr>
          <w:rFonts w:ascii="Arial" w:hAnsi="Arial" w:cs="Arial"/>
          <w:sz w:val="20"/>
          <w:szCs w:val="20"/>
        </w:rPr>
        <w:t xml:space="preserve">subrecipients for accuracy as needed and identifying potential compliance issues. </w:t>
      </w:r>
    </w:p>
    <w:p w14:paraId="11EE7859" w14:textId="351A9CE9" w:rsidR="00226352" w:rsidRPr="00845BD1" w:rsidRDefault="00226352" w:rsidP="00845BD1">
      <w:pPr>
        <w:pStyle w:val="FOATemplateBody"/>
        <w:numPr>
          <w:ilvl w:val="2"/>
          <w:numId w:val="23"/>
        </w:numPr>
        <w:spacing w:before="120"/>
        <w:ind w:left="1440"/>
        <w:rPr>
          <w:rFonts w:ascii="Arial" w:hAnsi="Arial" w:cs="Arial"/>
          <w:sz w:val="20"/>
          <w:szCs w:val="20"/>
        </w:rPr>
      </w:pPr>
      <w:r w:rsidRPr="00845BD1">
        <w:rPr>
          <w:rFonts w:ascii="Arial" w:hAnsi="Arial" w:cs="Arial"/>
          <w:sz w:val="20"/>
          <w:szCs w:val="20"/>
        </w:rPr>
        <w:t xml:space="preserve">Maintaining original certified weekly payrolls for 3 years after the completion of the project and making those payrolls available to </w:t>
      </w:r>
      <w:r w:rsidR="006C3E94">
        <w:rPr>
          <w:rFonts w:ascii="Arial" w:hAnsi="Arial" w:cs="Arial"/>
          <w:sz w:val="20"/>
          <w:szCs w:val="20"/>
        </w:rPr>
        <w:t xml:space="preserve">the CEC, </w:t>
      </w:r>
      <w:r w:rsidRPr="00845BD1">
        <w:rPr>
          <w:rFonts w:ascii="Arial" w:hAnsi="Arial" w:cs="Arial"/>
          <w:sz w:val="20"/>
          <w:szCs w:val="20"/>
        </w:rPr>
        <w:t>the D</w:t>
      </w:r>
      <w:r w:rsidR="006C3E94">
        <w:rPr>
          <w:rFonts w:ascii="Arial" w:hAnsi="Arial" w:cs="Arial"/>
          <w:sz w:val="20"/>
          <w:szCs w:val="20"/>
        </w:rPr>
        <w:t>OE</w:t>
      </w:r>
      <w:r w:rsidRPr="00845BD1">
        <w:rPr>
          <w:rFonts w:ascii="Arial" w:hAnsi="Arial" w:cs="Arial"/>
          <w:sz w:val="20"/>
          <w:szCs w:val="20"/>
        </w:rPr>
        <w:t xml:space="preserve"> or the Department of Labor upon request. </w:t>
      </w:r>
    </w:p>
    <w:p w14:paraId="048BAC74" w14:textId="1A2F7FDB" w:rsidR="00226352" w:rsidRPr="00845BD1" w:rsidRDefault="00226352" w:rsidP="00845BD1">
      <w:pPr>
        <w:pStyle w:val="FOATemplateBody"/>
        <w:numPr>
          <w:ilvl w:val="2"/>
          <w:numId w:val="23"/>
        </w:numPr>
        <w:spacing w:before="120"/>
        <w:ind w:left="1440"/>
        <w:rPr>
          <w:rFonts w:ascii="Arial" w:hAnsi="Arial" w:cs="Arial"/>
          <w:sz w:val="20"/>
          <w:szCs w:val="20"/>
        </w:rPr>
      </w:pPr>
      <w:r w:rsidRPr="00845BD1">
        <w:rPr>
          <w:rFonts w:ascii="Arial" w:hAnsi="Arial" w:cs="Arial"/>
          <w:sz w:val="20"/>
          <w:szCs w:val="20"/>
        </w:rPr>
        <w:t>Conducting site-visit interviews with employees as needed to provide reasonable assurance of compliance with</w:t>
      </w:r>
      <w:r>
        <w:rPr>
          <w:rFonts w:ascii="Arial" w:hAnsi="Arial" w:cs="Arial"/>
          <w:sz w:val="20"/>
          <w:szCs w:val="20"/>
        </w:rPr>
        <w:t xml:space="preserve"> lower tier</w:t>
      </w:r>
      <w:r w:rsidRPr="00845BD1">
        <w:rPr>
          <w:rFonts w:ascii="Arial" w:hAnsi="Arial" w:cs="Arial"/>
          <w:sz w:val="20"/>
          <w:szCs w:val="20"/>
        </w:rPr>
        <w:t xml:space="preserve"> subcontractors and </w:t>
      </w:r>
      <w:r>
        <w:rPr>
          <w:rFonts w:ascii="Arial" w:hAnsi="Arial" w:cs="Arial"/>
          <w:sz w:val="20"/>
          <w:szCs w:val="20"/>
        </w:rPr>
        <w:t xml:space="preserve">lower tier </w:t>
      </w:r>
      <w:r w:rsidRPr="00845BD1">
        <w:rPr>
          <w:rFonts w:ascii="Arial" w:hAnsi="Arial" w:cs="Arial"/>
          <w:sz w:val="20"/>
          <w:szCs w:val="20"/>
        </w:rPr>
        <w:t xml:space="preserve">subrecipients. </w:t>
      </w:r>
    </w:p>
    <w:p w14:paraId="7D638181" w14:textId="4ADD79A2" w:rsidR="00226352" w:rsidRPr="00845BD1" w:rsidRDefault="00226352" w:rsidP="00845BD1">
      <w:pPr>
        <w:pStyle w:val="FOATemplateBody"/>
        <w:numPr>
          <w:ilvl w:val="2"/>
          <w:numId w:val="23"/>
        </w:numPr>
        <w:spacing w:before="120"/>
        <w:ind w:left="1440"/>
        <w:rPr>
          <w:rFonts w:ascii="Arial" w:hAnsi="Arial" w:cs="Arial"/>
          <w:sz w:val="20"/>
          <w:szCs w:val="20"/>
        </w:rPr>
      </w:pPr>
      <w:r w:rsidRPr="00845BD1">
        <w:rPr>
          <w:rFonts w:ascii="Arial" w:hAnsi="Arial" w:cs="Arial"/>
          <w:sz w:val="20"/>
          <w:szCs w:val="20"/>
        </w:rPr>
        <w:t xml:space="preserve">Cooperating with authorized representatives of the </w:t>
      </w:r>
      <w:r w:rsidR="00AA6059">
        <w:rPr>
          <w:rFonts w:ascii="Arial" w:hAnsi="Arial" w:cs="Arial"/>
          <w:sz w:val="20"/>
          <w:szCs w:val="20"/>
        </w:rPr>
        <w:t xml:space="preserve">CEC, </w:t>
      </w:r>
      <w:r w:rsidR="00324965">
        <w:rPr>
          <w:rFonts w:ascii="Arial" w:hAnsi="Arial" w:cs="Arial"/>
          <w:sz w:val="20"/>
          <w:szCs w:val="20"/>
        </w:rPr>
        <w:t>the DOE</w:t>
      </w:r>
      <w:r w:rsidRPr="00845BD1">
        <w:rPr>
          <w:rFonts w:ascii="Arial" w:hAnsi="Arial" w:cs="Arial"/>
          <w:sz w:val="20"/>
          <w:szCs w:val="20"/>
        </w:rPr>
        <w:t xml:space="preserve"> or Department of Labor in the inspection of DBA-related records, on-site interviews of laborers and mechanics, and other reasonable requests related to a DBA investigation. </w:t>
      </w:r>
    </w:p>
    <w:p w14:paraId="6D6C27DF" w14:textId="77777777" w:rsidR="00226352" w:rsidRPr="00845BD1" w:rsidRDefault="00226352" w:rsidP="00845BD1">
      <w:pPr>
        <w:pStyle w:val="FOATemplateBody"/>
        <w:numPr>
          <w:ilvl w:val="2"/>
          <w:numId w:val="23"/>
        </w:numPr>
        <w:spacing w:before="120"/>
        <w:ind w:left="1440"/>
        <w:rPr>
          <w:rFonts w:ascii="Arial" w:hAnsi="Arial" w:cs="Arial"/>
          <w:sz w:val="20"/>
          <w:szCs w:val="20"/>
        </w:rPr>
      </w:pPr>
      <w:r w:rsidRPr="00845BD1">
        <w:rPr>
          <w:rFonts w:ascii="Arial" w:hAnsi="Arial" w:cs="Arial"/>
          <w:sz w:val="20"/>
          <w:szCs w:val="20"/>
        </w:rPr>
        <w:t xml:space="preserve">Posting in a prominent and accessible place the applicable wage determination(s) and Department of Labor Publication: WH-1321, Notice to Employees Working on Federal or Federally Assisted Construction Projects. </w:t>
      </w:r>
    </w:p>
    <w:p w14:paraId="69429982" w14:textId="7F93D247" w:rsidR="00226352" w:rsidRPr="00845BD1" w:rsidRDefault="00226352" w:rsidP="00845BD1">
      <w:pPr>
        <w:pStyle w:val="FOATemplateBody"/>
        <w:numPr>
          <w:ilvl w:val="2"/>
          <w:numId w:val="23"/>
        </w:numPr>
        <w:spacing w:before="120"/>
        <w:ind w:left="1440"/>
        <w:rPr>
          <w:rFonts w:ascii="Arial" w:hAnsi="Arial" w:cs="Arial"/>
          <w:sz w:val="20"/>
          <w:szCs w:val="20"/>
        </w:rPr>
      </w:pPr>
      <w:r w:rsidRPr="00845BD1">
        <w:rPr>
          <w:rFonts w:ascii="Arial" w:hAnsi="Arial" w:cs="Arial"/>
          <w:sz w:val="20"/>
          <w:szCs w:val="20"/>
        </w:rPr>
        <w:t xml:space="preserve">Notifying the </w:t>
      </w:r>
      <w:r w:rsidR="00FE2F45">
        <w:rPr>
          <w:rFonts w:ascii="Arial" w:hAnsi="Arial" w:cs="Arial"/>
          <w:sz w:val="20"/>
          <w:szCs w:val="20"/>
        </w:rPr>
        <w:t xml:space="preserve">CEC CAM, who will in turn notify the DOE </w:t>
      </w:r>
      <w:r w:rsidRPr="00845BD1">
        <w:rPr>
          <w:rFonts w:ascii="Arial" w:hAnsi="Arial" w:cs="Arial"/>
          <w:sz w:val="20"/>
          <w:szCs w:val="20"/>
        </w:rPr>
        <w:t>Contracting Officer</w:t>
      </w:r>
      <w:r w:rsidR="00FE2F45">
        <w:rPr>
          <w:rFonts w:ascii="Arial" w:hAnsi="Arial" w:cs="Arial"/>
          <w:sz w:val="20"/>
          <w:szCs w:val="20"/>
        </w:rPr>
        <w:t>,</w:t>
      </w:r>
      <w:r w:rsidRPr="00845BD1">
        <w:rPr>
          <w:rFonts w:ascii="Arial" w:hAnsi="Arial" w:cs="Arial"/>
          <w:sz w:val="20"/>
          <w:szCs w:val="20"/>
        </w:rPr>
        <w:t xml:space="preserve"> of Davis-Bacon Act Requirement issues, including complaints, violations (as defined in 29 CFR 5.7), disputes (pursuant to 29 CFR parts 4, 6, and 8 and as defined in FAR 52.222-14), disputed DBA-related determinations, Department of Labor investigations, or legal/judicial proceedings related to the Davis-Bacon Act Requirements under this </w:t>
      </w:r>
      <w:r>
        <w:rPr>
          <w:rFonts w:ascii="Arial" w:hAnsi="Arial" w:cs="Arial"/>
          <w:sz w:val="20"/>
          <w:szCs w:val="20"/>
        </w:rPr>
        <w:t>Agreement</w:t>
      </w:r>
      <w:r w:rsidRPr="00845BD1">
        <w:rPr>
          <w:rFonts w:ascii="Arial" w:hAnsi="Arial" w:cs="Arial"/>
          <w:sz w:val="20"/>
          <w:szCs w:val="20"/>
        </w:rPr>
        <w:t xml:space="preserve">, </w:t>
      </w:r>
      <w:r>
        <w:rPr>
          <w:rFonts w:ascii="Arial" w:hAnsi="Arial" w:cs="Arial"/>
          <w:sz w:val="20"/>
          <w:szCs w:val="20"/>
        </w:rPr>
        <w:t xml:space="preserve">lower tier </w:t>
      </w:r>
      <w:r w:rsidRPr="00845BD1">
        <w:rPr>
          <w:rFonts w:ascii="Arial" w:hAnsi="Arial" w:cs="Arial"/>
          <w:sz w:val="20"/>
          <w:szCs w:val="20"/>
        </w:rPr>
        <w:t xml:space="preserve">subcontract, or </w:t>
      </w:r>
      <w:r>
        <w:rPr>
          <w:rFonts w:ascii="Arial" w:hAnsi="Arial" w:cs="Arial"/>
          <w:sz w:val="20"/>
          <w:szCs w:val="20"/>
        </w:rPr>
        <w:t xml:space="preserve">lower tier </w:t>
      </w:r>
      <w:r w:rsidRPr="00845BD1">
        <w:rPr>
          <w:rFonts w:ascii="Arial" w:hAnsi="Arial" w:cs="Arial"/>
          <w:sz w:val="20"/>
          <w:szCs w:val="20"/>
        </w:rPr>
        <w:t xml:space="preserve">subrecipient award. </w:t>
      </w:r>
    </w:p>
    <w:p w14:paraId="3B08080A" w14:textId="7D3096FC" w:rsidR="00226352" w:rsidRPr="00845BD1" w:rsidRDefault="00226352" w:rsidP="00845BD1">
      <w:pPr>
        <w:pStyle w:val="FOATemplateBody"/>
        <w:numPr>
          <w:ilvl w:val="2"/>
          <w:numId w:val="23"/>
        </w:numPr>
        <w:spacing w:before="120"/>
        <w:ind w:left="1440"/>
        <w:rPr>
          <w:rFonts w:ascii="Arial" w:hAnsi="Arial" w:cs="Arial"/>
          <w:sz w:val="20"/>
          <w:szCs w:val="20"/>
        </w:rPr>
      </w:pPr>
      <w:r w:rsidRPr="00845BD1">
        <w:rPr>
          <w:rFonts w:ascii="Arial" w:hAnsi="Arial" w:cs="Arial"/>
          <w:sz w:val="20"/>
          <w:szCs w:val="20"/>
        </w:rPr>
        <w:t xml:space="preserve">Preparing and submitting </w:t>
      </w:r>
      <w:r w:rsidR="00FE2F45">
        <w:rPr>
          <w:rFonts w:ascii="Arial" w:hAnsi="Arial" w:cs="Arial"/>
          <w:sz w:val="20"/>
          <w:szCs w:val="20"/>
        </w:rPr>
        <w:t>to the CEC</w:t>
      </w:r>
      <w:r w:rsidR="006C3E94">
        <w:rPr>
          <w:rFonts w:ascii="Arial" w:hAnsi="Arial" w:cs="Arial"/>
          <w:sz w:val="20"/>
          <w:szCs w:val="20"/>
        </w:rPr>
        <w:t xml:space="preserve"> CAM, who will in turn submit to the DOE Contracting Officer, </w:t>
      </w:r>
      <w:r w:rsidRPr="00845BD1">
        <w:rPr>
          <w:rFonts w:ascii="Arial" w:hAnsi="Arial" w:cs="Arial"/>
          <w:sz w:val="20"/>
          <w:szCs w:val="20"/>
        </w:rPr>
        <w:t xml:space="preserve">the Semi-Annual Labor Enforcement Report, by April 21 and October 21 of each year, in accordance with the reporting instructions in Attachment 2, Federal Assistance Reporting Checklist. </w:t>
      </w:r>
    </w:p>
    <w:p w14:paraId="3E292C1E" w14:textId="68F6B6FB" w:rsidR="00226352" w:rsidRPr="00845BD1" w:rsidRDefault="00226352" w:rsidP="00845BD1">
      <w:pPr>
        <w:pStyle w:val="FOATemplateBody"/>
        <w:numPr>
          <w:ilvl w:val="2"/>
          <w:numId w:val="23"/>
        </w:numPr>
        <w:spacing w:before="120"/>
        <w:ind w:left="1440"/>
        <w:rPr>
          <w:rFonts w:ascii="Arial" w:hAnsi="Arial" w:cs="Arial"/>
          <w:sz w:val="20"/>
          <w:szCs w:val="20"/>
        </w:rPr>
      </w:pPr>
      <w:r w:rsidRPr="00845BD1">
        <w:rPr>
          <w:rFonts w:ascii="Arial" w:hAnsi="Arial" w:cs="Arial"/>
          <w:sz w:val="20"/>
          <w:szCs w:val="20"/>
        </w:rPr>
        <w:t>Maintain competency in complying with Davis-Bacon Act Requirements. The</w:t>
      </w:r>
      <w:r>
        <w:rPr>
          <w:rFonts w:ascii="Arial" w:hAnsi="Arial" w:cs="Arial"/>
          <w:sz w:val="20"/>
          <w:szCs w:val="20"/>
        </w:rPr>
        <w:t xml:space="preserve"> DOE</w:t>
      </w:r>
      <w:r w:rsidRPr="00845BD1">
        <w:rPr>
          <w:rFonts w:ascii="Arial" w:hAnsi="Arial" w:cs="Arial"/>
          <w:sz w:val="20"/>
          <w:szCs w:val="20"/>
        </w:rPr>
        <w:t xml:space="preserve"> Contracting Officer</w:t>
      </w:r>
      <w:r w:rsidR="00CF28C3">
        <w:rPr>
          <w:rFonts w:ascii="Arial" w:hAnsi="Arial" w:cs="Arial"/>
          <w:sz w:val="20"/>
          <w:szCs w:val="20"/>
        </w:rPr>
        <w:t>, directly or through the CEC,</w:t>
      </w:r>
      <w:r w:rsidRPr="00845BD1">
        <w:rPr>
          <w:rFonts w:ascii="Arial" w:hAnsi="Arial" w:cs="Arial"/>
          <w:sz w:val="20"/>
          <w:szCs w:val="20"/>
        </w:rPr>
        <w:t xml:space="preserve"> will notify the </w:t>
      </w:r>
      <w:r w:rsidR="00CF28C3">
        <w:rPr>
          <w:rFonts w:ascii="Arial" w:hAnsi="Arial" w:cs="Arial"/>
          <w:sz w:val="20"/>
          <w:szCs w:val="20"/>
        </w:rPr>
        <w:t>Sub</w:t>
      </w:r>
      <w:r w:rsidRPr="00845BD1">
        <w:rPr>
          <w:rFonts w:ascii="Arial" w:hAnsi="Arial" w:cs="Arial"/>
          <w:sz w:val="20"/>
          <w:szCs w:val="20"/>
        </w:rPr>
        <w:t xml:space="preserve">recipient of any DOE-sponsored Davis-Bacon Act compliance </w:t>
      </w:r>
      <w:proofErr w:type="gramStart"/>
      <w:r w:rsidRPr="00845BD1">
        <w:rPr>
          <w:rFonts w:ascii="Arial" w:hAnsi="Arial" w:cs="Arial"/>
          <w:sz w:val="20"/>
          <w:szCs w:val="20"/>
        </w:rPr>
        <w:t>trainings</w:t>
      </w:r>
      <w:proofErr w:type="gramEnd"/>
      <w:r w:rsidRPr="00845BD1">
        <w:rPr>
          <w:rFonts w:ascii="Arial" w:hAnsi="Arial" w:cs="Arial"/>
          <w:sz w:val="20"/>
          <w:szCs w:val="20"/>
        </w:rPr>
        <w:t xml:space="preserve">. The Department of Labor offers free Prevailing Wage Seminars several times a year that meet this requirement, at </w:t>
      </w:r>
      <w:hyperlink r:id="rId19" w:history="1">
        <w:r w:rsidRPr="00845BD1">
          <w:rPr>
            <w:rFonts w:ascii="Arial" w:hAnsi="Arial" w:cs="Arial"/>
            <w:sz w:val="20"/>
            <w:szCs w:val="20"/>
          </w:rPr>
          <w:t>https://www.dol.gov/agencies/whd/government-contracts/construction/seminars/events</w:t>
        </w:r>
      </w:hyperlink>
      <w:r w:rsidRPr="00845BD1">
        <w:rPr>
          <w:rFonts w:ascii="Arial" w:hAnsi="Arial" w:cs="Arial"/>
          <w:sz w:val="20"/>
          <w:szCs w:val="20"/>
        </w:rPr>
        <w:t>.</w:t>
      </w:r>
    </w:p>
    <w:p w14:paraId="3B23615D" w14:textId="77777777" w:rsidR="00226352" w:rsidRPr="00845BD1" w:rsidRDefault="00226352" w:rsidP="00845BD1">
      <w:pPr>
        <w:pStyle w:val="FOATemplateBody"/>
        <w:spacing w:before="120"/>
        <w:ind w:left="1440"/>
      </w:pPr>
    </w:p>
    <w:p w14:paraId="286CD8F8" w14:textId="77777777" w:rsidR="00576545" w:rsidRPr="002E1A5F" w:rsidRDefault="00576545" w:rsidP="00576545">
      <w:pPr>
        <w:jc w:val="both"/>
        <w:rPr>
          <w:rFonts w:eastAsiaTheme="minorEastAsia"/>
        </w:rPr>
      </w:pPr>
    </w:p>
    <w:p w14:paraId="5071FBB2" w14:textId="77777777" w:rsidR="00576545" w:rsidRPr="002E1A5F" w:rsidRDefault="00576545" w:rsidP="00576545">
      <w:pPr>
        <w:jc w:val="both"/>
        <w:rPr>
          <w:rFonts w:eastAsiaTheme="minorEastAsia"/>
        </w:rPr>
      </w:pPr>
    </w:p>
    <w:p w14:paraId="6A63B096" w14:textId="77777777" w:rsidR="00576545" w:rsidRPr="002E1A5F" w:rsidRDefault="00576545" w:rsidP="00576545">
      <w:pPr>
        <w:pStyle w:val="ListParagraph"/>
        <w:ind w:left="1080"/>
        <w:jc w:val="both"/>
        <w:rPr>
          <w:rFonts w:eastAsiaTheme="minorEastAsia"/>
        </w:rPr>
      </w:pPr>
    </w:p>
    <w:p w14:paraId="7DA441C8" w14:textId="27DA5C99" w:rsidR="008E3182" w:rsidRPr="00845BD1" w:rsidRDefault="008E3182" w:rsidP="00845BD1">
      <w:pPr>
        <w:pStyle w:val="FOATemplateBody"/>
        <w:numPr>
          <w:ilvl w:val="0"/>
          <w:numId w:val="23"/>
        </w:numPr>
        <w:spacing w:before="120"/>
        <w:ind w:left="1080"/>
        <w:rPr>
          <w:rFonts w:ascii="Arial" w:eastAsia="Arial" w:hAnsi="Arial" w:cs="Arial"/>
          <w:sz w:val="20"/>
          <w:szCs w:val="20"/>
        </w:rPr>
      </w:pPr>
      <w:r w:rsidRPr="00845BD1">
        <w:rPr>
          <w:rFonts w:ascii="Arial" w:eastAsia="Arial" w:hAnsi="Arial" w:cs="Arial"/>
          <w:sz w:val="20"/>
          <w:szCs w:val="20"/>
        </w:rPr>
        <w:t xml:space="preserve">To avoid voluminous attachments under this award, all applicable wage determination(s) included in the www.sam.gov database and uploaded to </w:t>
      </w:r>
      <w:proofErr w:type="spellStart"/>
      <w:r w:rsidRPr="00845BD1">
        <w:rPr>
          <w:rFonts w:ascii="Arial" w:eastAsia="Arial" w:hAnsi="Arial" w:cs="Arial"/>
          <w:sz w:val="20"/>
          <w:szCs w:val="20"/>
        </w:rPr>
        <w:t>LCPtracker</w:t>
      </w:r>
      <w:proofErr w:type="spellEnd"/>
      <w:r w:rsidRPr="00845BD1">
        <w:rPr>
          <w:rFonts w:ascii="Arial" w:eastAsia="Arial" w:hAnsi="Arial" w:cs="Arial"/>
          <w:sz w:val="20"/>
          <w:szCs w:val="20"/>
        </w:rPr>
        <w:t xml:space="preserve"> are incorporated by reference herein as if set forth and attached in full.  The applicable wage determination(s) are effective herein even if they have not been attached to the </w:t>
      </w:r>
      <w:r>
        <w:rPr>
          <w:rFonts w:ascii="Arial" w:eastAsia="Arial" w:hAnsi="Arial" w:cs="Arial"/>
          <w:sz w:val="20"/>
          <w:szCs w:val="20"/>
        </w:rPr>
        <w:t xml:space="preserve">lower tier </w:t>
      </w:r>
      <w:r w:rsidRPr="00845BD1">
        <w:rPr>
          <w:rFonts w:ascii="Arial" w:eastAsia="Arial" w:hAnsi="Arial" w:cs="Arial"/>
          <w:sz w:val="20"/>
          <w:szCs w:val="20"/>
        </w:rPr>
        <w:t xml:space="preserve">contract/subcontract(s) or </w:t>
      </w:r>
      <w:r>
        <w:rPr>
          <w:rFonts w:ascii="Arial" w:eastAsia="Arial" w:hAnsi="Arial" w:cs="Arial"/>
          <w:sz w:val="20"/>
          <w:szCs w:val="20"/>
        </w:rPr>
        <w:t xml:space="preserve">lower tier </w:t>
      </w:r>
      <w:r w:rsidRPr="00845BD1">
        <w:rPr>
          <w:rFonts w:ascii="Arial" w:eastAsia="Arial" w:hAnsi="Arial" w:cs="Arial"/>
          <w:sz w:val="20"/>
          <w:szCs w:val="20"/>
        </w:rPr>
        <w:t xml:space="preserve">subrecipient awards thereunder or have not been correctly identified and obtained from </w:t>
      </w:r>
      <w:hyperlink r:id="rId20" w:history="1">
        <w:r w:rsidRPr="00845BD1">
          <w:rPr>
            <w:rFonts w:ascii="Arial" w:eastAsia="Arial" w:hAnsi="Arial" w:cs="Arial"/>
            <w:sz w:val="20"/>
            <w:szCs w:val="20"/>
          </w:rPr>
          <w:t>www.sam.gov</w:t>
        </w:r>
      </w:hyperlink>
      <w:r w:rsidRPr="00845BD1">
        <w:rPr>
          <w:rFonts w:ascii="Arial" w:eastAsia="Arial" w:hAnsi="Arial" w:cs="Arial"/>
          <w:sz w:val="20"/>
          <w:szCs w:val="20"/>
        </w:rPr>
        <w:t xml:space="preserve"> and/or uploaded to </w:t>
      </w:r>
      <w:proofErr w:type="spellStart"/>
      <w:r w:rsidRPr="00845BD1">
        <w:rPr>
          <w:rFonts w:ascii="Arial" w:eastAsia="Arial" w:hAnsi="Arial" w:cs="Arial"/>
          <w:sz w:val="20"/>
          <w:szCs w:val="20"/>
        </w:rPr>
        <w:t>LCPtracker</w:t>
      </w:r>
      <w:proofErr w:type="spellEnd"/>
      <w:r w:rsidRPr="00845BD1">
        <w:rPr>
          <w:rFonts w:ascii="Arial" w:eastAsia="Arial" w:hAnsi="Arial" w:cs="Arial"/>
          <w:sz w:val="20"/>
          <w:szCs w:val="20"/>
        </w:rPr>
        <w:t xml:space="preserve">. </w:t>
      </w:r>
    </w:p>
    <w:p w14:paraId="217C8D52" w14:textId="77777777" w:rsidR="008E3182" w:rsidRPr="00845BD1" w:rsidRDefault="008E3182" w:rsidP="00845BD1">
      <w:pPr>
        <w:pStyle w:val="FOATemplateBody"/>
        <w:ind w:left="1080"/>
        <w:rPr>
          <w:rFonts w:ascii="Arial" w:eastAsia="Arial" w:hAnsi="Arial" w:cs="Arial"/>
          <w:sz w:val="20"/>
          <w:szCs w:val="20"/>
        </w:rPr>
      </w:pPr>
    </w:p>
    <w:p w14:paraId="42463969" w14:textId="3B2F3DF0" w:rsidR="008E3182" w:rsidRDefault="008E3182" w:rsidP="008E3182">
      <w:pPr>
        <w:pStyle w:val="FOATemplateBody"/>
        <w:numPr>
          <w:ilvl w:val="0"/>
          <w:numId w:val="23"/>
        </w:numPr>
        <w:ind w:left="1080"/>
        <w:rPr>
          <w:rFonts w:ascii="Arial" w:eastAsia="Arial" w:hAnsi="Arial" w:cs="Arial"/>
          <w:sz w:val="20"/>
          <w:szCs w:val="20"/>
        </w:rPr>
      </w:pPr>
      <w:r w:rsidRPr="00845BD1">
        <w:rPr>
          <w:rFonts w:ascii="Arial" w:eastAsia="Arial" w:hAnsi="Arial" w:cs="Arial"/>
          <w:sz w:val="20"/>
          <w:szCs w:val="20"/>
        </w:rPr>
        <w:t xml:space="preserve">The Department of Energy has contracted with </w:t>
      </w:r>
      <w:proofErr w:type="spellStart"/>
      <w:r w:rsidRPr="00845BD1">
        <w:rPr>
          <w:rFonts w:ascii="Arial" w:eastAsia="Arial" w:hAnsi="Arial" w:cs="Arial"/>
          <w:sz w:val="20"/>
          <w:szCs w:val="20"/>
        </w:rPr>
        <w:t>LCPtracker</w:t>
      </w:r>
      <w:proofErr w:type="spellEnd"/>
      <w:r w:rsidRPr="00845BD1">
        <w:rPr>
          <w:rFonts w:ascii="Arial" w:eastAsia="Arial" w:hAnsi="Arial" w:cs="Arial"/>
          <w:sz w:val="20"/>
          <w:szCs w:val="20"/>
        </w:rPr>
        <w:t xml:space="preserve">, a third-party DBA electronic payroll compliance software application. A waiver for the use of </w:t>
      </w:r>
      <w:proofErr w:type="spellStart"/>
      <w:r w:rsidRPr="00845BD1">
        <w:rPr>
          <w:rFonts w:ascii="Arial" w:eastAsia="Arial" w:hAnsi="Arial" w:cs="Arial"/>
          <w:sz w:val="20"/>
          <w:szCs w:val="20"/>
        </w:rPr>
        <w:t>LCPtracker</w:t>
      </w:r>
      <w:proofErr w:type="spellEnd"/>
      <w:r w:rsidRPr="00845BD1">
        <w:rPr>
          <w:rFonts w:ascii="Arial" w:eastAsia="Arial" w:hAnsi="Arial" w:cs="Arial"/>
          <w:sz w:val="20"/>
          <w:szCs w:val="20"/>
        </w:rPr>
        <w:t xml:space="preserve"> may be granted to a particular </w:t>
      </w:r>
      <w:r w:rsidR="00735483">
        <w:rPr>
          <w:rFonts w:ascii="Arial" w:eastAsia="Arial" w:hAnsi="Arial" w:cs="Arial"/>
          <w:sz w:val="20"/>
          <w:szCs w:val="20"/>
        </w:rPr>
        <w:t xml:space="preserve">lower tier </w:t>
      </w:r>
      <w:r w:rsidRPr="00845BD1">
        <w:rPr>
          <w:rFonts w:ascii="Arial" w:eastAsia="Arial" w:hAnsi="Arial" w:cs="Arial"/>
          <w:sz w:val="20"/>
          <w:szCs w:val="20"/>
        </w:rPr>
        <w:t xml:space="preserve">contractor or </w:t>
      </w:r>
      <w:r w:rsidR="00735483">
        <w:rPr>
          <w:rFonts w:ascii="Arial" w:eastAsia="Arial" w:hAnsi="Arial" w:cs="Arial"/>
          <w:sz w:val="20"/>
          <w:szCs w:val="20"/>
        </w:rPr>
        <w:t xml:space="preserve">lower tier </w:t>
      </w:r>
      <w:r w:rsidRPr="00845BD1">
        <w:rPr>
          <w:rFonts w:ascii="Arial" w:eastAsia="Arial" w:hAnsi="Arial" w:cs="Arial"/>
          <w:sz w:val="20"/>
          <w:szCs w:val="20"/>
        </w:rPr>
        <w:t>subcontractor if they are unable or limited in their ability to use or access the software.</w:t>
      </w:r>
    </w:p>
    <w:p w14:paraId="5B6A5CDA" w14:textId="77777777" w:rsidR="00735483" w:rsidRDefault="00735483" w:rsidP="00845BD1">
      <w:pPr>
        <w:pStyle w:val="ListParagraph"/>
        <w:rPr>
          <w:rFonts w:eastAsia="Arial"/>
        </w:rPr>
      </w:pPr>
    </w:p>
    <w:p w14:paraId="55A94FE1" w14:textId="77777777" w:rsidR="00735483" w:rsidRPr="00845BD1" w:rsidRDefault="00735483" w:rsidP="00845BD1">
      <w:pPr>
        <w:pStyle w:val="FOATemplateBody"/>
        <w:ind w:left="1080"/>
        <w:rPr>
          <w:rFonts w:ascii="Arial" w:eastAsia="Arial" w:hAnsi="Arial" w:cs="Arial"/>
          <w:sz w:val="20"/>
          <w:szCs w:val="20"/>
        </w:rPr>
      </w:pPr>
    </w:p>
    <w:p w14:paraId="2987A0ED" w14:textId="77777777" w:rsidR="00576545" w:rsidRPr="002E1A5F" w:rsidRDefault="00576545" w:rsidP="00576545">
      <w:pPr>
        <w:jc w:val="both"/>
        <w:rPr>
          <w:color w:val="000000" w:themeColor="text1"/>
        </w:rPr>
      </w:pPr>
    </w:p>
    <w:p w14:paraId="5335802F" w14:textId="22A46045" w:rsidR="00576545" w:rsidRPr="002E1A5F" w:rsidRDefault="00576545" w:rsidP="00576545">
      <w:pPr>
        <w:pStyle w:val="ListParagraph"/>
        <w:numPr>
          <w:ilvl w:val="0"/>
          <w:numId w:val="23"/>
        </w:numPr>
        <w:ind w:left="1080"/>
        <w:jc w:val="both"/>
        <w:rPr>
          <w:color w:val="000000" w:themeColor="text1"/>
        </w:rPr>
      </w:pPr>
      <w:r w:rsidRPr="002E1A5F">
        <w:rPr>
          <w:rFonts w:eastAsia="Arial"/>
        </w:rPr>
        <w:t xml:space="preserve">Davis Bacon Act Electronic Certified Payroll Submission Waiver - A waiver must be granted before </w:t>
      </w:r>
      <w:r w:rsidR="00CC1740" w:rsidRPr="00CC1740">
        <w:rPr>
          <w:rFonts w:eastAsia="Arial"/>
        </w:rPr>
        <w:t xml:space="preserve">the </w:t>
      </w:r>
      <w:r w:rsidR="00CC1740" w:rsidRPr="00845BD1">
        <w:t>start of work subject to Davis-Bacon Act requirements (e.g., construction, alteration, or repair work)</w:t>
      </w:r>
      <w:r w:rsidRPr="002E1A5F">
        <w:rPr>
          <w:rFonts w:eastAsia="Arial"/>
        </w:rPr>
        <w:t xml:space="preserve">. The </w:t>
      </w:r>
      <w:r w:rsidR="00CC1740">
        <w:rPr>
          <w:rFonts w:eastAsia="Arial"/>
        </w:rPr>
        <w:t>Subrecipient</w:t>
      </w:r>
      <w:r w:rsidR="00CC1740" w:rsidRPr="002E1A5F">
        <w:rPr>
          <w:rFonts w:eastAsia="Arial"/>
        </w:rPr>
        <w:t xml:space="preserve"> </w:t>
      </w:r>
      <w:r w:rsidRPr="002E1A5F">
        <w:rPr>
          <w:rFonts w:eastAsia="Arial"/>
        </w:rPr>
        <w:t>does not have the right to appeal DOE’s decision concerning a waiver request.</w:t>
      </w:r>
    </w:p>
    <w:p w14:paraId="46836DFB" w14:textId="77777777" w:rsidR="00576545" w:rsidRPr="002E1A5F" w:rsidRDefault="00576545" w:rsidP="00576545">
      <w:pPr>
        <w:pStyle w:val="ListParagraph"/>
        <w:jc w:val="both"/>
        <w:rPr>
          <w:rFonts w:eastAsiaTheme="minorEastAsia"/>
        </w:rPr>
      </w:pPr>
    </w:p>
    <w:p w14:paraId="3B1F0708" w14:textId="4B6223BE" w:rsidR="00576545" w:rsidRPr="002E1A5F" w:rsidRDefault="00576545" w:rsidP="00576545">
      <w:pPr>
        <w:pStyle w:val="ListParagraph"/>
        <w:numPr>
          <w:ilvl w:val="0"/>
          <w:numId w:val="23"/>
        </w:numPr>
        <w:ind w:left="1080"/>
        <w:jc w:val="both"/>
      </w:pPr>
      <w:r w:rsidRPr="002E1A5F">
        <w:rPr>
          <w:rFonts w:eastAsiaTheme="minorEastAsia"/>
        </w:rPr>
        <w:t xml:space="preserve">For additional guidance on how to comply with the Davis-Bacon provisions and clauses, see </w:t>
      </w:r>
      <w:r w:rsidRPr="00131966">
        <w:rPr>
          <w:rFonts w:eastAsiaTheme="minorEastAsia"/>
        </w:rPr>
        <w:t xml:space="preserve">https://www.dol.gov/agencies/whd/government-contracts/construction </w:t>
      </w:r>
      <w:r w:rsidRPr="002E1A5F">
        <w:rPr>
          <w:rFonts w:eastAsiaTheme="minorEastAsia"/>
        </w:rPr>
        <w:t xml:space="preserve">and </w:t>
      </w:r>
      <w:r w:rsidR="00B67D80" w:rsidRPr="00131966">
        <w:t>https://www.dol.gov/agencies/whd/government-contracts/protections-for-workers-in-construction</w:t>
      </w:r>
      <w:r w:rsidR="00B67D80" w:rsidRPr="002E1A5F">
        <w:t>.</w:t>
      </w:r>
    </w:p>
    <w:p w14:paraId="7CA35557" w14:textId="77777777" w:rsidR="00D3461A" w:rsidRPr="002E1A5F" w:rsidRDefault="00D3461A" w:rsidP="7A327B2A">
      <w:pPr>
        <w:jc w:val="both"/>
      </w:pPr>
    </w:p>
    <w:p w14:paraId="3879C18A" w14:textId="170DF5EF" w:rsidR="003E4CF4" w:rsidRPr="002263C8" w:rsidRDefault="00A10F3F" w:rsidP="00A14545">
      <w:pPr>
        <w:pStyle w:val="Heading2"/>
        <w:numPr>
          <w:ilvl w:val="0"/>
          <w:numId w:val="27"/>
        </w:numPr>
        <w:jc w:val="both"/>
        <w:rPr>
          <w:rFonts w:ascii="Arial" w:eastAsia="Times New Roman" w:hAnsi="Arial" w:cs="Arial"/>
          <w:b/>
          <w:bCs/>
          <w:color w:val="auto"/>
          <w:sz w:val="20"/>
          <w:szCs w:val="20"/>
        </w:rPr>
      </w:pPr>
      <w:bookmarkStart w:id="30" w:name="_Toc206158597"/>
      <w:r w:rsidRPr="002263C8">
        <w:rPr>
          <w:rFonts w:ascii="Arial" w:eastAsia="Times New Roman" w:hAnsi="Arial" w:cs="Arial"/>
          <w:b/>
          <w:bCs/>
          <w:color w:val="auto"/>
          <w:sz w:val="20"/>
          <w:szCs w:val="20"/>
        </w:rPr>
        <w:t>Buy America Requirement for Infrastructure Projects</w:t>
      </w:r>
      <w:bookmarkEnd w:id="30"/>
    </w:p>
    <w:p w14:paraId="739E0067" w14:textId="77777777" w:rsidR="00A10F3F" w:rsidRPr="002E1A5F" w:rsidRDefault="00A10F3F" w:rsidP="7A327B2A">
      <w:pPr>
        <w:jc w:val="both"/>
      </w:pPr>
    </w:p>
    <w:p w14:paraId="6A164E95" w14:textId="77777777" w:rsidR="00CA1581" w:rsidRPr="002E1A5F" w:rsidRDefault="00CA1581" w:rsidP="00CA1581">
      <w:pPr>
        <w:pStyle w:val="ListParagraph"/>
        <w:numPr>
          <w:ilvl w:val="0"/>
          <w:numId w:val="20"/>
        </w:numPr>
        <w:ind w:left="1080"/>
        <w:jc w:val="both"/>
      </w:pPr>
      <w:r w:rsidRPr="002E1A5F">
        <w:t>Definitions. For purposes of the Buy America requirements, the following definitions apply:</w:t>
      </w:r>
    </w:p>
    <w:p w14:paraId="74D192E0" w14:textId="77777777" w:rsidR="00CA1581" w:rsidRPr="002E1A5F" w:rsidRDefault="00CA1581" w:rsidP="00CA1581">
      <w:pPr>
        <w:pStyle w:val="ListParagraph"/>
        <w:ind w:left="1440"/>
        <w:jc w:val="both"/>
      </w:pPr>
    </w:p>
    <w:p w14:paraId="26FC9908" w14:textId="118A6604" w:rsidR="00CA1581" w:rsidRPr="002E1A5F" w:rsidRDefault="00CA1581" w:rsidP="00CA1581">
      <w:pPr>
        <w:pStyle w:val="ListParagraph"/>
        <w:numPr>
          <w:ilvl w:val="0"/>
          <w:numId w:val="19"/>
        </w:numPr>
        <w:ind w:left="1440"/>
        <w:jc w:val="both"/>
      </w:pPr>
      <w:r w:rsidRPr="002E1A5F">
        <w:rPr>
          <w:i/>
          <w:iCs/>
        </w:rPr>
        <w:t>Components</w:t>
      </w:r>
      <w:r w:rsidR="00E34782">
        <w:rPr>
          <w:i/>
          <w:iCs/>
        </w:rPr>
        <w:t xml:space="preserve"> </w:t>
      </w:r>
      <w:r w:rsidR="00A14F28" w:rsidRPr="00845BD1">
        <w:rPr>
          <w:rStyle w:val="normaltextrun"/>
        </w:rPr>
        <w:t>See 2 CFR 184.3 “Definitions</w:t>
      </w:r>
      <w:r w:rsidR="00A14F28" w:rsidRPr="00845BD1">
        <w:rPr>
          <w:rStyle w:val="normaltextrun"/>
          <w:rFonts w:ascii="Times New Roman" w:hAnsi="Times New Roman" w:cs="Times New Roman"/>
          <w:sz w:val="22"/>
          <w:szCs w:val="22"/>
        </w:rPr>
        <w:t>.</w:t>
      </w:r>
      <w:r w:rsidR="00A14F28" w:rsidRPr="00A14F28">
        <w:rPr>
          <w:rStyle w:val="normaltextrun"/>
          <w:rFonts w:ascii="Times New Roman" w:hAnsi="Times New Roman" w:cs="Times New Roman"/>
          <w:sz w:val="22"/>
          <w:szCs w:val="22"/>
        </w:rPr>
        <w:t>”</w:t>
      </w:r>
      <w:r w:rsidRPr="002E1A5F">
        <w:t>.</w:t>
      </w:r>
    </w:p>
    <w:p w14:paraId="438792E9" w14:textId="77777777" w:rsidR="00CA1581" w:rsidRPr="002E1A5F" w:rsidRDefault="00CA1581" w:rsidP="00CA1581">
      <w:pPr>
        <w:jc w:val="both"/>
      </w:pPr>
    </w:p>
    <w:p w14:paraId="431BC7AA" w14:textId="738A820C" w:rsidR="00CA1581" w:rsidRPr="002E1A5F" w:rsidRDefault="00CA1581" w:rsidP="00CA1581">
      <w:pPr>
        <w:pStyle w:val="ListParagraph"/>
        <w:numPr>
          <w:ilvl w:val="0"/>
          <w:numId w:val="19"/>
        </w:numPr>
        <w:ind w:left="1440"/>
        <w:jc w:val="both"/>
      </w:pPr>
      <w:r w:rsidRPr="002E1A5F">
        <w:rPr>
          <w:i/>
          <w:iCs/>
        </w:rPr>
        <w:t>Construction Materials</w:t>
      </w:r>
      <w:r w:rsidRPr="002E1A5F">
        <w:t xml:space="preserve"> </w:t>
      </w:r>
      <w:r w:rsidR="005E2C56" w:rsidRPr="00845BD1">
        <w:rPr>
          <w:rStyle w:val="normaltextrun"/>
        </w:rPr>
        <w:t>See 2 CFR 184.3 “Definitions.”</w:t>
      </w:r>
      <w:r w:rsidR="005E2C56" w:rsidRPr="00845BD1">
        <w:rPr>
          <w:rStyle w:val="eop"/>
          <w:rFonts w:ascii="Times New Roman" w:eastAsiaTheme="minorEastAsia" w:hAnsi="Times New Roman" w:cs="Times New Roman"/>
          <w:sz w:val="22"/>
          <w:szCs w:val="22"/>
        </w:rPr>
        <w:t> </w:t>
      </w:r>
    </w:p>
    <w:p w14:paraId="1BC7A87D" w14:textId="77777777" w:rsidR="00CA1581" w:rsidRPr="002E1A5F" w:rsidRDefault="00CA1581" w:rsidP="00CA1581">
      <w:pPr>
        <w:jc w:val="both"/>
      </w:pPr>
    </w:p>
    <w:p w14:paraId="37200603" w14:textId="77777777" w:rsidR="00D161C9" w:rsidRPr="00845BD1" w:rsidRDefault="00D161C9" w:rsidP="00845BD1">
      <w:pPr>
        <w:jc w:val="both"/>
        <w:rPr>
          <w:i/>
          <w:iCs/>
        </w:rPr>
      </w:pPr>
    </w:p>
    <w:p w14:paraId="62074E94" w14:textId="77777777" w:rsidR="00CA1581" w:rsidRPr="002E1A5F" w:rsidRDefault="00CA1581" w:rsidP="00CA1581">
      <w:pPr>
        <w:jc w:val="both"/>
      </w:pPr>
    </w:p>
    <w:p w14:paraId="4D5E6027" w14:textId="4C6A402B" w:rsidR="00CA1581" w:rsidRPr="002E1A5F" w:rsidRDefault="00970EA0" w:rsidP="00CA1581">
      <w:pPr>
        <w:pStyle w:val="ListParagraph"/>
        <w:numPr>
          <w:ilvl w:val="0"/>
          <w:numId w:val="19"/>
        </w:numPr>
        <w:ind w:left="1440"/>
        <w:jc w:val="both"/>
        <w:rPr>
          <w:rFonts w:eastAsia="Arial"/>
          <w:color w:val="000000" w:themeColor="text1"/>
        </w:rPr>
      </w:pPr>
      <w:r>
        <w:rPr>
          <w:rFonts w:eastAsia="Arial"/>
          <w:i/>
          <w:iCs/>
        </w:rPr>
        <w:t>Buy America Preference, Buy America Requirement, or d</w:t>
      </w:r>
      <w:r w:rsidR="00CA1581" w:rsidRPr="002E1A5F">
        <w:rPr>
          <w:rFonts w:eastAsia="Arial"/>
          <w:i/>
          <w:iCs/>
        </w:rPr>
        <w:t>omestic content procurement preference</w:t>
      </w:r>
      <w:r w:rsidR="00CA1581" w:rsidRPr="002E1A5F">
        <w:rPr>
          <w:rFonts w:eastAsia="Arial"/>
        </w:rPr>
        <w:t xml:space="preserve"> means a requirement that no amount</w:t>
      </w:r>
      <w:r w:rsidR="00FF27F7">
        <w:rPr>
          <w:rFonts w:eastAsia="Arial"/>
        </w:rPr>
        <w:t xml:space="preserve"> of fund</w:t>
      </w:r>
      <w:r w:rsidR="00CA1581" w:rsidRPr="002E1A5F">
        <w:rPr>
          <w:rFonts w:eastAsia="Arial"/>
        </w:rPr>
        <w:t>s made available through a program for federal financial assistance may be obligated for an infrastructure project unless—</w:t>
      </w:r>
    </w:p>
    <w:p w14:paraId="389B9096" w14:textId="77777777" w:rsidR="00CA1581" w:rsidRPr="002E1A5F" w:rsidRDefault="00CA1581" w:rsidP="00CA1581">
      <w:pPr>
        <w:jc w:val="both"/>
        <w:rPr>
          <w:rFonts w:eastAsia="Arial"/>
        </w:rPr>
      </w:pPr>
    </w:p>
    <w:p w14:paraId="43068ADB" w14:textId="77777777" w:rsidR="00CA1581" w:rsidRPr="002E1A5F" w:rsidRDefault="00CA1581" w:rsidP="00CA1581">
      <w:pPr>
        <w:pStyle w:val="ListParagraph"/>
        <w:numPr>
          <w:ilvl w:val="6"/>
          <w:numId w:val="46"/>
        </w:numPr>
        <w:ind w:left="1890"/>
        <w:jc w:val="both"/>
        <w:rPr>
          <w:rFonts w:eastAsia="Arial"/>
        </w:rPr>
      </w:pPr>
      <w:r w:rsidRPr="002E1A5F">
        <w:rPr>
          <w:rFonts w:eastAsia="Arial"/>
        </w:rPr>
        <w:t xml:space="preserve">all iron and steel used in the project are produced in the United </w:t>
      </w:r>
      <w:proofErr w:type="gramStart"/>
      <w:r w:rsidRPr="002E1A5F">
        <w:rPr>
          <w:rFonts w:eastAsia="Arial"/>
        </w:rPr>
        <w:t>States;</w:t>
      </w:r>
      <w:proofErr w:type="gramEnd"/>
    </w:p>
    <w:p w14:paraId="6D09CE85" w14:textId="77777777" w:rsidR="00CA1581" w:rsidRPr="002E1A5F" w:rsidRDefault="00CA1581" w:rsidP="00CA1581">
      <w:pPr>
        <w:pStyle w:val="ListParagraph"/>
        <w:numPr>
          <w:ilvl w:val="6"/>
          <w:numId w:val="46"/>
        </w:numPr>
        <w:ind w:left="1890"/>
        <w:jc w:val="both"/>
        <w:rPr>
          <w:rFonts w:eastAsia="Arial"/>
        </w:rPr>
      </w:pPr>
      <w:r w:rsidRPr="002E1A5F">
        <w:rPr>
          <w:rFonts w:eastAsia="Arial"/>
        </w:rPr>
        <w:t>the manufactured products used in the project are produced in the United States; or</w:t>
      </w:r>
    </w:p>
    <w:p w14:paraId="2C44B1CA" w14:textId="77777777" w:rsidR="00CA1581" w:rsidRPr="002E1A5F" w:rsidRDefault="00CA1581" w:rsidP="00CA1581">
      <w:pPr>
        <w:pStyle w:val="ListParagraph"/>
        <w:numPr>
          <w:ilvl w:val="6"/>
          <w:numId w:val="46"/>
        </w:numPr>
        <w:ind w:left="1890"/>
        <w:jc w:val="both"/>
        <w:rPr>
          <w:rFonts w:eastAsia="Arial"/>
        </w:rPr>
      </w:pPr>
      <w:r w:rsidRPr="002E1A5F">
        <w:rPr>
          <w:rFonts w:eastAsia="Arial"/>
        </w:rPr>
        <w:t>the construction materials used in the project are produced in the United States.</w:t>
      </w:r>
    </w:p>
    <w:p w14:paraId="62655465" w14:textId="77777777" w:rsidR="00CA1581" w:rsidRPr="002E1A5F" w:rsidRDefault="00CA1581" w:rsidP="00CA1581">
      <w:pPr>
        <w:ind w:left="1350"/>
        <w:jc w:val="both"/>
        <w:rPr>
          <w:rFonts w:eastAsia="Arial"/>
        </w:rPr>
      </w:pPr>
    </w:p>
    <w:p w14:paraId="586C1165" w14:textId="77777777" w:rsidR="00CA1581" w:rsidRPr="002E1A5F" w:rsidRDefault="00CA1581" w:rsidP="00CA1581">
      <w:pPr>
        <w:jc w:val="both"/>
      </w:pPr>
    </w:p>
    <w:p w14:paraId="537AFF7B" w14:textId="2E40CBDA" w:rsidR="00BE0EB1" w:rsidRPr="00DA54C6" w:rsidRDefault="00CA1581" w:rsidP="00A56939">
      <w:pPr>
        <w:pStyle w:val="ListParagraph"/>
        <w:numPr>
          <w:ilvl w:val="0"/>
          <w:numId w:val="19"/>
        </w:numPr>
        <w:ind w:left="1440"/>
        <w:jc w:val="both"/>
      </w:pPr>
      <w:r w:rsidRPr="00A56939">
        <w:rPr>
          <w:i/>
          <w:iCs/>
        </w:rPr>
        <w:t>Infrastructure</w:t>
      </w:r>
      <w:r w:rsidRPr="002E1A5F">
        <w:t xml:space="preserve"> </w:t>
      </w:r>
      <w:r w:rsidR="00A56939" w:rsidRPr="00845BD1">
        <w:rPr>
          <w:rStyle w:val="normaltextrun"/>
        </w:rPr>
        <w:t>See 2 CFR 184.4 (c) and (d).</w:t>
      </w:r>
    </w:p>
    <w:p w14:paraId="038110E5" w14:textId="74F1AE95" w:rsidR="00CA1581" w:rsidRPr="00DA54C6" w:rsidRDefault="006E7EC7" w:rsidP="00845BD1">
      <w:pPr>
        <w:pStyle w:val="ListParagraph"/>
        <w:numPr>
          <w:ilvl w:val="0"/>
          <w:numId w:val="19"/>
        </w:numPr>
        <w:ind w:left="1440"/>
        <w:jc w:val="both"/>
      </w:pPr>
      <w:r w:rsidRPr="00845BD1">
        <w:rPr>
          <w:rStyle w:val="normaltextrun"/>
          <w:bCs/>
          <w:i/>
          <w:iCs/>
        </w:rPr>
        <w:t>Infrastructure Project</w:t>
      </w:r>
      <w:r w:rsidRPr="00845BD1">
        <w:rPr>
          <w:rStyle w:val="normaltextrun"/>
        </w:rPr>
        <w:t xml:space="preserve"> See 2 CFR 184.3 “Definitions.</w:t>
      </w:r>
      <w:r w:rsidR="00DA54C6">
        <w:rPr>
          <w:rStyle w:val="normaltextrun"/>
        </w:rPr>
        <w:t>”</w:t>
      </w:r>
    </w:p>
    <w:p w14:paraId="171B2629" w14:textId="77777777" w:rsidR="00CA1581" w:rsidRPr="002E1A5F" w:rsidRDefault="00CA1581" w:rsidP="00CA1581">
      <w:pPr>
        <w:pStyle w:val="ListParagraph"/>
        <w:ind w:left="1440"/>
        <w:jc w:val="both"/>
        <w:rPr>
          <w:b/>
          <w:bCs/>
        </w:rPr>
      </w:pPr>
    </w:p>
    <w:p w14:paraId="0793AFD1" w14:textId="507C79F4" w:rsidR="00CA1581" w:rsidRPr="002E1A5F" w:rsidRDefault="00CA1581" w:rsidP="00CA1581">
      <w:pPr>
        <w:pStyle w:val="ListParagraph"/>
        <w:numPr>
          <w:ilvl w:val="0"/>
          <w:numId w:val="7"/>
        </w:numPr>
        <w:ind w:left="1440"/>
        <w:jc w:val="both"/>
        <w:rPr>
          <w:rFonts w:eastAsia="Arial"/>
          <w:color w:val="000000" w:themeColor="text1"/>
        </w:rPr>
      </w:pPr>
      <w:r w:rsidRPr="002E1A5F">
        <w:rPr>
          <w:rFonts w:eastAsia="Arial"/>
          <w:i/>
          <w:iCs/>
        </w:rPr>
        <w:t xml:space="preserve">Manufactured Products </w:t>
      </w:r>
      <w:r w:rsidR="00E9463D" w:rsidRPr="00845BD1">
        <w:rPr>
          <w:rStyle w:val="normaltextrun"/>
        </w:rPr>
        <w:t>See 2 CFR 184.3 “Definitions.”</w:t>
      </w:r>
      <w:r w:rsidR="00E9463D" w:rsidRPr="00845BD1">
        <w:rPr>
          <w:rStyle w:val="normaltextrun"/>
          <w:rFonts w:ascii="Times New Roman" w:hAnsi="Times New Roman" w:cs="Times New Roman"/>
          <w:sz w:val="22"/>
          <w:szCs w:val="22"/>
        </w:rPr>
        <w:t> </w:t>
      </w:r>
    </w:p>
    <w:p w14:paraId="47CC8BE3" w14:textId="044556B3" w:rsidR="00CA1581" w:rsidRPr="002E1A5F" w:rsidRDefault="00CA1581" w:rsidP="00CA1581">
      <w:pPr>
        <w:pStyle w:val="ListParagraph"/>
        <w:ind w:left="1440"/>
        <w:jc w:val="both"/>
        <w:rPr>
          <w:rFonts w:eastAsia="Arial"/>
          <w:color w:val="000000" w:themeColor="text1"/>
        </w:rPr>
      </w:pPr>
    </w:p>
    <w:p w14:paraId="0D1F6EB1" w14:textId="2F6BC888" w:rsidR="00CA1581" w:rsidRPr="002E1A5F" w:rsidRDefault="00C03543" w:rsidP="00CA1581">
      <w:pPr>
        <w:pStyle w:val="ListParagraph"/>
        <w:numPr>
          <w:ilvl w:val="0"/>
          <w:numId w:val="7"/>
        </w:numPr>
        <w:ind w:left="1440"/>
        <w:jc w:val="both"/>
        <w:rPr>
          <w:rFonts w:eastAsia="Arial"/>
          <w:color w:val="000000" w:themeColor="text1"/>
        </w:rPr>
      </w:pPr>
      <w:r>
        <w:rPr>
          <w:rFonts w:eastAsia="Arial"/>
          <w:i/>
          <w:iCs/>
        </w:rPr>
        <w:t>Predominantly</w:t>
      </w:r>
      <w:r w:rsidRPr="002E1A5F">
        <w:rPr>
          <w:rFonts w:eastAsia="Arial"/>
          <w:i/>
          <w:iCs/>
        </w:rPr>
        <w:t xml:space="preserve"> </w:t>
      </w:r>
      <w:r w:rsidR="00CA1581" w:rsidRPr="002E1A5F">
        <w:rPr>
          <w:rFonts w:eastAsia="Arial"/>
          <w:i/>
          <w:iCs/>
        </w:rPr>
        <w:t xml:space="preserve">of iron or steel </w:t>
      </w:r>
      <w:r w:rsidR="00524FCD" w:rsidRPr="00845BD1">
        <w:rPr>
          <w:rStyle w:val="normaltextrun"/>
        </w:rPr>
        <w:t>See 2 CFR 184.3 “Definitions."</w:t>
      </w:r>
      <w:r w:rsidR="00524FCD" w:rsidRPr="00845BD1">
        <w:rPr>
          <w:rStyle w:val="eop"/>
          <w:rFonts w:ascii="Times New Roman" w:eastAsiaTheme="minorEastAsia" w:hAnsi="Times New Roman" w:cs="Times New Roman"/>
          <w:sz w:val="22"/>
          <w:szCs w:val="22"/>
        </w:rPr>
        <w:t> </w:t>
      </w:r>
    </w:p>
    <w:p w14:paraId="09E62D02" w14:textId="5DD32861" w:rsidR="00CA1581" w:rsidRPr="002E1A5F" w:rsidRDefault="00CA1581" w:rsidP="00CA1581">
      <w:pPr>
        <w:jc w:val="both"/>
      </w:pPr>
    </w:p>
    <w:p w14:paraId="2521AD2B" w14:textId="77777777" w:rsidR="00CA1581" w:rsidRPr="002E1A5F" w:rsidRDefault="00CA1581" w:rsidP="00CA1581">
      <w:pPr>
        <w:pStyle w:val="ListParagraph"/>
        <w:ind w:left="1440"/>
        <w:jc w:val="both"/>
      </w:pPr>
    </w:p>
    <w:p w14:paraId="17FD0AFD" w14:textId="77777777" w:rsidR="00CA1581" w:rsidRPr="002E1A5F" w:rsidRDefault="00CA1581" w:rsidP="00CA1581">
      <w:pPr>
        <w:pStyle w:val="ListParagraph"/>
        <w:numPr>
          <w:ilvl w:val="0"/>
          <w:numId w:val="6"/>
        </w:numPr>
        <w:ind w:left="1440"/>
        <w:jc w:val="both"/>
        <w:rPr>
          <w:rFonts w:eastAsia="Arial"/>
          <w:color w:val="000000" w:themeColor="text1"/>
        </w:rPr>
      </w:pPr>
      <w:r w:rsidRPr="002E1A5F">
        <w:rPr>
          <w:rFonts w:eastAsia="Arial"/>
          <w:i/>
          <w:iCs/>
        </w:rPr>
        <w:t>Public</w:t>
      </w:r>
      <w:r w:rsidRPr="002E1A5F">
        <w:rPr>
          <w:rFonts w:eastAsia="Arial"/>
        </w:rPr>
        <w:t>- The Buy America Requirement does not apply to non-public infrastructure. For purposes of this guidance,</w:t>
      </w:r>
    </w:p>
    <w:p w14:paraId="619B4082" w14:textId="77777777" w:rsidR="00CA1581" w:rsidRPr="002E1A5F" w:rsidRDefault="00CA1581" w:rsidP="00CA1581">
      <w:pPr>
        <w:pStyle w:val="ListParagraph"/>
        <w:ind w:left="1440"/>
        <w:jc w:val="both"/>
        <w:rPr>
          <w:rFonts w:eastAsia="Arial"/>
          <w:color w:val="000000" w:themeColor="text1"/>
        </w:rPr>
      </w:pPr>
    </w:p>
    <w:p w14:paraId="1C06A8B3" w14:textId="77777777" w:rsidR="00CA1581" w:rsidRPr="002E1A5F" w:rsidRDefault="00CA1581" w:rsidP="00CA1581">
      <w:pPr>
        <w:pStyle w:val="ListParagraph"/>
        <w:numPr>
          <w:ilvl w:val="3"/>
          <w:numId w:val="6"/>
        </w:numPr>
        <w:ind w:left="1800"/>
        <w:jc w:val="both"/>
      </w:pPr>
      <w:r w:rsidRPr="002E1A5F">
        <w:t>infrastructure should be considered “public” if it is: (1) publicly owned or (2) privately owned but utilized</w:t>
      </w:r>
    </w:p>
    <w:p w14:paraId="46829CF7" w14:textId="77777777" w:rsidR="00CA1581" w:rsidRPr="002E1A5F" w:rsidRDefault="00CA1581" w:rsidP="00CA1581">
      <w:pPr>
        <w:pStyle w:val="ListParagraph"/>
        <w:numPr>
          <w:ilvl w:val="3"/>
          <w:numId w:val="6"/>
        </w:numPr>
        <w:ind w:left="1800"/>
        <w:jc w:val="both"/>
      </w:pPr>
      <w:r w:rsidRPr="002E1A5F">
        <w:t xml:space="preserve">primarily for a public purpose. Infrastructure should </w:t>
      </w:r>
      <w:proofErr w:type="gramStart"/>
      <w:r w:rsidRPr="002E1A5F">
        <w:t>be considered to be</w:t>
      </w:r>
      <w:proofErr w:type="gramEnd"/>
      <w:r w:rsidRPr="002E1A5F">
        <w:t xml:space="preserve"> “utilized primarily for a public purpose”</w:t>
      </w:r>
    </w:p>
    <w:p w14:paraId="1BCC8394" w14:textId="77777777" w:rsidR="00CA1581" w:rsidRPr="002E1A5F" w:rsidRDefault="00CA1581" w:rsidP="00CA1581">
      <w:pPr>
        <w:pStyle w:val="ListParagraph"/>
        <w:numPr>
          <w:ilvl w:val="3"/>
          <w:numId w:val="6"/>
        </w:numPr>
        <w:ind w:left="1800"/>
        <w:jc w:val="both"/>
      </w:pPr>
      <w:r w:rsidRPr="002E1A5F">
        <w:t>if it is privately operated on behalf of the public or is a place of public accommodation.</w:t>
      </w:r>
    </w:p>
    <w:p w14:paraId="0FE0820F" w14:textId="77777777" w:rsidR="00CA1581" w:rsidRPr="002E1A5F" w:rsidRDefault="00CA1581" w:rsidP="00CA1581">
      <w:pPr>
        <w:ind w:left="1440"/>
        <w:jc w:val="both"/>
      </w:pPr>
    </w:p>
    <w:p w14:paraId="32EA4341" w14:textId="55136A04" w:rsidR="00CA1581" w:rsidRPr="002E1A5F" w:rsidRDefault="00CA1581" w:rsidP="00CA1581">
      <w:pPr>
        <w:pStyle w:val="ListParagraph"/>
        <w:numPr>
          <w:ilvl w:val="0"/>
          <w:numId w:val="20"/>
        </w:numPr>
        <w:ind w:left="1080"/>
        <w:jc w:val="both"/>
      </w:pPr>
      <w:r w:rsidRPr="002E1A5F">
        <w:lastRenderedPageBreak/>
        <w:t>Buy America Requirement</w:t>
      </w:r>
      <w:r w:rsidR="00F76A34">
        <w:t xml:space="preserve"> for Infrastructure Projects (Buy America Requirement)</w:t>
      </w:r>
    </w:p>
    <w:p w14:paraId="6022EB3B" w14:textId="77777777" w:rsidR="00CA1581" w:rsidRPr="002E1A5F" w:rsidRDefault="00CA1581" w:rsidP="00CA1581">
      <w:pPr>
        <w:pStyle w:val="ListParagraph"/>
        <w:ind w:left="1080"/>
        <w:jc w:val="both"/>
      </w:pPr>
    </w:p>
    <w:p w14:paraId="36A70F60" w14:textId="77777777" w:rsidR="00CA1581" w:rsidRPr="002E1A5F" w:rsidRDefault="00CA1581" w:rsidP="00CA1581">
      <w:pPr>
        <w:pStyle w:val="ListParagraph"/>
        <w:ind w:left="1080"/>
        <w:jc w:val="both"/>
      </w:pPr>
      <w:r w:rsidRPr="002E1A5F">
        <w:t>In accordance with section 70914 of the BIL, none of the project funds (</w:t>
      </w:r>
      <w:proofErr w:type="gramStart"/>
      <w:r w:rsidRPr="002E1A5F">
        <w:t>includes</w:t>
      </w:r>
      <w:proofErr w:type="gramEnd"/>
      <w:r w:rsidRPr="002E1A5F">
        <w:t xml:space="preserve"> federal share and Subrecipient cost share) may be used for a project for infrastructure unless:</w:t>
      </w:r>
    </w:p>
    <w:p w14:paraId="4205A0A7" w14:textId="77777777" w:rsidR="00CA1581" w:rsidRPr="002E1A5F" w:rsidRDefault="00CA1581" w:rsidP="00CA1581">
      <w:pPr>
        <w:jc w:val="both"/>
      </w:pPr>
    </w:p>
    <w:p w14:paraId="6CF10B25" w14:textId="77777777" w:rsidR="00CA1581" w:rsidRPr="002E1A5F" w:rsidRDefault="00CA1581" w:rsidP="00CA1581">
      <w:pPr>
        <w:pStyle w:val="ListParagraph"/>
        <w:numPr>
          <w:ilvl w:val="0"/>
          <w:numId w:val="21"/>
        </w:numPr>
        <w:ind w:left="1440"/>
        <w:jc w:val="both"/>
      </w:pPr>
      <w:r w:rsidRPr="002E1A5F">
        <w:t xml:space="preserve">All iron and steel used in the project are produced in the United States—this means all manufacturing processes, from the initial melting stage through the application of coatings, occurred in the United </w:t>
      </w:r>
      <w:proofErr w:type="gramStart"/>
      <w:r w:rsidRPr="002E1A5F">
        <w:t>States;</w:t>
      </w:r>
      <w:proofErr w:type="gramEnd"/>
    </w:p>
    <w:p w14:paraId="76457A88" w14:textId="77777777" w:rsidR="00CA1581" w:rsidRPr="002E1A5F" w:rsidRDefault="00CA1581" w:rsidP="00CA1581">
      <w:pPr>
        <w:pStyle w:val="ListParagraph"/>
        <w:ind w:left="1440"/>
        <w:jc w:val="both"/>
      </w:pPr>
    </w:p>
    <w:p w14:paraId="627AA96B" w14:textId="7BBF0AD7" w:rsidR="00CA1581" w:rsidRPr="002E1A5F" w:rsidRDefault="00CA1581" w:rsidP="00CA1581">
      <w:pPr>
        <w:pStyle w:val="ListParagraph"/>
        <w:numPr>
          <w:ilvl w:val="0"/>
          <w:numId w:val="21"/>
        </w:numPr>
        <w:ind w:left="1440"/>
        <w:jc w:val="both"/>
      </w:pPr>
      <w:r w:rsidRPr="002E1A5F">
        <w:t>All manufactured products used in the project are produced in the United States—this means the manufactured product was manufactured in the United States; and the cost of the components of the manufactured product that are mined, produced, or manufactured in the United States is greater than 55 percent of the total cost of all components of the manufactured product, unless another standard for determining the minimum amount of domestic content of the manufactured product has been established under applicable law or regulation</w:t>
      </w:r>
      <w:r w:rsidR="006A3407" w:rsidRPr="00DA54C6">
        <w:t xml:space="preserve">. </w:t>
      </w:r>
      <w:r w:rsidR="006A3407" w:rsidRPr="00845BD1">
        <w:rPr>
          <w:rStyle w:val="normaltextrun"/>
        </w:rPr>
        <w:t>See 2 CFR 184.5 for determining the cost of components for manufactured products</w:t>
      </w:r>
      <w:r w:rsidRPr="00DA54C6">
        <w:t xml:space="preserve">; </w:t>
      </w:r>
      <w:r w:rsidRPr="002E1A5F">
        <w:t>and</w:t>
      </w:r>
    </w:p>
    <w:p w14:paraId="16C24B03" w14:textId="77777777" w:rsidR="00CA1581" w:rsidRPr="002E1A5F" w:rsidRDefault="00CA1581" w:rsidP="00CA1581">
      <w:pPr>
        <w:pStyle w:val="ListParagraph"/>
        <w:ind w:left="1440"/>
        <w:jc w:val="both"/>
      </w:pPr>
    </w:p>
    <w:p w14:paraId="36C45D19" w14:textId="1E057A6A" w:rsidR="00CA1581" w:rsidRPr="00DA54C6" w:rsidRDefault="00CA1581" w:rsidP="00CA1581">
      <w:pPr>
        <w:pStyle w:val="ListParagraph"/>
        <w:numPr>
          <w:ilvl w:val="0"/>
          <w:numId w:val="21"/>
        </w:numPr>
        <w:ind w:left="1440"/>
        <w:jc w:val="both"/>
      </w:pPr>
      <w:r w:rsidRPr="002E1A5F">
        <w:t>All construction materials are manufactured in the United States—this means that all manufacturing processes for the construction material occurred in the United Stat</w:t>
      </w:r>
      <w:r w:rsidRPr="00E451A9">
        <w:t>es</w:t>
      </w:r>
      <w:r w:rsidR="00E451A9" w:rsidRPr="00E451A9">
        <w:t>.</w:t>
      </w:r>
      <w:r w:rsidR="00E451A9" w:rsidRPr="00845BD1">
        <w:rPr>
          <w:rStyle w:val="FootnoteReference"/>
          <w:rFonts w:ascii="Times New Roman" w:hAnsi="Times New Roman" w:cs="Times New Roman"/>
          <w:sz w:val="22"/>
          <w:szCs w:val="22"/>
        </w:rPr>
        <w:t xml:space="preserve"> </w:t>
      </w:r>
      <w:r w:rsidR="00E451A9" w:rsidRPr="00845BD1">
        <w:rPr>
          <w:rStyle w:val="normaltextrun"/>
        </w:rPr>
        <w:t>See 2 CFR 184.6 for construction material standards</w:t>
      </w:r>
      <w:r w:rsidRPr="00DA54C6">
        <w:t>.</w:t>
      </w:r>
    </w:p>
    <w:p w14:paraId="26346BF7" w14:textId="77777777" w:rsidR="00CA1581" w:rsidRPr="002E1A5F" w:rsidRDefault="00CA1581" w:rsidP="00CA1581">
      <w:pPr>
        <w:jc w:val="both"/>
      </w:pPr>
    </w:p>
    <w:p w14:paraId="441E9B14" w14:textId="1860453B" w:rsidR="00CA1581" w:rsidRDefault="00CA1581" w:rsidP="009F42F7">
      <w:pPr>
        <w:ind w:left="1080"/>
        <w:jc w:val="both"/>
      </w:pPr>
      <w:r w:rsidRPr="002E1A5F">
        <w:t xml:space="preserve">The Buy America Requirement </w:t>
      </w:r>
      <w:proofErr w:type="gramStart"/>
      <w:r w:rsidRPr="002E1A5F">
        <w:t xml:space="preserve">only </w:t>
      </w:r>
      <w:r w:rsidR="006A3407">
        <w:t>those</w:t>
      </w:r>
      <w:proofErr w:type="gramEnd"/>
      <w:r w:rsidR="006A3407">
        <w:t xml:space="preserve"> </w:t>
      </w:r>
      <w:r w:rsidRPr="002E1A5F">
        <w:t xml:space="preserve">applies to articles, materials, and supplies that are consumed in, incorporated into, or permanently affixed to </w:t>
      </w:r>
      <w:r w:rsidR="006A3407">
        <w:t>the</w:t>
      </w:r>
      <w:r w:rsidR="006A3407" w:rsidRPr="002E1A5F">
        <w:t xml:space="preserve"> </w:t>
      </w:r>
      <w:r w:rsidRPr="002E1A5F">
        <w:t xml:space="preserve">infrastructure </w:t>
      </w:r>
      <w:r w:rsidR="006A3407">
        <w:t xml:space="preserve">in the </w:t>
      </w:r>
      <w:r w:rsidRPr="002E1A5F">
        <w:t>project. As such, it does not apply to tools, equipment, and supplies, such as temporary scaffolding, brought into the construction site and removed at or before the completion of the infrastructure project. Nor does a Buy America Requirement apply to equipment and furnishings, such as movable chairs, desks, and portable computer equipment, that are used at or within the finished infrastructure project but are not an integral part of the structure or permanently affixed to the infrastructure project.</w:t>
      </w:r>
    </w:p>
    <w:p w14:paraId="3B109B84" w14:textId="77777777" w:rsidR="009F42F7" w:rsidRDefault="009F42F7" w:rsidP="00845BD1">
      <w:pPr>
        <w:ind w:left="1080"/>
        <w:jc w:val="both"/>
      </w:pPr>
    </w:p>
    <w:p w14:paraId="403A8568" w14:textId="2ACAA45F" w:rsidR="009F42F7" w:rsidRPr="00845BD1" w:rsidRDefault="009F42F7" w:rsidP="00845BD1">
      <w:pPr>
        <w:ind w:left="1080"/>
        <w:jc w:val="both"/>
      </w:pPr>
      <w:r w:rsidRPr="00845BD1">
        <w:t>The Buy America Requirement only applies to an article, material, or supply classified into one of the following categories* based on its status at the time it is brought to the work site for incorporation into an infrastructure project:  </w:t>
      </w:r>
    </w:p>
    <w:p w14:paraId="201CB648" w14:textId="77777777" w:rsidR="009F42F7" w:rsidRPr="00845BD1" w:rsidRDefault="009F42F7" w:rsidP="00845BD1">
      <w:pPr>
        <w:ind w:left="1080"/>
        <w:jc w:val="both"/>
      </w:pPr>
      <w:r w:rsidRPr="00845BD1">
        <w:t> </w:t>
      </w:r>
    </w:p>
    <w:p w14:paraId="68B27535" w14:textId="214754C9" w:rsidR="00E00077" w:rsidRDefault="009F42F7" w:rsidP="00845BD1">
      <w:pPr>
        <w:pStyle w:val="ListParagraph"/>
        <w:numPr>
          <w:ilvl w:val="0"/>
          <w:numId w:val="66"/>
        </w:numPr>
        <w:jc w:val="both"/>
      </w:pPr>
      <w:r w:rsidRPr="00845BD1">
        <w:t xml:space="preserve">Iron or steel </w:t>
      </w:r>
      <w:proofErr w:type="gramStart"/>
      <w:r w:rsidRPr="00845BD1">
        <w:t>products;</w:t>
      </w:r>
      <w:proofErr w:type="gramEnd"/>
    </w:p>
    <w:p w14:paraId="34DCB606" w14:textId="77777777" w:rsidR="00E00077" w:rsidRDefault="009F42F7" w:rsidP="00E00077">
      <w:pPr>
        <w:pStyle w:val="ListParagraph"/>
        <w:numPr>
          <w:ilvl w:val="0"/>
          <w:numId w:val="66"/>
        </w:numPr>
        <w:jc w:val="both"/>
      </w:pPr>
      <w:r w:rsidRPr="00845BD1">
        <w:t>  Manufactured products; or </w:t>
      </w:r>
    </w:p>
    <w:p w14:paraId="5D22FAB9" w14:textId="0241E437" w:rsidR="009F42F7" w:rsidRPr="00845BD1" w:rsidRDefault="009F42F7" w:rsidP="00845BD1">
      <w:pPr>
        <w:pStyle w:val="ListParagraph"/>
        <w:numPr>
          <w:ilvl w:val="0"/>
          <w:numId w:val="66"/>
        </w:numPr>
        <w:jc w:val="both"/>
      </w:pPr>
      <w:r w:rsidRPr="00845BD1">
        <w:t xml:space="preserve">Construction </w:t>
      </w:r>
      <w:proofErr w:type="gramStart"/>
      <w:r w:rsidRPr="00845BD1">
        <w:t>materials;</w:t>
      </w:r>
      <w:proofErr w:type="gramEnd"/>
      <w:r w:rsidRPr="00845BD1">
        <w:t>  </w:t>
      </w:r>
    </w:p>
    <w:p w14:paraId="21F97096" w14:textId="77777777" w:rsidR="009F42F7" w:rsidRPr="00845BD1" w:rsidRDefault="009F42F7" w:rsidP="00845BD1">
      <w:pPr>
        <w:ind w:left="1080"/>
        <w:jc w:val="both"/>
      </w:pPr>
      <w:r w:rsidRPr="00845BD1">
        <w:t> </w:t>
      </w:r>
    </w:p>
    <w:p w14:paraId="7960FB1D" w14:textId="7A648A8B" w:rsidR="009F42F7" w:rsidRPr="00845BD1" w:rsidRDefault="009F42F7" w:rsidP="00845BD1">
      <w:pPr>
        <w:ind w:left="1080"/>
        <w:jc w:val="both"/>
      </w:pPr>
      <w:r w:rsidRPr="00845BD1">
        <w:t xml:space="preserve">The Buy America Requirement only applies to the iron or steel products, manufactured products, and construction materials used for the construction, alteration, maintenance, or repair of public infrastructure in the </w:t>
      </w:r>
      <w:r>
        <w:t>United States</w:t>
      </w:r>
      <w:r w:rsidRPr="00845BD1">
        <w:t xml:space="preserve"> when those items are consumed in, incorporated into, or permanently affixed to the infrastructure. An article, material, or supply incorporated into an infrastructure project should not be considered to fall into multiple categories, but rather must meet the Buy America Preference Requirement for only the single category in which it is classified. </w:t>
      </w:r>
    </w:p>
    <w:p w14:paraId="188E7276" w14:textId="77777777" w:rsidR="009F42F7" w:rsidRPr="00845BD1" w:rsidRDefault="009F42F7" w:rsidP="00845BD1">
      <w:pPr>
        <w:ind w:left="1080"/>
        <w:jc w:val="both"/>
      </w:pPr>
      <w:r w:rsidRPr="00845BD1">
        <w:t> </w:t>
      </w:r>
    </w:p>
    <w:p w14:paraId="2BC9D423" w14:textId="68665B29" w:rsidR="009F42F7" w:rsidRPr="00845BD1" w:rsidRDefault="009F42F7" w:rsidP="00845BD1">
      <w:pPr>
        <w:ind w:left="1080"/>
        <w:jc w:val="both"/>
      </w:pPr>
      <w:r w:rsidRPr="00845BD1">
        <w:t xml:space="preserve">All iron and steel, manufactured products, and construction materials used in the infrastructure project must be produced in the </w:t>
      </w:r>
      <w:r>
        <w:t>United States</w:t>
      </w:r>
      <w:r w:rsidRPr="00845BD1">
        <w:t>. </w:t>
      </w:r>
    </w:p>
    <w:p w14:paraId="78DC1030" w14:textId="77777777" w:rsidR="009F42F7" w:rsidRPr="00845BD1" w:rsidRDefault="009F42F7" w:rsidP="00845BD1">
      <w:pPr>
        <w:ind w:left="1080"/>
        <w:jc w:val="both"/>
      </w:pPr>
      <w:r w:rsidRPr="00845BD1">
        <w:t> </w:t>
      </w:r>
    </w:p>
    <w:p w14:paraId="2D65FA99" w14:textId="77777777" w:rsidR="009F42F7" w:rsidRPr="00845BD1" w:rsidRDefault="009F42F7" w:rsidP="00845BD1">
      <w:pPr>
        <w:ind w:left="1080"/>
        <w:jc w:val="both"/>
      </w:pPr>
      <w:r w:rsidRPr="00845BD1">
        <w:t xml:space="preserve">* Section 70917(c) of the BABA states that “construction materials” do not include cement and cementitious materials; aggregates such as stone, sand, or gravel; or aggregate binding agents or additives. Section 70917(c) materials are excluded from Construction materials. Asphalt concrete pavement mixes are typically composed of asphalt cement (a binding agent) and </w:t>
      </w:r>
      <w:proofErr w:type="gramStart"/>
      <w:r w:rsidRPr="00845BD1">
        <w:t>aggregates</w:t>
      </w:r>
      <w:proofErr w:type="gramEnd"/>
      <w:r w:rsidRPr="00845BD1">
        <w:t xml:space="preserve"> such as stone, sand, and gravel. Accordingly, asphalt is also excluded from the definition of Construction materials. </w:t>
      </w:r>
    </w:p>
    <w:p w14:paraId="3C4B8E7B" w14:textId="77777777" w:rsidR="009F42F7" w:rsidRPr="00845BD1" w:rsidRDefault="009F42F7" w:rsidP="00845BD1">
      <w:pPr>
        <w:ind w:left="1080"/>
        <w:jc w:val="both"/>
      </w:pPr>
      <w:r w:rsidRPr="00845BD1">
        <w:lastRenderedPageBreak/>
        <w:t> </w:t>
      </w:r>
    </w:p>
    <w:p w14:paraId="39A5E8CA" w14:textId="77777777" w:rsidR="009F42F7" w:rsidRPr="00845BD1" w:rsidRDefault="009F42F7" w:rsidP="00845BD1">
      <w:pPr>
        <w:ind w:left="1080"/>
        <w:jc w:val="both"/>
      </w:pPr>
      <w:r w:rsidRPr="00845BD1">
        <w:t xml:space="preserve">Section 70917(c) materials, on their own, are not manufactured products. Further, Section 70917(c) materials should not be considered manufactured products when they are used at or combined proximate to the work site—such as is the case with wet concrete or hot mix asphalt brought to the work site for incorporation. However, when certain Section 70917(c) materials (such as stone, sand, and gravel) are used to produce a manufactured product, such </w:t>
      </w:r>
      <w:proofErr w:type="gramStart"/>
      <w:r w:rsidRPr="00845BD1">
        <w:t>as is</w:t>
      </w:r>
      <w:proofErr w:type="gramEnd"/>
      <w:r w:rsidRPr="00845BD1">
        <w:t xml:space="preserve"> precast concrete processed into a specific shape or form, and is in such state when brought to the work site, then that product is subject to the BABA requirements. </w:t>
      </w:r>
    </w:p>
    <w:p w14:paraId="6EC03BC3" w14:textId="23C530FF" w:rsidR="009F42F7" w:rsidRPr="002E1A5F" w:rsidRDefault="009F42F7" w:rsidP="009F42F7">
      <w:pPr>
        <w:ind w:left="1080"/>
        <w:jc w:val="both"/>
      </w:pPr>
      <w:r w:rsidRPr="00845BD1">
        <w:t>Further clarification is provided in 2 CFR 184 on the circumstances under which a determination is made that Section 70917(c) materials should be treated as components of a manufactured product. That determination is based on consideration of: (i) the revised definition of the “manufactured products” at 2 CFR 184.3; (ii) a new definition of “section 70917(c) materials” at 2 CFR 184.3; (iii) new instructions at 2 CFR 184.4(e) on how and when to categorize articles, materials, and supplies; and (iv) new instructions at 2 CFR 184.4(f) on how to apply the Buy America preference by category.    </w:t>
      </w:r>
    </w:p>
    <w:p w14:paraId="65301885" w14:textId="77777777" w:rsidR="00CA1581" w:rsidRPr="002E1A5F" w:rsidRDefault="00CA1581" w:rsidP="00CA1581">
      <w:pPr>
        <w:ind w:left="1080"/>
        <w:jc w:val="both"/>
      </w:pPr>
    </w:p>
    <w:p w14:paraId="01298062" w14:textId="77777777" w:rsidR="00CA1581" w:rsidRPr="002E1A5F" w:rsidRDefault="00CA1581" w:rsidP="00CA1581">
      <w:pPr>
        <w:ind w:left="1080"/>
        <w:jc w:val="both"/>
        <w:rPr>
          <w:rFonts w:eastAsia="Arial"/>
        </w:rPr>
      </w:pPr>
      <w:r w:rsidRPr="002E1A5F">
        <w:rPr>
          <w:rFonts w:eastAsia="Arial"/>
        </w:rPr>
        <w:t xml:space="preserve">The Subrecipient is responsible for administering its Award in accordance with the terms and conditions, including the Buy America Requirement. The Subrecipient must ensure that the Buy America Requirement flows down to all lower tier subawards and that the lower tier subrecipients, contractors, and subcontractors comply with the Buy America Requirement. The Buy America Requirement term and condition must be </w:t>
      </w:r>
      <w:proofErr w:type="gramStart"/>
      <w:r w:rsidRPr="002E1A5F">
        <w:rPr>
          <w:rFonts w:eastAsia="Arial"/>
        </w:rPr>
        <w:t>included</w:t>
      </w:r>
      <w:proofErr w:type="gramEnd"/>
      <w:r w:rsidRPr="002E1A5F">
        <w:rPr>
          <w:rFonts w:eastAsia="Arial"/>
        </w:rPr>
        <w:t xml:space="preserve"> all lower tier subawards, contracts, subcontracts, and purchase orders for work performed under the infrastructure project.</w:t>
      </w:r>
    </w:p>
    <w:p w14:paraId="302EEFD1" w14:textId="77777777" w:rsidR="00CA1581" w:rsidRPr="002E1A5F" w:rsidRDefault="00CA1581" w:rsidP="00CA1581">
      <w:pPr>
        <w:ind w:left="1080"/>
        <w:jc w:val="both"/>
        <w:rPr>
          <w:rFonts w:eastAsia="Arial"/>
        </w:rPr>
      </w:pPr>
    </w:p>
    <w:p w14:paraId="13B2F1F5" w14:textId="77777777" w:rsidR="00CA1581" w:rsidRPr="002E1A5F" w:rsidRDefault="00CA1581" w:rsidP="002263C8">
      <w:pPr>
        <w:pStyle w:val="ListParagraph"/>
        <w:numPr>
          <w:ilvl w:val="0"/>
          <w:numId w:val="20"/>
        </w:numPr>
        <w:ind w:left="1080"/>
        <w:jc w:val="both"/>
        <w:rPr>
          <w:rFonts w:eastAsia="Arial"/>
          <w:color w:val="000000" w:themeColor="text1"/>
        </w:rPr>
      </w:pPr>
      <w:r w:rsidRPr="002E1A5F">
        <w:rPr>
          <w:rFonts w:eastAsia="Arial"/>
        </w:rPr>
        <w:t xml:space="preserve">Certification of Compliance </w:t>
      </w:r>
    </w:p>
    <w:p w14:paraId="52F8F87E" w14:textId="77777777" w:rsidR="00CA1581" w:rsidRPr="002E1A5F" w:rsidRDefault="00CA1581" w:rsidP="00CA1581">
      <w:pPr>
        <w:jc w:val="both"/>
        <w:rPr>
          <w:rFonts w:eastAsia="Arial"/>
        </w:rPr>
      </w:pPr>
    </w:p>
    <w:p w14:paraId="3461C99C" w14:textId="77777777" w:rsidR="00CA1581" w:rsidRPr="002E1A5F" w:rsidRDefault="00CA1581" w:rsidP="00CA1581">
      <w:pPr>
        <w:ind w:left="1080"/>
        <w:jc w:val="both"/>
        <w:rPr>
          <w:color w:val="000000" w:themeColor="text1"/>
        </w:rPr>
      </w:pPr>
      <w:r w:rsidRPr="002E1A5F">
        <w:rPr>
          <w:rFonts w:eastAsia="Arial"/>
        </w:rPr>
        <w:t>The Subrecipient must certify or provide equivalent documentation for proof of compliance that a good faith effort was made to solicit bids for domestic products used in the infrastructure project under this Award.</w:t>
      </w:r>
    </w:p>
    <w:p w14:paraId="268040F0" w14:textId="77777777" w:rsidR="00CA1581" w:rsidRPr="002E1A5F" w:rsidRDefault="00CA1581" w:rsidP="00CA1581">
      <w:pPr>
        <w:ind w:left="1080"/>
        <w:jc w:val="both"/>
        <w:rPr>
          <w:color w:val="000000" w:themeColor="text1"/>
        </w:rPr>
      </w:pPr>
    </w:p>
    <w:p w14:paraId="2147F3CF" w14:textId="35DCAED2" w:rsidR="00CA1581" w:rsidRPr="002E1A5F" w:rsidRDefault="00CA1581" w:rsidP="00CA1581">
      <w:pPr>
        <w:ind w:left="1080"/>
        <w:jc w:val="both"/>
        <w:rPr>
          <w:color w:val="000000" w:themeColor="text1"/>
        </w:rPr>
      </w:pPr>
      <w:r w:rsidRPr="002E1A5F">
        <w:rPr>
          <w:rFonts w:eastAsia="Arial"/>
        </w:rPr>
        <w:t>The Subrecipient must also maintain certifications or equivalent documentation for proof of compliance that those articles, materials, and supplies that are consumed in, incorporated into, affixed to, or otherwise used in the infrastructure project, not covered by a waiver or exemption</w:t>
      </w:r>
      <w:r w:rsidR="007D72A8">
        <w:rPr>
          <w:rFonts w:eastAsia="Arial"/>
        </w:rPr>
        <w:t xml:space="preserve"> provided in 2 CFR 184.8</w:t>
      </w:r>
      <w:r w:rsidRPr="002E1A5F">
        <w:rPr>
          <w:rFonts w:eastAsia="Arial"/>
        </w:rPr>
        <w:t xml:space="preserve">, are produced in the United States. The certification or proof of compliance must be provided by the suppliers or manufacturers of the iron, steel, manufactured products and construction materials and </w:t>
      </w:r>
      <w:proofErr w:type="gramStart"/>
      <w:r w:rsidRPr="002E1A5F">
        <w:rPr>
          <w:rFonts w:eastAsia="Arial"/>
        </w:rPr>
        <w:t>flow up</w:t>
      </w:r>
      <w:proofErr w:type="gramEnd"/>
      <w:r w:rsidRPr="002E1A5F">
        <w:rPr>
          <w:rFonts w:eastAsia="Arial"/>
        </w:rPr>
        <w:t xml:space="preserve"> from all lower tier subrecipients, contractors, subcontractors and vendors to the Subrecipient. The Subrecipient must keep these certifications with the award/project files and be able to produce them upon request from CEC, DOE, auditors or Office of Inspector General.</w:t>
      </w:r>
    </w:p>
    <w:p w14:paraId="6060FDA6" w14:textId="77777777" w:rsidR="00CA1581" w:rsidRPr="002E1A5F" w:rsidRDefault="00CA1581" w:rsidP="00CA1581">
      <w:pPr>
        <w:pStyle w:val="ListParagraph"/>
        <w:jc w:val="both"/>
      </w:pPr>
    </w:p>
    <w:p w14:paraId="03EFC504" w14:textId="639068B0" w:rsidR="00CA1581" w:rsidRPr="002E1A5F" w:rsidRDefault="00CA1581" w:rsidP="00CA1581">
      <w:pPr>
        <w:pStyle w:val="ListParagraph"/>
        <w:numPr>
          <w:ilvl w:val="0"/>
          <w:numId w:val="20"/>
        </w:numPr>
        <w:ind w:left="1080"/>
        <w:jc w:val="both"/>
      </w:pPr>
      <w:r w:rsidRPr="002E1A5F">
        <w:t>Flow down</w:t>
      </w:r>
    </w:p>
    <w:p w14:paraId="2065D9A9" w14:textId="77777777" w:rsidR="00CA1581" w:rsidRPr="002E1A5F" w:rsidRDefault="00CA1581" w:rsidP="00CA1581">
      <w:pPr>
        <w:pStyle w:val="ListParagraph"/>
        <w:ind w:left="1080"/>
        <w:jc w:val="both"/>
      </w:pPr>
    </w:p>
    <w:p w14:paraId="7E5BEC80" w14:textId="400797B5" w:rsidR="00CA1581" w:rsidRPr="002E1A5F" w:rsidRDefault="00CA1581" w:rsidP="00CA1581">
      <w:pPr>
        <w:pStyle w:val="ListParagraph"/>
        <w:ind w:left="1080"/>
        <w:jc w:val="both"/>
      </w:pPr>
      <w:r w:rsidRPr="002E1A5F">
        <w:t>These requirements must flow down to all lower tier subrecipients, contractors, and subcontractors, and purchase orders for work performed under the proposed project. Based on guidance from OMB Memorandum M-</w:t>
      </w:r>
      <w:r w:rsidR="00740825">
        <w:t>24-02</w:t>
      </w:r>
      <w:r w:rsidRPr="002E1A5F">
        <w:t>, the Buy America requirements of the BIL do not apply to DOE projects in which the prime recipient is a for-profit entity; the requirements only apply to projects whose prime recipient is a State, local government, Indian tribe, Institution of Higher Education, or nonprofit organization.</w:t>
      </w:r>
    </w:p>
    <w:p w14:paraId="278CEEFA" w14:textId="77777777" w:rsidR="00CA1581" w:rsidRPr="002E1A5F" w:rsidRDefault="00CA1581" w:rsidP="00CA1581">
      <w:pPr>
        <w:pStyle w:val="ListParagraph"/>
        <w:ind w:left="1080"/>
        <w:jc w:val="both"/>
      </w:pPr>
    </w:p>
    <w:p w14:paraId="64B8A5B0" w14:textId="36F92DB8" w:rsidR="00CA1581" w:rsidRPr="002E1A5F" w:rsidRDefault="00CA1581" w:rsidP="00CA1581">
      <w:pPr>
        <w:pStyle w:val="ListParagraph"/>
        <w:ind w:left="1080"/>
        <w:jc w:val="both"/>
      </w:pPr>
      <w:r w:rsidRPr="002E1A5F">
        <w:t xml:space="preserve">For additional information related to the implementation of these Buy America requirements, please see </w:t>
      </w:r>
      <w:hyperlink r:id="rId21" w:history="1">
        <w:r w:rsidRPr="00131966">
          <w:rPr>
            <w:rStyle w:val="Hyperlink"/>
          </w:rPr>
          <w:t xml:space="preserve">OMB Memorandum </w:t>
        </w:r>
        <w:r w:rsidR="0073443E" w:rsidRPr="00131966">
          <w:rPr>
            <w:rStyle w:val="Hyperlink"/>
          </w:rPr>
          <w:t>M-24-02</w:t>
        </w:r>
      </w:hyperlink>
      <w:r w:rsidR="0073443E" w:rsidRPr="002E1A5F">
        <w:t xml:space="preserve">, </w:t>
      </w:r>
      <w:r w:rsidR="0073443E">
        <w:t>dated October 25, 2023</w:t>
      </w:r>
      <w:r w:rsidR="0073443E" w:rsidRPr="002E1A5F">
        <w:t xml:space="preserve">: </w:t>
      </w:r>
      <w:r w:rsidR="0073443E" w:rsidRPr="00131966">
        <w:t>https://www.whitehouse.gov/wp-content/uploads/2023/10/M-24-02-Buy-America-Implementation-Guidance-Update.pdf</w:t>
      </w:r>
      <w:r w:rsidRPr="002E1A5F">
        <w:t>.</w:t>
      </w:r>
    </w:p>
    <w:p w14:paraId="1AB94BF9" w14:textId="77777777" w:rsidR="00CA1581" w:rsidRPr="002E1A5F" w:rsidRDefault="00CA1581" w:rsidP="00CA1581">
      <w:pPr>
        <w:pStyle w:val="ListParagraph"/>
        <w:ind w:left="1080"/>
        <w:jc w:val="both"/>
      </w:pPr>
    </w:p>
    <w:p w14:paraId="51A44CAC" w14:textId="77777777" w:rsidR="00CA1581" w:rsidRPr="002E1A5F" w:rsidRDefault="00CA1581" w:rsidP="00CA1581">
      <w:pPr>
        <w:pStyle w:val="ListParagraph"/>
        <w:numPr>
          <w:ilvl w:val="0"/>
          <w:numId w:val="20"/>
        </w:numPr>
        <w:ind w:left="1080"/>
        <w:jc w:val="both"/>
      </w:pPr>
      <w:r w:rsidRPr="002E1A5F">
        <w:t>Waivers</w:t>
      </w:r>
    </w:p>
    <w:p w14:paraId="271E4BAF" w14:textId="77777777" w:rsidR="00CA1581" w:rsidRPr="002E1A5F" w:rsidRDefault="00CA1581" w:rsidP="00CA1581">
      <w:pPr>
        <w:pStyle w:val="ListParagraph"/>
        <w:ind w:left="1080"/>
        <w:jc w:val="both"/>
      </w:pPr>
    </w:p>
    <w:p w14:paraId="504A5350" w14:textId="77777777" w:rsidR="00CA1581" w:rsidRPr="002E1A5F" w:rsidRDefault="00CA1581" w:rsidP="00CA1581">
      <w:pPr>
        <w:pStyle w:val="ListParagraph"/>
        <w:ind w:left="1080"/>
        <w:jc w:val="both"/>
      </w:pPr>
      <w:r w:rsidRPr="002E1A5F">
        <w:lastRenderedPageBreak/>
        <w:t>In limited circumstances, DOE may waive the application of the Buy America requirements</w:t>
      </w:r>
    </w:p>
    <w:p w14:paraId="796A7AC9" w14:textId="2E2789DE" w:rsidR="00CA1581" w:rsidRPr="002E1A5F" w:rsidRDefault="00CA1581" w:rsidP="00CA1581">
      <w:pPr>
        <w:pStyle w:val="ListParagraph"/>
        <w:ind w:left="1080"/>
        <w:jc w:val="both"/>
      </w:pPr>
      <w:r w:rsidRPr="002E1A5F">
        <w:t>where DOE determines that:</w:t>
      </w:r>
    </w:p>
    <w:p w14:paraId="2EB5AB6E" w14:textId="77777777" w:rsidR="00CA1581" w:rsidRPr="002E1A5F" w:rsidRDefault="00CA1581" w:rsidP="002263C8">
      <w:pPr>
        <w:pStyle w:val="ListParagraph"/>
        <w:ind w:left="1080"/>
        <w:jc w:val="both"/>
      </w:pPr>
    </w:p>
    <w:p w14:paraId="04F56A1C" w14:textId="77777777" w:rsidR="00CA1581" w:rsidRPr="002E1A5F" w:rsidRDefault="00CA1581" w:rsidP="00CA1581">
      <w:pPr>
        <w:pStyle w:val="ListParagraph"/>
        <w:numPr>
          <w:ilvl w:val="0"/>
          <w:numId w:val="22"/>
        </w:numPr>
        <w:ind w:left="1440"/>
        <w:jc w:val="both"/>
      </w:pPr>
      <w:r w:rsidRPr="002E1A5F">
        <w:t xml:space="preserve">Public Interest - Applying the Buy America Requirement would be inconsistent with the public </w:t>
      </w:r>
      <w:proofErr w:type="gramStart"/>
      <w:r w:rsidRPr="002E1A5F">
        <w:t>interest;</w:t>
      </w:r>
      <w:proofErr w:type="gramEnd"/>
      <w:r w:rsidRPr="002E1A5F">
        <w:t xml:space="preserve"> </w:t>
      </w:r>
    </w:p>
    <w:p w14:paraId="55F455AA" w14:textId="77777777" w:rsidR="00CA1581" w:rsidRPr="002E1A5F" w:rsidRDefault="00CA1581" w:rsidP="00CA1581">
      <w:pPr>
        <w:pStyle w:val="ListParagraph"/>
        <w:ind w:left="1440"/>
        <w:jc w:val="both"/>
      </w:pPr>
    </w:p>
    <w:p w14:paraId="19873C04" w14:textId="77777777" w:rsidR="00CA1581" w:rsidRPr="002E1A5F" w:rsidRDefault="00CA1581" w:rsidP="00CA1581">
      <w:pPr>
        <w:pStyle w:val="ListParagraph"/>
        <w:numPr>
          <w:ilvl w:val="0"/>
          <w:numId w:val="22"/>
        </w:numPr>
        <w:ind w:left="1440"/>
        <w:jc w:val="both"/>
      </w:pPr>
      <w:r w:rsidRPr="002E1A5F">
        <w:t>Non-Availability - The types of iron, steel, manufactured products, or construction materials are not produced in the United States in sufficient and reasonably available quantities or of a satisfactory quality; or</w:t>
      </w:r>
    </w:p>
    <w:p w14:paraId="74163673" w14:textId="77777777" w:rsidR="00CA1581" w:rsidRPr="002E1A5F" w:rsidRDefault="00CA1581" w:rsidP="00CA1581">
      <w:pPr>
        <w:pStyle w:val="ListParagraph"/>
        <w:ind w:left="1440"/>
        <w:jc w:val="both"/>
      </w:pPr>
    </w:p>
    <w:p w14:paraId="1333C12E" w14:textId="77777777" w:rsidR="00CA1581" w:rsidRPr="002E1A5F" w:rsidRDefault="00CA1581" w:rsidP="00CA1581">
      <w:pPr>
        <w:pStyle w:val="ListParagraph"/>
        <w:numPr>
          <w:ilvl w:val="0"/>
          <w:numId w:val="22"/>
        </w:numPr>
        <w:ind w:left="1440"/>
        <w:jc w:val="both"/>
      </w:pPr>
      <w:r w:rsidRPr="002E1A5F">
        <w:t>Unreasonable Cost - The inclusion of iron, steel, manufactured products, or construction materials produced in the United States will increase the cost of the overall project by more than 25 percent.</w:t>
      </w:r>
    </w:p>
    <w:p w14:paraId="4386CEAA" w14:textId="77777777" w:rsidR="00CA1581" w:rsidRPr="002E1A5F" w:rsidRDefault="00CA1581" w:rsidP="00CA1581">
      <w:pPr>
        <w:jc w:val="both"/>
      </w:pPr>
    </w:p>
    <w:p w14:paraId="25B31824" w14:textId="77777777" w:rsidR="00CA1581" w:rsidRPr="002E1A5F" w:rsidRDefault="00CA1581" w:rsidP="00CA1581">
      <w:pPr>
        <w:ind w:left="1080"/>
        <w:jc w:val="both"/>
      </w:pPr>
      <w:r w:rsidRPr="002E1A5F">
        <w:t>Requests to waive the Buy America Requirement must include the following:</w:t>
      </w:r>
    </w:p>
    <w:p w14:paraId="62B1E263" w14:textId="77777777" w:rsidR="00CA1581" w:rsidRPr="002E1A5F" w:rsidRDefault="00CA1581" w:rsidP="00CA1581">
      <w:pPr>
        <w:pStyle w:val="ListParagraph"/>
        <w:ind w:left="1440"/>
        <w:jc w:val="both"/>
      </w:pPr>
    </w:p>
    <w:p w14:paraId="5D46CA7A" w14:textId="77777777" w:rsidR="00CA1581" w:rsidRPr="002E1A5F" w:rsidRDefault="00CA1581" w:rsidP="00CA1581">
      <w:pPr>
        <w:jc w:val="both"/>
      </w:pPr>
    </w:p>
    <w:p w14:paraId="7FD29457" w14:textId="77777777" w:rsidR="00CA1581" w:rsidRPr="002E1A5F" w:rsidRDefault="00CA1581" w:rsidP="00CA1581">
      <w:pPr>
        <w:pStyle w:val="ListParagraph"/>
        <w:numPr>
          <w:ilvl w:val="0"/>
          <w:numId w:val="11"/>
        </w:numPr>
        <w:ind w:left="1800" w:hanging="360"/>
        <w:jc w:val="both"/>
      </w:pPr>
      <w:r w:rsidRPr="002E1A5F">
        <w:t>Waiver type (Public Interest, Nonavailability, or Unreasonable Cost</w:t>
      </w:r>
      <w:proofErr w:type="gramStart"/>
      <w:r w:rsidRPr="002E1A5F">
        <w:t>);</w:t>
      </w:r>
      <w:proofErr w:type="gramEnd"/>
    </w:p>
    <w:p w14:paraId="4C91CEA2" w14:textId="77777777" w:rsidR="00CA1581" w:rsidRPr="002E1A5F" w:rsidRDefault="00CA1581" w:rsidP="00CA1581">
      <w:pPr>
        <w:pStyle w:val="ListParagraph"/>
        <w:numPr>
          <w:ilvl w:val="0"/>
          <w:numId w:val="11"/>
        </w:numPr>
        <w:ind w:left="1800" w:hanging="360"/>
        <w:jc w:val="both"/>
      </w:pPr>
      <w:r w:rsidRPr="002E1A5F">
        <w:t>Award information (Federal Award Identification Number, Assistance Listing number</w:t>
      </w:r>
      <w:proofErr w:type="gramStart"/>
      <w:r w:rsidRPr="002E1A5F">
        <w:t>);</w:t>
      </w:r>
      <w:proofErr w:type="gramEnd"/>
    </w:p>
    <w:p w14:paraId="10B0EE9A" w14:textId="77777777" w:rsidR="00CA1581" w:rsidRPr="002E1A5F" w:rsidRDefault="00CA1581" w:rsidP="00CA1581">
      <w:pPr>
        <w:pStyle w:val="ListParagraph"/>
        <w:numPr>
          <w:ilvl w:val="0"/>
          <w:numId w:val="11"/>
        </w:numPr>
        <w:ind w:left="1800" w:hanging="360"/>
        <w:jc w:val="both"/>
      </w:pPr>
      <w:r w:rsidRPr="002E1A5F">
        <w:t xml:space="preserve">A detailed justification for the use of “non-domestic” iron, steel, manufactured products, or construction materials to include an explanation as to how the non-domestic item(s) is/are essential to the </w:t>
      </w:r>
      <w:proofErr w:type="gramStart"/>
      <w:r w:rsidRPr="002E1A5F">
        <w:t>project;</w:t>
      </w:r>
      <w:proofErr w:type="gramEnd"/>
    </w:p>
    <w:p w14:paraId="6EBE43F0" w14:textId="77777777" w:rsidR="00CA1581" w:rsidRPr="002E1A5F" w:rsidRDefault="00CA1581" w:rsidP="00CA1581">
      <w:pPr>
        <w:pStyle w:val="ListParagraph"/>
        <w:numPr>
          <w:ilvl w:val="0"/>
          <w:numId w:val="11"/>
        </w:numPr>
        <w:ind w:left="1800" w:hanging="360"/>
        <w:jc w:val="both"/>
      </w:pPr>
      <w:r w:rsidRPr="002E1A5F">
        <w:t xml:space="preserve">A certification that the Subrecipient made a good faith effort to solicit bids for domestic products supported by terms included in requests for proposals, contracts, and non-proprietary communications with potential </w:t>
      </w:r>
      <w:proofErr w:type="gramStart"/>
      <w:r w:rsidRPr="002E1A5F">
        <w:t>suppliers;</w:t>
      </w:r>
      <w:proofErr w:type="gramEnd"/>
    </w:p>
    <w:p w14:paraId="14413EA8" w14:textId="77777777" w:rsidR="00CA1581" w:rsidRPr="002E1A5F" w:rsidRDefault="00CA1581" w:rsidP="00CA1581">
      <w:pPr>
        <w:pStyle w:val="ListParagraph"/>
        <w:numPr>
          <w:ilvl w:val="0"/>
          <w:numId w:val="11"/>
        </w:numPr>
        <w:ind w:left="1800" w:hanging="360"/>
        <w:jc w:val="both"/>
      </w:pPr>
      <w:r w:rsidRPr="002E1A5F">
        <w:t>Subrecipient name and Unique Entity Identifier (UEI)</w:t>
      </w:r>
    </w:p>
    <w:p w14:paraId="260D7F3C" w14:textId="77777777" w:rsidR="00CA1581" w:rsidRPr="002E1A5F" w:rsidRDefault="00CA1581" w:rsidP="00CA1581">
      <w:pPr>
        <w:pStyle w:val="ListParagraph"/>
        <w:numPr>
          <w:ilvl w:val="0"/>
          <w:numId w:val="11"/>
        </w:numPr>
        <w:ind w:left="1800" w:hanging="360"/>
        <w:jc w:val="both"/>
      </w:pPr>
      <w:r w:rsidRPr="002E1A5F">
        <w:t xml:space="preserve">Total estimated project cost, with estimated Federal share and Subrecipient cost share </w:t>
      </w:r>
      <w:proofErr w:type="gramStart"/>
      <w:r w:rsidRPr="002E1A5F">
        <w:t>breakdowns;</w:t>
      </w:r>
      <w:proofErr w:type="gramEnd"/>
    </w:p>
    <w:p w14:paraId="6ED6F038" w14:textId="77777777" w:rsidR="00CA1581" w:rsidRPr="002E1A5F" w:rsidRDefault="00CA1581" w:rsidP="00CA1581">
      <w:pPr>
        <w:pStyle w:val="ListParagraph"/>
        <w:numPr>
          <w:ilvl w:val="0"/>
          <w:numId w:val="11"/>
        </w:numPr>
        <w:ind w:left="1800" w:hanging="360"/>
        <w:jc w:val="both"/>
      </w:pPr>
      <w:r w:rsidRPr="002E1A5F">
        <w:t xml:space="preserve">Total estimated infrastructure costs, with estimated Federal share and Subrecipient and cost-share </w:t>
      </w:r>
      <w:proofErr w:type="gramStart"/>
      <w:r w:rsidRPr="002E1A5F">
        <w:t>breakdowns;</w:t>
      </w:r>
      <w:proofErr w:type="gramEnd"/>
    </w:p>
    <w:p w14:paraId="46CA82DD" w14:textId="77777777" w:rsidR="00CA1581" w:rsidRPr="002E1A5F" w:rsidRDefault="00CA1581" w:rsidP="00CA1581">
      <w:pPr>
        <w:pStyle w:val="ListParagraph"/>
        <w:numPr>
          <w:ilvl w:val="0"/>
          <w:numId w:val="11"/>
        </w:numPr>
        <w:ind w:left="1800" w:hanging="360"/>
        <w:jc w:val="both"/>
      </w:pPr>
      <w:r w:rsidRPr="002E1A5F">
        <w:t xml:space="preserve">A brief project description, its location (to the extent known) and the specific infrastructure </w:t>
      </w:r>
      <w:proofErr w:type="gramStart"/>
      <w:r w:rsidRPr="002E1A5F">
        <w:t>involved;</w:t>
      </w:r>
      <w:proofErr w:type="gramEnd"/>
    </w:p>
    <w:p w14:paraId="620B2F20" w14:textId="77777777" w:rsidR="00CA1581" w:rsidRPr="002E1A5F" w:rsidRDefault="00CA1581" w:rsidP="00CA1581">
      <w:pPr>
        <w:pStyle w:val="ListParagraph"/>
        <w:numPr>
          <w:ilvl w:val="0"/>
          <w:numId w:val="11"/>
        </w:numPr>
        <w:ind w:left="1800" w:hanging="360"/>
        <w:jc w:val="both"/>
      </w:pPr>
      <w:r w:rsidRPr="002E1A5F">
        <w:t>List and description of iron or steel item(s), manufactured goods, and/or construction material(s) the Subrecipient seeks to waive from the Buy America Requirement, including name, cost, quantity(</w:t>
      </w:r>
      <w:proofErr w:type="spellStart"/>
      <w:r w:rsidRPr="002E1A5F">
        <w:t>ies</w:t>
      </w:r>
      <w:proofErr w:type="spellEnd"/>
      <w:r w:rsidRPr="002E1A5F">
        <w:t>), country(</w:t>
      </w:r>
      <w:proofErr w:type="spellStart"/>
      <w:r w:rsidRPr="002E1A5F">
        <w:t>ies</w:t>
      </w:r>
      <w:proofErr w:type="spellEnd"/>
      <w:r w:rsidRPr="002E1A5F">
        <w:t xml:space="preserve">) of origin (if known), and relevant Product Services Code (PSC) and North America Industry Classification System (NAICS) codes for </w:t>
      </w:r>
      <w:proofErr w:type="gramStart"/>
      <w:r w:rsidRPr="002E1A5F">
        <w:t>each;</w:t>
      </w:r>
      <w:proofErr w:type="gramEnd"/>
    </w:p>
    <w:p w14:paraId="41F7924E" w14:textId="3BF34BFB" w:rsidR="00483040" w:rsidRPr="004E0C24" w:rsidRDefault="00CA1581" w:rsidP="00483040">
      <w:pPr>
        <w:pStyle w:val="ListParagraph"/>
        <w:numPr>
          <w:ilvl w:val="0"/>
          <w:numId w:val="11"/>
        </w:numPr>
        <w:ind w:left="1800" w:hanging="360"/>
        <w:jc w:val="both"/>
      </w:pPr>
      <w:r w:rsidRPr="002E1A5F">
        <w:t xml:space="preserve">Waiver justification statement—based on one of the applicable justifications outlined above—as to why the items in question cannot be procured domestically, including the due diligence performed (e.g., market research, industry outreach, cost analysis, cost benefit analysis) by </w:t>
      </w:r>
      <w:r w:rsidRPr="004E0C24">
        <w:t xml:space="preserve">the Subrecipient to attempt to avoid the need for a waiver. This justification may cite, if applicable, the absence of any Buy America-compliant bids received for domestic products in response to a solicitation; </w:t>
      </w:r>
      <w:r w:rsidR="00483040" w:rsidRPr="00845BD1">
        <w:rPr>
          <w:rStyle w:val="normaltextrun"/>
          <w:color w:val="000000" w:themeColor="text1"/>
        </w:rPr>
        <w:t xml:space="preserve">A description of the market research conducted that includes who conducted the market research, when it was conducted, sources that were used, and the methods used to conduct the research; and </w:t>
      </w:r>
    </w:p>
    <w:p w14:paraId="5F7FFC5F" w14:textId="1F6A0968" w:rsidR="00CA1581" w:rsidRPr="004E0C24" w:rsidRDefault="00CA1581" w:rsidP="00CA1581">
      <w:pPr>
        <w:pStyle w:val="ListParagraph"/>
        <w:numPr>
          <w:ilvl w:val="0"/>
          <w:numId w:val="11"/>
        </w:numPr>
        <w:ind w:left="1800" w:hanging="360"/>
        <w:jc w:val="both"/>
      </w:pPr>
      <w:r w:rsidRPr="004E0C24">
        <w:t>Anticipated impact to the project if no waiver is issued.</w:t>
      </w:r>
    </w:p>
    <w:p w14:paraId="1EEF1AEC" w14:textId="02926487" w:rsidR="00F17576" w:rsidRPr="004E0C24" w:rsidRDefault="00F17576" w:rsidP="00F17576">
      <w:pPr>
        <w:ind w:left="1080"/>
        <w:jc w:val="both"/>
      </w:pPr>
      <w:r w:rsidRPr="00845BD1">
        <w:t>How to submit a waiver</w:t>
      </w:r>
      <w:r w:rsidR="004E0C24" w:rsidRPr="004E0C24">
        <w:t>:</w:t>
      </w:r>
    </w:p>
    <w:p w14:paraId="0F5E53DE" w14:textId="77777777" w:rsidR="004E0C24" w:rsidRPr="004E0C24" w:rsidRDefault="004E0C24" w:rsidP="00F17576">
      <w:pPr>
        <w:ind w:left="1080"/>
        <w:jc w:val="both"/>
      </w:pPr>
    </w:p>
    <w:p w14:paraId="717EAA16" w14:textId="06649BA9" w:rsidR="00F17576" w:rsidRPr="00845BD1" w:rsidRDefault="00F17576" w:rsidP="00845BD1">
      <w:pPr>
        <w:ind w:left="1080"/>
        <w:jc w:val="both"/>
      </w:pPr>
      <w:r w:rsidRPr="00845BD1">
        <w:t xml:space="preserve">Requests to waive the application of the Buy America Requirement must be submitted in writing to </w:t>
      </w:r>
      <w:r w:rsidR="004E0C24" w:rsidRPr="00845BD1">
        <w:t>the CEC CAM, who will in turn submit it to DOE</w:t>
      </w:r>
      <w:r w:rsidR="004F7F75">
        <w:t xml:space="preserve"> Contracting Officer</w:t>
      </w:r>
      <w:r w:rsidR="004E0C24" w:rsidRPr="00845BD1">
        <w:t xml:space="preserve">. </w:t>
      </w:r>
    </w:p>
    <w:p w14:paraId="0FA22E8A" w14:textId="234FF339" w:rsidR="00F17576" w:rsidRDefault="00F17576" w:rsidP="00CA1581">
      <w:pPr>
        <w:ind w:left="720"/>
        <w:jc w:val="both"/>
        <w:rPr>
          <w:rFonts w:eastAsia="Arial"/>
        </w:rPr>
      </w:pPr>
    </w:p>
    <w:p w14:paraId="7EF97BB0" w14:textId="77777777" w:rsidR="00CA1581" w:rsidRPr="002E1A5F" w:rsidRDefault="00CA1581" w:rsidP="00CA1581">
      <w:pPr>
        <w:jc w:val="both"/>
        <w:rPr>
          <w:color w:val="000000" w:themeColor="text1"/>
        </w:rPr>
      </w:pPr>
    </w:p>
    <w:p w14:paraId="440B0074" w14:textId="71E30972" w:rsidR="00CA1581" w:rsidRPr="002E1A5F" w:rsidRDefault="00CA1581" w:rsidP="00CA1581">
      <w:pPr>
        <w:ind w:left="1080"/>
        <w:jc w:val="both"/>
      </w:pPr>
      <w:r w:rsidRPr="002E1A5F">
        <w:t xml:space="preserve">DOE may require additional information before considering the waiver request. Waiver requests are subject to public comment periods of no less than 15 days and must be reviewed by the Made in America Office. There may be instances where an award qualifies, in whole or </w:t>
      </w:r>
      <w:r w:rsidRPr="002E1A5F">
        <w:lastRenderedPageBreak/>
        <w:t xml:space="preserve">in part, for an existing </w:t>
      </w:r>
      <w:hyperlink r:id="rId22" w:history="1">
        <w:r w:rsidRPr="00131966">
          <w:rPr>
            <w:rStyle w:val="Hyperlink"/>
          </w:rPr>
          <w:t>waiver</w:t>
        </w:r>
      </w:hyperlink>
      <w:r w:rsidRPr="002E1A5F">
        <w:t xml:space="preserve"> described at </w:t>
      </w:r>
      <w:r w:rsidR="0028388B" w:rsidRPr="00131966">
        <w:t>https://www.energy.gov/management/build-america-buy-america</w:t>
      </w:r>
      <w:r w:rsidRPr="002E1A5F">
        <w:t xml:space="preserve">. </w:t>
      </w:r>
    </w:p>
    <w:p w14:paraId="751D432B" w14:textId="77777777" w:rsidR="00CA1581" w:rsidRPr="002E1A5F" w:rsidRDefault="00CA1581" w:rsidP="00CA1581">
      <w:pPr>
        <w:ind w:left="720"/>
        <w:jc w:val="both"/>
      </w:pPr>
    </w:p>
    <w:p w14:paraId="7EA6D170" w14:textId="77777777" w:rsidR="00CA1581" w:rsidRPr="002E1A5F" w:rsidRDefault="00CA1581" w:rsidP="00CA1581">
      <w:pPr>
        <w:ind w:left="1080"/>
        <w:jc w:val="both"/>
        <w:rPr>
          <w:rFonts w:eastAsia="Arial"/>
        </w:rPr>
      </w:pPr>
      <w:r w:rsidRPr="002E1A5F">
        <w:rPr>
          <w:rFonts w:eastAsia="Arial"/>
        </w:rPr>
        <w:t xml:space="preserve">DOE may reject or grant waivers in whole or in part depending on its review, analysis, and/or feedback from OMB or the public. The DOE’s final determination regarding approval or rejection of the waiver request may not be appealed. Waiver requests may take up to 90 calendar days to process.  </w:t>
      </w:r>
    </w:p>
    <w:p w14:paraId="60BDA99A" w14:textId="77777777" w:rsidR="00CA1581" w:rsidRPr="002E1A5F" w:rsidRDefault="00CA1581" w:rsidP="00CA1581">
      <w:pPr>
        <w:jc w:val="both"/>
        <w:rPr>
          <w:rFonts w:eastAsia="Arial"/>
        </w:rPr>
      </w:pPr>
    </w:p>
    <w:p w14:paraId="672052C8" w14:textId="77777777" w:rsidR="00CA1581" w:rsidRPr="002E1A5F" w:rsidRDefault="00CA1581" w:rsidP="00CA1581">
      <w:pPr>
        <w:ind w:left="1080"/>
        <w:jc w:val="both"/>
      </w:pPr>
      <w:r w:rsidRPr="002E1A5F">
        <w:t>The Subrecipient does not have the right to appeal DOE’s decision concerning a waiver request.</w:t>
      </w:r>
    </w:p>
    <w:p w14:paraId="5800785F" w14:textId="77777777" w:rsidR="00A10F3F" w:rsidRPr="002E1A5F" w:rsidRDefault="00A10F3F" w:rsidP="7A327B2A">
      <w:pPr>
        <w:ind w:left="720"/>
        <w:jc w:val="both"/>
      </w:pPr>
    </w:p>
    <w:p w14:paraId="5BD3A06D" w14:textId="5A229595" w:rsidR="00F52612" w:rsidRPr="002263C8" w:rsidRDefault="00F65DD7" w:rsidP="00A14545">
      <w:pPr>
        <w:pStyle w:val="Heading2"/>
        <w:numPr>
          <w:ilvl w:val="0"/>
          <w:numId w:val="27"/>
        </w:numPr>
        <w:jc w:val="both"/>
        <w:rPr>
          <w:rFonts w:ascii="Arial" w:eastAsia="Times New Roman" w:hAnsi="Arial" w:cs="Arial"/>
          <w:b/>
          <w:bCs/>
          <w:color w:val="auto"/>
          <w:sz w:val="20"/>
          <w:szCs w:val="20"/>
        </w:rPr>
      </w:pPr>
      <w:bookmarkStart w:id="31" w:name="_Toc206158598"/>
      <w:r w:rsidRPr="002263C8">
        <w:rPr>
          <w:rFonts w:ascii="Arial" w:eastAsia="Times New Roman" w:hAnsi="Arial" w:cs="Arial"/>
          <w:b/>
          <w:bCs/>
          <w:color w:val="auto"/>
          <w:sz w:val="20"/>
          <w:szCs w:val="20"/>
        </w:rPr>
        <w:t>Performance of Work in United States</w:t>
      </w:r>
      <w:bookmarkEnd w:id="31"/>
    </w:p>
    <w:p w14:paraId="292783BD" w14:textId="77777777" w:rsidR="00AB6FD4" w:rsidRPr="002E1A5F" w:rsidRDefault="00AB6FD4" w:rsidP="7A327B2A">
      <w:pPr>
        <w:jc w:val="both"/>
      </w:pPr>
    </w:p>
    <w:p w14:paraId="09BC3623" w14:textId="77777777" w:rsidR="00AB6FD4" w:rsidRPr="002E1A5F" w:rsidRDefault="00AB6FD4" w:rsidP="00AB6FD4">
      <w:pPr>
        <w:pStyle w:val="ListParagraph"/>
        <w:numPr>
          <w:ilvl w:val="0"/>
          <w:numId w:val="30"/>
        </w:numPr>
        <w:ind w:left="1080"/>
        <w:jc w:val="both"/>
      </w:pPr>
      <w:r w:rsidRPr="002E1A5F">
        <w:t>All work performed under this Award must be performed in the United States. Subrecipient must flow down these requirements to all lower tier subrecipients.</w:t>
      </w:r>
    </w:p>
    <w:p w14:paraId="1475A2ED" w14:textId="77777777" w:rsidR="00AB6FD4" w:rsidRPr="002E1A5F" w:rsidRDefault="00AB6FD4" w:rsidP="00AB6FD4">
      <w:pPr>
        <w:pStyle w:val="ListParagraph"/>
        <w:jc w:val="both"/>
      </w:pPr>
    </w:p>
    <w:p w14:paraId="7FF81923" w14:textId="77777777" w:rsidR="00AB6FD4" w:rsidRPr="002E1A5F" w:rsidRDefault="00AB6FD4" w:rsidP="00AB6FD4">
      <w:pPr>
        <w:pStyle w:val="ListParagraph"/>
        <w:numPr>
          <w:ilvl w:val="0"/>
          <w:numId w:val="30"/>
        </w:numPr>
        <w:ind w:left="1080"/>
        <w:jc w:val="both"/>
      </w:pPr>
      <w:r w:rsidRPr="002E1A5F">
        <w:t>If the Subrecipient fails to comply with the Performance of Work in the United States requirement, CEC and/or DOE may deny reimbursement for the work conducted outside the United States and such costs may not be recognized as allowable cost share. The Subrecipient is responsible should any work under this Award be performed outside the United States, absent a waiver, regardless of whether the work is performed by the Subrecipient, or its lower tier subrecipients, contractors, vendors, or other project partners.</w:t>
      </w:r>
    </w:p>
    <w:p w14:paraId="6BE95903" w14:textId="77777777" w:rsidR="00AB6FD4" w:rsidRPr="002E1A5F" w:rsidRDefault="00AB6FD4" w:rsidP="00AB6FD4">
      <w:pPr>
        <w:jc w:val="both"/>
      </w:pPr>
    </w:p>
    <w:p w14:paraId="7208A752" w14:textId="77777777" w:rsidR="00AB6FD4" w:rsidRPr="002E1A5F" w:rsidRDefault="00AB6FD4" w:rsidP="00AB6FD4">
      <w:pPr>
        <w:pStyle w:val="ListParagraph"/>
        <w:numPr>
          <w:ilvl w:val="0"/>
          <w:numId w:val="30"/>
        </w:numPr>
        <w:ind w:left="1080"/>
        <w:jc w:val="both"/>
      </w:pPr>
      <w:r w:rsidRPr="002E1A5F">
        <w:t>In limited circumstances where it is in the interest of the project to perform a portion of the work outside the United States, the Subrecipient must submit a written foreign work waiver request to the CEC, which will in turn submit it to the DOE. Appendix B to the FOA lists the necessary information that must be included in a foreign work waiver request. The Subrecipient must demonstrate to the satisfaction of DOE that a waiver would further the purposes of the project and is in the economic interests of the United States. DOE may require additional information before considering a waiver request. A foreign work waiver applicant does not have the right to appeal the DOE’s decision concerning a waiver request.</w:t>
      </w:r>
    </w:p>
    <w:p w14:paraId="152EED57" w14:textId="77777777" w:rsidR="00AB6FD4" w:rsidRPr="002E1A5F" w:rsidRDefault="00AB6FD4" w:rsidP="7A327B2A">
      <w:pPr>
        <w:jc w:val="both"/>
      </w:pPr>
    </w:p>
    <w:p w14:paraId="0666F050" w14:textId="7BFD87ED" w:rsidR="0091657F" w:rsidRPr="002263C8" w:rsidRDefault="003B69BA" w:rsidP="00A14545">
      <w:pPr>
        <w:pStyle w:val="Heading2"/>
        <w:numPr>
          <w:ilvl w:val="0"/>
          <w:numId w:val="27"/>
        </w:numPr>
        <w:jc w:val="both"/>
        <w:rPr>
          <w:rFonts w:ascii="Arial" w:eastAsia="Times New Roman" w:hAnsi="Arial" w:cs="Arial"/>
          <w:b/>
          <w:bCs/>
          <w:color w:val="auto"/>
          <w:sz w:val="20"/>
          <w:szCs w:val="20"/>
        </w:rPr>
      </w:pPr>
      <w:bookmarkStart w:id="32" w:name="_Toc206158599"/>
      <w:r w:rsidRPr="002263C8">
        <w:rPr>
          <w:rFonts w:ascii="Arial" w:eastAsia="Times New Roman" w:hAnsi="Arial" w:cs="Arial"/>
          <w:b/>
          <w:bCs/>
          <w:color w:val="auto"/>
          <w:sz w:val="20"/>
          <w:szCs w:val="20"/>
        </w:rPr>
        <w:t>Foreign National Participation</w:t>
      </w:r>
      <w:bookmarkEnd w:id="32"/>
    </w:p>
    <w:p w14:paraId="71AD2A3F" w14:textId="77777777" w:rsidR="003B69BA" w:rsidRPr="002E1A5F" w:rsidRDefault="003B69BA" w:rsidP="7A327B2A">
      <w:pPr>
        <w:jc w:val="both"/>
      </w:pPr>
    </w:p>
    <w:p w14:paraId="04AF6607" w14:textId="1FC1C38A" w:rsidR="008A29AC" w:rsidRPr="002E1A5F" w:rsidRDefault="00304F1B" w:rsidP="7A327B2A">
      <w:pPr>
        <w:pStyle w:val="ListParagraph"/>
        <w:numPr>
          <w:ilvl w:val="1"/>
          <w:numId w:val="27"/>
        </w:numPr>
        <w:ind w:left="1080"/>
        <w:jc w:val="both"/>
      </w:pPr>
      <w:r w:rsidRPr="002E1A5F">
        <w:t xml:space="preserve">Subrecipient and project participants, including any of lower tier subrecipients and contractors, who anticipate involving foreign nationals in the performance of this </w:t>
      </w:r>
      <w:r w:rsidR="00A37508">
        <w:t>Agreement</w:t>
      </w:r>
      <w:r w:rsidRPr="002E1A5F">
        <w:t xml:space="preserve">, will be required to provide CEC, which will in turn provide DOE, with specific information about each foreign national to satisfy requirements for foreign national participation and access approvals. </w:t>
      </w:r>
      <w:r w:rsidR="008A29AC" w:rsidRPr="002E1A5F">
        <w:t xml:space="preserve">The volume and type of information required may depend on various factors associated with the </w:t>
      </w:r>
      <w:r w:rsidR="00420633">
        <w:t>DOE A</w:t>
      </w:r>
      <w:r w:rsidR="008A29AC" w:rsidRPr="002E1A5F">
        <w:t>ward.</w:t>
      </w:r>
    </w:p>
    <w:p w14:paraId="3E359F73" w14:textId="77777777" w:rsidR="004550AD" w:rsidRPr="002E1A5F" w:rsidRDefault="004550AD" w:rsidP="7A327B2A">
      <w:pPr>
        <w:pStyle w:val="ListParagraph"/>
        <w:ind w:left="1080"/>
        <w:jc w:val="both"/>
      </w:pPr>
    </w:p>
    <w:p w14:paraId="3240040B" w14:textId="0F5AEA89" w:rsidR="004550AD" w:rsidRPr="002E1A5F" w:rsidRDefault="001374C6" w:rsidP="7A327B2A">
      <w:pPr>
        <w:pStyle w:val="ListParagraph"/>
        <w:numPr>
          <w:ilvl w:val="1"/>
          <w:numId w:val="27"/>
        </w:numPr>
        <w:ind w:left="1080"/>
        <w:jc w:val="both"/>
      </w:pPr>
      <w:r w:rsidRPr="002E1A5F">
        <w:t xml:space="preserve">Approval for foreign nationals in Principal Investigator/Co-Principal Investigator roles, from countries of risk (i.e., China, Iran, North Korea, and Russia), and from countries identified on the U.S. Department of State’s list of State Sponsors of Terrorism (https://www.state.gov/state-sponsors-of-terrorism/) must be obtained from DOE before they can participate in the performance of any work under this </w:t>
      </w:r>
      <w:r w:rsidR="00A91513" w:rsidRPr="002E1A5F">
        <w:t>Agreement</w:t>
      </w:r>
      <w:r w:rsidRPr="002E1A5F">
        <w:t>.</w:t>
      </w:r>
    </w:p>
    <w:p w14:paraId="20D73329" w14:textId="77777777" w:rsidR="001374C6" w:rsidRPr="002E1A5F" w:rsidRDefault="001374C6" w:rsidP="7A327B2A">
      <w:pPr>
        <w:pStyle w:val="ListParagraph"/>
        <w:ind w:left="1080"/>
        <w:jc w:val="both"/>
      </w:pPr>
    </w:p>
    <w:p w14:paraId="71321C12" w14:textId="55D5CDB1" w:rsidR="003B69BA" w:rsidRPr="002E1A5F" w:rsidRDefault="00304F1B" w:rsidP="7A327B2A">
      <w:pPr>
        <w:pStyle w:val="ListParagraph"/>
        <w:numPr>
          <w:ilvl w:val="1"/>
          <w:numId w:val="27"/>
        </w:numPr>
        <w:ind w:left="1080"/>
        <w:jc w:val="both"/>
      </w:pPr>
      <w:r w:rsidRPr="002E1A5F">
        <w:t xml:space="preserve">A “foreign national” is defined as </w:t>
      </w:r>
      <w:r w:rsidR="00B91D34">
        <w:t xml:space="preserve">a </w:t>
      </w:r>
      <w:r w:rsidR="00B91D34" w:rsidRPr="002E1A5F">
        <w:t xml:space="preserve"> </w:t>
      </w:r>
      <w:r w:rsidRPr="002E1A5F">
        <w:t>person w</w:t>
      </w:r>
      <w:r w:rsidR="005602FD">
        <w:t>it</w:t>
      </w:r>
      <w:r w:rsidRPr="002E1A5F">
        <w:t>ho</w:t>
      </w:r>
      <w:r w:rsidR="007B1C45">
        <w:t>ut</w:t>
      </w:r>
      <w:r w:rsidRPr="002E1A5F">
        <w:t xml:space="preserve"> U.S. citizen</w:t>
      </w:r>
      <w:r w:rsidR="007B1C45">
        <w:t>ship</w:t>
      </w:r>
      <w:r w:rsidR="00995332">
        <w:t xml:space="preserve"> or nationality</w:t>
      </w:r>
      <w:r w:rsidR="005602FD">
        <w:t xml:space="preserve"> (may include a stateless person)</w:t>
      </w:r>
      <w:r w:rsidRPr="002E1A5F">
        <w:t xml:space="preserve">. </w:t>
      </w:r>
      <w:r w:rsidRPr="002E1A5F">
        <w:rPr>
          <w:rFonts w:eastAsia="Arial"/>
        </w:rPr>
        <w:t>DOE may elect to deny a foreign national’s participation in the award. Likewise, DOE may elect to deny a foreign national’s access to DOE’s sites, information, technologies, equipment, programs, or personnel.</w:t>
      </w:r>
      <w:r w:rsidR="005602FD">
        <w:rPr>
          <w:rFonts w:eastAsia="Arial"/>
        </w:rPr>
        <w:t xml:space="preserve"> DOE’s determination to deny participation or access is not appealable. </w:t>
      </w:r>
    </w:p>
    <w:p w14:paraId="5592FD27" w14:textId="77777777" w:rsidR="00304F1B" w:rsidRPr="002E1A5F" w:rsidRDefault="00304F1B" w:rsidP="7A327B2A">
      <w:pPr>
        <w:ind w:left="720"/>
        <w:jc w:val="both"/>
      </w:pPr>
    </w:p>
    <w:p w14:paraId="6E38C371" w14:textId="113336D6" w:rsidR="002E7FC7" w:rsidRPr="002263C8" w:rsidRDefault="002E7FC7" w:rsidP="00A14545">
      <w:pPr>
        <w:pStyle w:val="Heading2"/>
        <w:numPr>
          <w:ilvl w:val="0"/>
          <w:numId w:val="27"/>
        </w:numPr>
        <w:jc w:val="both"/>
        <w:rPr>
          <w:rFonts w:ascii="Arial" w:eastAsia="Times New Roman" w:hAnsi="Arial" w:cs="Arial"/>
          <w:b/>
          <w:bCs/>
          <w:color w:val="auto"/>
          <w:sz w:val="20"/>
          <w:szCs w:val="20"/>
        </w:rPr>
      </w:pPr>
      <w:bookmarkStart w:id="33" w:name="_Toc206158600"/>
      <w:r w:rsidRPr="7A327B2A">
        <w:rPr>
          <w:rFonts w:ascii="Arial" w:eastAsia="Times New Roman" w:hAnsi="Arial" w:cs="Arial"/>
          <w:b/>
          <w:bCs/>
          <w:color w:val="auto"/>
          <w:sz w:val="20"/>
          <w:szCs w:val="20"/>
        </w:rPr>
        <w:t xml:space="preserve">Foreign </w:t>
      </w:r>
      <w:r w:rsidR="004C584B" w:rsidRPr="7A327B2A">
        <w:rPr>
          <w:rFonts w:ascii="Arial" w:eastAsia="Times New Roman" w:hAnsi="Arial" w:cs="Arial"/>
          <w:b/>
          <w:bCs/>
          <w:color w:val="auto"/>
          <w:sz w:val="20"/>
          <w:szCs w:val="20"/>
        </w:rPr>
        <w:t>Collaboration</w:t>
      </w:r>
      <w:bookmarkEnd w:id="33"/>
    </w:p>
    <w:p w14:paraId="00691924" w14:textId="67727FA1" w:rsidR="0039117D" w:rsidRPr="002E1A5F" w:rsidRDefault="0039117D" w:rsidP="0039117D">
      <w:pPr>
        <w:jc w:val="both"/>
      </w:pPr>
    </w:p>
    <w:p w14:paraId="5AF628E8" w14:textId="77777777" w:rsidR="0039117D" w:rsidRPr="002E1A5F" w:rsidRDefault="0039117D" w:rsidP="0039117D">
      <w:pPr>
        <w:pStyle w:val="ListParagraph"/>
        <w:numPr>
          <w:ilvl w:val="1"/>
          <w:numId w:val="14"/>
        </w:numPr>
        <w:ind w:left="1080"/>
        <w:jc w:val="both"/>
      </w:pPr>
      <w:r w:rsidRPr="002E1A5F">
        <w:lastRenderedPageBreak/>
        <w:t>Consideration of new collaborations with foreign organizations and governments. The Subrecipient must provide CEC and DOE with advanced written notification of any potential collaboration with foreign entities, organizations or governments in connection with its DOE-funded award scope. The Subrecipient must await further guidance from CEC and DOE prior to contacting the proposed foreign entity, organization or government regarding the potential collaboration or negotiating the terms of any potential agreement.</w:t>
      </w:r>
    </w:p>
    <w:p w14:paraId="308C3A47" w14:textId="77777777" w:rsidR="0039117D" w:rsidRPr="002E1A5F" w:rsidRDefault="0039117D" w:rsidP="7A327B2A">
      <w:pPr>
        <w:ind w:left="1080" w:hanging="360"/>
        <w:jc w:val="both"/>
      </w:pPr>
    </w:p>
    <w:p w14:paraId="0EA49089" w14:textId="77777777" w:rsidR="0039117D" w:rsidRPr="002E1A5F" w:rsidRDefault="0039117D" w:rsidP="0039117D">
      <w:pPr>
        <w:pStyle w:val="ListParagraph"/>
        <w:numPr>
          <w:ilvl w:val="1"/>
          <w:numId w:val="14"/>
        </w:numPr>
        <w:ind w:left="1080"/>
        <w:jc w:val="both"/>
      </w:pPr>
      <w:r w:rsidRPr="002E1A5F">
        <w:t xml:space="preserve">Existing collaborations with foreign entities, organizations and governments. The Subrecipient must provide CEC and DOE with a written list of all existing foreign </w:t>
      </w:r>
      <w:proofErr w:type="gramStart"/>
      <w:r w:rsidRPr="002E1A5F">
        <w:t>collaborations in</w:t>
      </w:r>
      <w:proofErr w:type="gramEnd"/>
      <w:r w:rsidRPr="002E1A5F">
        <w:t xml:space="preserve"> which </w:t>
      </w:r>
      <w:proofErr w:type="gramStart"/>
      <w:r w:rsidRPr="002E1A5F">
        <w:t>has</w:t>
      </w:r>
      <w:proofErr w:type="gramEnd"/>
      <w:r w:rsidRPr="002E1A5F">
        <w:t xml:space="preserve"> entered in connection with its DOE-funded award scope.</w:t>
      </w:r>
    </w:p>
    <w:p w14:paraId="5A4989F8" w14:textId="77777777" w:rsidR="0039117D" w:rsidRPr="002E1A5F" w:rsidRDefault="0039117D" w:rsidP="7A327B2A">
      <w:pPr>
        <w:ind w:left="1080" w:hanging="360"/>
        <w:jc w:val="both"/>
      </w:pPr>
    </w:p>
    <w:p w14:paraId="523EE3C2" w14:textId="77777777" w:rsidR="0039117D" w:rsidRPr="002E1A5F" w:rsidRDefault="0039117D" w:rsidP="0039117D">
      <w:pPr>
        <w:pStyle w:val="ListParagraph"/>
        <w:numPr>
          <w:ilvl w:val="1"/>
          <w:numId w:val="14"/>
        </w:numPr>
        <w:ind w:left="1080"/>
        <w:jc w:val="both"/>
      </w:pPr>
      <w:r w:rsidRPr="002E1A5F">
        <w:t xml:space="preserve">Description of collaborations that should be reported: In general, a collaboration will involve some provision of a thing of value to, or from, the Subrecipient. A thing of value includes but may not be limited to all resources made available to, or from, the Subrecipient in support of and/or related to the Award, regardless of </w:t>
      </w:r>
      <w:proofErr w:type="gramStart"/>
      <w:r w:rsidRPr="002E1A5F">
        <w:t>whether or not</w:t>
      </w:r>
      <w:proofErr w:type="gramEnd"/>
      <w:r w:rsidRPr="002E1A5F">
        <w:t xml:space="preserve"> they have monetary value. Things of value also may include in-kind contributions (such as office/laboratory space, data, equipment, supplies, employees, students). In-kind contributions not intended for direct use on the Award but resulting in provision of a thing of value from or to the Award must also be reported. Collaborations do not include routine workshops, conferences, use of the Subrecipient’s services and facilities by foreign investigators resulting from its standard published process for evaluating requests for access, or the routine use of foreign facilities by awardee staff in accordance with the Subrecipient’s standard policies and procedures.</w:t>
      </w:r>
    </w:p>
    <w:p w14:paraId="72AB5AD6" w14:textId="77777777" w:rsidR="002E7FC7" w:rsidRPr="002E1A5F" w:rsidRDefault="002E7FC7" w:rsidP="7A327B2A">
      <w:pPr>
        <w:jc w:val="both"/>
      </w:pPr>
    </w:p>
    <w:p w14:paraId="1BE3894E" w14:textId="1601B046" w:rsidR="0016303D" w:rsidRPr="002263C8" w:rsidRDefault="003676A9" w:rsidP="00A14545">
      <w:pPr>
        <w:pStyle w:val="Heading2"/>
        <w:numPr>
          <w:ilvl w:val="0"/>
          <w:numId w:val="27"/>
        </w:numPr>
        <w:jc w:val="both"/>
        <w:rPr>
          <w:rStyle w:val="Heading2Char"/>
          <w:rFonts w:ascii="Arial" w:hAnsi="Arial" w:cs="Arial"/>
          <w:b/>
          <w:bCs/>
          <w:color w:val="auto"/>
          <w:sz w:val="20"/>
          <w:szCs w:val="20"/>
        </w:rPr>
      </w:pPr>
      <w:bookmarkStart w:id="34" w:name="_Toc206158601"/>
      <w:r w:rsidRPr="002263C8">
        <w:rPr>
          <w:rStyle w:val="Heading2Char"/>
          <w:rFonts w:ascii="Arial" w:hAnsi="Arial" w:cs="Arial"/>
          <w:b/>
          <w:bCs/>
          <w:color w:val="auto"/>
          <w:sz w:val="20"/>
          <w:szCs w:val="20"/>
        </w:rPr>
        <w:t>Foreign Government-Sponsored Talent Recruitment Programs</w:t>
      </w:r>
      <w:r w:rsidR="00516214" w:rsidRPr="002E1A5F">
        <w:rPr>
          <w:rStyle w:val="Heading2Char"/>
          <w:rFonts w:ascii="Arial" w:hAnsi="Arial" w:cs="Arial"/>
          <w:b/>
          <w:bCs/>
          <w:color w:val="auto"/>
          <w:sz w:val="20"/>
          <w:szCs w:val="20"/>
        </w:rPr>
        <w:t xml:space="preserve"> Prohibition</w:t>
      </w:r>
      <w:bookmarkEnd w:id="34"/>
    </w:p>
    <w:p w14:paraId="2DF6BF17" w14:textId="77777777" w:rsidR="003676A9" w:rsidRPr="002E1A5F" w:rsidRDefault="003676A9" w:rsidP="7A327B2A">
      <w:pPr>
        <w:jc w:val="both"/>
      </w:pPr>
    </w:p>
    <w:p w14:paraId="767B229E" w14:textId="3C4B1E82" w:rsidR="003676A9" w:rsidRPr="002E1A5F" w:rsidRDefault="003676A9" w:rsidP="001D7310">
      <w:pPr>
        <w:pStyle w:val="ListParagraph"/>
        <w:numPr>
          <w:ilvl w:val="0"/>
          <w:numId w:val="17"/>
        </w:numPr>
        <w:ind w:left="1080"/>
        <w:jc w:val="both"/>
        <w:rPr>
          <w:b/>
          <w:bCs/>
        </w:rPr>
      </w:pPr>
      <w:proofErr w:type="gramStart"/>
      <w:r w:rsidRPr="002E1A5F">
        <w:t>Persons</w:t>
      </w:r>
      <w:proofErr w:type="gramEnd"/>
      <w:r w:rsidRPr="002E1A5F">
        <w:t xml:space="preserve"> participating in a </w:t>
      </w:r>
      <w:r w:rsidRPr="002E1A5F">
        <w:rPr>
          <w:i/>
          <w:iCs/>
        </w:rPr>
        <w:t>Foreign Government-Sponsored Talent Recruitment Program of a Foreign Country of Risk</w:t>
      </w:r>
      <w:r w:rsidRPr="002E1A5F">
        <w:t xml:space="preserve"> are prohibited from participating in projects selected for federal funding under this Program. The Subrecipient must exercise ongoing due diligence to reasonably ensure that no individuals participating in this DOE funded project are participating in a </w:t>
      </w:r>
      <w:r w:rsidRPr="002E1A5F">
        <w:rPr>
          <w:i/>
          <w:iCs/>
        </w:rPr>
        <w:t>Foreign Government-Sponsored Talent Recruitment Program of a Foreign Country of Risk</w:t>
      </w:r>
      <w:r w:rsidRPr="002E1A5F">
        <w:t xml:space="preserve">. Consequences for violations of this prohibition will be determined according to applicable law, regulations, and policy. Further, the Subrecipient must notify the CEC, which will in turn notify the DOE, within five (5) business days upon learning that an owner of the Subrecipient or its lower tier subrecipients or individual on the project team is or is believed to be participating in a </w:t>
      </w:r>
      <w:r w:rsidRPr="002E1A5F">
        <w:rPr>
          <w:i/>
          <w:iCs/>
        </w:rPr>
        <w:t>Foreign Government-Sponsored Talent Recruitment Program of a Foreign Country of Risk</w:t>
      </w:r>
      <w:r w:rsidRPr="002E1A5F">
        <w:t>. DOE may modify and add requirements related to this prohibition to the extent required by law.</w:t>
      </w:r>
    </w:p>
    <w:p w14:paraId="6CEC0460" w14:textId="77777777" w:rsidR="003676A9" w:rsidRPr="002E1A5F" w:rsidRDefault="003676A9" w:rsidP="003676A9">
      <w:pPr>
        <w:pStyle w:val="ListParagraph"/>
        <w:ind w:left="0"/>
        <w:jc w:val="both"/>
      </w:pPr>
    </w:p>
    <w:p w14:paraId="3570D62E" w14:textId="77777777" w:rsidR="003676A9" w:rsidRPr="002E1A5F" w:rsidRDefault="003676A9" w:rsidP="003676A9">
      <w:pPr>
        <w:pStyle w:val="ListParagraph"/>
        <w:numPr>
          <w:ilvl w:val="0"/>
          <w:numId w:val="17"/>
        </w:numPr>
        <w:ind w:left="1080"/>
        <w:jc w:val="both"/>
      </w:pPr>
      <w:r w:rsidRPr="002E1A5F">
        <w:t>Definitions</w:t>
      </w:r>
    </w:p>
    <w:p w14:paraId="44D56D90" w14:textId="77777777" w:rsidR="003676A9" w:rsidRPr="002E1A5F" w:rsidRDefault="003676A9" w:rsidP="003676A9">
      <w:pPr>
        <w:pStyle w:val="ListParagraph"/>
        <w:jc w:val="both"/>
        <w:rPr>
          <w:b/>
          <w:bCs/>
        </w:rPr>
      </w:pPr>
    </w:p>
    <w:p w14:paraId="283F29CD" w14:textId="7AE5D9C0" w:rsidR="003676A9" w:rsidRPr="002E1A5F" w:rsidRDefault="003676A9" w:rsidP="001D7310">
      <w:pPr>
        <w:pStyle w:val="ListParagraph"/>
        <w:numPr>
          <w:ilvl w:val="0"/>
          <w:numId w:val="18"/>
        </w:numPr>
        <w:ind w:left="1440"/>
        <w:jc w:val="both"/>
        <w:rPr>
          <w:b/>
          <w:bCs/>
        </w:rPr>
      </w:pPr>
      <w:r w:rsidRPr="002E1A5F">
        <w:t>Foreign Government-Sponsored Talent Recruitment Program. An effort directly or indirectly organized, managed, or funded by a foreign government, or a foreign government instrumentality or entity, to recruit science and technology professionals or students (regardless of citizenship or national origin, or whether having a full-time or part-time position). Some foreign government-sponsored talent recruitment programs operate with the intent to import or otherwise acquire from abroad, sometimes through illicit means, proprietary technology or software, unpublished data and methods, and intellectual property to further the military modernization goals and/or economic goals of a foreign government. Many, but not all, programs aim to incentivize the targeted individual to relocate physically to the foreign state for the above purpose. Some programs allow for or encourage continued employment at U.S. research facilities or receipt of Federal research funds while concurrently working at and/or receiving compensation from a foreign institution, and some direct participants not to disclose their participation to U.S. entities. Compensation could take many forms including cash, research funding, complimentary foreign travel, honorific titles, career advancement opportunities, promised future compensation, or other types of remuneration or consideration, including in-kind compensation.</w:t>
      </w:r>
    </w:p>
    <w:p w14:paraId="1A337704" w14:textId="77777777" w:rsidR="003676A9" w:rsidRPr="002E1A5F" w:rsidRDefault="003676A9" w:rsidP="003676A9">
      <w:pPr>
        <w:pStyle w:val="ListParagraph"/>
        <w:ind w:left="1440"/>
        <w:jc w:val="both"/>
        <w:rPr>
          <w:b/>
          <w:bCs/>
        </w:rPr>
      </w:pPr>
    </w:p>
    <w:p w14:paraId="0C4D5DE1" w14:textId="631FBE1E" w:rsidR="003676A9" w:rsidRPr="002E1A5F" w:rsidRDefault="003676A9" w:rsidP="001D7310">
      <w:pPr>
        <w:pStyle w:val="ListParagraph"/>
        <w:numPr>
          <w:ilvl w:val="0"/>
          <w:numId w:val="18"/>
        </w:numPr>
        <w:ind w:left="1440"/>
        <w:jc w:val="both"/>
        <w:rPr>
          <w:b/>
          <w:bCs/>
        </w:rPr>
      </w:pPr>
      <w:r w:rsidRPr="002E1A5F">
        <w:t>Foreign Country of Risk. DOE has designated the following countries as foreign countries of risk: Iran, North Korea, Russia, and China. This list is subject to change.</w:t>
      </w:r>
    </w:p>
    <w:p w14:paraId="24A0D254" w14:textId="77777777" w:rsidR="003676A9" w:rsidRPr="002E1A5F" w:rsidRDefault="003676A9" w:rsidP="7A327B2A">
      <w:pPr>
        <w:jc w:val="both"/>
      </w:pPr>
    </w:p>
    <w:p w14:paraId="09EA0135" w14:textId="3987F512" w:rsidR="007A5939" w:rsidRPr="002263C8" w:rsidRDefault="001E5A1A" w:rsidP="00A14545">
      <w:pPr>
        <w:pStyle w:val="Heading2"/>
        <w:numPr>
          <w:ilvl w:val="0"/>
          <w:numId w:val="27"/>
        </w:numPr>
        <w:jc w:val="both"/>
        <w:rPr>
          <w:rFonts w:ascii="Arial" w:hAnsi="Arial" w:cs="Arial"/>
          <w:b/>
          <w:bCs/>
          <w:color w:val="auto"/>
          <w:sz w:val="20"/>
          <w:szCs w:val="20"/>
        </w:rPr>
      </w:pPr>
      <w:bookmarkStart w:id="35" w:name="_Toc206158602"/>
      <w:r w:rsidRPr="002263C8">
        <w:rPr>
          <w:rFonts w:ascii="Arial" w:hAnsi="Arial" w:cs="Arial"/>
          <w:b/>
          <w:bCs/>
          <w:color w:val="auto"/>
          <w:sz w:val="20"/>
          <w:szCs w:val="20"/>
        </w:rPr>
        <w:t>Transparency of Foreign Connections</w:t>
      </w:r>
      <w:bookmarkEnd w:id="35"/>
    </w:p>
    <w:p w14:paraId="0744021E" w14:textId="77777777" w:rsidR="001E5A1A" w:rsidRPr="002E1A5F" w:rsidRDefault="001E5A1A" w:rsidP="7A327B2A">
      <w:pPr>
        <w:jc w:val="both"/>
      </w:pPr>
    </w:p>
    <w:p w14:paraId="0F8778F9" w14:textId="0640D7CC" w:rsidR="001E5A1A" w:rsidRPr="002E1A5F" w:rsidRDefault="001E5A1A" w:rsidP="7A327B2A">
      <w:pPr>
        <w:ind w:left="720"/>
        <w:jc w:val="both"/>
      </w:pPr>
      <w:r w:rsidRPr="002E1A5F">
        <w:t xml:space="preserve">During the term of the Award, the Subrecipient must notify the CEC CAM, who will in turn notify the DOE Contracting Officer, within fifteen (15) business days of learning of the following circumstances in relation to the Subrecipient </w:t>
      </w:r>
      <w:r w:rsidR="00EA3B3D">
        <w:t>and</w:t>
      </w:r>
      <w:r w:rsidR="00EA3B3D" w:rsidRPr="002E1A5F">
        <w:t xml:space="preserve"> </w:t>
      </w:r>
      <w:r w:rsidRPr="002E1A5F">
        <w:t xml:space="preserve">its </w:t>
      </w:r>
      <w:proofErr w:type="gramStart"/>
      <w:r w:rsidRPr="002E1A5F">
        <w:t>lower tier</w:t>
      </w:r>
      <w:proofErr w:type="gramEnd"/>
      <w:r w:rsidRPr="002E1A5F">
        <w:t xml:space="preserve"> subrecipients:</w:t>
      </w:r>
    </w:p>
    <w:p w14:paraId="5B3896D6" w14:textId="77777777" w:rsidR="001E5A1A" w:rsidRPr="002E1A5F" w:rsidRDefault="001E5A1A" w:rsidP="7A327B2A">
      <w:pPr>
        <w:ind w:left="360"/>
        <w:jc w:val="both"/>
      </w:pPr>
    </w:p>
    <w:p w14:paraId="43539D07" w14:textId="71D3F7F2" w:rsidR="00285234" w:rsidRPr="002E1A5F" w:rsidRDefault="00EA3B3D" w:rsidP="7A327B2A">
      <w:pPr>
        <w:pStyle w:val="ListParagraph"/>
        <w:numPr>
          <w:ilvl w:val="1"/>
          <w:numId w:val="27"/>
        </w:numPr>
        <w:ind w:left="1080"/>
        <w:jc w:val="both"/>
      </w:pPr>
      <w:r>
        <w:t>An</w:t>
      </w:r>
      <w:r w:rsidR="001B7F0A">
        <w:t>y</w:t>
      </w:r>
      <w:r>
        <w:t xml:space="preserve"> current or pending</w:t>
      </w:r>
      <w:r w:rsidR="001E5A1A" w:rsidRPr="002E1A5F">
        <w:t xml:space="preserve"> subsidiary</w:t>
      </w:r>
      <w:r>
        <w:t>, foreign business entity, or offshore entity</w:t>
      </w:r>
      <w:r w:rsidR="001E5A1A" w:rsidRPr="002E1A5F">
        <w:t xml:space="preserve"> that is based in </w:t>
      </w:r>
      <w:r>
        <w:t xml:space="preserve">or </w:t>
      </w:r>
      <w:r w:rsidR="001E5A1A" w:rsidRPr="002E1A5F">
        <w:t xml:space="preserve">funded </w:t>
      </w:r>
      <w:proofErr w:type="spellStart"/>
      <w:proofErr w:type="gramStart"/>
      <w:r w:rsidR="001E5A1A" w:rsidRPr="002E1A5F">
        <w:t>byany</w:t>
      </w:r>
      <w:proofErr w:type="spellEnd"/>
      <w:proofErr w:type="gramEnd"/>
      <w:r w:rsidR="001E5A1A" w:rsidRPr="002E1A5F">
        <w:t xml:space="preserve"> foreign country of risk</w:t>
      </w:r>
      <w:r w:rsidR="005C4249">
        <w:t xml:space="preserve"> or foreign entity based in a country of </w:t>
      </w:r>
      <w:proofErr w:type="gramStart"/>
      <w:r w:rsidR="005C4249">
        <w:t>risk</w:t>
      </w:r>
      <w:r w:rsidR="001E5A1A" w:rsidRPr="002E1A5F">
        <w:t>;</w:t>
      </w:r>
      <w:proofErr w:type="gramEnd"/>
    </w:p>
    <w:p w14:paraId="34624FB0" w14:textId="77777777" w:rsidR="00285234" w:rsidRPr="002E1A5F" w:rsidRDefault="00285234" w:rsidP="7A327B2A">
      <w:pPr>
        <w:pStyle w:val="ListParagraph"/>
        <w:ind w:left="1080"/>
        <w:jc w:val="both"/>
      </w:pPr>
    </w:p>
    <w:p w14:paraId="1A4C9FFA" w14:textId="6BDBF32A" w:rsidR="00285234" w:rsidRPr="005C784C" w:rsidRDefault="001E5A1A" w:rsidP="7A327B2A">
      <w:pPr>
        <w:pStyle w:val="ListParagraph"/>
        <w:numPr>
          <w:ilvl w:val="1"/>
          <w:numId w:val="27"/>
        </w:numPr>
        <w:ind w:left="1080"/>
        <w:jc w:val="both"/>
      </w:pPr>
      <w:r w:rsidRPr="002E1A5F">
        <w:t xml:space="preserve">Any current or pending contractual or financial obligation or other agreement specific to a business arrangement, or joint venture-like arrangement with an </w:t>
      </w:r>
      <w:r w:rsidR="005C4249">
        <w:t>entity</w:t>
      </w:r>
      <w:r w:rsidR="005C4249" w:rsidRPr="002E1A5F">
        <w:t xml:space="preserve"> </w:t>
      </w:r>
      <w:r w:rsidRPr="002E1A5F">
        <w:t xml:space="preserve">owned by a country of risk or foreign entity based in a country of </w:t>
      </w:r>
      <w:proofErr w:type="gramStart"/>
      <w:r w:rsidRPr="002E1A5F">
        <w:t>risk</w:t>
      </w:r>
      <w:r w:rsidRPr="005C784C">
        <w:t>;</w:t>
      </w:r>
      <w:proofErr w:type="gramEnd"/>
    </w:p>
    <w:p w14:paraId="08A1E7E8" w14:textId="77777777" w:rsidR="00285234" w:rsidRPr="002E1A5F" w:rsidRDefault="00285234" w:rsidP="7A327B2A">
      <w:pPr>
        <w:pStyle w:val="ListParagraph"/>
        <w:jc w:val="both"/>
      </w:pPr>
    </w:p>
    <w:p w14:paraId="59D21516" w14:textId="3EA7B2AD" w:rsidR="00285234" w:rsidRPr="000106F3" w:rsidRDefault="001E5A1A" w:rsidP="7A327B2A">
      <w:pPr>
        <w:pStyle w:val="ListParagraph"/>
        <w:numPr>
          <w:ilvl w:val="1"/>
          <w:numId w:val="27"/>
        </w:numPr>
        <w:ind w:left="1080"/>
        <w:jc w:val="both"/>
      </w:pPr>
      <w:r w:rsidRPr="002E1A5F">
        <w:t>Any current or pending change in ownership structure of the Subrecipient or its lower tier subrecipients that increases foreign ownership related to a country of risk</w:t>
      </w:r>
      <w:r w:rsidR="000106F3">
        <w:t xml:space="preserve">. </w:t>
      </w:r>
      <w:r w:rsidR="000106F3" w:rsidRPr="00845BD1">
        <w:rPr>
          <w:color w:val="000000"/>
        </w:rPr>
        <w:t>Each notification shall be accompanied by a complete and up-to-date capitalization table showing all equity interests held including limited liability company (LLC) and partnership interests, as well as derivative securities.  Include both the number of shares issued to each equity holder, as well as the percentage of that series and of all equity on fully diluted basis.  For each equity holder, provide the place of incorporation and the principal place of business, as applicable.  If the equity holder is a natural person, identify the citizenship(s</w:t>
      </w:r>
      <w:proofErr w:type="gramStart"/>
      <w:r w:rsidR="000106F3" w:rsidRPr="00845BD1">
        <w:rPr>
          <w:color w:val="000000"/>
        </w:rPr>
        <w:t>)</w:t>
      </w:r>
      <w:r w:rsidRPr="000106F3">
        <w:t>;</w:t>
      </w:r>
      <w:proofErr w:type="gramEnd"/>
    </w:p>
    <w:p w14:paraId="6B7FDB96" w14:textId="77777777" w:rsidR="00285234" w:rsidRPr="002E1A5F" w:rsidRDefault="00285234" w:rsidP="7A327B2A">
      <w:pPr>
        <w:pStyle w:val="ListParagraph"/>
        <w:jc w:val="both"/>
      </w:pPr>
    </w:p>
    <w:p w14:paraId="6B640200" w14:textId="77777777" w:rsidR="00285234" w:rsidRPr="002E1A5F" w:rsidRDefault="001E5A1A" w:rsidP="7A327B2A">
      <w:pPr>
        <w:pStyle w:val="ListParagraph"/>
        <w:numPr>
          <w:ilvl w:val="1"/>
          <w:numId w:val="27"/>
        </w:numPr>
        <w:ind w:left="1080"/>
        <w:jc w:val="both"/>
      </w:pPr>
      <w:r w:rsidRPr="002E1A5F">
        <w:t xml:space="preserve">Any current or pending venture capital or institutional investment by an entity that has a general partner or individual holding a leadership role in such entity who has a foreign affiliation with any foreign country of </w:t>
      </w:r>
      <w:proofErr w:type="gramStart"/>
      <w:r w:rsidRPr="002E1A5F">
        <w:t>risk;</w:t>
      </w:r>
      <w:proofErr w:type="gramEnd"/>
    </w:p>
    <w:p w14:paraId="76ADAEA9" w14:textId="77777777" w:rsidR="00285234" w:rsidRPr="002E1A5F" w:rsidRDefault="00285234" w:rsidP="7A327B2A">
      <w:pPr>
        <w:pStyle w:val="ListParagraph"/>
        <w:jc w:val="both"/>
      </w:pPr>
    </w:p>
    <w:p w14:paraId="54C373DB" w14:textId="77777777" w:rsidR="00285234" w:rsidRPr="002E1A5F" w:rsidRDefault="001E5A1A" w:rsidP="7A327B2A">
      <w:pPr>
        <w:pStyle w:val="ListParagraph"/>
        <w:numPr>
          <w:ilvl w:val="1"/>
          <w:numId w:val="27"/>
        </w:numPr>
        <w:ind w:left="1080"/>
        <w:jc w:val="both"/>
      </w:pPr>
      <w:r w:rsidRPr="002E1A5F">
        <w:t>Any current or pending technology licensing or intellectual property sales to a foreign country of risk; and</w:t>
      </w:r>
    </w:p>
    <w:p w14:paraId="694075C4" w14:textId="77777777" w:rsidR="00285234" w:rsidRPr="002E1A5F" w:rsidRDefault="00285234" w:rsidP="00845BD1">
      <w:pPr>
        <w:pStyle w:val="ListParagraph"/>
        <w:ind w:left="1080"/>
        <w:jc w:val="both"/>
      </w:pPr>
    </w:p>
    <w:p w14:paraId="5D212F77" w14:textId="700C783C" w:rsidR="00B77203" w:rsidRPr="00E565A5" w:rsidRDefault="001E5A1A" w:rsidP="00B77203">
      <w:pPr>
        <w:pStyle w:val="ListParagraph"/>
        <w:numPr>
          <w:ilvl w:val="1"/>
          <w:numId w:val="27"/>
        </w:numPr>
        <w:ind w:left="1080"/>
        <w:jc w:val="both"/>
      </w:pPr>
      <w:r w:rsidRPr="002E1A5F">
        <w:t>.</w:t>
      </w:r>
      <w:r w:rsidR="00B77203" w:rsidRPr="00845BD1">
        <w:t xml:space="preserve"> Any changes to the </w:t>
      </w:r>
      <w:r w:rsidR="00A8287C">
        <w:t>Sub</w:t>
      </w:r>
      <w:r w:rsidR="00B14633">
        <w:t>r</w:t>
      </w:r>
      <w:r w:rsidR="00B77203" w:rsidRPr="00845BD1">
        <w:t xml:space="preserve">ecipient or </w:t>
      </w:r>
      <w:r w:rsidR="00A8287C" w:rsidRPr="00E565A5">
        <w:t>its</w:t>
      </w:r>
      <w:r w:rsidR="00B77203" w:rsidRPr="00845BD1">
        <w:t xml:space="preserve"> </w:t>
      </w:r>
      <w:r w:rsidR="00A8287C" w:rsidRPr="00E565A5">
        <w:t xml:space="preserve">lower tier </w:t>
      </w:r>
      <w:r w:rsidR="00B77203" w:rsidRPr="00845BD1">
        <w:t>subrecipients’ board of directors, including additions to the number of directors, the identity of new directors, as well as each new director’s citizenship, shareholder affiliation (if applicable); each notification shall include a complete up-to-date list of all directors (and board observers), including their full name, citizenship and shareholder affiliation, date of appointment, duration of term, as well as a description of observer rights as applicable.</w:t>
      </w:r>
    </w:p>
    <w:p w14:paraId="5D26CD15" w14:textId="77777777" w:rsidR="00B77203" w:rsidRPr="00845BD1" w:rsidRDefault="00B77203" w:rsidP="00845BD1">
      <w:pPr>
        <w:pStyle w:val="ListParagraph"/>
        <w:rPr>
          <w:color w:val="000000"/>
        </w:rPr>
      </w:pPr>
    </w:p>
    <w:p w14:paraId="6A797C16" w14:textId="16F2011B" w:rsidR="00B77203" w:rsidRPr="00845BD1" w:rsidRDefault="00B77203" w:rsidP="00845BD1">
      <w:pPr>
        <w:pStyle w:val="ListParagraph"/>
        <w:numPr>
          <w:ilvl w:val="1"/>
          <w:numId w:val="27"/>
        </w:numPr>
        <w:ind w:left="1080"/>
        <w:jc w:val="both"/>
      </w:pPr>
      <w:r w:rsidRPr="00845BD1">
        <w:rPr>
          <w:color w:val="000000"/>
        </w:rPr>
        <w:t>Any proposed changes to the equipment used on the project that would result in:</w:t>
      </w:r>
    </w:p>
    <w:p w14:paraId="519A3547" w14:textId="77777777" w:rsidR="00B77203" w:rsidRPr="00845BD1" w:rsidRDefault="00B77203" w:rsidP="00B77203">
      <w:pPr>
        <w:widowControl/>
        <w:numPr>
          <w:ilvl w:val="1"/>
          <w:numId w:val="62"/>
        </w:numPr>
        <w:contextualSpacing/>
        <w:rPr>
          <w:color w:val="000000"/>
        </w:rPr>
      </w:pPr>
      <w:r w:rsidRPr="00845BD1">
        <w:rPr>
          <w:color w:val="000000"/>
        </w:rPr>
        <w:t>Equipment originally made or manufactured in a foreign country of risk (including relabeled or rebranded equipment).</w:t>
      </w:r>
    </w:p>
    <w:p w14:paraId="23FAC41B" w14:textId="77777777" w:rsidR="00B77203" w:rsidRPr="00845BD1" w:rsidRDefault="00B77203" w:rsidP="00B77203">
      <w:pPr>
        <w:widowControl/>
        <w:numPr>
          <w:ilvl w:val="1"/>
          <w:numId w:val="62"/>
        </w:numPr>
        <w:contextualSpacing/>
        <w:rPr>
          <w:color w:val="000000"/>
        </w:rPr>
      </w:pPr>
      <w:r w:rsidRPr="00845BD1">
        <w:rPr>
          <w:color w:val="000000"/>
        </w:rPr>
        <w:t>Coded equipment where the source code is written in a foreign country of risk.</w:t>
      </w:r>
    </w:p>
    <w:p w14:paraId="6641F515" w14:textId="77777777" w:rsidR="00B77203" w:rsidRPr="00845BD1" w:rsidRDefault="00B77203" w:rsidP="00B77203">
      <w:pPr>
        <w:widowControl/>
        <w:numPr>
          <w:ilvl w:val="1"/>
          <w:numId w:val="62"/>
        </w:numPr>
        <w:contextualSpacing/>
        <w:rPr>
          <w:color w:val="000000"/>
        </w:rPr>
      </w:pPr>
      <w:r w:rsidRPr="00845BD1">
        <w:rPr>
          <w:color w:val="000000"/>
        </w:rPr>
        <w:t>Equipment from a foreign country of risk that will be connected to the internet or other remote communication system.</w:t>
      </w:r>
    </w:p>
    <w:p w14:paraId="0B640617" w14:textId="77777777" w:rsidR="00B77203" w:rsidRPr="00845BD1" w:rsidRDefault="00B77203" w:rsidP="00B77203">
      <w:pPr>
        <w:widowControl/>
        <w:numPr>
          <w:ilvl w:val="1"/>
          <w:numId w:val="62"/>
        </w:numPr>
        <w:contextualSpacing/>
        <w:rPr>
          <w:color w:val="000000"/>
        </w:rPr>
      </w:pPr>
      <w:r w:rsidRPr="00845BD1">
        <w:rPr>
          <w:color w:val="000000"/>
        </w:rPr>
        <w:t xml:space="preserve">Any </w:t>
      </w:r>
      <w:proofErr w:type="gramStart"/>
      <w:r w:rsidRPr="00845BD1">
        <w:rPr>
          <w:color w:val="000000"/>
        </w:rPr>
        <w:t>companies</w:t>
      </w:r>
      <w:proofErr w:type="gramEnd"/>
      <w:r w:rsidRPr="00845BD1">
        <w:rPr>
          <w:color w:val="000000"/>
        </w:rPr>
        <w:t xml:space="preserve"> from a foreign country of risk that will have physical or remote access to any part of the equipment used on the project after delivery. </w:t>
      </w:r>
    </w:p>
    <w:p w14:paraId="174A6392" w14:textId="77777777" w:rsidR="00B77203" w:rsidRPr="00845BD1" w:rsidRDefault="00B77203" w:rsidP="00B77203">
      <w:pPr>
        <w:contextualSpacing/>
        <w:rPr>
          <w:color w:val="000000"/>
          <w:highlight w:val="yellow"/>
        </w:rPr>
      </w:pPr>
    </w:p>
    <w:p w14:paraId="1BDA88E5" w14:textId="77777777" w:rsidR="00B77203" w:rsidRPr="00845BD1" w:rsidRDefault="00B77203" w:rsidP="00B77203">
      <w:pPr>
        <w:contextualSpacing/>
        <w:rPr>
          <w:color w:val="000000"/>
        </w:rPr>
      </w:pPr>
      <w:r w:rsidRPr="00845BD1">
        <w:rPr>
          <w:color w:val="000000"/>
        </w:rPr>
        <w:t>Should DOE determine the connection poses a risk to economic or national security, DOE will require measures to mitigate or eliminate the risk.</w:t>
      </w:r>
    </w:p>
    <w:p w14:paraId="29C27D27" w14:textId="77777777" w:rsidR="00B77203" w:rsidRPr="00845BD1" w:rsidRDefault="00B77203" w:rsidP="00B77203">
      <w:pPr>
        <w:contextualSpacing/>
        <w:rPr>
          <w:color w:val="000000"/>
        </w:rPr>
      </w:pPr>
    </w:p>
    <w:p w14:paraId="25481158" w14:textId="77777777" w:rsidR="00B77203" w:rsidRPr="00845BD1" w:rsidRDefault="00B77203" w:rsidP="00B77203">
      <w:pPr>
        <w:rPr>
          <w:color w:val="000000"/>
        </w:rPr>
      </w:pPr>
      <w:r w:rsidRPr="00845BD1">
        <w:rPr>
          <w:color w:val="000000"/>
        </w:rPr>
        <w:t>DOE has designated the following countries as foreign countries of risk: Iran, North Korea, Russia, and China. This list is subject to change.</w:t>
      </w:r>
    </w:p>
    <w:p w14:paraId="58CE1E15" w14:textId="77777777" w:rsidR="00B77203" w:rsidRPr="00845BD1" w:rsidRDefault="00B77203" w:rsidP="00B77203">
      <w:pPr>
        <w:rPr>
          <w:color w:val="000000"/>
        </w:rPr>
      </w:pPr>
    </w:p>
    <w:p w14:paraId="7664DF8C" w14:textId="1C900343" w:rsidR="00B77203" w:rsidRPr="00845BD1" w:rsidRDefault="00B77203" w:rsidP="00B77203">
      <w:pPr>
        <w:rPr>
          <w:color w:val="000000"/>
        </w:rPr>
      </w:pPr>
      <w:r w:rsidRPr="00845BD1">
        <w:rPr>
          <w:color w:val="000000"/>
        </w:rPr>
        <w:t xml:space="preserve">Recognizing the disclosures may contain </w:t>
      </w:r>
      <w:proofErr w:type="gramStart"/>
      <w:r w:rsidRPr="00845BD1">
        <w:rPr>
          <w:color w:val="000000"/>
        </w:rPr>
        <w:t>business confidential</w:t>
      </w:r>
      <w:proofErr w:type="gramEnd"/>
      <w:r w:rsidRPr="00845BD1">
        <w:rPr>
          <w:color w:val="000000"/>
        </w:rPr>
        <w:t xml:space="preserve"> information, </w:t>
      </w:r>
      <w:r w:rsidR="00A56D12" w:rsidRPr="00845BD1">
        <w:rPr>
          <w:color w:val="000000"/>
        </w:rPr>
        <w:t xml:space="preserve">the </w:t>
      </w:r>
      <w:r w:rsidR="00B14633" w:rsidRPr="00845BD1">
        <w:rPr>
          <w:color w:val="000000"/>
        </w:rPr>
        <w:t>S</w:t>
      </w:r>
      <w:r w:rsidRPr="00845BD1">
        <w:rPr>
          <w:color w:val="000000"/>
        </w:rPr>
        <w:t xml:space="preserve">ubrecipient </w:t>
      </w:r>
      <w:r w:rsidR="00A8287C" w:rsidRPr="00845BD1">
        <w:rPr>
          <w:color w:val="000000"/>
        </w:rPr>
        <w:t xml:space="preserve">and </w:t>
      </w:r>
      <w:r w:rsidR="00A56D12" w:rsidRPr="00845BD1">
        <w:rPr>
          <w:color w:val="000000"/>
        </w:rPr>
        <w:t xml:space="preserve">its </w:t>
      </w:r>
      <w:r w:rsidR="00A8287C" w:rsidRPr="00845BD1">
        <w:rPr>
          <w:color w:val="000000"/>
        </w:rPr>
        <w:t xml:space="preserve">lower </w:t>
      </w:r>
      <w:r w:rsidR="00B60D8D" w:rsidRPr="00845BD1">
        <w:rPr>
          <w:color w:val="000000"/>
        </w:rPr>
        <w:lastRenderedPageBreak/>
        <w:t xml:space="preserve">tier subrecipients </w:t>
      </w:r>
      <w:r w:rsidRPr="00845BD1">
        <w:rPr>
          <w:color w:val="000000"/>
        </w:rPr>
        <w:t>may submit their disclosures directly to DOE.</w:t>
      </w:r>
    </w:p>
    <w:p w14:paraId="0E632CC4" w14:textId="16E0E87C" w:rsidR="001E5A1A" w:rsidRPr="00E565A5" w:rsidRDefault="001E5A1A" w:rsidP="00845BD1">
      <w:pPr>
        <w:jc w:val="both"/>
      </w:pPr>
    </w:p>
    <w:p w14:paraId="1FECB5D1" w14:textId="77777777" w:rsidR="00875AFB" w:rsidRPr="00E565A5" w:rsidRDefault="00875AFB" w:rsidP="7A327B2A">
      <w:pPr>
        <w:jc w:val="both"/>
      </w:pPr>
    </w:p>
    <w:p w14:paraId="2A2321D6" w14:textId="142802C2" w:rsidR="00875AFB" w:rsidRPr="00E565A5" w:rsidRDefault="00875AFB" w:rsidP="006F30C1">
      <w:pPr>
        <w:pStyle w:val="Heading2"/>
        <w:numPr>
          <w:ilvl w:val="0"/>
          <w:numId w:val="27"/>
        </w:numPr>
        <w:jc w:val="both"/>
        <w:rPr>
          <w:rFonts w:ascii="Arial" w:hAnsi="Arial" w:cs="Arial"/>
          <w:b/>
          <w:bCs/>
          <w:color w:val="auto"/>
          <w:sz w:val="20"/>
          <w:szCs w:val="20"/>
        </w:rPr>
      </w:pPr>
      <w:bookmarkStart w:id="36" w:name="_Toc206158603"/>
      <w:r w:rsidRPr="00E565A5">
        <w:rPr>
          <w:rFonts w:ascii="Arial" w:hAnsi="Arial" w:cs="Arial"/>
          <w:b/>
          <w:bCs/>
          <w:color w:val="auto"/>
          <w:sz w:val="20"/>
          <w:szCs w:val="20"/>
        </w:rPr>
        <w:t>Cost Match</w:t>
      </w:r>
      <w:bookmarkEnd w:id="36"/>
    </w:p>
    <w:p w14:paraId="5A477F46" w14:textId="77777777" w:rsidR="00E03044" w:rsidRPr="002E1A5F" w:rsidRDefault="00E03044" w:rsidP="7A327B2A">
      <w:pPr>
        <w:jc w:val="both"/>
      </w:pPr>
    </w:p>
    <w:p w14:paraId="7161CE9D" w14:textId="4C43505B" w:rsidR="00E03044" w:rsidRPr="002E1A5F" w:rsidRDefault="001E7E71" w:rsidP="7A327B2A">
      <w:pPr>
        <w:pStyle w:val="ListParagraph"/>
        <w:numPr>
          <w:ilvl w:val="1"/>
          <w:numId w:val="27"/>
        </w:numPr>
        <w:ind w:left="1080"/>
        <w:jc w:val="both"/>
      </w:pPr>
      <w:r>
        <w:t>“</w:t>
      </w:r>
      <w:r w:rsidR="00E03044" w:rsidRPr="002E1A5F">
        <w:t xml:space="preserve">Cost Matching” for the non-federal share is calculated as a percentage of the Federal funds only, rather than the Total Project Cost. The Total Project Cost is the sum of the United States Government share and Subrecipient match. The Subrecipient’s </w:t>
      </w:r>
      <w:proofErr w:type="gramStart"/>
      <w:r w:rsidR="00E03044" w:rsidRPr="002E1A5F">
        <w:t>cost match</w:t>
      </w:r>
      <w:proofErr w:type="gramEnd"/>
      <w:r w:rsidR="00E03044" w:rsidRPr="002E1A5F">
        <w:t xml:space="preserve"> must come from non-Federal sources unless otherwise allowed by law.</w:t>
      </w:r>
    </w:p>
    <w:p w14:paraId="7FFD8840" w14:textId="77777777" w:rsidR="00E03044" w:rsidRPr="002E1A5F" w:rsidRDefault="00E03044" w:rsidP="7A327B2A">
      <w:pPr>
        <w:pStyle w:val="ListParagraph"/>
        <w:ind w:left="1080"/>
        <w:jc w:val="both"/>
      </w:pPr>
    </w:p>
    <w:p w14:paraId="79A7DB0A" w14:textId="75AA9B89" w:rsidR="0063475A" w:rsidRPr="002E1A5F" w:rsidRDefault="00E03044" w:rsidP="7A327B2A">
      <w:pPr>
        <w:pStyle w:val="ListParagraph"/>
        <w:numPr>
          <w:ilvl w:val="1"/>
          <w:numId w:val="27"/>
        </w:numPr>
        <w:ind w:left="1080"/>
        <w:jc w:val="both"/>
      </w:pPr>
      <w:r w:rsidRPr="002E1A5F">
        <w:t xml:space="preserve">The </w:t>
      </w:r>
      <w:r w:rsidR="005C3B10" w:rsidRPr="002E1A5F">
        <w:t xml:space="preserve">required match for CEC’s federal allocation is </w:t>
      </w:r>
      <w:r w:rsidRPr="002E1A5F">
        <w:t>15 percent</w:t>
      </w:r>
      <w:r>
        <w:t>.</w:t>
      </w:r>
      <w:r w:rsidRPr="002E1A5F">
        <w:t xml:space="preserve"> In addition, the Subrecipient as an eligible entity performing resilience projects is required to provide a 100 percent cost match, unless the eligible entity sells not more than 4,000,000 megawatt hours of electricity per year, then the eligible entity is required to provide a one-third cost match.</w:t>
      </w:r>
    </w:p>
    <w:p w14:paraId="378AF789" w14:textId="77777777" w:rsidR="0063475A" w:rsidRPr="002E1A5F" w:rsidRDefault="0063475A" w:rsidP="7A327B2A">
      <w:pPr>
        <w:pStyle w:val="ListParagraph"/>
        <w:jc w:val="both"/>
      </w:pPr>
    </w:p>
    <w:p w14:paraId="37BA1F2B" w14:textId="2C6FAC87" w:rsidR="00140102" w:rsidRPr="002E1A5F" w:rsidRDefault="00E03044" w:rsidP="7A327B2A">
      <w:pPr>
        <w:pStyle w:val="ListParagraph"/>
        <w:numPr>
          <w:ilvl w:val="1"/>
          <w:numId w:val="27"/>
        </w:numPr>
        <w:ind w:left="1080"/>
        <w:jc w:val="both"/>
      </w:pPr>
      <w:r w:rsidRPr="002E1A5F">
        <w:t xml:space="preserve">By accepting federal funds under this </w:t>
      </w:r>
      <w:r w:rsidR="00B100A9">
        <w:t>Agreement</w:t>
      </w:r>
      <w:r w:rsidRPr="002E1A5F">
        <w:t>, the Subrecipient is liable for the cost match percentage of total expenditures incurred, even if the project is terminated early or is not funded to its completion.</w:t>
      </w:r>
    </w:p>
    <w:p w14:paraId="7A4A841E" w14:textId="77777777" w:rsidR="00140102" w:rsidRPr="002E1A5F" w:rsidRDefault="00140102" w:rsidP="7A327B2A">
      <w:pPr>
        <w:pStyle w:val="ListParagraph"/>
        <w:jc w:val="both"/>
      </w:pPr>
    </w:p>
    <w:p w14:paraId="3B8AC7D7" w14:textId="1F035CE8" w:rsidR="00140102" w:rsidRPr="002E1A5F" w:rsidRDefault="00E03044" w:rsidP="7A327B2A">
      <w:pPr>
        <w:pStyle w:val="ListParagraph"/>
        <w:numPr>
          <w:ilvl w:val="1"/>
          <w:numId w:val="27"/>
        </w:numPr>
        <w:ind w:left="1080"/>
        <w:jc w:val="both"/>
      </w:pPr>
      <w:r w:rsidRPr="002E1A5F">
        <w:t xml:space="preserve">If the Subrecipient discovers that it may be unable to provide the required cost matching under this </w:t>
      </w:r>
      <w:r w:rsidR="0037242B">
        <w:t>Agreement</w:t>
      </w:r>
      <w:r w:rsidRPr="002E1A5F">
        <w:t>, the Subrecipient should immediately provide written notification to the CEC CAM, who will in turn notify DOE Award Administrator</w:t>
      </w:r>
      <w:r w:rsidR="0037242B" w:rsidRPr="002E1A5F">
        <w:t>,</w:t>
      </w:r>
      <w:r w:rsidRPr="002E1A5F">
        <w:t xml:space="preserve"> indicating whether the Subrecipient will continue or phase out the project. If the Subrecipient plans to continue the project, the notification must describe how replacement cost matching will be secured.</w:t>
      </w:r>
    </w:p>
    <w:p w14:paraId="56214EDB" w14:textId="77777777" w:rsidR="00140102" w:rsidRPr="002E1A5F" w:rsidRDefault="00140102" w:rsidP="7A327B2A">
      <w:pPr>
        <w:pStyle w:val="ListParagraph"/>
        <w:jc w:val="both"/>
      </w:pPr>
    </w:p>
    <w:p w14:paraId="32E22414" w14:textId="753C20FF" w:rsidR="00875AFB" w:rsidRPr="002E1A5F" w:rsidRDefault="00E03044" w:rsidP="7A327B2A">
      <w:pPr>
        <w:pStyle w:val="ListParagraph"/>
        <w:numPr>
          <w:ilvl w:val="1"/>
          <w:numId w:val="27"/>
        </w:numPr>
        <w:ind w:left="1080"/>
        <w:jc w:val="both"/>
      </w:pPr>
      <w:r w:rsidRPr="002E1A5F">
        <w:t xml:space="preserve">The Subrecipient must maintain records of all project costs that it claims as cost match, including in-kind costs, as well as records of costs to be paid by CEC </w:t>
      </w:r>
      <w:r w:rsidR="00C02B82" w:rsidRPr="002E1A5F">
        <w:t xml:space="preserve">or </w:t>
      </w:r>
      <w:r w:rsidRPr="002E1A5F">
        <w:t>DOE</w:t>
      </w:r>
      <w:r w:rsidR="00035582" w:rsidRPr="002E1A5F">
        <w:t>/NNSA</w:t>
      </w:r>
      <w:r>
        <w:t>.</w:t>
      </w:r>
      <w:r w:rsidRPr="002E1A5F">
        <w:t xml:space="preserve"> Such records are subject to audit.</w:t>
      </w:r>
    </w:p>
    <w:p w14:paraId="5C14F90D" w14:textId="77777777" w:rsidR="00204F75" w:rsidRPr="002E1A5F" w:rsidRDefault="00204F75" w:rsidP="7A327B2A">
      <w:pPr>
        <w:pStyle w:val="ListParagraph"/>
        <w:jc w:val="both"/>
      </w:pPr>
    </w:p>
    <w:p w14:paraId="41FB2DB3" w14:textId="5BB1BA47" w:rsidR="00204F75" w:rsidRPr="002E1A5F" w:rsidRDefault="00204F75" w:rsidP="7A327B2A">
      <w:pPr>
        <w:pStyle w:val="ListParagraph"/>
        <w:numPr>
          <w:ilvl w:val="1"/>
          <w:numId w:val="27"/>
        </w:numPr>
        <w:ind w:left="1080"/>
        <w:jc w:val="both"/>
      </w:pPr>
      <w:r w:rsidRPr="002E1A5F">
        <w:t>Failure to provide the cost matching required by this term may result in the subsequent recovery by CEC or DOE of some or all the funds provided under the Award.</w:t>
      </w:r>
    </w:p>
    <w:p w14:paraId="6FEFA801" w14:textId="77777777" w:rsidR="00875AFB" w:rsidRPr="002E1A5F" w:rsidRDefault="00875AFB" w:rsidP="7A327B2A">
      <w:pPr>
        <w:jc w:val="both"/>
      </w:pPr>
    </w:p>
    <w:p w14:paraId="5224D0A3" w14:textId="77777777" w:rsidR="00875AFB" w:rsidRPr="002E1A5F" w:rsidRDefault="00875AFB" w:rsidP="00875AFB">
      <w:pPr>
        <w:pStyle w:val="Heading2"/>
        <w:numPr>
          <w:ilvl w:val="0"/>
          <w:numId w:val="27"/>
        </w:numPr>
        <w:jc w:val="both"/>
        <w:rPr>
          <w:rFonts w:ascii="Arial" w:eastAsia="Times New Roman" w:hAnsi="Arial" w:cs="Arial"/>
          <w:b/>
          <w:bCs/>
          <w:color w:val="auto"/>
          <w:sz w:val="20"/>
          <w:szCs w:val="20"/>
        </w:rPr>
      </w:pPr>
      <w:bookmarkStart w:id="37" w:name="_Toc206158604"/>
      <w:r w:rsidRPr="002E1A5F">
        <w:rPr>
          <w:rFonts w:ascii="Arial" w:eastAsia="Times New Roman" w:hAnsi="Arial" w:cs="Arial"/>
          <w:b/>
          <w:bCs/>
          <w:color w:val="auto"/>
          <w:sz w:val="20"/>
          <w:szCs w:val="20"/>
        </w:rPr>
        <w:t>Revision of Budget and Program Plans</w:t>
      </w:r>
      <w:bookmarkEnd w:id="37"/>
    </w:p>
    <w:p w14:paraId="6964DF12" w14:textId="77777777" w:rsidR="00875AFB" w:rsidRPr="002E1A5F" w:rsidRDefault="00875AFB" w:rsidP="7A327B2A">
      <w:pPr>
        <w:pStyle w:val="NoSpacing"/>
        <w:jc w:val="both"/>
        <w:rPr>
          <w:rFonts w:eastAsia="Arial"/>
        </w:rPr>
      </w:pPr>
    </w:p>
    <w:p w14:paraId="5DCE97EB" w14:textId="77777777" w:rsidR="00875AFB" w:rsidRPr="002E1A5F" w:rsidRDefault="00875AFB" w:rsidP="7A327B2A">
      <w:pPr>
        <w:pStyle w:val="NoSpacing"/>
        <w:ind w:firstLine="720"/>
        <w:jc w:val="both"/>
        <w:rPr>
          <w:rFonts w:eastAsia="Arial"/>
        </w:rPr>
      </w:pPr>
      <w:bookmarkStart w:id="38" w:name="_Toc149654099"/>
      <w:bookmarkStart w:id="39" w:name="_Toc149662687"/>
      <w:r w:rsidRPr="002E1A5F">
        <w:rPr>
          <w:rFonts w:eastAsia="Arial"/>
        </w:rPr>
        <w:t xml:space="preserve">Any revisions to the budget </w:t>
      </w:r>
      <w:proofErr w:type="gramStart"/>
      <w:r w:rsidRPr="002E1A5F">
        <w:rPr>
          <w:rFonts w:eastAsia="Arial"/>
        </w:rPr>
        <w:t>or program</w:t>
      </w:r>
      <w:proofErr w:type="gramEnd"/>
      <w:r w:rsidRPr="002E1A5F">
        <w:rPr>
          <w:rFonts w:eastAsia="Arial"/>
        </w:rPr>
        <w:t xml:space="preserve"> plans for this Award must comply with 2 CFR 200.308.</w:t>
      </w:r>
      <w:bookmarkEnd w:id="38"/>
      <w:bookmarkEnd w:id="39"/>
    </w:p>
    <w:p w14:paraId="59A6FF2A" w14:textId="77777777" w:rsidR="00875AFB" w:rsidRPr="002E1A5F" w:rsidRDefault="00875AFB" w:rsidP="7A327B2A">
      <w:pPr>
        <w:jc w:val="both"/>
      </w:pPr>
    </w:p>
    <w:p w14:paraId="1E008296" w14:textId="4AA0449E" w:rsidR="00875AFB" w:rsidRPr="002E1A5F" w:rsidRDefault="004C1C7F" w:rsidP="006F30C1">
      <w:pPr>
        <w:pStyle w:val="Heading2"/>
        <w:numPr>
          <w:ilvl w:val="0"/>
          <w:numId w:val="27"/>
        </w:numPr>
        <w:jc w:val="both"/>
        <w:rPr>
          <w:rFonts w:ascii="Arial" w:hAnsi="Arial" w:cs="Arial"/>
          <w:b/>
          <w:bCs/>
          <w:color w:val="auto"/>
          <w:sz w:val="20"/>
          <w:szCs w:val="20"/>
        </w:rPr>
      </w:pPr>
      <w:bookmarkStart w:id="40" w:name="_Toc206158605"/>
      <w:r w:rsidRPr="002E1A5F">
        <w:rPr>
          <w:rFonts w:ascii="Arial" w:hAnsi="Arial" w:cs="Arial"/>
          <w:b/>
          <w:bCs/>
          <w:color w:val="auto"/>
          <w:sz w:val="20"/>
          <w:szCs w:val="20"/>
        </w:rPr>
        <w:t>Continued Use of Real Property and Equipment</w:t>
      </w:r>
      <w:bookmarkEnd w:id="40"/>
    </w:p>
    <w:p w14:paraId="132A9451" w14:textId="77777777" w:rsidR="004C1C7F" w:rsidRPr="002E1A5F" w:rsidRDefault="004C1C7F" w:rsidP="7A327B2A">
      <w:pPr>
        <w:jc w:val="both"/>
      </w:pPr>
    </w:p>
    <w:p w14:paraId="6ACBCBA5" w14:textId="48058FDF" w:rsidR="002C0BAC" w:rsidRPr="002E1A5F" w:rsidRDefault="002C0BAC" w:rsidP="002C0BAC">
      <w:pPr>
        <w:pStyle w:val="ListParagraph"/>
        <w:numPr>
          <w:ilvl w:val="0"/>
          <w:numId w:val="3"/>
        </w:numPr>
        <w:ind w:left="1080"/>
        <w:jc w:val="both"/>
      </w:pPr>
      <w:r w:rsidRPr="002E1A5F">
        <w:rPr>
          <w:rFonts w:eastAsia="Arial"/>
        </w:rPr>
        <w:t xml:space="preserve">Real property and equipment purchased with project funds (federal share and Subrecipient cost share) under this Agreement are </w:t>
      </w:r>
      <w:r w:rsidRPr="002E1A5F">
        <w:t xml:space="preserve">subject to the requirements at 2 CFR 200.311, 200.313, and 200.316 (non-Federal entities, except for-profit entities) and 2 CFR 910.360 (for-profit entities). The Subrecipient may continue to use the real property and equipment after the conclusion of the award period of performance so long as the Subrecipient: </w:t>
      </w:r>
    </w:p>
    <w:p w14:paraId="27506B95" w14:textId="77777777" w:rsidR="002C0BAC" w:rsidRPr="002E1A5F" w:rsidRDefault="002C0BAC" w:rsidP="002C0BAC">
      <w:pPr>
        <w:pStyle w:val="ListParagraph"/>
        <w:ind w:left="1260" w:hanging="180"/>
        <w:jc w:val="both"/>
      </w:pPr>
    </w:p>
    <w:p w14:paraId="533C09AC" w14:textId="77777777" w:rsidR="002C0BAC" w:rsidRPr="002E1A5F" w:rsidRDefault="002C0BAC" w:rsidP="002C0BAC">
      <w:pPr>
        <w:pStyle w:val="ListParagraph"/>
        <w:numPr>
          <w:ilvl w:val="0"/>
          <w:numId w:val="32"/>
        </w:numPr>
        <w:ind w:left="1440"/>
        <w:jc w:val="both"/>
      </w:pPr>
      <w:proofErr w:type="gramStart"/>
      <w:r w:rsidRPr="002E1A5F">
        <w:t>Continues</w:t>
      </w:r>
      <w:proofErr w:type="gramEnd"/>
      <w:r w:rsidRPr="002E1A5F">
        <w:t xml:space="preserve"> to use the property for </w:t>
      </w:r>
      <w:proofErr w:type="gramStart"/>
      <w:r w:rsidRPr="002E1A5F">
        <w:t>the authorized</w:t>
      </w:r>
      <w:proofErr w:type="gramEnd"/>
      <w:r w:rsidRPr="002E1A5F">
        <w:t xml:space="preserve"> project </w:t>
      </w:r>
      <w:proofErr w:type="gramStart"/>
      <w:r w:rsidRPr="002E1A5F">
        <w:t>purposes;</w:t>
      </w:r>
      <w:proofErr w:type="gramEnd"/>
    </w:p>
    <w:p w14:paraId="414BDD75" w14:textId="77777777" w:rsidR="002C0BAC" w:rsidRPr="002E1A5F" w:rsidRDefault="002C0BAC" w:rsidP="002C0BAC">
      <w:pPr>
        <w:pStyle w:val="ListParagraph"/>
        <w:ind w:left="1440"/>
        <w:jc w:val="both"/>
      </w:pPr>
    </w:p>
    <w:p w14:paraId="167BA068" w14:textId="77777777" w:rsidR="002C0BAC" w:rsidRPr="002E1A5F" w:rsidRDefault="002C0BAC" w:rsidP="002C0BAC">
      <w:pPr>
        <w:pStyle w:val="ListParagraph"/>
        <w:numPr>
          <w:ilvl w:val="0"/>
          <w:numId w:val="32"/>
        </w:numPr>
        <w:ind w:left="1440"/>
        <w:jc w:val="both"/>
      </w:pPr>
      <w:proofErr w:type="gramStart"/>
      <w:r w:rsidRPr="002E1A5F">
        <w:t>Complies</w:t>
      </w:r>
      <w:proofErr w:type="gramEnd"/>
      <w:r w:rsidRPr="002E1A5F">
        <w:t xml:space="preserve"> with the applicable reporting requirements and regulatory property </w:t>
      </w:r>
      <w:proofErr w:type="gramStart"/>
      <w:r w:rsidRPr="002E1A5F">
        <w:t>standards;</w:t>
      </w:r>
      <w:proofErr w:type="gramEnd"/>
    </w:p>
    <w:p w14:paraId="1FC57386" w14:textId="77777777" w:rsidR="002C0BAC" w:rsidRPr="002E1A5F" w:rsidRDefault="002C0BAC" w:rsidP="002C0BAC">
      <w:pPr>
        <w:pStyle w:val="ListParagraph"/>
        <w:ind w:left="1440"/>
        <w:jc w:val="both"/>
      </w:pPr>
    </w:p>
    <w:p w14:paraId="74EDA8EE" w14:textId="77777777" w:rsidR="002C0BAC" w:rsidRPr="002E1A5F" w:rsidRDefault="002C0BAC" w:rsidP="002C0BAC">
      <w:pPr>
        <w:pStyle w:val="ListParagraph"/>
        <w:numPr>
          <w:ilvl w:val="0"/>
          <w:numId w:val="32"/>
        </w:numPr>
        <w:ind w:left="1440"/>
        <w:jc w:val="both"/>
      </w:pPr>
      <w:r w:rsidRPr="002E1A5F">
        <w:t>As applicable to for-profit entities, UCC filing statements are maintained; and</w:t>
      </w:r>
    </w:p>
    <w:p w14:paraId="5C7696B7" w14:textId="77777777" w:rsidR="002C0BAC" w:rsidRPr="002E1A5F" w:rsidRDefault="002C0BAC" w:rsidP="002C0BAC">
      <w:pPr>
        <w:pStyle w:val="ListParagraph"/>
        <w:ind w:left="1440"/>
        <w:jc w:val="both"/>
      </w:pPr>
    </w:p>
    <w:p w14:paraId="4C80C5D1" w14:textId="0B862277" w:rsidR="002C0BAC" w:rsidRPr="002E1A5F" w:rsidRDefault="002C0BAC" w:rsidP="002C0BAC">
      <w:pPr>
        <w:pStyle w:val="ListParagraph"/>
        <w:numPr>
          <w:ilvl w:val="0"/>
          <w:numId w:val="32"/>
        </w:numPr>
        <w:ind w:left="1440"/>
        <w:jc w:val="both"/>
      </w:pPr>
      <w:r w:rsidRPr="002E1A5F">
        <w:t xml:space="preserve">Submits a written Request for Continued Use to CEC CAM, who will in turn submit it </w:t>
      </w:r>
      <w:r w:rsidR="00FD3DE0" w:rsidRPr="002E1A5F">
        <w:t>to DOE</w:t>
      </w:r>
      <w:r w:rsidRPr="002E1A5F">
        <w:t xml:space="preserve"> for authorization, which is approved by the DOE Contracting Officer.</w:t>
      </w:r>
    </w:p>
    <w:p w14:paraId="0331CCE1" w14:textId="77777777" w:rsidR="002C0BAC" w:rsidRPr="002E1A5F" w:rsidRDefault="002C0BAC" w:rsidP="002C0BAC">
      <w:pPr>
        <w:jc w:val="both"/>
      </w:pPr>
    </w:p>
    <w:p w14:paraId="288D8112" w14:textId="516C2D5C" w:rsidR="002C0BAC" w:rsidRPr="002E1A5F" w:rsidRDefault="002C0BAC" w:rsidP="002C0BAC">
      <w:pPr>
        <w:pStyle w:val="ListParagraph"/>
        <w:numPr>
          <w:ilvl w:val="0"/>
          <w:numId w:val="3"/>
        </w:numPr>
        <w:ind w:left="1080"/>
        <w:jc w:val="both"/>
        <w:rPr>
          <w:rFonts w:eastAsia="Arial"/>
          <w:color w:val="000000" w:themeColor="text1"/>
        </w:rPr>
      </w:pPr>
      <w:r w:rsidRPr="002E1A5F">
        <w:rPr>
          <w:rFonts w:eastAsia="Arial"/>
        </w:rPr>
        <w:t xml:space="preserve">The </w:t>
      </w:r>
      <w:r w:rsidRPr="002E1A5F">
        <w:t xml:space="preserve">Subrecipient </w:t>
      </w:r>
      <w:r w:rsidRPr="002E1A5F">
        <w:rPr>
          <w:rFonts w:eastAsia="Arial"/>
        </w:rPr>
        <w:t xml:space="preserve">must request authorization from the DOE Contracting Officer, through the CEC CAM, to continue to use the property for the authorized project purposes beyond the </w:t>
      </w:r>
      <w:r w:rsidRPr="002E1A5F">
        <w:rPr>
          <w:rFonts w:eastAsia="Arial"/>
        </w:rPr>
        <w:lastRenderedPageBreak/>
        <w:t xml:space="preserve">Award period of performance (“Request for Continued Use”). The </w:t>
      </w:r>
      <w:r w:rsidRPr="002E1A5F">
        <w:t>Subrecipient’s</w:t>
      </w:r>
      <w:r w:rsidRPr="002E1A5F">
        <w:rPr>
          <w:rFonts w:eastAsia="Arial"/>
        </w:rPr>
        <w:t xml:space="preserve"> written Request for Continued Use must identify the property and include: a summary of how the property will be used (must align with the authorized project purposes); a proposed use period (e.g., perpetuity, until fully depreciated, or a calendar date where the </w:t>
      </w:r>
      <w:r w:rsidRPr="002E1A5F">
        <w:t xml:space="preserve">Subrecipient </w:t>
      </w:r>
      <w:r w:rsidRPr="002E1A5F">
        <w:rPr>
          <w:rFonts w:eastAsia="Arial"/>
        </w:rPr>
        <w:t>expects to submit disposition instructions); acknowledgement that the Subrecipient shall not sell or encumber the property or permit any encumbrance without prior written DOE approval; current fair market value of the property; and an Estimated Useful Life or depreciation schedule for equipment.</w:t>
      </w:r>
    </w:p>
    <w:p w14:paraId="579D6542" w14:textId="77777777" w:rsidR="002C0BAC" w:rsidRPr="002E1A5F" w:rsidRDefault="002C0BAC" w:rsidP="002C0BAC">
      <w:pPr>
        <w:jc w:val="both"/>
        <w:rPr>
          <w:color w:val="000000" w:themeColor="text1"/>
        </w:rPr>
      </w:pPr>
    </w:p>
    <w:p w14:paraId="4C427E07" w14:textId="2CE1FE83" w:rsidR="002C0BAC" w:rsidRPr="002E1A5F" w:rsidRDefault="002C0BAC" w:rsidP="002C0BAC">
      <w:pPr>
        <w:pStyle w:val="ListParagraph"/>
        <w:numPr>
          <w:ilvl w:val="0"/>
          <w:numId w:val="3"/>
        </w:numPr>
        <w:ind w:left="1080"/>
        <w:jc w:val="both"/>
      </w:pPr>
      <w:r w:rsidRPr="002E1A5F">
        <w:rPr>
          <w:rFonts w:eastAsia="Arial"/>
          <w:color w:val="000000" w:themeColor="text1"/>
        </w:rPr>
        <w:t xml:space="preserve">When the property is no longer needed for authorized project purposes, the </w:t>
      </w:r>
      <w:r w:rsidRPr="002E1A5F">
        <w:t xml:space="preserve">Subrecipient </w:t>
      </w:r>
      <w:r w:rsidRPr="002E1A5F">
        <w:rPr>
          <w:rFonts w:eastAsia="Arial"/>
          <w:color w:val="000000" w:themeColor="text1"/>
        </w:rPr>
        <w:t xml:space="preserve">must request disposition instructions </w:t>
      </w:r>
      <w:r w:rsidRPr="002E1A5F">
        <w:t>from DOE. For-profit entity disposition requirements are set forth at 2 CFR 910.360. Property disposition requirements for other non-federal entities are set forth in 2 CFR 200.310-200.316.</w:t>
      </w:r>
    </w:p>
    <w:p w14:paraId="36D6ABA2" w14:textId="77777777" w:rsidR="004C1C7F" w:rsidRPr="002E1A5F" w:rsidRDefault="004C1C7F" w:rsidP="7A327B2A">
      <w:pPr>
        <w:jc w:val="both"/>
      </w:pPr>
    </w:p>
    <w:p w14:paraId="243BFBBE" w14:textId="14C328CA" w:rsidR="009A6059" w:rsidRPr="002263C8" w:rsidRDefault="62DCAE84" w:rsidP="006F30C1">
      <w:pPr>
        <w:pStyle w:val="Heading2"/>
        <w:numPr>
          <w:ilvl w:val="0"/>
          <w:numId w:val="27"/>
        </w:numPr>
        <w:jc w:val="both"/>
        <w:rPr>
          <w:rFonts w:ascii="Arial" w:hAnsi="Arial" w:cs="Arial"/>
          <w:b/>
          <w:bCs/>
          <w:color w:val="auto"/>
          <w:sz w:val="20"/>
          <w:szCs w:val="20"/>
        </w:rPr>
      </w:pPr>
      <w:bookmarkStart w:id="41" w:name="_Toc206158606"/>
      <w:r w:rsidRPr="002263C8">
        <w:rPr>
          <w:rFonts w:ascii="Arial" w:hAnsi="Arial" w:cs="Arial"/>
          <w:b/>
          <w:bCs/>
          <w:color w:val="auto"/>
          <w:sz w:val="20"/>
          <w:szCs w:val="20"/>
        </w:rPr>
        <w:t>Interim Conflict of Interest Policy for Financial Assistance</w:t>
      </w:r>
      <w:bookmarkEnd w:id="28"/>
      <w:bookmarkEnd w:id="41"/>
    </w:p>
    <w:p w14:paraId="2C357F2B" w14:textId="77777777" w:rsidR="009A6059" w:rsidRPr="002E1A5F" w:rsidRDefault="009A6059" w:rsidP="0F584CDF">
      <w:pPr>
        <w:pStyle w:val="ListParagraph"/>
        <w:jc w:val="both"/>
      </w:pPr>
    </w:p>
    <w:p w14:paraId="6766B740" w14:textId="469431CB" w:rsidR="00C131F2" w:rsidRPr="002E1A5F" w:rsidRDefault="5E52565F" w:rsidP="006F30C1">
      <w:pPr>
        <w:pStyle w:val="FOATemplateBody"/>
        <w:numPr>
          <w:ilvl w:val="0"/>
          <w:numId w:val="16"/>
        </w:numPr>
        <w:ind w:left="1080"/>
        <w:jc w:val="both"/>
        <w:rPr>
          <w:rFonts w:ascii="Arial" w:hAnsi="Arial" w:cs="Arial"/>
          <w:sz w:val="20"/>
          <w:szCs w:val="20"/>
        </w:rPr>
      </w:pPr>
      <w:r w:rsidRPr="002E1A5F">
        <w:rPr>
          <w:rFonts w:ascii="Arial" w:hAnsi="Arial" w:cs="Arial"/>
          <w:sz w:val="20"/>
          <w:szCs w:val="20"/>
        </w:rPr>
        <w:t xml:space="preserve">The </w:t>
      </w:r>
      <w:hyperlink r:id="rId23" w:history="1">
        <w:r w:rsidRPr="005D43E0">
          <w:rPr>
            <w:rStyle w:val="Hyperlink"/>
            <w:rFonts w:ascii="Arial" w:hAnsi="Arial" w:cs="Arial"/>
            <w:sz w:val="20"/>
            <w:szCs w:val="20"/>
          </w:rPr>
          <w:t>DOE interim Conflict of Interest Policy for Financial Assistance</w:t>
        </w:r>
      </w:hyperlink>
      <w:r w:rsidRPr="002E1A5F">
        <w:rPr>
          <w:rFonts w:ascii="Arial" w:hAnsi="Arial" w:cs="Arial"/>
          <w:sz w:val="20"/>
          <w:szCs w:val="20"/>
        </w:rPr>
        <w:t xml:space="preserve"> (COI Policy) can be found at </w:t>
      </w:r>
      <w:r w:rsidR="77ED8EF0" w:rsidRPr="005D43E0">
        <w:rPr>
          <w:rFonts w:ascii="Arial" w:hAnsi="Arial" w:cs="Arial"/>
          <w:sz w:val="20"/>
          <w:szCs w:val="20"/>
        </w:rPr>
        <w:t>https://www.energy.gov/management/department-energy-interim-conflict-interest-policy-requirements-financial-assistance</w:t>
      </w:r>
      <w:r w:rsidR="77ED8EF0" w:rsidRPr="002E1A5F">
        <w:rPr>
          <w:rFonts w:ascii="Arial" w:hAnsi="Arial" w:cs="Arial"/>
          <w:sz w:val="20"/>
          <w:szCs w:val="20"/>
        </w:rPr>
        <w:t>.</w:t>
      </w:r>
      <w:r w:rsidRPr="002E1A5F">
        <w:rPr>
          <w:rFonts w:ascii="Arial" w:hAnsi="Arial" w:cs="Arial"/>
          <w:sz w:val="20"/>
          <w:szCs w:val="20"/>
        </w:rPr>
        <w:t xml:space="preserve"> This policy is applicable to all non-Federal entities applying for, or that receive, DOE funding by means of a financial assistance award (e.g., a grant, cooperative agreement, or technology investment agreement) and, through the implementation of this policy by the entity, to each </w:t>
      </w:r>
      <w:r w:rsidR="4DF31085" w:rsidRPr="002E1A5F">
        <w:rPr>
          <w:rFonts w:ascii="Arial" w:hAnsi="Arial" w:cs="Arial"/>
          <w:sz w:val="20"/>
          <w:szCs w:val="20"/>
        </w:rPr>
        <w:t xml:space="preserve">Investigator </w:t>
      </w:r>
      <w:r w:rsidRPr="002E1A5F">
        <w:rPr>
          <w:rFonts w:ascii="Arial" w:hAnsi="Arial" w:cs="Arial"/>
          <w:sz w:val="20"/>
          <w:szCs w:val="20"/>
        </w:rPr>
        <w:t xml:space="preserve">who is planning to participate in, or is participating in, the project funded wholly or in part under </w:t>
      </w:r>
      <w:r w:rsidR="79245AC0" w:rsidRPr="002E1A5F">
        <w:rPr>
          <w:rFonts w:ascii="Arial" w:hAnsi="Arial" w:cs="Arial"/>
          <w:sz w:val="20"/>
          <w:szCs w:val="20"/>
        </w:rPr>
        <w:t>this A</w:t>
      </w:r>
      <w:r w:rsidRPr="002E1A5F">
        <w:rPr>
          <w:rFonts w:ascii="Arial" w:hAnsi="Arial" w:cs="Arial"/>
          <w:sz w:val="20"/>
          <w:szCs w:val="20"/>
        </w:rPr>
        <w:t xml:space="preserve">ward. </w:t>
      </w:r>
      <w:r w:rsidR="757DDA93" w:rsidRPr="002E1A5F">
        <w:rPr>
          <w:rFonts w:ascii="Arial" w:hAnsi="Arial" w:cs="Arial"/>
          <w:sz w:val="20"/>
          <w:szCs w:val="20"/>
        </w:rPr>
        <w:t>The term “</w:t>
      </w:r>
      <w:r w:rsidR="60261121" w:rsidRPr="002E1A5F">
        <w:rPr>
          <w:rFonts w:ascii="Arial" w:hAnsi="Arial" w:cs="Arial"/>
          <w:sz w:val="20"/>
          <w:szCs w:val="20"/>
        </w:rPr>
        <w:t>Investigator</w:t>
      </w:r>
      <w:r w:rsidR="0706690A" w:rsidRPr="002E1A5F">
        <w:rPr>
          <w:rFonts w:ascii="Arial" w:hAnsi="Arial" w:cs="Arial"/>
          <w:sz w:val="20"/>
          <w:szCs w:val="20"/>
        </w:rPr>
        <w:t>”</w:t>
      </w:r>
      <w:r w:rsidR="757DDA93" w:rsidRPr="002E1A5F">
        <w:rPr>
          <w:rFonts w:ascii="Arial" w:hAnsi="Arial" w:cs="Arial"/>
          <w:sz w:val="20"/>
          <w:szCs w:val="20"/>
        </w:rPr>
        <w:t xml:space="preserve"> means the </w:t>
      </w:r>
      <w:r w:rsidR="3640D560" w:rsidRPr="002E1A5F">
        <w:rPr>
          <w:rFonts w:ascii="Arial" w:eastAsiaTheme="minorEastAsia" w:hAnsi="Arial" w:cs="Arial"/>
          <w:sz w:val="20"/>
          <w:szCs w:val="20"/>
        </w:rPr>
        <w:t>P</w:t>
      </w:r>
      <w:r w:rsidR="7F2F6688" w:rsidRPr="002E1A5F">
        <w:rPr>
          <w:rFonts w:ascii="Arial" w:eastAsiaTheme="minorEastAsia" w:hAnsi="Arial" w:cs="Arial"/>
          <w:sz w:val="20"/>
          <w:szCs w:val="20"/>
        </w:rPr>
        <w:t xml:space="preserve">rincipal </w:t>
      </w:r>
      <w:r w:rsidR="3640D560" w:rsidRPr="002E1A5F">
        <w:rPr>
          <w:rFonts w:ascii="Arial" w:eastAsiaTheme="minorEastAsia" w:hAnsi="Arial" w:cs="Arial"/>
          <w:sz w:val="20"/>
          <w:szCs w:val="20"/>
        </w:rPr>
        <w:t>I</w:t>
      </w:r>
      <w:r w:rsidR="727BA823" w:rsidRPr="002E1A5F">
        <w:rPr>
          <w:rFonts w:ascii="Arial" w:eastAsiaTheme="minorEastAsia" w:hAnsi="Arial" w:cs="Arial"/>
          <w:sz w:val="20"/>
          <w:szCs w:val="20"/>
        </w:rPr>
        <w:t>nvestigator</w:t>
      </w:r>
      <w:r w:rsidR="757DDA93" w:rsidRPr="002E1A5F">
        <w:rPr>
          <w:rFonts w:ascii="Arial" w:hAnsi="Arial" w:cs="Arial"/>
          <w:sz w:val="20"/>
          <w:szCs w:val="20"/>
        </w:rPr>
        <w:t xml:space="preserve"> and any other person, regardless of title or position, who is responsible for the purpose, design, conduct, or reporting of a project funded by DOE or proposed for funding by DOE</w:t>
      </w:r>
      <w:r w:rsidR="68D817AC" w:rsidRPr="002E1A5F">
        <w:rPr>
          <w:rFonts w:ascii="Arial" w:hAnsi="Arial" w:cs="Arial"/>
          <w:sz w:val="20"/>
          <w:szCs w:val="20"/>
        </w:rPr>
        <w:t>.</w:t>
      </w:r>
    </w:p>
    <w:p w14:paraId="59CE65B3" w14:textId="77777777" w:rsidR="00C131F2" w:rsidRPr="002E1A5F" w:rsidRDefault="00C131F2" w:rsidP="0F584CDF">
      <w:pPr>
        <w:pStyle w:val="FOATemplateBody"/>
        <w:ind w:left="1080"/>
        <w:jc w:val="both"/>
        <w:rPr>
          <w:rFonts w:ascii="Arial" w:hAnsi="Arial" w:cs="Arial"/>
          <w:sz w:val="20"/>
          <w:szCs w:val="20"/>
        </w:rPr>
      </w:pPr>
    </w:p>
    <w:p w14:paraId="6F19259D" w14:textId="6F172287" w:rsidR="009A6059" w:rsidRPr="002E1A5F" w:rsidRDefault="5E52565F" w:rsidP="006F30C1">
      <w:pPr>
        <w:pStyle w:val="FOATemplateBody"/>
        <w:numPr>
          <w:ilvl w:val="0"/>
          <w:numId w:val="16"/>
        </w:numPr>
        <w:ind w:left="1080"/>
        <w:jc w:val="both"/>
        <w:rPr>
          <w:rFonts w:ascii="Arial" w:hAnsi="Arial" w:cs="Arial"/>
          <w:sz w:val="20"/>
          <w:szCs w:val="20"/>
        </w:rPr>
      </w:pPr>
      <w:r w:rsidRPr="002E1A5F">
        <w:rPr>
          <w:rFonts w:ascii="Arial" w:hAnsi="Arial" w:cs="Arial"/>
          <w:sz w:val="20"/>
          <w:szCs w:val="20"/>
        </w:rPr>
        <w:t xml:space="preserve">Subrecipient must flow down the requirements of the interim COI Policy to any </w:t>
      </w:r>
      <w:r w:rsidR="6F52F01A" w:rsidRPr="002E1A5F">
        <w:rPr>
          <w:rFonts w:ascii="Arial" w:hAnsi="Arial" w:cs="Arial"/>
          <w:sz w:val="20"/>
          <w:szCs w:val="20"/>
        </w:rPr>
        <w:t xml:space="preserve">lower tier </w:t>
      </w:r>
      <w:r w:rsidRPr="002E1A5F">
        <w:rPr>
          <w:rFonts w:ascii="Arial" w:hAnsi="Arial" w:cs="Arial"/>
          <w:sz w:val="20"/>
          <w:szCs w:val="20"/>
        </w:rPr>
        <w:t>subrecipient non-Federal entities</w:t>
      </w:r>
      <w:r w:rsidR="44F2FB41" w:rsidRPr="002E1A5F">
        <w:rPr>
          <w:rFonts w:ascii="Arial" w:hAnsi="Arial" w:cs="Arial"/>
          <w:sz w:val="20"/>
          <w:szCs w:val="20"/>
        </w:rPr>
        <w:t xml:space="preserve">, </w:t>
      </w:r>
      <w:proofErr w:type="gramStart"/>
      <w:r w:rsidR="44F2FB41" w:rsidRPr="002E1A5F">
        <w:rPr>
          <w:rFonts w:ascii="Arial" w:hAnsi="Arial" w:cs="Arial"/>
          <w:sz w:val="20"/>
          <w:szCs w:val="20"/>
        </w:rPr>
        <w:t>with the exception of</w:t>
      </w:r>
      <w:proofErr w:type="gramEnd"/>
      <w:r w:rsidR="44F2FB41" w:rsidRPr="002E1A5F">
        <w:rPr>
          <w:rFonts w:ascii="Arial" w:hAnsi="Arial" w:cs="Arial"/>
          <w:sz w:val="20"/>
          <w:szCs w:val="20"/>
        </w:rPr>
        <w:t xml:space="preserve"> DOE National Laboratories</w:t>
      </w:r>
      <w:r w:rsidRPr="002E1A5F">
        <w:rPr>
          <w:rFonts w:ascii="Arial" w:hAnsi="Arial" w:cs="Arial"/>
          <w:sz w:val="20"/>
          <w:szCs w:val="20"/>
        </w:rPr>
        <w:t xml:space="preserve">. </w:t>
      </w:r>
    </w:p>
    <w:p w14:paraId="32C4F5D7" w14:textId="77777777" w:rsidR="009A6059" w:rsidRPr="002E1A5F" w:rsidRDefault="009A6059" w:rsidP="0F584CDF">
      <w:pPr>
        <w:pStyle w:val="ListParagraph"/>
        <w:ind w:left="1080"/>
        <w:jc w:val="both"/>
      </w:pPr>
    </w:p>
    <w:p w14:paraId="6054E7E4" w14:textId="1CBF9448" w:rsidR="009A6059" w:rsidRPr="002E1A5F" w:rsidRDefault="25F7A126" w:rsidP="3395C957">
      <w:pPr>
        <w:pStyle w:val="FOATemplateBody"/>
        <w:numPr>
          <w:ilvl w:val="0"/>
          <w:numId w:val="16"/>
        </w:numPr>
        <w:ind w:left="1080"/>
        <w:jc w:val="both"/>
        <w:rPr>
          <w:rFonts w:eastAsia="Calibri" w:cs="Arial"/>
          <w:sz w:val="20"/>
          <w:szCs w:val="20"/>
        </w:rPr>
      </w:pPr>
      <w:r w:rsidRPr="002E1A5F">
        <w:rPr>
          <w:rFonts w:ascii="Arial" w:eastAsiaTheme="minorEastAsia" w:hAnsi="Arial" w:cs="Arial"/>
          <w:sz w:val="20"/>
          <w:szCs w:val="20"/>
        </w:rPr>
        <w:t xml:space="preserve">Further, the </w:t>
      </w:r>
      <w:r w:rsidR="459B31E4" w:rsidRPr="002E1A5F">
        <w:rPr>
          <w:rFonts w:ascii="Arial" w:eastAsiaTheme="minorEastAsia" w:hAnsi="Arial" w:cs="Arial"/>
          <w:sz w:val="20"/>
          <w:szCs w:val="20"/>
        </w:rPr>
        <w:t>Subr</w:t>
      </w:r>
      <w:r w:rsidRPr="002E1A5F">
        <w:rPr>
          <w:rFonts w:ascii="Arial" w:eastAsiaTheme="minorEastAsia" w:hAnsi="Arial" w:cs="Arial"/>
          <w:sz w:val="20"/>
          <w:szCs w:val="20"/>
        </w:rPr>
        <w:t xml:space="preserve">ecipient must identify all financial conflicts of </w:t>
      </w:r>
      <w:proofErr w:type="gramStart"/>
      <w:r w:rsidRPr="002E1A5F">
        <w:rPr>
          <w:rFonts w:ascii="Arial" w:eastAsiaTheme="minorEastAsia" w:hAnsi="Arial" w:cs="Arial"/>
          <w:sz w:val="20"/>
          <w:szCs w:val="20"/>
        </w:rPr>
        <w:t>interests</w:t>
      </w:r>
      <w:proofErr w:type="gramEnd"/>
      <w:r w:rsidRPr="002E1A5F">
        <w:rPr>
          <w:rFonts w:ascii="Arial" w:eastAsiaTheme="minorEastAsia" w:hAnsi="Arial" w:cs="Arial"/>
          <w:sz w:val="20"/>
          <w:szCs w:val="20"/>
        </w:rPr>
        <w:t xml:space="preserve"> (FCOI), i.e., managed and unmanaged/ unmanageable, in its initial and ongoing FCOI reports. </w:t>
      </w:r>
      <w:r w:rsidR="6BA7B68D" w:rsidRPr="002E1A5F">
        <w:rPr>
          <w:rFonts w:ascii="Arial" w:hAnsi="Arial" w:cs="Arial"/>
          <w:sz w:val="20"/>
          <w:szCs w:val="20"/>
        </w:rPr>
        <w:t>It is understood that non-Federal entities and individuals receiving DOE financial</w:t>
      </w:r>
      <w:r w:rsidR="2372FCD9" w:rsidRPr="002E1A5F">
        <w:rPr>
          <w:rFonts w:ascii="Arial" w:hAnsi="Arial" w:cs="Arial"/>
          <w:sz w:val="20"/>
          <w:szCs w:val="20"/>
        </w:rPr>
        <w:t xml:space="preserve"> </w:t>
      </w:r>
      <w:r w:rsidR="6BA7B68D" w:rsidRPr="002E1A5F">
        <w:rPr>
          <w:rFonts w:ascii="Arial" w:hAnsi="Arial" w:cs="Arial"/>
          <w:sz w:val="20"/>
          <w:szCs w:val="20"/>
        </w:rPr>
        <w:t>assistance awards will need sufficient time to come into full compliance with</w:t>
      </w:r>
      <w:r w:rsidR="2372FCD9" w:rsidRPr="002E1A5F">
        <w:rPr>
          <w:rFonts w:ascii="Arial" w:hAnsi="Arial" w:cs="Arial"/>
          <w:sz w:val="20"/>
          <w:szCs w:val="20"/>
        </w:rPr>
        <w:t xml:space="preserve"> </w:t>
      </w:r>
      <w:r w:rsidR="6BA7B68D" w:rsidRPr="002E1A5F">
        <w:rPr>
          <w:rFonts w:ascii="Arial" w:hAnsi="Arial" w:cs="Arial"/>
          <w:sz w:val="20"/>
          <w:szCs w:val="20"/>
        </w:rPr>
        <w:t>DOE’s interim COI Policy. To provide some flexibility, DOE allows for a staggered</w:t>
      </w:r>
      <w:r w:rsidR="2372FCD9" w:rsidRPr="002E1A5F">
        <w:rPr>
          <w:rFonts w:ascii="Arial" w:hAnsi="Arial" w:cs="Arial"/>
          <w:sz w:val="20"/>
          <w:szCs w:val="20"/>
        </w:rPr>
        <w:t xml:space="preserve"> </w:t>
      </w:r>
      <w:r w:rsidR="6BA7B68D" w:rsidRPr="002E1A5F">
        <w:rPr>
          <w:rFonts w:ascii="Arial" w:hAnsi="Arial" w:cs="Arial"/>
          <w:sz w:val="20"/>
          <w:szCs w:val="20"/>
        </w:rPr>
        <w:t xml:space="preserve">implementation. </w:t>
      </w:r>
      <w:r w:rsidR="6BA7B68D" w:rsidRPr="002E1A5F">
        <w:rPr>
          <w:rFonts w:ascii="Arial" w:hAnsi="Arial" w:cs="Arial"/>
          <w:b/>
          <w:bCs/>
          <w:sz w:val="20"/>
          <w:szCs w:val="20"/>
        </w:rPr>
        <w:t xml:space="preserve">Specifically, prior to award, </w:t>
      </w:r>
      <w:r w:rsidR="7C274A02" w:rsidRPr="002E1A5F">
        <w:rPr>
          <w:rFonts w:ascii="Arial" w:eastAsiaTheme="minorEastAsia" w:hAnsi="Arial" w:cs="Arial"/>
          <w:b/>
          <w:bCs/>
          <w:sz w:val="20"/>
          <w:szCs w:val="20"/>
        </w:rPr>
        <w:t xml:space="preserve">the </w:t>
      </w:r>
      <w:r w:rsidR="35A070F3" w:rsidRPr="002E1A5F">
        <w:rPr>
          <w:rFonts w:ascii="Arial" w:eastAsiaTheme="minorEastAsia" w:hAnsi="Arial" w:cs="Arial"/>
          <w:b/>
          <w:bCs/>
          <w:sz w:val="20"/>
          <w:szCs w:val="20"/>
        </w:rPr>
        <w:t>Sub</w:t>
      </w:r>
      <w:r w:rsidR="0EA2C60D" w:rsidRPr="002E1A5F">
        <w:rPr>
          <w:rFonts w:ascii="Arial" w:eastAsiaTheme="minorEastAsia" w:hAnsi="Arial" w:cs="Arial"/>
          <w:b/>
          <w:bCs/>
          <w:sz w:val="20"/>
          <w:szCs w:val="20"/>
        </w:rPr>
        <w:t>r</w:t>
      </w:r>
      <w:r w:rsidR="7C274A02" w:rsidRPr="002E1A5F">
        <w:rPr>
          <w:rFonts w:ascii="Arial" w:eastAsiaTheme="minorEastAsia" w:hAnsi="Arial" w:cs="Arial"/>
          <w:b/>
          <w:bCs/>
          <w:sz w:val="20"/>
          <w:szCs w:val="20"/>
        </w:rPr>
        <w:t xml:space="preserve">ecipient </w:t>
      </w:r>
      <w:r w:rsidR="6BA7B68D" w:rsidRPr="002E1A5F">
        <w:rPr>
          <w:rFonts w:ascii="Arial" w:hAnsi="Arial" w:cs="Arial"/>
          <w:b/>
          <w:bCs/>
          <w:sz w:val="20"/>
          <w:szCs w:val="20"/>
        </w:rPr>
        <w:t xml:space="preserve">selected for award negotiations must: ensure all </w:t>
      </w:r>
      <w:r w:rsidR="56799696" w:rsidRPr="002E1A5F">
        <w:rPr>
          <w:rFonts w:ascii="Arial" w:hAnsi="Arial" w:cs="Arial"/>
          <w:b/>
          <w:bCs/>
          <w:sz w:val="20"/>
          <w:szCs w:val="20"/>
        </w:rPr>
        <w:t>Investigators</w:t>
      </w:r>
      <w:r w:rsidR="28F39CBE" w:rsidRPr="002E1A5F">
        <w:rPr>
          <w:rFonts w:ascii="Arial" w:hAnsi="Arial" w:cs="Arial"/>
          <w:b/>
          <w:bCs/>
          <w:sz w:val="20"/>
          <w:szCs w:val="20"/>
        </w:rPr>
        <w:t xml:space="preserve"> on this Award </w:t>
      </w:r>
      <w:r w:rsidR="6BA7B68D" w:rsidRPr="002E1A5F">
        <w:rPr>
          <w:rFonts w:ascii="Arial" w:hAnsi="Arial" w:cs="Arial"/>
          <w:b/>
          <w:bCs/>
          <w:sz w:val="20"/>
          <w:szCs w:val="20"/>
        </w:rPr>
        <w:t>complete their significant</w:t>
      </w:r>
      <w:r w:rsidR="62DCAE84" w:rsidRPr="002E1A5F">
        <w:rPr>
          <w:rFonts w:ascii="Arial" w:hAnsi="Arial" w:cs="Arial"/>
          <w:b/>
          <w:bCs/>
          <w:sz w:val="20"/>
          <w:szCs w:val="20"/>
        </w:rPr>
        <w:t xml:space="preserve"> </w:t>
      </w:r>
      <w:r w:rsidR="6BA7B68D" w:rsidRPr="002E1A5F">
        <w:rPr>
          <w:rFonts w:ascii="Arial" w:hAnsi="Arial" w:cs="Arial"/>
          <w:b/>
          <w:bCs/>
          <w:sz w:val="20"/>
          <w:szCs w:val="20"/>
        </w:rPr>
        <w:t>financial disclosures; review the disclosures; determine whether a FCOI exists;</w:t>
      </w:r>
      <w:r w:rsidR="62DCAE84" w:rsidRPr="002E1A5F">
        <w:rPr>
          <w:rFonts w:ascii="Arial" w:hAnsi="Arial" w:cs="Arial"/>
          <w:b/>
          <w:bCs/>
          <w:sz w:val="20"/>
          <w:szCs w:val="20"/>
        </w:rPr>
        <w:t xml:space="preserve"> </w:t>
      </w:r>
      <w:r w:rsidR="6BA7B68D" w:rsidRPr="002E1A5F">
        <w:rPr>
          <w:rFonts w:ascii="Arial" w:hAnsi="Arial" w:cs="Arial"/>
          <w:b/>
          <w:bCs/>
          <w:sz w:val="20"/>
          <w:szCs w:val="20"/>
        </w:rPr>
        <w:t xml:space="preserve">develop and implement a management plan for FCOIs; and provide </w:t>
      </w:r>
      <w:r w:rsidR="7599E32A" w:rsidRPr="002E1A5F">
        <w:rPr>
          <w:rFonts w:ascii="Arial" w:hAnsi="Arial" w:cs="Arial"/>
          <w:b/>
          <w:bCs/>
          <w:sz w:val="20"/>
          <w:szCs w:val="20"/>
        </w:rPr>
        <w:t xml:space="preserve">CEC, which will in turn provide </w:t>
      </w:r>
      <w:r w:rsidR="6BA7B68D" w:rsidRPr="002E1A5F">
        <w:rPr>
          <w:rFonts w:ascii="Arial" w:hAnsi="Arial" w:cs="Arial"/>
          <w:b/>
          <w:bCs/>
          <w:sz w:val="20"/>
          <w:szCs w:val="20"/>
        </w:rPr>
        <w:t>DOE</w:t>
      </w:r>
      <w:r w:rsidR="0DC49642" w:rsidRPr="002E1A5F">
        <w:rPr>
          <w:rFonts w:ascii="Arial" w:hAnsi="Arial" w:cs="Arial"/>
          <w:b/>
          <w:bCs/>
          <w:sz w:val="20"/>
          <w:szCs w:val="20"/>
        </w:rPr>
        <w:t>,</w:t>
      </w:r>
      <w:r w:rsidR="6BA7B68D" w:rsidRPr="002E1A5F">
        <w:rPr>
          <w:rFonts w:ascii="Arial" w:hAnsi="Arial" w:cs="Arial"/>
          <w:b/>
          <w:bCs/>
          <w:sz w:val="20"/>
          <w:szCs w:val="20"/>
        </w:rPr>
        <w:t xml:space="preserve"> with</w:t>
      </w:r>
      <w:r w:rsidR="62DCAE84" w:rsidRPr="002E1A5F">
        <w:rPr>
          <w:rFonts w:ascii="Arial" w:hAnsi="Arial" w:cs="Arial"/>
          <w:b/>
          <w:bCs/>
          <w:sz w:val="20"/>
          <w:szCs w:val="20"/>
        </w:rPr>
        <w:t xml:space="preserve"> </w:t>
      </w:r>
      <w:r w:rsidR="6BA7B68D" w:rsidRPr="002E1A5F">
        <w:rPr>
          <w:rFonts w:ascii="Arial" w:hAnsi="Arial" w:cs="Arial"/>
          <w:b/>
          <w:bCs/>
          <w:sz w:val="20"/>
          <w:szCs w:val="20"/>
        </w:rPr>
        <w:t>an initial FCOI report that includes all FCOIs (i.e., managed and unmanaged/</w:t>
      </w:r>
      <w:r w:rsidR="62DCAE84" w:rsidRPr="002E1A5F">
        <w:rPr>
          <w:rFonts w:ascii="Arial" w:hAnsi="Arial" w:cs="Arial"/>
          <w:b/>
          <w:bCs/>
          <w:sz w:val="20"/>
          <w:szCs w:val="20"/>
        </w:rPr>
        <w:t xml:space="preserve"> </w:t>
      </w:r>
      <w:r w:rsidR="6BA7B68D" w:rsidRPr="002E1A5F">
        <w:rPr>
          <w:rFonts w:ascii="Arial" w:hAnsi="Arial" w:cs="Arial"/>
          <w:b/>
          <w:bCs/>
          <w:sz w:val="20"/>
          <w:szCs w:val="20"/>
        </w:rPr>
        <w:t>unmanageable)</w:t>
      </w:r>
      <w:r w:rsidR="6BA7B68D" w:rsidRPr="002E1A5F">
        <w:rPr>
          <w:rFonts w:ascii="Arial" w:hAnsi="Arial" w:cs="Arial"/>
          <w:sz w:val="20"/>
          <w:szCs w:val="20"/>
        </w:rPr>
        <w:t xml:space="preserve">. </w:t>
      </w:r>
      <w:r w:rsidR="13CBBEC9" w:rsidRPr="002E1A5F">
        <w:rPr>
          <w:rFonts w:ascii="Arial" w:hAnsi="Arial" w:cs="Arial"/>
          <w:sz w:val="20"/>
          <w:szCs w:val="20"/>
        </w:rPr>
        <w:t xml:space="preserve">The </w:t>
      </w:r>
      <w:r w:rsidR="78449CFE" w:rsidRPr="002E1A5F">
        <w:rPr>
          <w:rFonts w:ascii="Arial" w:hAnsi="Arial" w:cs="Arial"/>
          <w:sz w:val="20"/>
          <w:szCs w:val="20"/>
        </w:rPr>
        <w:t>Subr</w:t>
      </w:r>
      <w:r w:rsidR="6BA7B68D" w:rsidRPr="002E1A5F">
        <w:rPr>
          <w:rFonts w:ascii="Arial" w:hAnsi="Arial" w:cs="Arial"/>
          <w:sz w:val="20"/>
          <w:szCs w:val="20"/>
        </w:rPr>
        <w:t>ecipient will have 180 days from the date of the award to</w:t>
      </w:r>
      <w:r w:rsidR="62DCAE84" w:rsidRPr="002E1A5F">
        <w:rPr>
          <w:rFonts w:ascii="Arial" w:hAnsi="Arial" w:cs="Arial"/>
          <w:sz w:val="20"/>
          <w:szCs w:val="20"/>
        </w:rPr>
        <w:t xml:space="preserve"> </w:t>
      </w:r>
      <w:r w:rsidR="6BA7B68D" w:rsidRPr="002E1A5F">
        <w:rPr>
          <w:rFonts w:ascii="Arial" w:hAnsi="Arial" w:cs="Arial"/>
          <w:sz w:val="20"/>
          <w:szCs w:val="20"/>
        </w:rPr>
        <w:t>come into full compliance with the other requirements set forth in DOE’s interim</w:t>
      </w:r>
      <w:r w:rsidR="62DCAE84" w:rsidRPr="002E1A5F">
        <w:rPr>
          <w:rFonts w:ascii="Arial" w:hAnsi="Arial" w:cs="Arial"/>
          <w:sz w:val="20"/>
          <w:szCs w:val="20"/>
        </w:rPr>
        <w:t xml:space="preserve"> </w:t>
      </w:r>
      <w:r w:rsidR="6BA7B68D" w:rsidRPr="002E1A5F">
        <w:rPr>
          <w:rFonts w:ascii="Arial" w:hAnsi="Arial" w:cs="Arial"/>
          <w:sz w:val="20"/>
          <w:szCs w:val="20"/>
        </w:rPr>
        <w:t xml:space="preserve">COI Policy. </w:t>
      </w:r>
      <w:r w:rsidR="6BA7B68D" w:rsidRPr="002E1A5F">
        <w:rPr>
          <w:rFonts w:ascii="Arial" w:hAnsi="Arial" w:cs="Arial"/>
          <w:b/>
          <w:bCs/>
          <w:sz w:val="20"/>
          <w:szCs w:val="20"/>
        </w:rPr>
        <w:t xml:space="preserve">Prior to award, the </w:t>
      </w:r>
      <w:r w:rsidR="4609FA8E" w:rsidRPr="002E1A5F">
        <w:rPr>
          <w:rFonts w:ascii="Arial" w:hAnsi="Arial" w:cs="Arial"/>
          <w:b/>
          <w:bCs/>
          <w:sz w:val="20"/>
          <w:szCs w:val="20"/>
        </w:rPr>
        <w:t>Subr</w:t>
      </w:r>
      <w:r w:rsidR="7932DC5D" w:rsidRPr="002E1A5F">
        <w:rPr>
          <w:rFonts w:ascii="Arial" w:eastAsiaTheme="minorEastAsia" w:hAnsi="Arial" w:cs="Arial"/>
          <w:b/>
          <w:bCs/>
          <w:sz w:val="20"/>
          <w:szCs w:val="20"/>
        </w:rPr>
        <w:t>ecipient</w:t>
      </w:r>
      <w:r w:rsidR="7932DC5D" w:rsidRPr="002E1A5F">
        <w:rPr>
          <w:rFonts w:ascii="Arial" w:eastAsiaTheme="minorEastAsia" w:hAnsi="Arial" w:cs="Arial"/>
          <w:sz w:val="20"/>
          <w:szCs w:val="20"/>
        </w:rPr>
        <w:t xml:space="preserve"> </w:t>
      </w:r>
      <w:r w:rsidR="6BA7B68D" w:rsidRPr="002E1A5F">
        <w:rPr>
          <w:rFonts w:ascii="Arial" w:hAnsi="Arial" w:cs="Arial"/>
          <w:b/>
          <w:bCs/>
          <w:sz w:val="20"/>
          <w:szCs w:val="20"/>
        </w:rPr>
        <w:t>must certify that it is, or will be within</w:t>
      </w:r>
      <w:r w:rsidR="62DCAE84" w:rsidRPr="002E1A5F">
        <w:rPr>
          <w:rFonts w:ascii="Arial" w:hAnsi="Arial" w:cs="Arial"/>
          <w:b/>
          <w:bCs/>
          <w:sz w:val="20"/>
          <w:szCs w:val="20"/>
        </w:rPr>
        <w:t xml:space="preserve"> </w:t>
      </w:r>
      <w:r w:rsidR="6BA7B68D" w:rsidRPr="002E1A5F">
        <w:rPr>
          <w:rFonts w:ascii="Arial" w:hAnsi="Arial" w:cs="Arial"/>
          <w:b/>
          <w:bCs/>
          <w:sz w:val="20"/>
          <w:szCs w:val="20"/>
        </w:rPr>
        <w:t>180 days of the award, compliant with all requirements in the COI Policy.</w:t>
      </w:r>
    </w:p>
    <w:p w14:paraId="5537A273" w14:textId="2EE5DBB7" w:rsidR="004A39F5" w:rsidRPr="002E1A5F" w:rsidRDefault="004A39F5" w:rsidP="7A327B2A">
      <w:pPr>
        <w:pStyle w:val="Heading2"/>
        <w:jc w:val="both"/>
        <w:rPr>
          <w:rStyle w:val="Heading2Char"/>
          <w:rFonts w:ascii="Arial" w:hAnsi="Arial" w:cs="Arial"/>
          <w:color w:val="auto"/>
          <w:sz w:val="20"/>
          <w:szCs w:val="20"/>
        </w:rPr>
      </w:pPr>
    </w:p>
    <w:p w14:paraId="04F41D09" w14:textId="707433B9" w:rsidR="004A39F5" w:rsidRPr="002E1A5F" w:rsidRDefault="004A39F5" w:rsidP="7A327B2A">
      <w:pPr>
        <w:pStyle w:val="NoSpacing"/>
        <w:jc w:val="both"/>
        <w:rPr>
          <w:rStyle w:val="Heading2Char"/>
          <w:rFonts w:ascii="Arial" w:hAnsi="Arial" w:cs="Arial"/>
          <w:color w:val="auto"/>
          <w:sz w:val="20"/>
          <w:szCs w:val="20"/>
        </w:rPr>
      </w:pPr>
    </w:p>
    <w:p w14:paraId="3A9E44C5" w14:textId="49BEA6DC" w:rsidR="006C0DCB" w:rsidRDefault="001477F8" w:rsidP="006F30C1">
      <w:pPr>
        <w:pStyle w:val="Heading2"/>
        <w:numPr>
          <w:ilvl w:val="0"/>
          <w:numId w:val="27"/>
        </w:numPr>
        <w:jc w:val="both"/>
        <w:rPr>
          <w:rFonts w:ascii="Arial" w:hAnsi="Arial" w:cs="Arial"/>
          <w:b/>
          <w:bCs/>
          <w:color w:val="auto"/>
          <w:sz w:val="20"/>
          <w:szCs w:val="20"/>
        </w:rPr>
      </w:pPr>
      <w:bookmarkStart w:id="42" w:name="_Toc206158607"/>
      <w:bookmarkStart w:id="43" w:name="_Toc149654103"/>
      <w:r>
        <w:rPr>
          <w:rFonts w:ascii="Arial" w:hAnsi="Arial" w:cs="Arial"/>
          <w:b/>
          <w:bCs/>
          <w:color w:val="auto"/>
          <w:sz w:val="20"/>
          <w:szCs w:val="20"/>
        </w:rPr>
        <w:t>Organizational</w:t>
      </w:r>
      <w:r w:rsidR="00007A13" w:rsidRPr="00845BD1">
        <w:rPr>
          <w:rFonts w:ascii="Arial" w:hAnsi="Arial" w:cs="Arial"/>
          <w:b/>
          <w:bCs/>
          <w:color w:val="auto"/>
          <w:sz w:val="20"/>
          <w:szCs w:val="20"/>
        </w:rPr>
        <w:t xml:space="preserve"> </w:t>
      </w:r>
      <w:r>
        <w:rPr>
          <w:rFonts w:ascii="Arial" w:hAnsi="Arial" w:cs="Arial"/>
          <w:b/>
          <w:bCs/>
          <w:color w:val="auto"/>
          <w:sz w:val="20"/>
          <w:szCs w:val="20"/>
        </w:rPr>
        <w:t>Conflict</w:t>
      </w:r>
      <w:r w:rsidR="00007A13" w:rsidRPr="00845BD1">
        <w:rPr>
          <w:rFonts w:ascii="Arial" w:hAnsi="Arial" w:cs="Arial"/>
          <w:b/>
          <w:bCs/>
          <w:color w:val="auto"/>
          <w:sz w:val="20"/>
          <w:szCs w:val="20"/>
        </w:rPr>
        <w:t xml:space="preserve"> </w:t>
      </w:r>
      <w:r>
        <w:rPr>
          <w:rFonts w:ascii="Arial" w:hAnsi="Arial" w:cs="Arial"/>
          <w:b/>
          <w:bCs/>
          <w:color w:val="auto"/>
          <w:sz w:val="20"/>
          <w:szCs w:val="20"/>
        </w:rPr>
        <w:t>of</w:t>
      </w:r>
      <w:r w:rsidR="00007A13" w:rsidRPr="00845BD1">
        <w:rPr>
          <w:rFonts w:ascii="Arial" w:hAnsi="Arial" w:cs="Arial"/>
          <w:b/>
          <w:bCs/>
          <w:color w:val="auto"/>
          <w:sz w:val="20"/>
          <w:szCs w:val="20"/>
        </w:rPr>
        <w:t xml:space="preserve"> I</w:t>
      </w:r>
      <w:r>
        <w:rPr>
          <w:rFonts w:ascii="Arial" w:hAnsi="Arial" w:cs="Arial"/>
          <w:b/>
          <w:bCs/>
          <w:color w:val="auto"/>
          <w:sz w:val="20"/>
          <w:szCs w:val="20"/>
        </w:rPr>
        <w:t>nterest</w:t>
      </w:r>
      <w:bookmarkEnd w:id="42"/>
    </w:p>
    <w:p w14:paraId="7EA5C9B6" w14:textId="77777777" w:rsidR="00733616" w:rsidRPr="00845BD1" w:rsidRDefault="00733616" w:rsidP="00845BD1"/>
    <w:p w14:paraId="3F63BD89" w14:textId="1F7C76A8" w:rsidR="002D7FAA" w:rsidRPr="00730498" w:rsidRDefault="00733616" w:rsidP="002D7FAA">
      <w:pPr>
        <w:pStyle w:val="FOATemplateBody"/>
        <w:numPr>
          <w:ilvl w:val="1"/>
          <w:numId w:val="16"/>
        </w:numPr>
        <w:ind w:left="1080"/>
        <w:jc w:val="both"/>
        <w:rPr>
          <w:rFonts w:ascii="Arial" w:hAnsi="Arial" w:cs="Arial"/>
          <w:sz w:val="20"/>
          <w:szCs w:val="20"/>
        </w:rPr>
      </w:pPr>
      <w:bookmarkStart w:id="44" w:name="_Toc76564295"/>
      <w:bookmarkStart w:id="45" w:name="_Hlk100840266"/>
      <w:r w:rsidRPr="00845BD1">
        <w:rPr>
          <w:rFonts w:ascii="Arial" w:hAnsi="Arial" w:cs="Arial"/>
          <w:sz w:val="20"/>
          <w:szCs w:val="20"/>
        </w:rPr>
        <w:t xml:space="preserve">Organizational conflicts of interest are those where, because of relationships with a parent company, affiliate, or subsidiary organization, the </w:t>
      </w:r>
      <w:r w:rsidR="007F7156">
        <w:rPr>
          <w:rFonts w:ascii="Arial" w:hAnsi="Arial" w:cs="Arial"/>
          <w:sz w:val="20"/>
          <w:szCs w:val="20"/>
        </w:rPr>
        <w:t>Subrecipient</w:t>
      </w:r>
      <w:r w:rsidRPr="00845BD1">
        <w:rPr>
          <w:rFonts w:ascii="Arial" w:hAnsi="Arial" w:cs="Arial"/>
          <w:sz w:val="20"/>
          <w:szCs w:val="20"/>
        </w:rPr>
        <w:t xml:space="preserve"> is unable or appears to be unable to be impartial in conducting procurement action involving a related organization (2 CFR 200.318(c)(2)). </w:t>
      </w:r>
      <w:bookmarkStart w:id="46" w:name="_Toc76564296"/>
      <w:bookmarkEnd w:id="44"/>
    </w:p>
    <w:p w14:paraId="0E52B64E" w14:textId="77777777" w:rsidR="002D7FAA" w:rsidRPr="00730498" w:rsidRDefault="002D7FAA" w:rsidP="00845BD1">
      <w:pPr>
        <w:pStyle w:val="FOATemplateBody"/>
        <w:ind w:left="1080"/>
        <w:jc w:val="both"/>
        <w:rPr>
          <w:rFonts w:ascii="Arial" w:hAnsi="Arial" w:cs="Arial"/>
          <w:sz w:val="20"/>
          <w:szCs w:val="20"/>
        </w:rPr>
      </w:pPr>
    </w:p>
    <w:p w14:paraId="2035A48C" w14:textId="2120436E" w:rsidR="002D7FAA" w:rsidRPr="00730498" w:rsidRDefault="00733616" w:rsidP="002D7FAA">
      <w:pPr>
        <w:pStyle w:val="FOATemplateBody"/>
        <w:numPr>
          <w:ilvl w:val="1"/>
          <w:numId w:val="16"/>
        </w:numPr>
        <w:ind w:left="1080"/>
        <w:jc w:val="both"/>
        <w:rPr>
          <w:rFonts w:ascii="Arial" w:hAnsi="Arial" w:cs="Arial"/>
          <w:sz w:val="20"/>
          <w:szCs w:val="20"/>
        </w:rPr>
      </w:pPr>
      <w:r w:rsidRPr="00845BD1">
        <w:rPr>
          <w:rFonts w:ascii="Arial" w:hAnsi="Arial" w:cs="Arial"/>
          <w:sz w:val="20"/>
          <w:szCs w:val="20"/>
        </w:rPr>
        <w:t xml:space="preserve">The </w:t>
      </w:r>
      <w:r w:rsidR="007F7156">
        <w:rPr>
          <w:rFonts w:ascii="Arial" w:hAnsi="Arial" w:cs="Arial"/>
          <w:sz w:val="20"/>
          <w:szCs w:val="20"/>
        </w:rPr>
        <w:t>Subr</w:t>
      </w:r>
      <w:r w:rsidRPr="00845BD1">
        <w:rPr>
          <w:rFonts w:ascii="Arial" w:hAnsi="Arial" w:cs="Arial"/>
          <w:sz w:val="20"/>
          <w:szCs w:val="20"/>
        </w:rPr>
        <w:t xml:space="preserve">ecipient must disclose in writing any potential or actual organizational conflict of interest </w:t>
      </w:r>
      <w:r w:rsidR="004601E3" w:rsidRPr="002E1A5F">
        <w:t>to CEC</w:t>
      </w:r>
      <w:r w:rsidR="004601E3" w:rsidRPr="00845BD1">
        <w:rPr>
          <w:rFonts w:ascii="Arial" w:hAnsi="Arial" w:cs="Arial"/>
          <w:sz w:val="20"/>
          <w:szCs w:val="20"/>
        </w:rPr>
        <w:t xml:space="preserve">, which will in turn submit </w:t>
      </w:r>
      <w:r w:rsidR="00BB63A1">
        <w:rPr>
          <w:rFonts w:ascii="Arial" w:hAnsi="Arial" w:cs="Arial"/>
          <w:sz w:val="20"/>
          <w:szCs w:val="20"/>
        </w:rPr>
        <w:t>disclose</w:t>
      </w:r>
      <w:r w:rsidR="004601E3" w:rsidRPr="00845BD1">
        <w:rPr>
          <w:rFonts w:ascii="Arial" w:hAnsi="Arial" w:cs="Arial"/>
          <w:sz w:val="20"/>
          <w:szCs w:val="20"/>
        </w:rPr>
        <w:t xml:space="preserve"> to the </w:t>
      </w:r>
      <w:r w:rsidRPr="00845BD1">
        <w:rPr>
          <w:rFonts w:ascii="Arial" w:hAnsi="Arial" w:cs="Arial"/>
          <w:sz w:val="20"/>
          <w:szCs w:val="20"/>
        </w:rPr>
        <w:t xml:space="preserve">DOE Contracting Officer.  The </w:t>
      </w:r>
      <w:r w:rsidR="00D525A5">
        <w:rPr>
          <w:rFonts w:ascii="Arial" w:hAnsi="Arial" w:cs="Arial"/>
          <w:sz w:val="20"/>
          <w:szCs w:val="20"/>
        </w:rPr>
        <w:t>Subr</w:t>
      </w:r>
      <w:r w:rsidRPr="00845BD1">
        <w:rPr>
          <w:rFonts w:ascii="Arial" w:hAnsi="Arial" w:cs="Arial"/>
          <w:sz w:val="20"/>
          <w:szCs w:val="20"/>
        </w:rPr>
        <w:t xml:space="preserve">ecipient must provide the disclosure prior to engaging in a procurement or transaction </w:t>
      </w:r>
      <w:r w:rsidRPr="00845BD1">
        <w:rPr>
          <w:rFonts w:ascii="Arial" w:hAnsi="Arial" w:cs="Arial"/>
          <w:sz w:val="20"/>
          <w:szCs w:val="20"/>
        </w:rPr>
        <w:lastRenderedPageBreak/>
        <w:t xml:space="preserve">using project funds with a parent, affiliate, or subsidiary organization that is not a state, local government, or Indian Tribe. For a list of the information that must be </w:t>
      </w:r>
      <w:proofErr w:type="gramStart"/>
      <w:r w:rsidRPr="00845BD1">
        <w:rPr>
          <w:rFonts w:ascii="Arial" w:hAnsi="Arial" w:cs="Arial"/>
          <w:sz w:val="20"/>
          <w:szCs w:val="20"/>
        </w:rPr>
        <w:t>included</w:t>
      </w:r>
      <w:proofErr w:type="gramEnd"/>
      <w:r w:rsidRPr="00845BD1">
        <w:rPr>
          <w:rFonts w:ascii="Arial" w:hAnsi="Arial" w:cs="Arial"/>
          <w:sz w:val="20"/>
          <w:szCs w:val="20"/>
        </w:rPr>
        <w:t xml:space="preserve"> the disclosure, see Section VI. of the DOE interim Conflict of Interest Policy for Financial Assistance at </w:t>
      </w:r>
      <w:hyperlink r:id="rId24" w:history="1">
        <w:r w:rsidRPr="00845BD1">
          <w:rPr>
            <w:rFonts w:ascii="Arial" w:hAnsi="Arial" w:cs="Arial"/>
            <w:sz w:val="20"/>
            <w:szCs w:val="20"/>
          </w:rPr>
          <w:t>https://www.energy.gov/management/department-energy-interim-conflict-interest-policy-requirements-financial-assistance</w:t>
        </w:r>
      </w:hyperlink>
      <w:r w:rsidRPr="00845BD1">
        <w:rPr>
          <w:rFonts w:ascii="Arial" w:hAnsi="Arial" w:cs="Arial"/>
          <w:sz w:val="20"/>
          <w:szCs w:val="20"/>
        </w:rPr>
        <w:t xml:space="preserve">. </w:t>
      </w:r>
    </w:p>
    <w:p w14:paraId="44F658D0" w14:textId="77777777" w:rsidR="002D7FAA" w:rsidRPr="00730498" w:rsidRDefault="002D7FAA" w:rsidP="00845BD1">
      <w:pPr>
        <w:pStyle w:val="ListParagraph"/>
      </w:pPr>
    </w:p>
    <w:p w14:paraId="1F4F6FE4" w14:textId="26CB0982" w:rsidR="00733616" w:rsidRPr="00730498" w:rsidRDefault="00733616" w:rsidP="002D7FAA">
      <w:pPr>
        <w:pStyle w:val="FOATemplateBody"/>
        <w:numPr>
          <w:ilvl w:val="1"/>
          <w:numId w:val="16"/>
        </w:numPr>
        <w:ind w:left="1080"/>
        <w:jc w:val="both"/>
        <w:rPr>
          <w:rFonts w:ascii="Arial" w:hAnsi="Arial" w:cs="Arial"/>
          <w:sz w:val="20"/>
          <w:szCs w:val="20"/>
        </w:rPr>
      </w:pPr>
      <w:r w:rsidRPr="00845BD1">
        <w:rPr>
          <w:rFonts w:ascii="Arial" w:hAnsi="Arial" w:cs="Arial"/>
          <w:sz w:val="20"/>
          <w:szCs w:val="20"/>
        </w:rPr>
        <w:t xml:space="preserve">If the effects of the potential or actual organizational conflict of interest cannot be avoided, neutralized, or mitigated, the </w:t>
      </w:r>
      <w:r w:rsidR="00D525A5">
        <w:rPr>
          <w:rFonts w:ascii="Arial" w:hAnsi="Arial" w:cs="Arial"/>
          <w:sz w:val="20"/>
          <w:szCs w:val="20"/>
        </w:rPr>
        <w:t>Subr</w:t>
      </w:r>
      <w:r w:rsidRPr="00845BD1">
        <w:rPr>
          <w:rFonts w:ascii="Arial" w:hAnsi="Arial" w:cs="Arial"/>
          <w:sz w:val="20"/>
          <w:szCs w:val="20"/>
        </w:rPr>
        <w:t xml:space="preserve">ecipient must procure goods and services from other sources when using project funds.  </w:t>
      </w:r>
      <w:bookmarkEnd w:id="46"/>
    </w:p>
    <w:p w14:paraId="13DCA03D" w14:textId="77777777" w:rsidR="002D7FAA" w:rsidRPr="00845BD1" w:rsidRDefault="002D7FAA" w:rsidP="00845BD1">
      <w:pPr>
        <w:pStyle w:val="FOATemplateBody"/>
        <w:jc w:val="both"/>
        <w:rPr>
          <w:sz w:val="20"/>
          <w:szCs w:val="20"/>
        </w:rPr>
      </w:pPr>
    </w:p>
    <w:p w14:paraId="7C5B7AA6" w14:textId="30E60997" w:rsidR="00730498" w:rsidRDefault="00733616" w:rsidP="00730498">
      <w:pPr>
        <w:pStyle w:val="FOATemplateBody"/>
        <w:numPr>
          <w:ilvl w:val="0"/>
          <w:numId w:val="16"/>
        </w:numPr>
        <w:ind w:left="1080"/>
        <w:jc w:val="both"/>
        <w:rPr>
          <w:rFonts w:ascii="Arial" w:hAnsi="Arial" w:cs="Arial"/>
          <w:sz w:val="20"/>
          <w:szCs w:val="20"/>
        </w:rPr>
      </w:pPr>
      <w:bookmarkStart w:id="47" w:name="_Toc76564297"/>
      <w:r w:rsidRPr="00845BD1">
        <w:rPr>
          <w:rFonts w:ascii="Arial" w:hAnsi="Arial" w:cs="Arial"/>
          <w:sz w:val="20"/>
          <w:szCs w:val="20"/>
        </w:rPr>
        <w:t xml:space="preserve">The </w:t>
      </w:r>
      <w:r w:rsidR="00D525A5">
        <w:rPr>
          <w:rFonts w:ascii="Arial" w:hAnsi="Arial" w:cs="Arial"/>
          <w:sz w:val="20"/>
          <w:szCs w:val="20"/>
        </w:rPr>
        <w:t>Subr</w:t>
      </w:r>
      <w:r w:rsidRPr="00845BD1">
        <w:rPr>
          <w:rFonts w:ascii="Arial" w:hAnsi="Arial" w:cs="Arial"/>
          <w:sz w:val="20"/>
          <w:szCs w:val="20"/>
        </w:rPr>
        <w:t>ecipient must flow down the requirements of the interim COI Policy to any</w:t>
      </w:r>
      <w:r w:rsidR="002D2A5D">
        <w:rPr>
          <w:rFonts w:ascii="Arial" w:hAnsi="Arial" w:cs="Arial"/>
          <w:sz w:val="20"/>
          <w:szCs w:val="20"/>
        </w:rPr>
        <w:t xml:space="preserve"> lower tier</w:t>
      </w:r>
      <w:r w:rsidRPr="00845BD1">
        <w:rPr>
          <w:rFonts w:ascii="Arial" w:hAnsi="Arial" w:cs="Arial"/>
          <w:sz w:val="20"/>
          <w:szCs w:val="20"/>
        </w:rPr>
        <w:t xml:space="preserve"> subrecipient non-Federal entities, </w:t>
      </w:r>
      <w:proofErr w:type="gramStart"/>
      <w:r w:rsidRPr="00845BD1">
        <w:rPr>
          <w:rFonts w:ascii="Arial" w:hAnsi="Arial" w:cs="Arial"/>
          <w:sz w:val="20"/>
          <w:szCs w:val="20"/>
        </w:rPr>
        <w:t>with the exception of</w:t>
      </w:r>
      <w:proofErr w:type="gramEnd"/>
      <w:r w:rsidRPr="00845BD1">
        <w:rPr>
          <w:rFonts w:ascii="Arial" w:hAnsi="Arial" w:cs="Arial"/>
          <w:sz w:val="20"/>
          <w:szCs w:val="20"/>
        </w:rPr>
        <w:t xml:space="preserve"> DOE National Laboratories. The </w:t>
      </w:r>
      <w:r w:rsidR="002D2A5D">
        <w:rPr>
          <w:rFonts w:ascii="Arial" w:hAnsi="Arial" w:cs="Arial"/>
          <w:sz w:val="20"/>
          <w:szCs w:val="20"/>
        </w:rPr>
        <w:t>Subr</w:t>
      </w:r>
      <w:r w:rsidRPr="00845BD1">
        <w:rPr>
          <w:rFonts w:ascii="Arial" w:hAnsi="Arial" w:cs="Arial"/>
          <w:sz w:val="20"/>
          <w:szCs w:val="20"/>
        </w:rPr>
        <w:t xml:space="preserve">ecipient is responsible for ensuring </w:t>
      </w:r>
      <w:r w:rsidR="002D2A5D">
        <w:rPr>
          <w:rFonts w:ascii="Arial" w:hAnsi="Arial" w:cs="Arial"/>
          <w:sz w:val="20"/>
          <w:szCs w:val="20"/>
        </w:rPr>
        <w:t xml:space="preserve">lower tier </w:t>
      </w:r>
      <w:r w:rsidRPr="00845BD1">
        <w:rPr>
          <w:rFonts w:ascii="Arial" w:hAnsi="Arial" w:cs="Arial"/>
          <w:sz w:val="20"/>
          <w:szCs w:val="20"/>
        </w:rPr>
        <w:t>subrecipient compliance with this term.</w:t>
      </w:r>
      <w:bookmarkEnd w:id="47"/>
    </w:p>
    <w:p w14:paraId="4012F754" w14:textId="77777777" w:rsidR="00382532" w:rsidRPr="00730498" w:rsidRDefault="00382532" w:rsidP="00845BD1">
      <w:pPr>
        <w:pStyle w:val="FOATemplateBody"/>
        <w:ind w:left="1080"/>
        <w:jc w:val="both"/>
        <w:rPr>
          <w:rFonts w:ascii="Arial" w:hAnsi="Arial" w:cs="Arial"/>
          <w:sz w:val="20"/>
          <w:szCs w:val="20"/>
        </w:rPr>
      </w:pPr>
    </w:p>
    <w:p w14:paraId="41C99589" w14:textId="7B56D4B6" w:rsidR="00733616" w:rsidRPr="00845BD1" w:rsidRDefault="00733616" w:rsidP="00845BD1">
      <w:pPr>
        <w:pStyle w:val="FOATemplateBody"/>
        <w:numPr>
          <w:ilvl w:val="0"/>
          <w:numId w:val="16"/>
        </w:numPr>
        <w:ind w:left="1080"/>
        <w:jc w:val="both"/>
      </w:pPr>
      <w:r w:rsidRPr="00845BD1">
        <w:rPr>
          <w:rFonts w:ascii="Arial" w:hAnsi="Arial" w:cs="Arial"/>
          <w:sz w:val="20"/>
          <w:szCs w:val="20"/>
        </w:rPr>
        <w:t xml:space="preserve">If the </w:t>
      </w:r>
      <w:r w:rsidR="002D2A5D">
        <w:rPr>
          <w:rFonts w:ascii="Arial" w:hAnsi="Arial" w:cs="Arial"/>
          <w:sz w:val="20"/>
          <w:szCs w:val="20"/>
        </w:rPr>
        <w:t>S</w:t>
      </w:r>
      <w:r w:rsidR="00EA3D5F">
        <w:rPr>
          <w:rFonts w:ascii="Arial" w:hAnsi="Arial" w:cs="Arial"/>
          <w:sz w:val="20"/>
          <w:szCs w:val="20"/>
        </w:rPr>
        <w:t>ubr</w:t>
      </w:r>
      <w:r w:rsidRPr="00845BD1">
        <w:rPr>
          <w:rFonts w:ascii="Arial" w:hAnsi="Arial" w:cs="Arial"/>
          <w:sz w:val="20"/>
          <w:szCs w:val="20"/>
        </w:rPr>
        <w:t xml:space="preserve">ecipient has a parent, affiliate, or subsidiary organization that is not a state, local government, or Indian Tribe, the </w:t>
      </w:r>
      <w:r w:rsidR="00EA3D5F">
        <w:rPr>
          <w:rFonts w:ascii="Arial" w:hAnsi="Arial" w:cs="Arial"/>
          <w:sz w:val="20"/>
          <w:szCs w:val="20"/>
        </w:rPr>
        <w:t>Subr</w:t>
      </w:r>
      <w:r w:rsidRPr="00845BD1">
        <w:rPr>
          <w:rFonts w:ascii="Arial" w:hAnsi="Arial" w:cs="Arial"/>
          <w:sz w:val="20"/>
          <w:szCs w:val="20"/>
        </w:rPr>
        <w:t xml:space="preserve">ecipient must maintain written standards of conduct covering organizational conflicts of interest.  </w:t>
      </w:r>
    </w:p>
    <w:bookmarkEnd w:id="45"/>
    <w:p w14:paraId="553E0C03" w14:textId="77777777" w:rsidR="00007A13" w:rsidRPr="00845BD1" w:rsidRDefault="00007A13" w:rsidP="00845BD1">
      <w:pPr>
        <w:rPr>
          <w:rFonts w:eastAsiaTheme="majorEastAsia"/>
        </w:rPr>
      </w:pPr>
    </w:p>
    <w:p w14:paraId="3643143E" w14:textId="07D2BCB6" w:rsidR="0065260E" w:rsidRPr="002E1A5F" w:rsidRDefault="0065260E" w:rsidP="006F30C1">
      <w:pPr>
        <w:pStyle w:val="Heading2"/>
        <w:numPr>
          <w:ilvl w:val="0"/>
          <w:numId w:val="27"/>
        </w:numPr>
        <w:jc w:val="both"/>
        <w:rPr>
          <w:rFonts w:ascii="Arial" w:hAnsi="Arial" w:cs="Arial"/>
          <w:b/>
          <w:bCs/>
          <w:color w:val="auto"/>
          <w:sz w:val="20"/>
          <w:szCs w:val="20"/>
        </w:rPr>
      </w:pPr>
      <w:bookmarkStart w:id="48" w:name="_Toc206158608"/>
      <w:r w:rsidRPr="002E1A5F">
        <w:rPr>
          <w:rStyle w:val="Heading2Char"/>
          <w:rFonts w:ascii="Arial" w:hAnsi="Arial" w:cs="Arial"/>
          <w:b/>
          <w:bCs/>
          <w:color w:val="auto"/>
          <w:sz w:val="20"/>
          <w:szCs w:val="20"/>
        </w:rPr>
        <w:t>Publication of Information on the Internet</w:t>
      </w:r>
      <w:bookmarkEnd w:id="43"/>
      <w:bookmarkEnd w:id="48"/>
    </w:p>
    <w:p w14:paraId="466C5328" w14:textId="77777777" w:rsidR="0065260E" w:rsidRPr="002E1A5F" w:rsidRDefault="0065260E" w:rsidP="0F584CDF">
      <w:pPr>
        <w:pStyle w:val="ListParagraph"/>
        <w:jc w:val="both"/>
      </w:pPr>
    </w:p>
    <w:p w14:paraId="11DFA0B2" w14:textId="7A7DC4B5" w:rsidR="001C00BF" w:rsidRPr="002E1A5F" w:rsidRDefault="001C00BF" w:rsidP="0F584CDF">
      <w:pPr>
        <w:pStyle w:val="ListParagraph"/>
        <w:jc w:val="both"/>
      </w:pPr>
      <w:r w:rsidRPr="002E1A5F">
        <w:t>[Reserved and waiting for further requirements from DOE]</w:t>
      </w:r>
    </w:p>
    <w:p w14:paraId="2EFF7C1F" w14:textId="77777777" w:rsidR="006901A3" w:rsidRPr="002E1A5F" w:rsidRDefault="006901A3" w:rsidP="0F584CDF">
      <w:pPr>
        <w:jc w:val="both"/>
      </w:pPr>
    </w:p>
    <w:p w14:paraId="1A498E8D" w14:textId="571C5C9E" w:rsidR="006901A3" w:rsidRPr="002E1A5F" w:rsidRDefault="2E091E3F" w:rsidP="006F30C1">
      <w:pPr>
        <w:pStyle w:val="Heading2"/>
        <w:numPr>
          <w:ilvl w:val="0"/>
          <w:numId w:val="27"/>
        </w:numPr>
        <w:jc w:val="both"/>
        <w:rPr>
          <w:rFonts w:ascii="Arial" w:hAnsi="Arial" w:cs="Arial"/>
          <w:b/>
          <w:bCs/>
          <w:color w:val="auto"/>
          <w:sz w:val="20"/>
          <w:szCs w:val="20"/>
        </w:rPr>
      </w:pPr>
      <w:bookmarkStart w:id="49" w:name="_Toc149654104"/>
      <w:bookmarkStart w:id="50" w:name="_Toc206158609"/>
      <w:r w:rsidRPr="002E1A5F">
        <w:rPr>
          <w:rFonts w:ascii="Arial" w:hAnsi="Arial" w:cs="Arial"/>
          <w:b/>
          <w:bCs/>
          <w:color w:val="auto"/>
          <w:sz w:val="20"/>
          <w:szCs w:val="20"/>
        </w:rPr>
        <w:t>Requirement to Report Potentially Duplicative Funding</w:t>
      </w:r>
      <w:bookmarkEnd w:id="49"/>
      <w:bookmarkEnd w:id="50"/>
    </w:p>
    <w:p w14:paraId="12EE702C" w14:textId="77777777" w:rsidR="006901A3" w:rsidRPr="002E1A5F" w:rsidRDefault="006901A3" w:rsidP="0F584CDF">
      <w:pPr>
        <w:jc w:val="both"/>
      </w:pPr>
    </w:p>
    <w:p w14:paraId="6051FD42" w14:textId="22DA6C1A" w:rsidR="006901A3" w:rsidRPr="002E1A5F" w:rsidRDefault="2E091E3F" w:rsidP="0F584CDF">
      <w:pPr>
        <w:ind w:left="720"/>
        <w:jc w:val="both"/>
      </w:pPr>
      <w:r w:rsidRPr="002E1A5F">
        <w:t xml:space="preserve">If </w:t>
      </w:r>
      <w:r w:rsidR="1641C774" w:rsidRPr="002E1A5F">
        <w:t>the</w:t>
      </w:r>
      <w:r w:rsidRPr="002E1A5F">
        <w:t xml:space="preserve"> </w:t>
      </w:r>
      <w:r w:rsidR="3661CBB0" w:rsidRPr="002E1A5F">
        <w:t>S</w:t>
      </w:r>
      <w:r w:rsidR="14CD2C45" w:rsidRPr="002E1A5F">
        <w:t>ubrecipient ha</w:t>
      </w:r>
      <w:r w:rsidR="5DEA82FF" w:rsidRPr="002E1A5F">
        <w:t>s</w:t>
      </w:r>
      <w:r w:rsidR="14CD2C45" w:rsidRPr="002E1A5F">
        <w:t xml:space="preserve"> or</w:t>
      </w:r>
      <w:r w:rsidRPr="002E1A5F">
        <w:t xml:space="preserve"> receive</w:t>
      </w:r>
      <w:r w:rsidR="46152C6E" w:rsidRPr="002E1A5F">
        <w:t>s</w:t>
      </w:r>
      <w:r w:rsidRPr="002E1A5F">
        <w:t xml:space="preserve"> any other award of federal funds for activities that potentially overlap with the activities funded under th</w:t>
      </w:r>
      <w:r w:rsidR="29D333D2" w:rsidRPr="002E1A5F">
        <w:t>is</w:t>
      </w:r>
      <w:r w:rsidR="1797B893" w:rsidRPr="002E1A5F">
        <w:t xml:space="preserve"> </w:t>
      </w:r>
      <w:r w:rsidR="00434784">
        <w:t>Agreement</w:t>
      </w:r>
      <w:r w:rsidRPr="002E1A5F">
        <w:t xml:space="preserve">, the </w:t>
      </w:r>
      <w:r w:rsidR="2B2B30B4" w:rsidRPr="002E1A5F">
        <w:t>Sub</w:t>
      </w:r>
      <w:r w:rsidRPr="002E1A5F">
        <w:t xml:space="preserve">recipient must promptly notify </w:t>
      </w:r>
      <w:r w:rsidR="00B4469E" w:rsidRPr="002E1A5F">
        <w:t xml:space="preserve">CEC </w:t>
      </w:r>
      <w:r w:rsidRPr="002E1A5F">
        <w:t>in writing</w:t>
      </w:r>
      <w:r w:rsidR="60E3CDC3" w:rsidRPr="002E1A5F">
        <w:t>, which will in turn notify DOE,</w:t>
      </w:r>
      <w:r w:rsidRPr="002E1A5F">
        <w:t xml:space="preserve"> of the potential overlap and state whether project funds</w:t>
      </w:r>
      <w:r w:rsidR="15729D85" w:rsidRPr="002E1A5F">
        <w:t xml:space="preserve"> (i.e., </w:t>
      </w:r>
      <w:r w:rsidR="62B0648F" w:rsidRPr="002E1A5F">
        <w:t>Subr</w:t>
      </w:r>
      <w:r w:rsidR="15729D85" w:rsidRPr="002E1A5F">
        <w:t>ecipient cost share and federal funds)</w:t>
      </w:r>
      <w:r w:rsidRPr="002E1A5F">
        <w:t xml:space="preserve"> from any of those other federal awards have been, are being, or are to be used (in whole or in part) for one or more of the identical cost items under th</w:t>
      </w:r>
      <w:r w:rsidR="1FBF14D7" w:rsidRPr="002E1A5F">
        <w:t xml:space="preserve">is </w:t>
      </w:r>
      <w:r w:rsidR="00434784">
        <w:t>Agreement</w:t>
      </w:r>
      <w:r>
        <w:t>.</w:t>
      </w:r>
      <w:r w:rsidRPr="002E1A5F">
        <w:t xml:space="preserve"> If there are identical cost items, the </w:t>
      </w:r>
      <w:r w:rsidR="2846DF66" w:rsidRPr="002E1A5F">
        <w:t>Sub</w:t>
      </w:r>
      <w:r w:rsidRPr="002E1A5F">
        <w:t xml:space="preserve">recipient must promptly notify </w:t>
      </w:r>
      <w:r w:rsidRPr="002E1A5F" w:rsidDel="2E091E3F">
        <w:t xml:space="preserve">the </w:t>
      </w:r>
      <w:r w:rsidR="00504774" w:rsidRPr="002E1A5F">
        <w:t>CEC</w:t>
      </w:r>
      <w:r w:rsidRPr="002E1A5F">
        <w:t xml:space="preserve"> </w:t>
      </w:r>
      <w:r w:rsidR="45975A0B" w:rsidRPr="002E1A5F">
        <w:t>Commission Agreement Manager (</w:t>
      </w:r>
      <w:r w:rsidR="0903F4AB" w:rsidRPr="002E1A5F">
        <w:t>CAM</w:t>
      </w:r>
      <w:r w:rsidR="3D5660FF" w:rsidRPr="002E1A5F">
        <w:t>)</w:t>
      </w:r>
      <w:r w:rsidR="0903F4AB" w:rsidRPr="002E1A5F">
        <w:t xml:space="preserve"> </w:t>
      </w:r>
      <w:r w:rsidRPr="002E1A5F">
        <w:t>in writing</w:t>
      </w:r>
      <w:r w:rsidR="68442C12" w:rsidRPr="002E1A5F">
        <w:t>, who will in turn notify the DOE Contracting Officer</w:t>
      </w:r>
      <w:r w:rsidRPr="002E1A5F" w:rsidDel="2E091E3F">
        <w:t xml:space="preserve"> </w:t>
      </w:r>
      <w:r w:rsidRPr="002E1A5F">
        <w:t>of the potential duplication and eliminate any inappropriate duplication of funding.</w:t>
      </w:r>
    </w:p>
    <w:p w14:paraId="446DAC6F" w14:textId="77777777" w:rsidR="006901A3" w:rsidRPr="002E1A5F" w:rsidRDefault="006901A3" w:rsidP="0F584CDF">
      <w:pPr>
        <w:jc w:val="both"/>
      </w:pPr>
    </w:p>
    <w:p w14:paraId="00B0764F" w14:textId="56BF8FD5" w:rsidR="00D67294" w:rsidRPr="002E1A5F" w:rsidRDefault="00D67294" w:rsidP="006F30C1">
      <w:pPr>
        <w:pStyle w:val="Heading2"/>
        <w:numPr>
          <w:ilvl w:val="0"/>
          <w:numId w:val="27"/>
        </w:numPr>
        <w:jc w:val="both"/>
        <w:rPr>
          <w:rFonts w:ascii="Arial" w:eastAsia="Times New Roman" w:hAnsi="Arial" w:cs="Arial"/>
          <w:b/>
          <w:color w:val="auto"/>
          <w:sz w:val="20"/>
          <w:szCs w:val="20"/>
        </w:rPr>
      </w:pPr>
      <w:bookmarkStart w:id="51" w:name="_Toc149654119"/>
      <w:bookmarkStart w:id="52" w:name="_Toc206158610"/>
      <w:bookmarkStart w:id="53" w:name="_Toc149654106"/>
      <w:r w:rsidRPr="002E1A5F">
        <w:rPr>
          <w:rStyle w:val="Heading2Char"/>
          <w:rFonts w:ascii="Arial" w:hAnsi="Arial" w:cs="Arial"/>
          <w:b/>
          <w:bCs/>
          <w:color w:val="auto"/>
          <w:sz w:val="20"/>
          <w:szCs w:val="20"/>
        </w:rPr>
        <w:t>Flood</w:t>
      </w:r>
      <w:r w:rsidRPr="002E1A5F">
        <w:rPr>
          <w:rFonts w:ascii="Arial" w:hAnsi="Arial" w:cs="Arial"/>
          <w:b/>
          <w:bCs/>
          <w:color w:val="auto"/>
          <w:sz w:val="20"/>
          <w:szCs w:val="20"/>
        </w:rPr>
        <w:t xml:space="preserve"> Resilience</w:t>
      </w:r>
      <w:bookmarkEnd w:id="51"/>
      <w:bookmarkEnd w:id="52"/>
    </w:p>
    <w:p w14:paraId="585D9F0C" w14:textId="77777777" w:rsidR="00D67294" w:rsidRPr="002E1A5F" w:rsidRDefault="00D67294" w:rsidP="7A327B2A">
      <w:pPr>
        <w:jc w:val="both"/>
      </w:pPr>
    </w:p>
    <w:p w14:paraId="3422F020" w14:textId="2B83B84D" w:rsidR="00D67294" w:rsidRPr="002E1A5F" w:rsidRDefault="00D67294" w:rsidP="00D67294">
      <w:pPr>
        <w:pStyle w:val="ListParagraph"/>
        <w:jc w:val="both"/>
        <w:rPr>
          <w:b/>
          <w:bCs/>
        </w:rPr>
      </w:pPr>
      <w:r w:rsidRPr="002E1A5F">
        <w:t xml:space="preserve">Subrecipient must indicate whether its project location(s) is within a floodplain, how the floodplain was defined, and how future flooding will factor into the project’s design. The base floodplain used for planning has been the 100-year floodplain, that is, a floodplain with a 1.0 percent chance of flooding in any given year. As directed by Executive Order 13690, Establishing a Federal Flood Risk Management Standard and a Process for Further Soliciting and Considering Stakeholder Input (2015), Federal agencies, including DOE, continue to avoid development in a floodplain to the extent possible. When doing so is not possible, Federal agencies are directed to “expand management from the current base flood level to a higher vertical elevation and corresponding horizontal floodplain to address current and future flood risk and ensure that projects funded with taxpayer dollars last as long as intended.” The higher flood elevation is based on one of three approaches: climate-informed science (preferred), freeboard value, or 0.2 percent annual flood change (500-year floodplain). </w:t>
      </w:r>
      <w:hyperlink r:id="rId25" w:history="1">
        <w:r w:rsidRPr="005D43E0">
          <w:rPr>
            <w:rStyle w:val="Hyperlink"/>
          </w:rPr>
          <w:t>EO 13690 and related information</w:t>
        </w:r>
      </w:hyperlink>
      <w:r w:rsidRPr="002E1A5F">
        <w:t xml:space="preserve"> is available at </w:t>
      </w:r>
      <w:r w:rsidRPr="005D43E0">
        <w:t>https://www.energy.gov/nepa/articles/eo-13690-establishing-federal-flood-risk-management standard-and-process-further</w:t>
      </w:r>
      <w:r>
        <w:t>.</w:t>
      </w:r>
      <w:r w:rsidRPr="002E1A5F">
        <w:t xml:space="preserve">  </w:t>
      </w:r>
    </w:p>
    <w:p w14:paraId="3FE6790F" w14:textId="77777777" w:rsidR="00D67294" w:rsidRPr="002E1A5F" w:rsidRDefault="00D67294" w:rsidP="7A327B2A">
      <w:pPr>
        <w:jc w:val="both"/>
      </w:pPr>
    </w:p>
    <w:p w14:paraId="4571D720" w14:textId="77777777" w:rsidR="00D67294" w:rsidRPr="002E1A5F" w:rsidRDefault="00D67294" w:rsidP="7A327B2A">
      <w:pPr>
        <w:jc w:val="both"/>
      </w:pPr>
    </w:p>
    <w:p w14:paraId="391DEC27" w14:textId="0FD7CA1F" w:rsidR="00D67294" w:rsidRPr="002E1A5F" w:rsidRDefault="00D67294" w:rsidP="006F30C1">
      <w:pPr>
        <w:pStyle w:val="Heading2"/>
        <w:numPr>
          <w:ilvl w:val="0"/>
          <w:numId w:val="27"/>
        </w:numPr>
        <w:jc w:val="both"/>
        <w:rPr>
          <w:rFonts w:ascii="Arial" w:eastAsia="Calibri Light" w:hAnsi="Arial" w:cs="Arial"/>
          <w:b/>
          <w:bCs/>
          <w:color w:val="auto"/>
          <w:sz w:val="20"/>
          <w:szCs w:val="20"/>
        </w:rPr>
      </w:pPr>
      <w:bookmarkStart w:id="54" w:name="_Toc206158611"/>
      <w:r w:rsidRPr="002E1A5F">
        <w:rPr>
          <w:rFonts w:ascii="Arial" w:eastAsia="Calibri Light" w:hAnsi="Arial" w:cs="Arial"/>
          <w:b/>
          <w:bCs/>
          <w:color w:val="auto"/>
          <w:sz w:val="20"/>
          <w:szCs w:val="20"/>
        </w:rPr>
        <w:t>Indemnity</w:t>
      </w:r>
      <w:bookmarkEnd w:id="54"/>
    </w:p>
    <w:p w14:paraId="7985FCCC" w14:textId="77777777" w:rsidR="00D67294" w:rsidRPr="002E1A5F" w:rsidRDefault="00D67294" w:rsidP="7A327B2A">
      <w:pPr>
        <w:jc w:val="both"/>
      </w:pPr>
    </w:p>
    <w:p w14:paraId="4728DF3A" w14:textId="4BF202C7" w:rsidR="00D67294" w:rsidRPr="002E1A5F" w:rsidRDefault="00D67294" w:rsidP="7A327B2A">
      <w:pPr>
        <w:pStyle w:val="ListParagraph"/>
        <w:numPr>
          <w:ilvl w:val="1"/>
          <w:numId w:val="27"/>
        </w:numPr>
        <w:ind w:left="1080"/>
        <w:jc w:val="both"/>
      </w:pPr>
      <w:r w:rsidRPr="002E1A5F">
        <w:rPr>
          <w:rFonts w:eastAsia="Arial"/>
        </w:rPr>
        <w:t xml:space="preserve">The CEC shall indemnify the United States Government and its officers, </w:t>
      </w:r>
      <w:r w:rsidRPr="002E1A5F">
        <w:t xml:space="preserve">agents, or employees for any and all liability, including litigation expenses and attorneys' fees, arising from suits, </w:t>
      </w:r>
      <w:r w:rsidRPr="002E1A5F">
        <w:lastRenderedPageBreak/>
        <w:t>actions, or claims of any character for death, bodily injury, or loss of or damage to property or to the environment, resulting from the project, except to the extent that such liability results from the direct fault or negligence of United States Government officers, agents or employees, or to the extent such liability may be covered by applicable allowable costs provisions.</w:t>
      </w:r>
    </w:p>
    <w:p w14:paraId="73052815" w14:textId="77777777" w:rsidR="00D67294" w:rsidRPr="002E1A5F" w:rsidRDefault="00D67294" w:rsidP="7A327B2A">
      <w:pPr>
        <w:pStyle w:val="ListParagraph"/>
        <w:ind w:left="1080"/>
        <w:jc w:val="both"/>
      </w:pPr>
    </w:p>
    <w:p w14:paraId="525C8561" w14:textId="229B0073" w:rsidR="00D67294" w:rsidRPr="002E1A5F" w:rsidRDefault="00D67294" w:rsidP="7A327B2A">
      <w:pPr>
        <w:pStyle w:val="ListParagraph"/>
        <w:numPr>
          <w:ilvl w:val="1"/>
          <w:numId w:val="27"/>
        </w:numPr>
        <w:ind w:left="1080"/>
        <w:jc w:val="both"/>
      </w:pPr>
      <w:r w:rsidRPr="002E1A5F">
        <w:rPr>
          <w:rFonts w:eastAsia="Arial"/>
        </w:rPr>
        <w:t xml:space="preserve">The Subrecipient shall indemnify the CEC and its officers, </w:t>
      </w:r>
      <w:r w:rsidRPr="002E1A5F">
        <w:t>agents, or employees for any and all liability, including litigation expenses and attorneys' fees, arising from suits, actions, or claims of any character for death, bodily injury, or loss of or damage to property or to the environment, resulting from the project, except to the extent that such liability results from the direct fault or negligence of CEC officers, agents or employees, or to the extent such liability may be covered by applicable allowable costs provisions.</w:t>
      </w:r>
    </w:p>
    <w:p w14:paraId="138BFA8D" w14:textId="77777777" w:rsidR="00D67294" w:rsidRPr="002E1A5F" w:rsidRDefault="00D67294" w:rsidP="7A327B2A">
      <w:pPr>
        <w:jc w:val="both"/>
      </w:pPr>
    </w:p>
    <w:p w14:paraId="40BE28FD" w14:textId="26020E16" w:rsidR="00C503D1" w:rsidRPr="002E1A5F" w:rsidRDefault="00C503D1" w:rsidP="006F30C1">
      <w:pPr>
        <w:pStyle w:val="Heading2"/>
        <w:numPr>
          <w:ilvl w:val="0"/>
          <w:numId w:val="27"/>
        </w:numPr>
        <w:jc w:val="both"/>
        <w:rPr>
          <w:rFonts w:ascii="Arial" w:hAnsi="Arial" w:cs="Arial"/>
          <w:b/>
          <w:bCs/>
          <w:color w:val="auto"/>
          <w:sz w:val="20"/>
          <w:szCs w:val="20"/>
        </w:rPr>
      </w:pPr>
      <w:bookmarkStart w:id="55" w:name="_Toc206158612"/>
      <w:r w:rsidRPr="002E1A5F">
        <w:rPr>
          <w:rFonts w:ascii="Arial" w:hAnsi="Arial" w:cs="Arial"/>
          <w:b/>
          <w:bCs/>
          <w:color w:val="auto"/>
          <w:sz w:val="20"/>
          <w:szCs w:val="20"/>
        </w:rPr>
        <w:t>Rebudgeting and Recovery of Indirect Costs</w:t>
      </w:r>
      <w:bookmarkEnd w:id="55"/>
    </w:p>
    <w:p w14:paraId="72783BE0" w14:textId="77777777" w:rsidR="00C503D1" w:rsidRPr="002E1A5F" w:rsidRDefault="00C503D1" w:rsidP="7A327B2A">
      <w:pPr>
        <w:jc w:val="both"/>
      </w:pPr>
    </w:p>
    <w:p w14:paraId="312FF417" w14:textId="7BC6D9A3" w:rsidR="00956AD7" w:rsidRPr="002E1A5F" w:rsidRDefault="00956AD7" w:rsidP="7A327B2A">
      <w:pPr>
        <w:pStyle w:val="ListParagraph"/>
        <w:numPr>
          <w:ilvl w:val="1"/>
          <w:numId w:val="27"/>
        </w:numPr>
        <w:ind w:left="1080"/>
        <w:jc w:val="both"/>
      </w:pPr>
      <w:r w:rsidRPr="002E1A5F">
        <w:t xml:space="preserve">If actual allowable indirect costs are less than those budgeted and funded under the Award, the Subrecipient may use the difference to pay additional allowable direct costs during the project period. If at the completion of the Award, the </w:t>
      </w:r>
      <w:r>
        <w:t>United</w:t>
      </w:r>
      <w:r w:rsidRPr="002E1A5F">
        <w:t xml:space="preserve"> States Government's share of total allowable costs (i.e., direct and indirect), is less than the total costs reimbursed, the Subrecipient must refund the difference.</w:t>
      </w:r>
    </w:p>
    <w:p w14:paraId="1EF6616E" w14:textId="77777777" w:rsidR="00956AD7" w:rsidRPr="002E1A5F" w:rsidRDefault="00956AD7" w:rsidP="7A327B2A">
      <w:pPr>
        <w:pStyle w:val="ListParagraph"/>
        <w:ind w:left="1080"/>
        <w:jc w:val="both"/>
      </w:pPr>
    </w:p>
    <w:p w14:paraId="35C4D902" w14:textId="20184B27" w:rsidR="00956AD7" w:rsidRPr="002E1A5F" w:rsidRDefault="00956AD7" w:rsidP="7A327B2A">
      <w:pPr>
        <w:pStyle w:val="ListParagraph"/>
        <w:numPr>
          <w:ilvl w:val="1"/>
          <w:numId w:val="27"/>
        </w:numPr>
        <w:ind w:left="1080"/>
        <w:jc w:val="both"/>
      </w:pPr>
      <w:r w:rsidRPr="002E1A5F">
        <w:t>Subrecipients are expected to manage their indirect costs. DOE or CEC will not amend an award solely to provide additional funds for changes in indirect cost rates. DOE or CEC recognizes that the inability to obtain full reimbursement for indirect costs means the Subrecipient must absorb the under</w:t>
      </w:r>
      <w:r w:rsidR="00D45EB2">
        <w:t>-</w:t>
      </w:r>
      <w:r w:rsidRPr="002E1A5F">
        <w:t>recovery. Such under</w:t>
      </w:r>
      <w:r w:rsidR="00D45EB2">
        <w:t>-</w:t>
      </w:r>
      <w:r w:rsidRPr="002E1A5F">
        <w:t>recovery may be allocated as part of the organization's required cost sharing.</w:t>
      </w:r>
    </w:p>
    <w:p w14:paraId="583F0271" w14:textId="77777777" w:rsidR="00C503D1" w:rsidRPr="002E1A5F" w:rsidRDefault="00C503D1" w:rsidP="7A327B2A">
      <w:pPr>
        <w:jc w:val="both"/>
      </w:pPr>
    </w:p>
    <w:p w14:paraId="6AE26401" w14:textId="3A3000EC" w:rsidR="002B165F" w:rsidRPr="002E1A5F" w:rsidRDefault="00902D1E" w:rsidP="006F30C1">
      <w:pPr>
        <w:pStyle w:val="Heading2"/>
        <w:numPr>
          <w:ilvl w:val="0"/>
          <w:numId w:val="27"/>
        </w:numPr>
        <w:jc w:val="both"/>
        <w:rPr>
          <w:rFonts w:ascii="Arial" w:eastAsia="Calibri Light" w:hAnsi="Arial" w:cs="Arial"/>
          <w:b/>
          <w:bCs/>
          <w:color w:val="auto"/>
          <w:sz w:val="20"/>
          <w:szCs w:val="20"/>
        </w:rPr>
      </w:pPr>
      <w:bookmarkStart w:id="56" w:name="_Toc206158613"/>
      <w:r w:rsidRPr="002E1A5F">
        <w:rPr>
          <w:rFonts w:ascii="Arial" w:eastAsia="Calibri Light" w:hAnsi="Arial" w:cs="Arial"/>
          <w:b/>
          <w:bCs/>
          <w:color w:val="auto"/>
          <w:sz w:val="20"/>
          <w:szCs w:val="20"/>
        </w:rPr>
        <w:t>Real Property – Grid Resilience</w:t>
      </w:r>
      <w:bookmarkEnd w:id="56"/>
    </w:p>
    <w:p w14:paraId="1C6FC870" w14:textId="77777777" w:rsidR="00902D1E" w:rsidRPr="002E1A5F" w:rsidRDefault="00902D1E" w:rsidP="7A327B2A">
      <w:pPr>
        <w:jc w:val="both"/>
        <w:rPr>
          <w:rFonts w:eastAsia="Calibri Light"/>
        </w:rPr>
      </w:pPr>
    </w:p>
    <w:p w14:paraId="356A7F11" w14:textId="5DDCCA89" w:rsidR="00902D1E" w:rsidRPr="002E1A5F" w:rsidRDefault="00902D1E" w:rsidP="7A327B2A">
      <w:pPr>
        <w:ind w:left="720"/>
        <w:jc w:val="both"/>
        <w:rPr>
          <w:rFonts w:eastAsia="Calibri Light"/>
        </w:rPr>
      </w:pPr>
      <w:r w:rsidRPr="002E1A5F">
        <w:rPr>
          <w:rFonts w:eastAsia="Arial"/>
        </w:rPr>
        <w:t xml:space="preserve">Acquisition of land or easements is not permitted under this Program. Improvements to real property for the purpose of grid hardening or resilience </w:t>
      </w:r>
      <w:proofErr w:type="gramStart"/>
      <w:r w:rsidRPr="002E1A5F">
        <w:rPr>
          <w:rFonts w:eastAsia="Arial"/>
        </w:rPr>
        <w:t>is</w:t>
      </w:r>
      <w:proofErr w:type="gramEnd"/>
      <w:r w:rsidRPr="002E1A5F">
        <w:rPr>
          <w:rFonts w:eastAsia="Arial"/>
        </w:rPr>
        <w:t xml:space="preserve"> not considered acquisition of real property for the purpose of this Program, and therefore may be permitted.</w:t>
      </w:r>
    </w:p>
    <w:p w14:paraId="662897FD" w14:textId="77777777" w:rsidR="00902D1E" w:rsidRPr="002E1A5F" w:rsidRDefault="00902D1E" w:rsidP="7A327B2A">
      <w:pPr>
        <w:jc w:val="both"/>
        <w:rPr>
          <w:rFonts w:eastAsia="Calibri Light"/>
        </w:rPr>
      </w:pPr>
    </w:p>
    <w:p w14:paraId="3E7D07E6" w14:textId="7BD30E8E" w:rsidR="006901A3" w:rsidRPr="002E1A5F" w:rsidRDefault="006901A3" w:rsidP="006F30C1">
      <w:pPr>
        <w:pStyle w:val="Heading2"/>
        <w:numPr>
          <w:ilvl w:val="0"/>
          <w:numId w:val="27"/>
        </w:numPr>
        <w:jc w:val="both"/>
        <w:rPr>
          <w:rStyle w:val="Heading2Char"/>
          <w:rFonts w:ascii="Arial" w:eastAsia="Calibri Light" w:hAnsi="Arial" w:cs="Arial"/>
          <w:b/>
          <w:bCs/>
          <w:color w:val="auto"/>
          <w:sz w:val="20"/>
          <w:szCs w:val="20"/>
          <w:u w:val="single"/>
        </w:rPr>
      </w:pPr>
      <w:bookmarkStart w:id="57" w:name="_Toc206158614"/>
      <w:r w:rsidRPr="002E1A5F">
        <w:rPr>
          <w:rFonts w:ascii="Arial" w:hAnsi="Arial" w:cs="Arial"/>
          <w:b/>
          <w:bCs/>
          <w:color w:val="auto"/>
          <w:sz w:val="20"/>
          <w:szCs w:val="20"/>
        </w:rPr>
        <w:t>Cybersecurity Plan</w:t>
      </w:r>
      <w:bookmarkEnd w:id="53"/>
      <w:bookmarkEnd w:id="57"/>
    </w:p>
    <w:p w14:paraId="5DA4D9C5" w14:textId="77777777" w:rsidR="006901A3" w:rsidRPr="002E1A5F" w:rsidRDefault="006901A3" w:rsidP="0F584CDF">
      <w:pPr>
        <w:pStyle w:val="ListParagraph"/>
        <w:jc w:val="both"/>
        <w:rPr>
          <w:b/>
          <w:bCs/>
        </w:rPr>
      </w:pPr>
    </w:p>
    <w:p w14:paraId="67B6AF00" w14:textId="11DE77D2" w:rsidR="006901A3" w:rsidRDefault="006901A3" w:rsidP="3395C957">
      <w:pPr>
        <w:pStyle w:val="ListParagraph"/>
        <w:jc w:val="both"/>
      </w:pPr>
      <w:r w:rsidRPr="002E1A5F">
        <w:t xml:space="preserve">Be advised that under Section 40126 of the BIL, the Secretary of Energy has determined that this Program </w:t>
      </w:r>
      <w:r>
        <w:t>require</w:t>
      </w:r>
      <w:r w:rsidR="00202D48">
        <w:t>d</w:t>
      </w:r>
      <w:r>
        <w:t xml:space="preserve"> </w:t>
      </w:r>
      <w:r w:rsidR="00202D48">
        <w:t>CEC</w:t>
      </w:r>
      <w:r w:rsidRPr="002E1A5F">
        <w:t xml:space="preserve"> to submit a Cybersecurity Plan to the DOE prior to the issuance of an award. </w:t>
      </w:r>
      <w:r w:rsidR="3227B6C3" w:rsidRPr="002E1A5F">
        <w:t xml:space="preserve">The CEC will notify the Subrecipient if any information, cybersecurity plan, or other input is needed from the Subrecipient regarding </w:t>
      </w:r>
      <w:r w:rsidR="0A41C5CD" w:rsidRPr="002E1A5F">
        <w:t>cybersecurity</w:t>
      </w:r>
      <w:r w:rsidR="3227B6C3" w:rsidRPr="002E1A5F">
        <w:t>.</w:t>
      </w:r>
    </w:p>
    <w:p w14:paraId="1F79E6A6" w14:textId="77777777" w:rsidR="00F32F98" w:rsidRDefault="00F32F98" w:rsidP="3395C957">
      <w:pPr>
        <w:pStyle w:val="ListParagraph"/>
        <w:jc w:val="both"/>
      </w:pPr>
    </w:p>
    <w:p w14:paraId="7F1E7C64" w14:textId="171615BB" w:rsidR="00F32F98" w:rsidRDefault="00396CDC" w:rsidP="3395C957">
      <w:pPr>
        <w:pStyle w:val="ListParagraph"/>
        <w:jc w:val="both"/>
      </w:pPr>
      <w:r>
        <w:t>Subrecipient shall t</w:t>
      </w:r>
      <w:r w:rsidRPr="00396CDC">
        <w:t>ake reasonable cybersecurity and other measures to safeguard information including protected personally identifiable information (PII) and other types of information. This also includes information the Federal agency or</w:t>
      </w:r>
      <w:r w:rsidR="00B169D1">
        <w:t xml:space="preserve"> CEC </w:t>
      </w:r>
      <w:r w:rsidRPr="00396CDC">
        <w:t xml:space="preserve">designates as sensitive or other information the </w:t>
      </w:r>
      <w:r w:rsidR="00B169D1">
        <w:t xml:space="preserve">CEC </w:t>
      </w:r>
      <w:r w:rsidRPr="00396CDC">
        <w:t xml:space="preserve">or </w:t>
      </w:r>
      <w:r w:rsidR="00B22A18">
        <w:t>the S</w:t>
      </w:r>
      <w:r w:rsidRPr="00396CDC">
        <w:t>ubrecipient considers sensitive and is consistent with applicable Federal, State, local, and tribal laws regarding privacy and responsibility over confidentiality.</w:t>
      </w:r>
      <w:r w:rsidR="00B22A18">
        <w:t xml:space="preserve"> See 2 CFR 200.303(e).</w:t>
      </w:r>
    </w:p>
    <w:p w14:paraId="3D8BCB2F" w14:textId="77777777" w:rsidR="00AA1E12" w:rsidRDefault="00AA1E12" w:rsidP="3395C957">
      <w:pPr>
        <w:pStyle w:val="ListParagraph"/>
        <w:jc w:val="both"/>
      </w:pPr>
    </w:p>
    <w:p w14:paraId="59CBD7B7" w14:textId="77777777" w:rsidR="00AA1E12" w:rsidRPr="002E1A5F" w:rsidRDefault="00AA1E12" w:rsidP="3395C957">
      <w:pPr>
        <w:pStyle w:val="ListParagraph"/>
        <w:jc w:val="both"/>
      </w:pPr>
    </w:p>
    <w:p w14:paraId="2CDB5F0C" w14:textId="3E975E1D" w:rsidR="0F584CDF" w:rsidRPr="002E1A5F" w:rsidRDefault="0F584CDF" w:rsidP="7A327B2A">
      <w:pPr>
        <w:pStyle w:val="NoSpacing"/>
        <w:jc w:val="both"/>
      </w:pPr>
    </w:p>
    <w:p w14:paraId="7F1903F2" w14:textId="34727CFE" w:rsidR="008750FA" w:rsidRPr="002E1A5F" w:rsidRDefault="00262356" w:rsidP="006F30C1">
      <w:pPr>
        <w:pStyle w:val="ListParagraph"/>
        <w:numPr>
          <w:ilvl w:val="0"/>
          <w:numId w:val="27"/>
        </w:numPr>
        <w:jc w:val="both"/>
        <w:rPr>
          <w:b/>
        </w:rPr>
      </w:pPr>
      <w:r w:rsidRPr="7A327B2A">
        <w:rPr>
          <w:b/>
        </w:rPr>
        <w:t>Reporting</w:t>
      </w:r>
      <w:r w:rsidR="007D4392" w:rsidRPr="7A327B2A">
        <w:rPr>
          <w:b/>
        </w:rPr>
        <w:t>, Tracking, and Segr</w:t>
      </w:r>
      <w:r w:rsidR="00BF1ED3" w:rsidRPr="7A327B2A">
        <w:rPr>
          <w:b/>
        </w:rPr>
        <w:t>egation of Incurred Costs</w:t>
      </w:r>
    </w:p>
    <w:p w14:paraId="411A93C0" w14:textId="77777777" w:rsidR="00BF1ED3" w:rsidRPr="002E1A5F" w:rsidRDefault="00BF1ED3" w:rsidP="00BF1ED3">
      <w:pPr>
        <w:ind w:left="360"/>
        <w:jc w:val="both"/>
      </w:pPr>
    </w:p>
    <w:p w14:paraId="54C3EDE8" w14:textId="555423A0" w:rsidR="00BF1ED3" w:rsidRPr="002E1A5F" w:rsidRDefault="004221D2" w:rsidP="008E6BAE">
      <w:pPr>
        <w:ind w:left="720"/>
        <w:jc w:val="both"/>
      </w:pPr>
      <w:r w:rsidRPr="002E1A5F">
        <w:t>BIL funds can be used in conjunction with other funding, as necessary to complete projects, but tracking and reporting</w:t>
      </w:r>
      <w:r w:rsidR="009741E7" w:rsidRPr="002E1A5F">
        <w:t xml:space="preserve"> </w:t>
      </w:r>
      <w:r w:rsidRPr="002E1A5F">
        <w:t>must be separate to meet the reporting requirements of the BIL and related Office of Management and Budget (OMB)</w:t>
      </w:r>
      <w:r w:rsidR="009741E7" w:rsidRPr="002E1A5F">
        <w:t xml:space="preserve"> </w:t>
      </w:r>
      <w:r w:rsidRPr="002E1A5F">
        <w:t xml:space="preserve">Guidance. The </w:t>
      </w:r>
      <w:r w:rsidR="009741E7" w:rsidRPr="002E1A5F">
        <w:t>Subr</w:t>
      </w:r>
      <w:r w:rsidRPr="002E1A5F">
        <w:t>ecipient must keep separate records for BIL funds and must ensure those records comply with the</w:t>
      </w:r>
      <w:r w:rsidR="009741E7" w:rsidRPr="002E1A5F">
        <w:t xml:space="preserve"> </w:t>
      </w:r>
      <w:r w:rsidRPr="002E1A5F">
        <w:t>requirements of the BIL. Funding provided through the BIL that is supplemental to an existing grant or cooperative</w:t>
      </w:r>
      <w:r w:rsidR="009741E7" w:rsidRPr="002E1A5F">
        <w:t xml:space="preserve"> </w:t>
      </w:r>
      <w:r w:rsidRPr="002E1A5F">
        <w:t>agreement is one-time funding.</w:t>
      </w:r>
    </w:p>
    <w:p w14:paraId="0BB0135F" w14:textId="77777777" w:rsidR="00BF1ED3" w:rsidRPr="002E1A5F" w:rsidRDefault="00BF1ED3" w:rsidP="00202D48">
      <w:pPr>
        <w:ind w:left="360"/>
        <w:jc w:val="both"/>
      </w:pPr>
    </w:p>
    <w:p w14:paraId="1A61CAB7" w14:textId="132B4C41" w:rsidR="41E3A54F" w:rsidRPr="002E1A5F" w:rsidRDefault="41E3A54F" w:rsidP="006F30C1">
      <w:pPr>
        <w:pStyle w:val="ListParagraph"/>
        <w:numPr>
          <w:ilvl w:val="0"/>
          <w:numId w:val="27"/>
        </w:numPr>
        <w:jc w:val="both"/>
        <w:rPr>
          <w:b/>
        </w:rPr>
      </w:pPr>
      <w:r w:rsidRPr="7A327B2A">
        <w:rPr>
          <w:b/>
        </w:rPr>
        <w:t>Notice Regarding the Purchase of American-Made Equipment and Products – Sense of Congress</w:t>
      </w:r>
    </w:p>
    <w:p w14:paraId="632EC322" w14:textId="0C6CE5E6" w:rsidR="0F584CDF" w:rsidRPr="002E1A5F" w:rsidRDefault="0F584CDF" w:rsidP="0F584CDF">
      <w:pPr>
        <w:jc w:val="both"/>
      </w:pPr>
    </w:p>
    <w:p w14:paraId="6AD58C78" w14:textId="2071A2C3" w:rsidR="00AA6DCB" w:rsidRPr="002E1A5F" w:rsidRDefault="41E3A54F" w:rsidP="00792369">
      <w:pPr>
        <w:ind w:left="720"/>
        <w:jc w:val="both"/>
      </w:pPr>
      <w:r w:rsidRPr="002E1A5F">
        <w:t xml:space="preserve">It is the sense of the Congress that, to the greatest extent practicable, all equipment and products purchased with funds made available under this </w:t>
      </w:r>
      <w:r w:rsidR="00323788" w:rsidRPr="002E1A5F">
        <w:t>A</w:t>
      </w:r>
      <w:r w:rsidRPr="002E1A5F">
        <w:t xml:space="preserve">ward should be </w:t>
      </w:r>
      <w:r w:rsidR="00D45EB2" w:rsidRPr="002E1A5F">
        <w:t>American made</w:t>
      </w:r>
      <w:r w:rsidRPr="002E1A5F">
        <w:t>.</w:t>
      </w:r>
    </w:p>
    <w:p w14:paraId="76A39909" w14:textId="35B3BBAF" w:rsidR="00917F5B" w:rsidRPr="002E1A5F" w:rsidRDefault="00917F5B" w:rsidP="7A327B2A">
      <w:pPr>
        <w:jc w:val="both"/>
      </w:pPr>
    </w:p>
    <w:p w14:paraId="4F127F93" w14:textId="44A0866C" w:rsidR="7A327B2A" w:rsidRDefault="7A327B2A">
      <w:r>
        <w:br w:type="page"/>
      </w:r>
    </w:p>
    <w:p w14:paraId="7C0E870A" w14:textId="5B486977" w:rsidR="31F137FA" w:rsidRPr="002E1A5F" w:rsidRDefault="746FE87D" w:rsidP="7A327B2A">
      <w:pPr>
        <w:pStyle w:val="Heading1"/>
        <w:spacing w:after="240"/>
        <w:jc w:val="both"/>
        <w:rPr>
          <w:rFonts w:ascii="Arial" w:hAnsi="Arial" w:cs="Arial"/>
          <w:b/>
          <w:bCs/>
          <w:color w:val="auto"/>
          <w:sz w:val="20"/>
          <w:szCs w:val="20"/>
        </w:rPr>
      </w:pPr>
      <w:bookmarkStart w:id="58" w:name="_Toc128225378"/>
      <w:bookmarkStart w:id="59" w:name="_Toc149654125"/>
      <w:bookmarkStart w:id="60" w:name="_Toc206158615"/>
      <w:r w:rsidRPr="002E1A5F">
        <w:rPr>
          <w:rFonts w:ascii="Arial" w:hAnsi="Arial" w:cs="Arial"/>
          <w:b/>
          <w:bCs/>
          <w:color w:val="auto"/>
          <w:sz w:val="20"/>
          <w:szCs w:val="20"/>
        </w:rPr>
        <w:lastRenderedPageBreak/>
        <w:t xml:space="preserve">Subpart </w:t>
      </w:r>
      <w:bookmarkEnd w:id="58"/>
      <w:bookmarkEnd w:id="59"/>
      <w:r w:rsidR="00D67294" w:rsidRPr="002E1A5F">
        <w:rPr>
          <w:rFonts w:ascii="Arial" w:hAnsi="Arial" w:cs="Arial"/>
          <w:b/>
          <w:bCs/>
          <w:color w:val="auto"/>
          <w:sz w:val="20"/>
          <w:szCs w:val="20"/>
        </w:rPr>
        <w:t>B. General Provisions</w:t>
      </w:r>
      <w:bookmarkEnd w:id="60"/>
    </w:p>
    <w:p w14:paraId="43A98C4B" w14:textId="39897934" w:rsidR="008A58EF" w:rsidRPr="002E1A5F" w:rsidRDefault="008A58EF" w:rsidP="006F30C1">
      <w:pPr>
        <w:pStyle w:val="Heading2"/>
        <w:numPr>
          <w:ilvl w:val="1"/>
          <w:numId w:val="28"/>
        </w:numPr>
        <w:ind w:left="720"/>
        <w:jc w:val="both"/>
        <w:rPr>
          <w:rFonts w:ascii="Arial" w:hAnsi="Arial" w:cs="Arial"/>
          <w:b/>
          <w:bCs/>
          <w:color w:val="auto"/>
          <w:sz w:val="20"/>
          <w:szCs w:val="20"/>
        </w:rPr>
      </w:pPr>
      <w:bookmarkStart w:id="61" w:name="_Toc149654109"/>
      <w:bookmarkStart w:id="62" w:name="_Toc206158616"/>
      <w:r w:rsidRPr="002E1A5F">
        <w:rPr>
          <w:rFonts w:ascii="Arial" w:hAnsi="Arial" w:cs="Arial"/>
          <w:b/>
          <w:bCs/>
          <w:color w:val="auto"/>
          <w:sz w:val="20"/>
          <w:szCs w:val="20"/>
        </w:rPr>
        <w:t>Compliance with Federal, State, and Municipal Law</w:t>
      </w:r>
      <w:bookmarkStart w:id="63" w:name="_Toc149654126"/>
      <w:bookmarkEnd w:id="61"/>
      <w:bookmarkEnd w:id="62"/>
    </w:p>
    <w:p w14:paraId="5D4C4721" w14:textId="77777777" w:rsidR="008A58EF" w:rsidRPr="002E1A5F" w:rsidRDefault="008A58EF" w:rsidP="7A327B2A">
      <w:pPr>
        <w:jc w:val="both"/>
      </w:pPr>
    </w:p>
    <w:p w14:paraId="4578C681" w14:textId="6F7B040A" w:rsidR="008A58EF" w:rsidRPr="002E1A5F" w:rsidRDefault="008A58EF" w:rsidP="008A58EF">
      <w:pPr>
        <w:pStyle w:val="ListParagraph"/>
        <w:numPr>
          <w:ilvl w:val="0"/>
          <w:numId w:val="10"/>
        </w:numPr>
        <w:jc w:val="both"/>
      </w:pPr>
      <w:r w:rsidRPr="002E1A5F">
        <w:t xml:space="preserve">The Subrecipient is required to comply with applicable federal, state, and municipal laws and regulations, for all work performed under this </w:t>
      </w:r>
      <w:r w:rsidR="00BE2FFA">
        <w:t>Agreement</w:t>
      </w:r>
      <w:r w:rsidRPr="002E1A5F">
        <w:t xml:space="preserve">. </w:t>
      </w:r>
    </w:p>
    <w:p w14:paraId="45642445" w14:textId="77777777" w:rsidR="008A58EF" w:rsidRPr="002E1A5F" w:rsidRDefault="008A58EF" w:rsidP="008A58EF">
      <w:pPr>
        <w:pStyle w:val="ListParagraph"/>
        <w:ind w:left="1080"/>
        <w:jc w:val="both"/>
      </w:pPr>
    </w:p>
    <w:p w14:paraId="2DD04A01" w14:textId="32A5AA5B" w:rsidR="008A58EF" w:rsidRPr="002E1A5F" w:rsidRDefault="008A58EF" w:rsidP="008A58EF">
      <w:pPr>
        <w:pStyle w:val="ListParagraph"/>
        <w:numPr>
          <w:ilvl w:val="0"/>
          <w:numId w:val="10"/>
        </w:numPr>
        <w:jc w:val="both"/>
      </w:pPr>
      <w:r w:rsidRPr="002E1A5F">
        <w:t xml:space="preserve">The Subrecipient is required to obtain all necessary federal, state, and municipal permits, authorizations, and approvals for all work performed under this </w:t>
      </w:r>
      <w:r w:rsidR="00847EDF">
        <w:t>Agreement</w:t>
      </w:r>
      <w:r w:rsidRPr="002E1A5F">
        <w:t>.</w:t>
      </w:r>
    </w:p>
    <w:p w14:paraId="2AB3C129" w14:textId="77777777" w:rsidR="008A58EF" w:rsidRPr="002E1A5F" w:rsidRDefault="008A58EF" w:rsidP="008A58EF">
      <w:pPr>
        <w:pStyle w:val="ListParagraph"/>
        <w:jc w:val="both"/>
      </w:pPr>
    </w:p>
    <w:p w14:paraId="4D060F98" w14:textId="1815C974" w:rsidR="008A58EF" w:rsidRPr="002E1A5F" w:rsidRDefault="008A58EF" w:rsidP="008A58EF">
      <w:pPr>
        <w:pStyle w:val="ListParagraph"/>
        <w:numPr>
          <w:ilvl w:val="0"/>
          <w:numId w:val="10"/>
        </w:numPr>
        <w:jc w:val="both"/>
      </w:pPr>
      <w:r w:rsidRPr="002E1A5F">
        <w:t xml:space="preserve">Any apparent inconsistency between federal and state laws and regulations and the terms and conditions of this Award must be referred to </w:t>
      </w:r>
      <w:r w:rsidR="00D45EB2" w:rsidRPr="002E1A5F">
        <w:t>CEC’s CAM</w:t>
      </w:r>
      <w:r w:rsidRPr="002E1A5F">
        <w:t xml:space="preserve"> for guidance.</w:t>
      </w:r>
    </w:p>
    <w:p w14:paraId="218C783D" w14:textId="77777777" w:rsidR="008A58EF" w:rsidRPr="002E1A5F" w:rsidRDefault="008A58EF" w:rsidP="7A327B2A">
      <w:pPr>
        <w:jc w:val="both"/>
      </w:pPr>
    </w:p>
    <w:p w14:paraId="5BB9C519" w14:textId="00CB34CA" w:rsidR="008A58EF" w:rsidRPr="002E1A5F" w:rsidRDefault="008A58EF" w:rsidP="006F30C1">
      <w:pPr>
        <w:pStyle w:val="Heading2"/>
        <w:numPr>
          <w:ilvl w:val="1"/>
          <w:numId w:val="28"/>
        </w:numPr>
        <w:ind w:left="720"/>
        <w:jc w:val="both"/>
        <w:rPr>
          <w:rFonts w:ascii="Arial" w:hAnsi="Arial" w:cs="Arial"/>
          <w:b/>
          <w:bCs/>
          <w:color w:val="auto"/>
          <w:sz w:val="20"/>
          <w:szCs w:val="20"/>
        </w:rPr>
      </w:pPr>
      <w:bookmarkStart w:id="64" w:name="_Toc149654113"/>
      <w:bookmarkStart w:id="65" w:name="_Toc206158617"/>
      <w:r w:rsidRPr="002E1A5F">
        <w:rPr>
          <w:rFonts w:ascii="Arial" w:hAnsi="Arial" w:cs="Arial"/>
          <w:b/>
          <w:bCs/>
          <w:color w:val="auto"/>
          <w:sz w:val="20"/>
          <w:szCs w:val="20"/>
        </w:rPr>
        <w:t>Record Retention</w:t>
      </w:r>
      <w:bookmarkEnd w:id="64"/>
      <w:bookmarkEnd w:id="65"/>
    </w:p>
    <w:p w14:paraId="4C41AD51" w14:textId="77777777" w:rsidR="008A58EF" w:rsidRPr="002E1A5F" w:rsidRDefault="008A58EF" w:rsidP="7A327B2A">
      <w:pPr>
        <w:jc w:val="both"/>
      </w:pPr>
    </w:p>
    <w:p w14:paraId="1A62B510" w14:textId="1A39ADE0" w:rsidR="008A58EF" w:rsidRPr="002E1A5F" w:rsidRDefault="008A58EF" w:rsidP="7A327B2A">
      <w:pPr>
        <w:ind w:left="720"/>
        <w:jc w:val="both"/>
      </w:pPr>
      <w:r w:rsidRPr="002E1A5F">
        <w:t>Subrecipient is required to retain records relating to this Award consistent with 2 CFR 200.334 through 200.338.</w:t>
      </w:r>
    </w:p>
    <w:p w14:paraId="517C02C2" w14:textId="77777777" w:rsidR="008A58EF" w:rsidRPr="002E1A5F" w:rsidRDefault="008A58EF" w:rsidP="7A327B2A">
      <w:pPr>
        <w:jc w:val="both"/>
      </w:pPr>
    </w:p>
    <w:p w14:paraId="01BB6539" w14:textId="3B342D47" w:rsidR="00217605" w:rsidRPr="002E1A5F" w:rsidRDefault="78BA010D" w:rsidP="006F30C1">
      <w:pPr>
        <w:pStyle w:val="Heading2"/>
        <w:numPr>
          <w:ilvl w:val="1"/>
          <w:numId w:val="28"/>
        </w:numPr>
        <w:ind w:left="720"/>
        <w:jc w:val="both"/>
        <w:rPr>
          <w:rFonts w:ascii="Arial" w:hAnsi="Arial" w:cs="Arial"/>
          <w:b/>
          <w:bCs/>
          <w:color w:val="auto"/>
          <w:sz w:val="20"/>
          <w:szCs w:val="20"/>
        </w:rPr>
      </w:pPr>
      <w:bookmarkStart w:id="66" w:name="_Toc206158618"/>
      <w:r w:rsidRPr="002E1A5F">
        <w:rPr>
          <w:rFonts w:ascii="Arial" w:eastAsia="Times New Roman" w:hAnsi="Arial" w:cs="Arial"/>
          <w:b/>
          <w:bCs/>
          <w:color w:val="auto"/>
          <w:sz w:val="20"/>
          <w:szCs w:val="20"/>
        </w:rPr>
        <w:t>Allowable costs</w:t>
      </w:r>
      <w:bookmarkEnd w:id="63"/>
      <w:bookmarkEnd w:id="66"/>
    </w:p>
    <w:p w14:paraId="0D26F195" w14:textId="77777777" w:rsidR="00217605" w:rsidRPr="002E1A5F" w:rsidRDefault="00217605" w:rsidP="00E46F7F">
      <w:pPr>
        <w:pStyle w:val="ListParagraph"/>
        <w:jc w:val="both"/>
      </w:pPr>
    </w:p>
    <w:p w14:paraId="2A0EAB9D" w14:textId="5D779E64" w:rsidR="00217605" w:rsidRPr="002E1A5F" w:rsidRDefault="47B36D66" w:rsidP="006F30C1">
      <w:pPr>
        <w:pStyle w:val="ListParagraph"/>
        <w:numPr>
          <w:ilvl w:val="0"/>
          <w:numId w:val="13"/>
        </w:numPr>
        <w:ind w:left="1080"/>
        <w:jc w:val="both"/>
      </w:pPr>
      <w:r w:rsidRPr="002E1A5F">
        <w:t xml:space="preserve">Allowable costs are determined in accordance with 2 CFR part 200 as amended by 2 CFR part 910. </w:t>
      </w:r>
      <w:r w:rsidR="78BA010D" w:rsidRPr="002E1A5F">
        <w:t xml:space="preserve">All </w:t>
      </w:r>
      <w:proofErr w:type="gramStart"/>
      <w:r w:rsidR="78BA010D" w:rsidRPr="002E1A5F">
        <w:t>expenditures</w:t>
      </w:r>
      <w:proofErr w:type="gramEnd"/>
      <w:r w:rsidR="78BA010D" w:rsidRPr="002E1A5F">
        <w:t xml:space="preserve"> must be allowable, allocable, and reasonable in accordance with the applicable federal cost principles. Pursuant to 2 CFR 910.352, the cost principles in the Federal Acquisition Regulations (48 CFR Part 31.2) apply to for-profit entities. The cost principles contained in 2 CFR Part 200, Subpart E apply to all entities other than for-profits. </w:t>
      </w:r>
      <w:r w:rsidR="312703A6" w:rsidRPr="002E1A5F">
        <w:t>Costs to support or oppose union organizing, whether directly or as an offset for other funds, are unallowable.</w:t>
      </w:r>
    </w:p>
    <w:p w14:paraId="0FDA5F46" w14:textId="77777777" w:rsidR="00217605" w:rsidRPr="002E1A5F" w:rsidRDefault="00217605" w:rsidP="00E46F7F">
      <w:pPr>
        <w:pStyle w:val="ListParagraph"/>
        <w:ind w:left="1080"/>
        <w:jc w:val="both"/>
      </w:pPr>
    </w:p>
    <w:p w14:paraId="4785C254" w14:textId="6C40BF8C" w:rsidR="00217605" w:rsidRPr="002E1A5F" w:rsidRDefault="00217605" w:rsidP="006F30C1">
      <w:pPr>
        <w:pStyle w:val="ListParagraph"/>
        <w:numPr>
          <w:ilvl w:val="0"/>
          <w:numId w:val="13"/>
        </w:numPr>
        <w:ind w:left="1080"/>
        <w:jc w:val="both"/>
      </w:pPr>
      <w:r w:rsidRPr="002E1A5F">
        <w:t xml:space="preserve">The Subrecipient must document and maintain records of all project costs, including, but not limited to, the costs paid by Federal funds, costs claimed by its </w:t>
      </w:r>
      <w:r w:rsidR="2B13FE71" w:rsidRPr="002E1A5F">
        <w:t xml:space="preserve">lower tier </w:t>
      </w:r>
      <w:r w:rsidRPr="002E1A5F">
        <w:t xml:space="preserve">subrecipients and project costs that the Subrecipient claims as cost sharing, including in-kind contributions. The </w:t>
      </w:r>
      <w:r w:rsidR="7A0DC9D5" w:rsidRPr="002E1A5F">
        <w:t>Subr</w:t>
      </w:r>
      <w:r w:rsidRPr="002E1A5F">
        <w:t>ecipient is responsible for maintaining records adequate to demonstrate that costs claimed have been incurred, are reasonable, allowable and allocable, and comply with the cost principles. Upon request, the Subrecipient is required to provide such records. Such records are subject to audit. Failure to provide adequate supporting documentation may result in a determination that those costs are unallowable.</w:t>
      </w:r>
    </w:p>
    <w:p w14:paraId="717CF40E" w14:textId="77777777" w:rsidR="00217605" w:rsidRPr="002E1A5F" w:rsidRDefault="00217605" w:rsidP="00E46F7F">
      <w:pPr>
        <w:pStyle w:val="ListParagraph"/>
        <w:ind w:left="1080"/>
        <w:jc w:val="both"/>
      </w:pPr>
    </w:p>
    <w:p w14:paraId="61ABB605" w14:textId="16DE1ED1" w:rsidR="00217605" w:rsidRPr="002E1A5F" w:rsidRDefault="00FB0769" w:rsidP="006F30C1">
      <w:pPr>
        <w:pStyle w:val="ListParagraph"/>
        <w:numPr>
          <w:ilvl w:val="0"/>
          <w:numId w:val="13"/>
        </w:numPr>
        <w:ind w:left="1080"/>
        <w:jc w:val="both"/>
      </w:pPr>
      <w:r w:rsidRPr="002E1A5F">
        <w:t xml:space="preserve">Payments made for costs determined to be unallowable by either DOE, cognizant agency for indirect costs, or pass-through entity, either as direct or indirect costs, must be refunded (including interest) to the Federal Government in accordance with instructions from the Federal agency that determined the costs are unallowable unless Federal statute or regulation directs otherwise. </w:t>
      </w:r>
      <w:r>
        <w:t>See also 2 CFR 200.300 through 200.309</w:t>
      </w:r>
      <w:r w:rsidR="00217605">
        <w:t>.</w:t>
      </w:r>
    </w:p>
    <w:p w14:paraId="1D518AEA" w14:textId="77777777" w:rsidR="00217605" w:rsidRPr="002E1A5F" w:rsidRDefault="00217605" w:rsidP="00E46F7F">
      <w:pPr>
        <w:jc w:val="both"/>
      </w:pPr>
    </w:p>
    <w:p w14:paraId="57F50F83" w14:textId="28514A99" w:rsidR="003A38BC" w:rsidRPr="002E1A5F" w:rsidRDefault="003A38BC" w:rsidP="00AF79DC">
      <w:pPr>
        <w:pStyle w:val="Heading2"/>
        <w:numPr>
          <w:ilvl w:val="1"/>
          <w:numId w:val="28"/>
        </w:numPr>
        <w:ind w:left="720"/>
        <w:jc w:val="both"/>
        <w:rPr>
          <w:rFonts w:ascii="Arial" w:hAnsi="Arial" w:cs="Arial"/>
          <w:b/>
          <w:bCs/>
          <w:color w:val="auto"/>
          <w:sz w:val="20"/>
          <w:szCs w:val="20"/>
        </w:rPr>
      </w:pPr>
      <w:bookmarkStart w:id="67" w:name="_Toc206158619"/>
      <w:bookmarkStart w:id="68" w:name="_Toc149654127"/>
      <w:r w:rsidRPr="002E1A5F">
        <w:rPr>
          <w:rFonts w:ascii="Arial" w:hAnsi="Arial" w:cs="Arial"/>
          <w:b/>
          <w:bCs/>
          <w:color w:val="auto"/>
          <w:sz w:val="20"/>
          <w:szCs w:val="20"/>
        </w:rPr>
        <w:t>Indirect Costs</w:t>
      </w:r>
      <w:bookmarkEnd w:id="67"/>
    </w:p>
    <w:p w14:paraId="13CFCB06" w14:textId="77777777" w:rsidR="003A38BC" w:rsidRPr="002E1A5F" w:rsidRDefault="003A38BC" w:rsidP="7A327B2A">
      <w:pPr>
        <w:jc w:val="both"/>
      </w:pPr>
    </w:p>
    <w:p w14:paraId="038322C7" w14:textId="3FC773A4" w:rsidR="00217605" w:rsidRPr="002E1A5F" w:rsidRDefault="003A38BC" w:rsidP="7A327B2A">
      <w:pPr>
        <w:ind w:left="720"/>
        <w:jc w:val="both"/>
      </w:pPr>
      <w:r>
        <w:t>Subrecipient’s indirect costs must be appropriately managed, be allowable, and comply with the requirements of the Award and 2 CFR Part 200 as amended by 2 CFR Part 910.</w:t>
      </w:r>
      <w:bookmarkEnd w:id="68"/>
    </w:p>
    <w:p w14:paraId="3967915D" w14:textId="7F5DF0EB" w:rsidR="00217605" w:rsidRPr="002E1A5F" w:rsidRDefault="00217605" w:rsidP="00E46F7F">
      <w:pPr>
        <w:pStyle w:val="ListParagraph"/>
        <w:jc w:val="both"/>
      </w:pPr>
    </w:p>
    <w:p w14:paraId="7758F46E" w14:textId="77777777" w:rsidR="003A0CAD" w:rsidRPr="002E1A5F" w:rsidRDefault="003A0CAD" w:rsidP="7A327B2A">
      <w:pPr>
        <w:pStyle w:val="Heading2"/>
        <w:numPr>
          <w:ilvl w:val="1"/>
          <w:numId w:val="28"/>
        </w:numPr>
        <w:ind w:left="720"/>
        <w:jc w:val="both"/>
        <w:rPr>
          <w:rFonts w:ascii="Arial" w:hAnsi="Arial" w:cs="Arial"/>
          <w:b/>
          <w:bCs/>
          <w:color w:val="auto"/>
          <w:sz w:val="20"/>
          <w:szCs w:val="20"/>
        </w:rPr>
      </w:pPr>
      <w:bookmarkStart w:id="69" w:name="_Toc149654219"/>
      <w:bookmarkStart w:id="70" w:name="_Toc206158620"/>
      <w:r w:rsidRPr="002E1A5F">
        <w:rPr>
          <w:rFonts w:ascii="Arial" w:hAnsi="Arial" w:cs="Arial"/>
          <w:b/>
          <w:bCs/>
          <w:color w:val="auto"/>
          <w:sz w:val="20"/>
          <w:szCs w:val="20"/>
        </w:rPr>
        <w:t>Property Standards</w:t>
      </w:r>
      <w:bookmarkEnd w:id="69"/>
      <w:bookmarkEnd w:id="70"/>
      <w:r w:rsidRPr="002E1A5F">
        <w:rPr>
          <w:rFonts w:ascii="Arial" w:hAnsi="Arial" w:cs="Arial"/>
          <w:b/>
          <w:bCs/>
          <w:color w:val="auto"/>
          <w:sz w:val="20"/>
          <w:szCs w:val="20"/>
        </w:rPr>
        <w:t xml:space="preserve"> </w:t>
      </w:r>
    </w:p>
    <w:p w14:paraId="2AA60F75" w14:textId="77777777" w:rsidR="003A0CAD" w:rsidRPr="002E1A5F" w:rsidRDefault="003A0CAD" w:rsidP="7A327B2A">
      <w:pPr>
        <w:pStyle w:val="NoSpacing"/>
        <w:ind w:left="810"/>
        <w:jc w:val="both"/>
      </w:pPr>
    </w:p>
    <w:p w14:paraId="3FABB9C5" w14:textId="77777777" w:rsidR="003A0CAD" w:rsidRPr="002E1A5F" w:rsidRDefault="003A0CAD" w:rsidP="7A327B2A">
      <w:pPr>
        <w:pStyle w:val="NoSpacing"/>
        <w:ind w:left="810"/>
        <w:jc w:val="both"/>
        <w:rPr>
          <w:rFonts w:eastAsia="Arial"/>
          <w:color w:val="000000" w:themeColor="text1"/>
        </w:rPr>
      </w:pPr>
      <w:r w:rsidRPr="002E1A5F">
        <w:rPr>
          <w:rFonts w:eastAsia="Arial"/>
          <w:color w:val="000000" w:themeColor="text1"/>
        </w:rPr>
        <w:t>See 2 CFR 200.310 through 200.316 for requirements. Also see 2 CFR 910.360 for additional requirements for real property and equipment for For-Profit recipients.</w:t>
      </w:r>
    </w:p>
    <w:p w14:paraId="3A02923C" w14:textId="77777777" w:rsidR="003A0CAD" w:rsidRPr="002E1A5F" w:rsidRDefault="003A0CAD" w:rsidP="7A327B2A">
      <w:pPr>
        <w:pStyle w:val="NoSpacing"/>
        <w:ind w:left="810"/>
        <w:jc w:val="both"/>
        <w:rPr>
          <w:rFonts w:eastAsia="Arial"/>
          <w:color w:val="000000" w:themeColor="text1"/>
        </w:rPr>
      </w:pPr>
    </w:p>
    <w:p w14:paraId="050CED4B" w14:textId="77777777" w:rsidR="00440F1E" w:rsidRPr="002E1A5F" w:rsidRDefault="00440F1E" w:rsidP="00440F1E">
      <w:pPr>
        <w:pStyle w:val="Heading2"/>
        <w:numPr>
          <w:ilvl w:val="1"/>
          <w:numId w:val="28"/>
        </w:numPr>
        <w:ind w:left="720"/>
        <w:jc w:val="both"/>
        <w:rPr>
          <w:rFonts w:ascii="Arial" w:hAnsi="Arial" w:cs="Arial"/>
          <w:b/>
          <w:bCs/>
          <w:color w:val="auto"/>
          <w:sz w:val="20"/>
          <w:szCs w:val="20"/>
        </w:rPr>
      </w:pPr>
      <w:bookmarkStart w:id="71" w:name="_Toc149654220"/>
      <w:bookmarkStart w:id="72" w:name="_Toc206158621"/>
      <w:r w:rsidRPr="002E1A5F">
        <w:rPr>
          <w:rFonts w:ascii="Arial" w:hAnsi="Arial" w:cs="Arial"/>
          <w:b/>
          <w:bCs/>
          <w:color w:val="auto"/>
          <w:sz w:val="20"/>
          <w:szCs w:val="20"/>
        </w:rPr>
        <w:t>Insurance Coverage</w:t>
      </w:r>
      <w:bookmarkEnd w:id="71"/>
      <w:bookmarkEnd w:id="72"/>
    </w:p>
    <w:p w14:paraId="5BF800BB" w14:textId="77777777" w:rsidR="00440F1E" w:rsidRPr="002E1A5F" w:rsidRDefault="00440F1E" w:rsidP="00440F1E">
      <w:pPr>
        <w:pStyle w:val="ListParagraph"/>
        <w:jc w:val="both"/>
      </w:pPr>
    </w:p>
    <w:p w14:paraId="5440DF66" w14:textId="77777777" w:rsidR="00440F1E" w:rsidRPr="002E1A5F" w:rsidRDefault="00440F1E" w:rsidP="00440F1E">
      <w:pPr>
        <w:ind w:left="720"/>
        <w:jc w:val="both"/>
        <w:rPr>
          <w:rStyle w:val="Heading2Char"/>
          <w:rFonts w:ascii="Arial" w:eastAsia="Calibri Light" w:hAnsi="Arial" w:cs="Arial"/>
          <w:color w:val="D13438"/>
          <w:sz w:val="20"/>
          <w:szCs w:val="20"/>
          <w:u w:val="single"/>
        </w:rPr>
      </w:pPr>
      <w:r w:rsidRPr="002E1A5F">
        <w:rPr>
          <w:rFonts w:eastAsia="Calibri"/>
        </w:rPr>
        <w:lastRenderedPageBreak/>
        <w:t>See 2 CFR 200.310 for insurance requirements for real property and equipment acquired or improved with Federal funds. Also see 2 CFR 910.360(d) for additional requirements for real property and equipment for For-Profit recipients.</w:t>
      </w:r>
    </w:p>
    <w:p w14:paraId="57C7213F" w14:textId="77777777" w:rsidR="00440F1E" w:rsidRPr="002E1A5F" w:rsidRDefault="00440F1E" w:rsidP="00440F1E">
      <w:pPr>
        <w:pStyle w:val="ListParagraph"/>
        <w:jc w:val="both"/>
        <w:rPr>
          <w:rFonts w:eastAsia="Calibri"/>
        </w:rPr>
      </w:pPr>
    </w:p>
    <w:p w14:paraId="6E8861CD" w14:textId="77777777" w:rsidR="00440F1E" w:rsidRPr="002E1A5F" w:rsidRDefault="00440F1E" w:rsidP="00440F1E">
      <w:pPr>
        <w:pStyle w:val="Heading2"/>
        <w:numPr>
          <w:ilvl w:val="1"/>
          <w:numId w:val="28"/>
        </w:numPr>
        <w:ind w:left="720"/>
        <w:jc w:val="both"/>
        <w:rPr>
          <w:rFonts w:ascii="Arial" w:hAnsi="Arial" w:cs="Arial"/>
          <w:b/>
          <w:bCs/>
          <w:color w:val="auto"/>
          <w:sz w:val="20"/>
          <w:szCs w:val="20"/>
        </w:rPr>
      </w:pPr>
      <w:bookmarkStart w:id="73" w:name="_Toc149654218"/>
      <w:bookmarkStart w:id="74" w:name="_Toc206158622"/>
      <w:r w:rsidRPr="002E1A5F">
        <w:rPr>
          <w:rFonts w:ascii="Arial" w:hAnsi="Arial" w:cs="Arial"/>
          <w:b/>
          <w:bCs/>
          <w:color w:val="auto"/>
          <w:sz w:val="20"/>
          <w:szCs w:val="20"/>
        </w:rPr>
        <w:t>Equipment</w:t>
      </w:r>
      <w:bookmarkEnd w:id="73"/>
      <w:bookmarkEnd w:id="74"/>
    </w:p>
    <w:p w14:paraId="011CFA8D" w14:textId="77777777" w:rsidR="00440F1E" w:rsidRPr="002E1A5F" w:rsidRDefault="00440F1E" w:rsidP="00440F1E">
      <w:pPr>
        <w:jc w:val="both"/>
      </w:pPr>
    </w:p>
    <w:p w14:paraId="71EC1876" w14:textId="788BA90C" w:rsidR="00152488" w:rsidRPr="002263C8" w:rsidRDefault="00440F1E" w:rsidP="00440F1E">
      <w:pPr>
        <w:pStyle w:val="ListParagraph"/>
        <w:numPr>
          <w:ilvl w:val="0"/>
          <w:numId w:val="4"/>
        </w:numPr>
        <w:ind w:left="1080"/>
        <w:jc w:val="both"/>
        <w:rPr>
          <w:rFonts w:eastAsia="Arial"/>
          <w:color w:val="000000" w:themeColor="text1"/>
        </w:rPr>
      </w:pPr>
      <w:r w:rsidRPr="002E1A5F">
        <w:rPr>
          <w:rFonts w:eastAsia="Arial"/>
        </w:rPr>
        <w:t>Subject to the conditions provided in 2 CFR 200.313</w:t>
      </w:r>
      <w:r w:rsidR="0057222A">
        <w:rPr>
          <w:rFonts w:eastAsia="Arial"/>
        </w:rPr>
        <w:t xml:space="preserve"> and 2 CFR 910.360</w:t>
      </w:r>
      <w:r w:rsidRPr="002E1A5F">
        <w:rPr>
          <w:rFonts w:eastAsia="Arial"/>
        </w:rPr>
        <w:t xml:space="preserve">, title to equipment (property) acquired under a </w:t>
      </w:r>
      <w:proofErr w:type="gramStart"/>
      <w:r w:rsidRPr="002E1A5F">
        <w:rPr>
          <w:rFonts w:eastAsia="Arial"/>
        </w:rPr>
        <w:t>Federal</w:t>
      </w:r>
      <w:proofErr w:type="gramEnd"/>
      <w:r w:rsidRPr="002E1A5F">
        <w:rPr>
          <w:rFonts w:eastAsia="Arial"/>
        </w:rPr>
        <w:t xml:space="preserve"> award will vest conditionally with the non-Federal entity. </w:t>
      </w:r>
    </w:p>
    <w:p w14:paraId="37802CC4" w14:textId="77777777" w:rsidR="00152488" w:rsidRPr="002263C8" w:rsidRDefault="00152488" w:rsidP="002263C8">
      <w:pPr>
        <w:pStyle w:val="ListParagraph"/>
        <w:ind w:left="1080"/>
        <w:jc w:val="both"/>
        <w:rPr>
          <w:rFonts w:eastAsia="Arial"/>
          <w:color w:val="000000" w:themeColor="text1"/>
        </w:rPr>
      </w:pPr>
    </w:p>
    <w:p w14:paraId="4FC4971D" w14:textId="6FB2B9C8" w:rsidR="00440F1E" w:rsidRPr="002E1A5F" w:rsidRDefault="00440F1E" w:rsidP="00440F1E">
      <w:pPr>
        <w:pStyle w:val="ListParagraph"/>
        <w:numPr>
          <w:ilvl w:val="0"/>
          <w:numId w:val="4"/>
        </w:numPr>
        <w:ind w:left="1080"/>
        <w:jc w:val="both"/>
        <w:rPr>
          <w:rFonts w:eastAsia="Arial"/>
          <w:color w:val="000000" w:themeColor="text1"/>
        </w:rPr>
      </w:pPr>
      <w:r w:rsidRPr="002E1A5F">
        <w:rPr>
          <w:rFonts w:eastAsia="Arial"/>
        </w:rPr>
        <w:t xml:space="preserve">The non-Federal entity cannot </w:t>
      </w:r>
      <w:r w:rsidRPr="002466DA">
        <w:rPr>
          <w:rFonts w:eastAsia="Arial"/>
        </w:rPr>
        <w:t xml:space="preserve">encumber this property </w:t>
      </w:r>
      <w:r w:rsidR="007836ED" w:rsidRPr="002466DA">
        <w:rPr>
          <w:rFonts w:eastAsia="Arial"/>
        </w:rPr>
        <w:t xml:space="preserve">or permit </w:t>
      </w:r>
      <w:r w:rsidR="00D3401A" w:rsidRPr="002466DA">
        <w:rPr>
          <w:rFonts w:eastAsia="Arial"/>
        </w:rPr>
        <w:t>encumbrance</w:t>
      </w:r>
      <w:r w:rsidR="007836ED" w:rsidRPr="002466DA">
        <w:rPr>
          <w:rFonts w:eastAsia="Arial"/>
        </w:rPr>
        <w:t xml:space="preserve"> without prior written approval by the DOE Contracting Officer </w:t>
      </w:r>
      <w:r w:rsidRPr="002466DA">
        <w:rPr>
          <w:rFonts w:eastAsia="Arial"/>
        </w:rPr>
        <w:t>and must</w:t>
      </w:r>
      <w:r w:rsidRPr="002E1A5F">
        <w:rPr>
          <w:rFonts w:eastAsia="Arial"/>
        </w:rPr>
        <w:t xml:space="preserve"> follow the requirements of 2 CFR 200.313 before disposing of the property.</w:t>
      </w:r>
    </w:p>
    <w:p w14:paraId="43E60D9A" w14:textId="77777777" w:rsidR="00440F1E" w:rsidRPr="002E1A5F" w:rsidRDefault="00440F1E" w:rsidP="00440F1E">
      <w:pPr>
        <w:jc w:val="both"/>
        <w:rPr>
          <w:color w:val="000000" w:themeColor="text1"/>
        </w:rPr>
      </w:pPr>
    </w:p>
    <w:p w14:paraId="6BA4989F" w14:textId="77777777" w:rsidR="00440F1E" w:rsidRPr="002E1A5F" w:rsidRDefault="00440F1E" w:rsidP="00440F1E">
      <w:pPr>
        <w:pStyle w:val="ListParagraph"/>
        <w:numPr>
          <w:ilvl w:val="0"/>
          <w:numId w:val="4"/>
        </w:numPr>
        <w:ind w:left="1080"/>
        <w:jc w:val="both"/>
        <w:rPr>
          <w:rFonts w:eastAsia="Arial"/>
          <w:color w:val="000000" w:themeColor="text1"/>
        </w:rPr>
      </w:pPr>
      <w:r w:rsidRPr="002E1A5F">
        <w:rPr>
          <w:rFonts w:eastAsia="Arial"/>
        </w:rPr>
        <w:t xml:space="preserve">States must use equipment acquired under a </w:t>
      </w:r>
      <w:proofErr w:type="gramStart"/>
      <w:r w:rsidRPr="002E1A5F">
        <w:rPr>
          <w:rFonts w:eastAsia="Arial"/>
        </w:rPr>
        <w:t>Federal</w:t>
      </w:r>
      <w:proofErr w:type="gramEnd"/>
      <w:r w:rsidRPr="002E1A5F">
        <w:rPr>
          <w:rFonts w:eastAsia="Arial"/>
        </w:rPr>
        <w:t xml:space="preserve"> award by the state in accordance with state laws and procedures. </w:t>
      </w:r>
    </w:p>
    <w:p w14:paraId="247FF723" w14:textId="77777777" w:rsidR="00440F1E" w:rsidRPr="002E1A5F" w:rsidRDefault="00440F1E" w:rsidP="00440F1E">
      <w:pPr>
        <w:jc w:val="both"/>
        <w:rPr>
          <w:color w:val="000000" w:themeColor="text1"/>
        </w:rPr>
      </w:pPr>
    </w:p>
    <w:p w14:paraId="5C38B86E" w14:textId="77777777" w:rsidR="00440F1E" w:rsidRPr="002E1A5F" w:rsidRDefault="00440F1E" w:rsidP="00440F1E">
      <w:pPr>
        <w:pStyle w:val="ListParagraph"/>
        <w:numPr>
          <w:ilvl w:val="0"/>
          <w:numId w:val="4"/>
        </w:numPr>
        <w:ind w:left="1080"/>
        <w:jc w:val="both"/>
        <w:rPr>
          <w:rFonts w:eastAsia="Arial"/>
          <w:color w:val="000000" w:themeColor="text1"/>
        </w:rPr>
      </w:pPr>
      <w:r w:rsidRPr="002E1A5F">
        <w:rPr>
          <w:rFonts w:eastAsia="Arial"/>
          <w:color w:val="000000" w:themeColor="text1"/>
        </w:rPr>
        <w:t xml:space="preserve">Equipment must be used by the non-Federal entity in the program or project for which it was acquired </w:t>
      </w:r>
      <w:proofErr w:type="gramStart"/>
      <w:r w:rsidRPr="002E1A5F">
        <w:rPr>
          <w:rFonts w:eastAsia="Arial"/>
          <w:color w:val="000000" w:themeColor="text1"/>
        </w:rPr>
        <w:t>as long as</w:t>
      </w:r>
      <w:proofErr w:type="gramEnd"/>
      <w:r w:rsidRPr="002E1A5F">
        <w:rPr>
          <w:rFonts w:eastAsia="Arial"/>
          <w:color w:val="000000" w:themeColor="text1"/>
        </w:rPr>
        <w:t xml:space="preserve"> it is needed, </w:t>
      </w:r>
      <w:proofErr w:type="gramStart"/>
      <w:r w:rsidRPr="002E1A5F">
        <w:rPr>
          <w:rFonts w:eastAsia="Arial"/>
          <w:color w:val="000000" w:themeColor="text1"/>
        </w:rPr>
        <w:t>whether or not</w:t>
      </w:r>
      <w:proofErr w:type="gramEnd"/>
      <w:r w:rsidRPr="002E1A5F">
        <w:rPr>
          <w:rFonts w:eastAsia="Arial"/>
          <w:color w:val="000000" w:themeColor="text1"/>
        </w:rPr>
        <w:t xml:space="preserve"> the project or program continues to be supported by the Federal award. When no longer needed for the originally authorized purpose, the equipment may be used by programs supported by DOE in the priority order specified in 2 CFR 200.313(c)(1)(i) and (ii).</w:t>
      </w:r>
    </w:p>
    <w:p w14:paraId="07082F14" w14:textId="77777777" w:rsidR="00440F1E" w:rsidRPr="002E1A5F" w:rsidRDefault="00440F1E" w:rsidP="00440F1E">
      <w:pPr>
        <w:jc w:val="both"/>
        <w:rPr>
          <w:color w:val="000000" w:themeColor="text1"/>
        </w:rPr>
      </w:pPr>
    </w:p>
    <w:p w14:paraId="6002C0F2" w14:textId="77777777" w:rsidR="00440F1E" w:rsidRPr="002E1A5F" w:rsidRDefault="00440F1E" w:rsidP="00440F1E">
      <w:pPr>
        <w:pStyle w:val="ListParagraph"/>
        <w:numPr>
          <w:ilvl w:val="0"/>
          <w:numId w:val="4"/>
        </w:numPr>
        <w:ind w:left="1080"/>
        <w:jc w:val="both"/>
        <w:rPr>
          <w:rFonts w:eastAsia="Arial"/>
          <w:color w:val="000000" w:themeColor="text1"/>
        </w:rPr>
      </w:pPr>
      <w:r w:rsidRPr="002E1A5F">
        <w:rPr>
          <w:rFonts w:eastAsia="Arial"/>
          <w:color w:val="000000" w:themeColor="text1"/>
        </w:rPr>
        <w:t>Management requirements, including inventory and control systems, for equipment are provided in 2 CFR 200.313(d).</w:t>
      </w:r>
    </w:p>
    <w:p w14:paraId="64B0E3F8" w14:textId="77777777" w:rsidR="00440F1E" w:rsidRPr="002E1A5F" w:rsidRDefault="00440F1E" w:rsidP="00440F1E">
      <w:pPr>
        <w:jc w:val="both"/>
        <w:rPr>
          <w:color w:val="000000" w:themeColor="text1"/>
        </w:rPr>
      </w:pPr>
    </w:p>
    <w:p w14:paraId="71269C0C" w14:textId="3160B11E" w:rsidR="00440F1E" w:rsidRPr="00D3401A" w:rsidRDefault="00440F1E" w:rsidP="00440F1E">
      <w:pPr>
        <w:pStyle w:val="ListParagraph"/>
        <w:numPr>
          <w:ilvl w:val="0"/>
          <w:numId w:val="4"/>
        </w:numPr>
        <w:ind w:left="1080"/>
        <w:jc w:val="both"/>
        <w:rPr>
          <w:rFonts w:eastAsia="Arial"/>
          <w:color w:val="000000" w:themeColor="text1"/>
        </w:rPr>
      </w:pPr>
      <w:r w:rsidRPr="002E1A5F">
        <w:rPr>
          <w:rFonts w:eastAsia="Arial"/>
          <w:color w:val="000000" w:themeColor="text1"/>
        </w:rPr>
        <w:t xml:space="preserve">When equipment acquired under a </w:t>
      </w:r>
      <w:proofErr w:type="gramStart"/>
      <w:r w:rsidRPr="002E1A5F">
        <w:rPr>
          <w:rFonts w:eastAsia="Arial"/>
          <w:color w:val="000000" w:themeColor="text1"/>
        </w:rPr>
        <w:t>Federal</w:t>
      </w:r>
      <w:proofErr w:type="gramEnd"/>
      <w:r w:rsidRPr="002E1A5F">
        <w:rPr>
          <w:rFonts w:eastAsia="Arial"/>
          <w:color w:val="000000" w:themeColor="text1"/>
        </w:rPr>
        <w:t xml:space="preserve"> award is no longer needed, the non-Federal entity must obtain disposition instructions from DOE or CEC.</w:t>
      </w:r>
      <w:r w:rsidR="00D3401A">
        <w:rPr>
          <w:rFonts w:eastAsiaTheme="minorEastAsia" w:cstheme="minorHAnsi"/>
          <w:sz w:val="22"/>
          <w:szCs w:val="22"/>
        </w:rPr>
        <w:t xml:space="preserve"> </w:t>
      </w:r>
      <w:r w:rsidR="00D3401A" w:rsidRPr="00845BD1">
        <w:rPr>
          <w:rFonts w:eastAsiaTheme="minorEastAsia" w:cstheme="minorHAnsi"/>
        </w:rPr>
        <w:t>However, pursuant to the FY23 Consolidated Appropriations Act (Pub. L. No. 117-328), Division D, Title III, Section 309, the Secretary</w:t>
      </w:r>
      <w:r w:rsidR="006B6C16" w:rsidRPr="00845BD1">
        <w:rPr>
          <w:rFonts w:eastAsiaTheme="minorEastAsia" w:cstheme="minorHAnsi"/>
        </w:rPr>
        <w:t xml:space="preserve"> of Energy</w:t>
      </w:r>
      <w:r w:rsidR="00D3401A" w:rsidRPr="00845BD1">
        <w:rPr>
          <w:rFonts w:eastAsiaTheme="minorEastAsia" w:cstheme="minorHAnsi"/>
        </w:rPr>
        <w:t xml:space="preserve">, or a designee of the Secretary </w:t>
      </w:r>
      <w:r w:rsidR="006B6C16" w:rsidRPr="006B6C16">
        <w:rPr>
          <w:rFonts w:eastAsiaTheme="minorEastAsia" w:cstheme="minorHAnsi"/>
        </w:rPr>
        <w:t xml:space="preserve">of </w:t>
      </w:r>
      <w:r w:rsidR="006B6C16" w:rsidRPr="008C4CB8">
        <w:rPr>
          <w:rFonts w:eastAsiaTheme="minorEastAsia" w:cstheme="minorHAnsi"/>
        </w:rPr>
        <w:t xml:space="preserve">Energy </w:t>
      </w:r>
      <w:r w:rsidR="00D3401A" w:rsidRPr="00845BD1">
        <w:rPr>
          <w:rFonts w:eastAsiaTheme="minorEastAsia" w:cstheme="minorHAnsi"/>
        </w:rPr>
        <w:t>may, at their discretion, vest unconditional title or other property interests acquired under this project regardless of the fair market value of the property at the end of the award period.</w:t>
      </w:r>
    </w:p>
    <w:p w14:paraId="713D7B55" w14:textId="77777777" w:rsidR="00440F1E" w:rsidRPr="002E1A5F" w:rsidRDefault="00440F1E" w:rsidP="00440F1E">
      <w:pPr>
        <w:jc w:val="both"/>
      </w:pPr>
    </w:p>
    <w:p w14:paraId="5EB15933" w14:textId="0531D8D9" w:rsidR="00440F1E" w:rsidRPr="002E1A5F" w:rsidRDefault="00D3401A" w:rsidP="00440F1E">
      <w:pPr>
        <w:pStyle w:val="ListParagraph"/>
        <w:numPr>
          <w:ilvl w:val="0"/>
          <w:numId w:val="4"/>
        </w:numPr>
        <w:ind w:left="1080"/>
        <w:jc w:val="both"/>
      </w:pPr>
      <w:r>
        <w:t xml:space="preserve">Subject to the vesting of any property </w:t>
      </w:r>
      <w:r w:rsidR="00431F8F">
        <w:t>pursuant</w:t>
      </w:r>
      <w:r>
        <w:t xml:space="preserve"> to Section 309 of the </w:t>
      </w:r>
      <w:r w:rsidRPr="006C63CE">
        <w:rPr>
          <w:rFonts w:eastAsiaTheme="minorEastAsia" w:cstheme="minorHAnsi"/>
        </w:rPr>
        <w:t>FY23 Consolidated Appropriations Act (Pub. L. No. 117-328)</w:t>
      </w:r>
      <w:r>
        <w:rPr>
          <w:rFonts w:eastAsiaTheme="minorEastAsia" w:cstheme="minorHAnsi"/>
        </w:rPr>
        <w:t>,</w:t>
      </w:r>
      <w:r w:rsidRPr="006C63CE">
        <w:rPr>
          <w:rFonts w:eastAsiaTheme="minorEastAsia" w:cstheme="minorHAnsi"/>
        </w:rPr>
        <w:t xml:space="preserve"> Division D, Title III, </w:t>
      </w:r>
      <w:r w:rsidR="00431F8F">
        <w:t>d</w:t>
      </w:r>
      <w:r w:rsidR="00440F1E" w:rsidRPr="002E1A5F">
        <w:t>isposition will be made as follows: (a) items of equipment with a current fair market value of $5,000 or less may be retained, sold, or otherwise disposed of with no further obligation to DOE; (b) Non-Federal entity may retain title or sell the equipment after compensating DOE as described in 2 CFR 200.313(e)(2); or (c) transfer title to DOE or to an eligible third Party as specified in CFR 200.313(e)(3).</w:t>
      </w:r>
    </w:p>
    <w:p w14:paraId="54B7D3F7" w14:textId="77777777" w:rsidR="00440F1E" w:rsidRPr="002E1A5F" w:rsidRDefault="00440F1E" w:rsidP="00440F1E">
      <w:pPr>
        <w:jc w:val="both"/>
        <w:rPr>
          <w:color w:val="000000" w:themeColor="text1"/>
        </w:rPr>
      </w:pPr>
    </w:p>
    <w:p w14:paraId="2B4B8DCA" w14:textId="5622B4D8" w:rsidR="00440F1E" w:rsidRPr="002E1A5F" w:rsidRDefault="00440F1E" w:rsidP="002263C8">
      <w:pPr>
        <w:pStyle w:val="ListParagraph"/>
        <w:numPr>
          <w:ilvl w:val="0"/>
          <w:numId w:val="4"/>
        </w:numPr>
        <w:ind w:left="1080"/>
        <w:jc w:val="both"/>
        <w:rPr>
          <w:color w:val="000000" w:themeColor="text1"/>
        </w:rPr>
      </w:pPr>
      <w:r w:rsidRPr="002E1A5F">
        <w:rPr>
          <w:rFonts w:eastAsia="Arial"/>
          <w:color w:val="000000" w:themeColor="text1"/>
        </w:rPr>
        <w:t>See 2 CFR 200.439 Equipment and other capital expenditures</w:t>
      </w:r>
      <w:r w:rsidR="00E14608" w:rsidRPr="002E1A5F">
        <w:rPr>
          <w:rFonts w:eastAsia="Arial"/>
          <w:color w:val="000000" w:themeColor="text1"/>
        </w:rPr>
        <w:t xml:space="preserve">. </w:t>
      </w:r>
    </w:p>
    <w:p w14:paraId="0C8B36CF" w14:textId="77777777" w:rsidR="00440F1E" w:rsidRPr="002E1A5F" w:rsidRDefault="00440F1E" w:rsidP="00440F1E">
      <w:pPr>
        <w:jc w:val="both"/>
        <w:rPr>
          <w:color w:val="000000" w:themeColor="text1"/>
        </w:rPr>
      </w:pPr>
    </w:p>
    <w:p w14:paraId="53C24E0F" w14:textId="1C10F0D6" w:rsidR="00440F1E" w:rsidRPr="002E1A5F" w:rsidRDefault="00440F1E" w:rsidP="00440F1E">
      <w:pPr>
        <w:pStyle w:val="ListParagraph"/>
        <w:numPr>
          <w:ilvl w:val="0"/>
          <w:numId w:val="4"/>
        </w:numPr>
        <w:ind w:left="1080"/>
        <w:jc w:val="both"/>
        <w:rPr>
          <w:rFonts w:eastAsia="Arial"/>
        </w:rPr>
      </w:pPr>
      <w:r w:rsidRPr="002E1A5F">
        <w:rPr>
          <w:rFonts w:eastAsia="Arial"/>
        </w:rPr>
        <w:t xml:space="preserve">See 2 CFR Part 910.360 for </w:t>
      </w:r>
      <w:r w:rsidR="002047C5">
        <w:rPr>
          <w:rFonts w:eastAsia="Arial"/>
        </w:rPr>
        <w:t>supplemental</w:t>
      </w:r>
      <w:r w:rsidR="002047C5" w:rsidRPr="002E1A5F">
        <w:rPr>
          <w:rFonts w:eastAsia="Arial"/>
        </w:rPr>
        <w:t xml:space="preserve"> </w:t>
      </w:r>
      <w:r w:rsidRPr="002E1A5F">
        <w:rPr>
          <w:rFonts w:eastAsia="Arial"/>
        </w:rPr>
        <w:t xml:space="preserve">requirements for Equipment for </w:t>
      </w:r>
      <w:r w:rsidR="002047C5">
        <w:rPr>
          <w:rFonts w:eastAsia="Arial"/>
        </w:rPr>
        <w:t>f</w:t>
      </w:r>
      <w:r w:rsidRPr="002E1A5F">
        <w:rPr>
          <w:rFonts w:eastAsia="Arial"/>
        </w:rPr>
        <w:t>or-</w:t>
      </w:r>
      <w:r w:rsidR="002047C5">
        <w:rPr>
          <w:rFonts w:eastAsia="Arial"/>
        </w:rPr>
        <w:t>p</w:t>
      </w:r>
      <w:r w:rsidRPr="002E1A5F">
        <w:rPr>
          <w:rFonts w:eastAsia="Arial"/>
        </w:rPr>
        <w:t>rofit recipients.</w:t>
      </w:r>
    </w:p>
    <w:p w14:paraId="60396B64" w14:textId="77777777" w:rsidR="00440F1E" w:rsidRPr="002E1A5F" w:rsidRDefault="00440F1E" w:rsidP="00440F1E">
      <w:pPr>
        <w:ind w:left="720"/>
        <w:jc w:val="both"/>
      </w:pPr>
    </w:p>
    <w:p w14:paraId="18BFC23B" w14:textId="77777777" w:rsidR="00AF0C8A" w:rsidRPr="002E1A5F" w:rsidRDefault="00AF0C8A" w:rsidP="00AF0C8A">
      <w:pPr>
        <w:pStyle w:val="Heading2"/>
        <w:numPr>
          <w:ilvl w:val="1"/>
          <w:numId w:val="28"/>
        </w:numPr>
        <w:ind w:left="720"/>
        <w:jc w:val="both"/>
        <w:rPr>
          <w:rFonts w:ascii="Arial" w:hAnsi="Arial" w:cs="Arial"/>
          <w:b/>
          <w:bCs/>
          <w:color w:val="auto"/>
          <w:sz w:val="20"/>
          <w:szCs w:val="20"/>
        </w:rPr>
      </w:pPr>
      <w:bookmarkStart w:id="75" w:name="_Toc149654224"/>
      <w:bookmarkStart w:id="76" w:name="_Toc206158623"/>
      <w:bookmarkStart w:id="77" w:name="_Toc149654227"/>
      <w:r w:rsidRPr="002E1A5F">
        <w:rPr>
          <w:rFonts w:ascii="Arial" w:hAnsi="Arial" w:cs="Arial"/>
          <w:b/>
          <w:bCs/>
          <w:color w:val="auto"/>
          <w:sz w:val="20"/>
          <w:szCs w:val="20"/>
        </w:rPr>
        <w:t>Supplies</w:t>
      </w:r>
      <w:bookmarkEnd w:id="75"/>
      <w:bookmarkEnd w:id="76"/>
    </w:p>
    <w:p w14:paraId="0F8B055D" w14:textId="77777777" w:rsidR="00AF0C8A" w:rsidRPr="002E1A5F" w:rsidRDefault="00AF0C8A" w:rsidP="00AF0C8A">
      <w:pPr>
        <w:pStyle w:val="ListParagraph"/>
        <w:jc w:val="both"/>
      </w:pPr>
    </w:p>
    <w:p w14:paraId="63596F8A" w14:textId="77777777" w:rsidR="00AF0C8A" w:rsidRPr="002E1A5F" w:rsidRDefault="00AF0C8A" w:rsidP="00AF0C8A">
      <w:pPr>
        <w:ind w:left="720"/>
        <w:jc w:val="both"/>
      </w:pPr>
      <w:r w:rsidRPr="002E1A5F">
        <w:t xml:space="preserve">See 2 CFR 200.314 for requirements pertaining to supplies acquired under a </w:t>
      </w:r>
      <w:proofErr w:type="gramStart"/>
      <w:r w:rsidRPr="002E1A5F">
        <w:t>Federal</w:t>
      </w:r>
      <w:proofErr w:type="gramEnd"/>
      <w:r w:rsidRPr="002E1A5F">
        <w:t xml:space="preserve"> award. See also 2 CFR 200.453 Materials and supplies costs, including costs of computing devices.</w:t>
      </w:r>
    </w:p>
    <w:p w14:paraId="7918E828" w14:textId="77777777" w:rsidR="00AF0C8A" w:rsidRPr="002E1A5F" w:rsidRDefault="00AF0C8A" w:rsidP="00AF0C8A">
      <w:pPr>
        <w:pStyle w:val="ListParagraph"/>
        <w:jc w:val="both"/>
      </w:pPr>
    </w:p>
    <w:p w14:paraId="47D940C0" w14:textId="77777777" w:rsidR="00440F1E" w:rsidRPr="002E1A5F" w:rsidRDefault="00440F1E" w:rsidP="00440F1E">
      <w:pPr>
        <w:pStyle w:val="Heading2"/>
        <w:numPr>
          <w:ilvl w:val="1"/>
          <w:numId w:val="28"/>
        </w:numPr>
        <w:ind w:left="720"/>
        <w:jc w:val="both"/>
        <w:rPr>
          <w:rFonts w:ascii="Arial" w:hAnsi="Arial" w:cs="Arial"/>
          <w:b/>
          <w:bCs/>
          <w:color w:val="auto"/>
          <w:sz w:val="20"/>
          <w:szCs w:val="20"/>
        </w:rPr>
      </w:pPr>
      <w:bookmarkStart w:id="78" w:name="_Toc206158624"/>
      <w:r w:rsidRPr="002E1A5F">
        <w:rPr>
          <w:rFonts w:ascii="Arial" w:hAnsi="Arial" w:cs="Arial"/>
          <w:b/>
          <w:bCs/>
          <w:color w:val="auto"/>
          <w:sz w:val="20"/>
          <w:szCs w:val="20"/>
        </w:rPr>
        <w:t>Property Trust Relationship</w:t>
      </w:r>
      <w:bookmarkEnd w:id="77"/>
      <w:bookmarkEnd w:id="78"/>
    </w:p>
    <w:p w14:paraId="7495ED86" w14:textId="77777777" w:rsidR="00440F1E" w:rsidRPr="002E1A5F" w:rsidRDefault="00440F1E" w:rsidP="7A327B2A">
      <w:pPr>
        <w:pStyle w:val="NoSpacing"/>
        <w:ind w:left="720"/>
        <w:jc w:val="both"/>
      </w:pPr>
    </w:p>
    <w:p w14:paraId="36C61D79" w14:textId="77777777" w:rsidR="00440F1E" w:rsidRPr="002E1A5F" w:rsidRDefault="00440F1E" w:rsidP="7A327B2A">
      <w:pPr>
        <w:pStyle w:val="NoSpacing"/>
        <w:ind w:left="720"/>
        <w:jc w:val="both"/>
        <w:rPr>
          <w:rFonts w:eastAsia="Arial"/>
        </w:rPr>
      </w:pPr>
      <w:bookmarkStart w:id="79" w:name="_Toc149654228"/>
      <w:bookmarkStart w:id="80" w:name="_Toc149662816"/>
      <w:r w:rsidRPr="002E1A5F">
        <w:rPr>
          <w:rFonts w:eastAsia="Arial"/>
        </w:rPr>
        <w:t xml:space="preserve">Real property, equipment, and intangible property, that are acquired or improved with a </w:t>
      </w:r>
      <w:proofErr w:type="gramStart"/>
      <w:r w:rsidRPr="002E1A5F">
        <w:rPr>
          <w:rFonts w:eastAsia="Arial"/>
        </w:rPr>
        <w:t>Federal</w:t>
      </w:r>
      <w:proofErr w:type="gramEnd"/>
      <w:r w:rsidRPr="002E1A5F">
        <w:rPr>
          <w:rFonts w:eastAsia="Arial"/>
        </w:rPr>
        <w:t xml:space="preserve"> award must be held in trust by the non-Federal entity as trustee for the beneficiaries of the project or program under which the property was acquired or improved. See 2 CFR 200.316 for additional requirements pertaining to real property, equipment, and intangible property acquired or improved </w:t>
      </w:r>
      <w:r w:rsidRPr="002E1A5F">
        <w:rPr>
          <w:rFonts w:eastAsia="Arial"/>
        </w:rPr>
        <w:lastRenderedPageBreak/>
        <w:t xml:space="preserve">under a </w:t>
      </w:r>
      <w:proofErr w:type="gramStart"/>
      <w:r w:rsidRPr="002E1A5F">
        <w:rPr>
          <w:rFonts w:eastAsia="Arial"/>
        </w:rPr>
        <w:t>Federal</w:t>
      </w:r>
      <w:proofErr w:type="gramEnd"/>
      <w:r w:rsidRPr="002E1A5F">
        <w:rPr>
          <w:rFonts w:eastAsia="Arial"/>
        </w:rPr>
        <w:t xml:space="preserve"> award.</w:t>
      </w:r>
      <w:bookmarkEnd w:id="79"/>
      <w:bookmarkEnd w:id="80"/>
    </w:p>
    <w:p w14:paraId="69658518" w14:textId="77777777" w:rsidR="00440F1E" w:rsidRPr="002E1A5F" w:rsidRDefault="00440F1E" w:rsidP="00440F1E">
      <w:pPr>
        <w:jc w:val="both"/>
      </w:pPr>
    </w:p>
    <w:p w14:paraId="7779B14A" w14:textId="77777777" w:rsidR="00440F1E" w:rsidRPr="002E1A5F" w:rsidRDefault="00440F1E" w:rsidP="00440F1E">
      <w:pPr>
        <w:pStyle w:val="Heading2"/>
        <w:numPr>
          <w:ilvl w:val="1"/>
          <w:numId w:val="28"/>
        </w:numPr>
        <w:ind w:left="720"/>
        <w:jc w:val="both"/>
        <w:rPr>
          <w:rFonts w:ascii="Arial" w:hAnsi="Arial" w:cs="Arial"/>
          <w:b/>
          <w:bCs/>
          <w:color w:val="auto"/>
          <w:sz w:val="20"/>
          <w:szCs w:val="20"/>
        </w:rPr>
      </w:pPr>
      <w:bookmarkStart w:id="81" w:name="_Toc149654223"/>
      <w:bookmarkStart w:id="82" w:name="_Toc206158625"/>
      <w:r w:rsidRPr="002E1A5F">
        <w:rPr>
          <w:rFonts w:ascii="Arial" w:hAnsi="Arial" w:cs="Arial"/>
          <w:b/>
          <w:bCs/>
          <w:color w:val="auto"/>
          <w:sz w:val="20"/>
          <w:szCs w:val="20"/>
        </w:rPr>
        <w:t>Uniform Commercial Code (UCC) Financing Statements</w:t>
      </w:r>
      <w:bookmarkEnd w:id="81"/>
      <w:bookmarkEnd w:id="82"/>
    </w:p>
    <w:p w14:paraId="12934FB5" w14:textId="77777777" w:rsidR="00440F1E" w:rsidRPr="002E1A5F" w:rsidRDefault="00440F1E" w:rsidP="00440F1E">
      <w:pPr>
        <w:pStyle w:val="ListParagraph"/>
        <w:jc w:val="both"/>
        <w:rPr>
          <w:b/>
          <w:bCs/>
        </w:rPr>
      </w:pPr>
      <w:bookmarkStart w:id="83" w:name="_Toc149654142"/>
    </w:p>
    <w:p w14:paraId="386594EB" w14:textId="30BB938C" w:rsidR="00440F1E" w:rsidRPr="002E1A5F" w:rsidRDefault="000A1209" w:rsidP="00440F1E">
      <w:pPr>
        <w:ind w:left="720"/>
        <w:jc w:val="both"/>
        <w:rPr>
          <w:b/>
        </w:rPr>
      </w:pPr>
      <w:r w:rsidRPr="002E1A5F">
        <w:rPr>
          <w:rFonts w:eastAsia="Arial"/>
        </w:rPr>
        <w:t>Per 2 CFR 910.360 (Real Property and Equipment), when applicable, requires that when Subrecipient purchases with federal funds, and federal share of the financial assistance agreement is more than $1,000,000, Subrecipient must:</w:t>
      </w:r>
      <w:r w:rsidR="00440F1E" w:rsidRPr="002E1A5F">
        <w:t xml:space="preserve"> properly record, and consent to the DOE’s ability to properly record if the Recipient or Subrecipient, as applicable, fails to do so, UCC financing statement(s) for all equipment in excess of $5,000 purchased with project funds. These financing statement(s) must be approved in writing by the DOE Contracting Officer prior to the recording, and they shall provide notice that the Recipient's or Subrecipient’s title, as applicable, to all equipment (not real property) purchased with federal funds under the financial assistance agreement is conditional pursuant to the terms of this section, and that the government retains an undivided reversionary interest in the equipment. The UCC financing statement(s) must be filed before the DOE Contracting Officer may reimburse the Recipient or Subrecipient, as applicable, for the federal share of the equipment unless otherwise provided for in the relevant financial assistance agreement. The Recipient or Subrecipient, as applicable, shall further make any amendments to the financing statements or additional recordings, including appropriate continuation statements, as necessary or as the DOE Contracting Officer may direct.</w:t>
      </w:r>
    </w:p>
    <w:p w14:paraId="2C0EBDC2" w14:textId="77777777" w:rsidR="00440F1E" w:rsidRPr="002E1A5F" w:rsidRDefault="00440F1E" w:rsidP="00440F1E">
      <w:pPr>
        <w:ind w:left="720"/>
        <w:jc w:val="both"/>
      </w:pPr>
    </w:p>
    <w:p w14:paraId="0FFF9D75" w14:textId="77777777" w:rsidR="00E51F34" w:rsidRPr="002263C8" w:rsidRDefault="00E51F34" w:rsidP="00E51F34">
      <w:pPr>
        <w:pStyle w:val="Heading2"/>
        <w:numPr>
          <w:ilvl w:val="1"/>
          <w:numId w:val="28"/>
        </w:numPr>
        <w:ind w:left="720"/>
        <w:jc w:val="both"/>
        <w:rPr>
          <w:rFonts w:ascii="Arial" w:hAnsi="Arial" w:cs="Arial"/>
          <w:b/>
          <w:bCs/>
          <w:color w:val="auto"/>
          <w:sz w:val="20"/>
          <w:szCs w:val="20"/>
        </w:rPr>
      </w:pPr>
      <w:bookmarkStart w:id="84" w:name="_Toc149654231"/>
      <w:bookmarkStart w:id="85" w:name="_Toc206158626"/>
      <w:bookmarkStart w:id="86" w:name="_Toc149654147"/>
      <w:bookmarkEnd w:id="83"/>
      <w:r w:rsidRPr="002263C8">
        <w:rPr>
          <w:rFonts w:ascii="Arial" w:hAnsi="Arial" w:cs="Arial"/>
          <w:b/>
          <w:bCs/>
          <w:color w:val="auto"/>
          <w:sz w:val="20"/>
          <w:szCs w:val="20"/>
        </w:rPr>
        <w:t>Conference Spending</w:t>
      </w:r>
      <w:bookmarkEnd w:id="84"/>
      <w:bookmarkEnd w:id="85"/>
    </w:p>
    <w:p w14:paraId="5C483BB0" w14:textId="77777777" w:rsidR="00E51F34" w:rsidRPr="002E1A5F" w:rsidRDefault="00E51F34" w:rsidP="00E51F34">
      <w:pPr>
        <w:pStyle w:val="ListParagraph"/>
        <w:jc w:val="both"/>
      </w:pPr>
    </w:p>
    <w:p w14:paraId="5A26B2E4" w14:textId="77777777" w:rsidR="00E51F34" w:rsidRPr="002E1A5F" w:rsidRDefault="00E51F34" w:rsidP="00E51F34">
      <w:pPr>
        <w:pStyle w:val="ListParagraph"/>
        <w:jc w:val="both"/>
      </w:pPr>
      <w:r w:rsidRPr="002E1A5F">
        <w:t>The Subrecipient must not expend any funds on a conference not directly and programmatically related to the purpose for which the grant or cooperative agreement was awarded that would defray the cost to the United States Government of a conference held by any Executive branch department, agency, board, commission, or office for which the cost to the United States Government would otherwise exceed $20,000, thereby circumventing the required notification by the head of any such Executive Branch department, agency, board, commission, or office to the Inspector General (or senior ethics official for any entity without an Inspector General), of the date, location, and number of employees attending such conference.</w:t>
      </w:r>
    </w:p>
    <w:p w14:paraId="19A9BA82" w14:textId="77777777" w:rsidR="00E51F34" w:rsidRPr="002E1A5F" w:rsidRDefault="00E51F34" w:rsidP="00E51F34">
      <w:pPr>
        <w:jc w:val="both"/>
      </w:pPr>
    </w:p>
    <w:p w14:paraId="3DC44A2E" w14:textId="3FBC81AD" w:rsidR="001106F5" w:rsidRPr="002263C8" w:rsidRDefault="001106F5" w:rsidP="006F30C1">
      <w:pPr>
        <w:pStyle w:val="Heading2"/>
        <w:numPr>
          <w:ilvl w:val="1"/>
          <w:numId w:val="28"/>
        </w:numPr>
        <w:ind w:left="720"/>
        <w:jc w:val="both"/>
        <w:rPr>
          <w:rFonts w:ascii="Arial" w:hAnsi="Arial" w:cs="Arial"/>
          <w:b/>
          <w:bCs/>
          <w:color w:val="auto"/>
          <w:sz w:val="20"/>
          <w:szCs w:val="20"/>
        </w:rPr>
      </w:pPr>
      <w:bookmarkStart w:id="87" w:name="_Toc206158627"/>
      <w:r w:rsidRPr="002263C8">
        <w:rPr>
          <w:rFonts w:ascii="Arial" w:hAnsi="Arial" w:cs="Arial"/>
          <w:b/>
          <w:bCs/>
          <w:color w:val="auto"/>
          <w:sz w:val="20"/>
          <w:szCs w:val="20"/>
        </w:rPr>
        <w:t>Lobbying</w:t>
      </w:r>
      <w:bookmarkEnd w:id="87"/>
    </w:p>
    <w:p w14:paraId="2DDCB440" w14:textId="77777777" w:rsidR="001106F5" w:rsidRPr="002E1A5F" w:rsidRDefault="001106F5" w:rsidP="7A327B2A">
      <w:pPr>
        <w:jc w:val="both"/>
      </w:pPr>
    </w:p>
    <w:p w14:paraId="582941EA" w14:textId="77777777" w:rsidR="001106F5" w:rsidRPr="002E1A5F" w:rsidRDefault="001106F5" w:rsidP="001106F5">
      <w:pPr>
        <w:pStyle w:val="ListParagraph"/>
        <w:numPr>
          <w:ilvl w:val="0"/>
          <w:numId w:val="45"/>
        </w:numPr>
        <w:ind w:left="1080"/>
        <w:jc w:val="both"/>
      </w:pPr>
      <w:r w:rsidRPr="002E1A5F">
        <w:rPr>
          <w:rFonts w:eastAsia="Arial"/>
        </w:rPr>
        <w:t xml:space="preserve">By accepting funds under this Award, the </w:t>
      </w:r>
      <w:r w:rsidRPr="002E1A5F">
        <w:t>Subrecipient agrees that it must not use, directly or indirectly, any federal funds to influence or attempt to influence, directly or indirectly, congressional action on any legislative or appropriation matters</w:t>
      </w:r>
      <w:r w:rsidRPr="002E1A5F">
        <w:rPr>
          <w:rFonts w:eastAsia="Arial"/>
        </w:rPr>
        <w:t xml:space="preserve"> pending before Congress, other than to communicate to Members of Congress as described in 18 U.S.C. 1913 This restriction is in addition to those prescribed elsewhere in statute and regulation</w:t>
      </w:r>
      <w:r w:rsidRPr="002E1A5F">
        <w:t xml:space="preserve">. </w:t>
      </w:r>
    </w:p>
    <w:p w14:paraId="41D2A5D2" w14:textId="77777777" w:rsidR="001106F5" w:rsidRPr="002E1A5F" w:rsidRDefault="001106F5" w:rsidP="001106F5">
      <w:pPr>
        <w:jc w:val="both"/>
      </w:pPr>
    </w:p>
    <w:p w14:paraId="49302DC6" w14:textId="1D432992" w:rsidR="001106F5" w:rsidRPr="002E1A5F" w:rsidRDefault="001106F5" w:rsidP="001106F5">
      <w:pPr>
        <w:pStyle w:val="ListParagraph"/>
        <w:numPr>
          <w:ilvl w:val="0"/>
          <w:numId w:val="45"/>
        </w:numPr>
        <w:ind w:left="1080"/>
        <w:jc w:val="both"/>
        <w:rPr>
          <w:rFonts w:eastAsia="Arial"/>
        </w:rPr>
      </w:pPr>
      <w:r w:rsidRPr="002E1A5F">
        <w:rPr>
          <w:rFonts w:eastAsia="Arial"/>
        </w:rPr>
        <w:t xml:space="preserve">If the Subrecipient receives an award exceeding $100,000, the Subrecipient must complete and submit </w:t>
      </w:r>
      <w:hyperlink r:id="rId26" w:history="1">
        <w:r w:rsidRPr="005D43E0">
          <w:rPr>
            <w:rStyle w:val="Hyperlink"/>
            <w:rFonts w:eastAsia="Arial"/>
          </w:rPr>
          <w:t>SF-LLL, “Disclosure of Lobbying Activities”</w:t>
        </w:r>
      </w:hyperlink>
      <w:r w:rsidRPr="002E1A5F">
        <w:rPr>
          <w:rFonts w:eastAsia="Arial"/>
        </w:rPr>
        <w:t xml:space="preserve"> </w:t>
      </w:r>
      <w:r w:rsidRPr="005D43E0">
        <w:rPr>
          <w:rFonts w:eastAsia="Arial"/>
        </w:rPr>
        <w:t>(</w:t>
      </w:r>
      <w:hyperlink r:id="rId27" w:history="1">
        <w:r w:rsidRPr="005D43E0">
          <w:rPr>
            <w:rStyle w:val="Hyperlink"/>
            <w:rFonts w:eastAsia="Arial"/>
            <w:color w:val="auto"/>
            <w:u w:val="none"/>
          </w:rPr>
          <w:t>https://www.grants.gov/web/grants/forms/sf-424-individual-family.html</w:t>
        </w:r>
      </w:hyperlink>
      <w:r w:rsidRPr="002E1A5F">
        <w:rPr>
          <w:rFonts w:eastAsia="Arial"/>
        </w:rPr>
        <w:t>) to ensure that non-federal funds have not been paid and will not be paid to any person for influencing or attempting to influence any of the following in connection with the application for this Program.</w:t>
      </w:r>
    </w:p>
    <w:p w14:paraId="2B511FC4" w14:textId="77777777" w:rsidR="001106F5" w:rsidRPr="002E1A5F" w:rsidRDefault="001106F5" w:rsidP="00F3345C">
      <w:pPr>
        <w:jc w:val="center"/>
      </w:pPr>
    </w:p>
    <w:p w14:paraId="20154B01" w14:textId="71BFBA7B" w:rsidR="001106F5" w:rsidRPr="002E1A5F" w:rsidRDefault="006F0C69" w:rsidP="001106F5">
      <w:pPr>
        <w:pStyle w:val="Heading2"/>
        <w:numPr>
          <w:ilvl w:val="1"/>
          <w:numId w:val="28"/>
        </w:numPr>
        <w:ind w:left="720"/>
        <w:jc w:val="both"/>
        <w:rPr>
          <w:rFonts w:ascii="Arial" w:hAnsi="Arial" w:cs="Arial"/>
          <w:b/>
          <w:bCs/>
          <w:color w:val="auto"/>
          <w:sz w:val="20"/>
          <w:szCs w:val="20"/>
        </w:rPr>
      </w:pPr>
      <w:bookmarkStart w:id="88" w:name="_Toc149654232"/>
      <w:bookmarkStart w:id="89" w:name="_Toc206158628"/>
      <w:r>
        <w:rPr>
          <w:rFonts w:ascii="Arial" w:hAnsi="Arial" w:cs="Arial"/>
          <w:b/>
          <w:bCs/>
          <w:color w:val="auto"/>
          <w:sz w:val="20"/>
          <w:szCs w:val="20"/>
        </w:rPr>
        <w:t xml:space="preserve">Prohibition on Certain </w:t>
      </w:r>
      <w:r w:rsidR="001106F5" w:rsidRPr="002E1A5F">
        <w:rPr>
          <w:rFonts w:ascii="Arial" w:hAnsi="Arial" w:cs="Arial"/>
          <w:b/>
          <w:bCs/>
          <w:color w:val="auto"/>
          <w:sz w:val="20"/>
          <w:szCs w:val="20"/>
        </w:rPr>
        <w:t xml:space="preserve">Telecommunications and Video Surveillance </w:t>
      </w:r>
      <w:r w:rsidR="000E0AAB">
        <w:rPr>
          <w:rFonts w:ascii="Arial" w:hAnsi="Arial" w:cs="Arial"/>
          <w:b/>
          <w:bCs/>
          <w:color w:val="auto"/>
          <w:sz w:val="20"/>
          <w:szCs w:val="20"/>
        </w:rPr>
        <w:t xml:space="preserve">Equipment or </w:t>
      </w:r>
      <w:r w:rsidR="001106F5" w:rsidRPr="002E1A5F">
        <w:rPr>
          <w:rFonts w:ascii="Arial" w:hAnsi="Arial" w:cs="Arial"/>
          <w:b/>
          <w:bCs/>
          <w:color w:val="auto"/>
          <w:sz w:val="20"/>
          <w:szCs w:val="20"/>
        </w:rPr>
        <w:t xml:space="preserve">Services </w:t>
      </w:r>
      <w:bookmarkEnd w:id="88"/>
      <w:r w:rsidR="00945D67" w:rsidRPr="002E1A5F">
        <w:rPr>
          <w:rFonts w:ascii="Arial" w:hAnsi="Arial" w:cs="Arial"/>
          <w:b/>
          <w:bCs/>
          <w:color w:val="auto"/>
          <w:sz w:val="20"/>
          <w:szCs w:val="20"/>
        </w:rPr>
        <w:t xml:space="preserve"> </w:t>
      </w:r>
      <w:bookmarkEnd w:id="89"/>
    </w:p>
    <w:p w14:paraId="6BEB30F7" w14:textId="77777777" w:rsidR="001106F5" w:rsidRDefault="001106F5" w:rsidP="001106F5">
      <w:pPr>
        <w:pStyle w:val="ListParagraph"/>
        <w:jc w:val="both"/>
      </w:pPr>
    </w:p>
    <w:p w14:paraId="7E1DC753" w14:textId="5193B964" w:rsidR="00C77CD7" w:rsidRPr="002E1A5F" w:rsidRDefault="00C77CD7" w:rsidP="001106F5">
      <w:pPr>
        <w:pStyle w:val="ListParagraph"/>
        <w:jc w:val="both"/>
      </w:pPr>
      <w:r>
        <w:t>As set forth in 2 CFR 200.216:</w:t>
      </w:r>
    </w:p>
    <w:p w14:paraId="79466139" w14:textId="77777777" w:rsidR="00A91E25" w:rsidRPr="00A91E25" w:rsidRDefault="00A91E25" w:rsidP="00A91E25">
      <w:pPr>
        <w:pStyle w:val="ListParagraph"/>
        <w:jc w:val="both"/>
        <w:rPr>
          <w:color w:val="000000" w:themeColor="text1"/>
        </w:rPr>
      </w:pPr>
    </w:p>
    <w:p w14:paraId="1C0CBF5F" w14:textId="3F59F488" w:rsidR="00A91E25" w:rsidRPr="00A91E25" w:rsidRDefault="00A91E25" w:rsidP="00A91E25">
      <w:pPr>
        <w:pStyle w:val="ListParagraph"/>
        <w:jc w:val="both"/>
        <w:rPr>
          <w:color w:val="000000" w:themeColor="text1"/>
        </w:rPr>
      </w:pPr>
      <w:r w:rsidRPr="00A91E25">
        <w:rPr>
          <w:color w:val="000000" w:themeColor="text1"/>
        </w:rPr>
        <w:t xml:space="preserve">(a) </w:t>
      </w:r>
      <w:r w:rsidR="008405F5">
        <w:rPr>
          <w:color w:val="000000" w:themeColor="text1"/>
        </w:rPr>
        <w:t xml:space="preserve">The </w:t>
      </w:r>
      <w:r w:rsidR="00BA274D">
        <w:rPr>
          <w:color w:val="000000" w:themeColor="text1"/>
        </w:rPr>
        <w:t>S</w:t>
      </w:r>
      <w:r w:rsidRPr="00A91E25">
        <w:rPr>
          <w:color w:val="000000" w:themeColor="text1"/>
        </w:rPr>
        <w:t>ubrecipient</w:t>
      </w:r>
      <w:r w:rsidR="008405F5">
        <w:rPr>
          <w:color w:val="000000" w:themeColor="text1"/>
        </w:rPr>
        <w:t xml:space="preserve"> is</w:t>
      </w:r>
      <w:r w:rsidRPr="00A91E25">
        <w:rPr>
          <w:color w:val="000000" w:themeColor="text1"/>
        </w:rPr>
        <w:t xml:space="preserve"> prohibited from obligating or expending loan or grant funds to:</w:t>
      </w:r>
    </w:p>
    <w:p w14:paraId="30165623" w14:textId="77777777" w:rsidR="00A91E25" w:rsidRPr="00A91E25" w:rsidRDefault="00A91E25" w:rsidP="00A91E25">
      <w:pPr>
        <w:pStyle w:val="ListParagraph"/>
        <w:jc w:val="both"/>
        <w:rPr>
          <w:color w:val="000000" w:themeColor="text1"/>
        </w:rPr>
      </w:pPr>
    </w:p>
    <w:p w14:paraId="63F34026" w14:textId="77777777" w:rsidR="00A91E25" w:rsidRPr="00A91E25" w:rsidRDefault="00A91E25" w:rsidP="00A91E25">
      <w:pPr>
        <w:pStyle w:val="ListParagraph"/>
        <w:jc w:val="both"/>
        <w:rPr>
          <w:color w:val="000000" w:themeColor="text1"/>
        </w:rPr>
      </w:pPr>
      <w:r w:rsidRPr="00A91E25">
        <w:rPr>
          <w:color w:val="000000" w:themeColor="text1"/>
        </w:rPr>
        <w:t xml:space="preserve">(1) Procure or obtain covered telecommunications equipment or </w:t>
      </w:r>
      <w:proofErr w:type="gramStart"/>
      <w:r w:rsidRPr="00A91E25">
        <w:rPr>
          <w:color w:val="000000" w:themeColor="text1"/>
        </w:rPr>
        <w:t>services;</w:t>
      </w:r>
      <w:proofErr w:type="gramEnd"/>
    </w:p>
    <w:p w14:paraId="05F0DDEE" w14:textId="77777777" w:rsidR="00A91E25" w:rsidRPr="00A91E25" w:rsidRDefault="00A91E25" w:rsidP="00A91E25">
      <w:pPr>
        <w:pStyle w:val="ListParagraph"/>
        <w:jc w:val="both"/>
        <w:rPr>
          <w:color w:val="000000" w:themeColor="text1"/>
        </w:rPr>
      </w:pPr>
    </w:p>
    <w:p w14:paraId="047EAB10" w14:textId="77777777" w:rsidR="00A91E25" w:rsidRPr="00A91E25" w:rsidRDefault="00A91E25" w:rsidP="00A91E25">
      <w:pPr>
        <w:pStyle w:val="ListParagraph"/>
        <w:jc w:val="both"/>
        <w:rPr>
          <w:color w:val="000000" w:themeColor="text1"/>
        </w:rPr>
      </w:pPr>
      <w:r w:rsidRPr="00A91E25">
        <w:rPr>
          <w:color w:val="000000" w:themeColor="text1"/>
        </w:rPr>
        <w:t>(2) Extend or renew a contract to procure or obtain covered telecommunications equipment or services; or</w:t>
      </w:r>
    </w:p>
    <w:p w14:paraId="0A752FC0" w14:textId="77777777" w:rsidR="00A91E25" w:rsidRPr="00A91E25" w:rsidRDefault="00A91E25" w:rsidP="00A91E25">
      <w:pPr>
        <w:pStyle w:val="ListParagraph"/>
        <w:jc w:val="both"/>
        <w:rPr>
          <w:color w:val="000000" w:themeColor="text1"/>
        </w:rPr>
      </w:pPr>
    </w:p>
    <w:p w14:paraId="4CB58F4C" w14:textId="77777777" w:rsidR="00A91E25" w:rsidRPr="00A91E25" w:rsidRDefault="00A91E25" w:rsidP="00A91E25">
      <w:pPr>
        <w:pStyle w:val="ListParagraph"/>
        <w:jc w:val="both"/>
        <w:rPr>
          <w:color w:val="000000" w:themeColor="text1"/>
        </w:rPr>
      </w:pPr>
      <w:r w:rsidRPr="00A91E25">
        <w:rPr>
          <w:color w:val="000000" w:themeColor="text1"/>
        </w:rPr>
        <w:t>(3) Enter into a contract (or extend or renew a contract) to procure or obtain covered telecommunications equipment or services.</w:t>
      </w:r>
    </w:p>
    <w:p w14:paraId="6C473970" w14:textId="77777777" w:rsidR="00A91E25" w:rsidRPr="00A91E25" w:rsidRDefault="00A91E25" w:rsidP="00A91E25">
      <w:pPr>
        <w:pStyle w:val="ListParagraph"/>
        <w:jc w:val="both"/>
        <w:rPr>
          <w:color w:val="000000" w:themeColor="text1"/>
        </w:rPr>
      </w:pPr>
    </w:p>
    <w:p w14:paraId="03736DEF" w14:textId="77777777" w:rsidR="00A91E25" w:rsidRPr="00A91E25" w:rsidRDefault="00A91E25" w:rsidP="00A91E25">
      <w:pPr>
        <w:pStyle w:val="ListParagraph"/>
        <w:jc w:val="both"/>
        <w:rPr>
          <w:color w:val="000000" w:themeColor="text1"/>
        </w:rPr>
      </w:pPr>
      <w:r w:rsidRPr="00A91E25">
        <w:rPr>
          <w:color w:val="000000" w:themeColor="text1"/>
        </w:rPr>
        <w:t>(b) As described in section 889 of Public Law 115-232, “covered telecommunications equipment or services” means any of the following:</w:t>
      </w:r>
    </w:p>
    <w:p w14:paraId="7E4D2131" w14:textId="77777777" w:rsidR="00A91E25" w:rsidRPr="00A91E25" w:rsidRDefault="00A91E25" w:rsidP="00A91E25">
      <w:pPr>
        <w:pStyle w:val="ListParagraph"/>
        <w:jc w:val="both"/>
        <w:rPr>
          <w:color w:val="000000" w:themeColor="text1"/>
        </w:rPr>
      </w:pPr>
    </w:p>
    <w:p w14:paraId="6FFF5DEB" w14:textId="77777777" w:rsidR="00A91E25" w:rsidRPr="00A91E25" w:rsidRDefault="00A91E25" w:rsidP="00A91E25">
      <w:pPr>
        <w:pStyle w:val="ListParagraph"/>
        <w:jc w:val="both"/>
        <w:rPr>
          <w:color w:val="000000" w:themeColor="text1"/>
        </w:rPr>
      </w:pPr>
      <w:r w:rsidRPr="00A91E25">
        <w:rPr>
          <w:color w:val="000000" w:themeColor="text1"/>
        </w:rPr>
        <w:t>(1) Telecommunications equipment produced by Huawei Technologies Company or ZTE Corporation (or any subsidiary or affiliate of such entities</w:t>
      </w:r>
      <w:proofErr w:type="gramStart"/>
      <w:r w:rsidRPr="00A91E25">
        <w:rPr>
          <w:color w:val="000000" w:themeColor="text1"/>
        </w:rPr>
        <w:t>);</w:t>
      </w:r>
      <w:proofErr w:type="gramEnd"/>
    </w:p>
    <w:p w14:paraId="32C2E9CC" w14:textId="77777777" w:rsidR="00A91E25" w:rsidRPr="00A91E25" w:rsidRDefault="00A91E25" w:rsidP="00A91E25">
      <w:pPr>
        <w:pStyle w:val="ListParagraph"/>
        <w:jc w:val="both"/>
        <w:rPr>
          <w:color w:val="000000" w:themeColor="text1"/>
        </w:rPr>
      </w:pPr>
    </w:p>
    <w:p w14:paraId="7A900076" w14:textId="77777777" w:rsidR="00A91E25" w:rsidRPr="00A91E25" w:rsidRDefault="00A91E25" w:rsidP="00A91E25">
      <w:pPr>
        <w:pStyle w:val="ListParagraph"/>
        <w:jc w:val="both"/>
        <w:rPr>
          <w:color w:val="000000" w:themeColor="text1"/>
        </w:rPr>
      </w:pPr>
      <w:r w:rsidRPr="00A91E25">
        <w:rPr>
          <w:color w:val="000000" w:themeColor="text1"/>
        </w:rPr>
        <w:t>(2) For the purpose of public safety, security of government facilities, physical security surveillance of critical infrastructure, and other national security purposes, video surveillance and telecommunications equipment produced by Hytera Communications Corporation, Hangzhou Hikvision Digital Technology Company, or Dahua Technology Company (or any subsidiary or affiliate of such entities</w:t>
      </w:r>
      <w:proofErr w:type="gramStart"/>
      <w:r w:rsidRPr="00A91E25">
        <w:rPr>
          <w:color w:val="000000" w:themeColor="text1"/>
        </w:rPr>
        <w:t>);</w:t>
      </w:r>
      <w:proofErr w:type="gramEnd"/>
    </w:p>
    <w:p w14:paraId="016EA868" w14:textId="77777777" w:rsidR="00A91E25" w:rsidRPr="00A91E25" w:rsidRDefault="00A91E25" w:rsidP="00A91E25">
      <w:pPr>
        <w:pStyle w:val="ListParagraph"/>
        <w:jc w:val="both"/>
        <w:rPr>
          <w:color w:val="000000" w:themeColor="text1"/>
        </w:rPr>
      </w:pPr>
    </w:p>
    <w:p w14:paraId="0D3F42E0" w14:textId="77777777" w:rsidR="00A91E25" w:rsidRPr="00A91E25" w:rsidRDefault="00A91E25" w:rsidP="00A91E25">
      <w:pPr>
        <w:pStyle w:val="ListParagraph"/>
        <w:jc w:val="both"/>
        <w:rPr>
          <w:color w:val="000000" w:themeColor="text1"/>
        </w:rPr>
      </w:pPr>
      <w:r w:rsidRPr="00A91E25">
        <w:rPr>
          <w:color w:val="000000" w:themeColor="text1"/>
        </w:rPr>
        <w:t xml:space="preserve">(3) Telecommunications or video surveillance services provided by such entities or using such </w:t>
      </w:r>
      <w:proofErr w:type="gramStart"/>
      <w:r w:rsidRPr="00A91E25">
        <w:rPr>
          <w:color w:val="000000" w:themeColor="text1"/>
        </w:rPr>
        <w:t>equipment;</w:t>
      </w:r>
      <w:proofErr w:type="gramEnd"/>
    </w:p>
    <w:p w14:paraId="4EF53B7B" w14:textId="77777777" w:rsidR="00A91E25" w:rsidRPr="00A91E25" w:rsidRDefault="00A91E25" w:rsidP="00A91E25">
      <w:pPr>
        <w:pStyle w:val="ListParagraph"/>
        <w:jc w:val="both"/>
        <w:rPr>
          <w:color w:val="000000" w:themeColor="text1"/>
        </w:rPr>
      </w:pPr>
    </w:p>
    <w:p w14:paraId="30F7B431" w14:textId="77777777" w:rsidR="00A91E25" w:rsidRPr="00A91E25" w:rsidRDefault="00A91E25" w:rsidP="00A91E25">
      <w:pPr>
        <w:pStyle w:val="ListParagraph"/>
        <w:jc w:val="both"/>
        <w:rPr>
          <w:color w:val="000000" w:themeColor="text1"/>
        </w:rPr>
      </w:pPr>
      <w:r w:rsidRPr="00A91E25">
        <w:rPr>
          <w:color w:val="000000" w:themeColor="text1"/>
        </w:rPr>
        <w:t xml:space="preserve">(4) Telecommunications or video surveillance equipment or services produced or provided by an entity that the Secretary of Defense, in consultation with the Director of </w:t>
      </w:r>
      <w:proofErr w:type="gramStart"/>
      <w:r w:rsidRPr="00A91E25">
        <w:rPr>
          <w:color w:val="000000" w:themeColor="text1"/>
        </w:rPr>
        <w:t>the National</w:t>
      </w:r>
      <w:proofErr w:type="gramEnd"/>
      <w:r w:rsidRPr="00A91E25">
        <w:rPr>
          <w:color w:val="000000" w:themeColor="text1"/>
        </w:rPr>
        <w:t xml:space="preserve"> Intelligence or the Director of the Federal Bureau of Investigation, reasonably believes to be an entity owned or controlled by, or otherwise connected to, the government of a covered foreign </w:t>
      </w:r>
      <w:proofErr w:type="gramStart"/>
      <w:r w:rsidRPr="00A91E25">
        <w:rPr>
          <w:color w:val="000000" w:themeColor="text1"/>
        </w:rPr>
        <w:t>country;</w:t>
      </w:r>
      <w:proofErr w:type="gramEnd"/>
    </w:p>
    <w:p w14:paraId="29C87725" w14:textId="77777777" w:rsidR="00A91E25" w:rsidRPr="00A91E25" w:rsidRDefault="00A91E25" w:rsidP="00A91E25">
      <w:pPr>
        <w:pStyle w:val="ListParagraph"/>
        <w:jc w:val="both"/>
        <w:rPr>
          <w:color w:val="000000" w:themeColor="text1"/>
        </w:rPr>
      </w:pPr>
    </w:p>
    <w:p w14:paraId="0A8F9AE4" w14:textId="77777777" w:rsidR="00A91E25" w:rsidRPr="00A91E25" w:rsidRDefault="00A91E25" w:rsidP="00A91E25">
      <w:pPr>
        <w:pStyle w:val="ListParagraph"/>
        <w:jc w:val="both"/>
        <w:rPr>
          <w:color w:val="000000" w:themeColor="text1"/>
        </w:rPr>
      </w:pPr>
      <w:r w:rsidRPr="00A91E25">
        <w:rPr>
          <w:color w:val="000000" w:themeColor="text1"/>
        </w:rPr>
        <w:t>(c) For the purposes of this section, “covered telecommunications equipment or services” also include systems that use covered telecommunications equipment or services as a substantial or essential component of any system, or as critical technology as part of any system.</w:t>
      </w:r>
    </w:p>
    <w:p w14:paraId="4235C524" w14:textId="77777777" w:rsidR="00A91E25" w:rsidRPr="00A91E25" w:rsidRDefault="00A91E25" w:rsidP="00A91E25">
      <w:pPr>
        <w:pStyle w:val="ListParagraph"/>
        <w:jc w:val="both"/>
        <w:rPr>
          <w:color w:val="000000" w:themeColor="text1"/>
        </w:rPr>
      </w:pPr>
    </w:p>
    <w:p w14:paraId="23D8C548" w14:textId="77777777" w:rsidR="00A91E25" w:rsidRPr="00A91E25" w:rsidRDefault="00A91E25" w:rsidP="00A91E25">
      <w:pPr>
        <w:pStyle w:val="ListParagraph"/>
        <w:jc w:val="both"/>
        <w:rPr>
          <w:color w:val="000000" w:themeColor="text1"/>
        </w:rPr>
      </w:pPr>
      <w:r w:rsidRPr="00A91E25">
        <w:rPr>
          <w:color w:val="000000" w:themeColor="text1"/>
        </w:rPr>
        <w:t>(d) In implementing the prohibition under section 889 of Public Law 115-232, heads of executive agencies administering loan, grant, or subsidy programs must prioritize available funding and technical support to assist affected businesses, institutions, and organizations as is reasonably necessary for those affected entities to transition from covered telecommunications equipment or services, to procure replacement equipment or services, and to ensure that communications service to users and customers is sustained.</w:t>
      </w:r>
    </w:p>
    <w:p w14:paraId="4E150E68" w14:textId="77777777" w:rsidR="00A91E25" w:rsidRPr="00A91E25" w:rsidRDefault="00A91E25" w:rsidP="00A91E25">
      <w:pPr>
        <w:pStyle w:val="ListParagraph"/>
        <w:jc w:val="both"/>
        <w:rPr>
          <w:color w:val="000000" w:themeColor="text1"/>
        </w:rPr>
      </w:pPr>
    </w:p>
    <w:p w14:paraId="18D68EEA" w14:textId="7C4DD2DB" w:rsidR="00A91E25" w:rsidRPr="00A91E25" w:rsidRDefault="00A91E25" w:rsidP="00A91E25">
      <w:pPr>
        <w:pStyle w:val="ListParagraph"/>
        <w:jc w:val="both"/>
        <w:rPr>
          <w:color w:val="000000" w:themeColor="text1"/>
        </w:rPr>
      </w:pPr>
      <w:r w:rsidRPr="00A91E25">
        <w:rPr>
          <w:color w:val="000000" w:themeColor="text1"/>
        </w:rPr>
        <w:t xml:space="preserve">(e) When </w:t>
      </w:r>
      <w:r w:rsidR="00271F28">
        <w:rPr>
          <w:color w:val="000000" w:themeColor="text1"/>
        </w:rPr>
        <w:t>the S</w:t>
      </w:r>
      <w:r w:rsidRPr="00A91E25">
        <w:rPr>
          <w:color w:val="000000" w:themeColor="text1"/>
        </w:rPr>
        <w:t xml:space="preserve">ubrecipient accepts a loan or grant, it is </w:t>
      </w:r>
      <w:proofErr w:type="gramStart"/>
      <w:r w:rsidRPr="00A91E25">
        <w:rPr>
          <w:color w:val="000000" w:themeColor="text1"/>
        </w:rPr>
        <w:t>certifying</w:t>
      </w:r>
      <w:proofErr w:type="gramEnd"/>
      <w:r w:rsidRPr="00A91E25">
        <w:rPr>
          <w:color w:val="000000" w:themeColor="text1"/>
        </w:rPr>
        <w:t xml:space="preserve"> that it will comply with the prohibition on covered telecommunications equipment and services in this section. The </w:t>
      </w:r>
      <w:r w:rsidR="00271F28">
        <w:rPr>
          <w:color w:val="000000" w:themeColor="text1"/>
        </w:rPr>
        <w:t>S</w:t>
      </w:r>
      <w:r w:rsidRPr="00A91E25">
        <w:rPr>
          <w:color w:val="000000" w:themeColor="text1"/>
        </w:rPr>
        <w:t>ubrecipient is not required to certify that funds will not be expended on covered telecommunications equipment or services beyond the certification provided upon accepting the loan or grant and those provided upon submitting payment requests and financial reports.</w:t>
      </w:r>
    </w:p>
    <w:p w14:paraId="7A356665" w14:textId="77777777" w:rsidR="00A91E25" w:rsidRPr="00A91E25" w:rsidRDefault="00A91E25" w:rsidP="00A91E25">
      <w:pPr>
        <w:pStyle w:val="ListParagraph"/>
        <w:jc w:val="both"/>
        <w:rPr>
          <w:color w:val="000000" w:themeColor="text1"/>
        </w:rPr>
      </w:pPr>
    </w:p>
    <w:p w14:paraId="6DA62427" w14:textId="77777777" w:rsidR="00A91E25" w:rsidRPr="00A91E25" w:rsidRDefault="00A91E25" w:rsidP="00A91E25">
      <w:pPr>
        <w:pStyle w:val="ListParagraph"/>
        <w:jc w:val="both"/>
        <w:rPr>
          <w:color w:val="000000" w:themeColor="text1"/>
        </w:rPr>
      </w:pPr>
      <w:proofErr w:type="gramStart"/>
      <w:r w:rsidRPr="00A91E25">
        <w:rPr>
          <w:color w:val="000000" w:themeColor="text1"/>
        </w:rPr>
        <w:t>(f) For</w:t>
      </w:r>
      <w:proofErr w:type="gramEnd"/>
      <w:r w:rsidRPr="00A91E25">
        <w:rPr>
          <w:color w:val="000000" w:themeColor="text1"/>
        </w:rPr>
        <w:t xml:space="preserve"> additional information, see section 889 of Public Law 115-232 and § 200.471.</w:t>
      </w:r>
    </w:p>
    <w:p w14:paraId="19C5E8ED" w14:textId="77777777" w:rsidR="00A91E25" w:rsidRPr="00A91E25" w:rsidRDefault="00A91E25" w:rsidP="00A91E25">
      <w:pPr>
        <w:pStyle w:val="ListParagraph"/>
        <w:jc w:val="both"/>
        <w:rPr>
          <w:color w:val="000000" w:themeColor="text1"/>
        </w:rPr>
      </w:pPr>
    </w:p>
    <w:p w14:paraId="17D370B3" w14:textId="77777777" w:rsidR="00A91E25" w:rsidRDefault="00A91E25" w:rsidP="001106F5">
      <w:pPr>
        <w:pStyle w:val="ListParagraph"/>
        <w:jc w:val="both"/>
        <w:rPr>
          <w:color w:val="000000" w:themeColor="text1"/>
        </w:rPr>
      </w:pPr>
    </w:p>
    <w:p w14:paraId="60962A3F" w14:textId="77777777" w:rsidR="001106F5" w:rsidRPr="002E1A5F" w:rsidRDefault="001106F5" w:rsidP="001106F5">
      <w:pPr>
        <w:jc w:val="both"/>
      </w:pPr>
    </w:p>
    <w:p w14:paraId="7D79EF04" w14:textId="3BBF1ACD" w:rsidR="007D49BC" w:rsidRPr="002263C8" w:rsidRDefault="007D49BC" w:rsidP="006F30C1">
      <w:pPr>
        <w:pStyle w:val="Heading2"/>
        <w:numPr>
          <w:ilvl w:val="1"/>
          <w:numId w:val="28"/>
        </w:numPr>
        <w:ind w:left="720"/>
        <w:jc w:val="both"/>
        <w:rPr>
          <w:rFonts w:ascii="Arial" w:hAnsi="Arial" w:cs="Arial"/>
          <w:b/>
          <w:bCs/>
          <w:color w:val="auto"/>
          <w:sz w:val="20"/>
          <w:szCs w:val="20"/>
        </w:rPr>
      </w:pPr>
      <w:bookmarkStart w:id="90" w:name="_Toc149654112"/>
      <w:bookmarkStart w:id="91" w:name="_Toc206158629"/>
      <w:bookmarkStart w:id="92" w:name="_Toc149654154"/>
      <w:bookmarkEnd w:id="86"/>
      <w:r w:rsidRPr="002263C8">
        <w:rPr>
          <w:rFonts w:ascii="Arial" w:hAnsi="Arial" w:cs="Arial"/>
          <w:b/>
          <w:bCs/>
          <w:color w:val="auto"/>
          <w:sz w:val="20"/>
          <w:szCs w:val="20"/>
        </w:rPr>
        <w:t>Affirmative Action and Pay Transparency Requirements</w:t>
      </w:r>
      <w:bookmarkEnd w:id="90"/>
      <w:bookmarkEnd w:id="91"/>
    </w:p>
    <w:p w14:paraId="56A844CD" w14:textId="77777777" w:rsidR="007D49BC" w:rsidRPr="002E1A5F" w:rsidRDefault="007D49BC" w:rsidP="7A327B2A">
      <w:pPr>
        <w:jc w:val="both"/>
      </w:pPr>
    </w:p>
    <w:p w14:paraId="2B0C9238" w14:textId="77777777" w:rsidR="007D49BC" w:rsidRPr="002E1A5F" w:rsidRDefault="007D49BC" w:rsidP="007D49BC">
      <w:pPr>
        <w:pStyle w:val="ListParagraph"/>
        <w:jc w:val="both"/>
      </w:pPr>
      <w:r w:rsidRPr="002E1A5F">
        <w:t xml:space="preserve">All federally assisted construction contracts exceeding $10,000 annually will be subject to the requirements of Executive Order 11246: </w:t>
      </w:r>
    </w:p>
    <w:p w14:paraId="1C5234B4" w14:textId="77777777" w:rsidR="007D49BC" w:rsidRPr="002E1A5F" w:rsidRDefault="007D49BC" w:rsidP="007D49BC">
      <w:pPr>
        <w:pStyle w:val="ListParagraph"/>
        <w:jc w:val="both"/>
      </w:pPr>
    </w:p>
    <w:p w14:paraId="18BCA660" w14:textId="77777777" w:rsidR="007D49BC" w:rsidRPr="002E1A5F" w:rsidRDefault="007D49BC" w:rsidP="007D49BC">
      <w:pPr>
        <w:pStyle w:val="ListParagraph"/>
        <w:numPr>
          <w:ilvl w:val="0"/>
          <w:numId w:val="25"/>
        </w:numPr>
        <w:ind w:left="1080"/>
        <w:jc w:val="both"/>
      </w:pPr>
      <w:r w:rsidRPr="002E1A5F">
        <w:t xml:space="preserve">Subrecipient and its lower tier subrecipients, contractors and subcontractors are prohibited from discriminating in employment decisions </w:t>
      </w:r>
      <w:proofErr w:type="gramStart"/>
      <w:r w:rsidRPr="002E1A5F">
        <w:t>on the basis of</w:t>
      </w:r>
      <w:proofErr w:type="gramEnd"/>
      <w:r w:rsidRPr="002E1A5F">
        <w:t xml:space="preserve"> race, color, religion, sex, sexual orientation, gender identity or national origin. </w:t>
      </w:r>
    </w:p>
    <w:p w14:paraId="18476135" w14:textId="77777777" w:rsidR="007D49BC" w:rsidRPr="002E1A5F" w:rsidRDefault="007D49BC" w:rsidP="007D49BC">
      <w:pPr>
        <w:pStyle w:val="ListParagraph"/>
        <w:ind w:left="1080"/>
        <w:jc w:val="both"/>
      </w:pPr>
    </w:p>
    <w:p w14:paraId="0568E7CE" w14:textId="77777777" w:rsidR="007D49BC" w:rsidRPr="002E1A5F" w:rsidRDefault="007D49BC" w:rsidP="007D49BC">
      <w:pPr>
        <w:pStyle w:val="ListParagraph"/>
        <w:numPr>
          <w:ilvl w:val="0"/>
          <w:numId w:val="25"/>
        </w:numPr>
        <w:ind w:left="1080"/>
        <w:jc w:val="both"/>
      </w:pPr>
      <w:r w:rsidRPr="002E1A5F">
        <w:t xml:space="preserve">Subrecipient and its lower tier subrecipients, contractors and subcontractors are required to take affirmative action to ensure that equal opportunity is provided in all aspects of their </w:t>
      </w:r>
      <w:r w:rsidRPr="002E1A5F">
        <w:lastRenderedPageBreak/>
        <w:t>employment. This includes flowing down the appropriate language to all lower tier subrecipients, contractors and subcontractors.</w:t>
      </w:r>
    </w:p>
    <w:p w14:paraId="24916A22" w14:textId="77777777" w:rsidR="007D49BC" w:rsidRPr="002E1A5F" w:rsidRDefault="007D49BC" w:rsidP="007D49BC">
      <w:pPr>
        <w:pStyle w:val="ListParagraph"/>
        <w:ind w:left="1080"/>
        <w:jc w:val="both"/>
      </w:pPr>
    </w:p>
    <w:p w14:paraId="79A158D7" w14:textId="77777777" w:rsidR="007D49BC" w:rsidRPr="002E1A5F" w:rsidRDefault="007D49BC" w:rsidP="007D49BC">
      <w:pPr>
        <w:pStyle w:val="ListParagraph"/>
        <w:numPr>
          <w:ilvl w:val="0"/>
          <w:numId w:val="25"/>
        </w:numPr>
        <w:ind w:left="1080"/>
        <w:jc w:val="both"/>
      </w:pPr>
      <w:r w:rsidRPr="002E1A5F">
        <w:t>Subrecipient and its lower tier subrecipients, contractors and subcontractors are prohibited from taking adverse employment actions against applicants and employees for asking about, discussing, or sharing information about their pay or, under certain circumstances, the pay of their co-workers.</w:t>
      </w:r>
    </w:p>
    <w:p w14:paraId="3DDA1CAD" w14:textId="77777777" w:rsidR="007D49BC" w:rsidRPr="002E1A5F" w:rsidRDefault="007D49BC" w:rsidP="007D49BC">
      <w:pPr>
        <w:jc w:val="both"/>
      </w:pPr>
    </w:p>
    <w:p w14:paraId="738AFA54" w14:textId="1229DF76" w:rsidR="007D49BC" w:rsidRPr="002E1A5F" w:rsidRDefault="007D49BC" w:rsidP="007D49BC">
      <w:pPr>
        <w:pStyle w:val="ListParagraph"/>
        <w:jc w:val="both"/>
        <w:rPr>
          <w:rFonts w:eastAsia="Arial"/>
        </w:rPr>
      </w:pPr>
      <w:r w:rsidRPr="002E1A5F">
        <w:t>The Department of Labor’s (DOL) Office of Federal Contractor Compliance Programs (OFCCP) uses a neutral process to schedule contractors for compliance evaluations. OFCCP’s Technical Assistance Guide</w:t>
      </w:r>
      <w:r w:rsidRPr="002E1A5F">
        <w:rPr>
          <w:rStyle w:val="FootnoteReference"/>
        </w:rPr>
        <w:footnoteReference w:id="2"/>
      </w:r>
      <w:r w:rsidRPr="002E1A5F">
        <w:t xml:space="preserve"> </w:t>
      </w:r>
      <w:r w:rsidRPr="0022442E">
        <w:t xml:space="preserve">should be consulted to gain an understanding of the requirements and possible actions the Subrecipient and its lower tier subrecipients, contractors and subcontractors must take. </w:t>
      </w:r>
      <w:r w:rsidR="0022442E" w:rsidRPr="00845BD1">
        <w:t xml:space="preserve">See OFCCP’s Technical Assistance Guide at: </w:t>
      </w:r>
      <w:hyperlink r:id="rId28" w:history="1">
        <w:r w:rsidR="0022442E" w:rsidRPr="00845BD1">
          <w:rPr>
            <w:rStyle w:val="Hyperlink"/>
          </w:rPr>
          <w:t>https://www.dol.gov/sites/dolgov/files/ofccp/Construction/files/ConstructionTAG.pdf?msclkid=9e397d68c4b111ec9d8e6fecb6c710ec</w:t>
        </w:r>
      </w:hyperlink>
      <w:r w:rsidR="0022442E" w:rsidRPr="00845BD1">
        <w:t>.</w:t>
      </w:r>
      <w:r w:rsidR="0022442E" w:rsidRPr="00845BD1">
        <w:rPr>
          <w:rStyle w:val="eop"/>
          <w:rFonts w:eastAsiaTheme="minorEastAsia" w:cstheme="minorHAnsi"/>
          <w:sz w:val="22"/>
          <w:szCs w:val="22"/>
        </w:rPr>
        <w:t> </w:t>
      </w:r>
      <w:r w:rsidRPr="0022442E">
        <w:t>Additionally</w:t>
      </w:r>
      <w:r w:rsidRPr="002E1A5F">
        <w:t xml:space="preserve">, for construction projects valued at $35 million or more and lasting more than one year, the Subrecipient and its lower tier subrecipients, contractors and subcontractors may be selected by OFCCP </w:t>
      </w:r>
      <w:r w:rsidR="00DA33EA">
        <w:t>to participate in the M</w:t>
      </w:r>
      <w:r w:rsidRPr="002E1A5F">
        <w:t xml:space="preserve">ega </w:t>
      </w:r>
      <w:r w:rsidR="00DA33EA">
        <w:t>C</w:t>
      </w:r>
      <w:r w:rsidRPr="002E1A5F">
        <w:t xml:space="preserve">onstruction </w:t>
      </w:r>
      <w:r w:rsidR="00DA33EA">
        <w:t>P</w:t>
      </w:r>
      <w:r w:rsidRPr="002E1A5F">
        <w:t>roject</w:t>
      </w:r>
      <w:r w:rsidR="00DA33EA">
        <w:t xml:space="preserve"> Program</w:t>
      </w:r>
      <w:r w:rsidRPr="002E1A5F">
        <w:t>.</w:t>
      </w:r>
      <w:r w:rsidRPr="002E1A5F">
        <w:rPr>
          <w:rFonts w:eastAsia="Arial"/>
        </w:rPr>
        <w:t xml:space="preserve"> If selected, DOE, under relevant legal authorities including Sections 205 and 303(a) of Executive Order 11246, will require participation as a condition of the award. This program offers extensive compliance assistance with EO 11246. For more information regarding this </w:t>
      </w:r>
      <w:hyperlink r:id="rId29" w:history="1">
        <w:r w:rsidRPr="004976A5">
          <w:rPr>
            <w:rStyle w:val="Hyperlink"/>
            <w:rFonts w:eastAsia="Arial"/>
          </w:rPr>
          <w:t>program</w:t>
        </w:r>
      </w:hyperlink>
      <w:r w:rsidRPr="002E1A5F">
        <w:rPr>
          <w:rFonts w:eastAsia="Arial"/>
        </w:rPr>
        <w:t xml:space="preserve">, see </w:t>
      </w:r>
      <w:r w:rsidRPr="004976A5">
        <w:rPr>
          <w:rFonts w:eastAsia="Arial"/>
        </w:rPr>
        <w:t>https://www.dol.gov/agencies/ofccp/construction/mega-program</w:t>
      </w:r>
      <w:r w:rsidRPr="002E1A5F">
        <w:rPr>
          <w:rFonts w:eastAsia="Arial"/>
        </w:rPr>
        <w:t>.</w:t>
      </w:r>
    </w:p>
    <w:p w14:paraId="5CEA84A3" w14:textId="77777777" w:rsidR="007D49BC" w:rsidRPr="002E1A5F" w:rsidRDefault="007D49BC" w:rsidP="7A327B2A">
      <w:pPr>
        <w:jc w:val="both"/>
      </w:pPr>
    </w:p>
    <w:p w14:paraId="41FAB136" w14:textId="792A45E6" w:rsidR="007D49BC" w:rsidRPr="002263C8" w:rsidRDefault="007D49BC" w:rsidP="006F30C1">
      <w:pPr>
        <w:pStyle w:val="Heading2"/>
        <w:numPr>
          <w:ilvl w:val="1"/>
          <w:numId w:val="28"/>
        </w:numPr>
        <w:ind w:left="720"/>
        <w:jc w:val="both"/>
        <w:rPr>
          <w:rFonts w:ascii="Arial" w:eastAsia="Times New Roman" w:hAnsi="Arial" w:cs="Arial"/>
          <w:b/>
          <w:bCs/>
          <w:color w:val="auto"/>
          <w:sz w:val="20"/>
          <w:szCs w:val="20"/>
        </w:rPr>
      </w:pPr>
      <w:bookmarkStart w:id="93" w:name="_Toc206158630"/>
      <w:r w:rsidRPr="002263C8">
        <w:rPr>
          <w:rFonts w:ascii="Arial" w:eastAsia="Times New Roman" w:hAnsi="Arial" w:cs="Arial"/>
          <w:b/>
          <w:bCs/>
          <w:color w:val="auto"/>
          <w:sz w:val="20"/>
          <w:szCs w:val="20"/>
        </w:rPr>
        <w:t>Nondiscrimination</w:t>
      </w:r>
      <w:bookmarkEnd w:id="93"/>
    </w:p>
    <w:p w14:paraId="5841D716" w14:textId="77777777" w:rsidR="007D49BC" w:rsidRPr="002E1A5F" w:rsidRDefault="007D49BC" w:rsidP="7A327B2A">
      <w:pPr>
        <w:jc w:val="both"/>
      </w:pPr>
    </w:p>
    <w:p w14:paraId="042DA304" w14:textId="741EAE42" w:rsidR="007D49BC" w:rsidRPr="002E1A5F" w:rsidRDefault="007D49BC" w:rsidP="007D49BC">
      <w:pPr>
        <w:pStyle w:val="ListParagraph"/>
        <w:jc w:val="both"/>
      </w:pPr>
      <w:r w:rsidRPr="002E1A5F">
        <w:t xml:space="preserve">By signing this </w:t>
      </w:r>
      <w:r>
        <w:t>Agreement</w:t>
      </w:r>
      <w:r w:rsidRPr="002E1A5F">
        <w:t xml:space="preserve"> or accepting funds under this </w:t>
      </w:r>
      <w:r>
        <w:t>Agreement</w:t>
      </w:r>
      <w:r w:rsidRPr="002E1A5F">
        <w:t>, Subrecipient assures that it will comply with applicable provisions of the following, national policies prohibiting discrimination:</w:t>
      </w:r>
    </w:p>
    <w:p w14:paraId="65D39622" w14:textId="77777777" w:rsidR="007D49BC" w:rsidRPr="002E1A5F" w:rsidRDefault="007D49BC" w:rsidP="007D49BC">
      <w:pPr>
        <w:pStyle w:val="ListParagraph"/>
        <w:jc w:val="both"/>
      </w:pPr>
    </w:p>
    <w:p w14:paraId="013393B6" w14:textId="77777777" w:rsidR="007D49BC" w:rsidRPr="002E1A5F" w:rsidRDefault="007D49BC" w:rsidP="007D49BC">
      <w:pPr>
        <w:pStyle w:val="ListParagraph"/>
        <w:numPr>
          <w:ilvl w:val="1"/>
          <w:numId w:val="26"/>
        </w:numPr>
        <w:ind w:left="1080"/>
        <w:jc w:val="both"/>
      </w:pPr>
      <w:proofErr w:type="gramStart"/>
      <w:r w:rsidRPr="002E1A5F">
        <w:t>On the basis of</w:t>
      </w:r>
      <w:proofErr w:type="gramEnd"/>
      <w:r w:rsidRPr="002E1A5F">
        <w:t xml:space="preserve"> race, color, or national origin, in Title VI of the Civil Rights Act of 1964 (42 U.S.C. 2000d, et seq.), as implemented by DOE regulations at 10 CFR part 1040.</w:t>
      </w:r>
    </w:p>
    <w:p w14:paraId="32B65C2C" w14:textId="77777777" w:rsidR="007D49BC" w:rsidRPr="002E1A5F" w:rsidRDefault="007D49BC" w:rsidP="007D49BC">
      <w:pPr>
        <w:pStyle w:val="ListParagraph"/>
        <w:ind w:left="1080"/>
        <w:jc w:val="both"/>
      </w:pPr>
    </w:p>
    <w:p w14:paraId="18FAE086" w14:textId="77777777" w:rsidR="007D49BC" w:rsidRPr="002E1A5F" w:rsidRDefault="007D49BC" w:rsidP="007D49BC">
      <w:pPr>
        <w:pStyle w:val="ListParagraph"/>
        <w:numPr>
          <w:ilvl w:val="1"/>
          <w:numId w:val="26"/>
        </w:numPr>
        <w:ind w:left="1080"/>
        <w:jc w:val="both"/>
      </w:pPr>
      <w:proofErr w:type="gramStart"/>
      <w:r w:rsidRPr="002E1A5F">
        <w:t>On the basis of</w:t>
      </w:r>
      <w:proofErr w:type="gramEnd"/>
      <w:r w:rsidRPr="002E1A5F">
        <w:t xml:space="preserve"> race, color, religion, sex, or national origin, in Executive Order 11246 [3 CFR, 1964-1965 Comp., p. 339], as implemented by Department of Labor regulations at 41 CFR part 60.</w:t>
      </w:r>
    </w:p>
    <w:p w14:paraId="6B84402B" w14:textId="77777777" w:rsidR="007D49BC" w:rsidRPr="002E1A5F" w:rsidRDefault="007D49BC" w:rsidP="007D49BC">
      <w:pPr>
        <w:pStyle w:val="ListParagraph"/>
        <w:ind w:left="1080"/>
        <w:jc w:val="both"/>
      </w:pPr>
    </w:p>
    <w:p w14:paraId="4B9E9EC1" w14:textId="77777777" w:rsidR="007D49BC" w:rsidRPr="002E1A5F" w:rsidRDefault="007D49BC" w:rsidP="007D49BC">
      <w:pPr>
        <w:pStyle w:val="ListParagraph"/>
        <w:numPr>
          <w:ilvl w:val="1"/>
          <w:numId w:val="26"/>
        </w:numPr>
        <w:ind w:left="1080"/>
        <w:jc w:val="both"/>
      </w:pPr>
      <w:proofErr w:type="gramStart"/>
      <w:r w:rsidRPr="002E1A5F">
        <w:t>On the basis of</w:t>
      </w:r>
      <w:proofErr w:type="gramEnd"/>
      <w:r w:rsidRPr="002E1A5F">
        <w:t xml:space="preserve"> sex or blindness, in Title IX of the Education Amendments of 1972 (20 U.S.C. 1681, et seq.), as implemented by DOE regulations at 10 CFR parts 1041 and 1042.</w:t>
      </w:r>
    </w:p>
    <w:p w14:paraId="1F3D2E5A" w14:textId="77777777" w:rsidR="007D49BC" w:rsidRPr="002E1A5F" w:rsidRDefault="007D49BC" w:rsidP="007D49BC">
      <w:pPr>
        <w:pStyle w:val="ListParagraph"/>
        <w:ind w:left="1080"/>
        <w:jc w:val="both"/>
      </w:pPr>
    </w:p>
    <w:p w14:paraId="0927FD2D" w14:textId="77777777" w:rsidR="007D49BC" w:rsidRPr="002E1A5F" w:rsidRDefault="007D49BC" w:rsidP="007D49BC">
      <w:pPr>
        <w:pStyle w:val="ListParagraph"/>
        <w:numPr>
          <w:ilvl w:val="1"/>
          <w:numId w:val="26"/>
        </w:numPr>
        <w:ind w:left="1080"/>
        <w:jc w:val="both"/>
      </w:pPr>
      <w:proofErr w:type="gramStart"/>
      <w:r w:rsidRPr="002E1A5F">
        <w:t>On the basis of</w:t>
      </w:r>
      <w:proofErr w:type="gramEnd"/>
      <w:r w:rsidRPr="002E1A5F">
        <w:t xml:space="preserve"> age, in the Age Discrimination Act of 1975 (42 U.S.C. 6101, et seq.), as implemented by Department of Health and Human Services regulations at 45 CFR part 90 and DOE at 10 CFR part 1040.</w:t>
      </w:r>
    </w:p>
    <w:p w14:paraId="5E286FF4" w14:textId="77777777" w:rsidR="007D49BC" w:rsidRPr="002E1A5F" w:rsidRDefault="007D49BC" w:rsidP="007D49BC">
      <w:pPr>
        <w:pStyle w:val="ListParagraph"/>
        <w:ind w:left="1080"/>
        <w:jc w:val="both"/>
      </w:pPr>
    </w:p>
    <w:p w14:paraId="505BBDDB" w14:textId="77777777" w:rsidR="007D49BC" w:rsidRPr="002E1A5F" w:rsidRDefault="007D49BC" w:rsidP="007D49BC">
      <w:pPr>
        <w:pStyle w:val="ListParagraph"/>
        <w:numPr>
          <w:ilvl w:val="1"/>
          <w:numId w:val="26"/>
        </w:numPr>
        <w:ind w:left="1080"/>
        <w:jc w:val="both"/>
      </w:pPr>
      <w:proofErr w:type="gramStart"/>
      <w:r w:rsidRPr="002E1A5F">
        <w:t>On the basis of</w:t>
      </w:r>
      <w:proofErr w:type="gramEnd"/>
      <w:r w:rsidRPr="002E1A5F">
        <w:t xml:space="preserve"> handicap, in (1) Section 504 of the Rehabilitation Act of 1973 (29 U.S.C. 794), as implemented by Department of Justice regulations at 28 CFR part 41 and DOE regulations at 10 CFR part 1041 and (2) The Architectural Barriers Act of 1968 (42 U.S.C. 4151, et seq.).</w:t>
      </w:r>
    </w:p>
    <w:p w14:paraId="5762CBB4" w14:textId="77777777" w:rsidR="007D49BC" w:rsidRPr="002E1A5F" w:rsidRDefault="007D49BC" w:rsidP="7A327B2A">
      <w:pPr>
        <w:jc w:val="both"/>
      </w:pPr>
    </w:p>
    <w:p w14:paraId="6341E444" w14:textId="79ABA7F0" w:rsidR="00E11E16" w:rsidRPr="002263C8" w:rsidRDefault="00E11E16" w:rsidP="006F30C1">
      <w:pPr>
        <w:pStyle w:val="Heading2"/>
        <w:numPr>
          <w:ilvl w:val="1"/>
          <w:numId w:val="28"/>
        </w:numPr>
        <w:ind w:left="720"/>
        <w:jc w:val="both"/>
        <w:rPr>
          <w:rFonts w:ascii="Arial" w:eastAsia="Times New Roman" w:hAnsi="Arial" w:cs="Arial"/>
          <w:b/>
          <w:bCs/>
          <w:color w:val="auto"/>
          <w:sz w:val="20"/>
          <w:szCs w:val="20"/>
        </w:rPr>
      </w:pPr>
      <w:bookmarkStart w:id="94" w:name="_Toc206158631"/>
      <w:r w:rsidRPr="002263C8">
        <w:rPr>
          <w:rFonts w:ascii="Arial" w:eastAsia="Times New Roman" w:hAnsi="Arial" w:cs="Arial"/>
          <w:b/>
          <w:bCs/>
          <w:color w:val="auto"/>
          <w:sz w:val="20"/>
          <w:szCs w:val="20"/>
        </w:rPr>
        <w:t>Americans with Disabilities Act of 1990</w:t>
      </w:r>
      <w:bookmarkEnd w:id="94"/>
    </w:p>
    <w:p w14:paraId="1B58CB63" w14:textId="77777777" w:rsidR="00E11E16" w:rsidRPr="002E1A5F" w:rsidRDefault="00E11E16" w:rsidP="7A327B2A">
      <w:pPr>
        <w:jc w:val="both"/>
      </w:pPr>
    </w:p>
    <w:p w14:paraId="0864B9BA" w14:textId="77777777" w:rsidR="00E11E16" w:rsidRPr="002E1A5F" w:rsidRDefault="00E11E16" w:rsidP="00E11E16">
      <w:pPr>
        <w:pStyle w:val="ListParagraph"/>
        <w:jc w:val="both"/>
      </w:pPr>
      <w:r w:rsidRPr="002E1A5F">
        <w:t>Subrecipient shall comply with: (i) section 504 of the Rehabilitation Act of 1973 which prohibits discrimination on the basis of disability in federally assisted programs; (ii) the Americans with Disabilities Act (ADA) of 1990 which prohibits discrimination on the basis of disability irrespective of funding; and (iii) all applicable regulations and guidelines issued pursuant to both the Rehabilitation Act and the ADA.</w:t>
      </w:r>
    </w:p>
    <w:p w14:paraId="210EE1A9" w14:textId="77777777" w:rsidR="00E11E16" w:rsidRPr="002E1A5F" w:rsidRDefault="00E11E16" w:rsidP="7A327B2A">
      <w:pPr>
        <w:jc w:val="both"/>
      </w:pPr>
    </w:p>
    <w:p w14:paraId="205E8AAC" w14:textId="464EF575" w:rsidR="00A60C31" w:rsidRPr="002E1A5F" w:rsidRDefault="00A60C31" w:rsidP="006F30C1">
      <w:pPr>
        <w:pStyle w:val="Heading2"/>
        <w:numPr>
          <w:ilvl w:val="1"/>
          <w:numId w:val="28"/>
        </w:numPr>
        <w:ind w:left="720"/>
        <w:jc w:val="both"/>
        <w:rPr>
          <w:rFonts w:ascii="Arial" w:hAnsi="Arial" w:cs="Arial"/>
          <w:b/>
          <w:bCs/>
          <w:color w:val="auto"/>
          <w:sz w:val="20"/>
          <w:szCs w:val="20"/>
        </w:rPr>
      </w:pPr>
      <w:bookmarkStart w:id="95" w:name="_Toc206158632"/>
      <w:bookmarkStart w:id="96" w:name="_Toc149654118"/>
      <w:r w:rsidRPr="002E1A5F">
        <w:rPr>
          <w:rFonts w:ascii="Arial" w:hAnsi="Arial" w:cs="Arial"/>
          <w:b/>
          <w:bCs/>
          <w:color w:val="auto"/>
          <w:sz w:val="20"/>
          <w:szCs w:val="20"/>
        </w:rPr>
        <w:t>Promoting Free Speech and Religious Liberty</w:t>
      </w:r>
      <w:bookmarkEnd w:id="95"/>
    </w:p>
    <w:p w14:paraId="5762E68E" w14:textId="77777777" w:rsidR="00A60C31" w:rsidRPr="002E1A5F" w:rsidRDefault="00A60C31" w:rsidP="7A327B2A">
      <w:pPr>
        <w:jc w:val="both"/>
      </w:pPr>
    </w:p>
    <w:p w14:paraId="78D70ADD" w14:textId="35ABDC8F" w:rsidR="00A60C31" w:rsidRDefault="00C17468" w:rsidP="7A327B2A">
      <w:pPr>
        <w:ind w:left="720"/>
        <w:jc w:val="both"/>
      </w:pPr>
      <w:r w:rsidRPr="002E1A5F">
        <w:t>States, local governments, or other public entities may not condition sub-awards in a manner that would discriminate, or disadvantage sub-recipients based on their religious character.</w:t>
      </w:r>
    </w:p>
    <w:p w14:paraId="781BD57B" w14:textId="77777777" w:rsidR="00B77C4E" w:rsidRPr="002E1A5F" w:rsidRDefault="00B77C4E" w:rsidP="7A327B2A">
      <w:pPr>
        <w:ind w:left="720"/>
        <w:jc w:val="both"/>
      </w:pPr>
    </w:p>
    <w:p w14:paraId="33E1610D" w14:textId="55545C1C" w:rsidR="00E11E16" w:rsidRPr="002E1A5F" w:rsidRDefault="00E11E16" w:rsidP="006F30C1">
      <w:pPr>
        <w:pStyle w:val="Heading2"/>
        <w:numPr>
          <w:ilvl w:val="1"/>
          <w:numId w:val="28"/>
        </w:numPr>
        <w:ind w:left="720"/>
        <w:jc w:val="both"/>
        <w:rPr>
          <w:rFonts w:ascii="Arial" w:hAnsi="Arial" w:cs="Arial"/>
          <w:b/>
          <w:bCs/>
          <w:color w:val="auto"/>
          <w:sz w:val="20"/>
          <w:szCs w:val="20"/>
        </w:rPr>
      </w:pPr>
      <w:bookmarkStart w:id="97" w:name="_Toc206158633"/>
      <w:r w:rsidRPr="002E1A5F">
        <w:rPr>
          <w:rFonts w:ascii="Arial" w:hAnsi="Arial" w:cs="Arial"/>
          <w:b/>
          <w:bCs/>
          <w:color w:val="auto"/>
          <w:sz w:val="20"/>
          <w:szCs w:val="20"/>
        </w:rPr>
        <w:t>Nondisclosure and Confidentiality Agreement Assurances</w:t>
      </w:r>
      <w:bookmarkEnd w:id="96"/>
      <w:bookmarkEnd w:id="97"/>
    </w:p>
    <w:p w14:paraId="7DF47863" w14:textId="77777777" w:rsidR="00E11E16" w:rsidRPr="002E1A5F" w:rsidRDefault="00E11E16" w:rsidP="7A327B2A">
      <w:pPr>
        <w:jc w:val="both"/>
      </w:pPr>
    </w:p>
    <w:p w14:paraId="0B836C25" w14:textId="77777777" w:rsidR="00E11E16" w:rsidRPr="002E1A5F" w:rsidRDefault="00E11E16" w:rsidP="00E11E16">
      <w:pPr>
        <w:pStyle w:val="ListParagraph"/>
        <w:numPr>
          <w:ilvl w:val="0"/>
          <w:numId w:val="58"/>
        </w:numPr>
        <w:ind w:left="1080"/>
        <w:jc w:val="both"/>
      </w:pPr>
      <w:r w:rsidRPr="002E1A5F">
        <w:t xml:space="preserve">By entering into this Agreement, the Subrecipient attests that it does not and will not require its employees or contractors to sign internal nondisclosure or confidentiality agreements or statements prohibiting or otherwise restricting its employees or contactors from lawfully reporting waste, fraud, or abuse to a designated investigative or law enforcement representative of a </w:t>
      </w:r>
      <w:proofErr w:type="gramStart"/>
      <w:r w:rsidRPr="002E1A5F">
        <w:t>Federal</w:t>
      </w:r>
      <w:proofErr w:type="gramEnd"/>
      <w:r w:rsidRPr="002E1A5F">
        <w:t xml:space="preserve"> department or agency authorized to receive such information.</w:t>
      </w:r>
    </w:p>
    <w:p w14:paraId="4BD87A64" w14:textId="77777777" w:rsidR="00E11E16" w:rsidRPr="002E1A5F" w:rsidRDefault="00E11E16" w:rsidP="00E11E16">
      <w:pPr>
        <w:kinsoku w:val="0"/>
        <w:overflowPunct w:val="0"/>
        <w:ind w:left="1080"/>
        <w:jc w:val="both"/>
        <w:rPr>
          <w:spacing w:val="-1"/>
        </w:rPr>
      </w:pPr>
    </w:p>
    <w:p w14:paraId="4ADC3BF3" w14:textId="77777777" w:rsidR="00E11E16" w:rsidRPr="002E1A5F" w:rsidRDefault="00E11E16" w:rsidP="00E11E16">
      <w:pPr>
        <w:numPr>
          <w:ilvl w:val="0"/>
          <w:numId w:val="58"/>
        </w:numPr>
        <w:kinsoku w:val="0"/>
        <w:overflowPunct w:val="0"/>
        <w:ind w:left="1080"/>
        <w:jc w:val="both"/>
      </w:pPr>
      <w:r w:rsidRPr="002E1A5F">
        <w:t>The</w:t>
      </w:r>
      <w:r w:rsidRPr="002E1A5F">
        <w:rPr>
          <w:spacing w:val="-2"/>
        </w:rPr>
        <w:t xml:space="preserve"> Subr</w:t>
      </w:r>
      <w:r w:rsidRPr="002E1A5F">
        <w:rPr>
          <w:spacing w:val="-1"/>
        </w:rPr>
        <w:t>ecipient</w:t>
      </w:r>
      <w:r w:rsidRPr="002E1A5F">
        <w:t xml:space="preserve"> </w:t>
      </w:r>
      <w:r w:rsidRPr="002E1A5F">
        <w:rPr>
          <w:spacing w:val="-1"/>
        </w:rPr>
        <w:t>further</w:t>
      </w:r>
      <w:r w:rsidRPr="002E1A5F">
        <w:rPr>
          <w:spacing w:val="-2"/>
        </w:rPr>
        <w:t xml:space="preserve"> </w:t>
      </w:r>
      <w:r w:rsidRPr="002E1A5F">
        <w:rPr>
          <w:spacing w:val="-1"/>
        </w:rPr>
        <w:t>attests</w:t>
      </w:r>
      <w:r w:rsidRPr="002E1A5F">
        <w:rPr>
          <w:spacing w:val="-2"/>
        </w:rPr>
        <w:t xml:space="preserve"> </w:t>
      </w:r>
      <w:r w:rsidRPr="002E1A5F">
        <w:t xml:space="preserve">that it </w:t>
      </w:r>
      <w:r w:rsidRPr="002E1A5F">
        <w:rPr>
          <w:b/>
          <w:bCs/>
          <w:spacing w:val="-1"/>
        </w:rPr>
        <w:t>does</w:t>
      </w:r>
      <w:r w:rsidRPr="002E1A5F">
        <w:rPr>
          <w:b/>
          <w:bCs/>
        </w:rPr>
        <w:t xml:space="preserve"> not</w:t>
      </w:r>
      <w:r w:rsidRPr="002E1A5F">
        <w:rPr>
          <w:b/>
          <w:bCs/>
          <w:spacing w:val="-2"/>
        </w:rPr>
        <w:t xml:space="preserve"> </w:t>
      </w:r>
      <w:r w:rsidRPr="002E1A5F">
        <w:rPr>
          <w:b/>
          <w:bCs/>
        </w:rPr>
        <w:t>and</w:t>
      </w:r>
      <w:r w:rsidRPr="002E1A5F">
        <w:rPr>
          <w:b/>
          <w:bCs/>
          <w:spacing w:val="-3"/>
        </w:rPr>
        <w:t xml:space="preserve"> </w:t>
      </w:r>
      <w:r w:rsidRPr="002E1A5F">
        <w:rPr>
          <w:b/>
          <w:bCs/>
          <w:spacing w:val="-1"/>
        </w:rPr>
        <w:t>will</w:t>
      </w:r>
      <w:r w:rsidRPr="002E1A5F">
        <w:rPr>
          <w:b/>
          <w:bCs/>
          <w:spacing w:val="1"/>
        </w:rPr>
        <w:t xml:space="preserve"> </w:t>
      </w:r>
      <w:r w:rsidRPr="002E1A5F">
        <w:rPr>
          <w:b/>
          <w:bCs/>
          <w:spacing w:val="-1"/>
        </w:rPr>
        <w:t>not</w:t>
      </w:r>
      <w:r w:rsidRPr="002E1A5F">
        <w:rPr>
          <w:b/>
          <w:bCs/>
          <w:spacing w:val="43"/>
        </w:rPr>
        <w:t xml:space="preserve"> </w:t>
      </w:r>
      <w:r w:rsidRPr="002E1A5F">
        <w:t>use any</w:t>
      </w:r>
      <w:r w:rsidRPr="002E1A5F">
        <w:rPr>
          <w:spacing w:val="-2"/>
        </w:rPr>
        <w:t xml:space="preserve"> </w:t>
      </w:r>
      <w:r w:rsidRPr="002E1A5F">
        <w:rPr>
          <w:spacing w:val="-1"/>
        </w:rPr>
        <w:t>Federal</w:t>
      </w:r>
      <w:r w:rsidRPr="002E1A5F">
        <w:rPr>
          <w:spacing w:val="1"/>
        </w:rPr>
        <w:t xml:space="preserve"> </w:t>
      </w:r>
      <w:r w:rsidRPr="002E1A5F">
        <w:rPr>
          <w:spacing w:val="-1"/>
        </w:rPr>
        <w:t>funds</w:t>
      </w:r>
      <w:r w:rsidRPr="002E1A5F">
        <w:rPr>
          <w:spacing w:val="-2"/>
        </w:rPr>
        <w:t xml:space="preserve"> </w:t>
      </w:r>
      <w:r w:rsidRPr="002E1A5F">
        <w:t xml:space="preserve">to </w:t>
      </w:r>
      <w:r w:rsidRPr="002E1A5F">
        <w:rPr>
          <w:spacing w:val="-1"/>
        </w:rPr>
        <w:t>implement</w:t>
      </w:r>
      <w:r w:rsidRPr="002E1A5F">
        <w:rPr>
          <w:spacing w:val="1"/>
        </w:rPr>
        <w:t xml:space="preserve"> </w:t>
      </w:r>
      <w:r w:rsidRPr="002E1A5F">
        <w:t>or</w:t>
      </w:r>
      <w:r w:rsidRPr="002E1A5F">
        <w:rPr>
          <w:spacing w:val="-2"/>
        </w:rPr>
        <w:t xml:space="preserve"> </w:t>
      </w:r>
      <w:r w:rsidRPr="002E1A5F">
        <w:rPr>
          <w:spacing w:val="-1"/>
        </w:rPr>
        <w:t>enforce</w:t>
      </w:r>
      <w:r w:rsidRPr="002E1A5F">
        <w:rPr>
          <w:spacing w:val="2"/>
        </w:rPr>
        <w:t xml:space="preserve"> </w:t>
      </w:r>
      <w:r w:rsidRPr="002E1A5F">
        <w:t>any</w:t>
      </w:r>
      <w:r w:rsidRPr="002E1A5F">
        <w:rPr>
          <w:spacing w:val="-2"/>
        </w:rPr>
        <w:t xml:space="preserve"> </w:t>
      </w:r>
      <w:r w:rsidRPr="002E1A5F">
        <w:rPr>
          <w:spacing w:val="-1"/>
        </w:rPr>
        <w:t>nondisclosure</w:t>
      </w:r>
      <w:r w:rsidRPr="002E1A5F">
        <w:rPr>
          <w:spacing w:val="-2"/>
        </w:rPr>
        <w:t xml:space="preserve"> </w:t>
      </w:r>
      <w:r w:rsidRPr="002E1A5F">
        <w:rPr>
          <w:spacing w:val="-1"/>
        </w:rPr>
        <w:t>and/or</w:t>
      </w:r>
      <w:r w:rsidRPr="002E1A5F">
        <w:rPr>
          <w:spacing w:val="39"/>
        </w:rPr>
        <w:t xml:space="preserve"> </w:t>
      </w:r>
      <w:r w:rsidRPr="002E1A5F">
        <w:rPr>
          <w:spacing w:val="-1"/>
        </w:rPr>
        <w:t>confidentiality</w:t>
      </w:r>
      <w:r w:rsidRPr="002E1A5F">
        <w:rPr>
          <w:spacing w:val="-3"/>
        </w:rPr>
        <w:t xml:space="preserve"> </w:t>
      </w:r>
      <w:r w:rsidRPr="002E1A5F">
        <w:rPr>
          <w:spacing w:val="-1"/>
        </w:rPr>
        <w:t>policy,</w:t>
      </w:r>
      <w:r w:rsidRPr="002E1A5F">
        <w:t xml:space="preserve"> </w:t>
      </w:r>
      <w:r w:rsidRPr="002E1A5F">
        <w:rPr>
          <w:spacing w:val="-1"/>
        </w:rPr>
        <w:t>form,</w:t>
      </w:r>
      <w:r w:rsidRPr="002E1A5F">
        <w:t xml:space="preserve"> or </w:t>
      </w:r>
      <w:r w:rsidRPr="002E1A5F">
        <w:rPr>
          <w:spacing w:val="-1"/>
        </w:rPr>
        <w:t>agreement</w:t>
      </w:r>
      <w:r w:rsidRPr="002E1A5F">
        <w:rPr>
          <w:spacing w:val="-2"/>
        </w:rPr>
        <w:t xml:space="preserve"> </w:t>
      </w:r>
      <w:r w:rsidRPr="002E1A5F">
        <w:t>it</w:t>
      </w:r>
      <w:r w:rsidRPr="002E1A5F">
        <w:rPr>
          <w:spacing w:val="-2"/>
        </w:rPr>
        <w:t xml:space="preserve"> </w:t>
      </w:r>
      <w:r w:rsidRPr="002E1A5F">
        <w:t>uses</w:t>
      </w:r>
      <w:r w:rsidRPr="002E1A5F">
        <w:rPr>
          <w:spacing w:val="-2"/>
        </w:rPr>
        <w:t xml:space="preserve"> </w:t>
      </w:r>
      <w:r w:rsidRPr="002E1A5F">
        <w:rPr>
          <w:spacing w:val="-1"/>
        </w:rPr>
        <w:t>unless</w:t>
      </w:r>
      <w:r w:rsidRPr="002E1A5F">
        <w:t xml:space="preserve"> it</w:t>
      </w:r>
      <w:r w:rsidRPr="002E1A5F">
        <w:rPr>
          <w:spacing w:val="-2"/>
        </w:rPr>
        <w:t xml:space="preserve"> </w:t>
      </w:r>
      <w:r w:rsidRPr="002E1A5F">
        <w:rPr>
          <w:spacing w:val="-1"/>
        </w:rPr>
        <w:t>contains</w:t>
      </w:r>
      <w:r w:rsidRPr="002E1A5F">
        <w:rPr>
          <w:spacing w:val="-2"/>
        </w:rPr>
        <w:t xml:space="preserve"> </w:t>
      </w:r>
      <w:r w:rsidRPr="002E1A5F">
        <w:t>the</w:t>
      </w:r>
      <w:r w:rsidRPr="002E1A5F">
        <w:rPr>
          <w:spacing w:val="-2"/>
        </w:rPr>
        <w:t xml:space="preserve"> </w:t>
      </w:r>
      <w:r w:rsidRPr="002E1A5F">
        <w:rPr>
          <w:spacing w:val="-1"/>
        </w:rPr>
        <w:t>following</w:t>
      </w:r>
      <w:r w:rsidRPr="002E1A5F">
        <w:rPr>
          <w:spacing w:val="47"/>
        </w:rPr>
        <w:t xml:space="preserve"> </w:t>
      </w:r>
      <w:r w:rsidRPr="002E1A5F">
        <w:rPr>
          <w:spacing w:val="-1"/>
        </w:rPr>
        <w:t>provisions:</w:t>
      </w:r>
    </w:p>
    <w:p w14:paraId="7DF4A926" w14:textId="77777777" w:rsidR="00E11E16" w:rsidRPr="002E1A5F" w:rsidRDefault="00E11E16" w:rsidP="00E11E16">
      <w:pPr>
        <w:kinsoku w:val="0"/>
        <w:overflowPunct w:val="0"/>
        <w:spacing w:before="10"/>
        <w:ind w:left="1080"/>
        <w:jc w:val="both"/>
      </w:pPr>
    </w:p>
    <w:p w14:paraId="2E0A08C6" w14:textId="77777777" w:rsidR="00E11E16" w:rsidRPr="002E1A5F" w:rsidRDefault="00E11E16" w:rsidP="00E11E16">
      <w:pPr>
        <w:kinsoku w:val="0"/>
        <w:overflowPunct w:val="0"/>
        <w:ind w:left="1080"/>
        <w:jc w:val="both"/>
        <w:rPr>
          <w:i/>
          <w:iCs/>
        </w:rPr>
      </w:pPr>
      <w:r w:rsidRPr="002E1A5F">
        <w:rPr>
          <w:i/>
          <w:iCs/>
          <w:spacing w:val="-1"/>
        </w:rPr>
        <w:t>‘‘These</w:t>
      </w:r>
      <w:r w:rsidRPr="002E1A5F">
        <w:rPr>
          <w:i/>
          <w:iCs/>
        </w:rPr>
        <w:t xml:space="preserve"> </w:t>
      </w:r>
      <w:r w:rsidRPr="002E1A5F">
        <w:rPr>
          <w:i/>
          <w:iCs/>
          <w:spacing w:val="-1"/>
        </w:rPr>
        <w:t>provisions</w:t>
      </w:r>
      <w:r w:rsidRPr="002E1A5F">
        <w:rPr>
          <w:i/>
          <w:iCs/>
        </w:rPr>
        <w:t xml:space="preserve"> </w:t>
      </w:r>
      <w:r w:rsidRPr="002E1A5F">
        <w:rPr>
          <w:i/>
          <w:iCs/>
          <w:spacing w:val="-1"/>
        </w:rPr>
        <w:t>are</w:t>
      </w:r>
      <w:r w:rsidRPr="002E1A5F">
        <w:rPr>
          <w:i/>
          <w:iCs/>
        </w:rPr>
        <w:t xml:space="preserve"> </w:t>
      </w:r>
      <w:r w:rsidRPr="002E1A5F">
        <w:rPr>
          <w:i/>
          <w:iCs/>
          <w:spacing w:val="-1"/>
        </w:rPr>
        <w:t>consistent</w:t>
      </w:r>
      <w:r w:rsidRPr="002E1A5F">
        <w:rPr>
          <w:i/>
          <w:iCs/>
          <w:spacing w:val="1"/>
        </w:rPr>
        <w:t xml:space="preserve"> </w:t>
      </w:r>
      <w:r w:rsidRPr="002E1A5F">
        <w:rPr>
          <w:i/>
          <w:iCs/>
          <w:spacing w:val="-2"/>
        </w:rPr>
        <w:t>with</w:t>
      </w:r>
      <w:r w:rsidRPr="002E1A5F">
        <w:rPr>
          <w:i/>
          <w:iCs/>
        </w:rPr>
        <w:t xml:space="preserve"> and </w:t>
      </w:r>
      <w:r w:rsidRPr="002E1A5F">
        <w:rPr>
          <w:i/>
          <w:iCs/>
          <w:spacing w:val="-2"/>
        </w:rPr>
        <w:t>do</w:t>
      </w:r>
      <w:r w:rsidRPr="002E1A5F">
        <w:rPr>
          <w:i/>
          <w:iCs/>
        </w:rPr>
        <w:t xml:space="preserve"> not</w:t>
      </w:r>
      <w:r w:rsidRPr="002E1A5F">
        <w:rPr>
          <w:i/>
          <w:iCs/>
          <w:spacing w:val="-2"/>
        </w:rPr>
        <w:t xml:space="preserve"> </w:t>
      </w:r>
      <w:r w:rsidRPr="002E1A5F">
        <w:rPr>
          <w:i/>
          <w:iCs/>
          <w:spacing w:val="-1"/>
        </w:rPr>
        <w:t>supersede,</w:t>
      </w:r>
      <w:r w:rsidRPr="002E1A5F">
        <w:rPr>
          <w:i/>
          <w:iCs/>
          <w:spacing w:val="-2"/>
        </w:rPr>
        <w:t xml:space="preserve"> </w:t>
      </w:r>
      <w:r w:rsidRPr="002E1A5F">
        <w:rPr>
          <w:i/>
          <w:iCs/>
          <w:spacing w:val="-1"/>
        </w:rPr>
        <w:t>conflict</w:t>
      </w:r>
      <w:r w:rsidRPr="002E1A5F">
        <w:rPr>
          <w:i/>
          <w:iCs/>
          <w:spacing w:val="1"/>
        </w:rPr>
        <w:t xml:space="preserve"> </w:t>
      </w:r>
      <w:r w:rsidRPr="002E1A5F">
        <w:rPr>
          <w:i/>
          <w:iCs/>
          <w:spacing w:val="-2"/>
        </w:rPr>
        <w:t xml:space="preserve">with, </w:t>
      </w:r>
      <w:r w:rsidRPr="002E1A5F">
        <w:rPr>
          <w:i/>
          <w:iCs/>
        </w:rPr>
        <w:t xml:space="preserve">or </w:t>
      </w:r>
      <w:r w:rsidRPr="002E1A5F">
        <w:rPr>
          <w:i/>
          <w:iCs/>
          <w:spacing w:val="-1"/>
        </w:rPr>
        <w:t>otherwise</w:t>
      </w:r>
      <w:r w:rsidRPr="002E1A5F">
        <w:rPr>
          <w:i/>
          <w:iCs/>
        </w:rPr>
        <w:t xml:space="preserve"> </w:t>
      </w:r>
      <w:r w:rsidRPr="002E1A5F">
        <w:rPr>
          <w:i/>
          <w:iCs/>
          <w:spacing w:val="-1"/>
        </w:rPr>
        <w:t>alter</w:t>
      </w:r>
      <w:r w:rsidRPr="002E1A5F">
        <w:rPr>
          <w:i/>
          <w:iCs/>
          <w:spacing w:val="-2"/>
        </w:rPr>
        <w:t xml:space="preserve"> </w:t>
      </w:r>
      <w:r w:rsidRPr="002E1A5F">
        <w:rPr>
          <w:i/>
          <w:iCs/>
        </w:rPr>
        <w:t xml:space="preserve">the </w:t>
      </w:r>
      <w:r w:rsidRPr="002E1A5F">
        <w:rPr>
          <w:i/>
          <w:iCs/>
          <w:spacing w:val="-1"/>
        </w:rPr>
        <w:t>employee</w:t>
      </w:r>
      <w:r w:rsidRPr="002E1A5F">
        <w:rPr>
          <w:i/>
          <w:iCs/>
        </w:rPr>
        <w:t xml:space="preserve"> </w:t>
      </w:r>
      <w:r w:rsidRPr="002E1A5F">
        <w:rPr>
          <w:i/>
          <w:iCs/>
          <w:spacing w:val="-1"/>
        </w:rPr>
        <w:t>obligations,</w:t>
      </w:r>
      <w:r w:rsidRPr="002E1A5F">
        <w:rPr>
          <w:i/>
          <w:iCs/>
        </w:rPr>
        <w:t xml:space="preserve"> </w:t>
      </w:r>
      <w:r w:rsidRPr="002E1A5F">
        <w:rPr>
          <w:i/>
          <w:iCs/>
          <w:spacing w:val="-1"/>
        </w:rPr>
        <w:t>rights,</w:t>
      </w:r>
      <w:r w:rsidRPr="002E1A5F">
        <w:rPr>
          <w:i/>
          <w:iCs/>
        </w:rPr>
        <w:t xml:space="preserve"> or</w:t>
      </w:r>
      <w:r w:rsidRPr="002E1A5F">
        <w:rPr>
          <w:i/>
          <w:iCs/>
          <w:spacing w:val="-4"/>
        </w:rPr>
        <w:t xml:space="preserve"> </w:t>
      </w:r>
      <w:r w:rsidRPr="002E1A5F">
        <w:rPr>
          <w:i/>
          <w:iCs/>
          <w:spacing w:val="-1"/>
        </w:rPr>
        <w:t>liabilities</w:t>
      </w:r>
      <w:r w:rsidRPr="002E1A5F">
        <w:rPr>
          <w:i/>
          <w:iCs/>
        </w:rPr>
        <w:t xml:space="preserve"> </w:t>
      </w:r>
      <w:r w:rsidRPr="002E1A5F">
        <w:rPr>
          <w:i/>
          <w:iCs/>
          <w:spacing w:val="-1"/>
        </w:rPr>
        <w:t>created</w:t>
      </w:r>
      <w:r w:rsidRPr="002E1A5F">
        <w:rPr>
          <w:i/>
          <w:iCs/>
        </w:rPr>
        <w:t xml:space="preserve"> by</w:t>
      </w:r>
      <w:r w:rsidRPr="002E1A5F">
        <w:rPr>
          <w:i/>
          <w:iCs/>
          <w:spacing w:val="39"/>
        </w:rPr>
        <w:t xml:space="preserve"> </w:t>
      </w:r>
      <w:r w:rsidRPr="002E1A5F">
        <w:rPr>
          <w:i/>
          <w:iCs/>
          <w:spacing w:val="-1"/>
        </w:rPr>
        <w:t>existing</w:t>
      </w:r>
      <w:r w:rsidRPr="002E1A5F">
        <w:rPr>
          <w:i/>
          <w:iCs/>
        </w:rPr>
        <w:t xml:space="preserve"> </w:t>
      </w:r>
      <w:r w:rsidRPr="002E1A5F">
        <w:rPr>
          <w:i/>
          <w:iCs/>
          <w:spacing w:val="-1"/>
        </w:rPr>
        <w:t>statute</w:t>
      </w:r>
      <w:r w:rsidRPr="002E1A5F">
        <w:rPr>
          <w:i/>
          <w:iCs/>
          <w:spacing w:val="-2"/>
        </w:rPr>
        <w:t xml:space="preserve"> </w:t>
      </w:r>
      <w:r w:rsidRPr="002E1A5F">
        <w:rPr>
          <w:i/>
          <w:iCs/>
        </w:rPr>
        <w:t xml:space="preserve">or </w:t>
      </w:r>
      <w:r w:rsidRPr="002E1A5F">
        <w:rPr>
          <w:i/>
          <w:iCs/>
          <w:spacing w:val="-1"/>
        </w:rPr>
        <w:t>Executive</w:t>
      </w:r>
      <w:r w:rsidRPr="002E1A5F">
        <w:rPr>
          <w:i/>
          <w:iCs/>
        </w:rPr>
        <w:t xml:space="preserve"> </w:t>
      </w:r>
      <w:r w:rsidRPr="002E1A5F">
        <w:rPr>
          <w:i/>
          <w:iCs/>
          <w:spacing w:val="-1"/>
        </w:rPr>
        <w:t>order</w:t>
      </w:r>
      <w:r w:rsidRPr="002E1A5F">
        <w:rPr>
          <w:i/>
          <w:iCs/>
        </w:rPr>
        <w:t xml:space="preserve"> </w:t>
      </w:r>
      <w:r w:rsidRPr="002E1A5F">
        <w:rPr>
          <w:i/>
          <w:iCs/>
          <w:spacing w:val="-1"/>
        </w:rPr>
        <w:t>relating</w:t>
      </w:r>
      <w:r w:rsidRPr="002E1A5F">
        <w:rPr>
          <w:i/>
          <w:iCs/>
          <w:spacing w:val="-3"/>
        </w:rPr>
        <w:t xml:space="preserve"> </w:t>
      </w:r>
      <w:r w:rsidRPr="002E1A5F">
        <w:rPr>
          <w:i/>
          <w:iCs/>
        </w:rPr>
        <w:t xml:space="preserve">to </w:t>
      </w:r>
      <w:r w:rsidRPr="002E1A5F">
        <w:rPr>
          <w:i/>
          <w:iCs/>
          <w:spacing w:val="-1"/>
        </w:rPr>
        <w:t>(1)</w:t>
      </w:r>
      <w:r w:rsidRPr="002E1A5F">
        <w:rPr>
          <w:i/>
          <w:iCs/>
          <w:spacing w:val="-2"/>
        </w:rPr>
        <w:t xml:space="preserve"> </w:t>
      </w:r>
      <w:r w:rsidRPr="002E1A5F">
        <w:rPr>
          <w:i/>
          <w:iCs/>
          <w:spacing w:val="-1"/>
        </w:rPr>
        <w:t>classified</w:t>
      </w:r>
      <w:r w:rsidRPr="002E1A5F">
        <w:rPr>
          <w:i/>
          <w:iCs/>
          <w:spacing w:val="-2"/>
        </w:rPr>
        <w:t xml:space="preserve"> </w:t>
      </w:r>
      <w:r w:rsidRPr="002E1A5F">
        <w:rPr>
          <w:i/>
          <w:iCs/>
          <w:spacing w:val="-1"/>
        </w:rPr>
        <w:t>information,</w:t>
      </w:r>
      <w:r w:rsidRPr="002E1A5F">
        <w:rPr>
          <w:i/>
          <w:iCs/>
        </w:rPr>
        <w:t xml:space="preserve"> </w:t>
      </w:r>
      <w:r w:rsidRPr="002E1A5F">
        <w:rPr>
          <w:i/>
          <w:iCs/>
          <w:spacing w:val="-1"/>
        </w:rPr>
        <w:t>(2)</w:t>
      </w:r>
      <w:r w:rsidRPr="002E1A5F">
        <w:rPr>
          <w:i/>
          <w:iCs/>
          <w:spacing w:val="55"/>
        </w:rPr>
        <w:t xml:space="preserve"> </w:t>
      </w:r>
      <w:r w:rsidRPr="002E1A5F">
        <w:rPr>
          <w:i/>
          <w:iCs/>
          <w:spacing w:val="-1"/>
        </w:rPr>
        <w:t>communications</w:t>
      </w:r>
      <w:r w:rsidRPr="002E1A5F">
        <w:rPr>
          <w:i/>
          <w:iCs/>
          <w:spacing w:val="-2"/>
        </w:rPr>
        <w:t xml:space="preserve"> </w:t>
      </w:r>
      <w:r w:rsidRPr="002E1A5F">
        <w:rPr>
          <w:i/>
          <w:iCs/>
        </w:rPr>
        <w:t xml:space="preserve">to </w:t>
      </w:r>
      <w:r w:rsidRPr="002E1A5F">
        <w:rPr>
          <w:i/>
          <w:iCs/>
          <w:spacing w:val="-1"/>
        </w:rPr>
        <w:t>Congress,</w:t>
      </w:r>
      <w:r w:rsidRPr="002E1A5F">
        <w:rPr>
          <w:i/>
          <w:iCs/>
        </w:rPr>
        <w:t xml:space="preserve"> </w:t>
      </w:r>
      <w:r w:rsidRPr="002E1A5F">
        <w:rPr>
          <w:i/>
          <w:iCs/>
          <w:spacing w:val="-1"/>
        </w:rPr>
        <w:t>(3)</w:t>
      </w:r>
      <w:r w:rsidRPr="002E1A5F">
        <w:rPr>
          <w:i/>
          <w:iCs/>
          <w:spacing w:val="-2"/>
        </w:rPr>
        <w:t xml:space="preserve"> </w:t>
      </w:r>
      <w:r w:rsidRPr="002E1A5F">
        <w:rPr>
          <w:i/>
          <w:iCs/>
        </w:rPr>
        <w:t xml:space="preserve">the </w:t>
      </w:r>
      <w:r w:rsidRPr="002E1A5F">
        <w:rPr>
          <w:i/>
          <w:iCs/>
          <w:spacing w:val="-1"/>
        </w:rPr>
        <w:t>reporting</w:t>
      </w:r>
      <w:r w:rsidRPr="002E1A5F">
        <w:rPr>
          <w:i/>
          <w:iCs/>
        </w:rPr>
        <w:t xml:space="preserve"> </w:t>
      </w:r>
      <w:r w:rsidRPr="002E1A5F">
        <w:rPr>
          <w:i/>
          <w:iCs/>
          <w:spacing w:val="-1"/>
        </w:rPr>
        <w:t>to</w:t>
      </w:r>
      <w:r w:rsidRPr="002E1A5F">
        <w:rPr>
          <w:i/>
          <w:iCs/>
        </w:rPr>
        <w:t xml:space="preserve"> an </w:t>
      </w:r>
      <w:r w:rsidRPr="002E1A5F">
        <w:rPr>
          <w:i/>
          <w:iCs/>
          <w:spacing w:val="-1"/>
        </w:rPr>
        <w:t>Inspector</w:t>
      </w:r>
      <w:r w:rsidRPr="002E1A5F">
        <w:rPr>
          <w:i/>
          <w:iCs/>
        </w:rPr>
        <w:t xml:space="preserve"> </w:t>
      </w:r>
      <w:r w:rsidRPr="002E1A5F">
        <w:rPr>
          <w:i/>
          <w:iCs/>
          <w:spacing w:val="-1"/>
        </w:rPr>
        <w:t>General</w:t>
      </w:r>
      <w:r w:rsidRPr="002E1A5F">
        <w:rPr>
          <w:i/>
          <w:iCs/>
          <w:spacing w:val="1"/>
        </w:rPr>
        <w:t xml:space="preserve"> or any investigative or law enforcement repr</w:t>
      </w:r>
      <w:r w:rsidRPr="002E1A5F">
        <w:rPr>
          <w:i/>
          <w:iCs/>
        </w:rPr>
        <w:t>esentative of a Federal</w:t>
      </w:r>
      <w:r w:rsidRPr="002E1A5F">
        <w:rPr>
          <w:i/>
          <w:iCs/>
          <w:spacing w:val="1"/>
        </w:rPr>
        <w:t xml:space="preserve"> department or agency of a suspected </w:t>
      </w:r>
      <w:r w:rsidRPr="002E1A5F">
        <w:rPr>
          <w:i/>
          <w:iCs/>
          <w:spacing w:val="-1"/>
        </w:rPr>
        <w:t>violation</w:t>
      </w:r>
      <w:r w:rsidRPr="002E1A5F">
        <w:rPr>
          <w:i/>
          <w:iCs/>
        </w:rPr>
        <w:t xml:space="preserve"> </w:t>
      </w:r>
      <w:r w:rsidRPr="002E1A5F">
        <w:rPr>
          <w:i/>
          <w:iCs/>
          <w:spacing w:val="-2"/>
        </w:rPr>
        <w:t>of</w:t>
      </w:r>
      <w:r w:rsidRPr="002E1A5F">
        <w:rPr>
          <w:i/>
          <w:iCs/>
          <w:spacing w:val="1"/>
        </w:rPr>
        <w:t xml:space="preserve"> </w:t>
      </w:r>
      <w:r w:rsidRPr="002E1A5F">
        <w:rPr>
          <w:i/>
          <w:iCs/>
          <w:spacing w:val="-1"/>
        </w:rPr>
        <w:t>any</w:t>
      </w:r>
      <w:r w:rsidRPr="002E1A5F">
        <w:rPr>
          <w:i/>
          <w:iCs/>
        </w:rPr>
        <w:t xml:space="preserve"> law,</w:t>
      </w:r>
      <w:r w:rsidRPr="002E1A5F">
        <w:rPr>
          <w:i/>
          <w:iCs/>
          <w:spacing w:val="-3"/>
        </w:rPr>
        <w:t xml:space="preserve"> </w:t>
      </w:r>
      <w:r w:rsidRPr="002E1A5F">
        <w:rPr>
          <w:i/>
          <w:iCs/>
          <w:spacing w:val="-1"/>
        </w:rPr>
        <w:t>rule,</w:t>
      </w:r>
      <w:r w:rsidRPr="002E1A5F">
        <w:rPr>
          <w:i/>
          <w:iCs/>
        </w:rPr>
        <w:t xml:space="preserve"> </w:t>
      </w:r>
      <w:r w:rsidRPr="002E1A5F">
        <w:rPr>
          <w:i/>
          <w:iCs/>
          <w:spacing w:val="-1"/>
        </w:rPr>
        <w:t>or</w:t>
      </w:r>
      <w:r w:rsidRPr="002E1A5F">
        <w:rPr>
          <w:i/>
          <w:iCs/>
        </w:rPr>
        <w:t xml:space="preserve"> </w:t>
      </w:r>
      <w:r w:rsidRPr="002E1A5F">
        <w:rPr>
          <w:i/>
          <w:iCs/>
          <w:spacing w:val="-1"/>
        </w:rPr>
        <w:t>regulation,</w:t>
      </w:r>
      <w:r w:rsidRPr="002E1A5F">
        <w:rPr>
          <w:i/>
          <w:iCs/>
        </w:rPr>
        <w:t xml:space="preserve"> or </w:t>
      </w:r>
      <w:r w:rsidRPr="002E1A5F">
        <w:rPr>
          <w:i/>
          <w:iCs/>
          <w:spacing w:val="-1"/>
        </w:rPr>
        <w:t>mismanagement,</w:t>
      </w:r>
      <w:r w:rsidRPr="002E1A5F">
        <w:rPr>
          <w:i/>
          <w:iCs/>
        </w:rPr>
        <w:t xml:space="preserve"> a </w:t>
      </w:r>
      <w:r w:rsidRPr="002E1A5F">
        <w:rPr>
          <w:i/>
          <w:iCs/>
          <w:spacing w:val="-1"/>
        </w:rPr>
        <w:t>gross</w:t>
      </w:r>
      <w:r w:rsidRPr="002E1A5F">
        <w:rPr>
          <w:i/>
          <w:iCs/>
        </w:rPr>
        <w:t xml:space="preserve"> </w:t>
      </w:r>
      <w:r w:rsidRPr="002E1A5F">
        <w:rPr>
          <w:i/>
          <w:iCs/>
          <w:spacing w:val="-1"/>
        </w:rPr>
        <w:t>waste</w:t>
      </w:r>
      <w:r w:rsidRPr="002E1A5F">
        <w:rPr>
          <w:i/>
          <w:iCs/>
          <w:spacing w:val="43"/>
        </w:rPr>
        <w:t xml:space="preserve"> </w:t>
      </w:r>
      <w:r w:rsidRPr="002E1A5F">
        <w:rPr>
          <w:i/>
          <w:iCs/>
        </w:rPr>
        <w:t>of</w:t>
      </w:r>
      <w:r w:rsidRPr="002E1A5F">
        <w:rPr>
          <w:i/>
          <w:iCs/>
          <w:spacing w:val="1"/>
        </w:rPr>
        <w:t xml:space="preserve"> </w:t>
      </w:r>
      <w:r w:rsidRPr="002E1A5F">
        <w:rPr>
          <w:i/>
          <w:iCs/>
          <w:spacing w:val="-1"/>
        </w:rPr>
        <w:t>funds,</w:t>
      </w:r>
      <w:r w:rsidRPr="002E1A5F">
        <w:rPr>
          <w:i/>
          <w:iCs/>
        </w:rPr>
        <w:t xml:space="preserve"> </w:t>
      </w:r>
      <w:r w:rsidRPr="002E1A5F">
        <w:rPr>
          <w:i/>
          <w:iCs/>
          <w:spacing w:val="-1"/>
        </w:rPr>
        <w:t>an</w:t>
      </w:r>
      <w:r w:rsidRPr="002E1A5F">
        <w:rPr>
          <w:i/>
          <w:iCs/>
        </w:rPr>
        <w:t xml:space="preserve"> </w:t>
      </w:r>
      <w:r w:rsidRPr="002E1A5F">
        <w:rPr>
          <w:i/>
          <w:iCs/>
          <w:spacing w:val="-1"/>
        </w:rPr>
        <w:t>abuse</w:t>
      </w:r>
      <w:r w:rsidRPr="002E1A5F">
        <w:rPr>
          <w:i/>
          <w:iCs/>
        </w:rPr>
        <w:t xml:space="preserve"> </w:t>
      </w:r>
      <w:r w:rsidRPr="002E1A5F">
        <w:rPr>
          <w:i/>
          <w:iCs/>
          <w:spacing w:val="-2"/>
        </w:rPr>
        <w:t>of</w:t>
      </w:r>
      <w:r w:rsidRPr="002E1A5F">
        <w:rPr>
          <w:i/>
          <w:iCs/>
          <w:spacing w:val="1"/>
        </w:rPr>
        <w:t xml:space="preserve"> </w:t>
      </w:r>
      <w:r w:rsidRPr="002E1A5F">
        <w:rPr>
          <w:i/>
          <w:iCs/>
          <w:spacing w:val="-1"/>
        </w:rPr>
        <w:t>authority,</w:t>
      </w:r>
      <w:r w:rsidRPr="002E1A5F">
        <w:rPr>
          <w:i/>
          <w:iCs/>
        </w:rPr>
        <w:t xml:space="preserve"> or</w:t>
      </w:r>
      <w:r w:rsidRPr="002E1A5F">
        <w:rPr>
          <w:i/>
          <w:iCs/>
          <w:spacing w:val="-2"/>
        </w:rPr>
        <w:t xml:space="preserve"> </w:t>
      </w:r>
      <w:r w:rsidRPr="002E1A5F">
        <w:rPr>
          <w:i/>
          <w:iCs/>
        </w:rPr>
        <w:t xml:space="preserve">a </w:t>
      </w:r>
      <w:r w:rsidRPr="002E1A5F">
        <w:rPr>
          <w:i/>
          <w:iCs/>
          <w:spacing w:val="-1"/>
        </w:rPr>
        <w:t>substantial</w:t>
      </w:r>
      <w:r w:rsidRPr="002E1A5F">
        <w:rPr>
          <w:i/>
          <w:iCs/>
          <w:spacing w:val="-2"/>
        </w:rPr>
        <w:t xml:space="preserve"> </w:t>
      </w:r>
      <w:r w:rsidRPr="002E1A5F">
        <w:rPr>
          <w:i/>
          <w:iCs/>
        </w:rPr>
        <w:t xml:space="preserve">and </w:t>
      </w:r>
      <w:r w:rsidRPr="002E1A5F">
        <w:rPr>
          <w:i/>
          <w:iCs/>
          <w:spacing w:val="-1"/>
        </w:rPr>
        <w:t>specific</w:t>
      </w:r>
      <w:r w:rsidRPr="002E1A5F">
        <w:rPr>
          <w:i/>
          <w:iCs/>
        </w:rPr>
        <w:t xml:space="preserve"> </w:t>
      </w:r>
      <w:r w:rsidRPr="002E1A5F">
        <w:rPr>
          <w:i/>
          <w:iCs/>
          <w:spacing w:val="-1"/>
        </w:rPr>
        <w:t>danger</w:t>
      </w:r>
      <w:r w:rsidRPr="002E1A5F">
        <w:rPr>
          <w:i/>
          <w:iCs/>
          <w:spacing w:val="-2"/>
        </w:rPr>
        <w:t xml:space="preserve"> </w:t>
      </w:r>
      <w:r w:rsidRPr="002E1A5F">
        <w:rPr>
          <w:i/>
          <w:iCs/>
        </w:rPr>
        <w:t>to</w:t>
      </w:r>
      <w:r w:rsidRPr="002E1A5F">
        <w:rPr>
          <w:i/>
          <w:iCs/>
          <w:spacing w:val="43"/>
        </w:rPr>
        <w:t xml:space="preserve"> </w:t>
      </w:r>
      <w:r w:rsidRPr="002E1A5F">
        <w:rPr>
          <w:i/>
          <w:iCs/>
          <w:spacing w:val="-1"/>
        </w:rPr>
        <w:t>public</w:t>
      </w:r>
      <w:r w:rsidRPr="002E1A5F">
        <w:rPr>
          <w:i/>
          <w:iCs/>
        </w:rPr>
        <w:t xml:space="preserve"> </w:t>
      </w:r>
      <w:r w:rsidRPr="002E1A5F">
        <w:rPr>
          <w:i/>
          <w:iCs/>
          <w:spacing w:val="-1"/>
        </w:rPr>
        <w:t>health</w:t>
      </w:r>
      <w:r w:rsidRPr="002E1A5F">
        <w:rPr>
          <w:i/>
          <w:iCs/>
        </w:rPr>
        <w:t xml:space="preserve"> or</w:t>
      </w:r>
      <w:r w:rsidRPr="002E1A5F">
        <w:rPr>
          <w:i/>
          <w:iCs/>
          <w:spacing w:val="-2"/>
        </w:rPr>
        <w:t xml:space="preserve"> </w:t>
      </w:r>
      <w:r w:rsidRPr="002E1A5F">
        <w:rPr>
          <w:i/>
          <w:iCs/>
          <w:spacing w:val="-1"/>
        </w:rPr>
        <w:t>safety,</w:t>
      </w:r>
      <w:r w:rsidRPr="002E1A5F">
        <w:rPr>
          <w:i/>
          <w:iCs/>
        </w:rPr>
        <w:t xml:space="preserve"> or </w:t>
      </w:r>
      <w:r w:rsidRPr="002E1A5F">
        <w:rPr>
          <w:i/>
          <w:iCs/>
          <w:spacing w:val="-2"/>
        </w:rPr>
        <w:t xml:space="preserve">(4) </w:t>
      </w:r>
      <w:r w:rsidRPr="002E1A5F">
        <w:rPr>
          <w:i/>
          <w:iCs/>
        </w:rPr>
        <w:t xml:space="preserve">any </w:t>
      </w:r>
      <w:r w:rsidRPr="002E1A5F">
        <w:rPr>
          <w:i/>
          <w:iCs/>
          <w:spacing w:val="-1"/>
        </w:rPr>
        <w:t>other</w:t>
      </w:r>
      <w:r w:rsidRPr="002E1A5F">
        <w:rPr>
          <w:i/>
          <w:iCs/>
        </w:rPr>
        <w:t xml:space="preserve"> </w:t>
      </w:r>
      <w:r w:rsidRPr="002E1A5F">
        <w:rPr>
          <w:i/>
          <w:iCs/>
          <w:spacing w:val="-1"/>
        </w:rPr>
        <w:t>whistleblower</w:t>
      </w:r>
      <w:r w:rsidRPr="002E1A5F">
        <w:rPr>
          <w:i/>
          <w:iCs/>
          <w:spacing w:val="-2"/>
        </w:rPr>
        <w:t xml:space="preserve"> </w:t>
      </w:r>
      <w:r w:rsidRPr="002E1A5F">
        <w:rPr>
          <w:i/>
          <w:iCs/>
          <w:spacing w:val="-1"/>
        </w:rPr>
        <w:t>protection.</w:t>
      </w:r>
      <w:r w:rsidRPr="002E1A5F">
        <w:rPr>
          <w:i/>
          <w:iCs/>
        </w:rPr>
        <w:t xml:space="preserve"> </w:t>
      </w:r>
      <w:r w:rsidRPr="002E1A5F">
        <w:rPr>
          <w:i/>
          <w:iCs/>
          <w:spacing w:val="-1"/>
        </w:rPr>
        <w:t>The</w:t>
      </w:r>
      <w:r w:rsidRPr="002E1A5F">
        <w:rPr>
          <w:i/>
          <w:iCs/>
          <w:spacing w:val="53"/>
        </w:rPr>
        <w:t xml:space="preserve"> </w:t>
      </w:r>
      <w:r w:rsidRPr="002E1A5F">
        <w:rPr>
          <w:i/>
          <w:iCs/>
          <w:spacing w:val="-1"/>
        </w:rPr>
        <w:t>definitions,</w:t>
      </w:r>
      <w:r w:rsidRPr="002E1A5F">
        <w:rPr>
          <w:i/>
          <w:iCs/>
        </w:rPr>
        <w:t xml:space="preserve"> </w:t>
      </w:r>
      <w:r w:rsidRPr="002E1A5F">
        <w:rPr>
          <w:i/>
          <w:iCs/>
          <w:spacing w:val="-1"/>
        </w:rPr>
        <w:t>requirements,</w:t>
      </w:r>
      <w:r w:rsidRPr="002E1A5F">
        <w:rPr>
          <w:i/>
          <w:iCs/>
          <w:spacing w:val="-2"/>
        </w:rPr>
        <w:t xml:space="preserve"> </w:t>
      </w:r>
      <w:r w:rsidRPr="002E1A5F">
        <w:rPr>
          <w:i/>
          <w:iCs/>
          <w:spacing w:val="-1"/>
        </w:rPr>
        <w:t>obligations,</w:t>
      </w:r>
      <w:r w:rsidRPr="002E1A5F">
        <w:rPr>
          <w:i/>
          <w:iCs/>
          <w:spacing w:val="-2"/>
        </w:rPr>
        <w:t xml:space="preserve"> </w:t>
      </w:r>
      <w:r w:rsidRPr="002E1A5F">
        <w:rPr>
          <w:i/>
          <w:iCs/>
          <w:spacing w:val="-1"/>
        </w:rPr>
        <w:t>rights,</w:t>
      </w:r>
      <w:r w:rsidRPr="002E1A5F">
        <w:rPr>
          <w:i/>
          <w:iCs/>
        </w:rPr>
        <w:t xml:space="preserve"> </w:t>
      </w:r>
      <w:r w:rsidRPr="002E1A5F">
        <w:rPr>
          <w:i/>
          <w:iCs/>
          <w:spacing w:val="-1"/>
        </w:rPr>
        <w:t>sanctions,</w:t>
      </w:r>
      <w:r w:rsidRPr="002E1A5F">
        <w:rPr>
          <w:i/>
          <w:iCs/>
        </w:rPr>
        <w:t xml:space="preserve"> and </w:t>
      </w:r>
      <w:r w:rsidRPr="002E1A5F">
        <w:rPr>
          <w:i/>
          <w:iCs/>
          <w:spacing w:val="-1"/>
        </w:rPr>
        <w:t>liabilities</w:t>
      </w:r>
      <w:r w:rsidRPr="002E1A5F">
        <w:rPr>
          <w:i/>
          <w:iCs/>
          <w:spacing w:val="47"/>
        </w:rPr>
        <w:t xml:space="preserve"> </w:t>
      </w:r>
      <w:r w:rsidRPr="002E1A5F">
        <w:rPr>
          <w:i/>
          <w:iCs/>
          <w:spacing w:val="-1"/>
        </w:rPr>
        <w:t>created</w:t>
      </w:r>
      <w:r w:rsidRPr="002E1A5F">
        <w:rPr>
          <w:i/>
          <w:iCs/>
        </w:rPr>
        <w:t xml:space="preserve"> </w:t>
      </w:r>
      <w:r w:rsidRPr="002E1A5F">
        <w:rPr>
          <w:i/>
          <w:iCs/>
          <w:spacing w:val="-1"/>
        </w:rPr>
        <w:t>by</w:t>
      </w:r>
      <w:r w:rsidRPr="002E1A5F">
        <w:rPr>
          <w:i/>
          <w:iCs/>
        </w:rPr>
        <w:t xml:space="preserve"> </w:t>
      </w:r>
      <w:r w:rsidRPr="002E1A5F">
        <w:rPr>
          <w:i/>
          <w:iCs/>
          <w:spacing w:val="-1"/>
        </w:rPr>
        <w:t>controlling</w:t>
      </w:r>
      <w:r w:rsidRPr="002E1A5F">
        <w:rPr>
          <w:i/>
          <w:iCs/>
        </w:rPr>
        <w:t xml:space="preserve"> </w:t>
      </w:r>
      <w:r w:rsidRPr="002E1A5F">
        <w:rPr>
          <w:i/>
          <w:iCs/>
          <w:spacing w:val="-1"/>
        </w:rPr>
        <w:t>Executive</w:t>
      </w:r>
      <w:r w:rsidRPr="002E1A5F">
        <w:rPr>
          <w:i/>
          <w:iCs/>
        </w:rPr>
        <w:t xml:space="preserve"> </w:t>
      </w:r>
      <w:r w:rsidRPr="002E1A5F">
        <w:rPr>
          <w:i/>
          <w:iCs/>
          <w:spacing w:val="-1"/>
        </w:rPr>
        <w:t>orders</w:t>
      </w:r>
      <w:r w:rsidRPr="002E1A5F">
        <w:rPr>
          <w:i/>
          <w:iCs/>
          <w:spacing w:val="3"/>
        </w:rPr>
        <w:t xml:space="preserve"> </w:t>
      </w:r>
      <w:r w:rsidRPr="002E1A5F">
        <w:rPr>
          <w:i/>
          <w:iCs/>
        </w:rPr>
        <w:t>and</w:t>
      </w:r>
      <w:r w:rsidRPr="002E1A5F">
        <w:rPr>
          <w:i/>
          <w:iCs/>
          <w:spacing w:val="-3"/>
        </w:rPr>
        <w:t xml:space="preserve"> </w:t>
      </w:r>
      <w:r w:rsidRPr="002E1A5F">
        <w:rPr>
          <w:i/>
          <w:iCs/>
          <w:spacing w:val="-1"/>
        </w:rPr>
        <w:t>statutory</w:t>
      </w:r>
      <w:r w:rsidRPr="002E1A5F">
        <w:rPr>
          <w:i/>
          <w:iCs/>
        </w:rPr>
        <w:t xml:space="preserve"> </w:t>
      </w:r>
      <w:r w:rsidRPr="002E1A5F">
        <w:rPr>
          <w:i/>
          <w:iCs/>
          <w:spacing w:val="-1"/>
        </w:rPr>
        <w:t>provisions</w:t>
      </w:r>
      <w:r w:rsidRPr="002E1A5F">
        <w:rPr>
          <w:i/>
          <w:iCs/>
        </w:rPr>
        <w:t xml:space="preserve"> </w:t>
      </w:r>
      <w:r w:rsidRPr="002E1A5F">
        <w:rPr>
          <w:i/>
          <w:iCs/>
          <w:spacing w:val="-1"/>
        </w:rPr>
        <w:t>are</w:t>
      </w:r>
      <w:r w:rsidRPr="002E1A5F">
        <w:rPr>
          <w:i/>
          <w:iCs/>
          <w:spacing w:val="45"/>
        </w:rPr>
        <w:t xml:space="preserve"> </w:t>
      </w:r>
      <w:r w:rsidRPr="002E1A5F">
        <w:rPr>
          <w:i/>
          <w:iCs/>
          <w:spacing w:val="-1"/>
        </w:rPr>
        <w:t>incorporated</w:t>
      </w:r>
      <w:r w:rsidRPr="002E1A5F">
        <w:rPr>
          <w:i/>
          <w:iCs/>
          <w:spacing w:val="-2"/>
        </w:rPr>
        <w:t xml:space="preserve"> </w:t>
      </w:r>
      <w:r w:rsidRPr="002E1A5F">
        <w:rPr>
          <w:i/>
          <w:iCs/>
          <w:spacing w:val="-1"/>
        </w:rPr>
        <w:t>into</w:t>
      </w:r>
      <w:r w:rsidRPr="002E1A5F">
        <w:rPr>
          <w:i/>
          <w:iCs/>
        </w:rPr>
        <w:t xml:space="preserve"> </w:t>
      </w:r>
      <w:r w:rsidRPr="002E1A5F">
        <w:rPr>
          <w:i/>
          <w:iCs/>
          <w:spacing w:val="-1"/>
        </w:rPr>
        <w:t>this</w:t>
      </w:r>
      <w:r w:rsidRPr="002E1A5F">
        <w:rPr>
          <w:i/>
          <w:iCs/>
          <w:spacing w:val="-2"/>
        </w:rPr>
        <w:t xml:space="preserve"> </w:t>
      </w:r>
      <w:r w:rsidRPr="7A327B2A">
        <w:rPr>
          <w:i/>
          <w:iCs/>
          <w:spacing w:val="-1"/>
        </w:rPr>
        <w:t>Agreement</w:t>
      </w:r>
      <w:r w:rsidRPr="002E1A5F">
        <w:rPr>
          <w:i/>
          <w:iCs/>
        </w:rPr>
        <w:t xml:space="preserve"> </w:t>
      </w:r>
      <w:r w:rsidRPr="002E1A5F">
        <w:rPr>
          <w:i/>
          <w:iCs/>
          <w:spacing w:val="-1"/>
        </w:rPr>
        <w:t>and</w:t>
      </w:r>
      <w:r w:rsidRPr="002E1A5F">
        <w:rPr>
          <w:i/>
          <w:iCs/>
        </w:rPr>
        <w:t xml:space="preserve"> </w:t>
      </w:r>
      <w:r w:rsidRPr="002E1A5F">
        <w:rPr>
          <w:i/>
          <w:iCs/>
          <w:spacing w:val="-1"/>
        </w:rPr>
        <w:t>are</w:t>
      </w:r>
      <w:r w:rsidRPr="002E1A5F">
        <w:rPr>
          <w:i/>
          <w:iCs/>
        </w:rPr>
        <w:t xml:space="preserve"> </w:t>
      </w:r>
      <w:proofErr w:type="gramStart"/>
      <w:r w:rsidRPr="002E1A5F">
        <w:rPr>
          <w:i/>
          <w:iCs/>
          <w:spacing w:val="-1"/>
        </w:rPr>
        <w:t>controlling.’</w:t>
      </w:r>
      <w:proofErr w:type="gramEnd"/>
      <w:r w:rsidRPr="002E1A5F">
        <w:rPr>
          <w:i/>
          <w:iCs/>
          <w:spacing w:val="-1"/>
        </w:rPr>
        <w:t>’</w:t>
      </w:r>
    </w:p>
    <w:p w14:paraId="51FF520B" w14:textId="77777777" w:rsidR="00E11E16" w:rsidRPr="002E1A5F" w:rsidRDefault="00E11E16" w:rsidP="00E11E16">
      <w:pPr>
        <w:kinsoku w:val="0"/>
        <w:overflowPunct w:val="0"/>
        <w:ind w:left="1080"/>
        <w:jc w:val="both"/>
        <w:rPr>
          <w:i/>
          <w:iCs/>
        </w:rPr>
      </w:pPr>
    </w:p>
    <w:p w14:paraId="4AFB6017" w14:textId="77777777" w:rsidR="00E11E16" w:rsidRPr="002E1A5F" w:rsidRDefault="00E11E16" w:rsidP="00E11E16">
      <w:pPr>
        <w:numPr>
          <w:ilvl w:val="0"/>
          <w:numId w:val="58"/>
        </w:numPr>
        <w:kinsoku w:val="0"/>
        <w:overflowPunct w:val="0"/>
        <w:ind w:left="1080" w:right="90"/>
        <w:jc w:val="both"/>
      </w:pPr>
      <w:r w:rsidRPr="002E1A5F">
        <w:t>The</w:t>
      </w:r>
      <w:r w:rsidRPr="002E1A5F">
        <w:rPr>
          <w:spacing w:val="-2"/>
        </w:rPr>
        <w:t xml:space="preserve"> </w:t>
      </w:r>
      <w:r w:rsidRPr="002E1A5F">
        <w:rPr>
          <w:spacing w:val="-1"/>
        </w:rPr>
        <w:t>limitation</w:t>
      </w:r>
      <w:r w:rsidRPr="002E1A5F">
        <w:t xml:space="preserve"> </w:t>
      </w:r>
      <w:r w:rsidRPr="002E1A5F">
        <w:rPr>
          <w:spacing w:val="-1"/>
        </w:rPr>
        <w:t>above</w:t>
      </w:r>
      <w:r w:rsidRPr="002E1A5F">
        <w:t xml:space="preserve"> </w:t>
      </w:r>
      <w:r w:rsidRPr="002E1A5F">
        <w:rPr>
          <w:spacing w:val="-1"/>
        </w:rPr>
        <w:t>shall</w:t>
      </w:r>
      <w:r w:rsidRPr="002E1A5F">
        <w:rPr>
          <w:spacing w:val="-2"/>
        </w:rPr>
        <w:t xml:space="preserve"> </w:t>
      </w:r>
      <w:r w:rsidRPr="002E1A5F">
        <w:t>not</w:t>
      </w:r>
      <w:r w:rsidRPr="002E1A5F">
        <w:rPr>
          <w:spacing w:val="1"/>
        </w:rPr>
        <w:t xml:space="preserve"> </w:t>
      </w:r>
      <w:r w:rsidRPr="002E1A5F">
        <w:rPr>
          <w:spacing w:val="-1"/>
        </w:rPr>
        <w:t>contravene</w:t>
      </w:r>
      <w:r w:rsidRPr="002E1A5F">
        <w:t xml:space="preserve"> </w:t>
      </w:r>
      <w:r w:rsidRPr="002E1A5F">
        <w:rPr>
          <w:spacing w:val="-1"/>
        </w:rPr>
        <w:t>requirements</w:t>
      </w:r>
      <w:r w:rsidRPr="002E1A5F">
        <w:t xml:space="preserve"> </w:t>
      </w:r>
      <w:r w:rsidRPr="002E1A5F">
        <w:rPr>
          <w:spacing w:val="-1"/>
        </w:rPr>
        <w:t>applicable</w:t>
      </w:r>
      <w:r w:rsidRPr="002E1A5F">
        <w:t xml:space="preserve"> </w:t>
      </w:r>
      <w:r w:rsidRPr="002E1A5F">
        <w:rPr>
          <w:spacing w:val="-1"/>
        </w:rPr>
        <w:t>to</w:t>
      </w:r>
      <w:r w:rsidRPr="002E1A5F">
        <w:rPr>
          <w:spacing w:val="31"/>
        </w:rPr>
        <w:t xml:space="preserve"> </w:t>
      </w:r>
      <w:r w:rsidRPr="002E1A5F">
        <w:rPr>
          <w:spacing w:val="-1"/>
        </w:rPr>
        <w:t>Standard</w:t>
      </w:r>
      <w:r w:rsidRPr="002E1A5F">
        <w:t xml:space="preserve"> </w:t>
      </w:r>
      <w:r w:rsidRPr="002E1A5F">
        <w:rPr>
          <w:spacing w:val="-1"/>
        </w:rPr>
        <w:t>Form</w:t>
      </w:r>
      <w:r w:rsidRPr="002E1A5F">
        <w:rPr>
          <w:spacing w:val="-4"/>
        </w:rPr>
        <w:t xml:space="preserve"> </w:t>
      </w:r>
      <w:r w:rsidRPr="002E1A5F">
        <w:t>312, Form</w:t>
      </w:r>
      <w:r w:rsidRPr="002E1A5F">
        <w:rPr>
          <w:spacing w:val="-4"/>
        </w:rPr>
        <w:t xml:space="preserve"> </w:t>
      </w:r>
      <w:r w:rsidRPr="002E1A5F">
        <w:t>4414, or</w:t>
      </w:r>
      <w:r w:rsidRPr="002E1A5F">
        <w:rPr>
          <w:spacing w:val="-2"/>
        </w:rPr>
        <w:t xml:space="preserve"> </w:t>
      </w:r>
      <w:r w:rsidRPr="002E1A5F">
        <w:t>any</w:t>
      </w:r>
      <w:r w:rsidRPr="002E1A5F">
        <w:rPr>
          <w:spacing w:val="-2"/>
        </w:rPr>
        <w:t xml:space="preserve"> </w:t>
      </w:r>
      <w:r w:rsidRPr="002E1A5F">
        <w:rPr>
          <w:spacing w:val="-1"/>
        </w:rPr>
        <w:t>other</w:t>
      </w:r>
      <w:r w:rsidRPr="002E1A5F">
        <w:t xml:space="preserve"> </w:t>
      </w:r>
      <w:r w:rsidRPr="002E1A5F">
        <w:rPr>
          <w:spacing w:val="-1"/>
        </w:rPr>
        <w:t>form</w:t>
      </w:r>
      <w:r w:rsidRPr="002E1A5F">
        <w:rPr>
          <w:spacing w:val="-4"/>
        </w:rPr>
        <w:t xml:space="preserve"> </w:t>
      </w:r>
      <w:r w:rsidRPr="002E1A5F">
        <w:rPr>
          <w:spacing w:val="-1"/>
        </w:rPr>
        <w:t>issued</w:t>
      </w:r>
      <w:r w:rsidRPr="002E1A5F">
        <w:t xml:space="preserve"> by</w:t>
      </w:r>
      <w:r w:rsidRPr="002E1A5F">
        <w:rPr>
          <w:spacing w:val="-2"/>
        </w:rPr>
        <w:t xml:space="preserve"> </w:t>
      </w:r>
      <w:r w:rsidRPr="002E1A5F">
        <w:t xml:space="preserve">a </w:t>
      </w:r>
      <w:r w:rsidRPr="002E1A5F">
        <w:rPr>
          <w:spacing w:val="-1"/>
        </w:rPr>
        <w:t>Federal</w:t>
      </w:r>
      <w:r w:rsidRPr="002E1A5F">
        <w:rPr>
          <w:spacing w:val="39"/>
        </w:rPr>
        <w:t xml:space="preserve"> </w:t>
      </w:r>
      <w:r w:rsidRPr="002E1A5F">
        <w:rPr>
          <w:spacing w:val="-1"/>
        </w:rPr>
        <w:t>department</w:t>
      </w:r>
      <w:r w:rsidRPr="002E1A5F">
        <w:rPr>
          <w:spacing w:val="1"/>
        </w:rPr>
        <w:t xml:space="preserve"> </w:t>
      </w:r>
      <w:r w:rsidRPr="002E1A5F">
        <w:t>or</w:t>
      </w:r>
      <w:r w:rsidRPr="002E1A5F">
        <w:rPr>
          <w:spacing w:val="-2"/>
        </w:rPr>
        <w:t xml:space="preserve"> </w:t>
      </w:r>
      <w:r w:rsidRPr="002E1A5F">
        <w:rPr>
          <w:spacing w:val="-1"/>
        </w:rPr>
        <w:t>agency</w:t>
      </w:r>
      <w:r w:rsidRPr="002E1A5F">
        <w:rPr>
          <w:spacing w:val="-3"/>
        </w:rPr>
        <w:t xml:space="preserve"> </w:t>
      </w:r>
      <w:r w:rsidRPr="002E1A5F">
        <w:rPr>
          <w:spacing w:val="-1"/>
        </w:rPr>
        <w:t>governing</w:t>
      </w:r>
      <w:r w:rsidRPr="002E1A5F">
        <w:t xml:space="preserve"> </w:t>
      </w:r>
      <w:r w:rsidRPr="002E1A5F">
        <w:rPr>
          <w:spacing w:val="-1"/>
        </w:rPr>
        <w:t>the</w:t>
      </w:r>
      <w:r w:rsidRPr="002E1A5F">
        <w:t xml:space="preserve"> </w:t>
      </w:r>
      <w:r w:rsidRPr="002E1A5F">
        <w:rPr>
          <w:spacing w:val="-1"/>
        </w:rPr>
        <w:t>nondisclosure</w:t>
      </w:r>
      <w:r w:rsidRPr="002E1A5F">
        <w:rPr>
          <w:spacing w:val="-2"/>
        </w:rPr>
        <w:t xml:space="preserve"> </w:t>
      </w:r>
      <w:r w:rsidRPr="002E1A5F">
        <w:t>of</w:t>
      </w:r>
      <w:r w:rsidRPr="002E1A5F">
        <w:rPr>
          <w:spacing w:val="-2"/>
        </w:rPr>
        <w:t xml:space="preserve"> </w:t>
      </w:r>
      <w:r w:rsidRPr="002E1A5F">
        <w:rPr>
          <w:spacing w:val="-1"/>
        </w:rPr>
        <w:t>classified</w:t>
      </w:r>
      <w:r w:rsidRPr="002E1A5F">
        <w:rPr>
          <w:spacing w:val="-2"/>
        </w:rPr>
        <w:t xml:space="preserve"> </w:t>
      </w:r>
      <w:r w:rsidRPr="002E1A5F">
        <w:rPr>
          <w:spacing w:val="-1"/>
        </w:rPr>
        <w:t>information.</w:t>
      </w:r>
    </w:p>
    <w:p w14:paraId="28A22202" w14:textId="77777777" w:rsidR="00E11E16" w:rsidRPr="002E1A5F" w:rsidRDefault="00E11E16" w:rsidP="00E11E16">
      <w:pPr>
        <w:kinsoku w:val="0"/>
        <w:overflowPunct w:val="0"/>
        <w:ind w:left="1080"/>
        <w:jc w:val="both"/>
      </w:pPr>
    </w:p>
    <w:p w14:paraId="6EFF5D6C" w14:textId="77777777" w:rsidR="00E11E16" w:rsidRPr="002E1A5F" w:rsidRDefault="00E11E16" w:rsidP="00E11E16">
      <w:pPr>
        <w:numPr>
          <w:ilvl w:val="0"/>
          <w:numId w:val="58"/>
        </w:numPr>
        <w:kinsoku w:val="0"/>
        <w:overflowPunct w:val="0"/>
        <w:ind w:left="1080" w:right="90"/>
        <w:jc w:val="both"/>
      </w:pPr>
      <w:r w:rsidRPr="002E1A5F">
        <w:rPr>
          <w:spacing w:val="-1"/>
        </w:rPr>
        <w:t>Notwithstanding</w:t>
      </w:r>
      <w:r w:rsidRPr="002E1A5F">
        <w:rPr>
          <w:spacing w:val="-3"/>
        </w:rPr>
        <w:t xml:space="preserve"> the </w:t>
      </w:r>
      <w:r w:rsidRPr="002E1A5F">
        <w:rPr>
          <w:spacing w:val="-1"/>
        </w:rPr>
        <w:t>provision</w:t>
      </w:r>
      <w:r w:rsidRPr="002E1A5F">
        <w:rPr>
          <w:spacing w:val="-3"/>
        </w:rPr>
        <w:t xml:space="preserve"> </w:t>
      </w:r>
      <w:r w:rsidRPr="002E1A5F">
        <w:rPr>
          <w:spacing w:val="-1"/>
        </w:rPr>
        <w:t>listed</w:t>
      </w:r>
      <w:r w:rsidRPr="002E1A5F">
        <w:rPr>
          <w:spacing w:val="-2"/>
        </w:rPr>
        <w:t xml:space="preserve"> </w:t>
      </w:r>
      <w:r w:rsidRPr="002E1A5F">
        <w:t xml:space="preserve">in </w:t>
      </w:r>
      <w:r w:rsidRPr="002E1A5F">
        <w:rPr>
          <w:spacing w:val="-1"/>
        </w:rPr>
        <w:t>paragraph</w:t>
      </w:r>
      <w:r w:rsidRPr="002E1A5F">
        <w:t xml:space="preserve"> (a),</w:t>
      </w:r>
      <w:r w:rsidRPr="002E1A5F">
        <w:rPr>
          <w:spacing w:val="-3"/>
        </w:rPr>
        <w:t xml:space="preserve"> </w:t>
      </w:r>
      <w:r w:rsidRPr="002E1A5F">
        <w:t xml:space="preserve">a </w:t>
      </w:r>
      <w:r w:rsidRPr="002E1A5F">
        <w:rPr>
          <w:spacing w:val="-1"/>
        </w:rPr>
        <w:t>nondisclosure</w:t>
      </w:r>
      <w:r w:rsidRPr="002E1A5F">
        <w:rPr>
          <w:spacing w:val="-2"/>
        </w:rPr>
        <w:t xml:space="preserve"> </w:t>
      </w:r>
      <w:r w:rsidRPr="002E1A5F">
        <w:t>or</w:t>
      </w:r>
      <w:r w:rsidRPr="002E1A5F">
        <w:rPr>
          <w:spacing w:val="49"/>
        </w:rPr>
        <w:t xml:space="preserve"> </w:t>
      </w:r>
      <w:r w:rsidRPr="002E1A5F">
        <w:rPr>
          <w:spacing w:val="-1"/>
        </w:rPr>
        <w:t>confidentiality</w:t>
      </w:r>
      <w:r w:rsidRPr="002E1A5F">
        <w:rPr>
          <w:spacing w:val="-2"/>
        </w:rPr>
        <w:t xml:space="preserve"> </w:t>
      </w:r>
      <w:r w:rsidRPr="002E1A5F">
        <w:rPr>
          <w:spacing w:val="-1"/>
        </w:rPr>
        <w:t>policy</w:t>
      </w:r>
      <w:r w:rsidRPr="002E1A5F">
        <w:rPr>
          <w:spacing w:val="-2"/>
        </w:rPr>
        <w:t xml:space="preserve"> </w:t>
      </w:r>
      <w:r w:rsidRPr="002E1A5F">
        <w:rPr>
          <w:spacing w:val="-1"/>
        </w:rPr>
        <w:t>form</w:t>
      </w:r>
      <w:r w:rsidRPr="002E1A5F">
        <w:rPr>
          <w:spacing w:val="-2"/>
        </w:rPr>
        <w:t xml:space="preserve"> </w:t>
      </w:r>
      <w:r w:rsidRPr="002E1A5F">
        <w:t xml:space="preserve">or </w:t>
      </w:r>
      <w:r w:rsidRPr="002E1A5F">
        <w:rPr>
          <w:spacing w:val="-1"/>
        </w:rPr>
        <w:t>agreement</w:t>
      </w:r>
      <w:r w:rsidRPr="002E1A5F">
        <w:rPr>
          <w:spacing w:val="-2"/>
        </w:rPr>
        <w:t xml:space="preserve"> </w:t>
      </w:r>
      <w:r w:rsidRPr="002E1A5F">
        <w:rPr>
          <w:spacing w:val="-1"/>
        </w:rPr>
        <w:t>that</w:t>
      </w:r>
      <w:r w:rsidRPr="002E1A5F">
        <w:rPr>
          <w:spacing w:val="1"/>
        </w:rPr>
        <w:t xml:space="preserve"> </w:t>
      </w:r>
      <w:r w:rsidRPr="002E1A5F">
        <w:rPr>
          <w:spacing w:val="-1"/>
        </w:rPr>
        <w:t>is</w:t>
      </w:r>
      <w:r w:rsidRPr="002E1A5F">
        <w:t xml:space="preserve"> to</w:t>
      </w:r>
      <w:r w:rsidRPr="002E1A5F">
        <w:rPr>
          <w:spacing w:val="-3"/>
        </w:rPr>
        <w:t xml:space="preserve"> </w:t>
      </w:r>
      <w:r w:rsidRPr="002E1A5F">
        <w:t xml:space="preserve">be </w:t>
      </w:r>
      <w:r w:rsidRPr="002E1A5F">
        <w:rPr>
          <w:spacing w:val="-1"/>
        </w:rPr>
        <w:t>executed</w:t>
      </w:r>
      <w:r w:rsidRPr="002E1A5F">
        <w:t xml:space="preserve"> by</w:t>
      </w:r>
      <w:r w:rsidRPr="002E1A5F">
        <w:rPr>
          <w:spacing w:val="-2"/>
        </w:rPr>
        <w:t xml:space="preserve"> </w:t>
      </w:r>
      <w:r w:rsidRPr="002E1A5F">
        <w:t xml:space="preserve">a </w:t>
      </w:r>
      <w:r w:rsidRPr="002E1A5F">
        <w:rPr>
          <w:spacing w:val="-1"/>
        </w:rPr>
        <w:t>person</w:t>
      </w:r>
      <w:r w:rsidRPr="002E1A5F">
        <w:rPr>
          <w:spacing w:val="53"/>
        </w:rPr>
        <w:t xml:space="preserve"> </w:t>
      </w:r>
      <w:r w:rsidRPr="002E1A5F">
        <w:rPr>
          <w:spacing w:val="-1"/>
        </w:rPr>
        <w:t>connected</w:t>
      </w:r>
      <w:r w:rsidRPr="002E1A5F">
        <w:rPr>
          <w:spacing w:val="-2"/>
        </w:rPr>
        <w:t xml:space="preserve"> </w:t>
      </w:r>
      <w:r w:rsidRPr="002E1A5F">
        <w:rPr>
          <w:spacing w:val="-1"/>
        </w:rPr>
        <w:t>with</w:t>
      </w:r>
      <w:r w:rsidRPr="002E1A5F">
        <w:t xml:space="preserve"> </w:t>
      </w:r>
      <w:r w:rsidRPr="002E1A5F">
        <w:rPr>
          <w:spacing w:val="-1"/>
        </w:rPr>
        <w:t>the</w:t>
      </w:r>
      <w:r w:rsidRPr="002E1A5F">
        <w:t xml:space="preserve"> </w:t>
      </w:r>
      <w:r w:rsidRPr="002E1A5F">
        <w:rPr>
          <w:spacing w:val="-1"/>
        </w:rPr>
        <w:t xml:space="preserve">conduct </w:t>
      </w:r>
      <w:r w:rsidRPr="002E1A5F">
        <w:t>of an</w:t>
      </w:r>
      <w:r w:rsidRPr="002E1A5F">
        <w:rPr>
          <w:spacing w:val="-2"/>
        </w:rPr>
        <w:t xml:space="preserve"> </w:t>
      </w:r>
      <w:r w:rsidRPr="002E1A5F">
        <w:rPr>
          <w:spacing w:val="-1"/>
        </w:rPr>
        <w:t>intelligence</w:t>
      </w:r>
      <w:r w:rsidRPr="002E1A5F">
        <w:t xml:space="preserve"> or</w:t>
      </w:r>
      <w:r w:rsidRPr="002E1A5F">
        <w:rPr>
          <w:spacing w:val="-1"/>
        </w:rPr>
        <w:t xml:space="preserve"> intelligence-related</w:t>
      </w:r>
      <w:r w:rsidRPr="002E1A5F">
        <w:t xml:space="preserve"> </w:t>
      </w:r>
      <w:r w:rsidRPr="002E1A5F">
        <w:rPr>
          <w:spacing w:val="-1"/>
        </w:rPr>
        <w:t>activity,</w:t>
      </w:r>
      <w:r w:rsidRPr="002E1A5F">
        <w:rPr>
          <w:spacing w:val="47"/>
        </w:rPr>
        <w:t xml:space="preserve"> </w:t>
      </w:r>
      <w:r w:rsidRPr="002E1A5F">
        <w:rPr>
          <w:spacing w:val="-1"/>
        </w:rPr>
        <w:t>other</w:t>
      </w:r>
      <w:r w:rsidRPr="002E1A5F">
        <w:t xml:space="preserve"> </w:t>
      </w:r>
      <w:r w:rsidRPr="002E1A5F">
        <w:rPr>
          <w:spacing w:val="-1"/>
        </w:rPr>
        <w:t>than</w:t>
      </w:r>
      <w:r w:rsidRPr="002E1A5F">
        <w:rPr>
          <w:spacing w:val="-2"/>
        </w:rPr>
        <w:t xml:space="preserve"> </w:t>
      </w:r>
      <w:r w:rsidRPr="002E1A5F">
        <w:t xml:space="preserve">an </w:t>
      </w:r>
      <w:r w:rsidRPr="002E1A5F">
        <w:rPr>
          <w:spacing w:val="-1"/>
        </w:rPr>
        <w:t>employee</w:t>
      </w:r>
      <w:r w:rsidRPr="002E1A5F">
        <w:t xml:space="preserve"> or </w:t>
      </w:r>
      <w:r w:rsidRPr="002E1A5F">
        <w:rPr>
          <w:spacing w:val="-1"/>
        </w:rPr>
        <w:t>officer</w:t>
      </w:r>
      <w:r w:rsidRPr="002E1A5F">
        <w:rPr>
          <w:spacing w:val="-2"/>
        </w:rPr>
        <w:t xml:space="preserve"> </w:t>
      </w:r>
      <w:r w:rsidRPr="002E1A5F">
        <w:t>of</w:t>
      </w:r>
      <w:r w:rsidRPr="002E1A5F">
        <w:rPr>
          <w:spacing w:val="-2"/>
        </w:rPr>
        <w:t xml:space="preserve"> </w:t>
      </w:r>
      <w:r w:rsidRPr="002E1A5F">
        <w:t xml:space="preserve">the </w:t>
      </w:r>
      <w:r w:rsidRPr="002E1A5F">
        <w:rPr>
          <w:spacing w:val="-2"/>
        </w:rPr>
        <w:t>United</w:t>
      </w:r>
      <w:r w:rsidRPr="002E1A5F">
        <w:t xml:space="preserve"> </w:t>
      </w:r>
      <w:r w:rsidRPr="002E1A5F">
        <w:rPr>
          <w:spacing w:val="-1"/>
        </w:rPr>
        <w:t>States</w:t>
      </w:r>
      <w:r w:rsidRPr="002E1A5F">
        <w:t xml:space="preserve"> </w:t>
      </w:r>
      <w:r w:rsidRPr="002E1A5F">
        <w:rPr>
          <w:spacing w:val="-1"/>
        </w:rPr>
        <w:t>Government, may</w:t>
      </w:r>
      <w:r w:rsidRPr="002E1A5F">
        <w:rPr>
          <w:spacing w:val="-3"/>
        </w:rPr>
        <w:t xml:space="preserve"> </w:t>
      </w:r>
      <w:r w:rsidRPr="002E1A5F">
        <w:t>contain</w:t>
      </w:r>
      <w:r w:rsidRPr="002E1A5F">
        <w:rPr>
          <w:spacing w:val="-3"/>
        </w:rPr>
        <w:t xml:space="preserve"> </w:t>
      </w:r>
      <w:r w:rsidRPr="002E1A5F">
        <w:rPr>
          <w:spacing w:val="-1"/>
        </w:rPr>
        <w:t>provisions</w:t>
      </w:r>
      <w:r w:rsidRPr="002E1A5F">
        <w:rPr>
          <w:spacing w:val="-2"/>
        </w:rPr>
        <w:t xml:space="preserve"> </w:t>
      </w:r>
      <w:r w:rsidRPr="002E1A5F">
        <w:rPr>
          <w:spacing w:val="-1"/>
        </w:rPr>
        <w:t>appropriate</w:t>
      </w:r>
      <w:r w:rsidRPr="002E1A5F">
        <w:rPr>
          <w:spacing w:val="-2"/>
        </w:rPr>
        <w:t xml:space="preserve"> </w:t>
      </w:r>
      <w:r w:rsidRPr="002E1A5F">
        <w:t xml:space="preserve">to </w:t>
      </w:r>
      <w:r w:rsidRPr="002E1A5F">
        <w:rPr>
          <w:spacing w:val="-1"/>
        </w:rPr>
        <w:t>the</w:t>
      </w:r>
      <w:r w:rsidRPr="002E1A5F">
        <w:t xml:space="preserve"> </w:t>
      </w:r>
      <w:proofErr w:type="gramStart"/>
      <w:r w:rsidRPr="002E1A5F">
        <w:rPr>
          <w:spacing w:val="-1"/>
        </w:rPr>
        <w:t>particular</w:t>
      </w:r>
      <w:r w:rsidRPr="002E1A5F">
        <w:t xml:space="preserve"> </w:t>
      </w:r>
      <w:r w:rsidRPr="002E1A5F">
        <w:rPr>
          <w:spacing w:val="-1"/>
        </w:rPr>
        <w:t>activity</w:t>
      </w:r>
      <w:proofErr w:type="gramEnd"/>
      <w:r w:rsidRPr="002E1A5F">
        <w:rPr>
          <w:spacing w:val="-3"/>
        </w:rPr>
        <w:t xml:space="preserve"> </w:t>
      </w:r>
      <w:r w:rsidRPr="002E1A5F">
        <w:t xml:space="preserve">for </w:t>
      </w:r>
      <w:r w:rsidRPr="002E1A5F">
        <w:rPr>
          <w:spacing w:val="-1"/>
        </w:rPr>
        <w:t>which</w:t>
      </w:r>
      <w:r w:rsidRPr="002E1A5F">
        <w:rPr>
          <w:spacing w:val="-2"/>
        </w:rPr>
        <w:t xml:space="preserve"> </w:t>
      </w:r>
      <w:r w:rsidRPr="002E1A5F">
        <w:t>such</w:t>
      </w:r>
      <w:r w:rsidRPr="002E1A5F">
        <w:rPr>
          <w:spacing w:val="41"/>
        </w:rPr>
        <w:t xml:space="preserve"> </w:t>
      </w:r>
      <w:r w:rsidRPr="002E1A5F">
        <w:rPr>
          <w:spacing w:val="-1"/>
        </w:rPr>
        <w:t>document</w:t>
      </w:r>
      <w:r w:rsidRPr="002E1A5F">
        <w:rPr>
          <w:spacing w:val="1"/>
        </w:rPr>
        <w:t xml:space="preserve"> </w:t>
      </w:r>
      <w:r w:rsidRPr="002E1A5F">
        <w:t>is</w:t>
      </w:r>
      <w:r w:rsidRPr="002E1A5F">
        <w:rPr>
          <w:spacing w:val="-2"/>
        </w:rPr>
        <w:t xml:space="preserve"> </w:t>
      </w:r>
      <w:r w:rsidRPr="002E1A5F">
        <w:t xml:space="preserve">to </w:t>
      </w:r>
      <w:r w:rsidRPr="002E1A5F">
        <w:rPr>
          <w:spacing w:val="-2"/>
        </w:rPr>
        <w:t>be</w:t>
      </w:r>
      <w:r w:rsidRPr="002E1A5F">
        <w:t xml:space="preserve"> </w:t>
      </w:r>
      <w:r w:rsidRPr="002E1A5F">
        <w:rPr>
          <w:spacing w:val="-1"/>
        </w:rPr>
        <w:t>used.</w:t>
      </w:r>
      <w:r w:rsidRPr="002E1A5F">
        <w:t xml:space="preserve"> </w:t>
      </w:r>
      <w:r w:rsidRPr="002E1A5F">
        <w:rPr>
          <w:spacing w:val="-1"/>
        </w:rPr>
        <w:t>Such</w:t>
      </w:r>
      <w:r w:rsidRPr="002E1A5F">
        <w:t xml:space="preserve"> </w:t>
      </w:r>
      <w:r w:rsidRPr="002E1A5F">
        <w:rPr>
          <w:spacing w:val="-1"/>
        </w:rPr>
        <w:t>form</w:t>
      </w:r>
      <w:r w:rsidRPr="002E1A5F">
        <w:rPr>
          <w:spacing w:val="-4"/>
        </w:rPr>
        <w:t xml:space="preserve"> </w:t>
      </w:r>
      <w:r w:rsidRPr="002E1A5F">
        <w:t xml:space="preserve">or </w:t>
      </w:r>
      <w:r w:rsidRPr="002E1A5F">
        <w:rPr>
          <w:spacing w:val="-1"/>
        </w:rPr>
        <w:t>agreement</w:t>
      </w:r>
      <w:r w:rsidRPr="002E1A5F">
        <w:rPr>
          <w:spacing w:val="1"/>
        </w:rPr>
        <w:t xml:space="preserve"> </w:t>
      </w:r>
      <w:r w:rsidRPr="002E1A5F">
        <w:rPr>
          <w:spacing w:val="-1"/>
        </w:rPr>
        <w:t>shall,</w:t>
      </w:r>
      <w:r w:rsidRPr="002E1A5F">
        <w:rPr>
          <w:spacing w:val="-3"/>
        </w:rPr>
        <w:t xml:space="preserve"> </w:t>
      </w:r>
      <w:r w:rsidRPr="002E1A5F">
        <w:t>at</w:t>
      </w:r>
      <w:r w:rsidRPr="002E1A5F">
        <w:rPr>
          <w:spacing w:val="1"/>
        </w:rPr>
        <w:t xml:space="preserve"> </w:t>
      </w:r>
      <w:r w:rsidRPr="002E1A5F">
        <w:t xml:space="preserve">a </w:t>
      </w:r>
      <w:r w:rsidRPr="002E1A5F">
        <w:rPr>
          <w:spacing w:val="-2"/>
        </w:rPr>
        <w:t>minimum,</w:t>
      </w:r>
      <w:r w:rsidRPr="002E1A5F">
        <w:rPr>
          <w:spacing w:val="45"/>
        </w:rPr>
        <w:t xml:space="preserve"> </w:t>
      </w:r>
      <w:r w:rsidRPr="002E1A5F">
        <w:rPr>
          <w:spacing w:val="-1"/>
        </w:rPr>
        <w:t>require</w:t>
      </w:r>
      <w:r w:rsidRPr="002E1A5F">
        <w:rPr>
          <w:spacing w:val="-2"/>
        </w:rPr>
        <w:t xml:space="preserve"> </w:t>
      </w:r>
      <w:r w:rsidRPr="002E1A5F">
        <w:rPr>
          <w:spacing w:val="-1"/>
        </w:rPr>
        <w:t>that</w:t>
      </w:r>
      <w:r w:rsidRPr="002E1A5F">
        <w:rPr>
          <w:spacing w:val="-2"/>
        </w:rPr>
        <w:t xml:space="preserve"> </w:t>
      </w:r>
      <w:r w:rsidRPr="002E1A5F">
        <w:t xml:space="preserve">the </w:t>
      </w:r>
      <w:r w:rsidRPr="002E1A5F">
        <w:rPr>
          <w:spacing w:val="-1"/>
        </w:rPr>
        <w:t>person</w:t>
      </w:r>
      <w:r w:rsidRPr="002E1A5F">
        <w:t xml:space="preserve"> </w:t>
      </w:r>
      <w:r w:rsidRPr="002E1A5F">
        <w:rPr>
          <w:spacing w:val="-1"/>
        </w:rPr>
        <w:t>will</w:t>
      </w:r>
      <w:r w:rsidRPr="002E1A5F">
        <w:rPr>
          <w:spacing w:val="-2"/>
        </w:rPr>
        <w:t xml:space="preserve"> </w:t>
      </w:r>
      <w:r w:rsidRPr="002E1A5F">
        <w:t>not</w:t>
      </w:r>
      <w:r w:rsidRPr="002E1A5F">
        <w:rPr>
          <w:spacing w:val="1"/>
        </w:rPr>
        <w:t xml:space="preserve"> </w:t>
      </w:r>
      <w:r w:rsidRPr="002E1A5F">
        <w:rPr>
          <w:spacing w:val="-1"/>
        </w:rPr>
        <w:t>disclose</w:t>
      </w:r>
      <w:r w:rsidRPr="002E1A5F">
        <w:t xml:space="preserve"> any</w:t>
      </w:r>
      <w:r w:rsidRPr="002E1A5F">
        <w:rPr>
          <w:spacing w:val="-3"/>
        </w:rPr>
        <w:t xml:space="preserve"> </w:t>
      </w:r>
      <w:r w:rsidRPr="002E1A5F">
        <w:rPr>
          <w:spacing w:val="-1"/>
        </w:rPr>
        <w:t>classified</w:t>
      </w:r>
      <w:r w:rsidRPr="002E1A5F">
        <w:rPr>
          <w:spacing w:val="-2"/>
        </w:rPr>
        <w:t xml:space="preserve"> </w:t>
      </w:r>
      <w:r w:rsidRPr="002E1A5F">
        <w:rPr>
          <w:spacing w:val="-1"/>
        </w:rPr>
        <w:t>information</w:t>
      </w:r>
      <w:r w:rsidRPr="002E1A5F">
        <w:t xml:space="preserve"> </w:t>
      </w:r>
      <w:r w:rsidRPr="002E1A5F">
        <w:rPr>
          <w:spacing w:val="-1"/>
        </w:rPr>
        <w:t>received</w:t>
      </w:r>
      <w:r w:rsidRPr="002E1A5F">
        <w:rPr>
          <w:spacing w:val="37"/>
        </w:rPr>
        <w:t xml:space="preserve"> </w:t>
      </w:r>
      <w:proofErr w:type="gramStart"/>
      <w:r w:rsidRPr="002E1A5F">
        <w:t xml:space="preserve">in </w:t>
      </w:r>
      <w:r w:rsidRPr="002E1A5F">
        <w:rPr>
          <w:spacing w:val="-1"/>
        </w:rPr>
        <w:t>the</w:t>
      </w:r>
      <w:r w:rsidRPr="002E1A5F">
        <w:t xml:space="preserve"> </w:t>
      </w:r>
      <w:r w:rsidRPr="002E1A5F">
        <w:rPr>
          <w:spacing w:val="-1"/>
        </w:rPr>
        <w:t>course</w:t>
      </w:r>
      <w:r w:rsidRPr="002E1A5F">
        <w:t xml:space="preserve"> of</w:t>
      </w:r>
      <w:proofErr w:type="gramEnd"/>
      <w:r w:rsidRPr="002E1A5F">
        <w:rPr>
          <w:spacing w:val="-2"/>
        </w:rPr>
        <w:t xml:space="preserve"> </w:t>
      </w:r>
      <w:r w:rsidRPr="002E1A5F">
        <w:t>such</w:t>
      </w:r>
      <w:r w:rsidRPr="002E1A5F">
        <w:rPr>
          <w:spacing w:val="-3"/>
        </w:rPr>
        <w:t xml:space="preserve"> </w:t>
      </w:r>
      <w:r w:rsidRPr="002E1A5F">
        <w:rPr>
          <w:spacing w:val="-1"/>
        </w:rPr>
        <w:t>activity</w:t>
      </w:r>
      <w:r w:rsidRPr="002E1A5F">
        <w:rPr>
          <w:spacing w:val="-3"/>
        </w:rPr>
        <w:t xml:space="preserve"> </w:t>
      </w:r>
      <w:r w:rsidRPr="002E1A5F">
        <w:t xml:space="preserve">unless </w:t>
      </w:r>
      <w:r w:rsidRPr="002E1A5F">
        <w:rPr>
          <w:spacing w:val="-1"/>
        </w:rPr>
        <w:t>specifically</w:t>
      </w:r>
      <w:r w:rsidRPr="002E1A5F">
        <w:rPr>
          <w:spacing w:val="-3"/>
        </w:rPr>
        <w:t xml:space="preserve"> </w:t>
      </w:r>
      <w:r w:rsidRPr="002E1A5F">
        <w:rPr>
          <w:spacing w:val="-1"/>
        </w:rPr>
        <w:t>authorized</w:t>
      </w:r>
      <w:r w:rsidRPr="002E1A5F">
        <w:t xml:space="preserve"> to do</w:t>
      </w:r>
      <w:r w:rsidRPr="002E1A5F">
        <w:rPr>
          <w:spacing w:val="-3"/>
        </w:rPr>
        <w:t xml:space="preserve"> </w:t>
      </w:r>
      <w:r w:rsidRPr="002E1A5F">
        <w:t>so by</w:t>
      </w:r>
      <w:r w:rsidRPr="002E1A5F">
        <w:rPr>
          <w:spacing w:val="-2"/>
        </w:rPr>
        <w:t xml:space="preserve"> </w:t>
      </w:r>
      <w:r w:rsidRPr="002E1A5F">
        <w:rPr>
          <w:spacing w:val="-1"/>
        </w:rPr>
        <w:t>the</w:t>
      </w:r>
      <w:r w:rsidRPr="002E1A5F">
        <w:rPr>
          <w:spacing w:val="29"/>
        </w:rPr>
        <w:t xml:space="preserve"> </w:t>
      </w:r>
      <w:r w:rsidRPr="002E1A5F">
        <w:rPr>
          <w:spacing w:val="-1"/>
        </w:rPr>
        <w:t>United</w:t>
      </w:r>
      <w:r w:rsidRPr="002E1A5F">
        <w:rPr>
          <w:spacing w:val="-2"/>
        </w:rPr>
        <w:t xml:space="preserve"> </w:t>
      </w:r>
      <w:r w:rsidRPr="002E1A5F">
        <w:rPr>
          <w:spacing w:val="-1"/>
        </w:rPr>
        <w:t>States</w:t>
      </w:r>
      <w:r w:rsidRPr="002E1A5F">
        <w:t xml:space="preserve"> </w:t>
      </w:r>
      <w:r w:rsidRPr="002E1A5F">
        <w:rPr>
          <w:spacing w:val="-1"/>
        </w:rPr>
        <w:t>Government.</w:t>
      </w:r>
      <w:r w:rsidRPr="002E1A5F">
        <w:rPr>
          <w:spacing w:val="-3"/>
        </w:rPr>
        <w:t xml:space="preserve"> </w:t>
      </w:r>
      <w:r w:rsidRPr="002E1A5F">
        <w:t xml:space="preserve">Such </w:t>
      </w:r>
      <w:r w:rsidRPr="002E1A5F">
        <w:rPr>
          <w:spacing w:val="-1"/>
        </w:rPr>
        <w:t>nondisclosure</w:t>
      </w:r>
      <w:r w:rsidRPr="002E1A5F">
        <w:rPr>
          <w:spacing w:val="2"/>
        </w:rPr>
        <w:t xml:space="preserve"> </w:t>
      </w:r>
      <w:r w:rsidRPr="002E1A5F">
        <w:t>or</w:t>
      </w:r>
      <w:r w:rsidRPr="002E1A5F">
        <w:rPr>
          <w:spacing w:val="-2"/>
        </w:rPr>
        <w:t xml:space="preserve"> </w:t>
      </w:r>
      <w:r w:rsidRPr="002E1A5F">
        <w:rPr>
          <w:spacing w:val="-1"/>
        </w:rPr>
        <w:t>confidentiality</w:t>
      </w:r>
      <w:r w:rsidRPr="002E1A5F">
        <w:rPr>
          <w:spacing w:val="-2"/>
        </w:rPr>
        <w:t xml:space="preserve"> </w:t>
      </w:r>
      <w:r w:rsidRPr="002E1A5F">
        <w:rPr>
          <w:spacing w:val="-1"/>
        </w:rPr>
        <w:t>forms</w:t>
      </w:r>
      <w:r w:rsidRPr="002E1A5F">
        <w:rPr>
          <w:spacing w:val="51"/>
        </w:rPr>
        <w:t xml:space="preserve"> </w:t>
      </w:r>
      <w:r w:rsidRPr="002E1A5F">
        <w:rPr>
          <w:spacing w:val="-1"/>
        </w:rPr>
        <w:t>shall</w:t>
      </w:r>
      <w:r w:rsidRPr="002E1A5F">
        <w:rPr>
          <w:spacing w:val="1"/>
        </w:rPr>
        <w:t xml:space="preserve"> </w:t>
      </w:r>
      <w:r w:rsidRPr="002E1A5F">
        <w:rPr>
          <w:spacing w:val="-1"/>
        </w:rPr>
        <w:t>also</w:t>
      </w:r>
      <w:r w:rsidRPr="002E1A5F">
        <w:t xml:space="preserve"> </w:t>
      </w:r>
      <w:r w:rsidRPr="002E1A5F">
        <w:rPr>
          <w:spacing w:val="-2"/>
        </w:rPr>
        <w:t>make</w:t>
      </w:r>
      <w:r w:rsidRPr="002E1A5F">
        <w:t xml:space="preserve"> it</w:t>
      </w:r>
      <w:r w:rsidRPr="002E1A5F">
        <w:rPr>
          <w:spacing w:val="1"/>
        </w:rPr>
        <w:t xml:space="preserve"> </w:t>
      </w:r>
      <w:r w:rsidRPr="002E1A5F">
        <w:rPr>
          <w:spacing w:val="-1"/>
        </w:rPr>
        <w:t>clear</w:t>
      </w:r>
      <w:r w:rsidRPr="002E1A5F">
        <w:rPr>
          <w:spacing w:val="-2"/>
        </w:rPr>
        <w:t xml:space="preserve"> </w:t>
      </w:r>
      <w:r w:rsidRPr="002E1A5F">
        <w:rPr>
          <w:spacing w:val="-1"/>
        </w:rPr>
        <w:t>that</w:t>
      </w:r>
      <w:r w:rsidRPr="002E1A5F">
        <w:rPr>
          <w:spacing w:val="-2"/>
        </w:rPr>
        <w:t xml:space="preserve"> </w:t>
      </w:r>
      <w:r w:rsidRPr="002E1A5F">
        <w:t>they</w:t>
      </w:r>
      <w:r w:rsidRPr="002E1A5F">
        <w:rPr>
          <w:spacing w:val="-2"/>
        </w:rPr>
        <w:t xml:space="preserve"> </w:t>
      </w:r>
      <w:r w:rsidRPr="002E1A5F">
        <w:t xml:space="preserve">do </w:t>
      </w:r>
      <w:r w:rsidRPr="002E1A5F">
        <w:rPr>
          <w:spacing w:val="-1"/>
        </w:rPr>
        <w:t>not</w:t>
      </w:r>
      <w:r w:rsidRPr="002E1A5F">
        <w:rPr>
          <w:spacing w:val="1"/>
        </w:rPr>
        <w:t xml:space="preserve"> </w:t>
      </w:r>
      <w:r w:rsidRPr="002E1A5F">
        <w:rPr>
          <w:spacing w:val="-1"/>
        </w:rPr>
        <w:t>bar</w:t>
      </w:r>
      <w:r w:rsidRPr="002E1A5F">
        <w:t xml:space="preserve"> </w:t>
      </w:r>
      <w:r w:rsidRPr="002E1A5F">
        <w:rPr>
          <w:spacing w:val="-1"/>
        </w:rPr>
        <w:t>disclosures</w:t>
      </w:r>
      <w:r w:rsidRPr="002E1A5F">
        <w:rPr>
          <w:spacing w:val="-2"/>
        </w:rPr>
        <w:t xml:space="preserve"> </w:t>
      </w:r>
      <w:r w:rsidRPr="002E1A5F">
        <w:t xml:space="preserve">to </w:t>
      </w:r>
      <w:r w:rsidRPr="002E1A5F">
        <w:rPr>
          <w:spacing w:val="-1"/>
        </w:rPr>
        <w:t>Congress,</w:t>
      </w:r>
      <w:r w:rsidRPr="002E1A5F">
        <w:t xml:space="preserve"> or</w:t>
      </w:r>
      <w:r w:rsidRPr="002E1A5F">
        <w:rPr>
          <w:spacing w:val="-2"/>
        </w:rPr>
        <w:t xml:space="preserve"> </w:t>
      </w:r>
      <w:r w:rsidRPr="002E1A5F">
        <w:t>to</w:t>
      </w:r>
      <w:r w:rsidRPr="002E1A5F">
        <w:rPr>
          <w:spacing w:val="-3"/>
        </w:rPr>
        <w:t xml:space="preserve"> </w:t>
      </w:r>
      <w:r w:rsidRPr="002E1A5F">
        <w:t>an</w:t>
      </w:r>
      <w:r w:rsidRPr="002E1A5F">
        <w:rPr>
          <w:spacing w:val="41"/>
        </w:rPr>
        <w:t xml:space="preserve"> </w:t>
      </w:r>
      <w:r w:rsidRPr="002E1A5F">
        <w:rPr>
          <w:spacing w:val="-1"/>
        </w:rPr>
        <w:t>authorized</w:t>
      </w:r>
      <w:r w:rsidRPr="002E1A5F">
        <w:t xml:space="preserve"> </w:t>
      </w:r>
      <w:r w:rsidRPr="002E1A5F">
        <w:rPr>
          <w:spacing w:val="-1"/>
        </w:rPr>
        <w:t>official</w:t>
      </w:r>
      <w:r w:rsidRPr="002E1A5F">
        <w:rPr>
          <w:spacing w:val="1"/>
        </w:rPr>
        <w:t xml:space="preserve"> </w:t>
      </w:r>
      <w:r w:rsidRPr="002E1A5F">
        <w:t>of</w:t>
      </w:r>
      <w:r w:rsidRPr="002E1A5F">
        <w:rPr>
          <w:spacing w:val="-2"/>
        </w:rPr>
        <w:t xml:space="preserve"> </w:t>
      </w:r>
      <w:r w:rsidRPr="002E1A5F">
        <w:rPr>
          <w:spacing w:val="1"/>
        </w:rPr>
        <w:t>an</w:t>
      </w:r>
      <w:r w:rsidRPr="002E1A5F">
        <w:t xml:space="preserve"> </w:t>
      </w:r>
      <w:r w:rsidRPr="002E1A5F">
        <w:rPr>
          <w:spacing w:val="-1"/>
        </w:rPr>
        <w:t>executive</w:t>
      </w:r>
      <w:r w:rsidRPr="002E1A5F">
        <w:t xml:space="preserve"> </w:t>
      </w:r>
      <w:r w:rsidRPr="002E1A5F">
        <w:rPr>
          <w:spacing w:val="-1"/>
        </w:rPr>
        <w:t>agency</w:t>
      </w:r>
      <w:r w:rsidRPr="002E1A5F">
        <w:rPr>
          <w:spacing w:val="-3"/>
        </w:rPr>
        <w:t xml:space="preserve"> </w:t>
      </w:r>
      <w:r w:rsidRPr="002E1A5F">
        <w:t xml:space="preserve">or </w:t>
      </w:r>
      <w:r w:rsidRPr="002E1A5F">
        <w:rPr>
          <w:spacing w:val="-1"/>
        </w:rPr>
        <w:t>the</w:t>
      </w:r>
      <w:r w:rsidRPr="002E1A5F">
        <w:t xml:space="preserve"> </w:t>
      </w:r>
      <w:r w:rsidRPr="002E1A5F">
        <w:rPr>
          <w:spacing w:val="-1"/>
        </w:rPr>
        <w:t>Department</w:t>
      </w:r>
      <w:r w:rsidRPr="002E1A5F">
        <w:rPr>
          <w:spacing w:val="1"/>
        </w:rPr>
        <w:t xml:space="preserve"> </w:t>
      </w:r>
      <w:r w:rsidRPr="002E1A5F">
        <w:t>of</w:t>
      </w:r>
      <w:r w:rsidRPr="002E1A5F">
        <w:rPr>
          <w:spacing w:val="-2"/>
        </w:rPr>
        <w:t xml:space="preserve"> </w:t>
      </w:r>
      <w:r w:rsidRPr="002E1A5F">
        <w:rPr>
          <w:spacing w:val="-1"/>
        </w:rPr>
        <w:t>Justice,</w:t>
      </w:r>
      <w:r w:rsidRPr="002E1A5F">
        <w:rPr>
          <w:spacing w:val="-3"/>
        </w:rPr>
        <w:t xml:space="preserve"> </w:t>
      </w:r>
      <w:r w:rsidRPr="002E1A5F">
        <w:rPr>
          <w:spacing w:val="-1"/>
        </w:rPr>
        <w:t xml:space="preserve">that </w:t>
      </w:r>
      <w:r w:rsidRPr="002E1A5F">
        <w:t>are essential</w:t>
      </w:r>
      <w:r w:rsidRPr="002E1A5F">
        <w:rPr>
          <w:spacing w:val="1"/>
        </w:rPr>
        <w:t xml:space="preserve"> </w:t>
      </w:r>
      <w:r w:rsidRPr="002E1A5F">
        <w:t>to</w:t>
      </w:r>
      <w:r w:rsidRPr="002E1A5F">
        <w:rPr>
          <w:spacing w:val="-3"/>
        </w:rPr>
        <w:t xml:space="preserve"> </w:t>
      </w:r>
      <w:r w:rsidRPr="002E1A5F">
        <w:rPr>
          <w:spacing w:val="-1"/>
        </w:rPr>
        <w:t>reporting</w:t>
      </w:r>
      <w:r w:rsidRPr="002E1A5F">
        <w:rPr>
          <w:spacing w:val="-3"/>
        </w:rPr>
        <w:t xml:space="preserve"> </w:t>
      </w:r>
      <w:r w:rsidRPr="002E1A5F">
        <w:t>a</w:t>
      </w:r>
      <w:r w:rsidRPr="002E1A5F">
        <w:rPr>
          <w:spacing w:val="-2"/>
        </w:rPr>
        <w:t xml:space="preserve"> </w:t>
      </w:r>
      <w:r w:rsidRPr="002E1A5F">
        <w:rPr>
          <w:spacing w:val="-1"/>
        </w:rPr>
        <w:t>substantial</w:t>
      </w:r>
      <w:r w:rsidRPr="002E1A5F">
        <w:rPr>
          <w:spacing w:val="1"/>
        </w:rPr>
        <w:t xml:space="preserve"> </w:t>
      </w:r>
      <w:r w:rsidRPr="002E1A5F">
        <w:rPr>
          <w:spacing w:val="-1"/>
        </w:rPr>
        <w:t>violation</w:t>
      </w:r>
      <w:r w:rsidRPr="002E1A5F">
        <w:t xml:space="preserve"> </w:t>
      </w:r>
      <w:r w:rsidRPr="002E1A5F">
        <w:rPr>
          <w:spacing w:val="-2"/>
        </w:rPr>
        <w:t>of</w:t>
      </w:r>
      <w:r w:rsidRPr="002E1A5F">
        <w:t xml:space="preserve"> </w:t>
      </w:r>
      <w:r w:rsidRPr="002E1A5F">
        <w:rPr>
          <w:spacing w:val="-1"/>
        </w:rPr>
        <w:t>law.</w:t>
      </w:r>
    </w:p>
    <w:p w14:paraId="35F1AEC2" w14:textId="77777777" w:rsidR="00E11E16" w:rsidRPr="002E1A5F" w:rsidRDefault="00E11E16" w:rsidP="7A327B2A">
      <w:pPr>
        <w:jc w:val="both"/>
      </w:pPr>
    </w:p>
    <w:p w14:paraId="7E9D7862" w14:textId="1A6DC39E" w:rsidR="002627A9" w:rsidRPr="002263C8" w:rsidRDefault="002627A9" w:rsidP="006F30C1">
      <w:pPr>
        <w:pStyle w:val="Heading2"/>
        <w:numPr>
          <w:ilvl w:val="1"/>
          <w:numId w:val="28"/>
        </w:numPr>
        <w:ind w:left="720"/>
        <w:jc w:val="both"/>
        <w:rPr>
          <w:rFonts w:ascii="Arial" w:eastAsia="Times New Roman" w:hAnsi="Arial" w:cs="Arial"/>
          <w:b/>
          <w:bCs/>
          <w:color w:val="auto"/>
          <w:sz w:val="20"/>
          <w:szCs w:val="20"/>
        </w:rPr>
      </w:pPr>
      <w:bookmarkStart w:id="98" w:name="_Toc206158634"/>
      <w:r w:rsidRPr="002263C8">
        <w:rPr>
          <w:rFonts w:ascii="Arial" w:eastAsia="Times New Roman" w:hAnsi="Arial" w:cs="Arial"/>
          <w:b/>
          <w:bCs/>
          <w:color w:val="auto"/>
          <w:sz w:val="20"/>
          <w:szCs w:val="20"/>
        </w:rPr>
        <w:t>Export Control</w:t>
      </w:r>
      <w:bookmarkEnd w:id="98"/>
    </w:p>
    <w:p w14:paraId="26A75D12" w14:textId="77777777" w:rsidR="002627A9" w:rsidRPr="002E1A5F" w:rsidRDefault="002627A9" w:rsidP="7A327B2A">
      <w:pPr>
        <w:jc w:val="both"/>
      </w:pPr>
    </w:p>
    <w:p w14:paraId="5FF0BBE0" w14:textId="77777777" w:rsidR="002627A9" w:rsidRPr="002E1A5F" w:rsidRDefault="002627A9" w:rsidP="002627A9">
      <w:pPr>
        <w:pStyle w:val="ListParagraph"/>
        <w:numPr>
          <w:ilvl w:val="0"/>
          <w:numId w:val="1"/>
        </w:numPr>
        <w:ind w:left="1080"/>
        <w:jc w:val="both"/>
      </w:pPr>
      <w:r w:rsidRPr="002E1A5F">
        <w:t xml:space="preserve">The United States Government regulates the transfer of information, commodities, technology, and software considered to be strategically important to the U.S. to protect national security, foreign policy, and economic interests without imposing undue regulatory burdens on legitimate international trade. There is a network of federal agencies and regulations that govern exports that are collectively referred to as “Export Controls”. The Subrecipient is responsible for ensuring compliance with all applicable U.S. Export Control laws and regulations relating to any work performed under this Award, at the Subrecipient level.  </w:t>
      </w:r>
    </w:p>
    <w:p w14:paraId="31646514" w14:textId="77777777" w:rsidR="002627A9" w:rsidRPr="002E1A5F" w:rsidRDefault="002627A9" w:rsidP="002627A9">
      <w:pPr>
        <w:jc w:val="both"/>
      </w:pPr>
    </w:p>
    <w:p w14:paraId="73868EE6" w14:textId="6B6E7407" w:rsidR="002627A9" w:rsidRPr="002E1A5F" w:rsidRDefault="002627A9" w:rsidP="002627A9">
      <w:pPr>
        <w:pStyle w:val="ListParagraph"/>
        <w:numPr>
          <w:ilvl w:val="0"/>
          <w:numId w:val="1"/>
        </w:numPr>
        <w:ind w:left="1080"/>
        <w:jc w:val="both"/>
      </w:pPr>
      <w:r w:rsidRPr="002E1A5F">
        <w:t xml:space="preserve">The Subrecipient must immediately report to CEC, which will in turn report to the DOE, any export control </w:t>
      </w:r>
      <w:r w:rsidR="00495570">
        <w:t xml:space="preserve">investigations, charges, convictions, and </w:t>
      </w:r>
      <w:r w:rsidRPr="002E1A5F">
        <w:t xml:space="preserve">violations </w:t>
      </w:r>
      <w:r w:rsidR="00495570">
        <w:t>upon occurrence</w:t>
      </w:r>
      <w:r w:rsidRPr="002E1A5F">
        <w:t xml:space="preserve">, at the </w:t>
      </w:r>
      <w:r w:rsidRPr="002E1A5F">
        <w:lastRenderedPageBreak/>
        <w:t xml:space="preserve">Subrecipient or a </w:t>
      </w:r>
      <w:proofErr w:type="gramStart"/>
      <w:r w:rsidRPr="002E1A5F">
        <w:t>lower tier</w:t>
      </w:r>
      <w:proofErr w:type="gramEnd"/>
      <w:r w:rsidRPr="002E1A5F">
        <w:t xml:space="preserve"> subrecipient level, and </w:t>
      </w:r>
      <w:r w:rsidR="00495570">
        <w:t xml:space="preserve">for convictions/violations, </w:t>
      </w:r>
      <w:r w:rsidRPr="002E1A5F">
        <w:t>provide the corrective action</w:t>
      </w:r>
      <w:r w:rsidR="001628AB">
        <w:t>(</w:t>
      </w:r>
      <w:r w:rsidRPr="002E1A5F">
        <w:t>s</w:t>
      </w:r>
      <w:r w:rsidR="001628AB">
        <w:t>)</w:t>
      </w:r>
      <w:r w:rsidRPr="002E1A5F">
        <w:t xml:space="preserve"> to prevent future </w:t>
      </w:r>
      <w:r w:rsidR="00495570">
        <w:t>convictions/</w:t>
      </w:r>
      <w:r w:rsidRPr="002E1A5F">
        <w:t>violations.</w:t>
      </w:r>
    </w:p>
    <w:p w14:paraId="20BF24BA" w14:textId="77777777" w:rsidR="002627A9" w:rsidRPr="002E1A5F" w:rsidRDefault="002627A9" w:rsidP="7A327B2A">
      <w:pPr>
        <w:jc w:val="both"/>
      </w:pPr>
    </w:p>
    <w:p w14:paraId="171827B0" w14:textId="0B4CA3D0" w:rsidR="00D67294" w:rsidRPr="002263C8" w:rsidRDefault="00D67294" w:rsidP="006F30C1">
      <w:pPr>
        <w:pStyle w:val="Heading2"/>
        <w:numPr>
          <w:ilvl w:val="1"/>
          <w:numId w:val="28"/>
        </w:numPr>
        <w:ind w:left="720"/>
        <w:jc w:val="both"/>
        <w:rPr>
          <w:rFonts w:ascii="Arial" w:eastAsia="Times New Roman" w:hAnsi="Arial" w:cs="Arial"/>
          <w:b/>
          <w:bCs/>
          <w:color w:val="auto"/>
          <w:sz w:val="20"/>
          <w:szCs w:val="20"/>
        </w:rPr>
      </w:pPr>
      <w:bookmarkStart w:id="99" w:name="_Toc206158635"/>
      <w:r w:rsidRPr="002263C8">
        <w:rPr>
          <w:rFonts w:ascii="Arial" w:eastAsia="Times New Roman" w:hAnsi="Arial" w:cs="Arial"/>
          <w:b/>
          <w:bCs/>
          <w:color w:val="auto"/>
          <w:sz w:val="20"/>
          <w:szCs w:val="20"/>
        </w:rPr>
        <w:t>Corporate Felony Conviction and Federal Tax Liability Assurances</w:t>
      </w:r>
      <w:bookmarkEnd w:id="99"/>
    </w:p>
    <w:p w14:paraId="1013B2DB" w14:textId="77777777" w:rsidR="00D67294" w:rsidRPr="002E1A5F" w:rsidRDefault="00D67294" w:rsidP="7A327B2A">
      <w:pPr>
        <w:jc w:val="both"/>
      </w:pPr>
    </w:p>
    <w:p w14:paraId="2FB09113" w14:textId="262A1F74" w:rsidR="00D67294" w:rsidRPr="002E1A5F" w:rsidRDefault="00D67294" w:rsidP="00D67294">
      <w:pPr>
        <w:pStyle w:val="ListParagraph"/>
        <w:numPr>
          <w:ilvl w:val="0"/>
          <w:numId w:val="2"/>
        </w:numPr>
        <w:ind w:left="1080"/>
        <w:jc w:val="both"/>
      </w:pPr>
      <w:r w:rsidRPr="002E1A5F">
        <w:t xml:space="preserve">By entering into this </w:t>
      </w:r>
      <w:r>
        <w:t>Agreement</w:t>
      </w:r>
      <w:r w:rsidRPr="002E1A5F">
        <w:t>, the Subrecipient attests that it has not been convicted of a felony criminal violation under Federal law in the 24 months preceding the date of signature.</w:t>
      </w:r>
    </w:p>
    <w:p w14:paraId="23BA54A7" w14:textId="77777777" w:rsidR="00D67294" w:rsidRPr="002E1A5F" w:rsidRDefault="00D67294" w:rsidP="00D67294">
      <w:pPr>
        <w:jc w:val="both"/>
      </w:pPr>
    </w:p>
    <w:p w14:paraId="3E4E60D6" w14:textId="77777777" w:rsidR="00D67294" w:rsidRPr="002E1A5F" w:rsidRDefault="00D67294" w:rsidP="00D67294">
      <w:pPr>
        <w:pStyle w:val="ListParagraph"/>
        <w:numPr>
          <w:ilvl w:val="0"/>
          <w:numId w:val="2"/>
        </w:numPr>
        <w:ind w:left="1080"/>
        <w:jc w:val="both"/>
      </w:pPr>
      <w:r w:rsidRPr="002E1A5F">
        <w:t>The Subrecipient further attests that it does not have any unpaid Federal tax liability that has been assessed, for which all judicial and administrative remedies have been exhausted or have lapsed, and that is not being paid in a timely manner pursuant to an agreement with the authority responsible for collecting the tax liability.</w:t>
      </w:r>
    </w:p>
    <w:p w14:paraId="5FE5C73C" w14:textId="77777777" w:rsidR="00D67294" w:rsidRPr="002E1A5F" w:rsidRDefault="00D67294" w:rsidP="00D67294">
      <w:pPr>
        <w:jc w:val="both"/>
      </w:pPr>
    </w:p>
    <w:p w14:paraId="0D192C4E" w14:textId="77777777" w:rsidR="00D67294" w:rsidRPr="002E1A5F" w:rsidRDefault="00D67294" w:rsidP="00D67294">
      <w:pPr>
        <w:pStyle w:val="ListParagraph"/>
        <w:numPr>
          <w:ilvl w:val="0"/>
          <w:numId w:val="2"/>
        </w:numPr>
        <w:ind w:left="1080"/>
        <w:jc w:val="both"/>
      </w:pPr>
      <w:r w:rsidRPr="002E1A5F">
        <w:t>For purposes of these assurances, the following definitions apply:</w:t>
      </w:r>
    </w:p>
    <w:p w14:paraId="19C56835" w14:textId="77777777" w:rsidR="00D67294" w:rsidRPr="002E1A5F" w:rsidRDefault="00D67294" w:rsidP="00D67294">
      <w:pPr>
        <w:jc w:val="both"/>
      </w:pPr>
    </w:p>
    <w:p w14:paraId="453B71C0" w14:textId="77777777" w:rsidR="00D67294" w:rsidRPr="002E1A5F" w:rsidRDefault="00D67294" w:rsidP="00D67294">
      <w:pPr>
        <w:ind w:left="1080"/>
        <w:jc w:val="both"/>
      </w:pPr>
      <w:r w:rsidRPr="002E1A5F">
        <w:t>A Corporation includes any entity that has filed articles of incorporation in any of the 50 states, the District of Columbia, or the various territories of the United States [but not foreign corporations]. It includes both for-profit and non-profit organizations.</w:t>
      </w:r>
    </w:p>
    <w:p w14:paraId="255E33AE" w14:textId="77777777" w:rsidR="00D67294" w:rsidRPr="002E1A5F" w:rsidRDefault="00D67294" w:rsidP="7A327B2A">
      <w:pPr>
        <w:jc w:val="both"/>
        <w:rPr>
          <w:rFonts w:eastAsia="Arial"/>
        </w:rPr>
      </w:pPr>
    </w:p>
    <w:p w14:paraId="18D58961" w14:textId="5DAB7E46" w:rsidR="002D762F" w:rsidRPr="002263C8" w:rsidRDefault="002D762F" w:rsidP="006F30C1">
      <w:pPr>
        <w:pStyle w:val="Heading2"/>
        <w:numPr>
          <w:ilvl w:val="1"/>
          <w:numId w:val="28"/>
        </w:numPr>
        <w:ind w:left="720"/>
        <w:jc w:val="both"/>
        <w:rPr>
          <w:rFonts w:ascii="Arial" w:eastAsia="Times New Roman" w:hAnsi="Arial" w:cs="Arial"/>
          <w:b/>
          <w:bCs/>
          <w:color w:val="auto"/>
          <w:sz w:val="20"/>
          <w:szCs w:val="20"/>
        </w:rPr>
      </w:pPr>
      <w:bookmarkStart w:id="100" w:name="_Toc206158636"/>
      <w:r w:rsidRPr="002263C8">
        <w:rPr>
          <w:rFonts w:ascii="Arial" w:hAnsi="Arial" w:cs="Arial"/>
          <w:b/>
          <w:bCs/>
          <w:color w:val="auto"/>
          <w:sz w:val="20"/>
          <w:szCs w:val="20"/>
        </w:rPr>
        <w:t>Insolvency, Bankruptcy or Receivership</w:t>
      </w:r>
      <w:bookmarkEnd w:id="92"/>
      <w:bookmarkEnd w:id="100"/>
    </w:p>
    <w:p w14:paraId="6787331C" w14:textId="77777777" w:rsidR="009A5CD5" w:rsidRPr="002E1A5F" w:rsidRDefault="009A5CD5" w:rsidP="7A327B2A">
      <w:pPr>
        <w:widowControl/>
        <w:jc w:val="both"/>
        <w:rPr>
          <w:rFonts w:eastAsiaTheme="minorEastAsia"/>
          <w:b/>
        </w:rPr>
      </w:pPr>
    </w:p>
    <w:p w14:paraId="1B9F7999" w14:textId="0670AC99" w:rsidR="009A5CD5" w:rsidRPr="002E1A5F" w:rsidRDefault="009A5CD5" w:rsidP="7A327B2A">
      <w:pPr>
        <w:pStyle w:val="NoSpacing"/>
        <w:numPr>
          <w:ilvl w:val="2"/>
          <w:numId w:val="28"/>
        </w:numPr>
        <w:ind w:left="1080"/>
        <w:jc w:val="both"/>
      </w:pPr>
      <w:bookmarkStart w:id="101" w:name="_Toc149654155"/>
      <w:bookmarkStart w:id="102" w:name="_Toc149662743"/>
      <w:r w:rsidRPr="002E1A5F">
        <w:t xml:space="preserve">The </w:t>
      </w:r>
      <w:r w:rsidR="003D6B80" w:rsidRPr="002E1A5F">
        <w:t>Subrecipient</w:t>
      </w:r>
      <w:r w:rsidRPr="002E1A5F">
        <w:t xml:space="preserve"> </w:t>
      </w:r>
      <w:r w:rsidR="00F0322C" w:rsidRPr="002E1A5F">
        <w:t xml:space="preserve">shall immediately notify the </w:t>
      </w:r>
      <w:r w:rsidR="00CE50BB" w:rsidRPr="002E1A5F">
        <w:t xml:space="preserve">CEC, </w:t>
      </w:r>
      <w:r w:rsidR="5AFCCEE3" w:rsidRPr="002E1A5F">
        <w:t xml:space="preserve">which will </w:t>
      </w:r>
      <w:r w:rsidR="0B2856A8" w:rsidRPr="002E1A5F">
        <w:t xml:space="preserve">in turn </w:t>
      </w:r>
      <w:r w:rsidR="5AFCCEE3" w:rsidRPr="002E1A5F">
        <w:t xml:space="preserve">notify the </w:t>
      </w:r>
      <w:r w:rsidR="00F0322C" w:rsidRPr="002E1A5F">
        <w:t>DOE</w:t>
      </w:r>
      <w:r w:rsidR="009D6E7F" w:rsidRPr="002E1A5F">
        <w:t xml:space="preserve"> </w:t>
      </w:r>
      <w:r w:rsidR="00F0322C" w:rsidRPr="002E1A5F">
        <w:t>of the occurrence of any of the following events:</w:t>
      </w:r>
      <w:bookmarkEnd w:id="101"/>
      <w:bookmarkEnd w:id="102"/>
      <w:r w:rsidR="00F0322C" w:rsidRPr="002E1A5F">
        <w:t xml:space="preserve"> </w:t>
      </w:r>
    </w:p>
    <w:p w14:paraId="5CBA793D" w14:textId="77777777" w:rsidR="001D3A1E" w:rsidRPr="002E1A5F" w:rsidRDefault="001D3A1E" w:rsidP="7A327B2A">
      <w:pPr>
        <w:jc w:val="both"/>
      </w:pPr>
    </w:p>
    <w:p w14:paraId="48EB341F" w14:textId="15B2F1C9" w:rsidR="001D3A1E" w:rsidRPr="002E1A5F" w:rsidRDefault="00CE50BB" w:rsidP="009B3BA3">
      <w:pPr>
        <w:pStyle w:val="NoSpacing"/>
        <w:numPr>
          <w:ilvl w:val="0"/>
          <w:numId w:val="48"/>
        </w:numPr>
        <w:ind w:left="1440" w:hanging="270"/>
        <w:jc w:val="both"/>
        <w:rPr>
          <w:rFonts w:eastAsiaTheme="minorEastAsia"/>
        </w:rPr>
      </w:pPr>
      <w:bookmarkStart w:id="103" w:name="_Toc149654156"/>
      <w:bookmarkStart w:id="104" w:name="_Toc149662744"/>
      <w:r w:rsidRPr="002E1A5F">
        <w:rPr>
          <w:rFonts w:eastAsiaTheme="minorEastAsia"/>
        </w:rPr>
        <w:t>t</w:t>
      </w:r>
      <w:r w:rsidR="009A5CD5" w:rsidRPr="002E1A5F">
        <w:rPr>
          <w:rFonts w:eastAsiaTheme="minorEastAsia"/>
        </w:rPr>
        <w:t>he</w:t>
      </w:r>
      <w:r w:rsidR="003D6B80" w:rsidRPr="002E1A5F">
        <w:rPr>
          <w:rFonts w:eastAsiaTheme="minorEastAsia"/>
        </w:rPr>
        <w:t xml:space="preserve"> Subr</w:t>
      </w:r>
      <w:r w:rsidR="002D36ED" w:rsidRPr="002E1A5F">
        <w:rPr>
          <w:rFonts w:eastAsiaTheme="minorEastAsia"/>
        </w:rPr>
        <w:t>ecipient</w:t>
      </w:r>
      <w:r w:rsidR="00D022D7" w:rsidRPr="002E1A5F">
        <w:rPr>
          <w:rFonts w:eastAsiaTheme="minorEastAsia"/>
        </w:rPr>
        <w:t>,</w:t>
      </w:r>
      <w:r w:rsidR="002D36ED" w:rsidRPr="002E1A5F">
        <w:rPr>
          <w:rFonts w:eastAsiaTheme="minorEastAsia"/>
        </w:rPr>
        <w:t xml:space="preserve"> </w:t>
      </w:r>
      <w:r w:rsidR="00F0322C" w:rsidRPr="002E1A5F">
        <w:rPr>
          <w:rFonts w:eastAsiaTheme="minorEastAsia"/>
        </w:rPr>
        <w:t xml:space="preserve">or </w:t>
      </w:r>
      <w:r w:rsidR="002D36ED" w:rsidRPr="002E1A5F">
        <w:rPr>
          <w:rFonts w:eastAsiaTheme="minorEastAsia"/>
        </w:rPr>
        <w:t>its</w:t>
      </w:r>
      <w:r w:rsidR="00F0322C" w:rsidRPr="002E1A5F">
        <w:rPr>
          <w:rFonts w:eastAsiaTheme="minorEastAsia"/>
        </w:rPr>
        <w:t xml:space="preserve"> parent's filing</w:t>
      </w:r>
      <w:r w:rsidR="001D3A1E" w:rsidRPr="002E1A5F">
        <w:rPr>
          <w:rFonts w:eastAsiaTheme="minorEastAsia"/>
        </w:rPr>
        <w:t xml:space="preserve"> </w:t>
      </w:r>
      <w:r w:rsidR="00F0322C" w:rsidRPr="002E1A5F">
        <w:rPr>
          <w:rFonts w:eastAsiaTheme="minorEastAsia"/>
        </w:rPr>
        <w:t xml:space="preserve">of a voluntary case seeking liquidation or reorganization under the Bankruptcy </w:t>
      </w:r>
      <w:proofErr w:type="gramStart"/>
      <w:r w:rsidR="00F0322C" w:rsidRPr="002E1A5F">
        <w:rPr>
          <w:rFonts w:eastAsiaTheme="minorEastAsia"/>
        </w:rPr>
        <w:t>Act;</w:t>
      </w:r>
      <w:bookmarkEnd w:id="103"/>
      <w:bookmarkEnd w:id="104"/>
      <w:proofErr w:type="gramEnd"/>
      <w:r w:rsidR="00F0322C" w:rsidRPr="002E1A5F">
        <w:rPr>
          <w:rFonts w:eastAsiaTheme="minorEastAsia"/>
        </w:rPr>
        <w:t xml:space="preserve"> </w:t>
      </w:r>
    </w:p>
    <w:p w14:paraId="2A384CDF" w14:textId="77777777" w:rsidR="009F32FD" w:rsidRPr="002E1A5F" w:rsidRDefault="009F32FD" w:rsidP="7A327B2A">
      <w:pPr>
        <w:ind w:left="1440" w:hanging="270"/>
        <w:jc w:val="both"/>
      </w:pPr>
    </w:p>
    <w:p w14:paraId="67E57835" w14:textId="532746EB" w:rsidR="009F32FD" w:rsidRPr="002E1A5F" w:rsidRDefault="001D3A1E" w:rsidP="009B3BA3">
      <w:pPr>
        <w:pStyle w:val="NoSpacing"/>
        <w:numPr>
          <w:ilvl w:val="0"/>
          <w:numId w:val="48"/>
        </w:numPr>
        <w:ind w:left="1440" w:hanging="270"/>
        <w:jc w:val="both"/>
        <w:rPr>
          <w:rFonts w:eastAsiaTheme="minorEastAsia"/>
        </w:rPr>
      </w:pPr>
      <w:bookmarkStart w:id="105" w:name="_Toc149654157"/>
      <w:bookmarkStart w:id="106" w:name="_Toc149662745"/>
      <w:r w:rsidRPr="002E1A5F">
        <w:rPr>
          <w:rFonts w:eastAsiaTheme="minorEastAsia"/>
        </w:rPr>
        <w:t>the</w:t>
      </w:r>
      <w:r w:rsidR="002D36ED" w:rsidRPr="002E1A5F">
        <w:rPr>
          <w:rFonts w:eastAsiaTheme="minorEastAsia"/>
        </w:rPr>
        <w:t xml:space="preserve"> Subrecipient</w:t>
      </w:r>
      <w:r w:rsidR="00F55A29" w:rsidRPr="002E1A5F">
        <w:rPr>
          <w:rFonts w:eastAsiaTheme="minorEastAsia"/>
        </w:rPr>
        <w:t>’s</w:t>
      </w:r>
      <w:r w:rsidR="00D022D7" w:rsidRPr="002E1A5F">
        <w:rPr>
          <w:rFonts w:eastAsiaTheme="minorEastAsia"/>
        </w:rPr>
        <w:t xml:space="preserve"> </w:t>
      </w:r>
      <w:r w:rsidR="00F55A29" w:rsidRPr="002E1A5F">
        <w:rPr>
          <w:rFonts w:eastAsiaTheme="minorEastAsia"/>
        </w:rPr>
        <w:t>consent</w:t>
      </w:r>
      <w:r w:rsidR="00F0322C" w:rsidRPr="002E1A5F">
        <w:rPr>
          <w:rFonts w:eastAsiaTheme="minorEastAsia"/>
        </w:rPr>
        <w:t xml:space="preserve"> to the institution of</w:t>
      </w:r>
      <w:r w:rsidRPr="002E1A5F">
        <w:rPr>
          <w:rFonts w:eastAsiaTheme="minorEastAsia"/>
        </w:rPr>
        <w:t xml:space="preserve"> </w:t>
      </w:r>
      <w:r w:rsidR="00F0322C" w:rsidRPr="002E1A5F">
        <w:rPr>
          <w:rFonts w:eastAsiaTheme="minorEastAsia"/>
        </w:rPr>
        <w:t xml:space="preserve">an involuntary case under the Bankruptcy Act against </w:t>
      </w:r>
      <w:r w:rsidRPr="002E1A5F">
        <w:rPr>
          <w:rFonts w:eastAsiaTheme="minorEastAsia"/>
        </w:rPr>
        <w:t xml:space="preserve">the </w:t>
      </w:r>
      <w:r w:rsidR="002D36ED" w:rsidRPr="002E1A5F">
        <w:rPr>
          <w:rFonts w:eastAsiaTheme="minorEastAsia"/>
        </w:rPr>
        <w:t>Subrecipient,</w:t>
      </w:r>
      <w:r w:rsidR="00D022D7" w:rsidRPr="002E1A5F">
        <w:rPr>
          <w:rFonts w:eastAsiaTheme="minorEastAsia"/>
        </w:rPr>
        <w:t xml:space="preserve"> </w:t>
      </w:r>
      <w:r w:rsidR="00F0322C" w:rsidRPr="002E1A5F">
        <w:rPr>
          <w:rFonts w:eastAsiaTheme="minorEastAsia"/>
        </w:rPr>
        <w:t>or</w:t>
      </w:r>
      <w:r w:rsidRPr="002E1A5F">
        <w:rPr>
          <w:rFonts w:eastAsiaTheme="minorEastAsia"/>
        </w:rPr>
        <w:t xml:space="preserve"> </w:t>
      </w:r>
      <w:r w:rsidR="002D36ED" w:rsidRPr="002E1A5F">
        <w:rPr>
          <w:rFonts w:eastAsiaTheme="minorEastAsia"/>
        </w:rPr>
        <w:t>its</w:t>
      </w:r>
      <w:r w:rsidR="00F0322C" w:rsidRPr="002E1A5F">
        <w:rPr>
          <w:rFonts w:eastAsiaTheme="minorEastAsia"/>
        </w:rPr>
        <w:t xml:space="preserve"> </w:t>
      </w:r>
      <w:proofErr w:type="gramStart"/>
      <w:r w:rsidR="00F0322C" w:rsidRPr="002E1A5F">
        <w:rPr>
          <w:rFonts w:eastAsiaTheme="minorEastAsia"/>
        </w:rPr>
        <w:t>parent;</w:t>
      </w:r>
      <w:bookmarkEnd w:id="105"/>
      <w:bookmarkEnd w:id="106"/>
      <w:proofErr w:type="gramEnd"/>
      <w:r w:rsidR="00F0322C" w:rsidRPr="002E1A5F">
        <w:rPr>
          <w:rFonts w:eastAsiaTheme="minorEastAsia"/>
        </w:rPr>
        <w:t xml:space="preserve"> </w:t>
      </w:r>
    </w:p>
    <w:p w14:paraId="11FB4269" w14:textId="77777777" w:rsidR="009F32FD" w:rsidRPr="002E1A5F" w:rsidRDefault="009F32FD" w:rsidP="7A327B2A">
      <w:pPr>
        <w:pStyle w:val="NoSpacing"/>
        <w:ind w:left="1440" w:hanging="270"/>
        <w:jc w:val="both"/>
        <w:rPr>
          <w:rFonts w:eastAsiaTheme="minorEastAsia"/>
        </w:rPr>
      </w:pPr>
    </w:p>
    <w:p w14:paraId="5DF27B46" w14:textId="3DB826C0" w:rsidR="009F32FD" w:rsidRPr="002E1A5F" w:rsidRDefault="00F0322C" w:rsidP="009B3BA3">
      <w:pPr>
        <w:pStyle w:val="NoSpacing"/>
        <w:numPr>
          <w:ilvl w:val="0"/>
          <w:numId w:val="48"/>
        </w:numPr>
        <w:ind w:left="1440" w:hanging="270"/>
        <w:jc w:val="both"/>
        <w:rPr>
          <w:rFonts w:eastAsiaTheme="minorEastAsia"/>
        </w:rPr>
      </w:pPr>
      <w:bookmarkStart w:id="107" w:name="_Toc149654158"/>
      <w:bookmarkStart w:id="108" w:name="_Toc149662746"/>
      <w:r w:rsidRPr="002E1A5F">
        <w:rPr>
          <w:rFonts w:eastAsiaTheme="minorEastAsia"/>
        </w:rPr>
        <w:t>the filing of any similar proceeding for or</w:t>
      </w:r>
      <w:r w:rsidR="00F07EBF" w:rsidRPr="002E1A5F">
        <w:rPr>
          <w:rFonts w:eastAsiaTheme="minorEastAsia"/>
        </w:rPr>
        <w:t xml:space="preserve"> </w:t>
      </w:r>
      <w:r w:rsidRPr="002E1A5F">
        <w:rPr>
          <w:rFonts w:eastAsiaTheme="minorEastAsia"/>
        </w:rPr>
        <w:t xml:space="preserve">against </w:t>
      </w:r>
      <w:r w:rsidR="00F07EBF" w:rsidRPr="002E1A5F">
        <w:rPr>
          <w:rFonts w:eastAsiaTheme="minorEastAsia"/>
        </w:rPr>
        <w:t xml:space="preserve">the </w:t>
      </w:r>
      <w:r w:rsidR="002D36ED" w:rsidRPr="002E1A5F">
        <w:rPr>
          <w:rFonts w:eastAsiaTheme="minorEastAsia"/>
        </w:rPr>
        <w:t>Subrecipient,</w:t>
      </w:r>
      <w:r w:rsidRPr="002E1A5F">
        <w:rPr>
          <w:rFonts w:eastAsiaTheme="minorEastAsia"/>
        </w:rPr>
        <w:t xml:space="preserve"> or </w:t>
      </w:r>
      <w:r w:rsidR="002D36ED" w:rsidRPr="002E1A5F">
        <w:rPr>
          <w:rFonts w:eastAsiaTheme="minorEastAsia"/>
        </w:rPr>
        <w:t>its</w:t>
      </w:r>
      <w:r w:rsidR="00F07EBF" w:rsidRPr="002E1A5F">
        <w:rPr>
          <w:rFonts w:eastAsiaTheme="minorEastAsia"/>
        </w:rPr>
        <w:t xml:space="preserve"> </w:t>
      </w:r>
      <w:r w:rsidRPr="002E1A5F">
        <w:rPr>
          <w:rFonts w:eastAsiaTheme="minorEastAsia"/>
        </w:rPr>
        <w:t xml:space="preserve">parent, or its consent to, the dissolution, winding-up or readjustment of </w:t>
      </w:r>
      <w:r w:rsidR="00F07EBF" w:rsidRPr="002E1A5F">
        <w:rPr>
          <w:rFonts w:eastAsiaTheme="minorEastAsia"/>
        </w:rPr>
        <w:t xml:space="preserve">the </w:t>
      </w:r>
      <w:r w:rsidR="002D36ED" w:rsidRPr="002E1A5F">
        <w:rPr>
          <w:rFonts w:eastAsiaTheme="minorEastAsia"/>
        </w:rPr>
        <w:t>Subrecipient’s</w:t>
      </w:r>
      <w:r w:rsidRPr="002E1A5F">
        <w:rPr>
          <w:rFonts w:eastAsiaTheme="minorEastAsia"/>
        </w:rPr>
        <w:t xml:space="preserve"> debts, appointment of a</w:t>
      </w:r>
      <w:r w:rsidR="00F07EBF" w:rsidRPr="002E1A5F">
        <w:rPr>
          <w:rFonts w:eastAsiaTheme="minorEastAsia"/>
        </w:rPr>
        <w:t xml:space="preserve"> </w:t>
      </w:r>
      <w:r w:rsidRPr="002E1A5F">
        <w:rPr>
          <w:rFonts w:eastAsiaTheme="minorEastAsia"/>
        </w:rPr>
        <w:t xml:space="preserve">receiver, conservator, trustee, or other officer with similar powers over </w:t>
      </w:r>
      <w:r w:rsidR="00F07EBF" w:rsidRPr="002E1A5F">
        <w:rPr>
          <w:rFonts w:eastAsiaTheme="minorEastAsia"/>
        </w:rPr>
        <w:t xml:space="preserve">the </w:t>
      </w:r>
      <w:r w:rsidR="00F55A29" w:rsidRPr="002E1A5F">
        <w:rPr>
          <w:rFonts w:eastAsiaTheme="minorEastAsia"/>
        </w:rPr>
        <w:t>Subrecipient</w:t>
      </w:r>
      <w:r w:rsidRPr="002E1A5F">
        <w:rPr>
          <w:rFonts w:eastAsiaTheme="minorEastAsia"/>
        </w:rPr>
        <w:t xml:space="preserve"> under any other applicable state or federal</w:t>
      </w:r>
      <w:r w:rsidR="00F07EBF" w:rsidRPr="002E1A5F">
        <w:rPr>
          <w:rFonts w:eastAsiaTheme="minorEastAsia"/>
        </w:rPr>
        <w:t xml:space="preserve"> </w:t>
      </w:r>
      <w:r w:rsidRPr="002E1A5F">
        <w:rPr>
          <w:rFonts w:eastAsiaTheme="minorEastAsia"/>
        </w:rPr>
        <w:t>law; or</w:t>
      </w:r>
      <w:bookmarkEnd w:id="107"/>
      <w:bookmarkEnd w:id="108"/>
      <w:r w:rsidRPr="002E1A5F">
        <w:rPr>
          <w:rFonts w:eastAsiaTheme="minorEastAsia"/>
        </w:rPr>
        <w:t xml:space="preserve"> </w:t>
      </w:r>
    </w:p>
    <w:p w14:paraId="79B293F2" w14:textId="77777777" w:rsidR="009F32FD" w:rsidRPr="002E1A5F" w:rsidRDefault="009F32FD" w:rsidP="7A327B2A">
      <w:pPr>
        <w:pStyle w:val="NoSpacing"/>
        <w:ind w:left="1440" w:hanging="270"/>
        <w:jc w:val="both"/>
        <w:rPr>
          <w:rFonts w:eastAsiaTheme="minorEastAsia"/>
        </w:rPr>
      </w:pPr>
    </w:p>
    <w:p w14:paraId="1F777A3B" w14:textId="6B261853" w:rsidR="00F0322C" w:rsidRPr="002E1A5F" w:rsidRDefault="43CF3BDB" w:rsidP="009B3BA3">
      <w:pPr>
        <w:pStyle w:val="NoSpacing"/>
        <w:numPr>
          <w:ilvl w:val="0"/>
          <w:numId w:val="48"/>
        </w:numPr>
        <w:ind w:left="1440" w:hanging="270"/>
        <w:jc w:val="both"/>
        <w:rPr>
          <w:rFonts w:eastAsiaTheme="minorEastAsia"/>
        </w:rPr>
      </w:pPr>
      <w:bookmarkStart w:id="109" w:name="_Toc149654159"/>
      <w:bookmarkStart w:id="110" w:name="_Toc149662747"/>
      <w:r w:rsidRPr="002E1A5F">
        <w:rPr>
          <w:rFonts w:eastAsiaTheme="minorEastAsia"/>
        </w:rPr>
        <w:t>t</w:t>
      </w:r>
      <w:r w:rsidR="00F07EBF" w:rsidRPr="002E1A5F">
        <w:rPr>
          <w:rFonts w:eastAsiaTheme="minorEastAsia"/>
        </w:rPr>
        <w:t>he</w:t>
      </w:r>
      <w:r w:rsidR="00F55A29" w:rsidRPr="002E1A5F">
        <w:rPr>
          <w:rFonts w:eastAsiaTheme="minorEastAsia"/>
        </w:rPr>
        <w:t xml:space="preserve"> Subrecipient’s </w:t>
      </w:r>
      <w:r w:rsidR="00F0322C" w:rsidRPr="002E1A5F">
        <w:rPr>
          <w:rFonts w:eastAsiaTheme="minorEastAsia"/>
        </w:rPr>
        <w:t xml:space="preserve">insolvency due to </w:t>
      </w:r>
      <w:r w:rsidR="00F55A29" w:rsidRPr="002E1A5F">
        <w:rPr>
          <w:rFonts w:eastAsiaTheme="minorEastAsia"/>
        </w:rPr>
        <w:t xml:space="preserve">its </w:t>
      </w:r>
      <w:r w:rsidR="00F0322C" w:rsidRPr="002E1A5F">
        <w:rPr>
          <w:rFonts w:eastAsiaTheme="minorEastAsia"/>
        </w:rPr>
        <w:t xml:space="preserve">inability to pay </w:t>
      </w:r>
      <w:r w:rsidR="009F32FD" w:rsidRPr="002E1A5F">
        <w:rPr>
          <w:rFonts w:eastAsiaTheme="minorEastAsia"/>
        </w:rPr>
        <w:t>its</w:t>
      </w:r>
      <w:r w:rsidR="00F0322C" w:rsidRPr="002E1A5F">
        <w:rPr>
          <w:rFonts w:eastAsiaTheme="minorEastAsia"/>
        </w:rPr>
        <w:t xml:space="preserve"> debts generally as they become due.</w:t>
      </w:r>
      <w:bookmarkEnd w:id="109"/>
      <w:bookmarkEnd w:id="110"/>
    </w:p>
    <w:p w14:paraId="4C866C85" w14:textId="77777777" w:rsidR="009F32FD" w:rsidRPr="002E1A5F" w:rsidRDefault="009F32FD" w:rsidP="009F32FD">
      <w:pPr>
        <w:jc w:val="both"/>
      </w:pPr>
    </w:p>
    <w:p w14:paraId="391EF543" w14:textId="75AC11B6" w:rsidR="009F32FD" w:rsidRPr="002E1A5F" w:rsidRDefault="00F0322C" w:rsidP="7A327B2A">
      <w:pPr>
        <w:pStyle w:val="NoSpacing"/>
        <w:numPr>
          <w:ilvl w:val="2"/>
          <w:numId w:val="28"/>
        </w:numPr>
        <w:ind w:left="1080"/>
        <w:jc w:val="both"/>
      </w:pPr>
      <w:bookmarkStart w:id="111" w:name="_Toc149654160"/>
      <w:bookmarkStart w:id="112" w:name="_Toc149662748"/>
      <w:r w:rsidRPr="002E1A5F">
        <w:t>Such notification shall be in writing and shall:</w:t>
      </w:r>
      <w:bookmarkEnd w:id="111"/>
      <w:bookmarkEnd w:id="112"/>
      <w:r w:rsidRPr="002E1A5F">
        <w:t xml:space="preserve"> </w:t>
      </w:r>
    </w:p>
    <w:p w14:paraId="56637348" w14:textId="77777777" w:rsidR="009F32FD" w:rsidRPr="002E1A5F" w:rsidRDefault="009F32FD" w:rsidP="7A327B2A">
      <w:pPr>
        <w:pStyle w:val="NoSpacing"/>
        <w:jc w:val="both"/>
      </w:pPr>
    </w:p>
    <w:p w14:paraId="6F4DC5BA" w14:textId="3C4F2F2F" w:rsidR="009F32FD" w:rsidRPr="002E1A5F" w:rsidRDefault="00F0322C" w:rsidP="009B3BA3">
      <w:pPr>
        <w:pStyle w:val="NoSpacing"/>
        <w:numPr>
          <w:ilvl w:val="0"/>
          <w:numId w:val="49"/>
        </w:numPr>
        <w:ind w:left="1440" w:hanging="270"/>
        <w:jc w:val="both"/>
        <w:rPr>
          <w:rFonts w:eastAsiaTheme="minorEastAsia"/>
        </w:rPr>
      </w:pPr>
      <w:bookmarkStart w:id="113" w:name="_Toc149654161"/>
      <w:bookmarkStart w:id="114" w:name="_Toc149662749"/>
      <w:r w:rsidRPr="002E1A5F">
        <w:rPr>
          <w:rFonts w:eastAsiaTheme="minorEastAsia"/>
        </w:rPr>
        <w:t>specifically</w:t>
      </w:r>
      <w:r w:rsidRPr="002E1A5F">
        <w:t xml:space="preserve"> set out the details of the </w:t>
      </w:r>
      <w:r w:rsidRPr="002E1A5F">
        <w:rPr>
          <w:rFonts w:eastAsiaTheme="minorEastAsia"/>
        </w:rPr>
        <w:t>occurrence of an event</w:t>
      </w:r>
      <w:r w:rsidR="009F32FD" w:rsidRPr="002E1A5F">
        <w:rPr>
          <w:rFonts w:eastAsiaTheme="minorEastAsia"/>
        </w:rPr>
        <w:t xml:space="preserve"> </w:t>
      </w:r>
      <w:r w:rsidRPr="002E1A5F">
        <w:rPr>
          <w:rFonts w:eastAsiaTheme="minorEastAsia"/>
        </w:rPr>
        <w:t xml:space="preserve">referenced in paragraph </w:t>
      </w:r>
      <w:r w:rsidR="009F32FD" w:rsidRPr="002E1A5F">
        <w:rPr>
          <w:rFonts w:eastAsiaTheme="minorEastAsia"/>
        </w:rPr>
        <w:t>(</w:t>
      </w:r>
      <w:r w:rsidRPr="002E1A5F">
        <w:rPr>
          <w:rFonts w:eastAsiaTheme="minorEastAsia"/>
        </w:rPr>
        <w:t>a</w:t>
      </w:r>
      <w:proofErr w:type="gramStart"/>
      <w:r w:rsidR="009F32FD" w:rsidRPr="002E1A5F">
        <w:rPr>
          <w:rFonts w:eastAsiaTheme="minorEastAsia"/>
        </w:rPr>
        <w:t>)</w:t>
      </w:r>
      <w:r w:rsidRPr="002E1A5F">
        <w:rPr>
          <w:rFonts w:eastAsiaTheme="minorEastAsia"/>
        </w:rPr>
        <w:t>;</w:t>
      </w:r>
      <w:bookmarkEnd w:id="113"/>
      <w:bookmarkEnd w:id="114"/>
      <w:proofErr w:type="gramEnd"/>
      <w:r w:rsidRPr="002E1A5F">
        <w:rPr>
          <w:rFonts w:eastAsiaTheme="minorEastAsia"/>
        </w:rPr>
        <w:t xml:space="preserve"> </w:t>
      </w:r>
    </w:p>
    <w:p w14:paraId="437D1C12" w14:textId="77777777" w:rsidR="009F32FD" w:rsidRPr="002E1A5F" w:rsidRDefault="009F32FD" w:rsidP="7A327B2A">
      <w:pPr>
        <w:ind w:left="1440" w:hanging="270"/>
        <w:jc w:val="both"/>
        <w:rPr>
          <w:rFonts w:eastAsiaTheme="minorEastAsia"/>
        </w:rPr>
      </w:pPr>
    </w:p>
    <w:p w14:paraId="29AF324F" w14:textId="77777777" w:rsidR="009F32FD" w:rsidRPr="002E1A5F" w:rsidRDefault="00F0322C" w:rsidP="009B3BA3">
      <w:pPr>
        <w:pStyle w:val="NoSpacing"/>
        <w:numPr>
          <w:ilvl w:val="0"/>
          <w:numId w:val="49"/>
        </w:numPr>
        <w:ind w:left="1440" w:hanging="270"/>
        <w:jc w:val="both"/>
        <w:rPr>
          <w:rFonts w:eastAsiaTheme="minorEastAsia"/>
        </w:rPr>
      </w:pPr>
      <w:bookmarkStart w:id="115" w:name="_Toc149654162"/>
      <w:bookmarkStart w:id="116" w:name="_Toc149662750"/>
      <w:r w:rsidRPr="002E1A5F">
        <w:rPr>
          <w:rFonts w:eastAsiaTheme="minorEastAsia"/>
        </w:rPr>
        <w:t>provide the facts surrounding that event; and</w:t>
      </w:r>
      <w:bookmarkEnd w:id="115"/>
      <w:bookmarkEnd w:id="116"/>
      <w:r w:rsidRPr="002E1A5F">
        <w:rPr>
          <w:rFonts w:eastAsiaTheme="minorEastAsia"/>
        </w:rPr>
        <w:t xml:space="preserve"> </w:t>
      </w:r>
    </w:p>
    <w:p w14:paraId="7EC64384" w14:textId="77777777" w:rsidR="009F32FD" w:rsidRPr="002E1A5F" w:rsidRDefault="009F32FD" w:rsidP="7A327B2A">
      <w:pPr>
        <w:pStyle w:val="NoSpacing"/>
        <w:ind w:left="1440" w:hanging="270"/>
        <w:jc w:val="both"/>
        <w:rPr>
          <w:rFonts w:eastAsiaTheme="minorEastAsia"/>
        </w:rPr>
      </w:pPr>
    </w:p>
    <w:p w14:paraId="6DE2AC60" w14:textId="522A6672" w:rsidR="00F0322C" w:rsidRPr="002E1A5F" w:rsidRDefault="00F0322C" w:rsidP="009B3BA3">
      <w:pPr>
        <w:pStyle w:val="NoSpacing"/>
        <w:numPr>
          <w:ilvl w:val="0"/>
          <w:numId w:val="49"/>
        </w:numPr>
        <w:ind w:left="1440" w:hanging="270"/>
        <w:jc w:val="both"/>
        <w:rPr>
          <w:rFonts w:eastAsiaTheme="minorEastAsia"/>
        </w:rPr>
      </w:pPr>
      <w:bookmarkStart w:id="117" w:name="_Toc149654163"/>
      <w:bookmarkStart w:id="118" w:name="_Toc149662751"/>
      <w:r w:rsidRPr="002E1A5F">
        <w:rPr>
          <w:rFonts w:eastAsiaTheme="minorEastAsia"/>
        </w:rPr>
        <w:t>provide the impact such event will have</w:t>
      </w:r>
      <w:r w:rsidR="009F32FD" w:rsidRPr="002E1A5F">
        <w:rPr>
          <w:rFonts w:eastAsiaTheme="minorEastAsia"/>
        </w:rPr>
        <w:t xml:space="preserve"> </w:t>
      </w:r>
      <w:r w:rsidRPr="002E1A5F">
        <w:rPr>
          <w:rFonts w:eastAsiaTheme="minorEastAsia"/>
        </w:rPr>
        <w:t xml:space="preserve">on the project being funded by this </w:t>
      </w:r>
      <w:r w:rsidR="009F32FD" w:rsidRPr="002E1A5F">
        <w:rPr>
          <w:rFonts w:eastAsiaTheme="minorEastAsia"/>
        </w:rPr>
        <w:t>A</w:t>
      </w:r>
      <w:r w:rsidRPr="002E1A5F">
        <w:rPr>
          <w:rFonts w:eastAsiaTheme="minorEastAsia"/>
        </w:rPr>
        <w:t>ward.</w:t>
      </w:r>
      <w:bookmarkEnd w:id="117"/>
      <w:bookmarkEnd w:id="118"/>
    </w:p>
    <w:p w14:paraId="50BADBC7" w14:textId="77777777" w:rsidR="009F32FD" w:rsidRPr="002E1A5F" w:rsidRDefault="009F32FD" w:rsidP="7A327B2A">
      <w:pPr>
        <w:jc w:val="both"/>
        <w:rPr>
          <w:rFonts w:eastAsiaTheme="minorEastAsia"/>
        </w:rPr>
      </w:pPr>
    </w:p>
    <w:p w14:paraId="512BB838" w14:textId="11C83EBA" w:rsidR="007F3399" w:rsidRPr="002E1A5F" w:rsidRDefault="00F0322C" w:rsidP="7A327B2A">
      <w:pPr>
        <w:pStyle w:val="NoSpacing"/>
        <w:numPr>
          <w:ilvl w:val="2"/>
          <w:numId w:val="28"/>
        </w:numPr>
        <w:ind w:left="1080"/>
        <w:jc w:val="both"/>
        <w:rPr>
          <w:rFonts w:eastAsiaTheme="minorEastAsia"/>
        </w:rPr>
      </w:pPr>
      <w:bookmarkStart w:id="119" w:name="_Toc149654164"/>
      <w:bookmarkStart w:id="120" w:name="_Toc149662752"/>
      <w:r w:rsidRPr="002E1A5F">
        <w:t>Upon</w:t>
      </w:r>
      <w:r w:rsidRPr="002E1A5F">
        <w:rPr>
          <w:rFonts w:eastAsiaTheme="minorEastAsia"/>
        </w:rPr>
        <w:t xml:space="preserve"> the occurrence of any of the four events described in </w:t>
      </w:r>
      <w:proofErr w:type="gramStart"/>
      <w:r w:rsidRPr="002E1A5F">
        <w:rPr>
          <w:rFonts w:eastAsiaTheme="minorEastAsia"/>
        </w:rPr>
        <w:t>the paragraph</w:t>
      </w:r>
      <w:proofErr w:type="gramEnd"/>
      <w:r w:rsidR="005A5447" w:rsidRPr="002E1A5F">
        <w:rPr>
          <w:rFonts w:eastAsiaTheme="minorEastAsia"/>
        </w:rPr>
        <w:t xml:space="preserve"> a.</w:t>
      </w:r>
      <w:r w:rsidRPr="002E1A5F">
        <w:rPr>
          <w:rFonts w:eastAsiaTheme="minorEastAsia"/>
        </w:rPr>
        <w:t xml:space="preserve">, </w:t>
      </w:r>
      <w:r w:rsidR="3651D10B" w:rsidRPr="002E1A5F">
        <w:rPr>
          <w:rFonts w:eastAsiaTheme="minorEastAsia"/>
        </w:rPr>
        <w:t xml:space="preserve">CEC or </w:t>
      </w:r>
      <w:r w:rsidRPr="002E1A5F">
        <w:rPr>
          <w:rFonts w:eastAsiaTheme="minorEastAsia"/>
        </w:rPr>
        <w:t>DOE reserve</w:t>
      </w:r>
      <w:r w:rsidR="42FFA804" w:rsidRPr="002E1A5F">
        <w:rPr>
          <w:rFonts w:eastAsiaTheme="minorEastAsia"/>
        </w:rPr>
        <w:t>s</w:t>
      </w:r>
      <w:r w:rsidRPr="002E1A5F">
        <w:rPr>
          <w:rFonts w:eastAsiaTheme="minorEastAsia"/>
        </w:rPr>
        <w:t xml:space="preserve"> the right to conduct a</w:t>
      </w:r>
      <w:r w:rsidR="009F32FD" w:rsidRPr="002E1A5F">
        <w:rPr>
          <w:rFonts w:eastAsiaTheme="minorEastAsia"/>
        </w:rPr>
        <w:t xml:space="preserve"> </w:t>
      </w:r>
      <w:r w:rsidRPr="002E1A5F">
        <w:rPr>
          <w:rFonts w:eastAsiaTheme="minorEastAsia"/>
        </w:rPr>
        <w:t xml:space="preserve">review of </w:t>
      </w:r>
      <w:r w:rsidR="009F32FD" w:rsidRPr="002E1A5F">
        <w:rPr>
          <w:rFonts w:eastAsiaTheme="minorEastAsia"/>
        </w:rPr>
        <w:t xml:space="preserve">the </w:t>
      </w:r>
      <w:proofErr w:type="gramStart"/>
      <w:r w:rsidR="00FE28AA" w:rsidRPr="002E1A5F">
        <w:t>Subrecipient’s,</w:t>
      </w:r>
      <w:proofErr w:type="gramEnd"/>
      <w:r w:rsidRPr="002E1A5F" w:rsidDel="00FE28AA">
        <w:rPr>
          <w:rFonts w:eastAsiaTheme="minorEastAsia"/>
        </w:rPr>
        <w:t xml:space="preserve"> </w:t>
      </w:r>
      <w:r w:rsidRPr="002E1A5F">
        <w:rPr>
          <w:rFonts w:eastAsiaTheme="minorEastAsia"/>
        </w:rPr>
        <w:t xml:space="preserve">award to determine </w:t>
      </w:r>
      <w:r w:rsidR="007F3399" w:rsidRPr="002E1A5F">
        <w:rPr>
          <w:rFonts w:eastAsiaTheme="minorEastAsia"/>
        </w:rPr>
        <w:t xml:space="preserve">the </w:t>
      </w:r>
      <w:r w:rsidR="00FE28AA" w:rsidRPr="002E1A5F">
        <w:t>Subrecipient’s</w:t>
      </w:r>
      <w:r w:rsidRPr="002E1A5F">
        <w:rPr>
          <w:rFonts w:eastAsiaTheme="minorEastAsia"/>
        </w:rPr>
        <w:t xml:space="preserve"> compliance with the required elements of the </w:t>
      </w:r>
      <w:r w:rsidR="00FE28AA" w:rsidRPr="002E1A5F">
        <w:rPr>
          <w:rFonts w:eastAsiaTheme="minorEastAsia"/>
        </w:rPr>
        <w:t>A</w:t>
      </w:r>
      <w:r w:rsidRPr="002E1A5F">
        <w:rPr>
          <w:rFonts w:eastAsiaTheme="minorEastAsia"/>
        </w:rPr>
        <w:t>ward (including such items as cost</w:t>
      </w:r>
      <w:r w:rsidR="007F3399" w:rsidRPr="002E1A5F">
        <w:rPr>
          <w:rFonts w:eastAsiaTheme="minorEastAsia"/>
        </w:rPr>
        <w:t xml:space="preserve"> </w:t>
      </w:r>
      <w:r w:rsidRPr="002E1A5F">
        <w:rPr>
          <w:rFonts w:eastAsiaTheme="minorEastAsia"/>
        </w:rPr>
        <w:t>share, progress towards technical project objectives, and submission of required reports). If the</w:t>
      </w:r>
      <w:r w:rsidR="007F3399" w:rsidRPr="002E1A5F">
        <w:rPr>
          <w:rFonts w:eastAsiaTheme="minorEastAsia"/>
        </w:rPr>
        <w:t xml:space="preserve"> </w:t>
      </w:r>
      <w:r w:rsidR="22EF9C17" w:rsidRPr="002E1A5F">
        <w:rPr>
          <w:rFonts w:eastAsiaTheme="minorEastAsia"/>
        </w:rPr>
        <w:t>CEC</w:t>
      </w:r>
      <w:r w:rsidR="00522884" w:rsidRPr="002E1A5F">
        <w:rPr>
          <w:rFonts w:eastAsiaTheme="minorEastAsia"/>
        </w:rPr>
        <w:t xml:space="preserve"> or </w:t>
      </w:r>
      <w:r w:rsidRPr="002E1A5F">
        <w:rPr>
          <w:rFonts w:eastAsiaTheme="minorEastAsia"/>
        </w:rPr>
        <w:t>DOE review determines</w:t>
      </w:r>
      <w:r w:rsidR="007F3399" w:rsidRPr="002E1A5F">
        <w:rPr>
          <w:rFonts w:eastAsiaTheme="minorEastAsia"/>
        </w:rPr>
        <w:t xml:space="preserve"> </w:t>
      </w:r>
      <w:r w:rsidRPr="002E1A5F">
        <w:rPr>
          <w:rFonts w:eastAsiaTheme="minorEastAsia"/>
        </w:rPr>
        <w:t xml:space="preserve">that there are significant deficiencies or concerns with </w:t>
      </w:r>
      <w:r w:rsidR="007F3399" w:rsidRPr="002E1A5F">
        <w:rPr>
          <w:rFonts w:eastAsiaTheme="minorEastAsia"/>
        </w:rPr>
        <w:t>the</w:t>
      </w:r>
      <w:r w:rsidR="007F3399" w:rsidRPr="002E1A5F">
        <w:t xml:space="preserve"> </w:t>
      </w:r>
      <w:r w:rsidR="00FE28AA" w:rsidRPr="002E1A5F">
        <w:t>Subrecipient’s</w:t>
      </w:r>
      <w:r w:rsidRPr="002E1A5F">
        <w:rPr>
          <w:rFonts w:eastAsiaTheme="minorEastAsia"/>
        </w:rPr>
        <w:t xml:space="preserve"> performance under the </w:t>
      </w:r>
      <w:r w:rsidR="007F3399" w:rsidRPr="002E1A5F">
        <w:rPr>
          <w:rFonts w:eastAsiaTheme="minorEastAsia"/>
        </w:rPr>
        <w:t>A</w:t>
      </w:r>
      <w:r w:rsidRPr="002E1A5F">
        <w:rPr>
          <w:rFonts w:eastAsiaTheme="minorEastAsia"/>
        </w:rPr>
        <w:t xml:space="preserve">ward, </w:t>
      </w:r>
      <w:r w:rsidR="007F3399" w:rsidRPr="002E1A5F">
        <w:rPr>
          <w:rFonts w:eastAsiaTheme="minorEastAsia"/>
        </w:rPr>
        <w:t xml:space="preserve">the </w:t>
      </w:r>
      <w:r w:rsidR="046B2632" w:rsidRPr="002E1A5F">
        <w:rPr>
          <w:rFonts w:eastAsiaTheme="minorEastAsia"/>
        </w:rPr>
        <w:t xml:space="preserve">CEC or </w:t>
      </w:r>
      <w:r w:rsidRPr="002E1A5F">
        <w:rPr>
          <w:rFonts w:eastAsiaTheme="minorEastAsia"/>
        </w:rPr>
        <w:t>DOE reserves the right to</w:t>
      </w:r>
      <w:r w:rsidR="007F3399" w:rsidRPr="002E1A5F">
        <w:rPr>
          <w:rFonts w:eastAsiaTheme="minorEastAsia"/>
        </w:rPr>
        <w:t xml:space="preserve"> </w:t>
      </w:r>
      <w:r w:rsidRPr="002E1A5F">
        <w:rPr>
          <w:rFonts w:eastAsiaTheme="minorEastAsia"/>
        </w:rPr>
        <w:t>impose additional requirements, as needed, including</w:t>
      </w:r>
      <w:bookmarkEnd w:id="119"/>
      <w:bookmarkEnd w:id="120"/>
      <w:r w:rsidR="000405A7">
        <w:rPr>
          <w:rFonts w:eastAsiaTheme="minorEastAsia"/>
        </w:rPr>
        <w:t>:</w:t>
      </w:r>
      <w:r w:rsidRPr="002E1A5F">
        <w:rPr>
          <w:rFonts w:eastAsiaTheme="minorEastAsia"/>
        </w:rPr>
        <w:t xml:space="preserve"> </w:t>
      </w:r>
    </w:p>
    <w:p w14:paraId="65DCBBB5" w14:textId="77777777" w:rsidR="007F3399" w:rsidRPr="002E1A5F" w:rsidRDefault="007F3399" w:rsidP="7A327B2A">
      <w:pPr>
        <w:pStyle w:val="NoSpacing"/>
        <w:jc w:val="both"/>
        <w:rPr>
          <w:rFonts w:eastAsiaTheme="minorEastAsia"/>
        </w:rPr>
      </w:pPr>
    </w:p>
    <w:p w14:paraId="29A5AE79" w14:textId="23E38FCE" w:rsidR="007F3399" w:rsidRPr="002E1A5F" w:rsidRDefault="00F0322C" w:rsidP="009B3BA3">
      <w:pPr>
        <w:pStyle w:val="NoSpacing"/>
        <w:numPr>
          <w:ilvl w:val="0"/>
          <w:numId w:val="50"/>
        </w:numPr>
        <w:ind w:left="1440" w:hanging="270"/>
        <w:jc w:val="both"/>
        <w:rPr>
          <w:rFonts w:eastAsiaTheme="minorEastAsia"/>
        </w:rPr>
      </w:pPr>
      <w:bookmarkStart w:id="121" w:name="_Toc149654165"/>
      <w:bookmarkStart w:id="122" w:name="_Toc149662753"/>
      <w:r w:rsidRPr="002E1A5F">
        <w:rPr>
          <w:rFonts w:eastAsiaTheme="minorEastAsia"/>
        </w:rPr>
        <w:t xml:space="preserve">change </w:t>
      </w:r>
      <w:r w:rsidR="007F3399" w:rsidRPr="002E1A5F">
        <w:rPr>
          <w:rFonts w:eastAsiaTheme="minorEastAsia"/>
        </w:rPr>
        <w:t xml:space="preserve">the </w:t>
      </w:r>
      <w:r w:rsidR="00FE28AA" w:rsidRPr="002E1A5F">
        <w:rPr>
          <w:rFonts w:eastAsiaTheme="minorEastAsia"/>
        </w:rPr>
        <w:t>Subrecipient’s</w:t>
      </w:r>
      <w:r w:rsidRPr="002E1A5F">
        <w:rPr>
          <w:rFonts w:eastAsiaTheme="minorEastAsia"/>
        </w:rPr>
        <w:t xml:space="preserve"> payment method; or</w:t>
      </w:r>
      <w:bookmarkEnd w:id="121"/>
      <w:bookmarkEnd w:id="122"/>
      <w:r w:rsidRPr="002E1A5F">
        <w:rPr>
          <w:rFonts w:eastAsiaTheme="minorEastAsia"/>
        </w:rPr>
        <w:t xml:space="preserve"> </w:t>
      </w:r>
    </w:p>
    <w:p w14:paraId="5FA4572B" w14:textId="77777777" w:rsidR="00D91919" w:rsidRPr="002E1A5F" w:rsidRDefault="00D91919" w:rsidP="7A327B2A">
      <w:pPr>
        <w:pStyle w:val="NoSpacing"/>
        <w:ind w:left="1440" w:hanging="270"/>
        <w:jc w:val="both"/>
        <w:rPr>
          <w:rFonts w:eastAsiaTheme="minorEastAsia"/>
        </w:rPr>
      </w:pPr>
    </w:p>
    <w:p w14:paraId="2D6AA707" w14:textId="1AA8FAA5" w:rsidR="00F0322C" w:rsidRPr="002E1A5F" w:rsidRDefault="00F0322C" w:rsidP="009B3BA3">
      <w:pPr>
        <w:pStyle w:val="NoSpacing"/>
        <w:numPr>
          <w:ilvl w:val="0"/>
          <w:numId w:val="50"/>
        </w:numPr>
        <w:ind w:left="1440" w:hanging="270"/>
        <w:jc w:val="both"/>
        <w:rPr>
          <w:rFonts w:eastAsiaTheme="minorEastAsia"/>
        </w:rPr>
      </w:pPr>
      <w:bookmarkStart w:id="123" w:name="_Toc149654166"/>
      <w:bookmarkStart w:id="124" w:name="_Toc149662754"/>
      <w:r w:rsidRPr="002E1A5F">
        <w:rPr>
          <w:rFonts w:eastAsiaTheme="minorEastAsia"/>
        </w:rPr>
        <w:lastRenderedPageBreak/>
        <w:t>institute payment controls.</w:t>
      </w:r>
      <w:bookmarkEnd w:id="123"/>
      <w:bookmarkEnd w:id="124"/>
    </w:p>
    <w:p w14:paraId="37B44ADE" w14:textId="77777777" w:rsidR="00D91919" w:rsidRPr="002E1A5F" w:rsidRDefault="00D91919" w:rsidP="7A327B2A">
      <w:pPr>
        <w:jc w:val="both"/>
        <w:rPr>
          <w:rFonts w:eastAsiaTheme="minorEastAsia"/>
        </w:rPr>
      </w:pPr>
    </w:p>
    <w:p w14:paraId="44FD920D" w14:textId="0E2F7E78" w:rsidR="00F0322C" w:rsidRPr="002E1A5F" w:rsidRDefault="00F0322C" w:rsidP="7A327B2A">
      <w:pPr>
        <w:pStyle w:val="NoSpacing"/>
        <w:numPr>
          <w:ilvl w:val="2"/>
          <w:numId w:val="28"/>
        </w:numPr>
        <w:ind w:left="1080"/>
        <w:jc w:val="both"/>
      </w:pPr>
      <w:bookmarkStart w:id="125" w:name="_Toc149654167"/>
      <w:bookmarkStart w:id="126" w:name="_Toc149662755"/>
      <w:r w:rsidRPr="002E1A5F">
        <w:t xml:space="preserve">Failure of the </w:t>
      </w:r>
      <w:r w:rsidR="4DA431E4" w:rsidRPr="002E1A5F">
        <w:t>Sub</w:t>
      </w:r>
      <w:r w:rsidR="38159CAD" w:rsidRPr="002E1A5F">
        <w:t>r</w:t>
      </w:r>
      <w:r w:rsidRPr="002E1A5F">
        <w:t xml:space="preserve">ecipient to comply with this term may be considered </w:t>
      </w:r>
      <w:proofErr w:type="gramStart"/>
      <w:r w:rsidRPr="002E1A5F">
        <w:t>a material</w:t>
      </w:r>
      <w:proofErr w:type="gramEnd"/>
      <w:r w:rsidRPr="002E1A5F">
        <w:t xml:space="preserve"> noncompliance of this financial</w:t>
      </w:r>
      <w:r w:rsidR="00033CCB" w:rsidRPr="002E1A5F">
        <w:t xml:space="preserve"> </w:t>
      </w:r>
      <w:r w:rsidRPr="002E1A5F">
        <w:t xml:space="preserve">assistance award by the </w:t>
      </w:r>
      <w:r w:rsidR="12287596" w:rsidRPr="002E1A5F">
        <w:t xml:space="preserve">CEC CAM or </w:t>
      </w:r>
      <w:r w:rsidR="003A3F3C" w:rsidRPr="002E1A5F">
        <w:t>DOE Contracting Officer</w:t>
      </w:r>
      <w:r w:rsidRPr="002E1A5F">
        <w:t>.</w:t>
      </w:r>
      <w:bookmarkEnd w:id="125"/>
      <w:bookmarkEnd w:id="126"/>
    </w:p>
    <w:p w14:paraId="41EAA448" w14:textId="77777777" w:rsidR="00033CCB" w:rsidRPr="002E1A5F" w:rsidRDefault="00033CCB" w:rsidP="7A327B2A">
      <w:pPr>
        <w:pStyle w:val="NoSpacing"/>
        <w:jc w:val="both"/>
      </w:pPr>
    </w:p>
    <w:p w14:paraId="6532A566" w14:textId="08BA4CB7" w:rsidR="00DA4BCB" w:rsidRPr="002263C8" w:rsidRDefault="00E51F34" w:rsidP="00927A9B">
      <w:pPr>
        <w:pStyle w:val="Heading2"/>
        <w:numPr>
          <w:ilvl w:val="1"/>
          <w:numId w:val="28"/>
        </w:numPr>
        <w:ind w:left="720"/>
        <w:jc w:val="both"/>
        <w:rPr>
          <w:rFonts w:ascii="Arial" w:hAnsi="Arial" w:cs="Arial"/>
          <w:b/>
          <w:bCs/>
          <w:color w:val="auto"/>
          <w:sz w:val="20"/>
          <w:szCs w:val="20"/>
        </w:rPr>
      </w:pPr>
      <w:bookmarkStart w:id="127" w:name="_Toc149654114"/>
      <w:bookmarkStart w:id="128" w:name="_Toc206158637"/>
      <w:r w:rsidRPr="002263C8">
        <w:rPr>
          <w:rFonts w:ascii="Arial" w:hAnsi="Arial" w:cs="Arial"/>
          <w:b/>
          <w:bCs/>
          <w:color w:val="auto"/>
          <w:sz w:val="20"/>
          <w:szCs w:val="20"/>
        </w:rPr>
        <w:t xml:space="preserve">Provisions </w:t>
      </w:r>
      <w:r w:rsidR="003D0210">
        <w:rPr>
          <w:rFonts w:ascii="Arial" w:hAnsi="Arial" w:cs="Arial"/>
          <w:b/>
          <w:bCs/>
          <w:color w:val="auto"/>
          <w:sz w:val="20"/>
          <w:szCs w:val="20"/>
        </w:rPr>
        <w:t xml:space="preserve">for Subrecipient’s Contracts </w:t>
      </w:r>
      <w:bookmarkEnd w:id="127"/>
      <w:bookmarkEnd w:id="128"/>
    </w:p>
    <w:p w14:paraId="4480A2F3" w14:textId="77777777" w:rsidR="00367080" w:rsidRDefault="00367080" w:rsidP="7A327B2A">
      <w:pPr>
        <w:jc w:val="both"/>
      </w:pPr>
    </w:p>
    <w:p w14:paraId="641B49C3" w14:textId="73FEF88A" w:rsidR="00367080" w:rsidRDefault="00367080" w:rsidP="00367080">
      <w:pPr>
        <w:ind w:left="720"/>
        <w:jc w:val="both"/>
      </w:pPr>
      <w:r>
        <w:t xml:space="preserve">Pursuant to 2 CFR 200.327, if Subrecipient </w:t>
      </w:r>
      <w:proofErr w:type="gramStart"/>
      <w:r w:rsidR="00AD7289">
        <w:t>enters</w:t>
      </w:r>
      <w:r>
        <w:t xml:space="preserve"> </w:t>
      </w:r>
      <w:r w:rsidR="00AD7289">
        <w:t>into</w:t>
      </w:r>
      <w:proofErr w:type="gramEnd"/>
      <w:r w:rsidR="00AD7289">
        <w:t xml:space="preserve"> </w:t>
      </w:r>
      <w:r>
        <w:t xml:space="preserve">contracts with </w:t>
      </w:r>
      <w:r w:rsidR="00010908">
        <w:t>funding from the Federal Award, Subreci</w:t>
      </w:r>
      <w:r w:rsidR="00623F0F">
        <w:t xml:space="preserve">pient must </w:t>
      </w:r>
      <w:r w:rsidR="006965E2">
        <w:t>include certain flow down provisions and comply with the following:</w:t>
      </w:r>
    </w:p>
    <w:p w14:paraId="5B2C646D" w14:textId="77777777" w:rsidR="00367080" w:rsidRPr="002E1A5F" w:rsidRDefault="00367080" w:rsidP="00367080">
      <w:pPr>
        <w:ind w:left="720"/>
        <w:jc w:val="both"/>
      </w:pPr>
    </w:p>
    <w:p w14:paraId="408EEED5" w14:textId="330578D8" w:rsidR="00E51F34" w:rsidRPr="002E1A5F" w:rsidRDefault="00E51F34" w:rsidP="00E51F34">
      <w:pPr>
        <w:pStyle w:val="ListParagraph"/>
        <w:numPr>
          <w:ilvl w:val="0"/>
          <w:numId w:val="59"/>
        </w:numPr>
        <w:ind w:left="1080"/>
        <w:jc w:val="both"/>
      </w:pPr>
      <w:r w:rsidRPr="002E1A5F">
        <w:t>In accordance with Appendix II to 2 CFR Part 200, in addition to other provisions required by the Federal agency or non-Federal entity, all contracts made by a non-Federal entity under the Federal award must contain provisions covering the following, as applicable:</w:t>
      </w:r>
    </w:p>
    <w:p w14:paraId="466D4868" w14:textId="77777777" w:rsidR="00E51F34" w:rsidRPr="002E1A5F" w:rsidRDefault="00E51F34" w:rsidP="00E51F34">
      <w:pPr>
        <w:pStyle w:val="ListParagraph"/>
        <w:jc w:val="both"/>
      </w:pPr>
    </w:p>
    <w:p w14:paraId="697F8E41" w14:textId="77777777" w:rsidR="00E51F34" w:rsidRPr="002E1A5F" w:rsidRDefault="00E51F34" w:rsidP="00E51F34">
      <w:pPr>
        <w:pStyle w:val="ListParagraph"/>
        <w:numPr>
          <w:ilvl w:val="0"/>
          <w:numId w:val="59"/>
        </w:numPr>
        <w:ind w:left="1080"/>
        <w:jc w:val="both"/>
      </w:pPr>
      <w:r w:rsidRPr="002E1A5F">
        <w:t xml:space="preserve">Contracts for more than the simplified acquisition threshold, which is the inflation adjusted amount determined by the Civilian Agency Acquisition Council and the Defense Acquisition Regulations Council (Councils) as authorized by 41 U.S.C. 1908, must address administrative, contractual, or legal remedies in instances where contractors violate or breach contract terms, and provide for such sanctions and penalties as appropriate. </w:t>
      </w:r>
    </w:p>
    <w:p w14:paraId="5D813099" w14:textId="77777777" w:rsidR="00E51F34" w:rsidRPr="002E1A5F" w:rsidRDefault="00E51F34" w:rsidP="00E51F34">
      <w:pPr>
        <w:pStyle w:val="ListParagraph"/>
        <w:ind w:left="1080"/>
        <w:jc w:val="both"/>
      </w:pPr>
    </w:p>
    <w:p w14:paraId="40324762" w14:textId="2B008F29" w:rsidR="00E51F34" w:rsidRPr="002E1A5F" w:rsidRDefault="00E51F34" w:rsidP="00E51F34">
      <w:pPr>
        <w:pStyle w:val="ListParagraph"/>
        <w:numPr>
          <w:ilvl w:val="0"/>
          <w:numId w:val="59"/>
        </w:numPr>
        <w:ind w:left="1080"/>
        <w:jc w:val="both"/>
      </w:pPr>
      <w:r w:rsidRPr="002E1A5F">
        <w:t xml:space="preserve">All contracts </w:t>
      </w:r>
      <w:proofErr w:type="gramStart"/>
      <w:r w:rsidRPr="002E1A5F">
        <w:t>in excess of</w:t>
      </w:r>
      <w:proofErr w:type="gramEnd"/>
      <w:r w:rsidRPr="002E1A5F">
        <w:t xml:space="preserve"> $10,000 must address termination for cause and for convenience by the non-Federal entity including </w:t>
      </w:r>
      <w:proofErr w:type="gramStart"/>
      <w:r w:rsidRPr="002E1A5F">
        <w:t>the manner by which</w:t>
      </w:r>
      <w:proofErr w:type="gramEnd"/>
      <w:r w:rsidRPr="002E1A5F">
        <w:t xml:space="preserve"> it will be </w:t>
      </w:r>
      <w:r w:rsidR="000405A7" w:rsidRPr="002E1A5F">
        <w:t>affected</w:t>
      </w:r>
      <w:r w:rsidRPr="002E1A5F">
        <w:t xml:space="preserve"> and the basis for settlement. </w:t>
      </w:r>
    </w:p>
    <w:p w14:paraId="63E9405C" w14:textId="77777777" w:rsidR="00E51F34" w:rsidRPr="002E1A5F" w:rsidRDefault="00E51F34" w:rsidP="00E51F34">
      <w:pPr>
        <w:pStyle w:val="ListParagraph"/>
        <w:ind w:left="1080"/>
        <w:jc w:val="both"/>
      </w:pPr>
    </w:p>
    <w:p w14:paraId="0656E763" w14:textId="77777777" w:rsidR="00E51F34" w:rsidRPr="002E1A5F" w:rsidRDefault="00E51F34" w:rsidP="00E51F34">
      <w:pPr>
        <w:pStyle w:val="ListParagraph"/>
        <w:numPr>
          <w:ilvl w:val="0"/>
          <w:numId w:val="59"/>
        </w:numPr>
        <w:ind w:left="1080"/>
        <w:jc w:val="both"/>
      </w:pPr>
      <w:r w:rsidRPr="002E1A5F">
        <w:t xml:space="preserve">Equal Employment Opportunity. Except as otherwise provided under 41 CFR Part 60, all contracts that meet the definition of “federally assisted construction contract” in 41 CFR Part 60-1.3 must include the equal opportunity clause provided under 41 CFR 60-1.4(b), in accordance with Executive Order 11246, “Equal Employment Opportunity” (30 FR 12319, 12935, 3 CFR Part, 1964-1965 Comp., p. 339), as amended by Executive Order 11375, “Amending Executive Order 11246 Relating to Equal Employment Opportunity,” and implementing regulations at 41 CFR part 60, “Office of Federal Contract Compliance Programs, Equal Employment Opportunity, Department of Labor.” </w:t>
      </w:r>
    </w:p>
    <w:p w14:paraId="4EF76BE6" w14:textId="77777777" w:rsidR="00E51F34" w:rsidRPr="002E1A5F" w:rsidRDefault="00E51F34" w:rsidP="00E51F34">
      <w:pPr>
        <w:pStyle w:val="ListParagraph"/>
        <w:ind w:left="1080"/>
        <w:jc w:val="both"/>
      </w:pPr>
    </w:p>
    <w:p w14:paraId="04F33378" w14:textId="77777777" w:rsidR="00E51F34" w:rsidRPr="002E1A5F" w:rsidRDefault="00E51F34" w:rsidP="00E51F34">
      <w:pPr>
        <w:pStyle w:val="ListParagraph"/>
        <w:numPr>
          <w:ilvl w:val="0"/>
          <w:numId w:val="59"/>
        </w:numPr>
        <w:ind w:left="1080"/>
        <w:jc w:val="both"/>
      </w:pPr>
      <w:r w:rsidRPr="002E1A5F">
        <w:t xml:space="preserve">Davis-Bacon Act, as amended (40 U.S.C. 3141-3148). When required by Federal program legislation, all prime construction contracts </w:t>
      </w:r>
      <w:proofErr w:type="gramStart"/>
      <w:r w:rsidRPr="002E1A5F">
        <w:t>in excess of</w:t>
      </w:r>
      <w:proofErr w:type="gramEnd"/>
      <w:r w:rsidRPr="002E1A5F">
        <w:t xml:space="preserve"> $2,000 awarded by non-Federal entities must include a provision for compliance with the Davis-Bacon Act (40 U.S.C. 3141-3144, and 3146-3148) as supplemented by Department of Labor regulations (29 CFR Part 5, “Labor Standards Provisions Applicable to Contracts Covering Federally Financed and Assisted Construction”). In accordance with the statute, contractors must be required to pay wages to laborers and mechanics at a rate not less than the prevailing wages specified in a wage determination made by the Secretary of Labor. In addition, contractors must be required to pay wages not less than once a week. The non-Federal entity must place a copy of the current prevailing wage determination issued by the Department of Labor in each solicitation. The decision to award a contract or subcontract must be conditioned upon the acceptance of the wage determination. The non-Federal entity must report all suspected or reported violations to the CEC, which will in turn report to the DOE. The contracts must also include a provision for compliance with the Copeland “Anti-Kickback” Act (40 U.S.C. 3145), as supplemented by Department of Labor regulations (29 CFR Part 3, “Contractors and Subcontractors on Public Building or Public Work Financed in Whole or in Part by Loans or Grants from the United States”). The Act provides that each contractor or subrecipient must be prohibited from inducing, by any means, any person employed in the construction, completion, or repair of public </w:t>
      </w:r>
      <w:proofErr w:type="gramStart"/>
      <w:r w:rsidRPr="002E1A5F">
        <w:t>work,</w:t>
      </w:r>
      <w:proofErr w:type="gramEnd"/>
      <w:r w:rsidRPr="002E1A5F">
        <w:t xml:space="preserve"> to give up any part of the compensation to which he or she is otherwise entitled. The non-Federal entity must report all suspected or reported violations to the CEC, which will in turn report to the DOE. </w:t>
      </w:r>
    </w:p>
    <w:p w14:paraId="010A3F11" w14:textId="77777777" w:rsidR="00E51F34" w:rsidRPr="002E1A5F" w:rsidRDefault="00E51F34" w:rsidP="00E51F34">
      <w:pPr>
        <w:pStyle w:val="ListParagraph"/>
        <w:ind w:left="1080"/>
        <w:jc w:val="both"/>
      </w:pPr>
    </w:p>
    <w:p w14:paraId="012212B2" w14:textId="77777777" w:rsidR="00E51F34" w:rsidRPr="002E1A5F" w:rsidRDefault="00E51F34" w:rsidP="00E51F34">
      <w:pPr>
        <w:pStyle w:val="ListParagraph"/>
        <w:numPr>
          <w:ilvl w:val="0"/>
          <w:numId w:val="59"/>
        </w:numPr>
        <w:ind w:left="1080"/>
        <w:jc w:val="both"/>
      </w:pPr>
      <w:r w:rsidRPr="002E1A5F">
        <w:t xml:space="preserve">Contract Work Hours and Safety Standards Act (40 U.S.C. 3701-3708). Where applicable, all </w:t>
      </w:r>
      <w:r w:rsidRPr="002E1A5F">
        <w:lastRenderedPageBreak/>
        <w:t xml:space="preserve">contracts awarded by the non-Federal entity </w:t>
      </w:r>
      <w:proofErr w:type="gramStart"/>
      <w:r w:rsidRPr="002E1A5F">
        <w:t>in excess of</w:t>
      </w:r>
      <w:proofErr w:type="gramEnd"/>
      <w:r w:rsidRPr="002E1A5F">
        <w:t xml:space="preserve"> $100,000 that involve the employment of mechanics or laborers must include a provision for compliance with 40 U.S.C. 3702 and 3704, as supplemented by Department of Labor regulations (29 CFR Part 5). Under 40 U.S.C. 3702 of the Act, each contractor must be required to compute the wages of every mechanic and laborer </w:t>
      </w:r>
      <w:proofErr w:type="gramStart"/>
      <w:r w:rsidRPr="002E1A5F">
        <w:t>on the basis of</w:t>
      </w:r>
      <w:proofErr w:type="gramEnd"/>
      <w:r w:rsidRPr="002E1A5F">
        <w:t xml:space="preserve"> a standard work week of 40 hours. Work </w:t>
      </w:r>
      <w:proofErr w:type="gramStart"/>
      <w:r w:rsidRPr="002E1A5F">
        <w:t>in excess of</w:t>
      </w:r>
      <w:proofErr w:type="gramEnd"/>
      <w:r w:rsidRPr="002E1A5F">
        <w:t xml:space="preserve"> the standard work week is permissible provided that the worker is compensated at a rate of not less than one and a half times the basic rate of pay for all hours worked </w:t>
      </w:r>
      <w:proofErr w:type="gramStart"/>
      <w:r w:rsidRPr="002E1A5F">
        <w:t>in excess of</w:t>
      </w:r>
      <w:proofErr w:type="gramEnd"/>
      <w:r w:rsidRPr="002E1A5F">
        <w:t xml:space="preserve"> 40 hours in the work week. The requirements of 40 U.S.C. 3704 are applicable to construction work and provide that no laborer or mechanic must be required to work in surroundings or under working conditions which are unsanitary, hazardous or dangerous. These requirements do not apply to the purchases of supplies or materials or articles ordinarily available on the open market, or contracts for transportation or transmission of intelligence. </w:t>
      </w:r>
    </w:p>
    <w:p w14:paraId="1333EDE4" w14:textId="77777777" w:rsidR="00E51F34" w:rsidRPr="002E1A5F" w:rsidRDefault="00E51F34" w:rsidP="00E51F34">
      <w:pPr>
        <w:pStyle w:val="ListParagraph"/>
        <w:ind w:left="1080"/>
        <w:jc w:val="both"/>
      </w:pPr>
    </w:p>
    <w:p w14:paraId="4A39FDC8" w14:textId="72AD74C5" w:rsidR="00E51F34" w:rsidRPr="002E1A5F" w:rsidRDefault="00E51F34" w:rsidP="00E51F34">
      <w:pPr>
        <w:pStyle w:val="ListParagraph"/>
        <w:numPr>
          <w:ilvl w:val="0"/>
          <w:numId w:val="59"/>
        </w:numPr>
        <w:ind w:left="1080"/>
        <w:jc w:val="both"/>
      </w:pPr>
      <w:r w:rsidRPr="002E1A5F">
        <w:t xml:space="preserve">Rights to Inventions Made Under a Contract or Agreement. If the Federal award meets the definition of “funding agreement” under 37 CFR § 401.2 (a) and the </w:t>
      </w:r>
      <w:r>
        <w:t>Recipient</w:t>
      </w:r>
      <w:r w:rsidRPr="002E1A5F">
        <w:t xml:space="preserve"> or </w:t>
      </w:r>
      <w:r>
        <w:t>Subrecipient</w:t>
      </w:r>
      <w:r w:rsidRPr="002E1A5F">
        <w:t xml:space="preserve"> wishes to enter into a contract with a small business firm or nonprofit organization regarding the substitution of parties, assignment or performance of experimental, developmental, or research work under that “funding agreement,” the </w:t>
      </w:r>
      <w:r>
        <w:t>Recipient</w:t>
      </w:r>
      <w:r w:rsidRPr="002E1A5F">
        <w:t xml:space="preserve"> or </w:t>
      </w:r>
      <w:r>
        <w:t>Subrecipient</w:t>
      </w:r>
      <w:r w:rsidRPr="002E1A5F">
        <w:t xml:space="preserve"> must comply with the requirements of 37 CFR Part 401, “Rights to Inventions Made by Nonprofit Organizations and Small Business Firms Under Government Grants, Contracts and Cooperative Agreements,” and any implementing regulations issued by the awarding agency. </w:t>
      </w:r>
    </w:p>
    <w:p w14:paraId="2DC9CAD2" w14:textId="77777777" w:rsidR="00E51F34" w:rsidRPr="002E1A5F" w:rsidRDefault="00E51F34" w:rsidP="00E51F34">
      <w:pPr>
        <w:pStyle w:val="ListParagraph"/>
        <w:ind w:left="1080"/>
        <w:jc w:val="both"/>
      </w:pPr>
    </w:p>
    <w:p w14:paraId="31769E53" w14:textId="77777777" w:rsidR="00E51F34" w:rsidRPr="002E1A5F" w:rsidRDefault="00E51F34" w:rsidP="00E51F34">
      <w:pPr>
        <w:pStyle w:val="ListParagraph"/>
        <w:numPr>
          <w:ilvl w:val="0"/>
          <w:numId w:val="59"/>
        </w:numPr>
        <w:ind w:left="1080"/>
        <w:jc w:val="both"/>
      </w:pPr>
      <w:r w:rsidRPr="002E1A5F">
        <w:t xml:space="preserve">Clean Air Act (42 U.S.C. 7401-7671q.) and the Federal Water Pollution Control Act (33 U.S.C. 1251-1387), as amended - Contracts and subgrants of amounts in excess of $150,000 must contain a provision that requires the non-Federal award to agree to comply with all applicable standards, orders or regulations issued pursuant to the Clean Air Act (42 U.S.C. 7401-7671q) and the Federal Water Pollution Control Act as amended (33 U.S.C. 1251-1387). Violations must be reported to the CEC, which will in turn report to the DOE and the Regional Office of the Environmental Protection Agency (EPA). </w:t>
      </w:r>
    </w:p>
    <w:p w14:paraId="2EA4AD4C" w14:textId="77777777" w:rsidR="00E51F34" w:rsidRPr="002E1A5F" w:rsidRDefault="00E51F34" w:rsidP="00E51F34">
      <w:pPr>
        <w:pStyle w:val="ListParagraph"/>
        <w:ind w:left="1080"/>
        <w:jc w:val="both"/>
      </w:pPr>
    </w:p>
    <w:p w14:paraId="7E98F999" w14:textId="77777777" w:rsidR="00E51F34" w:rsidRPr="002E1A5F" w:rsidRDefault="00E51F34" w:rsidP="00E51F34">
      <w:pPr>
        <w:pStyle w:val="ListParagraph"/>
        <w:numPr>
          <w:ilvl w:val="0"/>
          <w:numId w:val="59"/>
        </w:numPr>
        <w:ind w:left="1080"/>
        <w:jc w:val="both"/>
      </w:pPr>
      <w:r w:rsidRPr="002E1A5F">
        <w:t xml:space="preserve">Debarment and Suspension (Executive Orders 12549 and 12689) - A contract award (see 2 CFR 180.220) must not be made to parties listed on the governmentwide exclusions in the System for Award Management (SAM), in accordance with the Office of Management and Budget (OMB) guidelines at 2 CFR 180 that implement Executive Orders 12549 (3 CFR part 1986 Comp., p. 189) and 12689 (3 CFR part 1989 Comp., p. 235), “Debarment and Suspension.” SAM Exclusions contains the names of parties debarred, suspended, or otherwise excluded by agencies, as well as parties declared ineligible under statutory or regulatory authority other than Executive Order 12549. </w:t>
      </w:r>
    </w:p>
    <w:p w14:paraId="4DAC5D3D" w14:textId="77777777" w:rsidR="00E51F34" w:rsidRPr="002E1A5F" w:rsidRDefault="00E51F34" w:rsidP="00E51F34">
      <w:pPr>
        <w:pStyle w:val="ListParagraph"/>
        <w:ind w:left="1080"/>
        <w:jc w:val="both"/>
      </w:pPr>
    </w:p>
    <w:p w14:paraId="6881D456" w14:textId="77777777" w:rsidR="00E51F34" w:rsidRPr="002E1A5F" w:rsidRDefault="00E51F34" w:rsidP="00E51F34">
      <w:pPr>
        <w:pStyle w:val="ListParagraph"/>
        <w:numPr>
          <w:ilvl w:val="0"/>
          <w:numId w:val="59"/>
        </w:numPr>
        <w:ind w:left="1080"/>
        <w:jc w:val="both"/>
      </w:pPr>
      <w:r w:rsidRPr="002E1A5F">
        <w:t xml:space="preserve">Byrd Anti-Lobbying Amendment (31 U.S.C. 1352) - Contractors that apply or bid for an award exceeding $100,000 must file the required certification.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1352. Each tier must also disclose any lobbying with non-Federal funds that takes place in connection with obtaining any Federal award. Such disclosures are forwarded from tier to </w:t>
      </w:r>
      <w:proofErr w:type="spellStart"/>
      <w:r w:rsidRPr="002E1A5F">
        <w:t>tier</w:t>
      </w:r>
      <w:proofErr w:type="spellEnd"/>
      <w:r w:rsidRPr="002E1A5F">
        <w:t xml:space="preserve"> up to the non-Federal award. </w:t>
      </w:r>
    </w:p>
    <w:p w14:paraId="57BBC5A7" w14:textId="77777777" w:rsidR="00E51F34" w:rsidRPr="002E1A5F" w:rsidRDefault="00E51F34" w:rsidP="00E51F34">
      <w:pPr>
        <w:pStyle w:val="ListParagraph"/>
        <w:ind w:left="1080"/>
        <w:jc w:val="both"/>
      </w:pPr>
    </w:p>
    <w:p w14:paraId="599A6C69" w14:textId="28968973" w:rsidR="00E51F34" w:rsidRPr="002E1A5F" w:rsidRDefault="009F6331" w:rsidP="00E51F34">
      <w:pPr>
        <w:pStyle w:val="ListParagraph"/>
        <w:numPr>
          <w:ilvl w:val="0"/>
          <w:numId w:val="59"/>
        </w:numPr>
        <w:ind w:left="1080"/>
        <w:jc w:val="both"/>
      </w:pPr>
      <w:r w:rsidRPr="009F6331">
        <w:t>Procurement of recovered materials</w:t>
      </w:r>
      <w:r w:rsidR="003933CD">
        <w:t>.</w:t>
      </w:r>
      <w:r w:rsidR="00101412">
        <w:t xml:space="preserve">2 CFR </w:t>
      </w:r>
      <w:r w:rsidR="00E51F34" w:rsidRPr="002E1A5F">
        <w:t xml:space="preserve">200.323. </w:t>
      </w:r>
    </w:p>
    <w:p w14:paraId="143DE2B2" w14:textId="77777777" w:rsidR="00E51F34" w:rsidRPr="002E1A5F" w:rsidRDefault="00E51F34" w:rsidP="00E51F34">
      <w:pPr>
        <w:pStyle w:val="ListParagraph"/>
        <w:ind w:left="1080"/>
        <w:jc w:val="both"/>
      </w:pPr>
    </w:p>
    <w:p w14:paraId="252E8562" w14:textId="3F9602C9" w:rsidR="00E51F34" w:rsidRPr="002E1A5F" w:rsidRDefault="005D0CCC" w:rsidP="00E51F34">
      <w:pPr>
        <w:pStyle w:val="ListParagraph"/>
        <w:numPr>
          <w:ilvl w:val="0"/>
          <w:numId w:val="59"/>
        </w:numPr>
        <w:ind w:left="1080"/>
        <w:jc w:val="both"/>
      </w:pPr>
      <w:r w:rsidRPr="005D0CCC">
        <w:t>Prohibition on certain telecommunications and video surveillance equipment or services.</w:t>
      </w:r>
      <w:r w:rsidR="00E81A8F">
        <w:t xml:space="preserve"> </w:t>
      </w:r>
      <w:r w:rsidR="00E51F34" w:rsidRPr="002E1A5F">
        <w:t xml:space="preserve"> </w:t>
      </w:r>
      <w:r w:rsidR="00BB09FF">
        <w:t xml:space="preserve">2 CFR </w:t>
      </w:r>
      <w:r w:rsidR="00E51F34" w:rsidRPr="002E1A5F">
        <w:t xml:space="preserve">200.216. </w:t>
      </w:r>
    </w:p>
    <w:p w14:paraId="04BFB55B" w14:textId="77777777" w:rsidR="00E51F34" w:rsidRPr="002E1A5F" w:rsidRDefault="00E51F34" w:rsidP="00E51F34">
      <w:pPr>
        <w:pStyle w:val="ListParagraph"/>
        <w:ind w:left="1080"/>
        <w:jc w:val="both"/>
      </w:pPr>
    </w:p>
    <w:p w14:paraId="499D12BD" w14:textId="7CF74E2C" w:rsidR="00E51F34" w:rsidRDefault="009347D0" w:rsidP="00E51F34">
      <w:pPr>
        <w:pStyle w:val="ListParagraph"/>
        <w:numPr>
          <w:ilvl w:val="0"/>
          <w:numId w:val="59"/>
        </w:numPr>
        <w:ind w:left="1080"/>
        <w:jc w:val="both"/>
      </w:pPr>
      <w:r w:rsidRPr="009347D0">
        <w:t>Domestic preferences for procurements</w:t>
      </w:r>
      <w:r>
        <w:t xml:space="preserve">. </w:t>
      </w:r>
      <w:r w:rsidR="00E51F34" w:rsidRPr="002E1A5F">
        <w:t xml:space="preserve"> </w:t>
      </w:r>
      <w:r w:rsidR="00BB09FF">
        <w:t xml:space="preserve">2 CFR </w:t>
      </w:r>
      <w:r w:rsidR="00E51F34" w:rsidRPr="002E1A5F">
        <w:t>200.322.</w:t>
      </w:r>
    </w:p>
    <w:p w14:paraId="462D5648" w14:textId="77777777" w:rsidR="00BD46DC" w:rsidRDefault="00BD46DC" w:rsidP="00BD46DC">
      <w:pPr>
        <w:pStyle w:val="ListParagraph"/>
      </w:pPr>
    </w:p>
    <w:p w14:paraId="7C6B9483" w14:textId="005DD056" w:rsidR="00BD46DC" w:rsidRDefault="006464C9" w:rsidP="00897F9B">
      <w:pPr>
        <w:pStyle w:val="ListParagraph"/>
        <w:numPr>
          <w:ilvl w:val="0"/>
          <w:numId w:val="59"/>
        </w:numPr>
        <w:ind w:left="1080"/>
        <w:jc w:val="both"/>
      </w:pPr>
      <w:r>
        <w:lastRenderedPageBreak/>
        <w:t>Subrecipient must follow the procurement standards for contracts in 2 CFR 200.317 – 200.</w:t>
      </w:r>
      <w:r w:rsidR="00875755">
        <w:t>327</w:t>
      </w:r>
      <w:r w:rsidR="008078ED">
        <w:t>.</w:t>
      </w:r>
    </w:p>
    <w:p w14:paraId="5D87B5A0" w14:textId="77777777" w:rsidR="008078ED" w:rsidRDefault="008078ED" w:rsidP="00E81A8F">
      <w:pPr>
        <w:pStyle w:val="ListParagraph"/>
      </w:pPr>
    </w:p>
    <w:p w14:paraId="059C702A" w14:textId="77777777" w:rsidR="008078ED" w:rsidRPr="002E1A5F" w:rsidRDefault="008078ED" w:rsidP="008078ED">
      <w:pPr>
        <w:pStyle w:val="ListParagraph"/>
        <w:ind w:left="1080"/>
        <w:jc w:val="both"/>
      </w:pPr>
    </w:p>
    <w:p w14:paraId="22734241" w14:textId="77777777" w:rsidR="00E51F34" w:rsidRPr="002E1A5F" w:rsidRDefault="00E51F34" w:rsidP="7A327B2A">
      <w:pPr>
        <w:jc w:val="both"/>
      </w:pPr>
    </w:p>
    <w:p w14:paraId="038DBB01" w14:textId="77777777" w:rsidR="00E51F34" w:rsidRPr="002263C8" w:rsidRDefault="00E51F34" w:rsidP="00E51F34">
      <w:pPr>
        <w:pStyle w:val="Heading2"/>
        <w:numPr>
          <w:ilvl w:val="1"/>
          <w:numId w:val="28"/>
        </w:numPr>
        <w:ind w:left="720"/>
        <w:jc w:val="both"/>
        <w:rPr>
          <w:rFonts w:ascii="Arial" w:hAnsi="Arial" w:cs="Arial"/>
          <w:b/>
          <w:bCs/>
          <w:color w:val="auto"/>
          <w:sz w:val="20"/>
          <w:szCs w:val="20"/>
        </w:rPr>
      </w:pPr>
      <w:bookmarkStart w:id="129" w:name="_Toc206158638"/>
      <w:bookmarkStart w:id="130" w:name="_Toc149654181"/>
      <w:r w:rsidRPr="002263C8">
        <w:rPr>
          <w:rFonts w:ascii="Arial" w:hAnsi="Arial" w:cs="Arial"/>
          <w:b/>
          <w:bCs/>
          <w:color w:val="auto"/>
          <w:sz w:val="20"/>
          <w:szCs w:val="20"/>
        </w:rPr>
        <w:t xml:space="preserve">Final </w:t>
      </w:r>
      <w:proofErr w:type="gramStart"/>
      <w:r w:rsidRPr="002263C8">
        <w:rPr>
          <w:rFonts w:ascii="Arial" w:hAnsi="Arial" w:cs="Arial"/>
          <w:b/>
          <w:bCs/>
          <w:color w:val="auto"/>
          <w:sz w:val="20"/>
          <w:szCs w:val="20"/>
        </w:rPr>
        <w:t>Incurred Cost Audit</w:t>
      </w:r>
      <w:bookmarkEnd w:id="129"/>
      <w:proofErr w:type="gramEnd"/>
      <w:r w:rsidRPr="002263C8">
        <w:rPr>
          <w:rFonts w:ascii="Arial" w:hAnsi="Arial" w:cs="Arial"/>
          <w:b/>
          <w:bCs/>
          <w:color w:val="auto"/>
          <w:sz w:val="20"/>
          <w:szCs w:val="20"/>
        </w:rPr>
        <w:t xml:space="preserve">  </w:t>
      </w:r>
      <w:bookmarkEnd w:id="130"/>
    </w:p>
    <w:p w14:paraId="6F4BC923" w14:textId="77777777" w:rsidR="00E51F34" w:rsidRPr="002E1A5F" w:rsidRDefault="00E51F34" w:rsidP="7A327B2A">
      <w:pPr>
        <w:jc w:val="both"/>
      </w:pPr>
    </w:p>
    <w:p w14:paraId="49703143" w14:textId="30592A60" w:rsidR="00E51F34" w:rsidRPr="002E1A5F" w:rsidRDefault="00E51F34" w:rsidP="7A327B2A">
      <w:pPr>
        <w:widowControl/>
        <w:ind w:left="720"/>
        <w:jc w:val="both"/>
        <w:rPr>
          <w:rFonts w:eastAsiaTheme="minorEastAsia"/>
        </w:rPr>
      </w:pPr>
      <w:r w:rsidRPr="002E1A5F">
        <w:rPr>
          <w:rFonts w:eastAsiaTheme="minorEastAsia"/>
        </w:rPr>
        <w:t xml:space="preserve">In accordance with 2 CFR Part 200 as amended by 2 CFR Part 910, the CEC and DOE </w:t>
      </w:r>
      <w:r w:rsidRPr="7A327B2A">
        <w:rPr>
          <w:rFonts w:eastAsiaTheme="minorEastAsia"/>
        </w:rPr>
        <w:t>reserve</w:t>
      </w:r>
      <w:r w:rsidRPr="002E1A5F">
        <w:rPr>
          <w:rFonts w:eastAsiaTheme="minorEastAsia"/>
        </w:rPr>
        <w:t xml:space="preserve"> the right to initiate a final </w:t>
      </w:r>
      <w:proofErr w:type="gramStart"/>
      <w:r w:rsidRPr="002E1A5F">
        <w:rPr>
          <w:rFonts w:eastAsiaTheme="minorEastAsia"/>
        </w:rPr>
        <w:t>incurred cost audit</w:t>
      </w:r>
      <w:proofErr w:type="gramEnd"/>
      <w:r w:rsidRPr="002E1A5F">
        <w:rPr>
          <w:rFonts w:eastAsiaTheme="minorEastAsia"/>
        </w:rPr>
        <w:t xml:space="preserve"> on this Award. If the audit has not been </w:t>
      </w:r>
      <w:proofErr w:type="gramStart"/>
      <w:r w:rsidRPr="002E1A5F">
        <w:rPr>
          <w:rFonts w:eastAsiaTheme="minorEastAsia"/>
        </w:rPr>
        <w:t>performed</w:t>
      </w:r>
      <w:proofErr w:type="gramEnd"/>
      <w:r w:rsidRPr="002E1A5F">
        <w:rPr>
          <w:rFonts w:eastAsiaTheme="minorEastAsia"/>
        </w:rPr>
        <w:t xml:space="preserve"> or completed prior to the closeout of the award, the CEC and DOE </w:t>
      </w:r>
      <w:r w:rsidRPr="7A327B2A">
        <w:rPr>
          <w:rFonts w:eastAsiaTheme="minorEastAsia"/>
        </w:rPr>
        <w:t>retain</w:t>
      </w:r>
      <w:r w:rsidRPr="002E1A5F">
        <w:rPr>
          <w:rFonts w:eastAsiaTheme="minorEastAsia"/>
        </w:rPr>
        <w:t xml:space="preserve"> the right to recover an appropriate amount after fully considering the recommendations on disallowed costs resulting from the final audit.</w:t>
      </w:r>
    </w:p>
    <w:p w14:paraId="701EA064" w14:textId="77777777" w:rsidR="00E51F34" w:rsidRPr="002E1A5F" w:rsidRDefault="00E51F34" w:rsidP="7A327B2A">
      <w:pPr>
        <w:pStyle w:val="NoSpacing"/>
        <w:jc w:val="both"/>
      </w:pPr>
    </w:p>
    <w:p w14:paraId="31E0F0E3" w14:textId="74150375" w:rsidR="00D523BF" w:rsidRPr="002263C8" w:rsidRDefault="00B401FA" w:rsidP="00927A9B">
      <w:pPr>
        <w:pStyle w:val="Heading2"/>
        <w:numPr>
          <w:ilvl w:val="1"/>
          <w:numId w:val="28"/>
        </w:numPr>
        <w:ind w:left="720"/>
        <w:jc w:val="both"/>
        <w:rPr>
          <w:rFonts w:ascii="Arial" w:hAnsi="Arial" w:cs="Arial"/>
          <w:b/>
          <w:bCs/>
          <w:color w:val="auto"/>
          <w:sz w:val="20"/>
          <w:szCs w:val="20"/>
        </w:rPr>
      </w:pPr>
      <w:bookmarkStart w:id="131" w:name="_Toc206158639"/>
      <w:r w:rsidRPr="002263C8">
        <w:rPr>
          <w:rFonts w:ascii="Arial" w:hAnsi="Arial" w:cs="Arial"/>
          <w:b/>
          <w:bCs/>
          <w:color w:val="auto"/>
          <w:sz w:val="20"/>
          <w:szCs w:val="20"/>
        </w:rPr>
        <w:t>Required Reporting under the Federal Funding and Transparency Act of 2006</w:t>
      </w:r>
      <w:bookmarkEnd w:id="131"/>
    </w:p>
    <w:p w14:paraId="2F6CC3E6" w14:textId="77777777" w:rsidR="00D523BF" w:rsidRPr="002E1A5F" w:rsidRDefault="00D523BF" w:rsidP="7A327B2A">
      <w:pPr>
        <w:pStyle w:val="NoSpacing"/>
        <w:jc w:val="both"/>
      </w:pPr>
      <w:bookmarkStart w:id="132" w:name="_Toc149654168"/>
    </w:p>
    <w:bookmarkEnd w:id="132"/>
    <w:p w14:paraId="09D07AF5" w14:textId="77777777" w:rsidR="00AD2140" w:rsidRPr="002E1A5F" w:rsidRDefault="00AD2140" w:rsidP="00AD2140">
      <w:pPr>
        <w:pStyle w:val="ListParagraph"/>
        <w:numPr>
          <w:ilvl w:val="1"/>
          <w:numId w:val="51"/>
        </w:numPr>
        <w:ind w:left="1080"/>
        <w:jc w:val="both"/>
      </w:pPr>
      <w:r w:rsidRPr="002E1A5F">
        <w:t>Public Law 109-282, the Federal Funding Accountability and Transparency Act of 2006 as amended (FFATA), requires certain disclosures of entities and organizations receiving federal funds. The administrative requirements for complying with FFATA are contained in 2 CFR Part 170. Subrecipient must comply, as applicable, with all FFATA requirements including but not limited to providing CEC with any required data within the timeframe requested by CEC.</w:t>
      </w:r>
    </w:p>
    <w:p w14:paraId="1E09B058" w14:textId="77777777" w:rsidR="00AD2140" w:rsidRPr="002E1A5F" w:rsidRDefault="00AD2140" w:rsidP="00AD2140">
      <w:pPr>
        <w:pStyle w:val="ListParagraph"/>
        <w:ind w:left="1080"/>
        <w:jc w:val="both"/>
      </w:pPr>
    </w:p>
    <w:p w14:paraId="74BEE14E" w14:textId="74315C60" w:rsidR="00AD2140" w:rsidRPr="00C46172" w:rsidRDefault="00AD2140" w:rsidP="00AD2140">
      <w:pPr>
        <w:pStyle w:val="ListParagraph"/>
        <w:numPr>
          <w:ilvl w:val="1"/>
          <w:numId w:val="51"/>
        </w:numPr>
        <w:ind w:left="1080"/>
        <w:jc w:val="both"/>
      </w:pPr>
      <w:r w:rsidRPr="002E1A5F">
        <w:t>Unless an exemption applies, CEC must report each action that equals or exceeds $30,000 in Federal funds for a subaward to an “non-federal entity”</w:t>
      </w:r>
      <w:r w:rsidR="004E1E67">
        <w:t xml:space="preserve"> or “federal agency”</w:t>
      </w:r>
      <w:r w:rsidRPr="002E1A5F">
        <w:t xml:space="preserve"> as defined in 2 CFR Part 170 </w:t>
      </w:r>
      <w:r w:rsidR="00974815" w:rsidRPr="002E1A5F">
        <w:t>to https://www.fsrs.gov</w:t>
      </w:r>
      <w:r w:rsidRPr="00C46172">
        <w:t>.</w:t>
      </w:r>
      <w:r w:rsidR="00C46172" w:rsidRPr="00845BD1">
        <w:rPr>
          <w:color w:val="000000"/>
          <w:sz w:val="22"/>
          <w:szCs w:val="22"/>
        </w:rPr>
        <w:t xml:space="preserve"> </w:t>
      </w:r>
      <w:r w:rsidR="00C46172" w:rsidRPr="00845BD1">
        <w:rPr>
          <w:color w:val="000000"/>
        </w:rPr>
        <w:t xml:space="preserve">The </w:t>
      </w:r>
      <w:r w:rsidR="00551423">
        <w:rPr>
          <w:color w:val="000000"/>
        </w:rPr>
        <w:t xml:space="preserve">Subrecipient </w:t>
      </w:r>
      <w:r w:rsidR="00C46172" w:rsidRPr="00845BD1">
        <w:rPr>
          <w:color w:val="000000"/>
        </w:rPr>
        <w:t xml:space="preserve">must also report each obligating action </w:t>
      </w:r>
      <w:r w:rsidR="00C46172" w:rsidRPr="00C46172">
        <w:t>that equals or exceeds $30,000 in Federal funds</w:t>
      </w:r>
      <w:r w:rsidR="00C46172" w:rsidRPr="00845BD1">
        <w:rPr>
          <w:color w:val="000000"/>
        </w:rPr>
        <w:t xml:space="preserve"> to </w:t>
      </w:r>
      <w:hyperlink r:id="rId30" w:history="1">
        <w:r w:rsidR="00C46172" w:rsidRPr="00845BD1">
          <w:rPr>
            <w:rStyle w:val="Hyperlink"/>
          </w:rPr>
          <w:t>http://www.fsrs.gov</w:t>
        </w:r>
      </w:hyperlink>
    </w:p>
    <w:p w14:paraId="59D65629" w14:textId="77777777" w:rsidR="00AD2140" w:rsidRPr="002E1A5F" w:rsidRDefault="00AD2140" w:rsidP="7A327B2A">
      <w:pPr>
        <w:pStyle w:val="ListParagraph"/>
        <w:jc w:val="both"/>
      </w:pPr>
    </w:p>
    <w:p w14:paraId="0EB4413C" w14:textId="7DC04354" w:rsidR="00AD2140" w:rsidRPr="002E1A5F" w:rsidRDefault="00AD2140" w:rsidP="00AD2140">
      <w:pPr>
        <w:pStyle w:val="ListParagraph"/>
        <w:numPr>
          <w:ilvl w:val="1"/>
          <w:numId w:val="51"/>
        </w:numPr>
        <w:ind w:left="1080"/>
        <w:jc w:val="both"/>
      </w:pPr>
      <w:r w:rsidRPr="002E1A5F">
        <w:t xml:space="preserve">Unless an exemption applies, CEC must report the names and total compensation of each of Subrecipient’s five most highly compensated executives for the preceding fiscal year by the end of the month following the month during which CEC made the subaward if: </w:t>
      </w:r>
    </w:p>
    <w:p w14:paraId="34374236" w14:textId="77777777" w:rsidR="00AD2140" w:rsidRPr="002E1A5F" w:rsidRDefault="00AD2140" w:rsidP="7A327B2A">
      <w:pPr>
        <w:pStyle w:val="ListParagraph"/>
        <w:jc w:val="both"/>
      </w:pPr>
    </w:p>
    <w:p w14:paraId="46F3D9EC" w14:textId="3AB8788E" w:rsidR="00AD2140" w:rsidRPr="002E1A5F" w:rsidRDefault="00AD2140" w:rsidP="00AD2140">
      <w:pPr>
        <w:pStyle w:val="ListParagraph"/>
        <w:numPr>
          <w:ilvl w:val="2"/>
          <w:numId w:val="51"/>
        </w:numPr>
        <w:ind w:left="1440" w:hanging="270"/>
        <w:jc w:val="both"/>
      </w:pPr>
      <w:r w:rsidRPr="002E1A5F">
        <w:t>In Subrecipient's preceding fiscal year, Subrecipient received: (a) 80 percent or more of its annual gross revenues from Federal procurement contracts (and subcontracts) and Federal financial assistance subject to the Transparency Act, as defined at 2 CFR 170</w:t>
      </w:r>
      <w:r w:rsidR="00072BAE">
        <w:t>.100</w:t>
      </w:r>
      <w:r w:rsidRPr="002E1A5F">
        <w:t xml:space="preserve"> (and subawards); and (b) $25,000,000 or more in annual gross revenues from Federal procurement contracts (and subcontracts), and Federal financial assistance subject to the Transparency Act (and subawards)</w:t>
      </w:r>
    </w:p>
    <w:p w14:paraId="13FC1771" w14:textId="77777777" w:rsidR="00AD2140" w:rsidRPr="002E1A5F" w:rsidRDefault="00AD2140" w:rsidP="00AD2140">
      <w:pPr>
        <w:pStyle w:val="ListParagraph"/>
        <w:ind w:left="1440"/>
        <w:jc w:val="both"/>
      </w:pPr>
    </w:p>
    <w:p w14:paraId="491C0252" w14:textId="6D90B3E5" w:rsidR="00AD2140" w:rsidRPr="002E1A5F" w:rsidRDefault="00AD2140" w:rsidP="00AD2140">
      <w:pPr>
        <w:pStyle w:val="ListParagraph"/>
        <w:numPr>
          <w:ilvl w:val="2"/>
          <w:numId w:val="51"/>
        </w:numPr>
        <w:ind w:left="1440" w:hanging="270"/>
        <w:jc w:val="both"/>
      </w:pPr>
      <w:r w:rsidRPr="002E1A5F">
        <w:t xml:space="preserve">The public does not have access to information about the compensation of the executives through periodic reports filed under section 13(a) or 15(d) of the Securities Exchange Act of 1934 (15 U.S.C. 78m(a), 78o(d)) or section 6104 of the Internal Revenue Code of 1986.  (To determine if the public has access to the compensation information, see the </w:t>
      </w:r>
      <w:hyperlink r:id="rId31" w:history="1">
        <w:r w:rsidRPr="004D68E0">
          <w:rPr>
            <w:rStyle w:val="Hyperlink"/>
          </w:rPr>
          <w:t>U.S. Security and Exchange Commission total compensation filings</w:t>
        </w:r>
      </w:hyperlink>
      <w:r w:rsidRPr="002E1A5F">
        <w:t xml:space="preserve"> at </w:t>
      </w:r>
      <w:r w:rsidRPr="004D68E0">
        <w:t>http://www.sec.gov/answers/execomp.htm</w:t>
      </w:r>
      <w:r w:rsidRPr="002E1A5F">
        <w:t>).</w:t>
      </w:r>
    </w:p>
    <w:p w14:paraId="5291ED70" w14:textId="77777777" w:rsidR="00AD2140" w:rsidRPr="002E1A5F" w:rsidRDefault="00AD2140" w:rsidP="00AD2140">
      <w:pPr>
        <w:pStyle w:val="ListParagraph"/>
        <w:ind w:left="1440"/>
        <w:jc w:val="both"/>
      </w:pPr>
    </w:p>
    <w:p w14:paraId="434EBFDF" w14:textId="77777777" w:rsidR="00AD2140" w:rsidRPr="002E1A5F" w:rsidRDefault="00AD2140" w:rsidP="00AD2140">
      <w:pPr>
        <w:pStyle w:val="ListParagraph"/>
        <w:numPr>
          <w:ilvl w:val="1"/>
          <w:numId w:val="51"/>
        </w:numPr>
        <w:ind w:left="1080"/>
        <w:jc w:val="both"/>
      </w:pPr>
      <w:r w:rsidRPr="002E1A5F">
        <w:t>Additional definitions relevant to this Section are contained in 2 CFR Part 170.</w:t>
      </w:r>
    </w:p>
    <w:p w14:paraId="069B7ED8" w14:textId="77777777" w:rsidR="00D523BF" w:rsidRPr="002E1A5F" w:rsidRDefault="00D523BF" w:rsidP="7A327B2A">
      <w:pPr>
        <w:pStyle w:val="NoSpacing"/>
        <w:jc w:val="both"/>
      </w:pPr>
    </w:p>
    <w:p w14:paraId="2ADBCBB3" w14:textId="6D58D3E3" w:rsidR="007A7119" w:rsidRPr="002E1A5F" w:rsidRDefault="006D1754" w:rsidP="006F30C1">
      <w:pPr>
        <w:pStyle w:val="Heading2"/>
        <w:numPr>
          <w:ilvl w:val="1"/>
          <w:numId w:val="28"/>
        </w:numPr>
        <w:ind w:left="720"/>
        <w:jc w:val="both"/>
        <w:rPr>
          <w:rFonts w:ascii="Arial" w:eastAsia="Times New Roman" w:hAnsi="Arial" w:cs="Arial"/>
          <w:b/>
          <w:color w:val="auto"/>
          <w:sz w:val="20"/>
          <w:szCs w:val="20"/>
        </w:rPr>
      </w:pPr>
      <w:bookmarkStart w:id="133" w:name="_Toc206158640"/>
      <w:r w:rsidRPr="7A327B2A">
        <w:rPr>
          <w:rFonts w:ascii="Arial" w:hAnsi="Arial" w:cs="Arial"/>
          <w:b/>
          <w:bCs/>
          <w:color w:val="auto"/>
          <w:sz w:val="20"/>
          <w:szCs w:val="20"/>
        </w:rPr>
        <w:t>Unique Entity Identifier</w:t>
      </w:r>
      <w:bookmarkEnd w:id="133"/>
    </w:p>
    <w:p w14:paraId="60DD47BC" w14:textId="78FC66A2" w:rsidR="1D664762" w:rsidRPr="002E1A5F" w:rsidRDefault="1D664762" w:rsidP="008D607D">
      <w:pPr>
        <w:jc w:val="both"/>
        <w:rPr>
          <w:rFonts w:eastAsia="Arial"/>
          <w:color w:val="000000" w:themeColor="text1"/>
        </w:rPr>
      </w:pPr>
    </w:p>
    <w:p w14:paraId="32A34E52" w14:textId="77777777" w:rsidR="00E84559" w:rsidRPr="002E1A5F" w:rsidRDefault="00E84559" w:rsidP="00E84559">
      <w:pPr>
        <w:pStyle w:val="ListParagraph"/>
        <w:numPr>
          <w:ilvl w:val="1"/>
          <w:numId w:val="3"/>
        </w:numPr>
        <w:ind w:left="1080"/>
        <w:jc w:val="both"/>
      </w:pPr>
      <w:r w:rsidRPr="002E1A5F">
        <w:rPr>
          <w:rFonts w:eastAsia="Arial"/>
        </w:rPr>
        <w:t>No entity may receive a subaward under this Program from CEC until the Subrecipient entity has provided its Unique Entity Identifier to CEC. CEC may not make a subaward to an entity unless the entity has provided its Unique Entity Identifier number to CEC.</w:t>
      </w:r>
    </w:p>
    <w:p w14:paraId="3E0073EF" w14:textId="77777777" w:rsidR="00E84559" w:rsidRPr="002E1A5F" w:rsidRDefault="00E84559" w:rsidP="00E84559">
      <w:pPr>
        <w:pStyle w:val="ListParagraph"/>
        <w:ind w:left="1080"/>
        <w:jc w:val="both"/>
      </w:pPr>
    </w:p>
    <w:p w14:paraId="326C70FD" w14:textId="77777777" w:rsidR="00E84559" w:rsidRPr="002E1A5F" w:rsidRDefault="00E84559" w:rsidP="00E84559">
      <w:pPr>
        <w:pStyle w:val="ListParagraph"/>
        <w:numPr>
          <w:ilvl w:val="1"/>
          <w:numId w:val="3"/>
        </w:numPr>
        <w:ind w:left="1080"/>
        <w:jc w:val="both"/>
      </w:pPr>
      <w:r w:rsidRPr="002E1A5F">
        <w:rPr>
          <w:rFonts w:eastAsia="Arial"/>
        </w:rPr>
        <w:t>Unique Entity Identifier refers to the identifier assigned by the Federal repository, System for Award Management (SAM), to uniquely identify business entities.</w:t>
      </w:r>
    </w:p>
    <w:p w14:paraId="05377999" w14:textId="77777777" w:rsidR="00E84559" w:rsidRPr="002E1A5F" w:rsidRDefault="00E84559" w:rsidP="00E84559">
      <w:pPr>
        <w:jc w:val="both"/>
      </w:pPr>
    </w:p>
    <w:p w14:paraId="3C409456" w14:textId="77777777" w:rsidR="00E84559" w:rsidRPr="002E1A5F" w:rsidRDefault="00E84559" w:rsidP="00E84559">
      <w:pPr>
        <w:pStyle w:val="ListParagraph"/>
        <w:numPr>
          <w:ilvl w:val="1"/>
          <w:numId w:val="3"/>
        </w:numPr>
        <w:ind w:left="1080"/>
        <w:jc w:val="both"/>
      </w:pPr>
      <w:r w:rsidRPr="002E1A5F">
        <w:rPr>
          <w:rFonts w:eastAsia="Arial"/>
        </w:rPr>
        <w:t xml:space="preserve">Entity includes non-Federal entities as defined at 2 CFR 200.1 </w:t>
      </w:r>
      <w:proofErr w:type="gramStart"/>
      <w:r w:rsidRPr="002E1A5F">
        <w:rPr>
          <w:rFonts w:eastAsia="Arial"/>
        </w:rPr>
        <w:t>and also</w:t>
      </w:r>
      <w:proofErr w:type="gramEnd"/>
      <w:r w:rsidRPr="002E1A5F">
        <w:rPr>
          <w:rFonts w:eastAsia="Arial"/>
        </w:rPr>
        <w:t xml:space="preserve"> includes </w:t>
      </w:r>
      <w:proofErr w:type="gramStart"/>
      <w:r w:rsidRPr="002E1A5F">
        <w:rPr>
          <w:rFonts w:eastAsia="Arial"/>
        </w:rPr>
        <w:t>all of</w:t>
      </w:r>
      <w:proofErr w:type="gramEnd"/>
      <w:r w:rsidRPr="002E1A5F">
        <w:rPr>
          <w:rFonts w:eastAsia="Arial"/>
        </w:rPr>
        <w:t xml:space="preserve"> the </w:t>
      </w:r>
      <w:r w:rsidRPr="002E1A5F">
        <w:rPr>
          <w:rFonts w:eastAsia="Arial"/>
        </w:rPr>
        <w:lastRenderedPageBreak/>
        <w:t>following for purposes of this Section:</w:t>
      </w:r>
    </w:p>
    <w:p w14:paraId="14877219" w14:textId="77777777" w:rsidR="00E84559" w:rsidRPr="002E1A5F" w:rsidRDefault="00E84559" w:rsidP="7A327B2A">
      <w:pPr>
        <w:pStyle w:val="ListParagraph"/>
        <w:jc w:val="both"/>
        <w:rPr>
          <w:rFonts w:eastAsia="Arial"/>
        </w:rPr>
      </w:pPr>
    </w:p>
    <w:p w14:paraId="2B30EE2B" w14:textId="77777777" w:rsidR="00E84559" w:rsidRPr="002E1A5F" w:rsidRDefault="00E84559" w:rsidP="00E84559">
      <w:pPr>
        <w:pStyle w:val="ListParagraph"/>
        <w:numPr>
          <w:ilvl w:val="3"/>
          <w:numId w:val="3"/>
        </w:numPr>
        <w:ind w:left="1440" w:hanging="270"/>
        <w:jc w:val="both"/>
        <w:rPr>
          <w:rFonts w:eastAsia="Arial"/>
        </w:rPr>
      </w:pPr>
      <w:r w:rsidRPr="002E1A5F">
        <w:rPr>
          <w:rFonts w:eastAsia="Arial"/>
        </w:rPr>
        <w:t xml:space="preserve">A foreign </w:t>
      </w:r>
      <w:proofErr w:type="gramStart"/>
      <w:r w:rsidRPr="002E1A5F">
        <w:rPr>
          <w:rFonts w:eastAsia="Arial"/>
        </w:rPr>
        <w:t>organization;</w:t>
      </w:r>
      <w:proofErr w:type="gramEnd"/>
    </w:p>
    <w:p w14:paraId="0F2DAD3C" w14:textId="77777777" w:rsidR="00E84559" w:rsidRPr="002E1A5F" w:rsidRDefault="00E84559" w:rsidP="00E84559">
      <w:pPr>
        <w:pStyle w:val="ListParagraph"/>
        <w:numPr>
          <w:ilvl w:val="3"/>
          <w:numId w:val="3"/>
        </w:numPr>
        <w:ind w:left="1440" w:hanging="270"/>
        <w:jc w:val="both"/>
        <w:rPr>
          <w:rFonts w:eastAsia="Arial"/>
        </w:rPr>
      </w:pPr>
      <w:r w:rsidRPr="002E1A5F">
        <w:rPr>
          <w:rFonts w:eastAsia="Arial"/>
        </w:rPr>
        <w:t xml:space="preserve">A foreign public </w:t>
      </w:r>
      <w:proofErr w:type="gramStart"/>
      <w:r w:rsidRPr="002E1A5F">
        <w:rPr>
          <w:rFonts w:eastAsia="Arial"/>
        </w:rPr>
        <w:t>entity;</w:t>
      </w:r>
      <w:proofErr w:type="gramEnd"/>
    </w:p>
    <w:p w14:paraId="665B8074" w14:textId="77777777" w:rsidR="00E84559" w:rsidRPr="002E1A5F" w:rsidRDefault="00E84559" w:rsidP="00E84559">
      <w:pPr>
        <w:pStyle w:val="ListParagraph"/>
        <w:numPr>
          <w:ilvl w:val="3"/>
          <w:numId w:val="3"/>
        </w:numPr>
        <w:ind w:left="1440" w:hanging="270"/>
        <w:jc w:val="both"/>
        <w:rPr>
          <w:rFonts w:eastAsia="Arial"/>
        </w:rPr>
      </w:pPr>
      <w:r w:rsidRPr="002E1A5F">
        <w:rPr>
          <w:rFonts w:eastAsia="Arial"/>
        </w:rPr>
        <w:t>A domestic for-profit organization; and</w:t>
      </w:r>
    </w:p>
    <w:p w14:paraId="5F5BE20B" w14:textId="77777777" w:rsidR="00E84559" w:rsidRPr="002E1A5F" w:rsidRDefault="00E84559" w:rsidP="00E84559">
      <w:pPr>
        <w:pStyle w:val="ListParagraph"/>
        <w:numPr>
          <w:ilvl w:val="3"/>
          <w:numId w:val="3"/>
        </w:numPr>
        <w:ind w:left="1440" w:hanging="270"/>
        <w:jc w:val="both"/>
        <w:rPr>
          <w:rFonts w:eastAsia="Arial"/>
        </w:rPr>
      </w:pPr>
      <w:r w:rsidRPr="002E1A5F">
        <w:rPr>
          <w:rFonts w:eastAsia="Arial"/>
        </w:rPr>
        <w:t>A Federal agency.</w:t>
      </w:r>
    </w:p>
    <w:p w14:paraId="62FB9C28" w14:textId="77777777" w:rsidR="00E84559" w:rsidRPr="002E1A5F" w:rsidRDefault="00E84559" w:rsidP="00E84559">
      <w:pPr>
        <w:pStyle w:val="ListParagraph"/>
        <w:numPr>
          <w:ilvl w:val="3"/>
          <w:numId w:val="3"/>
        </w:numPr>
        <w:ind w:left="1440" w:hanging="270"/>
        <w:jc w:val="both"/>
        <w:rPr>
          <w:rFonts w:eastAsia="Arial"/>
        </w:rPr>
      </w:pPr>
      <w:r w:rsidRPr="002E1A5F">
        <w:rPr>
          <w:rFonts w:eastAsia="Arial"/>
        </w:rPr>
        <w:t>Subaward has the meaning given in 2 CFR 200.1.</w:t>
      </w:r>
    </w:p>
    <w:p w14:paraId="69A29467" w14:textId="77777777" w:rsidR="00E84559" w:rsidRPr="002E1A5F" w:rsidRDefault="00E84559" w:rsidP="00E84559">
      <w:pPr>
        <w:pStyle w:val="ListParagraph"/>
        <w:numPr>
          <w:ilvl w:val="3"/>
          <w:numId w:val="3"/>
        </w:numPr>
        <w:ind w:left="1440" w:hanging="270"/>
        <w:jc w:val="both"/>
        <w:rPr>
          <w:rFonts w:eastAsia="Arial"/>
        </w:rPr>
      </w:pPr>
      <w:r w:rsidRPr="002E1A5F">
        <w:rPr>
          <w:rFonts w:eastAsia="Arial"/>
        </w:rPr>
        <w:t>Subrecipient has the meaning given in 2 CFR 200.1.</w:t>
      </w:r>
    </w:p>
    <w:p w14:paraId="124E26D6" w14:textId="52EF743E" w:rsidR="25743B4B" w:rsidRPr="002E1A5F" w:rsidRDefault="25743B4B" w:rsidP="00E84559">
      <w:pPr>
        <w:jc w:val="both"/>
        <w:rPr>
          <w:rFonts w:eastAsia="Arial"/>
        </w:rPr>
      </w:pPr>
    </w:p>
    <w:p w14:paraId="28C5C18D" w14:textId="77777777" w:rsidR="00713F34" w:rsidRPr="002E1A5F" w:rsidRDefault="00713F34" w:rsidP="00E46F7F">
      <w:pPr>
        <w:jc w:val="both"/>
      </w:pPr>
    </w:p>
    <w:p w14:paraId="0325D1D8" w14:textId="690030CC" w:rsidR="00893D4A" w:rsidRPr="002E1A5F" w:rsidRDefault="4A8FB90C" w:rsidP="006F30C1">
      <w:pPr>
        <w:pStyle w:val="Heading2"/>
        <w:numPr>
          <w:ilvl w:val="1"/>
          <w:numId w:val="28"/>
        </w:numPr>
        <w:ind w:left="720"/>
        <w:jc w:val="both"/>
        <w:rPr>
          <w:rFonts w:ascii="Arial" w:hAnsi="Arial" w:cs="Arial"/>
          <w:b/>
          <w:bCs/>
          <w:color w:val="auto"/>
          <w:sz w:val="20"/>
          <w:szCs w:val="20"/>
        </w:rPr>
      </w:pPr>
      <w:bookmarkStart w:id="134" w:name="_Toc149654233"/>
      <w:bookmarkStart w:id="135" w:name="_Toc206158641"/>
      <w:r w:rsidRPr="002E1A5F">
        <w:rPr>
          <w:rFonts w:ascii="Arial" w:hAnsi="Arial" w:cs="Arial"/>
          <w:b/>
          <w:bCs/>
          <w:color w:val="auto"/>
          <w:sz w:val="20"/>
          <w:szCs w:val="20"/>
        </w:rPr>
        <w:t>Annual Indep</w:t>
      </w:r>
      <w:r w:rsidR="69D32DCD" w:rsidRPr="002E1A5F">
        <w:rPr>
          <w:rFonts w:ascii="Arial" w:hAnsi="Arial" w:cs="Arial"/>
          <w:b/>
          <w:bCs/>
          <w:color w:val="auto"/>
          <w:sz w:val="20"/>
          <w:szCs w:val="20"/>
        </w:rPr>
        <w:t>en</w:t>
      </w:r>
      <w:r w:rsidRPr="002E1A5F">
        <w:rPr>
          <w:rFonts w:ascii="Arial" w:hAnsi="Arial" w:cs="Arial"/>
          <w:b/>
          <w:bCs/>
          <w:color w:val="auto"/>
          <w:sz w:val="20"/>
          <w:szCs w:val="20"/>
        </w:rPr>
        <w:t>dent Audits</w:t>
      </w:r>
      <w:bookmarkEnd w:id="134"/>
      <w:bookmarkEnd w:id="135"/>
    </w:p>
    <w:p w14:paraId="5F1B5754" w14:textId="77777777" w:rsidR="00893D4A" w:rsidRPr="002E1A5F" w:rsidRDefault="00893D4A" w:rsidP="00E46F7F">
      <w:pPr>
        <w:jc w:val="both"/>
      </w:pPr>
    </w:p>
    <w:p w14:paraId="71A22B05" w14:textId="77777777" w:rsidR="000703C4" w:rsidRPr="002E1A5F" w:rsidRDefault="000703C4" w:rsidP="002263C8">
      <w:pPr>
        <w:pStyle w:val="ListParagraph"/>
        <w:numPr>
          <w:ilvl w:val="1"/>
          <w:numId w:val="60"/>
        </w:numPr>
        <w:ind w:left="1080"/>
        <w:jc w:val="both"/>
        <w:rPr>
          <w:u w:val="single"/>
        </w:rPr>
      </w:pPr>
      <w:r w:rsidRPr="002E1A5F">
        <w:t xml:space="preserve">The Subrecipient and its lower tier subrecipients, contractors, and subcontractors must comply with the annual independent audit requirements in 2 CFR 200.500 through 2 CFR 200.521 for institutions of higher education, nonprofit organizations, and state and local governments (Single audit), and 2 CFR 910.500 through 2 CFR 910.521 for for-profit entities (Compliance audit).  </w:t>
      </w:r>
    </w:p>
    <w:p w14:paraId="755953DA" w14:textId="77777777" w:rsidR="000703C4" w:rsidRPr="002E1A5F" w:rsidRDefault="000703C4" w:rsidP="002263C8">
      <w:pPr>
        <w:pStyle w:val="ListParagraph"/>
        <w:ind w:left="1080" w:hanging="270"/>
        <w:jc w:val="both"/>
        <w:rPr>
          <w:bCs/>
          <w:u w:val="single"/>
        </w:rPr>
      </w:pPr>
    </w:p>
    <w:p w14:paraId="691C158A" w14:textId="029B99E8" w:rsidR="00C26986" w:rsidRPr="002E1A5F" w:rsidRDefault="000703C4" w:rsidP="002263C8">
      <w:pPr>
        <w:pStyle w:val="ListParagraph"/>
        <w:numPr>
          <w:ilvl w:val="0"/>
          <w:numId w:val="60"/>
        </w:numPr>
        <w:ind w:left="1080"/>
        <w:jc w:val="both"/>
        <w:rPr>
          <w:bCs/>
          <w:u w:val="single"/>
        </w:rPr>
      </w:pPr>
      <w:r w:rsidRPr="002E1A5F">
        <w:t xml:space="preserve">The annual independent audits are separate from Government-initiated audits and must be paid for by the Subrecipient and its lower tier subrecipients, contractors, and subcontractors. To minimize expense, the Subrecipient and its lower tier subrecipients, contractors, and subcontractors may have a Compliance audit in conjunction with its annual audit of financial statements. The financial statement audit is </w:t>
      </w:r>
      <w:r w:rsidRPr="002E1A5F">
        <w:rPr>
          <w:b/>
          <w:bCs/>
        </w:rPr>
        <w:t>not</w:t>
      </w:r>
      <w:r w:rsidRPr="002E1A5F">
        <w:t xml:space="preserve"> a substitute for the Compliance audit. If the audit (Single audit or Compliance audit, depending on Subrecipient or lower tier subrecipient, contractor, and subcontractor entity type) has not been performed or completed prior to the closeout of the award, DOE may impose one or more of the actions outlined in 2 CFR 200.</w:t>
      </w:r>
      <w:r w:rsidR="001E300B">
        <w:t>339</w:t>
      </w:r>
      <w:r w:rsidRPr="002E1A5F">
        <w:t>, Remedies for Noncompliance.</w:t>
      </w:r>
    </w:p>
    <w:p w14:paraId="0122D748" w14:textId="2F4727EB" w:rsidR="00893D4A" w:rsidRPr="002E1A5F" w:rsidRDefault="00893D4A" w:rsidP="00C32006">
      <w:pPr>
        <w:jc w:val="both"/>
      </w:pPr>
    </w:p>
    <w:p w14:paraId="775C78FC" w14:textId="77777777" w:rsidR="00893D4A" w:rsidRPr="002E1A5F" w:rsidRDefault="00893D4A" w:rsidP="00E46F7F">
      <w:pPr>
        <w:jc w:val="both"/>
      </w:pPr>
    </w:p>
    <w:p w14:paraId="4AAD8926" w14:textId="5ABF4A24" w:rsidR="00611AC0" w:rsidRPr="002263C8" w:rsidRDefault="00763291" w:rsidP="006F30C1">
      <w:pPr>
        <w:pStyle w:val="Heading2"/>
        <w:numPr>
          <w:ilvl w:val="1"/>
          <w:numId w:val="28"/>
        </w:numPr>
        <w:ind w:left="720"/>
        <w:jc w:val="both"/>
        <w:rPr>
          <w:rFonts w:ascii="Arial" w:hAnsi="Arial" w:cs="Arial"/>
          <w:b/>
          <w:bCs/>
          <w:color w:val="auto"/>
          <w:sz w:val="20"/>
          <w:szCs w:val="20"/>
        </w:rPr>
      </w:pPr>
      <w:bookmarkStart w:id="136" w:name="_Toc206158642"/>
      <w:bookmarkStart w:id="137" w:name="_Toc149654234"/>
      <w:r w:rsidRPr="002263C8">
        <w:rPr>
          <w:rFonts w:ascii="Arial" w:hAnsi="Arial" w:cs="Arial"/>
          <w:b/>
          <w:bCs/>
          <w:color w:val="auto"/>
          <w:sz w:val="20"/>
          <w:szCs w:val="20"/>
        </w:rPr>
        <w:t>Integrity and Performance Matters</w:t>
      </w:r>
      <w:bookmarkEnd w:id="136"/>
    </w:p>
    <w:p w14:paraId="5B8355E5" w14:textId="77777777" w:rsidR="00DD0FE9" w:rsidRPr="002E1A5F" w:rsidRDefault="00DD0FE9" w:rsidP="7A327B2A">
      <w:pPr>
        <w:jc w:val="both"/>
      </w:pPr>
    </w:p>
    <w:p w14:paraId="117E256E" w14:textId="77777777" w:rsidR="00DD0FE9" w:rsidRPr="002E1A5F" w:rsidRDefault="00DD0FE9" w:rsidP="009B3BA3">
      <w:pPr>
        <w:pStyle w:val="ListParagraph"/>
        <w:numPr>
          <w:ilvl w:val="0"/>
          <w:numId w:val="61"/>
        </w:numPr>
        <w:ind w:left="1080"/>
        <w:jc w:val="both"/>
      </w:pPr>
      <w:r w:rsidRPr="002E1A5F">
        <w:t xml:space="preserve">Subrecipient must immediately notify CEC of any civil, criminal, or administrative proceedings as described in part b. of this Section, below. </w:t>
      </w:r>
    </w:p>
    <w:p w14:paraId="2F6EA4B5" w14:textId="77777777" w:rsidR="00DD0FE9" w:rsidRPr="002E1A5F" w:rsidRDefault="00DD0FE9" w:rsidP="7A327B2A">
      <w:pPr>
        <w:pStyle w:val="ListParagraph"/>
        <w:ind w:left="1080"/>
        <w:jc w:val="both"/>
      </w:pPr>
    </w:p>
    <w:p w14:paraId="42B192FD" w14:textId="77777777" w:rsidR="00DD0FE9" w:rsidRPr="002E1A5F" w:rsidRDefault="00DD0FE9" w:rsidP="009B3BA3">
      <w:pPr>
        <w:pStyle w:val="ListParagraph"/>
        <w:numPr>
          <w:ilvl w:val="0"/>
          <w:numId w:val="61"/>
        </w:numPr>
        <w:ind w:left="1080"/>
        <w:jc w:val="both"/>
      </w:pPr>
      <w:r w:rsidRPr="002E1A5F">
        <w:t xml:space="preserve">Subrecipient must submit information as directed by CEC about each proceeding that (1) is in connection with the award or performance of a Financial Assistance, cooperative agreement, or procurement contract from the Federal Government; (2) reached its final disposition during the most recent five-year period; and (3) is one of the following:  </w:t>
      </w:r>
    </w:p>
    <w:p w14:paraId="3160C895" w14:textId="77777777" w:rsidR="00DD0FE9" w:rsidRPr="002E1A5F" w:rsidRDefault="00DD0FE9" w:rsidP="7A327B2A">
      <w:pPr>
        <w:pStyle w:val="ListParagraph"/>
        <w:jc w:val="both"/>
      </w:pPr>
    </w:p>
    <w:p w14:paraId="68FBB958" w14:textId="77777777" w:rsidR="00DD0FE9" w:rsidRPr="002E1A5F" w:rsidRDefault="00DD0FE9" w:rsidP="009B3BA3">
      <w:pPr>
        <w:pStyle w:val="ListParagraph"/>
        <w:numPr>
          <w:ilvl w:val="2"/>
          <w:numId w:val="51"/>
        </w:numPr>
        <w:ind w:left="1440" w:hanging="270"/>
        <w:jc w:val="both"/>
      </w:pPr>
      <w:r w:rsidRPr="002E1A5F">
        <w:t xml:space="preserve">A criminal proceeding that resulted in a conviction (judgment or conviction of a criminal offense by any court of competent jurisdiction, whether entered upon a verdict or a plea, and includes a conviction entered upon a plea of </w:t>
      </w:r>
      <w:r w:rsidRPr="002E1A5F">
        <w:rPr>
          <w:i/>
          <w:iCs/>
        </w:rPr>
        <w:t>nolo contendere</w:t>
      </w:r>
      <w:r w:rsidRPr="002E1A5F">
        <w:t>).</w:t>
      </w:r>
    </w:p>
    <w:p w14:paraId="1C024E2C" w14:textId="77777777" w:rsidR="00DD0FE9" w:rsidRPr="002E1A5F" w:rsidRDefault="00DD0FE9" w:rsidP="7A327B2A">
      <w:pPr>
        <w:pStyle w:val="ListParagraph"/>
        <w:ind w:left="1440"/>
        <w:jc w:val="both"/>
      </w:pPr>
      <w:r w:rsidRPr="002E1A5F">
        <w:t xml:space="preserve">  </w:t>
      </w:r>
    </w:p>
    <w:p w14:paraId="1F7DA25D" w14:textId="77777777" w:rsidR="00DD0FE9" w:rsidRPr="002E1A5F" w:rsidRDefault="00DD0FE9" w:rsidP="009B3BA3">
      <w:pPr>
        <w:pStyle w:val="ListParagraph"/>
        <w:numPr>
          <w:ilvl w:val="2"/>
          <w:numId w:val="51"/>
        </w:numPr>
        <w:ind w:left="1440" w:hanging="270"/>
        <w:jc w:val="both"/>
      </w:pPr>
      <w:r w:rsidRPr="002E1A5F">
        <w:t>A civil proceeding that resulted in a finding of fault and liability and payment of a monetary fine, penalty, reimbursement, restitution, or damages of $5,000 or more.</w:t>
      </w:r>
    </w:p>
    <w:p w14:paraId="31CA7BFD" w14:textId="77777777" w:rsidR="00DD0FE9" w:rsidRPr="002E1A5F" w:rsidRDefault="00DD0FE9" w:rsidP="7A327B2A">
      <w:pPr>
        <w:jc w:val="both"/>
      </w:pPr>
      <w:r w:rsidRPr="002E1A5F">
        <w:t xml:space="preserve">  </w:t>
      </w:r>
    </w:p>
    <w:p w14:paraId="40036736" w14:textId="77777777" w:rsidR="00DD0FE9" w:rsidRPr="002E1A5F" w:rsidRDefault="00DD0FE9" w:rsidP="009B3BA3">
      <w:pPr>
        <w:pStyle w:val="ListParagraph"/>
        <w:numPr>
          <w:ilvl w:val="2"/>
          <w:numId w:val="51"/>
        </w:numPr>
        <w:ind w:left="1440" w:hanging="270"/>
        <w:jc w:val="both"/>
      </w:pPr>
      <w:r w:rsidRPr="002E1A5F">
        <w:t xml:space="preserve">An administrative proceeding, that resulted in a finding of fault and liability and your payment of either a monetary fine or penalty of $5,000 or more or reimbursement, restitution, or damages </w:t>
      </w:r>
      <w:proofErr w:type="gramStart"/>
      <w:r w:rsidRPr="002E1A5F">
        <w:t>in excess of</w:t>
      </w:r>
      <w:proofErr w:type="gramEnd"/>
      <w:r w:rsidRPr="002E1A5F">
        <w:t xml:space="preserve"> $100,000. An administrative proceeding is a non-judicial process that is adjudicatory in nature </w:t>
      </w:r>
      <w:proofErr w:type="gramStart"/>
      <w:r w:rsidRPr="002E1A5F">
        <w:t>in order to</w:t>
      </w:r>
      <w:proofErr w:type="gramEnd"/>
      <w:r w:rsidRPr="002E1A5F">
        <w:t xml:space="preserve"> </w:t>
      </w:r>
      <w:proofErr w:type="gramStart"/>
      <w:r w:rsidRPr="002E1A5F">
        <w:t>make a determination</w:t>
      </w:r>
      <w:proofErr w:type="gramEnd"/>
      <w:r w:rsidRPr="002E1A5F">
        <w:t xml:space="preserve"> of fault or liability (e.g., Securities and Exchange Commission Administrative proceedings, Civilian Board of Contract Appeals proceedings, and Armed Services Board of Contract Appeals proceedings). This includes proceedings at the Federal and State level but only in connection with performance of a </w:t>
      </w:r>
      <w:proofErr w:type="gramStart"/>
      <w:r w:rsidRPr="002E1A5F">
        <w:t>Federal</w:t>
      </w:r>
      <w:proofErr w:type="gramEnd"/>
      <w:r w:rsidRPr="002E1A5F">
        <w:t xml:space="preserve"> contract or Financial Assistance awards. It does not include audits, site visits, corrective plans, or inspection of deliverables.</w:t>
      </w:r>
    </w:p>
    <w:p w14:paraId="5D9B5556" w14:textId="77777777" w:rsidR="00DD0FE9" w:rsidRPr="002E1A5F" w:rsidRDefault="00DD0FE9" w:rsidP="7A327B2A">
      <w:pPr>
        <w:jc w:val="both"/>
      </w:pPr>
    </w:p>
    <w:p w14:paraId="2B25B277" w14:textId="77777777" w:rsidR="00DD0FE9" w:rsidRPr="002E1A5F" w:rsidRDefault="00DD0FE9" w:rsidP="009B3BA3">
      <w:pPr>
        <w:pStyle w:val="ListParagraph"/>
        <w:numPr>
          <w:ilvl w:val="2"/>
          <w:numId w:val="51"/>
        </w:numPr>
        <w:ind w:left="1440" w:hanging="270"/>
        <w:jc w:val="both"/>
      </w:pPr>
      <w:r w:rsidRPr="002E1A5F">
        <w:lastRenderedPageBreak/>
        <w:t xml:space="preserve">Any other criminal, civil, or administrative proceeding if (1) it could have led to an outcome described in paragraph i., ii., or .iii., above; (2) it had a different disposition arrived at by consent or compromise with an acknowledgment of fault on your part; and  (3) the requirement in this Section to disclose information about the proceeding does not conflict with applicable laws and regulations.  </w:t>
      </w:r>
    </w:p>
    <w:p w14:paraId="5794FCB1" w14:textId="77777777" w:rsidR="00DD0FE9" w:rsidRPr="002E1A5F" w:rsidRDefault="00DD0FE9" w:rsidP="7A327B2A">
      <w:pPr>
        <w:jc w:val="both"/>
      </w:pPr>
    </w:p>
    <w:p w14:paraId="022DB624" w14:textId="09D85124" w:rsidR="007A7119" w:rsidRPr="002263C8" w:rsidRDefault="3906470E" w:rsidP="006F30C1">
      <w:pPr>
        <w:pStyle w:val="Heading2"/>
        <w:numPr>
          <w:ilvl w:val="1"/>
          <w:numId w:val="28"/>
        </w:numPr>
        <w:ind w:left="720"/>
        <w:jc w:val="both"/>
        <w:rPr>
          <w:rFonts w:ascii="Arial" w:hAnsi="Arial" w:cs="Arial"/>
          <w:b/>
          <w:bCs/>
          <w:color w:val="auto"/>
          <w:sz w:val="20"/>
          <w:szCs w:val="20"/>
        </w:rPr>
      </w:pPr>
      <w:bookmarkStart w:id="138" w:name="_Toc206158643"/>
      <w:r w:rsidRPr="002263C8">
        <w:rPr>
          <w:rFonts w:ascii="Arial" w:hAnsi="Arial" w:cs="Arial"/>
          <w:b/>
          <w:bCs/>
          <w:color w:val="auto"/>
          <w:sz w:val="20"/>
          <w:szCs w:val="20"/>
        </w:rPr>
        <w:t>Fraud, Waste, and Abuse</w:t>
      </w:r>
      <w:bookmarkEnd w:id="137"/>
      <w:bookmarkEnd w:id="138"/>
    </w:p>
    <w:p w14:paraId="3F2B9EB2" w14:textId="77777777" w:rsidR="00857B67" w:rsidRPr="002E1A5F" w:rsidRDefault="00857B67" w:rsidP="00E46F7F">
      <w:pPr>
        <w:jc w:val="both"/>
        <w:rPr>
          <w:color w:val="000000"/>
        </w:rPr>
      </w:pPr>
    </w:p>
    <w:p w14:paraId="56CF03E2" w14:textId="46F6ED1A" w:rsidR="00371918" w:rsidRPr="002263C8" w:rsidRDefault="00371918" w:rsidP="006F30C1">
      <w:pPr>
        <w:pStyle w:val="ListParagraph"/>
        <w:numPr>
          <w:ilvl w:val="0"/>
          <w:numId w:val="31"/>
        </w:numPr>
        <w:ind w:left="1080"/>
        <w:jc w:val="both"/>
        <w:rPr>
          <w:color w:val="000000"/>
        </w:rPr>
      </w:pPr>
      <w:r w:rsidRPr="002E1A5F">
        <w:t xml:space="preserve">The mission of the DOE Office of Inspector General (OIG) is to strengthen the integrity, economy and efficiency of DOE’s programs and operations including deterring and detecting fraud, waste, abuse, and mismanagement. The OIG accomplishes this mission primarily through investigations, audits, and inspections of Department of Energy activities to include grants, cooperative agreements, loans, and contracts. The OIG maintains a </w:t>
      </w:r>
      <w:hyperlink r:id="rId32" w:history="1">
        <w:r w:rsidRPr="004D68E0">
          <w:rPr>
            <w:rStyle w:val="Hyperlink"/>
          </w:rPr>
          <w:t>Hotline</w:t>
        </w:r>
      </w:hyperlink>
      <w:r w:rsidRPr="002E1A5F">
        <w:t xml:space="preserve"> for reporting allegations of fraud, waste, abuse, or mismanagement. To report such allegations, please visit </w:t>
      </w:r>
      <w:r w:rsidRPr="004D68E0">
        <w:t>https://www.energy.gov/ig/ig</w:t>
      </w:r>
      <w:r w:rsidRPr="004D68E0">
        <w:rPr>
          <w:rFonts w:ascii="Cambria Math" w:hAnsi="Cambria Math" w:cs="Cambria Math"/>
        </w:rPr>
        <w:t>‐</w:t>
      </w:r>
      <w:r w:rsidRPr="004D68E0">
        <w:t>hotline</w:t>
      </w:r>
      <w:r w:rsidRPr="002E1A5F">
        <w:t>.</w:t>
      </w:r>
    </w:p>
    <w:p w14:paraId="4F743AC0" w14:textId="77777777" w:rsidR="00371918" w:rsidRPr="002263C8" w:rsidRDefault="00371918" w:rsidP="002263C8">
      <w:pPr>
        <w:pStyle w:val="ListParagraph"/>
        <w:ind w:left="1080"/>
        <w:jc w:val="both"/>
        <w:rPr>
          <w:color w:val="000000"/>
        </w:rPr>
      </w:pPr>
    </w:p>
    <w:p w14:paraId="36C31519" w14:textId="2E0388CA" w:rsidR="00B43C55" w:rsidRPr="004774EE" w:rsidRDefault="228C0F6E" w:rsidP="00AC39C2">
      <w:pPr>
        <w:pStyle w:val="ListParagraph"/>
        <w:numPr>
          <w:ilvl w:val="0"/>
          <w:numId w:val="31"/>
        </w:numPr>
        <w:ind w:left="1080" w:hanging="270"/>
        <w:jc w:val="both"/>
        <w:rPr>
          <w:color w:val="000000" w:themeColor="text1"/>
        </w:rPr>
      </w:pPr>
      <w:r w:rsidRPr="002E1A5F">
        <w:rPr>
          <w:color w:val="000000" w:themeColor="text1"/>
        </w:rPr>
        <w:t xml:space="preserve">The </w:t>
      </w:r>
      <w:r w:rsidR="7423E688" w:rsidRPr="002E1A5F">
        <w:rPr>
          <w:color w:val="000000" w:themeColor="text1"/>
        </w:rPr>
        <w:t xml:space="preserve">Subrecipient must </w:t>
      </w:r>
      <w:r w:rsidR="00FA5F2C">
        <w:rPr>
          <w:color w:val="000000" w:themeColor="text1"/>
        </w:rPr>
        <w:t xml:space="preserve">promptly </w:t>
      </w:r>
      <w:r w:rsidR="7423E688" w:rsidRPr="002E1A5F">
        <w:rPr>
          <w:color w:val="000000" w:themeColor="text1"/>
        </w:rPr>
        <w:t xml:space="preserve">disclose, in writing to the </w:t>
      </w:r>
      <w:r w:rsidR="29F72279" w:rsidRPr="002E1A5F">
        <w:rPr>
          <w:color w:val="000000" w:themeColor="text1"/>
        </w:rPr>
        <w:t>DOE</w:t>
      </w:r>
      <w:r w:rsidR="00F67280">
        <w:rPr>
          <w:color w:val="000000" w:themeColor="text1"/>
        </w:rPr>
        <w:t>, DOE’s Office of Inspector General</w:t>
      </w:r>
      <w:r w:rsidR="7423E688" w:rsidRPr="002E1A5F">
        <w:rPr>
          <w:color w:val="000000" w:themeColor="text1"/>
        </w:rPr>
        <w:t xml:space="preserve"> </w:t>
      </w:r>
      <w:r w:rsidR="23382BF1" w:rsidRPr="002E1A5F">
        <w:rPr>
          <w:color w:val="000000" w:themeColor="text1"/>
        </w:rPr>
        <w:t xml:space="preserve">and </w:t>
      </w:r>
      <w:r w:rsidR="7FD5DECF" w:rsidRPr="002E1A5F">
        <w:rPr>
          <w:color w:val="000000" w:themeColor="text1"/>
        </w:rPr>
        <w:t xml:space="preserve">the </w:t>
      </w:r>
      <w:r w:rsidR="437D7142" w:rsidRPr="002E1A5F">
        <w:rPr>
          <w:color w:val="000000" w:themeColor="text1"/>
        </w:rPr>
        <w:t>CEC</w:t>
      </w:r>
      <w:r w:rsidR="0060553E">
        <w:rPr>
          <w:color w:val="000000" w:themeColor="text1"/>
        </w:rPr>
        <w:t xml:space="preserve">, whenever in connection with the Federal award (including any activities or subawards thereunder), it has credible evidence of the commission of a </w:t>
      </w:r>
      <w:r w:rsidR="00602870">
        <w:rPr>
          <w:color w:val="000000" w:themeColor="text1"/>
        </w:rPr>
        <w:t xml:space="preserve">violation of </w:t>
      </w:r>
      <w:r w:rsidR="7423E688" w:rsidRPr="002E1A5F">
        <w:rPr>
          <w:color w:val="000000" w:themeColor="text1"/>
        </w:rPr>
        <w:t xml:space="preserve">Federal criminal law involving fraud, </w:t>
      </w:r>
      <w:r w:rsidR="00602870">
        <w:rPr>
          <w:color w:val="000000" w:themeColor="text1"/>
        </w:rPr>
        <w:t xml:space="preserve">conflict of interest, </w:t>
      </w:r>
      <w:r w:rsidR="7423E688" w:rsidRPr="002E1A5F">
        <w:rPr>
          <w:color w:val="000000" w:themeColor="text1"/>
        </w:rPr>
        <w:t xml:space="preserve">bribery, or gratuity violations </w:t>
      </w:r>
      <w:r w:rsidR="004774EE">
        <w:rPr>
          <w:color w:val="000000" w:themeColor="text1"/>
        </w:rPr>
        <w:t xml:space="preserve"> f</w:t>
      </w:r>
      <w:r w:rsidR="003F06F6">
        <w:rPr>
          <w:color w:val="000000" w:themeColor="text1"/>
        </w:rPr>
        <w:t xml:space="preserve">ound in Title 18 of the </w:t>
      </w:r>
      <w:r w:rsidR="00A83A4D" w:rsidRPr="00A83A4D">
        <w:rPr>
          <w:color w:val="000000" w:themeColor="text1"/>
        </w:rPr>
        <w:t>United States</w:t>
      </w:r>
      <w:r w:rsidR="004774EE">
        <w:rPr>
          <w:color w:val="000000" w:themeColor="text1"/>
        </w:rPr>
        <w:t xml:space="preserve"> </w:t>
      </w:r>
      <w:r w:rsidR="00A83A4D" w:rsidRPr="004774EE">
        <w:rPr>
          <w:color w:val="000000" w:themeColor="text1"/>
        </w:rPr>
        <w:t>Code or a violation of the civil False Claims Act (31 U.S.C. 3729–3733).</w:t>
      </w:r>
      <w:r w:rsidR="002725AF">
        <w:rPr>
          <w:color w:val="000000" w:themeColor="text1"/>
        </w:rPr>
        <w:t xml:space="preserve"> The S</w:t>
      </w:r>
      <w:r w:rsidR="00A83A4D" w:rsidRPr="004774EE">
        <w:rPr>
          <w:color w:val="000000" w:themeColor="text1"/>
        </w:rPr>
        <w:t>ubrecipient</w:t>
      </w:r>
      <w:r w:rsidR="002725AF">
        <w:rPr>
          <w:color w:val="000000" w:themeColor="text1"/>
        </w:rPr>
        <w:t xml:space="preserve"> is </w:t>
      </w:r>
      <w:r w:rsidR="00A83A4D" w:rsidRPr="004774EE">
        <w:rPr>
          <w:color w:val="000000" w:themeColor="text1"/>
        </w:rPr>
        <w:t xml:space="preserve">also required to report </w:t>
      </w:r>
      <w:r w:rsidR="004E0169">
        <w:rPr>
          <w:color w:val="000000" w:themeColor="text1"/>
        </w:rPr>
        <w:t xml:space="preserve">matters </w:t>
      </w:r>
      <w:r w:rsidR="00A83A4D" w:rsidRPr="004774EE">
        <w:rPr>
          <w:color w:val="000000" w:themeColor="text1"/>
        </w:rPr>
        <w:t xml:space="preserve">related to </w:t>
      </w:r>
      <w:r w:rsidR="00C70974">
        <w:rPr>
          <w:color w:val="000000" w:themeColor="text1"/>
        </w:rPr>
        <w:t>CEC’s</w:t>
      </w:r>
      <w:r w:rsidR="00A83A4D" w:rsidRPr="004774EE">
        <w:rPr>
          <w:color w:val="000000" w:themeColor="text1"/>
        </w:rPr>
        <w:t xml:space="preserve"> integrity and performance</w:t>
      </w:r>
      <w:r w:rsidR="005011E0">
        <w:rPr>
          <w:color w:val="000000" w:themeColor="text1"/>
        </w:rPr>
        <w:t xml:space="preserve">.  2 CFR 200.113, including </w:t>
      </w:r>
      <w:r w:rsidR="002515BD">
        <w:rPr>
          <w:color w:val="000000" w:themeColor="text1"/>
        </w:rPr>
        <w:t xml:space="preserve">2 CFR Part 200, </w:t>
      </w:r>
      <w:r w:rsidR="005011E0">
        <w:rPr>
          <w:color w:val="000000" w:themeColor="text1"/>
        </w:rPr>
        <w:t xml:space="preserve">Appendix </w:t>
      </w:r>
      <w:r w:rsidR="00D907DF">
        <w:rPr>
          <w:color w:val="000000" w:themeColor="text1"/>
        </w:rPr>
        <w:t>XII</w:t>
      </w:r>
      <w:r w:rsidR="00A83A4D" w:rsidRPr="004774EE">
        <w:rPr>
          <w:color w:val="000000" w:themeColor="text1"/>
        </w:rPr>
        <w:t>.</w:t>
      </w:r>
      <w:r w:rsidR="7423E688" w:rsidRPr="004774EE">
        <w:rPr>
          <w:color w:val="000000" w:themeColor="text1"/>
        </w:rPr>
        <w:t xml:space="preserve"> </w:t>
      </w:r>
    </w:p>
    <w:p w14:paraId="5745A3B9" w14:textId="6ABEACB4" w:rsidR="004B26F6" w:rsidRPr="00FE3500" w:rsidRDefault="004B26F6" w:rsidP="00FE3500">
      <w:pPr>
        <w:pStyle w:val="ListParagraph"/>
        <w:ind w:left="1440"/>
        <w:jc w:val="both"/>
        <w:rPr>
          <w:color w:val="000000" w:themeColor="text1"/>
        </w:rPr>
      </w:pPr>
    </w:p>
    <w:p w14:paraId="7C9FB1A2" w14:textId="1C113815" w:rsidR="7A327B2A" w:rsidRDefault="7A327B2A" w:rsidP="7A327B2A">
      <w:pPr>
        <w:jc w:val="both"/>
        <w:rPr>
          <w:color w:val="000000" w:themeColor="text1"/>
        </w:rPr>
      </w:pPr>
    </w:p>
    <w:p w14:paraId="1F8F7FA9" w14:textId="0A39FEE1" w:rsidR="0043490C" w:rsidRPr="002E1A5F" w:rsidRDefault="7423E688" w:rsidP="006F30C1">
      <w:pPr>
        <w:pStyle w:val="ListParagraph"/>
        <w:numPr>
          <w:ilvl w:val="0"/>
          <w:numId w:val="31"/>
        </w:numPr>
        <w:ind w:left="1080"/>
        <w:jc w:val="both"/>
        <w:rPr>
          <w:color w:val="000000"/>
        </w:rPr>
      </w:pPr>
      <w:r w:rsidRPr="002E1A5F">
        <w:rPr>
          <w:color w:val="000000" w:themeColor="text1"/>
        </w:rPr>
        <w:t xml:space="preserve">Failure to make </w:t>
      </w:r>
      <w:r w:rsidR="5AB9FBA6" w:rsidRPr="002E1A5F">
        <w:rPr>
          <w:color w:val="000000" w:themeColor="text1"/>
        </w:rPr>
        <w:t xml:space="preserve">the </w:t>
      </w:r>
      <w:r w:rsidRPr="002E1A5F">
        <w:rPr>
          <w:color w:val="000000" w:themeColor="text1"/>
        </w:rPr>
        <w:t xml:space="preserve">required disclosures can result in any of the remedies described in </w:t>
      </w:r>
      <w:r w:rsidR="5AB9FBA6" w:rsidRPr="002E1A5F">
        <w:rPr>
          <w:color w:val="000000" w:themeColor="text1"/>
        </w:rPr>
        <w:t xml:space="preserve">2 CFR </w:t>
      </w:r>
      <w:r w:rsidRPr="002E1A5F">
        <w:rPr>
          <w:color w:val="000000" w:themeColor="text1"/>
        </w:rPr>
        <w:t xml:space="preserve">200.339. (See also 2 CFR part 180, 31 U.S.C. 3321, and 41 U.S.C. 2313.)    </w:t>
      </w:r>
    </w:p>
    <w:p w14:paraId="53A5675D" w14:textId="553BA6F1" w:rsidR="40CCF473" w:rsidRPr="009A5CD5" w:rsidRDefault="40CCF473" w:rsidP="7A327B2A">
      <w:pPr>
        <w:widowControl/>
        <w:autoSpaceDE/>
        <w:autoSpaceDN/>
        <w:adjustRightInd/>
        <w:spacing w:after="160" w:line="259" w:lineRule="auto"/>
        <w:jc w:val="both"/>
        <w:rPr>
          <w:rFonts w:eastAsia="Arial"/>
        </w:rPr>
      </w:pPr>
    </w:p>
    <w:sectPr w:rsidR="40CCF473" w:rsidRPr="009A5CD5">
      <w:headerReference w:type="default" r:id="rId33"/>
      <w:foot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FAB18" w14:textId="77777777" w:rsidR="00581387" w:rsidRDefault="00581387" w:rsidP="004A3B01">
      <w:r>
        <w:separator/>
      </w:r>
    </w:p>
  </w:endnote>
  <w:endnote w:type="continuationSeparator" w:id="0">
    <w:p w14:paraId="4BE91F6E" w14:textId="77777777" w:rsidR="00581387" w:rsidRDefault="00581387" w:rsidP="004A3B01">
      <w:r>
        <w:continuationSeparator/>
      </w:r>
    </w:p>
  </w:endnote>
  <w:endnote w:type="continuationNotice" w:id="1">
    <w:p w14:paraId="268BC014" w14:textId="77777777" w:rsidR="00581387" w:rsidRDefault="005813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9673122"/>
      <w:docPartObj>
        <w:docPartGallery w:val="Page Numbers (Bottom of Page)"/>
        <w:docPartUnique/>
      </w:docPartObj>
    </w:sdtPr>
    <w:sdtContent>
      <w:sdt>
        <w:sdtPr>
          <w:id w:val="1728636285"/>
          <w:docPartObj>
            <w:docPartGallery w:val="Page Numbers (Top of Page)"/>
            <w:docPartUnique/>
          </w:docPartObj>
        </w:sdtPr>
        <w:sdtContent>
          <w:p w14:paraId="3E83B215" w14:textId="464B1B2B" w:rsidR="001C00BF" w:rsidRDefault="001C00B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9A26877" w14:textId="77777777" w:rsidR="004A3B01" w:rsidRDefault="004A3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43A1C" w14:textId="77777777" w:rsidR="00581387" w:rsidRDefault="00581387" w:rsidP="004A3B01">
      <w:r>
        <w:separator/>
      </w:r>
    </w:p>
  </w:footnote>
  <w:footnote w:type="continuationSeparator" w:id="0">
    <w:p w14:paraId="50090058" w14:textId="77777777" w:rsidR="00581387" w:rsidRDefault="00581387" w:rsidP="004A3B01">
      <w:r>
        <w:continuationSeparator/>
      </w:r>
    </w:p>
  </w:footnote>
  <w:footnote w:type="continuationNotice" w:id="1">
    <w:p w14:paraId="4B9DEC2A" w14:textId="77777777" w:rsidR="00581387" w:rsidRDefault="00581387"/>
  </w:footnote>
  <w:footnote w:id="2">
    <w:p w14:paraId="35B24E6B" w14:textId="729B5529" w:rsidR="007D49BC" w:rsidRPr="001C6F2B" w:rsidRDefault="007D49BC" w:rsidP="007D49BC">
      <w:pPr>
        <w:pStyle w:val="FootnoteText"/>
        <w:rPr>
          <w:sz w:val="18"/>
          <w:szCs w:val="18"/>
        </w:rPr>
      </w:pPr>
      <w:r w:rsidRPr="31F137FA">
        <w:rPr>
          <w:rStyle w:val="FootnoteReference"/>
        </w:rPr>
        <w:footnoteRef/>
      </w:r>
      <w:r>
        <w:t xml:space="preserve"> </w:t>
      </w:r>
      <w:r w:rsidRPr="001C6F2B">
        <w:rPr>
          <w:sz w:val="18"/>
          <w:szCs w:val="18"/>
        </w:rPr>
        <w:t xml:space="preserve">See </w:t>
      </w:r>
      <w:hyperlink r:id="rId1" w:history="1">
        <w:r w:rsidRPr="00022DD6">
          <w:rPr>
            <w:rStyle w:val="Hyperlink"/>
            <w:sz w:val="18"/>
            <w:szCs w:val="18"/>
          </w:rPr>
          <w:t>OFCCP’s Technical Assistance Guide</w:t>
        </w:r>
      </w:hyperlink>
      <w:r w:rsidRPr="001C6F2B">
        <w:rPr>
          <w:sz w:val="18"/>
          <w:szCs w:val="18"/>
        </w:rPr>
        <w:t xml:space="preserve"> at:</w:t>
      </w:r>
      <w:r>
        <w:rPr>
          <w:sz w:val="18"/>
          <w:szCs w:val="18"/>
        </w:rPr>
        <w:t xml:space="preserve"> </w:t>
      </w:r>
      <w:r w:rsidRPr="00022DD6">
        <w:rPr>
          <w:sz w:val="18"/>
          <w:szCs w:val="18"/>
        </w:rPr>
        <w:t>https://www.dol.gov/sites/dolgov/files/ofccp/Construction/files/ConstructionTAG.pdf?msclkid=9e397d68c4b111ec9d8e6fecb6c710ec</w:t>
      </w:r>
      <w:r>
        <w:rPr>
          <w:sz w:val="18"/>
          <w:szCs w:val="18"/>
        </w:rPr>
        <w:t>.</w:t>
      </w:r>
      <w:r w:rsidRPr="001C6F2B">
        <w:rPr>
          <w:sz w:val="18"/>
          <w:szCs w:val="18"/>
        </w:rPr>
        <w:t xml:space="preserve"> Also see the </w:t>
      </w:r>
      <w:hyperlink r:id="rId2" w:history="1">
        <w:r w:rsidRPr="00022DD6">
          <w:rPr>
            <w:rStyle w:val="Hyperlink"/>
            <w:sz w:val="18"/>
            <w:szCs w:val="18"/>
          </w:rPr>
          <w:t>National Policy Assurances</w:t>
        </w:r>
      </w:hyperlink>
      <w:r>
        <w:rPr>
          <w:sz w:val="18"/>
          <w:szCs w:val="18"/>
        </w:rPr>
        <w:t xml:space="preserve"> at</w:t>
      </w:r>
      <w:r w:rsidRPr="001C6F2B">
        <w:rPr>
          <w:sz w:val="18"/>
          <w:szCs w:val="18"/>
        </w:rPr>
        <w:t xml:space="preserve"> </w:t>
      </w:r>
      <w:r w:rsidRPr="00022DD6">
        <w:rPr>
          <w:sz w:val="18"/>
          <w:szCs w:val="18"/>
        </w:rPr>
        <w:t>http://www.nsf.gov/awards/managing/rtc.jsp</w:t>
      </w:r>
      <w:r w:rsidRPr="001C6F2B">
        <w:rPr>
          <w:sz w:val="18"/>
          <w:szCs w:val="18"/>
        </w:rPr>
        <w:t>.</w:t>
      </w:r>
      <w:r>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3DE76" w14:textId="0B7A5DE3" w:rsidR="002773FD" w:rsidRPr="002773FD" w:rsidRDefault="002773FD" w:rsidP="002773FD">
    <w:pPr>
      <w:pStyle w:val="Header"/>
      <w:jc w:val="right"/>
      <w:rPr>
        <w:rFonts w:ascii="Arial" w:hAnsi="Arial" w:cs="Arial"/>
        <w:i/>
        <w:iCs/>
        <w:sz w:val="20"/>
      </w:rPr>
    </w:pPr>
  </w:p>
</w:hdr>
</file>

<file path=word/intelligence2.xml><?xml version="1.0" encoding="utf-8"?>
<int2:intelligence xmlns:int2="http://schemas.microsoft.com/office/intelligence/2020/intelligence" xmlns:oel="http://schemas.microsoft.com/office/2019/extlst">
  <int2:observations>
    <int2:textHash int2:hashCode="z3fRsQIkwzuAaB" int2:id="SzQFZMBQ">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6E6E"/>
    <w:multiLevelType w:val="hybridMultilevel"/>
    <w:tmpl w:val="65D635D6"/>
    <w:lvl w:ilvl="0" w:tplc="BB16EE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E85B48"/>
    <w:multiLevelType w:val="hybridMultilevel"/>
    <w:tmpl w:val="43A81AA8"/>
    <w:lvl w:ilvl="0" w:tplc="FFFFFFFF">
      <w:start w:val="1"/>
      <w:numFmt w:val="lowerRoman"/>
      <w:lvlText w:val="%1."/>
      <w:lvlJc w:val="right"/>
      <w:pPr>
        <w:ind w:left="2160" w:hanging="18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3B34F4"/>
    <w:multiLevelType w:val="hybridMultilevel"/>
    <w:tmpl w:val="C99284D8"/>
    <w:lvl w:ilvl="0" w:tplc="FFFFFFFF">
      <w:start w:val="1"/>
      <w:numFmt w:val="decimal"/>
      <w:lvlText w:val="%1."/>
      <w:lvlJc w:val="left"/>
      <w:pPr>
        <w:ind w:left="28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2442863"/>
    <w:multiLevelType w:val="hybridMultilevel"/>
    <w:tmpl w:val="9BF21FF2"/>
    <w:lvl w:ilvl="0" w:tplc="FFFFFFFF">
      <w:start w:val="1"/>
      <w:numFmt w:val="decimal"/>
      <w:lvlText w:val="%1."/>
      <w:lvlJc w:val="left"/>
      <w:pPr>
        <w:ind w:left="720" w:hanging="360"/>
      </w:pPr>
      <w:rPr>
        <w:b w:val="0"/>
        <w:bCs w:val="0"/>
      </w:rPr>
    </w:lvl>
    <w:lvl w:ilvl="1" w:tplc="01B0302C">
      <w:start w:val="1"/>
      <w:numFmt w:val="lowerLetter"/>
      <w:lvlText w:val="%2."/>
      <w:lvlJc w:val="left"/>
      <w:pPr>
        <w:ind w:left="1440" w:hanging="360"/>
      </w:pPr>
      <w:rPr>
        <w:b w:val="0"/>
        <w:bCs w:val="0"/>
        <w:color w:val="auto"/>
      </w:rPr>
    </w:lvl>
    <w:lvl w:ilvl="2" w:tplc="0409001B">
      <w:start w:val="1"/>
      <w:numFmt w:val="lowerRoman"/>
      <w:lvlText w:val="%3."/>
      <w:lvlJc w:val="right"/>
      <w:pPr>
        <w:ind w:left="2160" w:hanging="180"/>
      </w:pPr>
    </w:lvl>
    <w:lvl w:ilvl="3" w:tplc="F66E784C">
      <w:start w:val="1"/>
      <w:numFmt w:val="decimal"/>
      <w:lvlText w:val="%4."/>
      <w:lvlJc w:val="left"/>
      <w:pPr>
        <w:ind w:left="2880" w:hanging="360"/>
      </w:pPr>
      <w:rPr>
        <w:b w:val="0"/>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956DAC"/>
    <w:multiLevelType w:val="hybridMultilevel"/>
    <w:tmpl w:val="4EFA20CC"/>
    <w:lvl w:ilvl="0" w:tplc="84D8FBE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5FD58B6"/>
    <w:multiLevelType w:val="hybridMultilevel"/>
    <w:tmpl w:val="0FA465F6"/>
    <w:lvl w:ilvl="0" w:tplc="A85A0C2C">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476D46"/>
    <w:multiLevelType w:val="hybridMultilevel"/>
    <w:tmpl w:val="353C8844"/>
    <w:lvl w:ilvl="0" w:tplc="30A6B6D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C802E0F"/>
    <w:multiLevelType w:val="hybridMultilevel"/>
    <w:tmpl w:val="8402CC0C"/>
    <w:lvl w:ilvl="0" w:tplc="FFFFFFFF">
      <w:start w:val="1"/>
      <w:numFmt w:val="lowerRoman"/>
      <w:lvlText w:val="%1."/>
      <w:lvlJc w:val="left"/>
      <w:pPr>
        <w:tabs>
          <w:tab w:val="num" w:pos="720"/>
        </w:tabs>
        <w:ind w:left="720" w:hanging="360"/>
      </w:pPr>
      <w:rPr>
        <w:rFonts w:ascii="Arial" w:eastAsiaTheme="majorEastAsia" w:hAnsi="Arial" w:cs="Arial"/>
      </w:rPr>
    </w:lvl>
    <w:lvl w:ilvl="1" w:tplc="FFFFFFFF">
      <w:start w:val="1"/>
      <w:numFmt w:val="decimal"/>
      <w:lvlText w:val="%2."/>
      <w:lvlJc w:val="left"/>
      <w:pPr>
        <w:ind w:left="1440" w:hanging="360"/>
      </w:pPr>
      <w:rPr>
        <w:rFonts w:ascii="Arial" w:hAnsi="Arial" w:cs="Arial" w:hint="default"/>
        <w:b w:val="0"/>
        <w:bCs w:val="0"/>
        <w:color w:val="auto"/>
      </w:rPr>
    </w:lvl>
    <w:lvl w:ilvl="2" w:tplc="FFFFFFFF">
      <w:start w:val="1"/>
      <w:numFmt w:val="lowerLetter"/>
      <w:lvlText w:val="%3."/>
      <w:lvlJc w:val="left"/>
      <w:pPr>
        <w:tabs>
          <w:tab w:val="num" w:pos="2160"/>
        </w:tabs>
        <w:ind w:left="2160" w:hanging="360"/>
      </w:pPr>
    </w:lvl>
    <w:lvl w:ilvl="3" w:tplc="FFFFFFFF">
      <w:start w:val="1"/>
      <w:numFmt w:val="lowerLetter"/>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Letter"/>
      <w:lvlText w:val="%6."/>
      <w:lvlJc w:val="left"/>
      <w:pPr>
        <w:tabs>
          <w:tab w:val="num" w:pos="4320"/>
        </w:tabs>
        <w:ind w:left="4320" w:hanging="360"/>
      </w:pPr>
    </w:lvl>
    <w:lvl w:ilvl="6" w:tplc="FFFFFFFF">
      <w:start w:val="1"/>
      <w:numFmt w:val="lowerLetter"/>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Letter"/>
      <w:lvlText w:val="%9."/>
      <w:lvlJc w:val="left"/>
      <w:pPr>
        <w:tabs>
          <w:tab w:val="num" w:pos="6480"/>
        </w:tabs>
        <w:ind w:left="6480" w:hanging="360"/>
      </w:pPr>
    </w:lvl>
  </w:abstractNum>
  <w:abstractNum w:abstractNumId="8" w15:restartNumberingAfterBreak="0">
    <w:nsid w:val="0D216E94"/>
    <w:multiLevelType w:val="hybridMultilevel"/>
    <w:tmpl w:val="49CEE914"/>
    <w:lvl w:ilvl="0" w:tplc="FFFFFFFF">
      <w:start w:val="1"/>
      <w:numFmt w:val="lowerRoman"/>
      <w:lvlText w:val="%1."/>
      <w:lvlJc w:val="right"/>
      <w:pPr>
        <w:ind w:left="2160" w:hanging="18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11D28C3"/>
    <w:multiLevelType w:val="hybridMultilevel"/>
    <w:tmpl w:val="7D0A4B98"/>
    <w:lvl w:ilvl="0" w:tplc="A02426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3815D74"/>
    <w:multiLevelType w:val="hybridMultilevel"/>
    <w:tmpl w:val="6F4645EE"/>
    <w:lvl w:ilvl="0" w:tplc="FFFFFFFF">
      <w:start w:val="1"/>
      <w:numFmt w:val="lowerRoman"/>
      <w:lvlText w:val="%1."/>
      <w:lvlJc w:val="right"/>
      <w:pPr>
        <w:ind w:left="2160" w:hanging="18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3EE4280"/>
    <w:multiLevelType w:val="hybridMultilevel"/>
    <w:tmpl w:val="C99284D8"/>
    <w:lvl w:ilvl="0" w:tplc="520ACC34">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24353F"/>
    <w:multiLevelType w:val="hybridMultilevel"/>
    <w:tmpl w:val="72C66FD0"/>
    <w:lvl w:ilvl="0" w:tplc="2258D054">
      <w:start w:val="1"/>
      <w:numFmt w:val="decimal"/>
      <w:lvlText w:val="%1."/>
      <w:lvlJc w:val="left"/>
      <w:pPr>
        <w:ind w:left="720" w:hanging="360"/>
      </w:pPr>
      <w:rPr>
        <w:b w:val="0"/>
        <w:bCs w:val="0"/>
      </w:rPr>
    </w:lvl>
    <w:lvl w:ilvl="1" w:tplc="FFFFFFF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5456CA4"/>
    <w:multiLevelType w:val="hybridMultilevel"/>
    <w:tmpl w:val="A12CBC6E"/>
    <w:lvl w:ilvl="0" w:tplc="4F5A9090">
      <w:start w:val="1"/>
      <w:numFmt w:val="lowerLetter"/>
      <w:lvlText w:val="%1."/>
      <w:lvlJc w:val="left"/>
      <w:pPr>
        <w:ind w:left="1440" w:hanging="360"/>
      </w:pPr>
    </w:lvl>
    <w:lvl w:ilvl="1" w:tplc="7D6294C0">
      <w:start w:val="1"/>
      <w:numFmt w:val="lowerLetter"/>
      <w:lvlText w:val="%2."/>
      <w:lvlJc w:val="left"/>
      <w:pPr>
        <w:ind w:left="1440" w:hanging="360"/>
      </w:pPr>
    </w:lvl>
    <w:lvl w:ilvl="2" w:tplc="033EA6CC">
      <w:start w:val="1"/>
      <w:numFmt w:val="lowerRoman"/>
      <w:lvlText w:val="%3."/>
      <w:lvlJc w:val="right"/>
      <w:pPr>
        <w:ind w:left="2160" w:hanging="180"/>
      </w:pPr>
    </w:lvl>
    <w:lvl w:ilvl="3" w:tplc="A85A0C2C">
      <w:start w:val="1"/>
      <w:numFmt w:val="lowerRoman"/>
      <w:lvlText w:val="%4."/>
      <w:lvlJc w:val="right"/>
      <w:pPr>
        <w:ind w:left="720" w:hanging="360"/>
      </w:pPr>
    </w:lvl>
    <w:lvl w:ilvl="4" w:tplc="66E4D162">
      <w:start w:val="1"/>
      <w:numFmt w:val="lowerLetter"/>
      <w:lvlText w:val="%5."/>
      <w:lvlJc w:val="left"/>
      <w:pPr>
        <w:ind w:left="3600" w:hanging="360"/>
      </w:pPr>
    </w:lvl>
    <w:lvl w:ilvl="5" w:tplc="5160676C">
      <w:start w:val="1"/>
      <w:numFmt w:val="lowerRoman"/>
      <w:lvlText w:val="%6."/>
      <w:lvlJc w:val="right"/>
      <w:pPr>
        <w:ind w:left="4320" w:hanging="180"/>
      </w:pPr>
    </w:lvl>
    <w:lvl w:ilvl="6" w:tplc="30D23974">
      <w:start w:val="1"/>
      <w:numFmt w:val="decimal"/>
      <w:lvlText w:val="%7."/>
      <w:lvlJc w:val="left"/>
      <w:pPr>
        <w:ind w:left="5040" w:hanging="360"/>
      </w:pPr>
    </w:lvl>
    <w:lvl w:ilvl="7" w:tplc="8D709D1E">
      <w:start w:val="1"/>
      <w:numFmt w:val="lowerLetter"/>
      <w:lvlText w:val="%8."/>
      <w:lvlJc w:val="left"/>
      <w:pPr>
        <w:ind w:left="5760" w:hanging="360"/>
      </w:pPr>
    </w:lvl>
    <w:lvl w:ilvl="8" w:tplc="2D9C24EE">
      <w:start w:val="1"/>
      <w:numFmt w:val="lowerRoman"/>
      <w:lvlText w:val="%9."/>
      <w:lvlJc w:val="right"/>
      <w:pPr>
        <w:ind w:left="6480" w:hanging="180"/>
      </w:pPr>
    </w:lvl>
  </w:abstractNum>
  <w:abstractNum w:abstractNumId="14" w15:restartNumberingAfterBreak="0">
    <w:nsid w:val="170F60D4"/>
    <w:multiLevelType w:val="hybridMultilevel"/>
    <w:tmpl w:val="50DA48DE"/>
    <w:lvl w:ilvl="0" w:tplc="FFFFFFFF">
      <w:start w:val="1"/>
      <w:numFmt w:val="lowerLetter"/>
      <w:lvlText w:val="%1."/>
      <w:lvlJc w:val="left"/>
      <w:pPr>
        <w:ind w:left="144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940703F"/>
    <w:multiLevelType w:val="hybridMultilevel"/>
    <w:tmpl w:val="43A81AA8"/>
    <w:lvl w:ilvl="0" w:tplc="FFFFFFFF">
      <w:start w:val="1"/>
      <w:numFmt w:val="lowerRoman"/>
      <w:lvlText w:val="%1."/>
      <w:lvlJc w:val="right"/>
      <w:pPr>
        <w:ind w:left="2160" w:hanging="18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9807D4C"/>
    <w:multiLevelType w:val="hybridMultilevel"/>
    <w:tmpl w:val="58C621AC"/>
    <w:lvl w:ilvl="0" w:tplc="FFFFFFFF">
      <w:start w:val="1"/>
      <w:numFmt w:val="bullet"/>
      <w:lvlText w:val="•"/>
      <w:lvlJc w:val="left"/>
      <w:pPr>
        <w:ind w:left="1440" w:hanging="720"/>
      </w:pPr>
      <w:rPr>
        <w:rFonts w:ascii="Arial" w:hAnsi="Arial" w:hint="default"/>
      </w:rPr>
    </w:lvl>
    <w:lvl w:ilvl="1" w:tplc="FFFFFFFF"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A0866CF"/>
    <w:multiLevelType w:val="hybridMultilevel"/>
    <w:tmpl w:val="43A81AA8"/>
    <w:lvl w:ilvl="0" w:tplc="FFFFFFFF">
      <w:start w:val="1"/>
      <w:numFmt w:val="lowerRoman"/>
      <w:lvlText w:val="%1."/>
      <w:lvlJc w:val="right"/>
      <w:pPr>
        <w:ind w:left="2160" w:hanging="18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BBB1AD6"/>
    <w:multiLevelType w:val="hybridMultilevel"/>
    <w:tmpl w:val="6F4645EE"/>
    <w:lvl w:ilvl="0" w:tplc="FCC00DF8">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6A497B"/>
    <w:multiLevelType w:val="hybridMultilevel"/>
    <w:tmpl w:val="49CEE914"/>
    <w:lvl w:ilvl="0" w:tplc="FFFFFFFF">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4F574D"/>
    <w:multiLevelType w:val="hybridMultilevel"/>
    <w:tmpl w:val="8402CC0C"/>
    <w:lvl w:ilvl="0" w:tplc="FFFFFFFF">
      <w:start w:val="1"/>
      <w:numFmt w:val="lowerRoman"/>
      <w:lvlText w:val="%1."/>
      <w:lvlJc w:val="left"/>
      <w:pPr>
        <w:tabs>
          <w:tab w:val="num" w:pos="720"/>
        </w:tabs>
        <w:ind w:left="720" w:hanging="360"/>
      </w:pPr>
    </w:lvl>
    <w:lvl w:ilvl="1" w:tplc="FFFFFFFF">
      <w:start w:val="1"/>
      <w:numFmt w:val="decimal"/>
      <w:lvlText w:val="%2."/>
      <w:lvlJc w:val="left"/>
      <w:pPr>
        <w:ind w:left="1440" w:hanging="360"/>
      </w:pPr>
      <w:rPr>
        <w:b w:val="0"/>
        <w:bCs w:val="0"/>
        <w:color w:val="auto"/>
      </w:rPr>
    </w:lvl>
    <w:lvl w:ilvl="2" w:tplc="FFFFFFFF">
      <w:start w:val="1"/>
      <w:numFmt w:val="lowerLetter"/>
      <w:lvlText w:val="%3."/>
      <w:lvlJc w:val="left"/>
      <w:pPr>
        <w:tabs>
          <w:tab w:val="num" w:pos="1980"/>
        </w:tabs>
        <w:ind w:left="1980" w:hanging="360"/>
      </w:pPr>
    </w:lvl>
    <w:lvl w:ilvl="3" w:tplc="FFFFFFFF">
      <w:start w:val="1"/>
      <w:numFmt w:val="lowerLetter"/>
      <w:lvlText w:val="%4."/>
      <w:lvlJc w:val="left"/>
      <w:pPr>
        <w:tabs>
          <w:tab w:val="num" w:pos="2880"/>
        </w:tabs>
        <w:ind w:left="2880" w:hanging="360"/>
      </w:pPr>
    </w:lvl>
    <w:lvl w:ilvl="4" w:tplc="3BC8E8EA">
      <w:start w:val="1"/>
      <w:numFmt w:val="lowerLetter"/>
      <w:lvlText w:val="%5."/>
      <w:lvlJc w:val="left"/>
      <w:pPr>
        <w:tabs>
          <w:tab w:val="num" w:pos="3600"/>
        </w:tabs>
        <w:ind w:left="3600" w:hanging="360"/>
      </w:pPr>
    </w:lvl>
    <w:lvl w:ilvl="5" w:tplc="F7483D40">
      <w:start w:val="1"/>
      <w:numFmt w:val="lowerLetter"/>
      <w:lvlText w:val="%6."/>
      <w:lvlJc w:val="left"/>
      <w:pPr>
        <w:tabs>
          <w:tab w:val="num" w:pos="4320"/>
        </w:tabs>
        <w:ind w:left="4320" w:hanging="360"/>
      </w:pPr>
    </w:lvl>
    <w:lvl w:ilvl="6" w:tplc="147ACA0A">
      <w:start w:val="1"/>
      <w:numFmt w:val="lowerLetter"/>
      <w:lvlText w:val="%7."/>
      <w:lvlJc w:val="left"/>
      <w:pPr>
        <w:tabs>
          <w:tab w:val="num" w:pos="5040"/>
        </w:tabs>
        <w:ind w:left="5040" w:hanging="360"/>
      </w:pPr>
    </w:lvl>
    <w:lvl w:ilvl="7" w:tplc="8B12CB32">
      <w:start w:val="1"/>
      <w:numFmt w:val="lowerLetter"/>
      <w:lvlText w:val="%8."/>
      <w:lvlJc w:val="left"/>
      <w:pPr>
        <w:tabs>
          <w:tab w:val="num" w:pos="5760"/>
        </w:tabs>
        <w:ind w:left="5760" w:hanging="360"/>
      </w:pPr>
    </w:lvl>
    <w:lvl w:ilvl="8" w:tplc="F9DAAAD4">
      <w:start w:val="1"/>
      <w:numFmt w:val="lowerLetter"/>
      <w:lvlText w:val="%9."/>
      <w:lvlJc w:val="left"/>
      <w:pPr>
        <w:tabs>
          <w:tab w:val="num" w:pos="6480"/>
        </w:tabs>
        <w:ind w:left="6480" w:hanging="360"/>
      </w:pPr>
    </w:lvl>
  </w:abstractNum>
  <w:abstractNum w:abstractNumId="21" w15:restartNumberingAfterBreak="0">
    <w:nsid w:val="24FDF1D5"/>
    <w:multiLevelType w:val="hybridMultilevel"/>
    <w:tmpl w:val="33884B2E"/>
    <w:lvl w:ilvl="0" w:tplc="A336EBEE">
      <w:start w:val="1"/>
      <w:numFmt w:val="lowerLetter"/>
      <w:lvlText w:val="%1."/>
      <w:lvlJc w:val="left"/>
      <w:pPr>
        <w:ind w:left="1440" w:hanging="360"/>
      </w:pPr>
    </w:lvl>
    <w:lvl w:ilvl="1" w:tplc="A4700D1C">
      <w:start w:val="1"/>
      <w:numFmt w:val="lowerLetter"/>
      <w:lvlText w:val="%2."/>
      <w:lvlJc w:val="left"/>
      <w:pPr>
        <w:ind w:left="1440" w:hanging="360"/>
      </w:pPr>
    </w:lvl>
    <w:lvl w:ilvl="2" w:tplc="390C112A">
      <w:start w:val="1"/>
      <w:numFmt w:val="lowerRoman"/>
      <w:lvlText w:val="%3."/>
      <w:lvlJc w:val="right"/>
      <w:pPr>
        <w:ind w:left="2160" w:hanging="180"/>
      </w:pPr>
    </w:lvl>
    <w:lvl w:ilvl="3" w:tplc="FC4EF73C">
      <w:start w:val="1"/>
      <w:numFmt w:val="decimal"/>
      <w:lvlText w:val="%4."/>
      <w:lvlJc w:val="left"/>
      <w:pPr>
        <w:ind w:left="2880" w:hanging="360"/>
      </w:pPr>
    </w:lvl>
    <w:lvl w:ilvl="4" w:tplc="74C88350">
      <w:start w:val="1"/>
      <w:numFmt w:val="lowerLetter"/>
      <w:lvlText w:val="%5."/>
      <w:lvlJc w:val="left"/>
      <w:pPr>
        <w:ind w:left="3600" w:hanging="360"/>
      </w:pPr>
    </w:lvl>
    <w:lvl w:ilvl="5" w:tplc="218C814A">
      <w:start w:val="1"/>
      <w:numFmt w:val="lowerRoman"/>
      <w:lvlText w:val="%6."/>
      <w:lvlJc w:val="right"/>
      <w:pPr>
        <w:ind w:left="4320" w:hanging="180"/>
      </w:pPr>
    </w:lvl>
    <w:lvl w:ilvl="6" w:tplc="5874AB32">
      <w:start w:val="1"/>
      <w:numFmt w:val="decimal"/>
      <w:lvlText w:val="%7."/>
      <w:lvlJc w:val="left"/>
      <w:pPr>
        <w:ind w:left="5040" w:hanging="360"/>
      </w:pPr>
    </w:lvl>
    <w:lvl w:ilvl="7" w:tplc="52B697B0">
      <w:start w:val="1"/>
      <w:numFmt w:val="lowerLetter"/>
      <w:lvlText w:val="%8."/>
      <w:lvlJc w:val="left"/>
      <w:pPr>
        <w:ind w:left="5760" w:hanging="360"/>
      </w:pPr>
    </w:lvl>
    <w:lvl w:ilvl="8" w:tplc="D06EB808">
      <w:start w:val="1"/>
      <w:numFmt w:val="lowerRoman"/>
      <w:lvlText w:val="%9."/>
      <w:lvlJc w:val="right"/>
      <w:pPr>
        <w:ind w:left="6480" w:hanging="180"/>
      </w:pPr>
    </w:lvl>
  </w:abstractNum>
  <w:abstractNum w:abstractNumId="22" w15:restartNumberingAfterBreak="0">
    <w:nsid w:val="26890975"/>
    <w:multiLevelType w:val="hybridMultilevel"/>
    <w:tmpl w:val="E1A8810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E12A73"/>
    <w:multiLevelType w:val="hybridMultilevel"/>
    <w:tmpl w:val="57F0FDC4"/>
    <w:lvl w:ilvl="0" w:tplc="FFFFFFFF">
      <w:start w:val="1"/>
      <w:numFmt w:val="lowerLetter"/>
      <w:lvlText w:val="%1."/>
      <w:lvlJc w:val="left"/>
      <w:pPr>
        <w:ind w:left="144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115639"/>
    <w:multiLevelType w:val="hybridMultilevel"/>
    <w:tmpl w:val="50DA48DE"/>
    <w:lvl w:ilvl="0" w:tplc="FFFFFFFF">
      <w:start w:val="1"/>
      <w:numFmt w:val="lowerLetter"/>
      <w:lvlText w:val="%1."/>
      <w:lvlJc w:val="left"/>
      <w:pPr>
        <w:ind w:left="144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9042AC6"/>
    <w:multiLevelType w:val="hybridMultilevel"/>
    <w:tmpl w:val="43A81AA8"/>
    <w:lvl w:ilvl="0" w:tplc="FFFFFFFF">
      <w:start w:val="1"/>
      <w:numFmt w:val="lowerRoman"/>
      <w:lvlText w:val="%1."/>
      <w:lvlJc w:val="right"/>
      <w:pPr>
        <w:ind w:left="2160" w:hanging="18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96D6F75"/>
    <w:multiLevelType w:val="hybridMultilevel"/>
    <w:tmpl w:val="43A81AA8"/>
    <w:lvl w:ilvl="0" w:tplc="FFFFFFFF">
      <w:start w:val="1"/>
      <w:numFmt w:val="lowerRoman"/>
      <w:lvlText w:val="%1."/>
      <w:lvlJc w:val="right"/>
      <w:pPr>
        <w:ind w:left="2160" w:hanging="18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B5E6D2D"/>
    <w:multiLevelType w:val="hybridMultilevel"/>
    <w:tmpl w:val="50DA48DE"/>
    <w:lvl w:ilvl="0" w:tplc="FFFFFFFF">
      <w:start w:val="1"/>
      <w:numFmt w:val="lowerLetter"/>
      <w:lvlText w:val="%1."/>
      <w:lvlJc w:val="left"/>
      <w:pPr>
        <w:ind w:left="144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FF17DCA"/>
    <w:multiLevelType w:val="hybridMultilevel"/>
    <w:tmpl w:val="29B8CA08"/>
    <w:lvl w:ilvl="0" w:tplc="FFFFFFFF">
      <w:start w:val="1"/>
      <w:numFmt w:val="lowerLetter"/>
      <w:lvlText w:val="%1."/>
      <w:lvlJc w:val="left"/>
      <w:pPr>
        <w:ind w:left="144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32883F89"/>
    <w:multiLevelType w:val="hybridMultilevel"/>
    <w:tmpl w:val="50DA48DE"/>
    <w:lvl w:ilvl="0" w:tplc="FFFFFFFF">
      <w:start w:val="1"/>
      <w:numFmt w:val="lowerLetter"/>
      <w:lvlText w:val="%1."/>
      <w:lvlJc w:val="left"/>
      <w:pPr>
        <w:ind w:left="144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4DB64DC"/>
    <w:multiLevelType w:val="hybridMultilevel"/>
    <w:tmpl w:val="12849274"/>
    <w:lvl w:ilvl="0" w:tplc="D1F08AAE">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5B63DE2"/>
    <w:multiLevelType w:val="hybridMultilevel"/>
    <w:tmpl w:val="58D076FE"/>
    <w:lvl w:ilvl="0" w:tplc="FFFFFFFF">
      <w:start w:val="1"/>
      <w:numFmt w:val="lowerLetter"/>
      <w:lvlText w:val="%1."/>
      <w:lvlJc w:val="left"/>
      <w:pPr>
        <w:ind w:left="144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7B527396">
      <w:start w:val="1"/>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5B81846"/>
    <w:multiLevelType w:val="hybridMultilevel"/>
    <w:tmpl w:val="C4F46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5B940DB"/>
    <w:multiLevelType w:val="hybridMultilevel"/>
    <w:tmpl w:val="F3A6B988"/>
    <w:lvl w:ilvl="0" w:tplc="29FAC78A">
      <w:start w:val="1"/>
      <w:numFmt w:val="lowerRoman"/>
      <w:lvlText w:val="%1."/>
      <w:lvlJc w:val="right"/>
      <w:pPr>
        <w:ind w:left="2160" w:hanging="180"/>
      </w:pPr>
      <w:rPr>
        <w:b w:val="0"/>
        <w:bCs w:val="0"/>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72242B0"/>
    <w:multiLevelType w:val="hybridMultilevel"/>
    <w:tmpl w:val="50DA48DE"/>
    <w:lvl w:ilvl="0" w:tplc="FFFFFFFF">
      <w:start w:val="1"/>
      <w:numFmt w:val="lowerLetter"/>
      <w:lvlText w:val="%1."/>
      <w:lvlJc w:val="left"/>
      <w:pPr>
        <w:ind w:left="144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90E08C9"/>
    <w:multiLevelType w:val="hybridMultilevel"/>
    <w:tmpl w:val="22A0BEBE"/>
    <w:lvl w:ilvl="0" w:tplc="FFFFFFFF">
      <w:start w:val="1"/>
      <w:numFmt w:val="lowerLetter"/>
      <w:lvlText w:val="%1."/>
      <w:lvlJc w:val="left"/>
      <w:pPr>
        <w:ind w:left="1440" w:hanging="360"/>
      </w:pPr>
      <w:rPr>
        <w:b w:val="0"/>
        <w:bCs w:val="0"/>
      </w:rPr>
    </w:lvl>
    <w:lvl w:ilvl="1" w:tplc="172C4722">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AF85ACF"/>
    <w:multiLevelType w:val="hybridMultilevel"/>
    <w:tmpl w:val="F386E0DC"/>
    <w:lvl w:ilvl="0" w:tplc="05F60C0A">
      <w:start w:val="6"/>
      <w:numFmt w:val="lowerRoman"/>
      <w:lvlText w:val="%1."/>
      <w:lvlJc w:val="right"/>
      <w:pPr>
        <w:ind w:left="2160" w:hanging="180"/>
      </w:pPr>
    </w:lvl>
    <w:lvl w:ilvl="1" w:tplc="245E88B4">
      <w:start w:val="1"/>
      <w:numFmt w:val="lowerLetter"/>
      <w:lvlText w:val="%2."/>
      <w:lvlJc w:val="left"/>
      <w:pPr>
        <w:ind w:left="1440" w:hanging="360"/>
      </w:pPr>
    </w:lvl>
    <w:lvl w:ilvl="2" w:tplc="0456B1E0">
      <w:start w:val="1"/>
      <w:numFmt w:val="lowerRoman"/>
      <w:lvlText w:val="%3."/>
      <w:lvlJc w:val="right"/>
      <w:pPr>
        <w:ind w:left="2160" w:hanging="180"/>
      </w:pPr>
    </w:lvl>
    <w:lvl w:ilvl="3" w:tplc="6D96A7E2">
      <w:start w:val="1"/>
      <w:numFmt w:val="decimal"/>
      <w:lvlText w:val="%4."/>
      <w:lvlJc w:val="left"/>
      <w:pPr>
        <w:ind w:left="2880" w:hanging="360"/>
      </w:pPr>
    </w:lvl>
    <w:lvl w:ilvl="4" w:tplc="28FE16EA">
      <w:start w:val="1"/>
      <w:numFmt w:val="lowerLetter"/>
      <w:lvlText w:val="%5."/>
      <w:lvlJc w:val="left"/>
      <w:pPr>
        <w:ind w:left="3600" w:hanging="360"/>
      </w:pPr>
    </w:lvl>
    <w:lvl w:ilvl="5" w:tplc="773CC4B8">
      <w:start w:val="1"/>
      <w:numFmt w:val="lowerRoman"/>
      <w:lvlText w:val="%6."/>
      <w:lvlJc w:val="right"/>
      <w:pPr>
        <w:ind w:left="4320" w:hanging="180"/>
      </w:pPr>
    </w:lvl>
    <w:lvl w:ilvl="6" w:tplc="3BF4536C">
      <w:start w:val="1"/>
      <w:numFmt w:val="decimal"/>
      <w:lvlText w:val="%7."/>
      <w:lvlJc w:val="left"/>
      <w:pPr>
        <w:ind w:left="5040" w:hanging="360"/>
      </w:pPr>
    </w:lvl>
    <w:lvl w:ilvl="7" w:tplc="BF92E5D8">
      <w:start w:val="1"/>
      <w:numFmt w:val="lowerLetter"/>
      <w:lvlText w:val="%8."/>
      <w:lvlJc w:val="left"/>
      <w:pPr>
        <w:ind w:left="5760" w:hanging="360"/>
      </w:pPr>
    </w:lvl>
    <w:lvl w:ilvl="8" w:tplc="4AE0E648">
      <w:start w:val="1"/>
      <w:numFmt w:val="lowerRoman"/>
      <w:lvlText w:val="%9."/>
      <w:lvlJc w:val="right"/>
      <w:pPr>
        <w:ind w:left="6480" w:hanging="180"/>
      </w:pPr>
    </w:lvl>
  </w:abstractNum>
  <w:abstractNum w:abstractNumId="37" w15:restartNumberingAfterBreak="0">
    <w:nsid w:val="3BA7240C"/>
    <w:multiLevelType w:val="hybridMultilevel"/>
    <w:tmpl w:val="FFFFFFFF"/>
    <w:lvl w:ilvl="0" w:tplc="390E3496">
      <w:start w:val="1"/>
      <w:numFmt w:val="decimal"/>
      <w:lvlText w:val="%1."/>
      <w:lvlJc w:val="left"/>
      <w:pPr>
        <w:ind w:left="720" w:hanging="360"/>
      </w:pPr>
    </w:lvl>
    <w:lvl w:ilvl="1" w:tplc="C1F09AFA">
      <w:start w:val="1"/>
      <w:numFmt w:val="lowerLetter"/>
      <w:lvlText w:val="%2."/>
      <w:lvlJc w:val="left"/>
      <w:pPr>
        <w:ind w:left="1440" w:hanging="360"/>
      </w:pPr>
    </w:lvl>
    <w:lvl w:ilvl="2" w:tplc="D8245F96">
      <w:start w:val="1"/>
      <w:numFmt w:val="lowerRoman"/>
      <w:lvlText w:val="%3."/>
      <w:lvlJc w:val="right"/>
      <w:pPr>
        <w:ind w:left="2160" w:hanging="180"/>
      </w:pPr>
    </w:lvl>
    <w:lvl w:ilvl="3" w:tplc="86642E66">
      <w:start w:val="1"/>
      <w:numFmt w:val="decimal"/>
      <w:lvlText w:val="%4."/>
      <w:lvlJc w:val="left"/>
      <w:pPr>
        <w:ind w:left="2880" w:hanging="360"/>
      </w:pPr>
    </w:lvl>
    <w:lvl w:ilvl="4" w:tplc="6F80DD58">
      <w:start w:val="1"/>
      <w:numFmt w:val="lowerLetter"/>
      <w:lvlText w:val="%5."/>
      <w:lvlJc w:val="left"/>
      <w:pPr>
        <w:ind w:left="3600" w:hanging="360"/>
      </w:pPr>
    </w:lvl>
    <w:lvl w:ilvl="5" w:tplc="37AE74BE">
      <w:start w:val="1"/>
      <w:numFmt w:val="lowerRoman"/>
      <w:lvlText w:val="%6."/>
      <w:lvlJc w:val="right"/>
      <w:pPr>
        <w:ind w:left="4320" w:hanging="180"/>
      </w:pPr>
    </w:lvl>
    <w:lvl w:ilvl="6" w:tplc="34842D02">
      <w:start w:val="1"/>
      <w:numFmt w:val="decimal"/>
      <w:lvlText w:val="%7."/>
      <w:lvlJc w:val="left"/>
      <w:pPr>
        <w:ind w:left="5040" w:hanging="360"/>
      </w:pPr>
    </w:lvl>
    <w:lvl w:ilvl="7" w:tplc="F2624EC4">
      <w:start w:val="1"/>
      <w:numFmt w:val="lowerLetter"/>
      <w:lvlText w:val="%8."/>
      <w:lvlJc w:val="left"/>
      <w:pPr>
        <w:ind w:left="5760" w:hanging="360"/>
      </w:pPr>
    </w:lvl>
    <w:lvl w:ilvl="8" w:tplc="45E830C2">
      <w:start w:val="1"/>
      <w:numFmt w:val="lowerRoman"/>
      <w:lvlText w:val="%9."/>
      <w:lvlJc w:val="right"/>
      <w:pPr>
        <w:ind w:left="6480" w:hanging="180"/>
      </w:pPr>
    </w:lvl>
  </w:abstractNum>
  <w:abstractNum w:abstractNumId="38" w15:restartNumberingAfterBreak="0">
    <w:nsid w:val="3E9A66BD"/>
    <w:multiLevelType w:val="hybridMultilevel"/>
    <w:tmpl w:val="4FEEB696"/>
    <w:lvl w:ilvl="0" w:tplc="1E46C45C">
      <w:start w:val="1"/>
      <w:numFmt w:val="lowerRoman"/>
      <w:lvlText w:val="%1."/>
      <w:lvlJc w:val="right"/>
      <w:pPr>
        <w:ind w:left="2160" w:hanging="180"/>
      </w:pPr>
      <w:rPr>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0CF0C70"/>
    <w:multiLevelType w:val="hybridMultilevel"/>
    <w:tmpl w:val="7C203C6A"/>
    <w:lvl w:ilvl="0" w:tplc="FFFFFFFF">
      <w:start w:val="1"/>
      <w:numFmt w:val="lowerLetter"/>
      <w:lvlText w:val="%1."/>
      <w:lvlJc w:val="left"/>
      <w:pPr>
        <w:ind w:left="144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8C273D4">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1466C42"/>
    <w:multiLevelType w:val="hybridMultilevel"/>
    <w:tmpl w:val="60F40188"/>
    <w:lvl w:ilvl="0" w:tplc="FFFFFFFF">
      <w:start w:val="1"/>
      <w:numFmt w:val="decimal"/>
      <w:lvlText w:val="%1."/>
      <w:lvlJc w:val="right"/>
      <w:pPr>
        <w:ind w:left="1260" w:hanging="180"/>
      </w:pPr>
      <w:rPr>
        <w:rFonts w:ascii="Arial" w:eastAsiaTheme="minorHAnsi" w:hAnsi="Arial" w:cs="Arial"/>
      </w:rPr>
    </w:lvl>
    <w:lvl w:ilvl="1" w:tplc="FFFFFFFF" w:tentative="1">
      <w:start w:val="1"/>
      <w:numFmt w:val="lowerLetter"/>
      <w:lvlText w:val="%2."/>
      <w:lvlJc w:val="left"/>
      <w:pPr>
        <w:ind w:left="540" w:hanging="360"/>
      </w:pPr>
    </w:lvl>
    <w:lvl w:ilvl="2" w:tplc="FFFFFFFF" w:tentative="1">
      <w:start w:val="1"/>
      <w:numFmt w:val="lowerRoman"/>
      <w:lvlText w:val="%3."/>
      <w:lvlJc w:val="right"/>
      <w:pPr>
        <w:ind w:left="1260" w:hanging="180"/>
      </w:pPr>
    </w:lvl>
    <w:lvl w:ilvl="3" w:tplc="FFFFFFFF" w:tentative="1">
      <w:start w:val="1"/>
      <w:numFmt w:val="decimal"/>
      <w:lvlText w:val="%4."/>
      <w:lvlJc w:val="left"/>
      <w:pPr>
        <w:ind w:left="1980" w:hanging="360"/>
      </w:pPr>
    </w:lvl>
    <w:lvl w:ilvl="4" w:tplc="FFFFFFFF" w:tentative="1">
      <w:start w:val="1"/>
      <w:numFmt w:val="lowerLetter"/>
      <w:lvlText w:val="%5."/>
      <w:lvlJc w:val="left"/>
      <w:pPr>
        <w:ind w:left="2700" w:hanging="360"/>
      </w:pPr>
    </w:lvl>
    <w:lvl w:ilvl="5" w:tplc="FFFFFFFF" w:tentative="1">
      <w:start w:val="1"/>
      <w:numFmt w:val="lowerRoman"/>
      <w:lvlText w:val="%6."/>
      <w:lvlJc w:val="right"/>
      <w:pPr>
        <w:ind w:left="3420" w:hanging="180"/>
      </w:pPr>
    </w:lvl>
    <w:lvl w:ilvl="6" w:tplc="FFFFFFFF" w:tentative="1">
      <w:start w:val="1"/>
      <w:numFmt w:val="decimal"/>
      <w:lvlText w:val="%7."/>
      <w:lvlJc w:val="left"/>
      <w:pPr>
        <w:ind w:left="4140" w:hanging="360"/>
      </w:pPr>
    </w:lvl>
    <w:lvl w:ilvl="7" w:tplc="FFFFFFFF" w:tentative="1">
      <w:start w:val="1"/>
      <w:numFmt w:val="lowerLetter"/>
      <w:lvlText w:val="%8."/>
      <w:lvlJc w:val="left"/>
      <w:pPr>
        <w:ind w:left="4860" w:hanging="360"/>
      </w:pPr>
    </w:lvl>
    <w:lvl w:ilvl="8" w:tplc="FFFFFFFF" w:tentative="1">
      <w:start w:val="1"/>
      <w:numFmt w:val="lowerRoman"/>
      <w:lvlText w:val="%9."/>
      <w:lvlJc w:val="right"/>
      <w:pPr>
        <w:ind w:left="5580" w:hanging="180"/>
      </w:pPr>
    </w:lvl>
  </w:abstractNum>
  <w:abstractNum w:abstractNumId="41" w15:restartNumberingAfterBreak="0">
    <w:nsid w:val="43555424"/>
    <w:multiLevelType w:val="multilevel"/>
    <w:tmpl w:val="6070FF3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42" w15:restartNumberingAfterBreak="0">
    <w:nsid w:val="47275840"/>
    <w:multiLevelType w:val="hybridMultilevel"/>
    <w:tmpl w:val="96B88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85E75D4"/>
    <w:multiLevelType w:val="hybridMultilevel"/>
    <w:tmpl w:val="270A38D2"/>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CECD4AE"/>
    <w:multiLevelType w:val="hybridMultilevel"/>
    <w:tmpl w:val="CCA696B2"/>
    <w:lvl w:ilvl="0" w:tplc="D1F08AAE">
      <w:start w:val="1"/>
      <w:numFmt w:val="lowerLetter"/>
      <w:lvlText w:val="%1."/>
      <w:lvlJc w:val="left"/>
      <w:pPr>
        <w:ind w:left="720" w:hanging="360"/>
      </w:pPr>
    </w:lvl>
    <w:lvl w:ilvl="1" w:tplc="B386CA34">
      <w:start w:val="1"/>
      <w:numFmt w:val="lowerLetter"/>
      <w:lvlText w:val="%2."/>
      <w:lvlJc w:val="left"/>
      <w:pPr>
        <w:ind w:left="1440" w:hanging="360"/>
      </w:pPr>
    </w:lvl>
    <w:lvl w:ilvl="2" w:tplc="A85A0C2C">
      <w:start w:val="1"/>
      <w:numFmt w:val="lowerRoman"/>
      <w:lvlText w:val="%3."/>
      <w:lvlJc w:val="right"/>
      <w:pPr>
        <w:ind w:left="2160" w:hanging="180"/>
      </w:pPr>
    </w:lvl>
    <w:lvl w:ilvl="3" w:tplc="520ACC34">
      <w:start w:val="1"/>
      <w:numFmt w:val="decimal"/>
      <w:lvlText w:val="%4."/>
      <w:lvlJc w:val="left"/>
      <w:pPr>
        <w:ind w:left="2880" w:hanging="360"/>
      </w:pPr>
    </w:lvl>
    <w:lvl w:ilvl="4" w:tplc="6BD2CA8E">
      <w:start w:val="1"/>
      <w:numFmt w:val="lowerLetter"/>
      <w:lvlText w:val="%5."/>
      <w:lvlJc w:val="left"/>
      <w:pPr>
        <w:ind w:left="3600" w:hanging="360"/>
      </w:pPr>
    </w:lvl>
    <w:lvl w:ilvl="5" w:tplc="5810D42A">
      <w:start w:val="1"/>
      <w:numFmt w:val="lowerRoman"/>
      <w:lvlText w:val="%6."/>
      <w:lvlJc w:val="right"/>
      <w:pPr>
        <w:ind w:left="4320" w:hanging="180"/>
      </w:pPr>
    </w:lvl>
    <w:lvl w:ilvl="6" w:tplc="F1444830">
      <w:start w:val="1"/>
      <w:numFmt w:val="decimal"/>
      <w:lvlText w:val="%7."/>
      <w:lvlJc w:val="left"/>
      <w:pPr>
        <w:ind w:left="5040" w:hanging="360"/>
      </w:pPr>
    </w:lvl>
    <w:lvl w:ilvl="7" w:tplc="ADA28C7A">
      <w:start w:val="1"/>
      <w:numFmt w:val="lowerLetter"/>
      <w:lvlText w:val="%8."/>
      <w:lvlJc w:val="left"/>
      <w:pPr>
        <w:ind w:left="5760" w:hanging="360"/>
      </w:pPr>
    </w:lvl>
    <w:lvl w:ilvl="8" w:tplc="88A0F65C">
      <w:start w:val="1"/>
      <w:numFmt w:val="lowerRoman"/>
      <w:lvlText w:val="%9."/>
      <w:lvlJc w:val="right"/>
      <w:pPr>
        <w:ind w:left="6480" w:hanging="180"/>
      </w:pPr>
    </w:lvl>
  </w:abstractNum>
  <w:abstractNum w:abstractNumId="45" w15:restartNumberingAfterBreak="0">
    <w:nsid w:val="4D1146F9"/>
    <w:multiLevelType w:val="hybridMultilevel"/>
    <w:tmpl w:val="22A0BEBE"/>
    <w:lvl w:ilvl="0" w:tplc="FFFFFFFF">
      <w:start w:val="1"/>
      <w:numFmt w:val="lowerLetter"/>
      <w:lvlText w:val="%1."/>
      <w:lvlJc w:val="left"/>
      <w:pPr>
        <w:ind w:left="1440" w:hanging="360"/>
      </w:pPr>
      <w:rPr>
        <w:b w:val="0"/>
        <w:bCs w:val="0"/>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D22E566"/>
    <w:multiLevelType w:val="hybridMultilevel"/>
    <w:tmpl w:val="BB94BC62"/>
    <w:lvl w:ilvl="0" w:tplc="7A382AE0">
      <w:start w:val="1"/>
      <w:numFmt w:val="bullet"/>
      <w:lvlText w:val=""/>
      <w:lvlJc w:val="left"/>
      <w:pPr>
        <w:ind w:left="720" w:hanging="360"/>
      </w:pPr>
      <w:rPr>
        <w:rFonts w:ascii="Symbol" w:hAnsi="Symbol" w:hint="default"/>
      </w:rPr>
    </w:lvl>
    <w:lvl w:ilvl="1" w:tplc="448AD048">
      <w:start w:val="1"/>
      <w:numFmt w:val="bullet"/>
      <w:lvlText w:val="o"/>
      <w:lvlJc w:val="left"/>
      <w:pPr>
        <w:ind w:left="1440" w:hanging="360"/>
      </w:pPr>
      <w:rPr>
        <w:rFonts w:ascii="Courier New" w:hAnsi="Courier New" w:hint="default"/>
      </w:rPr>
    </w:lvl>
    <w:lvl w:ilvl="2" w:tplc="CFBABD40">
      <w:numFmt w:val="bullet"/>
      <w:lvlText w:val="•"/>
      <w:lvlJc w:val="left"/>
      <w:pPr>
        <w:ind w:left="2160" w:hanging="360"/>
      </w:pPr>
      <w:rPr>
        <w:rFonts w:ascii="Arial" w:hAnsi="Arial" w:hint="default"/>
      </w:rPr>
    </w:lvl>
    <w:lvl w:ilvl="3" w:tplc="B038F49C">
      <w:start w:val="1"/>
      <w:numFmt w:val="bullet"/>
      <w:lvlText w:val=""/>
      <w:lvlJc w:val="left"/>
      <w:pPr>
        <w:ind w:left="2880" w:hanging="360"/>
      </w:pPr>
      <w:rPr>
        <w:rFonts w:ascii="Symbol" w:hAnsi="Symbol" w:hint="default"/>
      </w:rPr>
    </w:lvl>
    <w:lvl w:ilvl="4" w:tplc="9CC24002">
      <w:start w:val="1"/>
      <w:numFmt w:val="bullet"/>
      <w:lvlText w:val="o"/>
      <w:lvlJc w:val="left"/>
      <w:pPr>
        <w:ind w:left="3600" w:hanging="360"/>
      </w:pPr>
      <w:rPr>
        <w:rFonts w:ascii="Courier New" w:hAnsi="Courier New" w:hint="default"/>
      </w:rPr>
    </w:lvl>
    <w:lvl w:ilvl="5" w:tplc="FB0EF9F0">
      <w:start w:val="1"/>
      <w:numFmt w:val="bullet"/>
      <w:lvlText w:val=""/>
      <w:lvlJc w:val="left"/>
      <w:pPr>
        <w:ind w:left="4320" w:hanging="360"/>
      </w:pPr>
      <w:rPr>
        <w:rFonts w:ascii="Wingdings" w:hAnsi="Wingdings" w:hint="default"/>
      </w:rPr>
    </w:lvl>
    <w:lvl w:ilvl="6" w:tplc="FF8C33D0">
      <w:start w:val="1"/>
      <w:numFmt w:val="bullet"/>
      <w:lvlText w:val=""/>
      <w:lvlJc w:val="left"/>
      <w:pPr>
        <w:ind w:left="5040" w:hanging="360"/>
      </w:pPr>
      <w:rPr>
        <w:rFonts w:ascii="Symbol" w:hAnsi="Symbol" w:hint="default"/>
      </w:rPr>
    </w:lvl>
    <w:lvl w:ilvl="7" w:tplc="FBE64B6C">
      <w:start w:val="1"/>
      <w:numFmt w:val="bullet"/>
      <w:lvlText w:val="o"/>
      <w:lvlJc w:val="left"/>
      <w:pPr>
        <w:ind w:left="5760" w:hanging="360"/>
      </w:pPr>
      <w:rPr>
        <w:rFonts w:ascii="Courier New" w:hAnsi="Courier New" w:hint="default"/>
      </w:rPr>
    </w:lvl>
    <w:lvl w:ilvl="8" w:tplc="DB9CB26A">
      <w:start w:val="1"/>
      <w:numFmt w:val="bullet"/>
      <w:lvlText w:val=""/>
      <w:lvlJc w:val="left"/>
      <w:pPr>
        <w:ind w:left="6480" w:hanging="360"/>
      </w:pPr>
      <w:rPr>
        <w:rFonts w:ascii="Wingdings" w:hAnsi="Wingdings" w:hint="default"/>
      </w:rPr>
    </w:lvl>
  </w:abstractNum>
  <w:abstractNum w:abstractNumId="47" w15:restartNumberingAfterBreak="0">
    <w:nsid w:val="4DFC028B"/>
    <w:multiLevelType w:val="hybridMultilevel"/>
    <w:tmpl w:val="50DA48DE"/>
    <w:lvl w:ilvl="0" w:tplc="FFFFFFFF">
      <w:start w:val="1"/>
      <w:numFmt w:val="lowerLetter"/>
      <w:lvlText w:val="%1."/>
      <w:lvlJc w:val="left"/>
      <w:pPr>
        <w:ind w:left="144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1585AA6"/>
    <w:multiLevelType w:val="hybridMultilevel"/>
    <w:tmpl w:val="43A81AA8"/>
    <w:lvl w:ilvl="0" w:tplc="FFFFFFFF">
      <w:start w:val="1"/>
      <w:numFmt w:val="lowerRoman"/>
      <w:lvlText w:val="%1."/>
      <w:lvlJc w:val="right"/>
      <w:pPr>
        <w:ind w:left="2160" w:hanging="18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59756EA"/>
    <w:multiLevelType w:val="hybridMultilevel"/>
    <w:tmpl w:val="2CE0E6D0"/>
    <w:lvl w:ilvl="0" w:tplc="D1F08AAE">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6350A7B"/>
    <w:multiLevelType w:val="hybridMultilevel"/>
    <w:tmpl w:val="50DA48DE"/>
    <w:lvl w:ilvl="0" w:tplc="FFFFFFFF">
      <w:start w:val="1"/>
      <w:numFmt w:val="lowerLetter"/>
      <w:lvlText w:val="%1."/>
      <w:lvlJc w:val="left"/>
      <w:pPr>
        <w:ind w:left="144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8480500"/>
    <w:multiLevelType w:val="hybridMultilevel"/>
    <w:tmpl w:val="1BD05080"/>
    <w:lvl w:ilvl="0" w:tplc="FFFFFFFF">
      <w:start w:val="1"/>
      <w:numFmt w:val="lowerRoman"/>
      <w:lvlText w:val="%1."/>
      <w:lvlJc w:val="left"/>
      <w:pPr>
        <w:tabs>
          <w:tab w:val="num" w:pos="720"/>
        </w:tabs>
        <w:ind w:left="720" w:hanging="360"/>
      </w:pPr>
    </w:lvl>
    <w:lvl w:ilvl="1" w:tplc="FFFFFFFF">
      <w:start w:val="1"/>
      <w:numFmt w:val="decimal"/>
      <w:lvlText w:val="%2."/>
      <w:lvlJc w:val="left"/>
      <w:pPr>
        <w:ind w:left="1440" w:hanging="360"/>
      </w:pPr>
      <w:rPr>
        <w:rFonts w:ascii="Arial" w:hAnsi="Arial" w:cs="Arial" w:hint="default"/>
        <w:b w:val="0"/>
        <w:bCs w:val="0"/>
        <w:color w:val="auto"/>
      </w:rPr>
    </w:lvl>
    <w:lvl w:ilvl="2" w:tplc="FFFFFFFF">
      <w:start w:val="1"/>
      <w:numFmt w:val="lowerLetter"/>
      <w:lvlText w:val="%3."/>
      <w:lvlJc w:val="left"/>
      <w:pPr>
        <w:tabs>
          <w:tab w:val="num" w:pos="2160"/>
        </w:tabs>
        <w:ind w:left="2160" w:hanging="360"/>
      </w:pPr>
    </w:lvl>
    <w:lvl w:ilvl="3" w:tplc="FFFFFFFF">
      <w:start w:val="1"/>
      <w:numFmt w:val="lowerLetter"/>
      <w:lvlText w:val="%4."/>
      <w:lvlJc w:val="left"/>
      <w:pPr>
        <w:tabs>
          <w:tab w:val="num" w:pos="2880"/>
        </w:tabs>
        <w:ind w:left="2880" w:hanging="360"/>
      </w:pPr>
    </w:lvl>
    <w:lvl w:ilvl="4" w:tplc="C408D814">
      <w:start w:val="1"/>
      <w:numFmt w:val="upperLetter"/>
      <w:lvlText w:val="%5."/>
      <w:lvlJc w:val="left"/>
      <w:pPr>
        <w:ind w:left="3600" w:hanging="360"/>
      </w:pPr>
      <w:rPr>
        <w:rFonts w:hint="default"/>
      </w:r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52" w15:restartNumberingAfterBreak="0">
    <w:nsid w:val="59460CEC"/>
    <w:multiLevelType w:val="hybridMultilevel"/>
    <w:tmpl w:val="D8AA7F7A"/>
    <w:lvl w:ilvl="0" w:tplc="FFFFFFFF">
      <w:start w:val="1"/>
      <w:numFmt w:val="lowerLetter"/>
      <w:lvlText w:val="%1."/>
      <w:lvlJc w:val="left"/>
      <w:pPr>
        <w:ind w:left="144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B413762"/>
    <w:multiLevelType w:val="hybridMultilevel"/>
    <w:tmpl w:val="0B6A57E8"/>
    <w:lvl w:ilvl="0" w:tplc="D1B6C472">
      <w:start w:val="1"/>
      <w:numFmt w:val="lowerLetter"/>
      <w:lvlText w:val="%1."/>
      <w:lvlJc w:val="left"/>
      <w:pPr>
        <w:ind w:left="720" w:hanging="360"/>
      </w:pPr>
    </w:lvl>
    <w:lvl w:ilvl="1" w:tplc="ECD083D4">
      <w:start w:val="1"/>
      <w:numFmt w:val="lowerLetter"/>
      <w:lvlText w:val="%2."/>
      <w:lvlJc w:val="left"/>
      <w:pPr>
        <w:ind w:left="1440" w:hanging="360"/>
      </w:pPr>
    </w:lvl>
    <w:lvl w:ilvl="2" w:tplc="FCC00DF8">
      <w:start w:val="1"/>
      <w:numFmt w:val="lowerRoman"/>
      <w:lvlText w:val="%3."/>
      <w:lvlJc w:val="right"/>
      <w:pPr>
        <w:ind w:left="2160" w:hanging="180"/>
      </w:pPr>
    </w:lvl>
    <w:lvl w:ilvl="3" w:tplc="64D0F8D8">
      <w:start w:val="1"/>
      <w:numFmt w:val="decimal"/>
      <w:lvlText w:val="%4."/>
      <w:lvlJc w:val="left"/>
      <w:pPr>
        <w:ind w:left="2880" w:hanging="360"/>
      </w:pPr>
    </w:lvl>
    <w:lvl w:ilvl="4" w:tplc="08168496">
      <w:start w:val="1"/>
      <w:numFmt w:val="lowerLetter"/>
      <w:lvlText w:val="%5."/>
      <w:lvlJc w:val="left"/>
      <w:pPr>
        <w:ind w:left="3600" w:hanging="360"/>
      </w:pPr>
    </w:lvl>
    <w:lvl w:ilvl="5" w:tplc="1472B59A">
      <w:start w:val="1"/>
      <w:numFmt w:val="lowerRoman"/>
      <w:lvlText w:val="%6."/>
      <w:lvlJc w:val="right"/>
      <w:pPr>
        <w:ind w:left="4320" w:hanging="180"/>
      </w:pPr>
    </w:lvl>
    <w:lvl w:ilvl="6" w:tplc="826CD50C">
      <w:start w:val="1"/>
      <w:numFmt w:val="decimal"/>
      <w:lvlText w:val="%7."/>
      <w:lvlJc w:val="left"/>
      <w:pPr>
        <w:ind w:left="5040" w:hanging="360"/>
      </w:pPr>
    </w:lvl>
    <w:lvl w:ilvl="7" w:tplc="EF2AA140">
      <w:start w:val="1"/>
      <w:numFmt w:val="lowerLetter"/>
      <w:lvlText w:val="%8."/>
      <w:lvlJc w:val="left"/>
      <w:pPr>
        <w:ind w:left="5760" w:hanging="360"/>
      </w:pPr>
    </w:lvl>
    <w:lvl w:ilvl="8" w:tplc="97D2DFA6">
      <w:start w:val="1"/>
      <w:numFmt w:val="lowerRoman"/>
      <w:lvlText w:val="%9."/>
      <w:lvlJc w:val="right"/>
      <w:pPr>
        <w:ind w:left="6480" w:hanging="180"/>
      </w:pPr>
    </w:lvl>
  </w:abstractNum>
  <w:abstractNum w:abstractNumId="54" w15:restartNumberingAfterBreak="0">
    <w:nsid w:val="5E462586"/>
    <w:multiLevelType w:val="hybridMultilevel"/>
    <w:tmpl w:val="FFFFFFFF"/>
    <w:lvl w:ilvl="0" w:tplc="C844614A">
      <w:start w:val="1"/>
      <w:numFmt w:val="lowerLetter"/>
      <w:lvlText w:val="%1."/>
      <w:lvlJc w:val="left"/>
      <w:pPr>
        <w:ind w:left="720" w:hanging="360"/>
      </w:pPr>
    </w:lvl>
    <w:lvl w:ilvl="1" w:tplc="BE1A81F6">
      <w:start w:val="1"/>
      <w:numFmt w:val="lowerLetter"/>
      <w:lvlText w:val="%2."/>
      <w:lvlJc w:val="left"/>
      <w:pPr>
        <w:ind w:left="1440" w:hanging="360"/>
      </w:pPr>
    </w:lvl>
    <w:lvl w:ilvl="2" w:tplc="56705E38">
      <w:start w:val="1"/>
      <w:numFmt w:val="lowerRoman"/>
      <w:lvlText w:val="%3."/>
      <w:lvlJc w:val="right"/>
      <w:pPr>
        <w:ind w:left="2160" w:hanging="180"/>
      </w:pPr>
    </w:lvl>
    <w:lvl w:ilvl="3" w:tplc="07049D04">
      <w:start w:val="1"/>
      <w:numFmt w:val="decimal"/>
      <w:lvlText w:val="%4."/>
      <w:lvlJc w:val="left"/>
      <w:pPr>
        <w:ind w:left="2880" w:hanging="360"/>
      </w:pPr>
    </w:lvl>
    <w:lvl w:ilvl="4" w:tplc="0E6A53BE">
      <w:start w:val="1"/>
      <w:numFmt w:val="lowerLetter"/>
      <w:lvlText w:val="%5."/>
      <w:lvlJc w:val="left"/>
      <w:pPr>
        <w:ind w:left="3600" w:hanging="360"/>
      </w:pPr>
    </w:lvl>
    <w:lvl w:ilvl="5" w:tplc="240C6940">
      <w:start w:val="1"/>
      <w:numFmt w:val="lowerRoman"/>
      <w:lvlText w:val="%6."/>
      <w:lvlJc w:val="right"/>
      <w:pPr>
        <w:ind w:left="4320" w:hanging="180"/>
      </w:pPr>
    </w:lvl>
    <w:lvl w:ilvl="6" w:tplc="25FEED5C">
      <w:start w:val="1"/>
      <w:numFmt w:val="decimal"/>
      <w:lvlText w:val="%7."/>
      <w:lvlJc w:val="left"/>
      <w:pPr>
        <w:ind w:left="5040" w:hanging="360"/>
      </w:pPr>
    </w:lvl>
    <w:lvl w:ilvl="7" w:tplc="7DBC1E82">
      <w:start w:val="1"/>
      <w:numFmt w:val="lowerLetter"/>
      <w:lvlText w:val="%8."/>
      <w:lvlJc w:val="left"/>
      <w:pPr>
        <w:ind w:left="5760" w:hanging="360"/>
      </w:pPr>
    </w:lvl>
    <w:lvl w:ilvl="8" w:tplc="E20EF2C8">
      <w:start w:val="1"/>
      <w:numFmt w:val="lowerRoman"/>
      <w:lvlText w:val="%9."/>
      <w:lvlJc w:val="right"/>
      <w:pPr>
        <w:ind w:left="6480" w:hanging="180"/>
      </w:pPr>
    </w:lvl>
  </w:abstractNum>
  <w:abstractNum w:abstractNumId="55" w15:restartNumberingAfterBreak="0">
    <w:nsid w:val="61F70C5D"/>
    <w:multiLevelType w:val="hybridMultilevel"/>
    <w:tmpl w:val="50DA48DE"/>
    <w:lvl w:ilvl="0" w:tplc="FFFFFFFF">
      <w:start w:val="1"/>
      <w:numFmt w:val="lowerLetter"/>
      <w:lvlText w:val="%1."/>
      <w:lvlJc w:val="left"/>
      <w:pPr>
        <w:ind w:left="144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21926B0"/>
    <w:multiLevelType w:val="hybridMultilevel"/>
    <w:tmpl w:val="50DA48DE"/>
    <w:lvl w:ilvl="0" w:tplc="FFFFFFFF">
      <w:start w:val="1"/>
      <w:numFmt w:val="lowerLetter"/>
      <w:lvlText w:val="%1."/>
      <w:lvlJc w:val="left"/>
      <w:pPr>
        <w:ind w:left="144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4892487"/>
    <w:multiLevelType w:val="hybridMultilevel"/>
    <w:tmpl w:val="28D280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7643675"/>
    <w:multiLevelType w:val="hybridMultilevel"/>
    <w:tmpl w:val="AF0021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7C77B32"/>
    <w:multiLevelType w:val="hybridMultilevel"/>
    <w:tmpl w:val="056422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9EA1101"/>
    <w:multiLevelType w:val="hybridMultilevel"/>
    <w:tmpl w:val="2236FEAE"/>
    <w:lvl w:ilvl="0" w:tplc="D1F08AAE">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F6A7B86"/>
    <w:multiLevelType w:val="hybridMultilevel"/>
    <w:tmpl w:val="70DAB4F4"/>
    <w:lvl w:ilvl="0" w:tplc="FFFFFFFF">
      <w:start w:val="1"/>
      <w:numFmt w:val="decimal"/>
      <w:lvlText w:val="%1."/>
      <w:lvlJc w:val="left"/>
      <w:pPr>
        <w:ind w:left="720" w:hanging="360"/>
      </w:pPr>
      <w:rPr>
        <w:rFonts w:ascii="Arial" w:hAnsi="Arial" w:cs="Arial" w:hint="default"/>
        <w:b w:val="0"/>
        <w:bCs w:val="0"/>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rPr>
        <w:b w:val="0"/>
        <w:bCs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6FF27898"/>
    <w:multiLevelType w:val="hybridMultilevel"/>
    <w:tmpl w:val="50DA48DE"/>
    <w:lvl w:ilvl="0" w:tplc="FFFFFFFF">
      <w:start w:val="1"/>
      <w:numFmt w:val="lowerLetter"/>
      <w:lvlText w:val="%1."/>
      <w:lvlJc w:val="left"/>
      <w:pPr>
        <w:ind w:left="144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770C58FD"/>
    <w:multiLevelType w:val="hybridMultilevel"/>
    <w:tmpl w:val="40A67FE4"/>
    <w:lvl w:ilvl="0" w:tplc="C408D814">
      <w:start w:val="1"/>
      <w:numFmt w:val="upp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AA8517C"/>
    <w:multiLevelType w:val="hybridMultilevel"/>
    <w:tmpl w:val="49CEE914"/>
    <w:lvl w:ilvl="0" w:tplc="FFFFFFFF">
      <w:start w:val="1"/>
      <w:numFmt w:val="lowerRoman"/>
      <w:lvlText w:val="%1."/>
      <w:lvlJc w:val="right"/>
      <w:pPr>
        <w:ind w:left="2160" w:hanging="18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EA7B75A"/>
    <w:multiLevelType w:val="hybridMultilevel"/>
    <w:tmpl w:val="79BA5B84"/>
    <w:lvl w:ilvl="0" w:tplc="46D0199E">
      <w:start w:val="7"/>
      <w:numFmt w:val="lowerRoman"/>
      <w:lvlText w:val="%1."/>
      <w:lvlJc w:val="right"/>
      <w:pPr>
        <w:ind w:left="2160" w:hanging="180"/>
      </w:pPr>
    </w:lvl>
    <w:lvl w:ilvl="1" w:tplc="21FE62A8">
      <w:start w:val="1"/>
      <w:numFmt w:val="lowerLetter"/>
      <w:lvlText w:val="%2."/>
      <w:lvlJc w:val="left"/>
      <w:pPr>
        <w:ind w:left="1440" w:hanging="360"/>
      </w:pPr>
    </w:lvl>
    <w:lvl w:ilvl="2" w:tplc="386E61CC">
      <w:start w:val="1"/>
      <w:numFmt w:val="lowerRoman"/>
      <w:lvlText w:val="%3."/>
      <w:lvlJc w:val="right"/>
      <w:pPr>
        <w:ind w:left="2160" w:hanging="180"/>
      </w:pPr>
    </w:lvl>
    <w:lvl w:ilvl="3" w:tplc="3BA81BD4">
      <w:start w:val="1"/>
      <w:numFmt w:val="decimal"/>
      <w:lvlText w:val="%4."/>
      <w:lvlJc w:val="left"/>
      <w:pPr>
        <w:ind w:left="2880" w:hanging="360"/>
      </w:pPr>
    </w:lvl>
    <w:lvl w:ilvl="4" w:tplc="F992FDCA">
      <w:start w:val="1"/>
      <w:numFmt w:val="lowerLetter"/>
      <w:lvlText w:val="%5."/>
      <w:lvlJc w:val="left"/>
      <w:pPr>
        <w:ind w:left="3600" w:hanging="360"/>
      </w:pPr>
    </w:lvl>
    <w:lvl w:ilvl="5" w:tplc="C346F7FE">
      <w:start w:val="1"/>
      <w:numFmt w:val="lowerRoman"/>
      <w:lvlText w:val="%6."/>
      <w:lvlJc w:val="right"/>
      <w:pPr>
        <w:ind w:left="4320" w:hanging="180"/>
      </w:pPr>
    </w:lvl>
    <w:lvl w:ilvl="6" w:tplc="599055C6">
      <w:start w:val="1"/>
      <w:numFmt w:val="decimal"/>
      <w:lvlText w:val="%7."/>
      <w:lvlJc w:val="left"/>
      <w:pPr>
        <w:ind w:left="5040" w:hanging="360"/>
      </w:pPr>
    </w:lvl>
    <w:lvl w:ilvl="7" w:tplc="0E3EDF28">
      <w:start w:val="1"/>
      <w:numFmt w:val="lowerLetter"/>
      <w:lvlText w:val="%8."/>
      <w:lvlJc w:val="left"/>
      <w:pPr>
        <w:ind w:left="5760" w:hanging="360"/>
      </w:pPr>
    </w:lvl>
    <w:lvl w:ilvl="8" w:tplc="80746B6A">
      <w:start w:val="1"/>
      <w:numFmt w:val="lowerRoman"/>
      <w:lvlText w:val="%9."/>
      <w:lvlJc w:val="right"/>
      <w:pPr>
        <w:ind w:left="6480" w:hanging="180"/>
      </w:pPr>
    </w:lvl>
  </w:abstractNum>
  <w:num w:numId="1" w16cid:durableId="917981363">
    <w:abstractNumId w:val="44"/>
  </w:num>
  <w:num w:numId="2" w16cid:durableId="1795323729">
    <w:abstractNumId w:val="53"/>
  </w:num>
  <w:num w:numId="3" w16cid:durableId="2103335982">
    <w:abstractNumId w:val="13"/>
  </w:num>
  <w:num w:numId="4" w16cid:durableId="664474207">
    <w:abstractNumId w:val="21"/>
  </w:num>
  <w:num w:numId="5" w16cid:durableId="1529905141">
    <w:abstractNumId w:val="46"/>
  </w:num>
  <w:num w:numId="6" w16cid:durableId="1977368714">
    <w:abstractNumId w:val="36"/>
  </w:num>
  <w:num w:numId="7" w16cid:durableId="2036929335">
    <w:abstractNumId w:val="65"/>
  </w:num>
  <w:num w:numId="8" w16cid:durableId="615911413">
    <w:abstractNumId w:val="0"/>
  </w:num>
  <w:num w:numId="9" w16cid:durableId="1479876691">
    <w:abstractNumId w:val="4"/>
  </w:num>
  <w:num w:numId="10" w16cid:durableId="1043486407">
    <w:abstractNumId w:val="9"/>
  </w:num>
  <w:num w:numId="11" w16cid:durableId="446313976">
    <w:abstractNumId w:val="16"/>
  </w:num>
  <w:num w:numId="12" w16cid:durableId="806319252">
    <w:abstractNumId w:val="62"/>
  </w:num>
  <w:num w:numId="13" w16cid:durableId="920335757">
    <w:abstractNumId w:val="31"/>
  </w:num>
  <w:num w:numId="14" w16cid:durableId="1156191742">
    <w:abstractNumId w:val="35"/>
  </w:num>
  <w:num w:numId="15" w16cid:durableId="1661688862">
    <w:abstractNumId w:val="39"/>
  </w:num>
  <w:num w:numId="16" w16cid:durableId="900214921">
    <w:abstractNumId w:val="27"/>
  </w:num>
  <w:num w:numId="17" w16cid:durableId="1935048415">
    <w:abstractNumId w:val="56"/>
  </w:num>
  <w:num w:numId="18" w16cid:durableId="843516763">
    <w:abstractNumId w:val="26"/>
  </w:num>
  <w:num w:numId="19" w16cid:durableId="1557858284">
    <w:abstractNumId w:val="33"/>
  </w:num>
  <w:num w:numId="20" w16cid:durableId="495073366">
    <w:abstractNumId w:val="24"/>
  </w:num>
  <w:num w:numId="21" w16cid:durableId="524755709">
    <w:abstractNumId w:val="1"/>
  </w:num>
  <w:num w:numId="22" w16cid:durableId="59912225">
    <w:abstractNumId w:val="15"/>
  </w:num>
  <w:num w:numId="23" w16cid:durableId="613707421">
    <w:abstractNumId w:val="29"/>
  </w:num>
  <w:num w:numId="24" w16cid:durableId="1472283539">
    <w:abstractNumId w:val="17"/>
  </w:num>
  <w:num w:numId="25" w16cid:durableId="825167752">
    <w:abstractNumId w:val="50"/>
  </w:num>
  <w:num w:numId="26" w16cid:durableId="1891064967">
    <w:abstractNumId w:val="55"/>
  </w:num>
  <w:num w:numId="27" w16cid:durableId="1323044829">
    <w:abstractNumId w:val="3"/>
  </w:num>
  <w:num w:numId="28" w16cid:durableId="1885677809">
    <w:abstractNumId w:val="20"/>
  </w:num>
  <w:num w:numId="29" w16cid:durableId="1849443113">
    <w:abstractNumId w:val="12"/>
  </w:num>
  <w:num w:numId="30" w16cid:durableId="1802848416">
    <w:abstractNumId w:val="52"/>
  </w:num>
  <w:num w:numId="31" w16cid:durableId="102306508">
    <w:abstractNumId w:val="43"/>
  </w:num>
  <w:num w:numId="32" w16cid:durableId="1759404218">
    <w:abstractNumId w:val="48"/>
  </w:num>
  <w:num w:numId="33" w16cid:durableId="228347192">
    <w:abstractNumId w:val="51"/>
  </w:num>
  <w:num w:numId="34" w16cid:durableId="775364677">
    <w:abstractNumId w:val="19"/>
  </w:num>
  <w:num w:numId="35" w16cid:durableId="1539853804">
    <w:abstractNumId w:val="64"/>
  </w:num>
  <w:num w:numId="36" w16cid:durableId="2069768312">
    <w:abstractNumId w:val="8"/>
  </w:num>
  <w:num w:numId="37" w16cid:durableId="899905954">
    <w:abstractNumId w:val="18"/>
  </w:num>
  <w:num w:numId="38" w16cid:durableId="1849444957">
    <w:abstractNumId w:val="40"/>
  </w:num>
  <w:num w:numId="39" w16cid:durableId="1834763234">
    <w:abstractNumId w:val="63"/>
  </w:num>
  <w:num w:numId="40" w16cid:durableId="1865825620">
    <w:abstractNumId w:val="10"/>
  </w:num>
  <w:num w:numId="41" w16cid:durableId="659113970">
    <w:abstractNumId w:val="38"/>
  </w:num>
  <w:num w:numId="42" w16cid:durableId="1003049596">
    <w:abstractNumId w:val="11"/>
  </w:num>
  <w:num w:numId="43" w16cid:durableId="927881594">
    <w:abstractNumId w:val="2"/>
  </w:num>
  <w:num w:numId="44" w16cid:durableId="525099629">
    <w:abstractNumId w:val="7"/>
  </w:num>
  <w:num w:numId="45" w16cid:durableId="1908372960">
    <w:abstractNumId w:val="54"/>
  </w:num>
  <w:num w:numId="46" w16cid:durableId="829829506">
    <w:abstractNumId w:val="37"/>
  </w:num>
  <w:num w:numId="47" w16cid:durableId="1175531834">
    <w:abstractNumId w:val="60"/>
  </w:num>
  <w:num w:numId="48" w16cid:durableId="656347529">
    <w:abstractNumId w:val="57"/>
  </w:num>
  <w:num w:numId="49" w16cid:durableId="2015650426">
    <w:abstractNumId w:val="22"/>
  </w:num>
  <w:num w:numId="50" w16cid:durableId="570114102">
    <w:abstractNumId w:val="5"/>
  </w:num>
  <w:num w:numId="51" w16cid:durableId="930309521">
    <w:abstractNumId w:val="61"/>
  </w:num>
  <w:num w:numId="52" w16cid:durableId="1365711862">
    <w:abstractNumId w:val="59"/>
  </w:num>
  <w:num w:numId="53" w16cid:durableId="1074089066">
    <w:abstractNumId w:val="49"/>
  </w:num>
  <w:num w:numId="54" w16cid:durableId="1342196371">
    <w:abstractNumId w:val="30"/>
  </w:num>
  <w:num w:numId="55" w16cid:durableId="220875163">
    <w:abstractNumId w:val="28"/>
  </w:num>
  <w:num w:numId="56" w16cid:durableId="691029540">
    <w:abstractNumId w:val="25"/>
  </w:num>
  <w:num w:numId="57" w16cid:durableId="736825260">
    <w:abstractNumId w:val="47"/>
  </w:num>
  <w:num w:numId="58" w16cid:durableId="12541318">
    <w:abstractNumId w:val="45"/>
  </w:num>
  <w:num w:numId="59" w16cid:durableId="510533558">
    <w:abstractNumId w:val="34"/>
  </w:num>
  <w:num w:numId="60" w16cid:durableId="752505126">
    <w:abstractNumId w:val="14"/>
  </w:num>
  <w:num w:numId="61" w16cid:durableId="1570076487">
    <w:abstractNumId w:val="23"/>
  </w:num>
  <w:num w:numId="62" w16cid:durableId="529072922">
    <w:abstractNumId w:val="58"/>
  </w:num>
  <w:num w:numId="63" w16cid:durableId="719669840">
    <w:abstractNumId w:val="41"/>
  </w:num>
  <w:num w:numId="64" w16cid:durableId="716275004">
    <w:abstractNumId w:val="42"/>
  </w:num>
  <w:num w:numId="65" w16cid:durableId="793671650">
    <w:abstractNumId w:val="32"/>
  </w:num>
  <w:num w:numId="66" w16cid:durableId="393742583">
    <w:abstractNumId w:val="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19"/>
    <w:rsid w:val="00000F15"/>
    <w:rsid w:val="000054B1"/>
    <w:rsid w:val="00005627"/>
    <w:rsid w:val="00006CC6"/>
    <w:rsid w:val="000072D0"/>
    <w:rsid w:val="00007320"/>
    <w:rsid w:val="00007A13"/>
    <w:rsid w:val="00010558"/>
    <w:rsid w:val="000106F3"/>
    <w:rsid w:val="00010908"/>
    <w:rsid w:val="000110FC"/>
    <w:rsid w:val="000123D0"/>
    <w:rsid w:val="000130E5"/>
    <w:rsid w:val="000140C5"/>
    <w:rsid w:val="000154EC"/>
    <w:rsid w:val="00015DA2"/>
    <w:rsid w:val="000179D8"/>
    <w:rsid w:val="00020369"/>
    <w:rsid w:val="00021E67"/>
    <w:rsid w:val="00021F73"/>
    <w:rsid w:val="00022D37"/>
    <w:rsid w:val="00022DD6"/>
    <w:rsid w:val="00023902"/>
    <w:rsid w:val="000248C8"/>
    <w:rsid w:val="00024BB3"/>
    <w:rsid w:val="000267A3"/>
    <w:rsid w:val="00030E93"/>
    <w:rsid w:val="000321D1"/>
    <w:rsid w:val="0003266E"/>
    <w:rsid w:val="00032B3A"/>
    <w:rsid w:val="00033CCB"/>
    <w:rsid w:val="0003400C"/>
    <w:rsid w:val="00034EFA"/>
    <w:rsid w:val="00034EFD"/>
    <w:rsid w:val="0003509C"/>
    <w:rsid w:val="000351C8"/>
    <w:rsid w:val="00035582"/>
    <w:rsid w:val="000365DF"/>
    <w:rsid w:val="00037CD5"/>
    <w:rsid w:val="000405A7"/>
    <w:rsid w:val="0004060E"/>
    <w:rsid w:val="000408A9"/>
    <w:rsid w:val="000410FE"/>
    <w:rsid w:val="000425FF"/>
    <w:rsid w:val="00042BFB"/>
    <w:rsid w:val="000435F5"/>
    <w:rsid w:val="00045E02"/>
    <w:rsid w:val="0004652F"/>
    <w:rsid w:val="00047A2B"/>
    <w:rsid w:val="000506B1"/>
    <w:rsid w:val="00054710"/>
    <w:rsid w:val="00057D22"/>
    <w:rsid w:val="00057D5A"/>
    <w:rsid w:val="00061436"/>
    <w:rsid w:val="0006287D"/>
    <w:rsid w:val="00062E55"/>
    <w:rsid w:val="00063C49"/>
    <w:rsid w:val="00065BCD"/>
    <w:rsid w:val="00065C96"/>
    <w:rsid w:val="000703C4"/>
    <w:rsid w:val="00070479"/>
    <w:rsid w:val="00070625"/>
    <w:rsid w:val="00072A2F"/>
    <w:rsid w:val="00072BAE"/>
    <w:rsid w:val="00072D7D"/>
    <w:rsid w:val="0007470F"/>
    <w:rsid w:val="00076615"/>
    <w:rsid w:val="00077450"/>
    <w:rsid w:val="0007758F"/>
    <w:rsid w:val="00077FC5"/>
    <w:rsid w:val="0008238E"/>
    <w:rsid w:val="00082CE2"/>
    <w:rsid w:val="000857CD"/>
    <w:rsid w:val="000862F4"/>
    <w:rsid w:val="0008752D"/>
    <w:rsid w:val="000876B4"/>
    <w:rsid w:val="000911FB"/>
    <w:rsid w:val="00092721"/>
    <w:rsid w:val="00093873"/>
    <w:rsid w:val="000961B0"/>
    <w:rsid w:val="00096B16"/>
    <w:rsid w:val="00096B90"/>
    <w:rsid w:val="000A05D7"/>
    <w:rsid w:val="000A1209"/>
    <w:rsid w:val="000A14FD"/>
    <w:rsid w:val="000A4022"/>
    <w:rsid w:val="000A646A"/>
    <w:rsid w:val="000A6CAE"/>
    <w:rsid w:val="000A7CB0"/>
    <w:rsid w:val="000B0E0C"/>
    <w:rsid w:val="000B2240"/>
    <w:rsid w:val="000B2618"/>
    <w:rsid w:val="000B2993"/>
    <w:rsid w:val="000B349B"/>
    <w:rsid w:val="000B6395"/>
    <w:rsid w:val="000B694B"/>
    <w:rsid w:val="000C1335"/>
    <w:rsid w:val="000C134D"/>
    <w:rsid w:val="000C4D87"/>
    <w:rsid w:val="000C6077"/>
    <w:rsid w:val="000D3CE8"/>
    <w:rsid w:val="000D42DB"/>
    <w:rsid w:val="000D5262"/>
    <w:rsid w:val="000D5406"/>
    <w:rsid w:val="000D63D0"/>
    <w:rsid w:val="000E0AAB"/>
    <w:rsid w:val="000E13D6"/>
    <w:rsid w:val="000E18D7"/>
    <w:rsid w:val="000E54CD"/>
    <w:rsid w:val="000E6F19"/>
    <w:rsid w:val="000F00A1"/>
    <w:rsid w:val="000F2001"/>
    <w:rsid w:val="000F4374"/>
    <w:rsid w:val="000F43AA"/>
    <w:rsid w:val="000F51BE"/>
    <w:rsid w:val="000F57B7"/>
    <w:rsid w:val="000F5B5F"/>
    <w:rsid w:val="000F5E5A"/>
    <w:rsid w:val="000F792A"/>
    <w:rsid w:val="00100265"/>
    <w:rsid w:val="00100D28"/>
    <w:rsid w:val="00101412"/>
    <w:rsid w:val="00101BC1"/>
    <w:rsid w:val="001021D2"/>
    <w:rsid w:val="001029AF"/>
    <w:rsid w:val="00103ADD"/>
    <w:rsid w:val="00107195"/>
    <w:rsid w:val="00107D6D"/>
    <w:rsid w:val="001106F5"/>
    <w:rsid w:val="00111A2E"/>
    <w:rsid w:val="00113036"/>
    <w:rsid w:val="00113EC4"/>
    <w:rsid w:val="001156C6"/>
    <w:rsid w:val="00116481"/>
    <w:rsid w:val="001165AB"/>
    <w:rsid w:val="00117033"/>
    <w:rsid w:val="00117F2F"/>
    <w:rsid w:val="0012068A"/>
    <w:rsid w:val="0012172F"/>
    <w:rsid w:val="001239E9"/>
    <w:rsid w:val="00123E6B"/>
    <w:rsid w:val="001273F1"/>
    <w:rsid w:val="00127926"/>
    <w:rsid w:val="001312D1"/>
    <w:rsid w:val="001316D2"/>
    <w:rsid w:val="00131966"/>
    <w:rsid w:val="00132901"/>
    <w:rsid w:val="00132F3F"/>
    <w:rsid w:val="00135E0F"/>
    <w:rsid w:val="001374C6"/>
    <w:rsid w:val="00140102"/>
    <w:rsid w:val="00140E8F"/>
    <w:rsid w:val="001424AF"/>
    <w:rsid w:val="001462A3"/>
    <w:rsid w:val="001477F8"/>
    <w:rsid w:val="00150264"/>
    <w:rsid w:val="00150B4E"/>
    <w:rsid w:val="00152488"/>
    <w:rsid w:val="00155E22"/>
    <w:rsid w:val="00156BEF"/>
    <w:rsid w:val="00160118"/>
    <w:rsid w:val="001612CB"/>
    <w:rsid w:val="001628AB"/>
    <w:rsid w:val="0016303D"/>
    <w:rsid w:val="00166551"/>
    <w:rsid w:val="00166F3A"/>
    <w:rsid w:val="001709E2"/>
    <w:rsid w:val="00171138"/>
    <w:rsid w:val="00171B43"/>
    <w:rsid w:val="001737DF"/>
    <w:rsid w:val="00180A65"/>
    <w:rsid w:val="0018288B"/>
    <w:rsid w:val="001837BC"/>
    <w:rsid w:val="00184E17"/>
    <w:rsid w:val="001869EB"/>
    <w:rsid w:val="00190746"/>
    <w:rsid w:val="00191124"/>
    <w:rsid w:val="001917AC"/>
    <w:rsid w:val="0019253F"/>
    <w:rsid w:val="0019303B"/>
    <w:rsid w:val="0019368A"/>
    <w:rsid w:val="0019398B"/>
    <w:rsid w:val="001939B1"/>
    <w:rsid w:val="00195A28"/>
    <w:rsid w:val="001962A5"/>
    <w:rsid w:val="00197F9C"/>
    <w:rsid w:val="001A0C83"/>
    <w:rsid w:val="001A139A"/>
    <w:rsid w:val="001A152C"/>
    <w:rsid w:val="001A1F76"/>
    <w:rsid w:val="001A276C"/>
    <w:rsid w:val="001A2C92"/>
    <w:rsid w:val="001A4E9C"/>
    <w:rsid w:val="001A5D4D"/>
    <w:rsid w:val="001A5FC5"/>
    <w:rsid w:val="001B0834"/>
    <w:rsid w:val="001B0D62"/>
    <w:rsid w:val="001B3025"/>
    <w:rsid w:val="001B5CCD"/>
    <w:rsid w:val="001B78CE"/>
    <w:rsid w:val="001B7ABE"/>
    <w:rsid w:val="001B7F0A"/>
    <w:rsid w:val="001C00BF"/>
    <w:rsid w:val="001C0564"/>
    <w:rsid w:val="001C1A41"/>
    <w:rsid w:val="001C240B"/>
    <w:rsid w:val="001C2EC2"/>
    <w:rsid w:val="001C4AD7"/>
    <w:rsid w:val="001C5720"/>
    <w:rsid w:val="001C6F2B"/>
    <w:rsid w:val="001D0BF8"/>
    <w:rsid w:val="001D3105"/>
    <w:rsid w:val="001D3A1E"/>
    <w:rsid w:val="001D46E7"/>
    <w:rsid w:val="001D70D9"/>
    <w:rsid w:val="001D71EA"/>
    <w:rsid w:val="001D7310"/>
    <w:rsid w:val="001D75A1"/>
    <w:rsid w:val="001E11E5"/>
    <w:rsid w:val="001E1C78"/>
    <w:rsid w:val="001E300B"/>
    <w:rsid w:val="001E3E34"/>
    <w:rsid w:val="001E4AB0"/>
    <w:rsid w:val="001E5A1A"/>
    <w:rsid w:val="001E7422"/>
    <w:rsid w:val="001E7D9D"/>
    <w:rsid w:val="001E7E71"/>
    <w:rsid w:val="001F0C9A"/>
    <w:rsid w:val="001F25F4"/>
    <w:rsid w:val="001F70EA"/>
    <w:rsid w:val="001FA7A8"/>
    <w:rsid w:val="0020083F"/>
    <w:rsid w:val="00201647"/>
    <w:rsid w:val="00202189"/>
    <w:rsid w:val="002021DA"/>
    <w:rsid w:val="00202D48"/>
    <w:rsid w:val="00202F35"/>
    <w:rsid w:val="00203B87"/>
    <w:rsid w:val="00203D9F"/>
    <w:rsid w:val="002047C5"/>
    <w:rsid w:val="00204F75"/>
    <w:rsid w:val="00205604"/>
    <w:rsid w:val="0020610D"/>
    <w:rsid w:val="002064CA"/>
    <w:rsid w:val="002075BC"/>
    <w:rsid w:val="00210E76"/>
    <w:rsid w:val="002110B2"/>
    <w:rsid w:val="00212340"/>
    <w:rsid w:val="00212C31"/>
    <w:rsid w:val="00217605"/>
    <w:rsid w:val="0022348A"/>
    <w:rsid w:val="0022442E"/>
    <w:rsid w:val="002256F7"/>
    <w:rsid w:val="0022611E"/>
    <w:rsid w:val="00226352"/>
    <w:rsid w:val="002263C8"/>
    <w:rsid w:val="0022719B"/>
    <w:rsid w:val="00228171"/>
    <w:rsid w:val="0023013A"/>
    <w:rsid w:val="002338F0"/>
    <w:rsid w:val="0023395A"/>
    <w:rsid w:val="00234309"/>
    <w:rsid w:val="00234775"/>
    <w:rsid w:val="00235049"/>
    <w:rsid w:val="00236126"/>
    <w:rsid w:val="00243ABE"/>
    <w:rsid w:val="002444C5"/>
    <w:rsid w:val="00244735"/>
    <w:rsid w:val="002466DA"/>
    <w:rsid w:val="0024757D"/>
    <w:rsid w:val="00247DB2"/>
    <w:rsid w:val="002515BD"/>
    <w:rsid w:val="00252224"/>
    <w:rsid w:val="002545ED"/>
    <w:rsid w:val="002546AC"/>
    <w:rsid w:val="00255A17"/>
    <w:rsid w:val="002561F8"/>
    <w:rsid w:val="00261189"/>
    <w:rsid w:val="002620D2"/>
    <w:rsid w:val="00262356"/>
    <w:rsid w:val="002627A9"/>
    <w:rsid w:val="00262B29"/>
    <w:rsid w:val="00267CAD"/>
    <w:rsid w:val="0027125B"/>
    <w:rsid w:val="00271F28"/>
    <w:rsid w:val="002725AF"/>
    <w:rsid w:val="00273722"/>
    <w:rsid w:val="00275B3C"/>
    <w:rsid w:val="00275FCE"/>
    <w:rsid w:val="00277009"/>
    <w:rsid w:val="00277297"/>
    <w:rsid w:val="002773FD"/>
    <w:rsid w:val="002835B2"/>
    <w:rsid w:val="0028388B"/>
    <w:rsid w:val="002844E0"/>
    <w:rsid w:val="00285234"/>
    <w:rsid w:val="00285A33"/>
    <w:rsid w:val="00286C21"/>
    <w:rsid w:val="0029083A"/>
    <w:rsid w:val="002909C8"/>
    <w:rsid w:val="00293322"/>
    <w:rsid w:val="00297815"/>
    <w:rsid w:val="00297DC2"/>
    <w:rsid w:val="002A158C"/>
    <w:rsid w:val="002A16FD"/>
    <w:rsid w:val="002A2E72"/>
    <w:rsid w:val="002A47F8"/>
    <w:rsid w:val="002A508C"/>
    <w:rsid w:val="002A539C"/>
    <w:rsid w:val="002A771F"/>
    <w:rsid w:val="002A7B98"/>
    <w:rsid w:val="002B1603"/>
    <w:rsid w:val="002B165F"/>
    <w:rsid w:val="002B1835"/>
    <w:rsid w:val="002B3243"/>
    <w:rsid w:val="002B4E36"/>
    <w:rsid w:val="002B6920"/>
    <w:rsid w:val="002B6D74"/>
    <w:rsid w:val="002B778F"/>
    <w:rsid w:val="002B7A05"/>
    <w:rsid w:val="002B7C9F"/>
    <w:rsid w:val="002C0BAC"/>
    <w:rsid w:val="002C78FF"/>
    <w:rsid w:val="002D1DB6"/>
    <w:rsid w:val="002D21BA"/>
    <w:rsid w:val="002D2A5D"/>
    <w:rsid w:val="002D32D2"/>
    <w:rsid w:val="002D36ED"/>
    <w:rsid w:val="002D43BB"/>
    <w:rsid w:val="002D5C12"/>
    <w:rsid w:val="002D762F"/>
    <w:rsid w:val="002D7FAA"/>
    <w:rsid w:val="002E1739"/>
    <w:rsid w:val="002E1A5F"/>
    <w:rsid w:val="002E1A7D"/>
    <w:rsid w:val="002E20ED"/>
    <w:rsid w:val="002E2B42"/>
    <w:rsid w:val="002E4630"/>
    <w:rsid w:val="002E7EF1"/>
    <w:rsid w:val="002E7FC7"/>
    <w:rsid w:val="002F1A52"/>
    <w:rsid w:val="002F1FCA"/>
    <w:rsid w:val="002F2311"/>
    <w:rsid w:val="002F24C8"/>
    <w:rsid w:val="002F2C41"/>
    <w:rsid w:val="002F4405"/>
    <w:rsid w:val="002F5766"/>
    <w:rsid w:val="002F6A5E"/>
    <w:rsid w:val="002F6DA2"/>
    <w:rsid w:val="002F6E63"/>
    <w:rsid w:val="002F7736"/>
    <w:rsid w:val="00301FFE"/>
    <w:rsid w:val="00304F1B"/>
    <w:rsid w:val="00310CBF"/>
    <w:rsid w:val="00311C5D"/>
    <w:rsid w:val="00313424"/>
    <w:rsid w:val="00313BEE"/>
    <w:rsid w:val="00317F5C"/>
    <w:rsid w:val="003217BE"/>
    <w:rsid w:val="003224FF"/>
    <w:rsid w:val="00323788"/>
    <w:rsid w:val="00324965"/>
    <w:rsid w:val="00325F66"/>
    <w:rsid w:val="0033057E"/>
    <w:rsid w:val="003317F3"/>
    <w:rsid w:val="0033271B"/>
    <w:rsid w:val="00334ED8"/>
    <w:rsid w:val="0033700B"/>
    <w:rsid w:val="00341B46"/>
    <w:rsid w:val="00342675"/>
    <w:rsid w:val="0034514E"/>
    <w:rsid w:val="00345DA1"/>
    <w:rsid w:val="00347EBF"/>
    <w:rsid w:val="0035078D"/>
    <w:rsid w:val="0035105C"/>
    <w:rsid w:val="00352B4A"/>
    <w:rsid w:val="003531D4"/>
    <w:rsid w:val="00355815"/>
    <w:rsid w:val="00355981"/>
    <w:rsid w:val="003567D6"/>
    <w:rsid w:val="003571E5"/>
    <w:rsid w:val="00360A9F"/>
    <w:rsid w:val="003616ED"/>
    <w:rsid w:val="00361A8A"/>
    <w:rsid w:val="00362787"/>
    <w:rsid w:val="003648C3"/>
    <w:rsid w:val="00367080"/>
    <w:rsid w:val="003676A9"/>
    <w:rsid w:val="00370830"/>
    <w:rsid w:val="0037112E"/>
    <w:rsid w:val="00371918"/>
    <w:rsid w:val="0037242B"/>
    <w:rsid w:val="00374404"/>
    <w:rsid w:val="003744C9"/>
    <w:rsid w:val="00376F6F"/>
    <w:rsid w:val="00377748"/>
    <w:rsid w:val="00380780"/>
    <w:rsid w:val="003824CA"/>
    <w:rsid w:val="00382532"/>
    <w:rsid w:val="003827ED"/>
    <w:rsid w:val="00382B9B"/>
    <w:rsid w:val="00383252"/>
    <w:rsid w:val="00386C63"/>
    <w:rsid w:val="00390E9F"/>
    <w:rsid w:val="00390FEC"/>
    <w:rsid w:val="0039117D"/>
    <w:rsid w:val="003933CD"/>
    <w:rsid w:val="00394E42"/>
    <w:rsid w:val="00395BBF"/>
    <w:rsid w:val="00396CDC"/>
    <w:rsid w:val="00396DF6"/>
    <w:rsid w:val="003979A8"/>
    <w:rsid w:val="003A0A24"/>
    <w:rsid w:val="003A0CAD"/>
    <w:rsid w:val="003A2767"/>
    <w:rsid w:val="003A3034"/>
    <w:rsid w:val="003A38BC"/>
    <w:rsid w:val="003A3F3C"/>
    <w:rsid w:val="003A413F"/>
    <w:rsid w:val="003A414C"/>
    <w:rsid w:val="003A4210"/>
    <w:rsid w:val="003A4618"/>
    <w:rsid w:val="003A5F1E"/>
    <w:rsid w:val="003A7CAC"/>
    <w:rsid w:val="003B02EC"/>
    <w:rsid w:val="003B2E2F"/>
    <w:rsid w:val="003B3C21"/>
    <w:rsid w:val="003B69BA"/>
    <w:rsid w:val="003B78CE"/>
    <w:rsid w:val="003C0283"/>
    <w:rsid w:val="003C069A"/>
    <w:rsid w:val="003C1273"/>
    <w:rsid w:val="003C1B6E"/>
    <w:rsid w:val="003C3168"/>
    <w:rsid w:val="003C344A"/>
    <w:rsid w:val="003C44D2"/>
    <w:rsid w:val="003C7A27"/>
    <w:rsid w:val="003C7C5D"/>
    <w:rsid w:val="003D0210"/>
    <w:rsid w:val="003D0D64"/>
    <w:rsid w:val="003D15D9"/>
    <w:rsid w:val="003D5E57"/>
    <w:rsid w:val="003D6B80"/>
    <w:rsid w:val="003E130A"/>
    <w:rsid w:val="003E1B65"/>
    <w:rsid w:val="003E259A"/>
    <w:rsid w:val="003E2A21"/>
    <w:rsid w:val="003E3E4F"/>
    <w:rsid w:val="003E4CF4"/>
    <w:rsid w:val="003E5021"/>
    <w:rsid w:val="003E511D"/>
    <w:rsid w:val="003E695B"/>
    <w:rsid w:val="003E6B42"/>
    <w:rsid w:val="003E73D3"/>
    <w:rsid w:val="003E7757"/>
    <w:rsid w:val="003E7C07"/>
    <w:rsid w:val="003F06F6"/>
    <w:rsid w:val="003F14A3"/>
    <w:rsid w:val="003F5503"/>
    <w:rsid w:val="00401320"/>
    <w:rsid w:val="00401F23"/>
    <w:rsid w:val="00404676"/>
    <w:rsid w:val="00405E00"/>
    <w:rsid w:val="004061C7"/>
    <w:rsid w:val="0040691D"/>
    <w:rsid w:val="0040756D"/>
    <w:rsid w:val="00407FA8"/>
    <w:rsid w:val="004108A7"/>
    <w:rsid w:val="00412A78"/>
    <w:rsid w:val="00413340"/>
    <w:rsid w:val="00414019"/>
    <w:rsid w:val="00414725"/>
    <w:rsid w:val="00420633"/>
    <w:rsid w:val="004221D2"/>
    <w:rsid w:val="00422D88"/>
    <w:rsid w:val="00423B3E"/>
    <w:rsid w:val="00431F8F"/>
    <w:rsid w:val="00434784"/>
    <w:rsid w:val="0043490C"/>
    <w:rsid w:val="00436C97"/>
    <w:rsid w:val="00437EC6"/>
    <w:rsid w:val="00440F1E"/>
    <w:rsid w:val="00442F4C"/>
    <w:rsid w:val="004431B3"/>
    <w:rsid w:val="004443A0"/>
    <w:rsid w:val="00447ED5"/>
    <w:rsid w:val="004520CF"/>
    <w:rsid w:val="004526A9"/>
    <w:rsid w:val="00453B59"/>
    <w:rsid w:val="004548DC"/>
    <w:rsid w:val="004550AD"/>
    <w:rsid w:val="004562B0"/>
    <w:rsid w:val="004562EF"/>
    <w:rsid w:val="00457356"/>
    <w:rsid w:val="00457A1F"/>
    <w:rsid w:val="004601E3"/>
    <w:rsid w:val="0046088D"/>
    <w:rsid w:val="00462D52"/>
    <w:rsid w:val="004636FB"/>
    <w:rsid w:val="00465418"/>
    <w:rsid w:val="00467C9C"/>
    <w:rsid w:val="004700F4"/>
    <w:rsid w:val="004774EE"/>
    <w:rsid w:val="00483040"/>
    <w:rsid w:val="00483AA3"/>
    <w:rsid w:val="004861B8"/>
    <w:rsid w:val="00490BAC"/>
    <w:rsid w:val="0049192B"/>
    <w:rsid w:val="0049325B"/>
    <w:rsid w:val="00493DED"/>
    <w:rsid w:val="004948B9"/>
    <w:rsid w:val="00494B3F"/>
    <w:rsid w:val="00495227"/>
    <w:rsid w:val="00495268"/>
    <w:rsid w:val="00495570"/>
    <w:rsid w:val="00496530"/>
    <w:rsid w:val="0049736F"/>
    <w:rsid w:val="004976A5"/>
    <w:rsid w:val="004A050E"/>
    <w:rsid w:val="004A0B28"/>
    <w:rsid w:val="004A14DA"/>
    <w:rsid w:val="004A39F5"/>
    <w:rsid w:val="004A3B01"/>
    <w:rsid w:val="004A3B4E"/>
    <w:rsid w:val="004A3EFF"/>
    <w:rsid w:val="004A59AA"/>
    <w:rsid w:val="004B01D3"/>
    <w:rsid w:val="004B087F"/>
    <w:rsid w:val="004B10C2"/>
    <w:rsid w:val="004B10E8"/>
    <w:rsid w:val="004B26F6"/>
    <w:rsid w:val="004B34FA"/>
    <w:rsid w:val="004B3731"/>
    <w:rsid w:val="004B4605"/>
    <w:rsid w:val="004B4D47"/>
    <w:rsid w:val="004B7D9E"/>
    <w:rsid w:val="004B8B91"/>
    <w:rsid w:val="004C08A5"/>
    <w:rsid w:val="004C0D81"/>
    <w:rsid w:val="004C1C28"/>
    <w:rsid w:val="004C1C7F"/>
    <w:rsid w:val="004C3CB7"/>
    <w:rsid w:val="004C584B"/>
    <w:rsid w:val="004C6114"/>
    <w:rsid w:val="004C6896"/>
    <w:rsid w:val="004C6C51"/>
    <w:rsid w:val="004C73E6"/>
    <w:rsid w:val="004C774C"/>
    <w:rsid w:val="004D0D1E"/>
    <w:rsid w:val="004D17F7"/>
    <w:rsid w:val="004D19E7"/>
    <w:rsid w:val="004D68E0"/>
    <w:rsid w:val="004D73E6"/>
    <w:rsid w:val="004E0169"/>
    <w:rsid w:val="004E0C24"/>
    <w:rsid w:val="004E10B7"/>
    <w:rsid w:val="004E1E67"/>
    <w:rsid w:val="004E2ED4"/>
    <w:rsid w:val="004E3544"/>
    <w:rsid w:val="004E58AA"/>
    <w:rsid w:val="004E77BA"/>
    <w:rsid w:val="004E7A84"/>
    <w:rsid w:val="004F3431"/>
    <w:rsid w:val="004F5897"/>
    <w:rsid w:val="004F5E00"/>
    <w:rsid w:val="004F6ECA"/>
    <w:rsid w:val="004F75C8"/>
    <w:rsid w:val="004F7F75"/>
    <w:rsid w:val="004FFF63"/>
    <w:rsid w:val="005011E0"/>
    <w:rsid w:val="005019F6"/>
    <w:rsid w:val="00502B39"/>
    <w:rsid w:val="00502D62"/>
    <w:rsid w:val="00504774"/>
    <w:rsid w:val="00505F93"/>
    <w:rsid w:val="005118F3"/>
    <w:rsid w:val="00515D89"/>
    <w:rsid w:val="00516214"/>
    <w:rsid w:val="005202FA"/>
    <w:rsid w:val="00522884"/>
    <w:rsid w:val="00523310"/>
    <w:rsid w:val="005237C5"/>
    <w:rsid w:val="005238AC"/>
    <w:rsid w:val="00524FCD"/>
    <w:rsid w:val="00525D96"/>
    <w:rsid w:val="005260EF"/>
    <w:rsid w:val="00532183"/>
    <w:rsid w:val="005321F1"/>
    <w:rsid w:val="00534357"/>
    <w:rsid w:val="0053508A"/>
    <w:rsid w:val="005357FE"/>
    <w:rsid w:val="00544D60"/>
    <w:rsid w:val="005451D2"/>
    <w:rsid w:val="00545AFE"/>
    <w:rsid w:val="00547DB3"/>
    <w:rsid w:val="00550281"/>
    <w:rsid w:val="00551423"/>
    <w:rsid w:val="00551556"/>
    <w:rsid w:val="005521B9"/>
    <w:rsid w:val="005549FA"/>
    <w:rsid w:val="00555406"/>
    <w:rsid w:val="0055642D"/>
    <w:rsid w:val="005602FD"/>
    <w:rsid w:val="005634B1"/>
    <w:rsid w:val="00564BAD"/>
    <w:rsid w:val="00565587"/>
    <w:rsid w:val="00565912"/>
    <w:rsid w:val="005667D3"/>
    <w:rsid w:val="00566EC9"/>
    <w:rsid w:val="00567513"/>
    <w:rsid w:val="00570FF3"/>
    <w:rsid w:val="0057222A"/>
    <w:rsid w:val="0057227D"/>
    <w:rsid w:val="00572A22"/>
    <w:rsid w:val="00573A7C"/>
    <w:rsid w:val="0057457D"/>
    <w:rsid w:val="00575ADD"/>
    <w:rsid w:val="00576545"/>
    <w:rsid w:val="00576E63"/>
    <w:rsid w:val="0057740D"/>
    <w:rsid w:val="00577BFC"/>
    <w:rsid w:val="00581387"/>
    <w:rsid w:val="00581846"/>
    <w:rsid w:val="00581CE2"/>
    <w:rsid w:val="00583ECB"/>
    <w:rsid w:val="00584DCD"/>
    <w:rsid w:val="005935F3"/>
    <w:rsid w:val="005A2F08"/>
    <w:rsid w:val="005A4888"/>
    <w:rsid w:val="005A5447"/>
    <w:rsid w:val="005A612F"/>
    <w:rsid w:val="005A7063"/>
    <w:rsid w:val="005B07A0"/>
    <w:rsid w:val="005B0E63"/>
    <w:rsid w:val="005B1168"/>
    <w:rsid w:val="005B3000"/>
    <w:rsid w:val="005B542E"/>
    <w:rsid w:val="005B58AA"/>
    <w:rsid w:val="005B6503"/>
    <w:rsid w:val="005B6691"/>
    <w:rsid w:val="005B6D08"/>
    <w:rsid w:val="005B7DC9"/>
    <w:rsid w:val="005C02E3"/>
    <w:rsid w:val="005C1A75"/>
    <w:rsid w:val="005C27ED"/>
    <w:rsid w:val="005C3AD9"/>
    <w:rsid w:val="005C3B10"/>
    <w:rsid w:val="005C4249"/>
    <w:rsid w:val="005C77F8"/>
    <w:rsid w:val="005C784C"/>
    <w:rsid w:val="005CF35B"/>
    <w:rsid w:val="005D0CCC"/>
    <w:rsid w:val="005D13AA"/>
    <w:rsid w:val="005D15AB"/>
    <w:rsid w:val="005D1A2C"/>
    <w:rsid w:val="005D1B33"/>
    <w:rsid w:val="005D3CF6"/>
    <w:rsid w:val="005D43AF"/>
    <w:rsid w:val="005D43E0"/>
    <w:rsid w:val="005D5D9E"/>
    <w:rsid w:val="005D667F"/>
    <w:rsid w:val="005E1031"/>
    <w:rsid w:val="005E1821"/>
    <w:rsid w:val="005E1CF2"/>
    <w:rsid w:val="005E2C56"/>
    <w:rsid w:val="005E2F32"/>
    <w:rsid w:val="005E54E8"/>
    <w:rsid w:val="005E586B"/>
    <w:rsid w:val="005E5DA5"/>
    <w:rsid w:val="005E7993"/>
    <w:rsid w:val="005F31A0"/>
    <w:rsid w:val="005F5BE0"/>
    <w:rsid w:val="006010B9"/>
    <w:rsid w:val="00601BB2"/>
    <w:rsid w:val="00602870"/>
    <w:rsid w:val="00604E6E"/>
    <w:rsid w:val="00605420"/>
    <w:rsid w:val="0060553E"/>
    <w:rsid w:val="006056F2"/>
    <w:rsid w:val="00606E86"/>
    <w:rsid w:val="00611AC0"/>
    <w:rsid w:val="00614AD3"/>
    <w:rsid w:val="00620140"/>
    <w:rsid w:val="006205E7"/>
    <w:rsid w:val="006215ED"/>
    <w:rsid w:val="0062214C"/>
    <w:rsid w:val="00622FDF"/>
    <w:rsid w:val="00623F0F"/>
    <w:rsid w:val="00625BBA"/>
    <w:rsid w:val="00627744"/>
    <w:rsid w:val="006277E8"/>
    <w:rsid w:val="00630497"/>
    <w:rsid w:val="0063103A"/>
    <w:rsid w:val="00633101"/>
    <w:rsid w:val="00634307"/>
    <w:rsid w:val="006343EE"/>
    <w:rsid w:val="0063475A"/>
    <w:rsid w:val="0063699F"/>
    <w:rsid w:val="00642733"/>
    <w:rsid w:val="00643158"/>
    <w:rsid w:val="00643987"/>
    <w:rsid w:val="0064549F"/>
    <w:rsid w:val="006464C9"/>
    <w:rsid w:val="00647531"/>
    <w:rsid w:val="006477ED"/>
    <w:rsid w:val="0064C212"/>
    <w:rsid w:val="0065160C"/>
    <w:rsid w:val="0065252D"/>
    <w:rsid w:val="0065260E"/>
    <w:rsid w:val="006539A1"/>
    <w:rsid w:val="00664685"/>
    <w:rsid w:val="00665808"/>
    <w:rsid w:val="00672EDA"/>
    <w:rsid w:val="006732D3"/>
    <w:rsid w:val="0067354B"/>
    <w:rsid w:val="00674EAB"/>
    <w:rsid w:val="0067519B"/>
    <w:rsid w:val="006759BD"/>
    <w:rsid w:val="00675C10"/>
    <w:rsid w:val="00681DFE"/>
    <w:rsid w:val="00684D13"/>
    <w:rsid w:val="0068581F"/>
    <w:rsid w:val="00685BDC"/>
    <w:rsid w:val="006877A3"/>
    <w:rsid w:val="006901A3"/>
    <w:rsid w:val="00690A20"/>
    <w:rsid w:val="0069472B"/>
    <w:rsid w:val="006965E2"/>
    <w:rsid w:val="006A2C1C"/>
    <w:rsid w:val="006A32A2"/>
    <w:rsid w:val="006A3407"/>
    <w:rsid w:val="006A6095"/>
    <w:rsid w:val="006A66E7"/>
    <w:rsid w:val="006B0E8E"/>
    <w:rsid w:val="006B1CD5"/>
    <w:rsid w:val="006B24E2"/>
    <w:rsid w:val="006B3C03"/>
    <w:rsid w:val="006B4BF2"/>
    <w:rsid w:val="006B582D"/>
    <w:rsid w:val="006B65D5"/>
    <w:rsid w:val="006B6C16"/>
    <w:rsid w:val="006B773E"/>
    <w:rsid w:val="006C0947"/>
    <w:rsid w:val="006C0C54"/>
    <w:rsid w:val="006C0DCB"/>
    <w:rsid w:val="006C39B7"/>
    <w:rsid w:val="006C3E94"/>
    <w:rsid w:val="006C43A9"/>
    <w:rsid w:val="006C626B"/>
    <w:rsid w:val="006D1754"/>
    <w:rsid w:val="006D2850"/>
    <w:rsid w:val="006D39A8"/>
    <w:rsid w:val="006D430C"/>
    <w:rsid w:val="006D4345"/>
    <w:rsid w:val="006D613F"/>
    <w:rsid w:val="006D77E1"/>
    <w:rsid w:val="006D7DA6"/>
    <w:rsid w:val="006E085C"/>
    <w:rsid w:val="006E0B2C"/>
    <w:rsid w:val="006E1343"/>
    <w:rsid w:val="006E7EC7"/>
    <w:rsid w:val="006F06FB"/>
    <w:rsid w:val="006F0C69"/>
    <w:rsid w:val="006F1EC7"/>
    <w:rsid w:val="006F2352"/>
    <w:rsid w:val="006F257A"/>
    <w:rsid w:val="006F30C1"/>
    <w:rsid w:val="007030B1"/>
    <w:rsid w:val="007030F1"/>
    <w:rsid w:val="00703B55"/>
    <w:rsid w:val="00705BFF"/>
    <w:rsid w:val="00711784"/>
    <w:rsid w:val="0071215A"/>
    <w:rsid w:val="00713F34"/>
    <w:rsid w:val="00714BCB"/>
    <w:rsid w:val="00716BA9"/>
    <w:rsid w:val="00717A57"/>
    <w:rsid w:val="007224C7"/>
    <w:rsid w:val="00727C04"/>
    <w:rsid w:val="00730498"/>
    <w:rsid w:val="00731548"/>
    <w:rsid w:val="0073269D"/>
    <w:rsid w:val="00732983"/>
    <w:rsid w:val="00733616"/>
    <w:rsid w:val="0073443E"/>
    <w:rsid w:val="00735483"/>
    <w:rsid w:val="00735CA3"/>
    <w:rsid w:val="00740825"/>
    <w:rsid w:val="00745DF5"/>
    <w:rsid w:val="007468E0"/>
    <w:rsid w:val="00747F0E"/>
    <w:rsid w:val="00752E7F"/>
    <w:rsid w:val="0075319E"/>
    <w:rsid w:val="007563AA"/>
    <w:rsid w:val="007567D0"/>
    <w:rsid w:val="00760D66"/>
    <w:rsid w:val="00762414"/>
    <w:rsid w:val="007627CD"/>
    <w:rsid w:val="0076310F"/>
    <w:rsid w:val="00763291"/>
    <w:rsid w:val="00765017"/>
    <w:rsid w:val="00765F93"/>
    <w:rsid w:val="00766776"/>
    <w:rsid w:val="00766788"/>
    <w:rsid w:val="007668BA"/>
    <w:rsid w:val="00766AF4"/>
    <w:rsid w:val="00766B07"/>
    <w:rsid w:val="007671D1"/>
    <w:rsid w:val="007714BE"/>
    <w:rsid w:val="0077293E"/>
    <w:rsid w:val="00772D8C"/>
    <w:rsid w:val="00774E09"/>
    <w:rsid w:val="00775449"/>
    <w:rsid w:val="00775987"/>
    <w:rsid w:val="00777680"/>
    <w:rsid w:val="007779C2"/>
    <w:rsid w:val="00780FE1"/>
    <w:rsid w:val="0078129D"/>
    <w:rsid w:val="007817A1"/>
    <w:rsid w:val="00781DB4"/>
    <w:rsid w:val="00782A96"/>
    <w:rsid w:val="007836ED"/>
    <w:rsid w:val="007842FA"/>
    <w:rsid w:val="007846C6"/>
    <w:rsid w:val="00784AB1"/>
    <w:rsid w:val="00790A32"/>
    <w:rsid w:val="00790D6A"/>
    <w:rsid w:val="00791C57"/>
    <w:rsid w:val="00792369"/>
    <w:rsid w:val="0079456E"/>
    <w:rsid w:val="00795C64"/>
    <w:rsid w:val="007961FC"/>
    <w:rsid w:val="00797019"/>
    <w:rsid w:val="007A10FB"/>
    <w:rsid w:val="007A12FB"/>
    <w:rsid w:val="007A2184"/>
    <w:rsid w:val="007A357C"/>
    <w:rsid w:val="007A384B"/>
    <w:rsid w:val="007A5939"/>
    <w:rsid w:val="007A5C65"/>
    <w:rsid w:val="007A6428"/>
    <w:rsid w:val="007A7119"/>
    <w:rsid w:val="007A7AAD"/>
    <w:rsid w:val="007A7B06"/>
    <w:rsid w:val="007B0CBE"/>
    <w:rsid w:val="007B1221"/>
    <w:rsid w:val="007B1407"/>
    <w:rsid w:val="007B1612"/>
    <w:rsid w:val="007B1C45"/>
    <w:rsid w:val="007B50E5"/>
    <w:rsid w:val="007B624D"/>
    <w:rsid w:val="007B6CF5"/>
    <w:rsid w:val="007B9052"/>
    <w:rsid w:val="007C0D5D"/>
    <w:rsid w:val="007C2E12"/>
    <w:rsid w:val="007C2EBA"/>
    <w:rsid w:val="007D21B2"/>
    <w:rsid w:val="007D334A"/>
    <w:rsid w:val="007D3995"/>
    <w:rsid w:val="007D4392"/>
    <w:rsid w:val="007D4455"/>
    <w:rsid w:val="007D488D"/>
    <w:rsid w:val="007D49BC"/>
    <w:rsid w:val="007D52D7"/>
    <w:rsid w:val="007D54DD"/>
    <w:rsid w:val="007D55DE"/>
    <w:rsid w:val="007D72A8"/>
    <w:rsid w:val="007E095A"/>
    <w:rsid w:val="007E298A"/>
    <w:rsid w:val="007E2D86"/>
    <w:rsid w:val="007E2D8D"/>
    <w:rsid w:val="007E3F36"/>
    <w:rsid w:val="007E5EE2"/>
    <w:rsid w:val="007F0B3A"/>
    <w:rsid w:val="007F136D"/>
    <w:rsid w:val="007F235A"/>
    <w:rsid w:val="007F2F2C"/>
    <w:rsid w:val="007F3399"/>
    <w:rsid w:val="007F6578"/>
    <w:rsid w:val="007F7156"/>
    <w:rsid w:val="00802DEA"/>
    <w:rsid w:val="00805E1E"/>
    <w:rsid w:val="00806836"/>
    <w:rsid w:val="00807732"/>
    <w:rsid w:val="008078ED"/>
    <w:rsid w:val="0081091B"/>
    <w:rsid w:val="00814790"/>
    <w:rsid w:val="008159E4"/>
    <w:rsid w:val="008160C9"/>
    <w:rsid w:val="0081649B"/>
    <w:rsid w:val="008168EE"/>
    <w:rsid w:val="00817B76"/>
    <w:rsid w:val="00820CC3"/>
    <w:rsid w:val="00820EA8"/>
    <w:rsid w:val="00821A30"/>
    <w:rsid w:val="008246B4"/>
    <w:rsid w:val="00825E54"/>
    <w:rsid w:val="008261CA"/>
    <w:rsid w:val="008263B0"/>
    <w:rsid w:val="00830558"/>
    <w:rsid w:val="00832D3C"/>
    <w:rsid w:val="00833463"/>
    <w:rsid w:val="00833F90"/>
    <w:rsid w:val="00835BF0"/>
    <w:rsid w:val="00837636"/>
    <w:rsid w:val="00837AC6"/>
    <w:rsid w:val="00837C58"/>
    <w:rsid w:val="008405F5"/>
    <w:rsid w:val="00840CD6"/>
    <w:rsid w:val="00843445"/>
    <w:rsid w:val="00844E79"/>
    <w:rsid w:val="0084505E"/>
    <w:rsid w:val="00845BD1"/>
    <w:rsid w:val="00846508"/>
    <w:rsid w:val="00846E9D"/>
    <w:rsid w:val="00847EDF"/>
    <w:rsid w:val="00851899"/>
    <w:rsid w:val="00854040"/>
    <w:rsid w:val="00856550"/>
    <w:rsid w:val="00856B3B"/>
    <w:rsid w:val="00857B53"/>
    <w:rsid w:val="00857B67"/>
    <w:rsid w:val="00857BE4"/>
    <w:rsid w:val="00857FA1"/>
    <w:rsid w:val="008600D0"/>
    <w:rsid w:val="00860732"/>
    <w:rsid w:val="00860D64"/>
    <w:rsid w:val="00861282"/>
    <w:rsid w:val="00862D8D"/>
    <w:rsid w:val="00866822"/>
    <w:rsid w:val="0087044D"/>
    <w:rsid w:val="00870D91"/>
    <w:rsid w:val="00871629"/>
    <w:rsid w:val="00871C45"/>
    <w:rsid w:val="00872A59"/>
    <w:rsid w:val="008735C6"/>
    <w:rsid w:val="008744E8"/>
    <w:rsid w:val="008750FA"/>
    <w:rsid w:val="00875148"/>
    <w:rsid w:val="00875755"/>
    <w:rsid w:val="00875AFB"/>
    <w:rsid w:val="008765A4"/>
    <w:rsid w:val="008779B7"/>
    <w:rsid w:val="00880148"/>
    <w:rsid w:val="00880BAE"/>
    <w:rsid w:val="00881F85"/>
    <w:rsid w:val="00882278"/>
    <w:rsid w:val="00885189"/>
    <w:rsid w:val="008863DA"/>
    <w:rsid w:val="00893D4A"/>
    <w:rsid w:val="00894F7C"/>
    <w:rsid w:val="008968DC"/>
    <w:rsid w:val="00896BD8"/>
    <w:rsid w:val="00897F9B"/>
    <w:rsid w:val="008A07FA"/>
    <w:rsid w:val="008A15F2"/>
    <w:rsid w:val="008A1D31"/>
    <w:rsid w:val="008A2678"/>
    <w:rsid w:val="008A29AC"/>
    <w:rsid w:val="008A443C"/>
    <w:rsid w:val="008A4DB7"/>
    <w:rsid w:val="008A58EF"/>
    <w:rsid w:val="008A6EE7"/>
    <w:rsid w:val="008B0183"/>
    <w:rsid w:val="008B0FA1"/>
    <w:rsid w:val="008B174F"/>
    <w:rsid w:val="008B4B0B"/>
    <w:rsid w:val="008B56A4"/>
    <w:rsid w:val="008C01F6"/>
    <w:rsid w:val="008C0B53"/>
    <w:rsid w:val="008C17F0"/>
    <w:rsid w:val="008C2923"/>
    <w:rsid w:val="008C2DBE"/>
    <w:rsid w:val="008C4CB8"/>
    <w:rsid w:val="008C6965"/>
    <w:rsid w:val="008C7201"/>
    <w:rsid w:val="008D2986"/>
    <w:rsid w:val="008D3964"/>
    <w:rsid w:val="008D3B43"/>
    <w:rsid w:val="008D4D03"/>
    <w:rsid w:val="008D5468"/>
    <w:rsid w:val="008D5BE6"/>
    <w:rsid w:val="008D607D"/>
    <w:rsid w:val="008E1F9F"/>
    <w:rsid w:val="008E3182"/>
    <w:rsid w:val="008E40A5"/>
    <w:rsid w:val="008E5370"/>
    <w:rsid w:val="008E5A9D"/>
    <w:rsid w:val="008E6BAE"/>
    <w:rsid w:val="008E7267"/>
    <w:rsid w:val="008F37A3"/>
    <w:rsid w:val="008F4179"/>
    <w:rsid w:val="00900C22"/>
    <w:rsid w:val="00900FA9"/>
    <w:rsid w:val="00902D1E"/>
    <w:rsid w:val="00902FED"/>
    <w:rsid w:val="00903F50"/>
    <w:rsid w:val="00905A2D"/>
    <w:rsid w:val="009072B0"/>
    <w:rsid w:val="0091054C"/>
    <w:rsid w:val="0091115C"/>
    <w:rsid w:val="009114CE"/>
    <w:rsid w:val="00911934"/>
    <w:rsid w:val="0091207A"/>
    <w:rsid w:val="0091376E"/>
    <w:rsid w:val="009139E1"/>
    <w:rsid w:val="00915613"/>
    <w:rsid w:val="009161C3"/>
    <w:rsid w:val="0091657F"/>
    <w:rsid w:val="009165AC"/>
    <w:rsid w:val="00917085"/>
    <w:rsid w:val="00917F5B"/>
    <w:rsid w:val="00921017"/>
    <w:rsid w:val="009215E3"/>
    <w:rsid w:val="00922873"/>
    <w:rsid w:val="00927A9B"/>
    <w:rsid w:val="00930FA1"/>
    <w:rsid w:val="00931421"/>
    <w:rsid w:val="00931918"/>
    <w:rsid w:val="0093405C"/>
    <w:rsid w:val="009347D0"/>
    <w:rsid w:val="009349B6"/>
    <w:rsid w:val="00935668"/>
    <w:rsid w:val="009375AC"/>
    <w:rsid w:val="0093765E"/>
    <w:rsid w:val="00940294"/>
    <w:rsid w:val="00940B27"/>
    <w:rsid w:val="00942F39"/>
    <w:rsid w:val="00943ED1"/>
    <w:rsid w:val="00944F64"/>
    <w:rsid w:val="00945D67"/>
    <w:rsid w:val="009474E2"/>
    <w:rsid w:val="0095224B"/>
    <w:rsid w:val="00953635"/>
    <w:rsid w:val="009538E2"/>
    <w:rsid w:val="009544DF"/>
    <w:rsid w:val="00954BF8"/>
    <w:rsid w:val="00955221"/>
    <w:rsid w:val="00956AD7"/>
    <w:rsid w:val="00960D65"/>
    <w:rsid w:val="0096114F"/>
    <w:rsid w:val="00961766"/>
    <w:rsid w:val="00961E4D"/>
    <w:rsid w:val="00961FB3"/>
    <w:rsid w:val="00965E75"/>
    <w:rsid w:val="00970EA0"/>
    <w:rsid w:val="009722A2"/>
    <w:rsid w:val="00972D92"/>
    <w:rsid w:val="00973345"/>
    <w:rsid w:val="00973784"/>
    <w:rsid w:val="009741E7"/>
    <w:rsid w:val="00974815"/>
    <w:rsid w:val="009760AA"/>
    <w:rsid w:val="00980EF9"/>
    <w:rsid w:val="00981E3B"/>
    <w:rsid w:val="00982E35"/>
    <w:rsid w:val="0098573C"/>
    <w:rsid w:val="00986616"/>
    <w:rsid w:val="009876C1"/>
    <w:rsid w:val="00990CE7"/>
    <w:rsid w:val="00991C47"/>
    <w:rsid w:val="00994690"/>
    <w:rsid w:val="00994C86"/>
    <w:rsid w:val="00995332"/>
    <w:rsid w:val="009974B1"/>
    <w:rsid w:val="009A145F"/>
    <w:rsid w:val="009A1A8D"/>
    <w:rsid w:val="009A3590"/>
    <w:rsid w:val="009A4F55"/>
    <w:rsid w:val="009A5CD5"/>
    <w:rsid w:val="009A6059"/>
    <w:rsid w:val="009A75FC"/>
    <w:rsid w:val="009B0F14"/>
    <w:rsid w:val="009B19A8"/>
    <w:rsid w:val="009B1C9F"/>
    <w:rsid w:val="009B24F9"/>
    <w:rsid w:val="009B274D"/>
    <w:rsid w:val="009B3B0A"/>
    <w:rsid w:val="009B3BA3"/>
    <w:rsid w:val="009B40E9"/>
    <w:rsid w:val="009B5068"/>
    <w:rsid w:val="009B56D3"/>
    <w:rsid w:val="009B5AAD"/>
    <w:rsid w:val="009B675D"/>
    <w:rsid w:val="009C133E"/>
    <w:rsid w:val="009C29E5"/>
    <w:rsid w:val="009C2C98"/>
    <w:rsid w:val="009C5075"/>
    <w:rsid w:val="009C6D4F"/>
    <w:rsid w:val="009C6E3A"/>
    <w:rsid w:val="009C7079"/>
    <w:rsid w:val="009D2140"/>
    <w:rsid w:val="009D3650"/>
    <w:rsid w:val="009D4A7A"/>
    <w:rsid w:val="009D600D"/>
    <w:rsid w:val="009D62BD"/>
    <w:rsid w:val="009D6E7F"/>
    <w:rsid w:val="009E3BDC"/>
    <w:rsid w:val="009E5C0F"/>
    <w:rsid w:val="009E5CF4"/>
    <w:rsid w:val="009E6643"/>
    <w:rsid w:val="009F27D3"/>
    <w:rsid w:val="009F32FD"/>
    <w:rsid w:val="009F42F7"/>
    <w:rsid w:val="009F6331"/>
    <w:rsid w:val="00A02700"/>
    <w:rsid w:val="00A04F4A"/>
    <w:rsid w:val="00A06A96"/>
    <w:rsid w:val="00A10F3F"/>
    <w:rsid w:val="00A10FA5"/>
    <w:rsid w:val="00A116BD"/>
    <w:rsid w:val="00A11742"/>
    <w:rsid w:val="00A126E6"/>
    <w:rsid w:val="00A13A05"/>
    <w:rsid w:val="00A14545"/>
    <w:rsid w:val="00A14F28"/>
    <w:rsid w:val="00A16B92"/>
    <w:rsid w:val="00A20E57"/>
    <w:rsid w:val="00A22BD3"/>
    <w:rsid w:val="00A303E8"/>
    <w:rsid w:val="00A31FA3"/>
    <w:rsid w:val="00A320D6"/>
    <w:rsid w:val="00A3257F"/>
    <w:rsid w:val="00A32BB2"/>
    <w:rsid w:val="00A334C0"/>
    <w:rsid w:val="00A334E0"/>
    <w:rsid w:val="00A35418"/>
    <w:rsid w:val="00A35E79"/>
    <w:rsid w:val="00A3652D"/>
    <w:rsid w:val="00A37508"/>
    <w:rsid w:val="00A41130"/>
    <w:rsid w:val="00A41C8C"/>
    <w:rsid w:val="00A432BD"/>
    <w:rsid w:val="00A45594"/>
    <w:rsid w:val="00A478E1"/>
    <w:rsid w:val="00A5180A"/>
    <w:rsid w:val="00A51AF3"/>
    <w:rsid w:val="00A52396"/>
    <w:rsid w:val="00A53F64"/>
    <w:rsid w:val="00A55AF1"/>
    <w:rsid w:val="00A56225"/>
    <w:rsid w:val="00A56939"/>
    <w:rsid w:val="00A56D12"/>
    <w:rsid w:val="00A60C31"/>
    <w:rsid w:val="00A61B13"/>
    <w:rsid w:val="00A642FA"/>
    <w:rsid w:val="00A648B4"/>
    <w:rsid w:val="00A648EB"/>
    <w:rsid w:val="00A65053"/>
    <w:rsid w:val="00A65A98"/>
    <w:rsid w:val="00A662DA"/>
    <w:rsid w:val="00A670DC"/>
    <w:rsid w:val="00A67111"/>
    <w:rsid w:val="00A71AF9"/>
    <w:rsid w:val="00A76FCD"/>
    <w:rsid w:val="00A809E1"/>
    <w:rsid w:val="00A81EF2"/>
    <w:rsid w:val="00A8287C"/>
    <w:rsid w:val="00A83895"/>
    <w:rsid w:val="00A83A4D"/>
    <w:rsid w:val="00A83FB6"/>
    <w:rsid w:val="00A85D67"/>
    <w:rsid w:val="00A86245"/>
    <w:rsid w:val="00A90564"/>
    <w:rsid w:val="00A9122F"/>
    <w:rsid w:val="00A91423"/>
    <w:rsid w:val="00A91513"/>
    <w:rsid w:val="00A91E25"/>
    <w:rsid w:val="00A92B72"/>
    <w:rsid w:val="00A95920"/>
    <w:rsid w:val="00A96D51"/>
    <w:rsid w:val="00A970BA"/>
    <w:rsid w:val="00AA01E7"/>
    <w:rsid w:val="00AA0358"/>
    <w:rsid w:val="00AA1E12"/>
    <w:rsid w:val="00AA210B"/>
    <w:rsid w:val="00AA26DE"/>
    <w:rsid w:val="00AA273A"/>
    <w:rsid w:val="00AA2A0E"/>
    <w:rsid w:val="00AA452E"/>
    <w:rsid w:val="00AA53C4"/>
    <w:rsid w:val="00AA6059"/>
    <w:rsid w:val="00AA6D67"/>
    <w:rsid w:val="00AA6DCB"/>
    <w:rsid w:val="00AA7DAC"/>
    <w:rsid w:val="00AB0F02"/>
    <w:rsid w:val="00AB2073"/>
    <w:rsid w:val="00AB5C9E"/>
    <w:rsid w:val="00AB69B7"/>
    <w:rsid w:val="00AB6FD4"/>
    <w:rsid w:val="00AC07FD"/>
    <w:rsid w:val="00AC39C2"/>
    <w:rsid w:val="00AC49E8"/>
    <w:rsid w:val="00AD2140"/>
    <w:rsid w:val="00AD3B83"/>
    <w:rsid w:val="00AD3F70"/>
    <w:rsid w:val="00AD4A5A"/>
    <w:rsid w:val="00AD513F"/>
    <w:rsid w:val="00AD5DB1"/>
    <w:rsid w:val="00AD676A"/>
    <w:rsid w:val="00AD7289"/>
    <w:rsid w:val="00AE21E9"/>
    <w:rsid w:val="00AE43A5"/>
    <w:rsid w:val="00AE5FD1"/>
    <w:rsid w:val="00AF0C8A"/>
    <w:rsid w:val="00AF0E0B"/>
    <w:rsid w:val="00AF2315"/>
    <w:rsid w:val="00AF3731"/>
    <w:rsid w:val="00AF47A8"/>
    <w:rsid w:val="00AF4C01"/>
    <w:rsid w:val="00AF7972"/>
    <w:rsid w:val="00AF79DC"/>
    <w:rsid w:val="00B001C1"/>
    <w:rsid w:val="00B0068A"/>
    <w:rsid w:val="00B0279C"/>
    <w:rsid w:val="00B05767"/>
    <w:rsid w:val="00B0700A"/>
    <w:rsid w:val="00B072AA"/>
    <w:rsid w:val="00B100A9"/>
    <w:rsid w:val="00B10662"/>
    <w:rsid w:val="00B138E0"/>
    <w:rsid w:val="00B14633"/>
    <w:rsid w:val="00B1492A"/>
    <w:rsid w:val="00B1533F"/>
    <w:rsid w:val="00B15C0A"/>
    <w:rsid w:val="00B169D1"/>
    <w:rsid w:val="00B16DFD"/>
    <w:rsid w:val="00B21135"/>
    <w:rsid w:val="00B21CFB"/>
    <w:rsid w:val="00B22A18"/>
    <w:rsid w:val="00B24CAE"/>
    <w:rsid w:val="00B2733E"/>
    <w:rsid w:val="00B30D0A"/>
    <w:rsid w:val="00B3271F"/>
    <w:rsid w:val="00B33920"/>
    <w:rsid w:val="00B34E7F"/>
    <w:rsid w:val="00B401FA"/>
    <w:rsid w:val="00B40C7D"/>
    <w:rsid w:val="00B42C23"/>
    <w:rsid w:val="00B439DA"/>
    <w:rsid w:val="00B43C55"/>
    <w:rsid w:val="00B44676"/>
    <w:rsid w:val="00B4469E"/>
    <w:rsid w:val="00B4538B"/>
    <w:rsid w:val="00B45742"/>
    <w:rsid w:val="00B458EC"/>
    <w:rsid w:val="00B4658A"/>
    <w:rsid w:val="00B473EA"/>
    <w:rsid w:val="00B47630"/>
    <w:rsid w:val="00B47FE3"/>
    <w:rsid w:val="00B57085"/>
    <w:rsid w:val="00B57FA8"/>
    <w:rsid w:val="00B602B1"/>
    <w:rsid w:val="00B60D8D"/>
    <w:rsid w:val="00B61481"/>
    <w:rsid w:val="00B61641"/>
    <w:rsid w:val="00B61CFF"/>
    <w:rsid w:val="00B652F5"/>
    <w:rsid w:val="00B66973"/>
    <w:rsid w:val="00B67156"/>
    <w:rsid w:val="00B67D80"/>
    <w:rsid w:val="00B7515D"/>
    <w:rsid w:val="00B761BE"/>
    <w:rsid w:val="00B77203"/>
    <w:rsid w:val="00B77A89"/>
    <w:rsid w:val="00B77C4E"/>
    <w:rsid w:val="00B80ACC"/>
    <w:rsid w:val="00B80F59"/>
    <w:rsid w:val="00B8114F"/>
    <w:rsid w:val="00B81728"/>
    <w:rsid w:val="00B817E5"/>
    <w:rsid w:val="00B83593"/>
    <w:rsid w:val="00B84374"/>
    <w:rsid w:val="00B9106A"/>
    <w:rsid w:val="00B91498"/>
    <w:rsid w:val="00B91D34"/>
    <w:rsid w:val="00B950C3"/>
    <w:rsid w:val="00B95325"/>
    <w:rsid w:val="00B964C0"/>
    <w:rsid w:val="00B97C2E"/>
    <w:rsid w:val="00BA05A3"/>
    <w:rsid w:val="00BA0777"/>
    <w:rsid w:val="00BA0B2E"/>
    <w:rsid w:val="00BA11B2"/>
    <w:rsid w:val="00BA14E5"/>
    <w:rsid w:val="00BA2387"/>
    <w:rsid w:val="00BA274D"/>
    <w:rsid w:val="00BA3707"/>
    <w:rsid w:val="00BA4384"/>
    <w:rsid w:val="00BA5066"/>
    <w:rsid w:val="00BA5AA7"/>
    <w:rsid w:val="00BA5B5E"/>
    <w:rsid w:val="00BA6B76"/>
    <w:rsid w:val="00BB09FF"/>
    <w:rsid w:val="00BB2057"/>
    <w:rsid w:val="00BB3B82"/>
    <w:rsid w:val="00BB63A1"/>
    <w:rsid w:val="00BC1E80"/>
    <w:rsid w:val="00BC2EE3"/>
    <w:rsid w:val="00BD1801"/>
    <w:rsid w:val="00BD25EC"/>
    <w:rsid w:val="00BD26F1"/>
    <w:rsid w:val="00BD34CD"/>
    <w:rsid w:val="00BD46DC"/>
    <w:rsid w:val="00BD4DEA"/>
    <w:rsid w:val="00BD77DF"/>
    <w:rsid w:val="00BE0447"/>
    <w:rsid w:val="00BE0EB1"/>
    <w:rsid w:val="00BE1CE9"/>
    <w:rsid w:val="00BE21EC"/>
    <w:rsid w:val="00BE2FFA"/>
    <w:rsid w:val="00BE4556"/>
    <w:rsid w:val="00BE4930"/>
    <w:rsid w:val="00BE5BC0"/>
    <w:rsid w:val="00BE73CC"/>
    <w:rsid w:val="00BE787F"/>
    <w:rsid w:val="00BF0329"/>
    <w:rsid w:val="00BF08CF"/>
    <w:rsid w:val="00BF1ED3"/>
    <w:rsid w:val="00BF3367"/>
    <w:rsid w:val="00BF37AC"/>
    <w:rsid w:val="00BF3D2C"/>
    <w:rsid w:val="00BF47FE"/>
    <w:rsid w:val="00BF4D77"/>
    <w:rsid w:val="00BF527D"/>
    <w:rsid w:val="00C00CE0"/>
    <w:rsid w:val="00C02B82"/>
    <w:rsid w:val="00C02D35"/>
    <w:rsid w:val="00C03543"/>
    <w:rsid w:val="00C0450E"/>
    <w:rsid w:val="00C06E40"/>
    <w:rsid w:val="00C10B67"/>
    <w:rsid w:val="00C10CBB"/>
    <w:rsid w:val="00C11FA2"/>
    <w:rsid w:val="00C131F2"/>
    <w:rsid w:val="00C140B0"/>
    <w:rsid w:val="00C14D8D"/>
    <w:rsid w:val="00C1706D"/>
    <w:rsid w:val="00C17468"/>
    <w:rsid w:val="00C177EF"/>
    <w:rsid w:val="00C24907"/>
    <w:rsid w:val="00C25D88"/>
    <w:rsid w:val="00C26986"/>
    <w:rsid w:val="00C30E01"/>
    <w:rsid w:val="00C31153"/>
    <w:rsid w:val="00C32006"/>
    <w:rsid w:val="00C3271C"/>
    <w:rsid w:val="00C32D95"/>
    <w:rsid w:val="00C33858"/>
    <w:rsid w:val="00C33F92"/>
    <w:rsid w:val="00C36E2C"/>
    <w:rsid w:val="00C3753A"/>
    <w:rsid w:val="00C37A6C"/>
    <w:rsid w:val="00C37BE5"/>
    <w:rsid w:val="00C46172"/>
    <w:rsid w:val="00C47BDF"/>
    <w:rsid w:val="00C50119"/>
    <w:rsid w:val="00C503D1"/>
    <w:rsid w:val="00C5435D"/>
    <w:rsid w:val="00C57C07"/>
    <w:rsid w:val="00C59D3A"/>
    <w:rsid w:val="00C60A7F"/>
    <w:rsid w:val="00C61E24"/>
    <w:rsid w:val="00C62668"/>
    <w:rsid w:val="00C62892"/>
    <w:rsid w:val="00C65AB4"/>
    <w:rsid w:val="00C65E6B"/>
    <w:rsid w:val="00C66270"/>
    <w:rsid w:val="00C707F3"/>
    <w:rsid w:val="00C70974"/>
    <w:rsid w:val="00C72F3A"/>
    <w:rsid w:val="00C7381F"/>
    <w:rsid w:val="00C75789"/>
    <w:rsid w:val="00C77AA2"/>
    <w:rsid w:val="00C77CD7"/>
    <w:rsid w:val="00C8028B"/>
    <w:rsid w:val="00C82E0A"/>
    <w:rsid w:val="00C84B74"/>
    <w:rsid w:val="00C8648E"/>
    <w:rsid w:val="00C920F8"/>
    <w:rsid w:val="00C9256C"/>
    <w:rsid w:val="00C93570"/>
    <w:rsid w:val="00C95173"/>
    <w:rsid w:val="00C960B7"/>
    <w:rsid w:val="00C96B41"/>
    <w:rsid w:val="00C97208"/>
    <w:rsid w:val="00CA03C1"/>
    <w:rsid w:val="00CA1581"/>
    <w:rsid w:val="00CA31FA"/>
    <w:rsid w:val="00CA4E41"/>
    <w:rsid w:val="00CA5099"/>
    <w:rsid w:val="00CA519C"/>
    <w:rsid w:val="00CA5328"/>
    <w:rsid w:val="00CA6963"/>
    <w:rsid w:val="00CA7DCA"/>
    <w:rsid w:val="00CB0B85"/>
    <w:rsid w:val="00CB0BB4"/>
    <w:rsid w:val="00CB2CB0"/>
    <w:rsid w:val="00CB2EAD"/>
    <w:rsid w:val="00CB388C"/>
    <w:rsid w:val="00CB47DD"/>
    <w:rsid w:val="00CB7D8F"/>
    <w:rsid w:val="00CC0ECB"/>
    <w:rsid w:val="00CC114B"/>
    <w:rsid w:val="00CC1740"/>
    <w:rsid w:val="00CC4C91"/>
    <w:rsid w:val="00CC50D4"/>
    <w:rsid w:val="00CC514F"/>
    <w:rsid w:val="00CC5E9E"/>
    <w:rsid w:val="00CC622E"/>
    <w:rsid w:val="00CD2B75"/>
    <w:rsid w:val="00CD6B3E"/>
    <w:rsid w:val="00CE0930"/>
    <w:rsid w:val="00CE1D3B"/>
    <w:rsid w:val="00CE2DB4"/>
    <w:rsid w:val="00CE3C6A"/>
    <w:rsid w:val="00CE3DDF"/>
    <w:rsid w:val="00CE3FE2"/>
    <w:rsid w:val="00CE50BB"/>
    <w:rsid w:val="00CE5151"/>
    <w:rsid w:val="00CE58F1"/>
    <w:rsid w:val="00CE63FE"/>
    <w:rsid w:val="00CF28C3"/>
    <w:rsid w:val="00CF43A3"/>
    <w:rsid w:val="00CF6814"/>
    <w:rsid w:val="00CF75B4"/>
    <w:rsid w:val="00D022D7"/>
    <w:rsid w:val="00D032DB"/>
    <w:rsid w:val="00D0534A"/>
    <w:rsid w:val="00D11D1C"/>
    <w:rsid w:val="00D161C9"/>
    <w:rsid w:val="00D16BA2"/>
    <w:rsid w:val="00D17484"/>
    <w:rsid w:val="00D1779C"/>
    <w:rsid w:val="00D20126"/>
    <w:rsid w:val="00D20A4C"/>
    <w:rsid w:val="00D216E7"/>
    <w:rsid w:val="00D21B9E"/>
    <w:rsid w:val="00D2374B"/>
    <w:rsid w:val="00D23963"/>
    <w:rsid w:val="00D262F4"/>
    <w:rsid w:val="00D27FB7"/>
    <w:rsid w:val="00D316A9"/>
    <w:rsid w:val="00D32972"/>
    <w:rsid w:val="00D33A10"/>
    <w:rsid w:val="00D33A35"/>
    <w:rsid w:val="00D3401A"/>
    <w:rsid w:val="00D3461A"/>
    <w:rsid w:val="00D3A868"/>
    <w:rsid w:val="00D40274"/>
    <w:rsid w:val="00D45EB2"/>
    <w:rsid w:val="00D466A5"/>
    <w:rsid w:val="00D47C2C"/>
    <w:rsid w:val="00D47C9E"/>
    <w:rsid w:val="00D51B53"/>
    <w:rsid w:val="00D523BF"/>
    <w:rsid w:val="00D525A5"/>
    <w:rsid w:val="00D541CD"/>
    <w:rsid w:val="00D61066"/>
    <w:rsid w:val="00D61127"/>
    <w:rsid w:val="00D63BFD"/>
    <w:rsid w:val="00D6533C"/>
    <w:rsid w:val="00D65618"/>
    <w:rsid w:val="00D65FCB"/>
    <w:rsid w:val="00D668FB"/>
    <w:rsid w:val="00D66DDD"/>
    <w:rsid w:val="00D67294"/>
    <w:rsid w:val="00D70FBA"/>
    <w:rsid w:val="00D7200A"/>
    <w:rsid w:val="00D72284"/>
    <w:rsid w:val="00D72F18"/>
    <w:rsid w:val="00D73A9E"/>
    <w:rsid w:val="00D76B6C"/>
    <w:rsid w:val="00D76F93"/>
    <w:rsid w:val="00D77367"/>
    <w:rsid w:val="00D77D37"/>
    <w:rsid w:val="00D81260"/>
    <w:rsid w:val="00D81903"/>
    <w:rsid w:val="00D8278D"/>
    <w:rsid w:val="00D83E86"/>
    <w:rsid w:val="00D84BD1"/>
    <w:rsid w:val="00D8592B"/>
    <w:rsid w:val="00D8608B"/>
    <w:rsid w:val="00D87C16"/>
    <w:rsid w:val="00D90526"/>
    <w:rsid w:val="00D907DF"/>
    <w:rsid w:val="00D91578"/>
    <w:rsid w:val="00D91919"/>
    <w:rsid w:val="00D92036"/>
    <w:rsid w:val="00D92E70"/>
    <w:rsid w:val="00D94BA8"/>
    <w:rsid w:val="00D95825"/>
    <w:rsid w:val="00DA017D"/>
    <w:rsid w:val="00DA0655"/>
    <w:rsid w:val="00DA14E6"/>
    <w:rsid w:val="00DA33EA"/>
    <w:rsid w:val="00DA3DA0"/>
    <w:rsid w:val="00DA4BCB"/>
    <w:rsid w:val="00DA5227"/>
    <w:rsid w:val="00DA54C6"/>
    <w:rsid w:val="00DA7167"/>
    <w:rsid w:val="00DA772B"/>
    <w:rsid w:val="00DB1308"/>
    <w:rsid w:val="00DB3CF4"/>
    <w:rsid w:val="00DB62BD"/>
    <w:rsid w:val="00DC1933"/>
    <w:rsid w:val="00DC4F0B"/>
    <w:rsid w:val="00DC7CC2"/>
    <w:rsid w:val="00DD0FE9"/>
    <w:rsid w:val="00DD2C98"/>
    <w:rsid w:val="00DD4BA4"/>
    <w:rsid w:val="00DD5B95"/>
    <w:rsid w:val="00DE0426"/>
    <w:rsid w:val="00DE4650"/>
    <w:rsid w:val="00DE5F20"/>
    <w:rsid w:val="00DE6230"/>
    <w:rsid w:val="00DF1075"/>
    <w:rsid w:val="00DF116E"/>
    <w:rsid w:val="00DF4C3A"/>
    <w:rsid w:val="00DF5175"/>
    <w:rsid w:val="00E00077"/>
    <w:rsid w:val="00E03044"/>
    <w:rsid w:val="00E03E06"/>
    <w:rsid w:val="00E04EFC"/>
    <w:rsid w:val="00E04F13"/>
    <w:rsid w:val="00E05241"/>
    <w:rsid w:val="00E05336"/>
    <w:rsid w:val="00E07AB6"/>
    <w:rsid w:val="00E1142C"/>
    <w:rsid w:val="00E11E16"/>
    <w:rsid w:val="00E14608"/>
    <w:rsid w:val="00E16B00"/>
    <w:rsid w:val="00E20470"/>
    <w:rsid w:val="00E208CE"/>
    <w:rsid w:val="00E237A3"/>
    <w:rsid w:val="00E245E5"/>
    <w:rsid w:val="00E3099A"/>
    <w:rsid w:val="00E34782"/>
    <w:rsid w:val="00E3604F"/>
    <w:rsid w:val="00E400E9"/>
    <w:rsid w:val="00E40494"/>
    <w:rsid w:val="00E4076A"/>
    <w:rsid w:val="00E41293"/>
    <w:rsid w:val="00E412E9"/>
    <w:rsid w:val="00E41A45"/>
    <w:rsid w:val="00E42AD3"/>
    <w:rsid w:val="00E4359C"/>
    <w:rsid w:val="00E437CE"/>
    <w:rsid w:val="00E451A9"/>
    <w:rsid w:val="00E45292"/>
    <w:rsid w:val="00E46F7F"/>
    <w:rsid w:val="00E50E00"/>
    <w:rsid w:val="00E50FAB"/>
    <w:rsid w:val="00E5179B"/>
    <w:rsid w:val="00E51F34"/>
    <w:rsid w:val="00E52484"/>
    <w:rsid w:val="00E5313C"/>
    <w:rsid w:val="00E54874"/>
    <w:rsid w:val="00E54A30"/>
    <w:rsid w:val="00E54CD4"/>
    <w:rsid w:val="00E55430"/>
    <w:rsid w:val="00E55E75"/>
    <w:rsid w:val="00E56314"/>
    <w:rsid w:val="00E565A5"/>
    <w:rsid w:val="00E60575"/>
    <w:rsid w:val="00E62038"/>
    <w:rsid w:val="00E625D5"/>
    <w:rsid w:val="00E62BC5"/>
    <w:rsid w:val="00E63FA2"/>
    <w:rsid w:val="00E64650"/>
    <w:rsid w:val="00E65300"/>
    <w:rsid w:val="00E658E3"/>
    <w:rsid w:val="00E70F2C"/>
    <w:rsid w:val="00E71AE1"/>
    <w:rsid w:val="00E72B47"/>
    <w:rsid w:val="00E72BBE"/>
    <w:rsid w:val="00E73690"/>
    <w:rsid w:val="00E73762"/>
    <w:rsid w:val="00E744F8"/>
    <w:rsid w:val="00E74675"/>
    <w:rsid w:val="00E75F43"/>
    <w:rsid w:val="00E80160"/>
    <w:rsid w:val="00E81A8F"/>
    <w:rsid w:val="00E8245D"/>
    <w:rsid w:val="00E84559"/>
    <w:rsid w:val="00E86122"/>
    <w:rsid w:val="00E867BF"/>
    <w:rsid w:val="00E90D84"/>
    <w:rsid w:val="00E90ECE"/>
    <w:rsid w:val="00E910C1"/>
    <w:rsid w:val="00E911DC"/>
    <w:rsid w:val="00E91DC3"/>
    <w:rsid w:val="00E92719"/>
    <w:rsid w:val="00E9296C"/>
    <w:rsid w:val="00E92AE0"/>
    <w:rsid w:val="00E9463D"/>
    <w:rsid w:val="00E9544E"/>
    <w:rsid w:val="00E959C1"/>
    <w:rsid w:val="00E976D6"/>
    <w:rsid w:val="00E97DC8"/>
    <w:rsid w:val="00EA0718"/>
    <w:rsid w:val="00EA0D98"/>
    <w:rsid w:val="00EA2F16"/>
    <w:rsid w:val="00EA3B3D"/>
    <w:rsid w:val="00EA3C2C"/>
    <w:rsid w:val="00EA3D5F"/>
    <w:rsid w:val="00EB0040"/>
    <w:rsid w:val="00EB1859"/>
    <w:rsid w:val="00EB4675"/>
    <w:rsid w:val="00EB5B44"/>
    <w:rsid w:val="00EB7108"/>
    <w:rsid w:val="00EB777D"/>
    <w:rsid w:val="00EC0B26"/>
    <w:rsid w:val="00EC1EB9"/>
    <w:rsid w:val="00EC39F8"/>
    <w:rsid w:val="00EC3CEE"/>
    <w:rsid w:val="00EC647A"/>
    <w:rsid w:val="00EC7505"/>
    <w:rsid w:val="00EC7E0A"/>
    <w:rsid w:val="00ECF82B"/>
    <w:rsid w:val="00ED04FD"/>
    <w:rsid w:val="00ED2411"/>
    <w:rsid w:val="00ED268B"/>
    <w:rsid w:val="00ED333A"/>
    <w:rsid w:val="00ED56B8"/>
    <w:rsid w:val="00ED5A07"/>
    <w:rsid w:val="00ED5D9A"/>
    <w:rsid w:val="00ED6DE3"/>
    <w:rsid w:val="00ED75C9"/>
    <w:rsid w:val="00ED7EC6"/>
    <w:rsid w:val="00EDF2FB"/>
    <w:rsid w:val="00EE07E8"/>
    <w:rsid w:val="00EE1528"/>
    <w:rsid w:val="00EE1C80"/>
    <w:rsid w:val="00EE455A"/>
    <w:rsid w:val="00EE55C3"/>
    <w:rsid w:val="00EE60B0"/>
    <w:rsid w:val="00EE6D67"/>
    <w:rsid w:val="00EE779C"/>
    <w:rsid w:val="00EF632B"/>
    <w:rsid w:val="00EF6FE0"/>
    <w:rsid w:val="00F00D34"/>
    <w:rsid w:val="00F0322C"/>
    <w:rsid w:val="00F054A6"/>
    <w:rsid w:val="00F057A3"/>
    <w:rsid w:val="00F074D3"/>
    <w:rsid w:val="00F07EBF"/>
    <w:rsid w:val="00F0FF35"/>
    <w:rsid w:val="00F116EE"/>
    <w:rsid w:val="00F12CB9"/>
    <w:rsid w:val="00F12E89"/>
    <w:rsid w:val="00F12F9F"/>
    <w:rsid w:val="00F130CE"/>
    <w:rsid w:val="00F16D66"/>
    <w:rsid w:val="00F17576"/>
    <w:rsid w:val="00F21F90"/>
    <w:rsid w:val="00F220D7"/>
    <w:rsid w:val="00F232A1"/>
    <w:rsid w:val="00F23CEF"/>
    <w:rsid w:val="00F269B7"/>
    <w:rsid w:val="00F30610"/>
    <w:rsid w:val="00F32122"/>
    <w:rsid w:val="00F32598"/>
    <w:rsid w:val="00F32F98"/>
    <w:rsid w:val="00F3345C"/>
    <w:rsid w:val="00F33670"/>
    <w:rsid w:val="00F33A91"/>
    <w:rsid w:val="00F354FE"/>
    <w:rsid w:val="00F35A18"/>
    <w:rsid w:val="00F41B67"/>
    <w:rsid w:val="00F42192"/>
    <w:rsid w:val="00F44AA6"/>
    <w:rsid w:val="00F452B8"/>
    <w:rsid w:val="00F45855"/>
    <w:rsid w:val="00F46872"/>
    <w:rsid w:val="00F47236"/>
    <w:rsid w:val="00F50DBF"/>
    <w:rsid w:val="00F52612"/>
    <w:rsid w:val="00F52D25"/>
    <w:rsid w:val="00F536DC"/>
    <w:rsid w:val="00F5424D"/>
    <w:rsid w:val="00F54BA3"/>
    <w:rsid w:val="00F55056"/>
    <w:rsid w:val="00F55A29"/>
    <w:rsid w:val="00F565EE"/>
    <w:rsid w:val="00F60916"/>
    <w:rsid w:val="00F61529"/>
    <w:rsid w:val="00F65DD7"/>
    <w:rsid w:val="00F67280"/>
    <w:rsid w:val="00F716C5"/>
    <w:rsid w:val="00F72FF7"/>
    <w:rsid w:val="00F73514"/>
    <w:rsid w:val="00F73EE1"/>
    <w:rsid w:val="00F74F09"/>
    <w:rsid w:val="00F74F19"/>
    <w:rsid w:val="00F76360"/>
    <w:rsid w:val="00F76A34"/>
    <w:rsid w:val="00F76AD6"/>
    <w:rsid w:val="00F76E3F"/>
    <w:rsid w:val="00F77446"/>
    <w:rsid w:val="00F80A72"/>
    <w:rsid w:val="00F81F1C"/>
    <w:rsid w:val="00F839E9"/>
    <w:rsid w:val="00F84864"/>
    <w:rsid w:val="00F8492C"/>
    <w:rsid w:val="00F84ABC"/>
    <w:rsid w:val="00F86ECE"/>
    <w:rsid w:val="00F90229"/>
    <w:rsid w:val="00F9077F"/>
    <w:rsid w:val="00F919A2"/>
    <w:rsid w:val="00F91DDC"/>
    <w:rsid w:val="00F92745"/>
    <w:rsid w:val="00F94474"/>
    <w:rsid w:val="00F95799"/>
    <w:rsid w:val="00FA36FA"/>
    <w:rsid w:val="00FA4BAA"/>
    <w:rsid w:val="00FA5662"/>
    <w:rsid w:val="00FA5F2C"/>
    <w:rsid w:val="00FA7CC8"/>
    <w:rsid w:val="00FB0769"/>
    <w:rsid w:val="00FB097A"/>
    <w:rsid w:val="00FB3B8B"/>
    <w:rsid w:val="00FB4DAD"/>
    <w:rsid w:val="00FC01F4"/>
    <w:rsid w:val="00FC1A38"/>
    <w:rsid w:val="00FC25F4"/>
    <w:rsid w:val="00FC2FB6"/>
    <w:rsid w:val="00FC3481"/>
    <w:rsid w:val="00FC3639"/>
    <w:rsid w:val="00FC4F78"/>
    <w:rsid w:val="00FC507D"/>
    <w:rsid w:val="00FC5F6F"/>
    <w:rsid w:val="00FC72CD"/>
    <w:rsid w:val="00FC7EB9"/>
    <w:rsid w:val="00FD1B57"/>
    <w:rsid w:val="00FD36E3"/>
    <w:rsid w:val="00FD3D2C"/>
    <w:rsid w:val="00FD3DE0"/>
    <w:rsid w:val="00FD53DD"/>
    <w:rsid w:val="00FD5CF6"/>
    <w:rsid w:val="00FD727B"/>
    <w:rsid w:val="00FE21AC"/>
    <w:rsid w:val="00FE2474"/>
    <w:rsid w:val="00FE28AA"/>
    <w:rsid w:val="00FE2F45"/>
    <w:rsid w:val="00FE3500"/>
    <w:rsid w:val="00FE3AF6"/>
    <w:rsid w:val="00FE44B1"/>
    <w:rsid w:val="00FE4974"/>
    <w:rsid w:val="00FE5CD0"/>
    <w:rsid w:val="00FF0B41"/>
    <w:rsid w:val="00FF27F7"/>
    <w:rsid w:val="00FF4C41"/>
    <w:rsid w:val="00FF6EF1"/>
    <w:rsid w:val="010C4909"/>
    <w:rsid w:val="012B095A"/>
    <w:rsid w:val="013B0A95"/>
    <w:rsid w:val="0149EFF8"/>
    <w:rsid w:val="014BA971"/>
    <w:rsid w:val="014D7E8A"/>
    <w:rsid w:val="01516D02"/>
    <w:rsid w:val="01570C29"/>
    <w:rsid w:val="01767353"/>
    <w:rsid w:val="018A1977"/>
    <w:rsid w:val="0197D9E6"/>
    <w:rsid w:val="01AA0D64"/>
    <w:rsid w:val="01AC371B"/>
    <w:rsid w:val="01B1F734"/>
    <w:rsid w:val="01C0930C"/>
    <w:rsid w:val="01C1FD20"/>
    <w:rsid w:val="01E79E23"/>
    <w:rsid w:val="01E7B79D"/>
    <w:rsid w:val="01E8DD90"/>
    <w:rsid w:val="01EA3496"/>
    <w:rsid w:val="01F8C125"/>
    <w:rsid w:val="020C2A47"/>
    <w:rsid w:val="021BCC5D"/>
    <w:rsid w:val="023B1470"/>
    <w:rsid w:val="02471FCF"/>
    <w:rsid w:val="02502E32"/>
    <w:rsid w:val="025389C7"/>
    <w:rsid w:val="0258AEDA"/>
    <w:rsid w:val="026A7645"/>
    <w:rsid w:val="027B3E1B"/>
    <w:rsid w:val="0281D5D6"/>
    <w:rsid w:val="0298E2D9"/>
    <w:rsid w:val="029CA08B"/>
    <w:rsid w:val="02C38F1E"/>
    <w:rsid w:val="02D7A0F3"/>
    <w:rsid w:val="02DA46FE"/>
    <w:rsid w:val="02DFFD01"/>
    <w:rsid w:val="02E815CD"/>
    <w:rsid w:val="02FE22A1"/>
    <w:rsid w:val="030A206D"/>
    <w:rsid w:val="0310D7B0"/>
    <w:rsid w:val="03268C42"/>
    <w:rsid w:val="0349BC57"/>
    <w:rsid w:val="0358D9A0"/>
    <w:rsid w:val="035D25D9"/>
    <w:rsid w:val="0362ED1F"/>
    <w:rsid w:val="0363762E"/>
    <w:rsid w:val="0377C8B6"/>
    <w:rsid w:val="037F267C"/>
    <w:rsid w:val="0395B2F7"/>
    <w:rsid w:val="03966A88"/>
    <w:rsid w:val="039A794D"/>
    <w:rsid w:val="039EA9F6"/>
    <w:rsid w:val="03B30D07"/>
    <w:rsid w:val="03B98B03"/>
    <w:rsid w:val="03C7A56A"/>
    <w:rsid w:val="03C9C4E5"/>
    <w:rsid w:val="03D55B35"/>
    <w:rsid w:val="03D8C159"/>
    <w:rsid w:val="040827A1"/>
    <w:rsid w:val="040E57A1"/>
    <w:rsid w:val="042498ED"/>
    <w:rsid w:val="042593BD"/>
    <w:rsid w:val="04304A83"/>
    <w:rsid w:val="0436CE94"/>
    <w:rsid w:val="04406677"/>
    <w:rsid w:val="0443E9CB"/>
    <w:rsid w:val="04440BEB"/>
    <w:rsid w:val="044F43EC"/>
    <w:rsid w:val="04586C65"/>
    <w:rsid w:val="046B2632"/>
    <w:rsid w:val="046E65B2"/>
    <w:rsid w:val="0484092F"/>
    <w:rsid w:val="0488DA3B"/>
    <w:rsid w:val="049CBD94"/>
    <w:rsid w:val="04A5F0CE"/>
    <w:rsid w:val="04B3A4E8"/>
    <w:rsid w:val="04B5B02A"/>
    <w:rsid w:val="04C7F4C2"/>
    <w:rsid w:val="04E3158F"/>
    <w:rsid w:val="0504C5C8"/>
    <w:rsid w:val="051BEBD5"/>
    <w:rsid w:val="05469F01"/>
    <w:rsid w:val="054C6DE5"/>
    <w:rsid w:val="0561BF18"/>
    <w:rsid w:val="056FB5F1"/>
    <w:rsid w:val="05947C0D"/>
    <w:rsid w:val="05A89299"/>
    <w:rsid w:val="05B5372E"/>
    <w:rsid w:val="05BAB54A"/>
    <w:rsid w:val="05E38708"/>
    <w:rsid w:val="05E82C21"/>
    <w:rsid w:val="05E8A5A7"/>
    <w:rsid w:val="05EAAC18"/>
    <w:rsid w:val="05F59A46"/>
    <w:rsid w:val="06068E32"/>
    <w:rsid w:val="061114B7"/>
    <w:rsid w:val="0617B905"/>
    <w:rsid w:val="06183418"/>
    <w:rsid w:val="06206178"/>
    <w:rsid w:val="065BB50B"/>
    <w:rsid w:val="06683498"/>
    <w:rsid w:val="0680C7D0"/>
    <w:rsid w:val="0684712A"/>
    <w:rsid w:val="06BDA5B9"/>
    <w:rsid w:val="06CA8207"/>
    <w:rsid w:val="06CF6DB3"/>
    <w:rsid w:val="06DA122D"/>
    <w:rsid w:val="06E79174"/>
    <w:rsid w:val="0706690A"/>
    <w:rsid w:val="072B2164"/>
    <w:rsid w:val="074E3185"/>
    <w:rsid w:val="07631EA3"/>
    <w:rsid w:val="077CAD3A"/>
    <w:rsid w:val="078035AC"/>
    <w:rsid w:val="07AA8420"/>
    <w:rsid w:val="07C1006B"/>
    <w:rsid w:val="07C39AB9"/>
    <w:rsid w:val="07C9A017"/>
    <w:rsid w:val="07CA9109"/>
    <w:rsid w:val="07D5B0C7"/>
    <w:rsid w:val="07D9459A"/>
    <w:rsid w:val="07E268FB"/>
    <w:rsid w:val="07E49B8E"/>
    <w:rsid w:val="080F503E"/>
    <w:rsid w:val="082CD439"/>
    <w:rsid w:val="08483B43"/>
    <w:rsid w:val="08502894"/>
    <w:rsid w:val="085282FD"/>
    <w:rsid w:val="085EEAE2"/>
    <w:rsid w:val="086B3E14"/>
    <w:rsid w:val="087F9B30"/>
    <w:rsid w:val="088C94BE"/>
    <w:rsid w:val="089E20D2"/>
    <w:rsid w:val="08A82759"/>
    <w:rsid w:val="08ABC682"/>
    <w:rsid w:val="08BF859A"/>
    <w:rsid w:val="08C46DEE"/>
    <w:rsid w:val="08EEA599"/>
    <w:rsid w:val="08FCA277"/>
    <w:rsid w:val="08FFA26D"/>
    <w:rsid w:val="0903F4AB"/>
    <w:rsid w:val="090D8040"/>
    <w:rsid w:val="0910A998"/>
    <w:rsid w:val="09136B3A"/>
    <w:rsid w:val="0924DBDE"/>
    <w:rsid w:val="093E786C"/>
    <w:rsid w:val="0947AE39"/>
    <w:rsid w:val="09634249"/>
    <w:rsid w:val="096572A4"/>
    <w:rsid w:val="097AA787"/>
    <w:rsid w:val="097DAF17"/>
    <w:rsid w:val="0985864B"/>
    <w:rsid w:val="09AAC743"/>
    <w:rsid w:val="09C3A5F1"/>
    <w:rsid w:val="09CD275C"/>
    <w:rsid w:val="09D669E1"/>
    <w:rsid w:val="09D68A8A"/>
    <w:rsid w:val="09DE026A"/>
    <w:rsid w:val="09EB0D38"/>
    <w:rsid w:val="09FE02AA"/>
    <w:rsid w:val="0A2860F8"/>
    <w:rsid w:val="0A39F133"/>
    <w:rsid w:val="0A4128ED"/>
    <w:rsid w:val="0A41C5CD"/>
    <w:rsid w:val="0A4719DC"/>
    <w:rsid w:val="0A51F5BA"/>
    <w:rsid w:val="0A578A8D"/>
    <w:rsid w:val="0A593B11"/>
    <w:rsid w:val="0A717F1F"/>
    <w:rsid w:val="0A719DD7"/>
    <w:rsid w:val="0A9F343E"/>
    <w:rsid w:val="0ABCE07D"/>
    <w:rsid w:val="0ACE1901"/>
    <w:rsid w:val="0ACFD9FC"/>
    <w:rsid w:val="0AD4F14D"/>
    <w:rsid w:val="0AE1ECDB"/>
    <w:rsid w:val="0AF2E6A3"/>
    <w:rsid w:val="0B112BAD"/>
    <w:rsid w:val="0B148D33"/>
    <w:rsid w:val="0B2856A8"/>
    <w:rsid w:val="0B44A1C5"/>
    <w:rsid w:val="0B5F7652"/>
    <w:rsid w:val="0B866F27"/>
    <w:rsid w:val="0B959735"/>
    <w:rsid w:val="0BA748D9"/>
    <w:rsid w:val="0BAF54BD"/>
    <w:rsid w:val="0BB28D0E"/>
    <w:rsid w:val="0BBE5A56"/>
    <w:rsid w:val="0BC10731"/>
    <w:rsid w:val="0BC7CB29"/>
    <w:rsid w:val="0BC95514"/>
    <w:rsid w:val="0BCDC248"/>
    <w:rsid w:val="0BD5C194"/>
    <w:rsid w:val="0C0120E7"/>
    <w:rsid w:val="0C157FC7"/>
    <w:rsid w:val="0C20AC1D"/>
    <w:rsid w:val="0C30A5A2"/>
    <w:rsid w:val="0C51AFC4"/>
    <w:rsid w:val="0C5B4544"/>
    <w:rsid w:val="0C683481"/>
    <w:rsid w:val="0C71A7A0"/>
    <w:rsid w:val="0C8E215D"/>
    <w:rsid w:val="0C9D10CF"/>
    <w:rsid w:val="0CA68C5A"/>
    <w:rsid w:val="0CAB3768"/>
    <w:rsid w:val="0CB4A6DF"/>
    <w:rsid w:val="0CCE271F"/>
    <w:rsid w:val="0CD277B8"/>
    <w:rsid w:val="0CDA933E"/>
    <w:rsid w:val="0CDE670D"/>
    <w:rsid w:val="0CFB46B3"/>
    <w:rsid w:val="0D0263EC"/>
    <w:rsid w:val="0D032E1C"/>
    <w:rsid w:val="0D2117B7"/>
    <w:rsid w:val="0D2DF658"/>
    <w:rsid w:val="0D386B30"/>
    <w:rsid w:val="0D47CAAB"/>
    <w:rsid w:val="0D4884DE"/>
    <w:rsid w:val="0D70B2BF"/>
    <w:rsid w:val="0D8D1E62"/>
    <w:rsid w:val="0D9574BE"/>
    <w:rsid w:val="0D9A6027"/>
    <w:rsid w:val="0DC49642"/>
    <w:rsid w:val="0DD4C7CF"/>
    <w:rsid w:val="0DD7962B"/>
    <w:rsid w:val="0DEC33AB"/>
    <w:rsid w:val="0E030747"/>
    <w:rsid w:val="0E15DC64"/>
    <w:rsid w:val="0E16CCBF"/>
    <w:rsid w:val="0E21E9C1"/>
    <w:rsid w:val="0E355C14"/>
    <w:rsid w:val="0E415ED1"/>
    <w:rsid w:val="0E4A12CA"/>
    <w:rsid w:val="0E55264A"/>
    <w:rsid w:val="0E61DEDD"/>
    <w:rsid w:val="0E65E77C"/>
    <w:rsid w:val="0E6B1045"/>
    <w:rsid w:val="0E6FC07A"/>
    <w:rsid w:val="0E7E4A74"/>
    <w:rsid w:val="0E86815A"/>
    <w:rsid w:val="0E88CF4B"/>
    <w:rsid w:val="0E8CC54A"/>
    <w:rsid w:val="0E971714"/>
    <w:rsid w:val="0E98569F"/>
    <w:rsid w:val="0E9BAB4E"/>
    <w:rsid w:val="0EA2C60D"/>
    <w:rsid w:val="0EA91D95"/>
    <w:rsid w:val="0EBB4A47"/>
    <w:rsid w:val="0EC6BDD3"/>
    <w:rsid w:val="0EC8DBA1"/>
    <w:rsid w:val="0EE9F00B"/>
    <w:rsid w:val="0EFC81AB"/>
    <w:rsid w:val="0F0F4FFC"/>
    <w:rsid w:val="0F154FDC"/>
    <w:rsid w:val="0F1592F4"/>
    <w:rsid w:val="0F30D4E7"/>
    <w:rsid w:val="0F31714E"/>
    <w:rsid w:val="0F35DFC3"/>
    <w:rsid w:val="0F363088"/>
    <w:rsid w:val="0F3A292E"/>
    <w:rsid w:val="0F584CDF"/>
    <w:rsid w:val="0F59F6A1"/>
    <w:rsid w:val="0F6B7F27"/>
    <w:rsid w:val="0F90FD86"/>
    <w:rsid w:val="0FA8107C"/>
    <w:rsid w:val="0FB4806D"/>
    <w:rsid w:val="0FB95B70"/>
    <w:rsid w:val="0FC85FF0"/>
    <w:rsid w:val="0FEC2791"/>
    <w:rsid w:val="0FFAE185"/>
    <w:rsid w:val="1001D9B5"/>
    <w:rsid w:val="10020185"/>
    <w:rsid w:val="100680F9"/>
    <w:rsid w:val="1006E0A6"/>
    <w:rsid w:val="100856C8"/>
    <w:rsid w:val="100BCB8D"/>
    <w:rsid w:val="100CE2CB"/>
    <w:rsid w:val="101AED04"/>
    <w:rsid w:val="102EDABC"/>
    <w:rsid w:val="1032E775"/>
    <w:rsid w:val="103A3206"/>
    <w:rsid w:val="103B75BC"/>
    <w:rsid w:val="104A6A2D"/>
    <w:rsid w:val="1062D465"/>
    <w:rsid w:val="1091D208"/>
    <w:rsid w:val="10B27200"/>
    <w:rsid w:val="10C742F1"/>
    <w:rsid w:val="10D15EA8"/>
    <w:rsid w:val="11120CBE"/>
    <w:rsid w:val="11143DDC"/>
    <w:rsid w:val="111EC5EE"/>
    <w:rsid w:val="112489C0"/>
    <w:rsid w:val="1137E53F"/>
    <w:rsid w:val="1140C057"/>
    <w:rsid w:val="116D6F3B"/>
    <w:rsid w:val="1175F157"/>
    <w:rsid w:val="1189AD1B"/>
    <w:rsid w:val="119B2233"/>
    <w:rsid w:val="11A05A65"/>
    <w:rsid w:val="11A49327"/>
    <w:rsid w:val="11AD88F8"/>
    <w:rsid w:val="11B3748E"/>
    <w:rsid w:val="11C87412"/>
    <w:rsid w:val="11D75309"/>
    <w:rsid w:val="11E38F41"/>
    <w:rsid w:val="11FB4478"/>
    <w:rsid w:val="120BDC53"/>
    <w:rsid w:val="120CE3CA"/>
    <w:rsid w:val="12287596"/>
    <w:rsid w:val="1228F80E"/>
    <w:rsid w:val="1239CBAC"/>
    <w:rsid w:val="123A73B8"/>
    <w:rsid w:val="12514BFC"/>
    <w:rsid w:val="1264294E"/>
    <w:rsid w:val="1270626B"/>
    <w:rsid w:val="127740CA"/>
    <w:rsid w:val="1282058C"/>
    <w:rsid w:val="1289CB0F"/>
    <w:rsid w:val="128A4FC3"/>
    <w:rsid w:val="129136C8"/>
    <w:rsid w:val="12CAC851"/>
    <w:rsid w:val="12E4EB0B"/>
    <w:rsid w:val="12EF5F45"/>
    <w:rsid w:val="1308C01C"/>
    <w:rsid w:val="133F588E"/>
    <w:rsid w:val="133FEDC1"/>
    <w:rsid w:val="1361D92E"/>
    <w:rsid w:val="137349A3"/>
    <w:rsid w:val="138AEDEA"/>
    <w:rsid w:val="138F353A"/>
    <w:rsid w:val="1392319D"/>
    <w:rsid w:val="13966EB6"/>
    <w:rsid w:val="13BE8F55"/>
    <w:rsid w:val="13BFABD0"/>
    <w:rsid w:val="13C0F172"/>
    <w:rsid w:val="13CBBEC9"/>
    <w:rsid w:val="13CE7D05"/>
    <w:rsid w:val="13E14395"/>
    <w:rsid w:val="13E6534C"/>
    <w:rsid w:val="13ED6B84"/>
    <w:rsid w:val="142D67C4"/>
    <w:rsid w:val="144E998B"/>
    <w:rsid w:val="147775B9"/>
    <w:rsid w:val="147D2FD2"/>
    <w:rsid w:val="148D88A6"/>
    <w:rsid w:val="1498CAEB"/>
    <w:rsid w:val="14A39C6B"/>
    <w:rsid w:val="14A3CF04"/>
    <w:rsid w:val="14A432C1"/>
    <w:rsid w:val="14AA2C3A"/>
    <w:rsid w:val="14AEAB62"/>
    <w:rsid w:val="14B19F71"/>
    <w:rsid w:val="14CD2C45"/>
    <w:rsid w:val="14D4AAE9"/>
    <w:rsid w:val="14DB4EC3"/>
    <w:rsid w:val="14E10040"/>
    <w:rsid w:val="14F67396"/>
    <w:rsid w:val="14FDD548"/>
    <w:rsid w:val="1500C386"/>
    <w:rsid w:val="15030652"/>
    <w:rsid w:val="15065898"/>
    <w:rsid w:val="1526171E"/>
    <w:rsid w:val="152E6F8F"/>
    <w:rsid w:val="1534F6A7"/>
    <w:rsid w:val="153FE6A8"/>
    <w:rsid w:val="155D2650"/>
    <w:rsid w:val="155F8B7E"/>
    <w:rsid w:val="156AD618"/>
    <w:rsid w:val="15729D85"/>
    <w:rsid w:val="15773D8D"/>
    <w:rsid w:val="157DC770"/>
    <w:rsid w:val="15898C8D"/>
    <w:rsid w:val="158C874F"/>
    <w:rsid w:val="15A7BBBD"/>
    <w:rsid w:val="15C1CC2F"/>
    <w:rsid w:val="15C596D8"/>
    <w:rsid w:val="15C60FCD"/>
    <w:rsid w:val="15D3D0F7"/>
    <w:rsid w:val="15E0A4AF"/>
    <w:rsid w:val="15EAE1B8"/>
    <w:rsid w:val="15F7E1F6"/>
    <w:rsid w:val="1630B4A8"/>
    <w:rsid w:val="1638706B"/>
    <w:rsid w:val="1641C774"/>
    <w:rsid w:val="165CB858"/>
    <w:rsid w:val="1669E5A0"/>
    <w:rsid w:val="1676F950"/>
    <w:rsid w:val="1684BA01"/>
    <w:rsid w:val="168C320E"/>
    <w:rsid w:val="1691163F"/>
    <w:rsid w:val="169DBD3D"/>
    <w:rsid w:val="16A85F5B"/>
    <w:rsid w:val="16AAF171"/>
    <w:rsid w:val="16B153D5"/>
    <w:rsid w:val="16B66E84"/>
    <w:rsid w:val="16BB50A8"/>
    <w:rsid w:val="16D94347"/>
    <w:rsid w:val="16E975B9"/>
    <w:rsid w:val="170D6740"/>
    <w:rsid w:val="175A5781"/>
    <w:rsid w:val="1767C1DF"/>
    <w:rsid w:val="176BE30A"/>
    <w:rsid w:val="1775BEE9"/>
    <w:rsid w:val="17790294"/>
    <w:rsid w:val="178896BA"/>
    <w:rsid w:val="1795C249"/>
    <w:rsid w:val="1797B893"/>
    <w:rsid w:val="17AB31B0"/>
    <w:rsid w:val="17B1CE0B"/>
    <w:rsid w:val="17D42196"/>
    <w:rsid w:val="17F1B6A7"/>
    <w:rsid w:val="17FFE949"/>
    <w:rsid w:val="1827A1B8"/>
    <w:rsid w:val="182AE9D9"/>
    <w:rsid w:val="182FB191"/>
    <w:rsid w:val="1831ABD1"/>
    <w:rsid w:val="183A04E6"/>
    <w:rsid w:val="18454A83"/>
    <w:rsid w:val="184A1D59"/>
    <w:rsid w:val="184CF80F"/>
    <w:rsid w:val="186469CE"/>
    <w:rsid w:val="187FD152"/>
    <w:rsid w:val="188A82C5"/>
    <w:rsid w:val="189B0A79"/>
    <w:rsid w:val="18AD54D3"/>
    <w:rsid w:val="18B5156A"/>
    <w:rsid w:val="18BC3222"/>
    <w:rsid w:val="18BC469F"/>
    <w:rsid w:val="18C67B92"/>
    <w:rsid w:val="18CD3076"/>
    <w:rsid w:val="18E60BF4"/>
    <w:rsid w:val="1907B36B"/>
    <w:rsid w:val="190B7785"/>
    <w:rsid w:val="1911A8B0"/>
    <w:rsid w:val="1913188C"/>
    <w:rsid w:val="19190F66"/>
    <w:rsid w:val="194093BE"/>
    <w:rsid w:val="195E94F8"/>
    <w:rsid w:val="19839D78"/>
    <w:rsid w:val="19917568"/>
    <w:rsid w:val="19CFE7EC"/>
    <w:rsid w:val="19D385F7"/>
    <w:rsid w:val="19E05F52"/>
    <w:rsid w:val="19EA78AD"/>
    <w:rsid w:val="19FAFE17"/>
    <w:rsid w:val="1A03E08A"/>
    <w:rsid w:val="1A0A0718"/>
    <w:rsid w:val="1A2B4859"/>
    <w:rsid w:val="1A2BDFA5"/>
    <w:rsid w:val="1A401827"/>
    <w:rsid w:val="1A449D88"/>
    <w:rsid w:val="1A580283"/>
    <w:rsid w:val="1A5944F8"/>
    <w:rsid w:val="1A59C449"/>
    <w:rsid w:val="1A6D5854"/>
    <w:rsid w:val="1A795E69"/>
    <w:rsid w:val="1A7BDAF6"/>
    <w:rsid w:val="1A87D12B"/>
    <w:rsid w:val="1A99E22A"/>
    <w:rsid w:val="1AA185DF"/>
    <w:rsid w:val="1AAF1742"/>
    <w:rsid w:val="1AB2DF7D"/>
    <w:rsid w:val="1ADA87BF"/>
    <w:rsid w:val="1ADB3A61"/>
    <w:rsid w:val="1AE55A91"/>
    <w:rsid w:val="1AFE156A"/>
    <w:rsid w:val="1AFE2376"/>
    <w:rsid w:val="1B15531A"/>
    <w:rsid w:val="1B304F27"/>
    <w:rsid w:val="1B3343A2"/>
    <w:rsid w:val="1B3C5C04"/>
    <w:rsid w:val="1B80F118"/>
    <w:rsid w:val="1B95FFCF"/>
    <w:rsid w:val="1BA136F8"/>
    <w:rsid w:val="1BCEBCED"/>
    <w:rsid w:val="1BCF160E"/>
    <w:rsid w:val="1BDAD1C5"/>
    <w:rsid w:val="1BDBE888"/>
    <w:rsid w:val="1BE35219"/>
    <w:rsid w:val="1BED6CFF"/>
    <w:rsid w:val="1BF3737A"/>
    <w:rsid w:val="1BFA3F06"/>
    <w:rsid w:val="1C0BCB7E"/>
    <w:rsid w:val="1C20D4CF"/>
    <w:rsid w:val="1C25E002"/>
    <w:rsid w:val="1C42F25C"/>
    <w:rsid w:val="1C4F38F1"/>
    <w:rsid w:val="1C5CB92B"/>
    <w:rsid w:val="1C70D076"/>
    <w:rsid w:val="1C70EE12"/>
    <w:rsid w:val="1C7C5320"/>
    <w:rsid w:val="1C933BD3"/>
    <w:rsid w:val="1C94A256"/>
    <w:rsid w:val="1C99994B"/>
    <w:rsid w:val="1CC649A5"/>
    <w:rsid w:val="1CC801C1"/>
    <w:rsid w:val="1CFF67EA"/>
    <w:rsid w:val="1CFFEBC2"/>
    <w:rsid w:val="1D15FCB5"/>
    <w:rsid w:val="1D32F115"/>
    <w:rsid w:val="1D379856"/>
    <w:rsid w:val="1D5986AF"/>
    <w:rsid w:val="1D5E8108"/>
    <w:rsid w:val="1D664762"/>
    <w:rsid w:val="1D77A2BE"/>
    <w:rsid w:val="1D865961"/>
    <w:rsid w:val="1D871545"/>
    <w:rsid w:val="1D89484A"/>
    <w:rsid w:val="1D98A8DB"/>
    <w:rsid w:val="1DD21F4D"/>
    <w:rsid w:val="1DEACDCA"/>
    <w:rsid w:val="1DF5B156"/>
    <w:rsid w:val="1E0165AA"/>
    <w:rsid w:val="1E09BC9B"/>
    <w:rsid w:val="1E444701"/>
    <w:rsid w:val="1E51B6DB"/>
    <w:rsid w:val="1E8176E4"/>
    <w:rsid w:val="1E81DD5B"/>
    <w:rsid w:val="1E83FDC4"/>
    <w:rsid w:val="1E891D94"/>
    <w:rsid w:val="1E93BA2A"/>
    <w:rsid w:val="1EA70529"/>
    <w:rsid w:val="1EC40922"/>
    <w:rsid w:val="1EC86D95"/>
    <w:rsid w:val="1ECDA091"/>
    <w:rsid w:val="1ECE6F3A"/>
    <w:rsid w:val="1ECEEFFE"/>
    <w:rsid w:val="1EDCAD1E"/>
    <w:rsid w:val="1EEBC7C7"/>
    <w:rsid w:val="1F15E0F4"/>
    <w:rsid w:val="1F23AB9D"/>
    <w:rsid w:val="1F2B8823"/>
    <w:rsid w:val="1F2D9DFD"/>
    <w:rsid w:val="1F35BD16"/>
    <w:rsid w:val="1F55BDA7"/>
    <w:rsid w:val="1F5AB3DA"/>
    <w:rsid w:val="1F62DCFF"/>
    <w:rsid w:val="1F6A1D3B"/>
    <w:rsid w:val="1F7EFD06"/>
    <w:rsid w:val="1F8A1B32"/>
    <w:rsid w:val="1FAA5EE0"/>
    <w:rsid w:val="1FADC118"/>
    <w:rsid w:val="1FBF14D7"/>
    <w:rsid w:val="1FC52B5C"/>
    <w:rsid w:val="1FCB81C8"/>
    <w:rsid w:val="1FE40E8B"/>
    <w:rsid w:val="1FE9ACFF"/>
    <w:rsid w:val="200B0F00"/>
    <w:rsid w:val="200CED7D"/>
    <w:rsid w:val="202FDA33"/>
    <w:rsid w:val="20514476"/>
    <w:rsid w:val="205FD331"/>
    <w:rsid w:val="20608A44"/>
    <w:rsid w:val="20898984"/>
    <w:rsid w:val="2098CEDC"/>
    <w:rsid w:val="209D3A17"/>
    <w:rsid w:val="20A868CB"/>
    <w:rsid w:val="20AF59AB"/>
    <w:rsid w:val="20BBC007"/>
    <w:rsid w:val="20BC872C"/>
    <w:rsid w:val="20CBB923"/>
    <w:rsid w:val="20DB3993"/>
    <w:rsid w:val="211AC034"/>
    <w:rsid w:val="212CE930"/>
    <w:rsid w:val="21312545"/>
    <w:rsid w:val="214A5C9A"/>
    <w:rsid w:val="214ECC69"/>
    <w:rsid w:val="2156525B"/>
    <w:rsid w:val="215780F4"/>
    <w:rsid w:val="21728302"/>
    <w:rsid w:val="21733D21"/>
    <w:rsid w:val="218135CF"/>
    <w:rsid w:val="2190FEB4"/>
    <w:rsid w:val="21AA9613"/>
    <w:rsid w:val="21BE1F2D"/>
    <w:rsid w:val="21C0ED3B"/>
    <w:rsid w:val="21CF9E8C"/>
    <w:rsid w:val="21DDC5ED"/>
    <w:rsid w:val="21E129FA"/>
    <w:rsid w:val="21E25F02"/>
    <w:rsid w:val="21E68562"/>
    <w:rsid w:val="21FAF6E8"/>
    <w:rsid w:val="21FD15FE"/>
    <w:rsid w:val="220D2ED9"/>
    <w:rsid w:val="2226AD3F"/>
    <w:rsid w:val="22570A53"/>
    <w:rsid w:val="22631468"/>
    <w:rsid w:val="226328E5"/>
    <w:rsid w:val="2269BDF3"/>
    <w:rsid w:val="226BFBA9"/>
    <w:rsid w:val="226DF274"/>
    <w:rsid w:val="228C0F6E"/>
    <w:rsid w:val="228EE402"/>
    <w:rsid w:val="22903C92"/>
    <w:rsid w:val="229C63A4"/>
    <w:rsid w:val="22A55474"/>
    <w:rsid w:val="22AD6EEA"/>
    <w:rsid w:val="22B1EE83"/>
    <w:rsid w:val="22B24B6D"/>
    <w:rsid w:val="22D6FF13"/>
    <w:rsid w:val="22E50063"/>
    <w:rsid w:val="22EF9C17"/>
    <w:rsid w:val="22FAE1A4"/>
    <w:rsid w:val="232249D6"/>
    <w:rsid w:val="232B750B"/>
    <w:rsid w:val="23382BF1"/>
    <w:rsid w:val="233E2B79"/>
    <w:rsid w:val="23401AF4"/>
    <w:rsid w:val="234C3885"/>
    <w:rsid w:val="236C7879"/>
    <w:rsid w:val="2372FCD9"/>
    <w:rsid w:val="23A54643"/>
    <w:rsid w:val="23AD6278"/>
    <w:rsid w:val="23B61B70"/>
    <w:rsid w:val="23D05BB2"/>
    <w:rsid w:val="23D972F8"/>
    <w:rsid w:val="23FBDECC"/>
    <w:rsid w:val="24125B87"/>
    <w:rsid w:val="241B1B2C"/>
    <w:rsid w:val="2442DA5E"/>
    <w:rsid w:val="24575D06"/>
    <w:rsid w:val="24604540"/>
    <w:rsid w:val="2478E1EC"/>
    <w:rsid w:val="247EEA77"/>
    <w:rsid w:val="2486E413"/>
    <w:rsid w:val="2493D261"/>
    <w:rsid w:val="2499D9A1"/>
    <w:rsid w:val="249CDA9D"/>
    <w:rsid w:val="24A30D03"/>
    <w:rsid w:val="24C93F7F"/>
    <w:rsid w:val="24D97F5F"/>
    <w:rsid w:val="24F52B72"/>
    <w:rsid w:val="250C0BE0"/>
    <w:rsid w:val="2515EF4E"/>
    <w:rsid w:val="2522A773"/>
    <w:rsid w:val="252D2B54"/>
    <w:rsid w:val="253BD8BA"/>
    <w:rsid w:val="2544CF9B"/>
    <w:rsid w:val="25481E4A"/>
    <w:rsid w:val="25743B4B"/>
    <w:rsid w:val="257C2680"/>
    <w:rsid w:val="2584D342"/>
    <w:rsid w:val="258AA229"/>
    <w:rsid w:val="258B1DE1"/>
    <w:rsid w:val="2596DCFF"/>
    <w:rsid w:val="2599BA2D"/>
    <w:rsid w:val="25B325BC"/>
    <w:rsid w:val="25B68D02"/>
    <w:rsid w:val="25BC96CD"/>
    <w:rsid w:val="25BFD471"/>
    <w:rsid w:val="25C863F6"/>
    <w:rsid w:val="25C98355"/>
    <w:rsid w:val="25D8B9A6"/>
    <w:rsid w:val="25EB9599"/>
    <w:rsid w:val="25F70516"/>
    <w:rsid w:val="25F7A126"/>
    <w:rsid w:val="2600B329"/>
    <w:rsid w:val="266886AE"/>
    <w:rsid w:val="26754FC0"/>
    <w:rsid w:val="267B7D9C"/>
    <w:rsid w:val="268190E2"/>
    <w:rsid w:val="26892D7B"/>
    <w:rsid w:val="26A711EC"/>
    <w:rsid w:val="26ACE0BF"/>
    <w:rsid w:val="26BA9051"/>
    <w:rsid w:val="26E9468C"/>
    <w:rsid w:val="26F90FFB"/>
    <w:rsid w:val="26FDD780"/>
    <w:rsid w:val="27155DE2"/>
    <w:rsid w:val="2717F6E1"/>
    <w:rsid w:val="2740C366"/>
    <w:rsid w:val="276209B1"/>
    <w:rsid w:val="276DD34D"/>
    <w:rsid w:val="277BB6E6"/>
    <w:rsid w:val="279B75A0"/>
    <w:rsid w:val="279C838A"/>
    <w:rsid w:val="27A2C3DA"/>
    <w:rsid w:val="27A7BEC4"/>
    <w:rsid w:val="27AB235B"/>
    <w:rsid w:val="27B6B3CB"/>
    <w:rsid w:val="27C7F392"/>
    <w:rsid w:val="27CDAF5B"/>
    <w:rsid w:val="27D939A2"/>
    <w:rsid w:val="27E27EA5"/>
    <w:rsid w:val="27F1E8FC"/>
    <w:rsid w:val="281412AC"/>
    <w:rsid w:val="28262373"/>
    <w:rsid w:val="283FFE44"/>
    <w:rsid w:val="2846DF66"/>
    <w:rsid w:val="28578F09"/>
    <w:rsid w:val="28581187"/>
    <w:rsid w:val="285A875E"/>
    <w:rsid w:val="287C6C97"/>
    <w:rsid w:val="2891283B"/>
    <w:rsid w:val="289BA761"/>
    <w:rsid w:val="289E2D5C"/>
    <w:rsid w:val="28B26BA5"/>
    <w:rsid w:val="28B9420C"/>
    <w:rsid w:val="28DDEC53"/>
    <w:rsid w:val="28F39CBE"/>
    <w:rsid w:val="29160535"/>
    <w:rsid w:val="2924993F"/>
    <w:rsid w:val="292A484F"/>
    <w:rsid w:val="292E9A8D"/>
    <w:rsid w:val="292FBA00"/>
    <w:rsid w:val="29322E53"/>
    <w:rsid w:val="293AD9A0"/>
    <w:rsid w:val="295A8E45"/>
    <w:rsid w:val="295B2445"/>
    <w:rsid w:val="295CB5C8"/>
    <w:rsid w:val="29966E08"/>
    <w:rsid w:val="29C4835C"/>
    <w:rsid w:val="29D333D2"/>
    <w:rsid w:val="29D366B8"/>
    <w:rsid w:val="29F72279"/>
    <w:rsid w:val="29FFB4B7"/>
    <w:rsid w:val="2A33D647"/>
    <w:rsid w:val="2A3838D0"/>
    <w:rsid w:val="2A3C76F0"/>
    <w:rsid w:val="2A4120A2"/>
    <w:rsid w:val="2A6BE72B"/>
    <w:rsid w:val="2A6E04D2"/>
    <w:rsid w:val="2A736DA0"/>
    <w:rsid w:val="2A78C787"/>
    <w:rsid w:val="2A7E3CCC"/>
    <w:rsid w:val="2A825D75"/>
    <w:rsid w:val="2A89B1C9"/>
    <w:rsid w:val="2A8D0526"/>
    <w:rsid w:val="2A9EF27F"/>
    <w:rsid w:val="2ABA4F62"/>
    <w:rsid w:val="2AC622C6"/>
    <w:rsid w:val="2AC90C15"/>
    <w:rsid w:val="2AD0B882"/>
    <w:rsid w:val="2ADA81A0"/>
    <w:rsid w:val="2ADCED0F"/>
    <w:rsid w:val="2AE81306"/>
    <w:rsid w:val="2B02E79A"/>
    <w:rsid w:val="2B0BA84E"/>
    <w:rsid w:val="2B13FE71"/>
    <w:rsid w:val="2B2B30B4"/>
    <w:rsid w:val="2B33BFC3"/>
    <w:rsid w:val="2B4D637B"/>
    <w:rsid w:val="2B4EF798"/>
    <w:rsid w:val="2B57707D"/>
    <w:rsid w:val="2B70042F"/>
    <w:rsid w:val="2B71FE65"/>
    <w:rsid w:val="2B8563A3"/>
    <w:rsid w:val="2B9ACADB"/>
    <w:rsid w:val="2BA00603"/>
    <w:rsid w:val="2BBB01FA"/>
    <w:rsid w:val="2BEB6804"/>
    <w:rsid w:val="2BF3558A"/>
    <w:rsid w:val="2C0494A0"/>
    <w:rsid w:val="2C0C32D0"/>
    <w:rsid w:val="2C132037"/>
    <w:rsid w:val="2C2A1D8D"/>
    <w:rsid w:val="2C2CDA50"/>
    <w:rsid w:val="2C31C562"/>
    <w:rsid w:val="2C3CFCFA"/>
    <w:rsid w:val="2C483E14"/>
    <w:rsid w:val="2C6C88E3"/>
    <w:rsid w:val="2C6FF4AD"/>
    <w:rsid w:val="2C76181D"/>
    <w:rsid w:val="2C770626"/>
    <w:rsid w:val="2C7B2FE7"/>
    <w:rsid w:val="2CA1E172"/>
    <w:rsid w:val="2CD628E1"/>
    <w:rsid w:val="2CE38C0E"/>
    <w:rsid w:val="2CEC21B4"/>
    <w:rsid w:val="2D21422D"/>
    <w:rsid w:val="2D2596BC"/>
    <w:rsid w:val="2D4432E9"/>
    <w:rsid w:val="2D79F8AD"/>
    <w:rsid w:val="2D84C80F"/>
    <w:rsid w:val="2D8CA5B5"/>
    <w:rsid w:val="2D9DD868"/>
    <w:rsid w:val="2DB391AC"/>
    <w:rsid w:val="2DDCD5D6"/>
    <w:rsid w:val="2DF36D5C"/>
    <w:rsid w:val="2E091E3F"/>
    <w:rsid w:val="2E11571B"/>
    <w:rsid w:val="2E1FA609"/>
    <w:rsid w:val="2E211ACD"/>
    <w:rsid w:val="2E2232D8"/>
    <w:rsid w:val="2E36DCEA"/>
    <w:rsid w:val="2E84E366"/>
    <w:rsid w:val="2E9EECF6"/>
    <w:rsid w:val="2EA6D7DB"/>
    <w:rsid w:val="2EABE00D"/>
    <w:rsid w:val="2EBA7A21"/>
    <w:rsid w:val="2EBC2640"/>
    <w:rsid w:val="2EDF2BE8"/>
    <w:rsid w:val="2EE6E983"/>
    <w:rsid w:val="2EE70AFF"/>
    <w:rsid w:val="2EEBB1E1"/>
    <w:rsid w:val="2F0A420B"/>
    <w:rsid w:val="2F18997B"/>
    <w:rsid w:val="2F3091AC"/>
    <w:rsid w:val="2F31846F"/>
    <w:rsid w:val="2F34F39E"/>
    <w:rsid w:val="2F35AE93"/>
    <w:rsid w:val="2F41ABED"/>
    <w:rsid w:val="2F649394"/>
    <w:rsid w:val="2F774CA0"/>
    <w:rsid w:val="2F8E6D12"/>
    <w:rsid w:val="2FA8661A"/>
    <w:rsid w:val="2FADFAD0"/>
    <w:rsid w:val="2FAEC422"/>
    <w:rsid w:val="2FB453CC"/>
    <w:rsid w:val="2FC70E2D"/>
    <w:rsid w:val="2FC9F7BD"/>
    <w:rsid w:val="2FCEAAD3"/>
    <w:rsid w:val="2FEDE514"/>
    <w:rsid w:val="2FFFF2AD"/>
    <w:rsid w:val="3004B956"/>
    <w:rsid w:val="3014ABD1"/>
    <w:rsid w:val="301FD433"/>
    <w:rsid w:val="30204F88"/>
    <w:rsid w:val="30291C65"/>
    <w:rsid w:val="302E7F27"/>
    <w:rsid w:val="304E1936"/>
    <w:rsid w:val="3055AAB6"/>
    <w:rsid w:val="3058DD00"/>
    <w:rsid w:val="305AEA18"/>
    <w:rsid w:val="3060D8CB"/>
    <w:rsid w:val="3067B8EA"/>
    <w:rsid w:val="30797B9E"/>
    <w:rsid w:val="3085EB3E"/>
    <w:rsid w:val="308DE380"/>
    <w:rsid w:val="30C6C6AD"/>
    <w:rsid w:val="30DD7C4E"/>
    <w:rsid w:val="30DEFA5C"/>
    <w:rsid w:val="30EF9EC7"/>
    <w:rsid w:val="30F1679E"/>
    <w:rsid w:val="30F80BD3"/>
    <w:rsid w:val="30FE186A"/>
    <w:rsid w:val="31256C8C"/>
    <w:rsid w:val="312703A6"/>
    <w:rsid w:val="3144367B"/>
    <w:rsid w:val="3149E19C"/>
    <w:rsid w:val="317E68E4"/>
    <w:rsid w:val="319BD029"/>
    <w:rsid w:val="31A82F99"/>
    <w:rsid w:val="31AB7F09"/>
    <w:rsid w:val="31E0636A"/>
    <w:rsid w:val="31E14143"/>
    <w:rsid w:val="31F137FA"/>
    <w:rsid w:val="31F38A04"/>
    <w:rsid w:val="320CAE60"/>
    <w:rsid w:val="32152C4E"/>
    <w:rsid w:val="321691D2"/>
    <w:rsid w:val="321FC579"/>
    <w:rsid w:val="3227B6C3"/>
    <w:rsid w:val="3240D6BB"/>
    <w:rsid w:val="32543968"/>
    <w:rsid w:val="325AA988"/>
    <w:rsid w:val="32671AA2"/>
    <w:rsid w:val="3272525E"/>
    <w:rsid w:val="3283500F"/>
    <w:rsid w:val="328682C9"/>
    <w:rsid w:val="3289CDF0"/>
    <w:rsid w:val="329ED60F"/>
    <w:rsid w:val="32B32CD9"/>
    <w:rsid w:val="32B80238"/>
    <w:rsid w:val="32CCA606"/>
    <w:rsid w:val="32EBECE7"/>
    <w:rsid w:val="33092EF8"/>
    <w:rsid w:val="33239C66"/>
    <w:rsid w:val="333DF25C"/>
    <w:rsid w:val="3350C883"/>
    <w:rsid w:val="3357F04A"/>
    <w:rsid w:val="336120A1"/>
    <w:rsid w:val="3366922C"/>
    <w:rsid w:val="336FEA99"/>
    <w:rsid w:val="338594F4"/>
    <w:rsid w:val="3395C957"/>
    <w:rsid w:val="33B0D34B"/>
    <w:rsid w:val="33CE6E3C"/>
    <w:rsid w:val="33E2EEC7"/>
    <w:rsid w:val="3404F592"/>
    <w:rsid w:val="340FAF3C"/>
    <w:rsid w:val="342A5B67"/>
    <w:rsid w:val="342B3C33"/>
    <w:rsid w:val="3430F8B7"/>
    <w:rsid w:val="3433EB52"/>
    <w:rsid w:val="34436217"/>
    <w:rsid w:val="349597B6"/>
    <w:rsid w:val="34A20E6A"/>
    <w:rsid w:val="34AD341C"/>
    <w:rsid w:val="34AEE122"/>
    <w:rsid w:val="34C16D19"/>
    <w:rsid w:val="34C7D18F"/>
    <w:rsid w:val="34CE7B80"/>
    <w:rsid w:val="34D67ACC"/>
    <w:rsid w:val="34D817CD"/>
    <w:rsid w:val="34DD5972"/>
    <w:rsid w:val="34EFA329"/>
    <w:rsid w:val="34FCDFF0"/>
    <w:rsid w:val="35070A23"/>
    <w:rsid w:val="3519D9C7"/>
    <w:rsid w:val="35230C50"/>
    <w:rsid w:val="353B160D"/>
    <w:rsid w:val="353FFBD5"/>
    <w:rsid w:val="35474C0E"/>
    <w:rsid w:val="3551E0EF"/>
    <w:rsid w:val="356E1DE3"/>
    <w:rsid w:val="35714F3A"/>
    <w:rsid w:val="357985A0"/>
    <w:rsid w:val="357A3823"/>
    <w:rsid w:val="359903FC"/>
    <w:rsid w:val="35A070F3"/>
    <w:rsid w:val="35A0C5F3"/>
    <w:rsid w:val="35C97FB0"/>
    <w:rsid w:val="35CDCDD6"/>
    <w:rsid w:val="35EB1277"/>
    <w:rsid w:val="35ED441E"/>
    <w:rsid w:val="35F3E474"/>
    <w:rsid w:val="35F70251"/>
    <w:rsid w:val="36101A95"/>
    <w:rsid w:val="36359D9B"/>
    <w:rsid w:val="3639F3BD"/>
    <w:rsid w:val="3640D560"/>
    <w:rsid w:val="3651D10B"/>
    <w:rsid w:val="3661CBB0"/>
    <w:rsid w:val="366DB77B"/>
    <w:rsid w:val="3673892E"/>
    <w:rsid w:val="367DD399"/>
    <w:rsid w:val="36810033"/>
    <w:rsid w:val="368AFD7F"/>
    <w:rsid w:val="368DD703"/>
    <w:rsid w:val="3692AB44"/>
    <w:rsid w:val="369FECB0"/>
    <w:rsid w:val="36A9B21E"/>
    <w:rsid w:val="36ACEBE2"/>
    <w:rsid w:val="36AD19CF"/>
    <w:rsid w:val="36B90686"/>
    <w:rsid w:val="36C30176"/>
    <w:rsid w:val="36DAB550"/>
    <w:rsid w:val="36E5EB75"/>
    <w:rsid w:val="36F2B5EC"/>
    <w:rsid w:val="3715166D"/>
    <w:rsid w:val="3716DB60"/>
    <w:rsid w:val="3719D72D"/>
    <w:rsid w:val="371BABC7"/>
    <w:rsid w:val="3724E51C"/>
    <w:rsid w:val="373C9654"/>
    <w:rsid w:val="3741DAA0"/>
    <w:rsid w:val="3746B8A0"/>
    <w:rsid w:val="37534202"/>
    <w:rsid w:val="3777A212"/>
    <w:rsid w:val="3779D779"/>
    <w:rsid w:val="37903808"/>
    <w:rsid w:val="37B904A8"/>
    <w:rsid w:val="37C7C607"/>
    <w:rsid w:val="37CF38FC"/>
    <w:rsid w:val="37D15E5C"/>
    <w:rsid w:val="37E7F764"/>
    <w:rsid w:val="37F14BAA"/>
    <w:rsid w:val="37F40963"/>
    <w:rsid w:val="37FFDD1E"/>
    <w:rsid w:val="38159CAD"/>
    <w:rsid w:val="3827111A"/>
    <w:rsid w:val="382A8802"/>
    <w:rsid w:val="382F1C27"/>
    <w:rsid w:val="384B0A69"/>
    <w:rsid w:val="38590617"/>
    <w:rsid w:val="38811EA3"/>
    <w:rsid w:val="389A17AD"/>
    <w:rsid w:val="389B9541"/>
    <w:rsid w:val="38A76D1F"/>
    <w:rsid w:val="38BC86AB"/>
    <w:rsid w:val="38C1B03A"/>
    <w:rsid w:val="38D3C1D2"/>
    <w:rsid w:val="38EEDC01"/>
    <w:rsid w:val="3906470E"/>
    <w:rsid w:val="3952516E"/>
    <w:rsid w:val="3953A00A"/>
    <w:rsid w:val="3961A075"/>
    <w:rsid w:val="39644BC2"/>
    <w:rsid w:val="396B095D"/>
    <w:rsid w:val="396D2EBD"/>
    <w:rsid w:val="396ECBC1"/>
    <w:rsid w:val="39710FB8"/>
    <w:rsid w:val="3981345D"/>
    <w:rsid w:val="39921838"/>
    <w:rsid w:val="39A9EBEF"/>
    <w:rsid w:val="39BD50C9"/>
    <w:rsid w:val="39C328C9"/>
    <w:rsid w:val="39C40882"/>
    <w:rsid w:val="39D63331"/>
    <w:rsid w:val="39D9F986"/>
    <w:rsid w:val="39EC3C8E"/>
    <w:rsid w:val="3A001BE0"/>
    <w:rsid w:val="3A058DAB"/>
    <w:rsid w:val="3A141357"/>
    <w:rsid w:val="3A195D30"/>
    <w:rsid w:val="3A24AE52"/>
    <w:rsid w:val="3A33DBA5"/>
    <w:rsid w:val="3A395F1E"/>
    <w:rsid w:val="3A4ABAE9"/>
    <w:rsid w:val="3A5B666A"/>
    <w:rsid w:val="3A63226E"/>
    <w:rsid w:val="3A797B62"/>
    <w:rsid w:val="3A84E14B"/>
    <w:rsid w:val="3A8A9E7E"/>
    <w:rsid w:val="3A92E128"/>
    <w:rsid w:val="3AA43BC7"/>
    <w:rsid w:val="3AA6461E"/>
    <w:rsid w:val="3AC3CB33"/>
    <w:rsid w:val="3ADA2CA9"/>
    <w:rsid w:val="3AF15AD7"/>
    <w:rsid w:val="3B00295E"/>
    <w:rsid w:val="3B03B48F"/>
    <w:rsid w:val="3B1A09B5"/>
    <w:rsid w:val="3B20801A"/>
    <w:rsid w:val="3B285F93"/>
    <w:rsid w:val="3B34A1A5"/>
    <w:rsid w:val="3B3A2B92"/>
    <w:rsid w:val="3B597E60"/>
    <w:rsid w:val="3B5EB1DC"/>
    <w:rsid w:val="3B6154F4"/>
    <w:rsid w:val="3B79AA68"/>
    <w:rsid w:val="3B7A1D66"/>
    <w:rsid w:val="3B7B1B10"/>
    <w:rsid w:val="3BA0A40B"/>
    <w:rsid w:val="3BA0F7B5"/>
    <w:rsid w:val="3BB1DB35"/>
    <w:rsid w:val="3BB7CB2D"/>
    <w:rsid w:val="3BB9AC0C"/>
    <w:rsid w:val="3BC8F01E"/>
    <w:rsid w:val="3BCF8111"/>
    <w:rsid w:val="3BE13586"/>
    <w:rsid w:val="3BF992D3"/>
    <w:rsid w:val="3BFC249C"/>
    <w:rsid w:val="3C02B228"/>
    <w:rsid w:val="3C3A8E1E"/>
    <w:rsid w:val="3C3F469D"/>
    <w:rsid w:val="3C694382"/>
    <w:rsid w:val="3C6A0DE9"/>
    <w:rsid w:val="3CB9875D"/>
    <w:rsid w:val="3CDB10B3"/>
    <w:rsid w:val="3CF9394F"/>
    <w:rsid w:val="3D1EAB14"/>
    <w:rsid w:val="3D385104"/>
    <w:rsid w:val="3D4A6E89"/>
    <w:rsid w:val="3D5660FF"/>
    <w:rsid w:val="3D642C3A"/>
    <w:rsid w:val="3D677E8F"/>
    <w:rsid w:val="3D6BDAD9"/>
    <w:rsid w:val="3D6FF458"/>
    <w:rsid w:val="3D76DD63"/>
    <w:rsid w:val="3DA163A9"/>
    <w:rsid w:val="3DA549B5"/>
    <w:rsid w:val="3DAAE347"/>
    <w:rsid w:val="3DB91664"/>
    <w:rsid w:val="3DDCD8C7"/>
    <w:rsid w:val="3E351198"/>
    <w:rsid w:val="3E385174"/>
    <w:rsid w:val="3E3CC0C1"/>
    <w:rsid w:val="3E434421"/>
    <w:rsid w:val="3E61EA22"/>
    <w:rsid w:val="3E66EEBF"/>
    <w:rsid w:val="3E68456C"/>
    <w:rsid w:val="3E7040E9"/>
    <w:rsid w:val="3E87443F"/>
    <w:rsid w:val="3E8E8623"/>
    <w:rsid w:val="3EA4F4DE"/>
    <w:rsid w:val="3EF29E9B"/>
    <w:rsid w:val="3EF79A87"/>
    <w:rsid w:val="3F131472"/>
    <w:rsid w:val="3F318FE1"/>
    <w:rsid w:val="3F411A16"/>
    <w:rsid w:val="3F4B3BB6"/>
    <w:rsid w:val="3F4E003C"/>
    <w:rsid w:val="3F4EE887"/>
    <w:rsid w:val="3F5135B1"/>
    <w:rsid w:val="3F563ED1"/>
    <w:rsid w:val="3F84049E"/>
    <w:rsid w:val="3F8E060D"/>
    <w:rsid w:val="3FB4003E"/>
    <w:rsid w:val="3FB5DD44"/>
    <w:rsid w:val="3FB8D8D3"/>
    <w:rsid w:val="3FCDA4F0"/>
    <w:rsid w:val="3FDC7041"/>
    <w:rsid w:val="3FFB2C2C"/>
    <w:rsid w:val="3FFCC354"/>
    <w:rsid w:val="400EDD40"/>
    <w:rsid w:val="403593C1"/>
    <w:rsid w:val="4048C67D"/>
    <w:rsid w:val="406DD5FF"/>
    <w:rsid w:val="407E7ABE"/>
    <w:rsid w:val="4093F062"/>
    <w:rsid w:val="40948C44"/>
    <w:rsid w:val="40978B52"/>
    <w:rsid w:val="40B3695D"/>
    <w:rsid w:val="40C0F645"/>
    <w:rsid w:val="40CCF473"/>
    <w:rsid w:val="40CDB1A8"/>
    <w:rsid w:val="40E8A411"/>
    <w:rsid w:val="40F020F1"/>
    <w:rsid w:val="40F04909"/>
    <w:rsid w:val="40F7E8FC"/>
    <w:rsid w:val="410423AA"/>
    <w:rsid w:val="411F9796"/>
    <w:rsid w:val="413EB292"/>
    <w:rsid w:val="415DE3BB"/>
    <w:rsid w:val="41669931"/>
    <w:rsid w:val="417895C8"/>
    <w:rsid w:val="417F0C15"/>
    <w:rsid w:val="4182ADF1"/>
    <w:rsid w:val="41948A93"/>
    <w:rsid w:val="41A79B9D"/>
    <w:rsid w:val="41AAB167"/>
    <w:rsid w:val="41B841EB"/>
    <w:rsid w:val="41BB2F99"/>
    <w:rsid w:val="41CE3AAE"/>
    <w:rsid w:val="41D25585"/>
    <w:rsid w:val="41E1CA20"/>
    <w:rsid w:val="41E3A54F"/>
    <w:rsid w:val="41E50A7A"/>
    <w:rsid w:val="41E6912E"/>
    <w:rsid w:val="4212E9F1"/>
    <w:rsid w:val="421CC153"/>
    <w:rsid w:val="421D4B51"/>
    <w:rsid w:val="42219500"/>
    <w:rsid w:val="4223FDFE"/>
    <w:rsid w:val="422C6F98"/>
    <w:rsid w:val="423B4FB9"/>
    <w:rsid w:val="4263A4CF"/>
    <w:rsid w:val="4266DCF2"/>
    <w:rsid w:val="429FF40B"/>
    <w:rsid w:val="42B72E11"/>
    <w:rsid w:val="42D8F9A4"/>
    <w:rsid w:val="42DEB6FF"/>
    <w:rsid w:val="42DF819C"/>
    <w:rsid w:val="42F4771D"/>
    <w:rsid w:val="42FFA804"/>
    <w:rsid w:val="4309C8A4"/>
    <w:rsid w:val="431CF7D9"/>
    <w:rsid w:val="432BF2B6"/>
    <w:rsid w:val="432D01B6"/>
    <w:rsid w:val="433BB7A1"/>
    <w:rsid w:val="4348CEE9"/>
    <w:rsid w:val="4367CB20"/>
    <w:rsid w:val="43759BCC"/>
    <w:rsid w:val="4376019A"/>
    <w:rsid w:val="437D7142"/>
    <w:rsid w:val="4390B254"/>
    <w:rsid w:val="439852D8"/>
    <w:rsid w:val="43A5058C"/>
    <w:rsid w:val="43AF990C"/>
    <w:rsid w:val="43B52CDA"/>
    <w:rsid w:val="43C91D29"/>
    <w:rsid w:val="43CF3BDB"/>
    <w:rsid w:val="43EA266D"/>
    <w:rsid w:val="43EE7C4E"/>
    <w:rsid w:val="43EEEDB1"/>
    <w:rsid w:val="43FD3879"/>
    <w:rsid w:val="440082ED"/>
    <w:rsid w:val="440EF2FD"/>
    <w:rsid w:val="44266C40"/>
    <w:rsid w:val="44347DB9"/>
    <w:rsid w:val="4436F8B6"/>
    <w:rsid w:val="443E72BA"/>
    <w:rsid w:val="444719B0"/>
    <w:rsid w:val="4453D295"/>
    <w:rsid w:val="44607B73"/>
    <w:rsid w:val="446673DF"/>
    <w:rsid w:val="449787B0"/>
    <w:rsid w:val="44A662A8"/>
    <w:rsid w:val="44AE1311"/>
    <w:rsid w:val="44D9E531"/>
    <w:rsid w:val="44DDC5A8"/>
    <w:rsid w:val="44E5923A"/>
    <w:rsid w:val="44F2FB41"/>
    <w:rsid w:val="4514C94A"/>
    <w:rsid w:val="4523A558"/>
    <w:rsid w:val="45296B91"/>
    <w:rsid w:val="4554443F"/>
    <w:rsid w:val="45975A0B"/>
    <w:rsid w:val="459B31E4"/>
    <w:rsid w:val="45B0034B"/>
    <w:rsid w:val="45B09413"/>
    <w:rsid w:val="45BD1FBF"/>
    <w:rsid w:val="45D543C7"/>
    <w:rsid w:val="45F3E6A6"/>
    <w:rsid w:val="4603DBEC"/>
    <w:rsid w:val="4605BB72"/>
    <w:rsid w:val="4609FA8E"/>
    <w:rsid w:val="46152C6E"/>
    <w:rsid w:val="4619971C"/>
    <w:rsid w:val="461CE7BA"/>
    <w:rsid w:val="46269B2E"/>
    <w:rsid w:val="462EF025"/>
    <w:rsid w:val="46366A63"/>
    <w:rsid w:val="463B4597"/>
    <w:rsid w:val="46461DA3"/>
    <w:rsid w:val="464BB1C5"/>
    <w:rsid w:val="464FA5B9"/>
    <w:rsid w:val="4669D0C0"/>
    <w:rsid w:val="46785BF6"/>
    <w:rsid w:val="46801C1B"/>
    <w:rsid w:val="46806FAB"/>
    <w:rsid w:val="4697883E"/>
    <w:rsid w:val="469855E8"/>
    <w:rsid w:val="46A1C2AF"/>
    <w:rsid w:val="46AA2137"/>
    <w:rsid w:val="46BFB58D"/>
    <w:rsid w:val="46C2B896"/>
    <w:rsid w:val="46C8A58E"/>
    <w:rsid w:val="46DA9964"/>
    <w:rsid w:val="46DD1F77"/>
    <w:rsid w:val="46EF7686"/>
    <w:rsid w:val="46F04376"/>
    <w:rsid w:val="46F511A3"/>
    <w:rsid w:val="47003A91"/>
    <w:rsid w:val="4724E274"/>
    <w:rsid w:val="476C4518"/>
    <w:rsid w:val="477EBA72"/>
    <w:rsid w:val="47833527"/>
    <w:rsid w:val="478E7F0B"/>
    <w:rsid w:val="4797D111"/>
    <w:rsid w:val="479ACD16"/>
    <w:rsid w:val="47A532ED"/>
    <w:rsid w:val="47A69D62"/>
    <w:rsid w:val="47B36D66"/>
    <w:rsid w:val="47BCEA1D"/>
    <w:rsid w:val="47C420D0"/>
    <w:rsid w:val="47CF36D5"/>
    <w:rsid w:val="47E7C221"/>
    <w:rsid w:val="47EFC1B1"/>
    <w:rsid w:val="47FED972"/>
    <w:rsid w:val="4811C97D"/>
    <w:rsid w:val="481C400C"/>
    <w:rsid w:val="4845105C"/>
    <w:rsid w:val="484D85E1"/>
    <w:rsid w:val="484F9EAB"/>
    <w:rsid w:val="48612B69"/>
    <w:rsid w:val="486DFE2B"/>
    <w:rsid w:val="4873C5DC"/>
    <w:rsid w:val="487411E9"/>
    <w:rsid w:val="487EE286"/>
    <w:rsid w:val="48964E6F"/>
    <w:rsid w:val="489ACBC9"/>
    <w:rsid w:val="48A137AB"/>
    <w:rsid w:val="48ACB6FA"/>
    <w:rsid w:val="48C3B87C"/>
    <w:rsid w:val="48CA7BB8"/>
    <w:rsid w:val="48D105D8"/>
    <w:rsid w:val="48D711D2"/>
    <w:rsid w:val="48D9BD6C"/>
    <w:rsid w:val="48FA7B65"/>
    <w:rsid w:val="4905666F"/>
    <w:rsid w:val="492D7FBB"/>
    <w:rsid w:val="49386952"/>
    <w:rsid w:val="4945DAE6"/>
    <w:rsid w:val="4953A3C3"/>
    <w:rsid w:val="495B6C61"/>
    <w:rsid w:val="496A2269"/>
    <w:rsid w:val="4972E659"/>
    <w:rsid w:val="498B2374"/>
    <w:rsid w:val="49B502BE"/>
    <w:rsid w:val="49DA02B4"/>
    <w:rsid w:val="49E34FF3"/>
    <w:rsid w:val="49F429B0"/>
    <w:rsid w:val="4A0BAF86"/>
    <w:rsid w:val="4A0E7937"/>
    <w:rsid w:val="4A1FA2F9"/>
    <w:rsid w:val="4A291069"/>
    <w:rsid w:val="4A444659"/>
    <w:rsid w:val="4A5690D6"/>
    <w:rsid w:val="4A623D53"/>
    <w:rsid w:val="4A64087E"/>
    <w:rsid w:val="4A698C17"/>
    <w:rsid w:val="4A83BB23"/>
    <w:rsid w:val="4A87F86A"/>
    <w:rsid w:val="4A8FB90C"/>
    <w:rsid w:val="4A9C132B"/>
    <w:rsid w:val="4AA60566"/>
    <w:rsid w:val="4AB1A340"/>
    <w:rsid w:val="4AB3FDE8"/>
    <w:rsid w:val="4AC12085"/>
    <w:rsid w:val="4AC38B31"/>
    <w:rsid w:val="4ACCC838"/>
    <w:rsid w:val="4ADD9B6E"/>
    <w:rsid w:val="4AFBA36B"/>
    <w:rsid w:val="4AFEBD35"/>
    <w:rsid w:val="4B1E6178"/>
    <w:rsid w:val="4B1F22E8"/>
    <w:rsid w:val="4B3BD31F"/>
    <w:rsid w:val="4B4BCD19"/>
    <w:rsid w:val="4B53E0CE"/>
    <w:rsid w:val="4B7C1FD9"/>
    <w:rsid w:val="4B8E0E73"/>
    <w:rsid w:val="4B937D57"/>
    <w:rsid w:val="4BD5E4F7"/>
    <w:rsid w:val="4BD6C3AC"/>
    <w:rsid w:val="4C065D33"/>
    <w:rsid w:val="4C0B9C1B"/>
    <w:rsid w:val="4C235B48"/>
    <w:rsid w:val="4C3B1D48"/>
    <w:rsid w:val="4C4D925F"/>
    <w:rsid w:val="4C58D43B"/>
    <w:rsid w:val="4C72660B"/>
    <w:rsid w:val="4C830BD4"/>
    <w:rsid w:val="4C84055C"/>
    <w:rsid w:val="4C87C8B0"/>
    <w:rsid w:val="4C87FAD0"/>
    <w:rsid w:val="4C9063EE"/>
    <w:rsid w:val="4C98D6F0"/>
    <w:rsid w:val="4C9A8D96"/>
    <w:rsid w:val="4CA24B8A"/>
    <w:rsid w:val="4CA87618"/>
    <w:rsid w:val="4CB06F55"/>
    <w:rsid w:val="4CB341CB"/>
    <w:rsid w:val="4CB94F41"/>
    <w:rsid w:val="4CCC0A1C"/>
    <w:rsid w:val="4CCD1993"/>
    <w:rsid w:val="4CE79D7A"/>
    <w:rsid w:val="4CE7D20D"/>
    <w:rsid w:val="4D0B6595"/>
    <w:rsid w:val="4D13153D"/>
    <w:rsid w:val="4D2FF55A"/>
    <w:rsid w:val="4D39139A"/>
    <w:rsid w:val="4D430817"/>
    <w:rsid w:val="4D434471"/>
    <w:rsid w:val="4D46D06A"/>
    <w:rsid w:val="4D4CE4DA"/>
    <w:rsid w:val="4D4ECBFA"/>
    <w:rsid w:val="4D500995"/>
    <w:rsid w:val="4D5435F5"/>
    <w:rsid w:val="4D5DAE7A"/>
    <w:rsid w:val="4D6DDD64"/>
    <w:rsid w:val="4D7DE998"/>
    <w:rsid w:val="4D9CCF71"/>
    <w:rsid w:val="4DA31122"/>
    <w:rsid w:val="4DA431E4"/>
    <w:rsid w:val="4DD6EDA9"/>
    <w:rsid w:val="4DE6CFE8"/>
    <w:rsid w:val="4DF31085"/>
    <w:rsid w:val="4E007326"/>
    <w:rsid w:val="4E016A3D"/>
    <w:rsid w:val="4E06110E"/>
    <w:rsid w:val="4E08C0F0"/>
    <w:rsid w:val="4E130DC4"/>
    <w:rsid w:val="4E20D22E"/>
    <w:rsid w:val="4E2C6076"/>
    <w:rsid w:val="4E63424E"/>
    <w:rsid w:val="4E70B520"/>
    <w:rsid w:val="4E8328D0"/>
    <w:rsid w:val="4E9ABD2F"/>
    <w:rsid w:val="4EA3B301"/>
    <w:rsid w:val="4EA9BCC8"/>
    <w:rsid w:val="4EB6C116"/>
    <w:rsid w:val="4EBC9FA8"/>
    <w:rsid w:val="4EBD51EA"/>
    <w:rsid w:val="4ECB9E9A"/>
    <w:rsid w:val="4ECDEA36"/>
    <w:rsid w:val="4ED59350"/>
    <w:rsid w:val="4EDB5999"/>
    <w:rsid w:val="4EE08484"/>
    <w:rsid w:val="4EEB733F"/>
    <w:rsid w:val="4EF0CB8A"/>
    <w:rsid w:val="4F07A97E"/>
    <w:rsid w:val="4F19B9F9"/>
    <w:rsid w:val="4F5F8C0D"/>
    <w:rsid w:val="4F71A5B7"/>
    <w:rsid w:val="4F884E85"/>
    <w:rsid w:val="4F9491A8"/>
    <w:rsid w:val="4F9922AC"/>
    <w:rsid w:val="4F9CB267"/>
    <w:rsid w:val="4FA1E16F"/>
    <w:rsid w:val="4FB370E9"/>
    <w:rsid w:val="4FB4A47A"/>
    <w:rsid w:val="4FB905FB"/>
    <w:rsid w:val="4FC2357D"/>
    <w:rsid w:val="4FC5A581"/>
    <w:rsid w:val="4FC8FF80"/>
    <w:rsid w:val="4FD778CE"/>
    <w:rsid w:val="4FE7E20E"/>
    <w:rsid w:val="4FEAF2B1"/>
    <w:rsid w:val="50009F23"/>
    <w:rsid w:val="50065B8D"/>
    <w:rsid w:val="50197125"/>
    <w:rsid w:val="501B7706"/>
    <w:rsid w:val="502751F1"/>
    <w:rsid w:val="502AF1E1"/>
    <w:rsid w:val="504E08F6"/>
    <w:rsid w:val="50598C90"/>
    <w:rsid w:val="506592A5"/>
    <w:rsid w:val="506B6B2D"/>
    <w:rsid w:val="507156D6"/>
    <w:rsid w:val="5071EB49"/>
    <w:rsid w:val="50860325"/>
    <w:rsid w:val="5090BF38"/>
    <w:rsid w:val="509B8B55"/>
    <w:rsid w:val="50CADC48"/>
    <w:rsid w:val="50F2A3F8"/>
    <w:rsid w:val="510E1AD8"/>
    <w:rsid w:val="5117D77E"/>
    <w:rsid w:val="5124272F"/>
    <w:rsid w:val="51306209"/>
    <w:rsid w:val="51760AB8"/>
    <w:rsid w:val="5177D1FE"/>
    <w:rsid w:val="518E646C"/>
    <w:rsid w:val="5193DB89"/>
    <w:rsid w:val="519C9015"/>
    <w:rsid w:val="51A39917"/>
    <w:rsid w:val="51B4807A"/>
    <w:rsid w:val="51B8AD6C"/>
    <w:rsid w:val="51B9FA7A"/>
    <w:rsid w:val="51BC6E65"/>
    <w:rsid w:val="51BDE896"/>
    <w:rsid w:val="51C976FF"/>
    <w:rsid w:val="51D18911"/>
    <w:rsid w:val="51E89E36"/>
    <w:rsid w:val="51F7413B"/>
    <w:rsid w:val="52113185"/>
    <w:rsid w:val="522A402A"/>
    <w:rsid w:val="5231F048"/>
    <w:rsid w:val="525A94CD"/>
    <w:rsid w:val="528B7BE0"/>
    <w:rsid w:val="528BAA09"/>
    <w:rsid w:val="528EEB98"/>
    <w:rsid w:val="528FF767"/>
    <w:rsid w:val="5296BB70"/>
    <w:rsid w:val="529E4353"/>
    <w:rsid w:val="52AA5ECC"/>
    <w:rsid w:val="52AAE8F2"/>
    <w:rsid w:val="52B54471"/>
    <w:rsid w:val="52BABE19"/>
    <w:rsid w:val="52C7F9ED"/>
    <w:rsid w:val="52C8A144"/>
    <w:rsid w:val="52E3E3BA"/>
    <w:rsid w:val="530F6A9F"/>
    <w:rsid w:val="534078A8"/>
    <w:rsid w:val="5346DA31"/>
    <w:rsid w:val="535050DB"/>
    <w:rsid w:val="536CFF10"/>
    <w:rsid w:val="537AF15C"/>
    <w:rsid w:val="5390BF02"/>
    <w:rsid w:val="53936E34"/>
    <w:rsid w:val="53A7E662"/>
    <w:rsid w:val="53D99626"/>
    <w:rsid w:val="53DD205A"/>
    <w:rsid w:val="53EC75AF"/>
    <w:rsid w:val="53F53112"/>
    <w:rsid w:val="5408B4F9"/>
    <w:rsid w:val="5408D7E3"/>
    <w:rsid w:val="54162932"/>
    <w:rsid w:val="541A3BA1"/>
    <w:rsid w:val="541A955B"/>
    <w:rsid w:val="54277A6A"/>
    <w:rsid w:val="543336AB"/>
    <w:rsid w:val="54398D49"/>
    <w:rsid w:val="543E6EF8"/>
    <w:rsid w:val="544D2DA5"/>
    <w:rsid w:val="54629F7B"/>
    <w:rsid w:val="546DA575"/>
    <w:rsid w:val="5471B564"/>
    <w:rsid w:val="548C771E"/>
    <w:rsid w:val="54954F42"/>
    <w:rsid w:val="54DA9EA0"/>
    <w:rsid w:val="54EA11F6"/>
    <w:rsid w:val="54F05264"/>
    <w:rsid w:val="55068258"/>
    <w:rsid w:val="550BD821"/>
    <w:rsid w:val="55164DAB"/>
    <w:rsid w:val="55314F5E"/>
    <w:rsid w:val="553DB0C7"/>
    <w:rsid w:val="554F6778"/>
    <w:rsid w:val="55544D48"/>
    <w:rsid w:val="5572E102"/>
    <w:rsid w:val="557BA0C2"/>
    <w:rsid w:val="557D0068"/>
    <w:rsid w:val="5588FB7D"/>
    <w:rsid w:val="55ADD788"/>
    <w:rsid w:val="55B9AE95"/>
    <w:rsid w:val="55DE12AD"/>
    <w:rsid w:val="55E1C153"/>
    <w:rsid w:val="55EBEAB9"/>
    <w:rsid w:val="55F11F06"/>
    <w:rsid w:val="55FE9A17"/>
    <w:rsid w:val="56139D1B"/>
    <w:rsid w:val="561DDA16"/>
    <w:rsid w:val="56201E81"/>
    <w:rsid w:val="5620B671"/>
    <w:rsid w:val="56373367"/>
    <w:rsid w:val="5644C413"/>
    <w:rsid w:val="5672234B"/>
    <w:rsid w:val="56770D17"/>
    <w:rsid w:val="56799696"/>
    <w:rsid w:val="569DC4EF"/>
    <w:rsid w:val="56A51708"/>
    <w:rsid w:val="56ACEC69"/>
    <w:rsid w:val="5705616B"/>
    <w:rsid w:val="5715C6AE"/>
    <w:rsid w:val="57177123"/>
    <w:rsid w:val="573D4CB0"/>
    <w:rsid w:val="57412E6D"/>
    <w:rsid w:val="574F778E"/>
    <w:rsid w:val="5763D0DE"/>
    <w:rsid w:val="576F95C4"/>
    <w:rsid w:val="57873219"/>
    <w:rsid w:val="5797B1BB"/>
    <w:rsid w:val="57B12E27"/>
    <w:rsid w:val="57BDBD9D"/>
    <w:rsid w:val="57D31695"/>
    <w:rsid w:val="57EBAD6C"/>
    <w:rsid w:val="57ED39C2"/>
    <w:rsid w:val="57FE080B"/>
    <w:rsid w:val="5813DB7D"/>
    <w:rsid w:val="581C339E"/>
    <w:rsid w:val="581CD5C3"/>
    <w:rsid w:val="5869EC8C"/>
    <w:rsid w:val="58754E1B"/>
    <w:rsid w:val="587BD5D9"/>
    <w:rsid w:val="58D0D62B"/>
    <w:rsid w:val="58FE8F65"/>
    <w:rsid w:val="58FFA13F"/>
    <w:rsid w:val="591F043F"/>
    <w:rsid w:val="5930AD4E"/>
    <w:rsid w:val="593DA2E4"/>
    <w:rsid w:val="5948313E"/>
    <w:rsid w:val="5952DDDF"/>
    <w:rsid w:val="5955BE99"/>
    <w:rsid w:val="59567912"/>
    <w:rsid w:val="59598DFE"/>
    <w:rsid w:val="596EF45F"/>
    <w:rsid w:val="5975B122"/>
    <w:rsid w:val="59890702"/>
    <w:rsid w:val="59A24C2A"/>
    <w:rsid w:val="59BF925F"/>
    <w:rsid w:val="59CEE8A8"/>
    <w:rsid w:val="59F774C1"/>
    <w:rsid w:val="59FEF41B"/>
    <w:rsid w:val="5A24ED8A"/>
    <w:rsid w:val="5A3503F0"/>
    <w:rsid w:val="5A4AE4A4"/>
    <w:rsid w:val="5A55CDE6"/>
    <w:rsid w:val="5A787B86"/>
    <w:rsid w:val="5A951B42"/>
    <w:rsid w:val="5A981967"/>
    <w:rsid w:val="5A997704"/>
    <w:rsid w:val="5A9C71DC"/>
    <w:rsid w:val="5AA03431"/>
    <w:rsid w:val="5AB9FBA6"/>
    <w:rsid w:val="5AD6017E"/>
    <w:rsid w:val="5AE6ED24"/>
    <w:rsid w:val="5AEADBCD"/>
    <w:rsid w:val="5AFBB8A2"/>
    <w:rsid w:val="5AFCCEE3"/>
    <w:rsid w:val="5B02CF05"/>
    <w:rsid w:val="5B197C4F"/>
    <w:rsid w:val="5B27C826"/>
    <w:rsid w:val="5B3FA164"/>
    <w:rsid w:val="5B40C684"/>
    <w:rsid w:val="5B56AD36"/>
    <w:rsid w:val="5B5BFD35"/>
    <w:rsid w:val="5B5C19AD"/>
    <w:rsid w:val="5B5D5EE9"/>
    <w:rsid w:val="5B7A61EE"/>
    <w:rsid w:val="5B824BAA"/>
    <w:rsid w:val="5B8524D8"/>
    <w:rsid w:val="5B932E44"/>
    <w:rsid w:val="5BA4FA2C"/>
    <w:rsid w:val="5BB7383C"/>
    <w:rsid w:val="5BBB2464"/>
    <w:rsid w:val="5BDFEF69"/>
    <w:rsid w:val="5BFEE52D"/>
    <w:rsid w:val="5C135E4F"/>
    <w:rsid w:val="5C2CFFF0"/>
    <w:rsid w:val="5C2DE047"/>
    <w:rsid w:val="5C328849"/>
    <w:rsid w:val="5C328C4F"/>
    <w:rsid w:val="5C548C00"/>
    <w:rsid w:val="5C56EA32"/>
    <w:rsid w:val="5C659406"/>
    <w:rsid w:val="5C6D3E67"/>
    <w:rsid w:val="5C8E2EAF"/>
    <w:rsid w:val="5C9525D6"/>
    <w:rsid w:val="5CE74CA0"/>
    <w:rsid w:val="5CF8F690"/>
    <w:rsid w:val="5CFF20A7"/>
    <w:rsid w:val="5D00A299"/>
    <w:rsid w:val="5D055B4D"/>
    <w:rsid w:val="5D0588D2"/>
    <w:rsid w:val="5D09387B"/>
    <w:rsid w:val="5D0F1CDB"/>
    <w:rsid w:val="5D1E6CB3"/>
    <w:rsid w:val="5D20499F"/>
    <w:rsid w:val="5D400384"/>
    <w:rsid w:val="5D572E22"/>
    <w:rsid w:val="5D7C9075"/>
    <w:rsid w:val="5DA1B07D"/>
    <w:rsid w:val="5DB248DA"/>
    <w:rsid w:val="5DB8C4D0"/>
    <w:rsid w:val="5DBBA6B8"/>
    <w:rsid w:val="5DEA82FF"/>
    <w:rsid w:val="5E0378A6"/>
    <w:rsid w:val="5E17FBA2"/>
    <w:rsid w:val="5E2C0B12"/>
    <w:rsid w:val="5E4AD59B"/>
    <w:rsid w:val="5E51C5B4"/>
    <w:rsid w:val="5E52565F"/>
    <w:rsid w:val="5E5B0AD0"/>
    <w:rsid w:val="5E91B8D3"/>
    <w:rsid w:val="5EA1BC94"/>
    <w:rsid w:val="5EAC2BDF"/>
    <w:rsid w:val="5EB172D8"/>
    <w:rsid w:val="5EC14A3C"/>
    <w:rsid w:val="5ED241E2"/>
    <w:rsid w:val="5ED7B2F1"/>
    <w:rsid w:val="5EF47469"/>
    <w:rsid w:val="5F1860D6"/>
    <w:rsid w:val="5F22CB65"/>
    <w:rsid w:val="5F2576B2"/>
    <w:rsid w:val="5F262FFC"/>
    <w:rsid w:val="5F3A28F0"/>
    <w:rsid w:val="5F545082"/>
    <w:rsid w:val="5F555212"/>
    <w:rsid w:val="5F58DD0A"/>
    <w:rsid w:val="5F69166C"/>
    <w:rsid w:val="5F6FDD4D"/>
    <w:rsid w:val="5F75FA61"/>
    <w:rsid w:val="5F7746F7"/>
    <w:rsid w:val="5F7843CC"/>
    <w:rsid w:val="5F79A599"/>
    <w:rsid w:val="5FB3DE4B"/>
    <w:rsid w:val="5FB65432"/>
    <w:rsid w:val="5FC8CF82"/>
    <w:rsid w:val="5FCC4142"/>
    <w:rsid w:val="5FE193CF"/>
    <w:rsid w:val="5FEC2A34"/>
    <w:rsid w:val="60124663"/>
    <w:rsid w:val="60261121"/>
    <w:rsid w:val="6036C169"/>
    <w:rsid w:val="603F0C6F"/>
    <w:rsid w:val="604580C4"/>
    <w:rsid w:val="605B490B"/>
    <w:rsid w:val="605F0A9A"/>
    <w:rsid w:val="605F5305"/>
    <w:rsid w:val="60768063"/>
    <w:rsid w:val="60856DA9"/>
    <w:rsid w:val="6095730F"/>
    <w:rsid w:val="609E62B7"/>
    <w:rsid w:val="60A859F0"/>
    <w:rsid w:val="60B43137"/>
    <w:rsid w:val="60C98841"/>
    <w:rsid w:val="60DC5B5D"/>
    <w:rsid w:val="60E3CDC3"/>
    <w:rsid w:val="6103C9A3"/>
    <w:rsid w:val="6105FD72"/>
    <w:rsid w:val="6120462A"/>
    <w:rsid w:val="6124E209"/>
    <w:rsid w:val="61422A65"/>
    <w:rsid w:val="614498BE"/>
    <w:rsid w:val="616C46A4"/>
    <w:rsid w:val="61747004"/>
    <w:rsid w:val="617A95AD"/>
    <w:rsid w:val="618C5495"/>
    <w:rsid w:val="61941C08"/>
    <w:rsid w:val="61AEBDCA"/>
    <w:rsid w:val="61BC2D43"/>
    <w:rsid w:val="61BE3F3F"/>
    <w:rsid w:val="61C9B423"/>
    <w:rsid w:val="61D291CA"/>
    <w:rsid w:val="61EAD3EB"/>
    <w:rsid w:val="61EBCD3C"/>
    <w:rsid w:val="61FC3375"/>
    <w:rsid w:val="6202ADE4"/>
    <w:rsid w:val="621AFFD6"/>
    <w:rsid w:val="623341F7"/>
    <w:rsid w:val="6253E614"/>
    <w:rsid w:val="626DCA2E"/>
    <w:rsid w:val="627DA01C"/>
    <w:rsid w:val="62A1CDD3"/>
    <w:rsid w:val="62A3C229"/>
    <w:rsid w:val="62AE1B6B"/>
    <w:rsid w:val="62B0648F"/>
    <w:rsid w:val="62D1C027"/>
    <w:rsid w:val="62DA7CDB"/>
    <w:rsid w:val="62DCAE84"/>
    <w:rsid w:val="62EF5220"/>
    <w:rsid w:val="62FBC991"/>
    <w:rsid w:val="632633A8"/>
    <w:rsid w:val="6339394A"/>
    <w:rsid w:val="63408F4D"/>
    <w:rsid w:val="636E622B"/>
    <w:rsid w:val="63A06811"/>
    <w:rsid w:val="63CB6E32"/>
    <w:rsid w:val="63D2CCFA"/>
    <w:rsid w:val="63D51C12"/>
    <w:rsid w:val="63D95414"/>
    <w:rsid w:val="63E1651D"/>
    <w:rsid w:val="63EB3CB2"/>
    <w:rsid w:val="63F43337"/>
    <w:rsid w:val="640204DB"/>
    <w:rsid w:val="64029979"/>
    <w:rsid w:val="640BC087"/>
    <w:rsid w:val="642C9BD6"/>
    <w:rsid w:val="6451971C"/>
    <w:rsid w:val="6456E315"/>
    <w:rsid w:val="6463F8C0"/>
    <w:rsid w:val="647866D8"/>
    <w:rsid w:val="64789371"/>
    <w:rsid w:val="647BD1FB"/>
    <w:rsid w:val="647CEF18"/>
    <w:rsid w:val="649F0DC4"/>
    <w:rsid w:val="64A45EF7"/>
    <w:rsid w:val="64AD4058"/>
    <w:rsid w:val="64AFED58"/>
    <w:rsid w:val="64C0464A"/>
    <w:rsid w:val="64CBBCCA"/>
    <w:rsid w:val="64F3CE05"/>
    <w:rsid w:val="64FB7D82"/>
    <w:rsid w:val="6531AC55"/>
    <w:rsid w:val="653DC715"/>
    <w:rsid w:val="656A4F4B"/>
    <w:rsid w:val="6577A06C"/>
    <w:rsid w:val="659DFDCC"/>
    <w:rsid w:val="65B9F944"/>
    <w:rsid w:val="65BEE74A"/>
    <w:rsid w:val="65C9F78C"/>
    <w:rsid w:val="65D06559"/>
    <w:rsid w:val="65E873C5"/>
    <w:rsid w:val="65FB6E46"/>
    <w:rsid w:val="660CBD9A"/>
    <w:rsid w:val="6631AC30"/>
    <w:rsid w:val="663673CD"/>
    <w:rsid w:val="66418C21"/>
    <w:rsid w:val="66493370"/>
    <w:rsid w:val="668738B5"/>
    <w:rsid w:val="66885E59"/>
    <w:rsid w:val="668E31D8"/>
    <w:rsid w:val="66A1BE5C"/>
    <w:rsid w:val="66AC9110"/>
    <w:rsid w:val="66B17B35"/>
    <w:rsid w:val="66D5E0EB"/>
    <w:rsid w:val="66E3D36B"/>
    <w:rsid w:val="67135CAC"/>
    <w:rsid w:val="671401D8"/>
    <w:rsid w:val="6728FF64"/>
    <w:rsid w:val="6735B4C0"/>
    <w:rsid w:val="6742DD2E"/>
    <w:rsid w:val="677885C8"/>
    <w:rsid w:val="67798ED8"/>
    <w:rsid w:val="67970098"/>
    <w:rsid w:val="679D5788"/>
    <w:rsid w:val="67A1E73E"/>
    <w:rsid w:val="67B26E24"/>
    <w:rsid w:val="67B7108F"/>
    <w:rsid w:val="67DA0AC9"/>
    <w:rsid w:val="67E22930"/>
    <w:rsid w:val="67E2BFF0"/>
    <w:rsid w:val="67FBC1E8"/>
    <w:rsid w:val="680B2888"/>
    <w:rsid w:val="68168659"/>
    <w:rsid w:val="6817D251"/>
    <w:rsid w:val="6831FB9B"/>
    <w:rsid w:val="6836129D"/>
    <w:rsid w:val="68442C12"/>
    <w:rsid w:val="68521A13"/>
    <w:rsid w:val="6871B14C"/>
    <w:rsid w:val="688277A8"/>
    <w:rsid w:val="688A3BCA"/>
    <w:rsid w:val="688C4AF6"/>
    <w:rsid w:val="6895C305"/>
    <w:rsid w:val="68D817AC"/>
    <w:rsid w:val="68EF4826"/>
    <w:rsid w:val="68EF5ADB"/>
    <w:rsid w:val="68F651D6"/>
    <w:rsid w:val="68F80DDE"/>
    <w:rsid w:val="68F8D551"/>
    <w:rsid w:val="6915B1B4"/>
    <w:rsid w:val="69241D57"/>
    <w:rsid w:val="6925FF27"/>
    <w:rsid w:val="69330F08"/>
    <w:rsid w:val="6942E701"/>
    <w:rsid w:val="695B04DB"/>
    <w:rsid w:val="69829E6D"/>
    <w:rsid w:val="6993525D"/>
    <w:rsid w:val="69AEE337"/>
    <w:rsid w:val="69D32DCD"/>
    <w:rsid w:val="69E431D2"/>
    <w:rsid w:val="6A04D914"/>
    <w:rsid w:val="6A08C80A"/>
    <w:rsid w:val="6A1658E6"/>
    <w:rsid w:val="6A1870F1"/>
    <w:rsid w:val="6A1A2188"/>
    <w:rsid w:val="6A260C2B"/>
    <w:rsid w:val="6A271361"/>
    <w:rsid w:val="6A27F9D1"/>
    <w:rsid w:val="6A45D3B5"/>
    <w:rsid w:val="6A4D321B"/>
    <w:rsid w:val="6A555FF5"/>
    <w:rsid w:val="6A5D6EBA"/>
    <w:rsid w:val="6A6D4359"/>
    <w:rsid w:val="6A6E4FA0"/>
    <w:rsid w:val="6A79C883"/>
    <w:rsid w:val="6A922237"/>
    <w:rsid w:val="6AB6B99B"/>
    <w:rsid w:val="6AB9DB31"/>
    <w:rsid w:val="6ACB9FC0"/>
    <w:rsid w:val="6ADD946F"/>
    <w:rsid w:val="6AE81C43"/>
    <w:rsid w:val="6AFA4E23"/>
    <w:rsid w:val="6B162B6A"/>
    <w:rsid w:val="6B5095AC"/>
    <w:rsid w:val="6B565355"/>
    <w:rsid w:val="6B8CD9AE"/>
    <w:rsid w:val="6B9AFC57"/>
    <w:rsid w:val="6BA5B6F9"/>
    <w:rsid w:val="6BA7B68D"/>
    <w:rsid w:val="6BA9520E"/>
    <w:rsid w:val="6BAE95EE"/>
    <w:rsid w:val="6BC0D02D"/>
    <w:rsid w:val="6BC29F5F"/>
    <w:rsid w:val="6BC55196"/>
    <w:rsid w:val="6BCD2AD5"/>
    <w:rsid w:val="6BCD4396"/>
    <w:rsid w:val="6C4AB162"/>
    <w:rsid w:val="6C4F123C"/>
    <w:rsid w:val="6C6C2621"/>
    <w:rsid w:val="6C83A556"/>
    <w:rsid w:val="6C83ECA4"/>
    <w:rsid w:val="6C93EEA6"/>
    <w:rsid w:val="6CA00E8A"/>
    <w:rsid w:val="6CC79DCE"/>
    <w:rsid w:val="6CE550DD"/>
    <w:rsid w:val="6D389282"/>
    <w:rsid w:val="6D6623C8"/>
    <w:rsid w:val="6D6C15CE"/>
    <w:rsid w:val="6D772D63"/>
    <w:rsid w:val="6D7A5694"/>
    <w:rsid w:val="6D829EA5"/>
    <w:rsid w:val="6D88AD05"/>
    <w:rsid w:val="6D974618"/>
    <w:rsid w:val="6DA1A9FE"/>
    <w:rsid w:val="6DA345FD"/>
    <w:rsid w:val="6DB16945"/>
    <w:rsid w:val="6DB696F6"/>
    <w:rsid w:val="6DB7B9A3"/>
    <w:rsid w:val="6DDE7AD7"/>
    <w:rsid w:val="6DDF39D8"/>
    <w:rsid w:val="6E17CF7F"/>
    <w:rsid w:val="6E19A1D7"/>
    <w:rsid w:val="6E1FBD05"/>
    <w:rsid w:val="6E2A2478"/>
    <w:rsid w:val="6E44BE23"/>
    <w:rsid w:val="6E47C6DA"/>
    <w:rsid w:val="6E516AB4"/>
    <w:rsid w:val="6E5BEEF4"/>
    <w:rsid w:val="6E668A4C"/>
    <w:rsid w:val="6E85EA10"/>
    <w:rsid w:val="6ECE280A"/>
    <w:rsid w:val="6EDE36BD"/>
    <w:rsid w:val="6EE5E622"/>
    <w:rsid w:val="6F272FAF"/>
    <w:rsid w:val="6F36E5DE"/>
    <w:rsid w:val="6F39B697"/>
    <w:rsid w:val="6F3E333F"/>
    <w:rsid w:val="6F470618"/>
    <w:rsid w:val="6F501675"/>
    <w:rsid w:val="6F52F01A"/>
    <w:rsid w:val="6F8128E3"/>
    <w:rsid w:val="6F883E61"/>
    <w:rsid w:val="6F9B76F8"/>
    <w:rsid w:val="6FCB8F68"/>
    <w:rsid w:val="6FCCF4AD"/>
    <w:rsid w:val="6FEB1C1F"/>
    <w:rsid w:val="7036AAFB"/>
    <w:rsid w:val="7061548A"/>
    <w:rsid w:val="70869423"/>
    <w:rsid w:val="709358DF"/>
    <w:rsid w:val="709CD1E1"/>
    <w:rsid w:val="70A373C5"/>
    <w:rsid w:val="70A81A39"/>
    <w:rsid w:val="70DEA752"/>
    <w:rsid w:val="7103D44E"/>
    <w:rsid w:val="7108A10E"/>
    <w:rsid w:val="7124B599"/>
    <w:rsid w:val="712E0DEC"/>
    <w:rsid w:val="714329E7"/>
    <w:rsid w:val="71575DC7"/>
    <w:rsid w:val="71805C84"/>
    <w:rsid w:val="7183C42D"/>
    <w:rsid w:val="7191388E"/>
    <w:rsid w:val="71949C9B"/>
    <w:rsid w:val="719503D4"/>
    <w:rsid w:val="71A12DB9"/>
    <w:rsid w:val="71D6EFBA"/>
    <w:rsid w:val="71E96C20"/>
    <w:rsid w:val="71EF43B7"/>
    <w:rsid w:val="71F48803"/>
    <w:rsid w:val="71FFDB46"/>
    <w:rsid w:val="72034264"/>
    <w:rsid w:val="720915AD"/>
    <w:rsid w:val="720F3D7A"/>
    <w:rsid w:val="72113E96"/>
    <w:rsid w:val="721D20B8"/>
    <w:rsid w:val="7265E53C"/>
    <w:rsid w:val="7266FF0D"/>
    <w:rsid w:val="726BB20B"/>
    <w:rsid w:val="726E3442"/>
    <w:rsid w:val="72768AA5"/>
    <w:rsid w:val="727BA823"/>
    <w:rsid w:val="728A0819"/>
    <w:rsid w:val="72ADE880"/>
    <w:rsid w:val="72AEF922"/>
    <w:rsid w:val="72BF6780"/>
    <w:rsid w:val="72BFDF23"/>
    <w:rsid w:val="72D105F6"/>
    <w:rsid w:val="72E7E9E8"/>
    <w:rsid w:val="72F32E28"/>
    <w:rsid w:val="73043307"/>
    <w:rsid w:val="7317292B"/>
    <w:rsid w:val="7332938A"/>
    <w:rsid w:val="7359E855"/>
    <w:rsid w:val="736A0236"/>
    <w:rsid w:val="73749F74"/>
    <w:rsid w:val="7389140C"/>
    <w:rsid w:val="738B9CBB"/>
    <w:rsid w:val="738B9DA8"/>
    <w:rsid w:val="7393EC75"/>
    <w:rsid w:val="7397DD33"/>
    <w:rsid w:val="73AB4A3F"/>
    <w:rsid w:val="73E00162"/>
    <w:rsid w:val="73F35811"/>
    <w:rsid w:val="74040AA7"/>
    <w:rsid w:val="7420AAC9"/>
    <w:rsid w:val="7423E688"/>
    <w:rsid w:val="7425D87A"/>
    <w:rsid w:val="744034DA"/>
    <w:rsid w:val="745BAF84"/>
    <w:rsid w:val="746AAC18"/>
    <w:rsid w:val="746B4E58"/>
    <w:rsid w:val="746FE87D"/>
    <w:rsid w:val="747DD673"/>
    <w:rsid w:val="7482463A"/>
    <w:rsid w:val="74B6E2FB"/>
    <w:rsid w:val="74B910C2"/>
    <w:rsid w:val="74C95A47"/>
    <w:rsid w:val="74F33B16"/>
    <w:rsid w:val="750BB18D"/>
    <w:rsid w:val="7548F1CB"/>
    <w:rsid w:val="755F757E"/>
    <w:rsid w:val="757DDA93"/>
    <w:rsid w:val="758091B1"/>
    <w:rsid w:val="7599E32A"/>
    <w:rsid w:val="75B2C986"/>
    <w:rsid w:val="75C7951B"/>
    <w:rsid w:val="75DD9C0C"/>
    <w:rsid w:val="7628CF82"/>
    <w:rsid w:val="762D1A38"/>
    <w:rsid w:val="76303C71"/>
    <w:rsid w:val="76324889"/>
    <w:rsid w:val="764577B1"/>
    <w:rsid w:val="76629CBA"/>
    <w:rsid w:val="7671DF59"/>
    <w:rsid w:val="767A5B8D"/>
    <w:rsid w:val="768105C1"/>
    <w:rsid w:val="768CB982"/>
    <w:rsid w:val="769630DB"/>
    <w:rsid w:val="76B0DC8F"/>
    <w:rsid w:val="76BF1B34"/>
    <w:rsid w:val="76C58D27"/>
    <w:rsid w:val="76D7D875"/>
    <w:rsid w:val="76DF5DD3"/>
    <w:rsid w:val="76EF4DF9"/>
    <w:rsid w:val="76F0CF3E"/>
    <w:rsid w:val="771219B6"/>
    <w:rsid w:val="7720AE49"/>
    <w:rsid w:val="772BCB39"/>
    <w:rsid w:val="775C06D0"/>
    <w:rsid w:val="775CC758"/>
    <w:rsid w:val="776E0897"/>
    <w:rsid w:val="77860960"/>
    <w:rsid w:val="778C3AC8"/>
    <w:rsid w:val="779A9D22"/>
    <w:rsid w:val="779DC1EF"/>
    <w:rsid w:val="77A82D1D"/>
    <w:rsid w:val="77BBADE6"/>
    <w:rsid w:val="77BD165A"/>
    <w:rsid w:val="77C10814"/>
    <w:rsid w:val="77ED8EF0"/>
    <w:rsid w:val="77F85857"/>
    <w:rsid w:val="77FCBFAB"/>
    <w:rsid w:val="77FE477A"/>
    <w:rsid w:val="78138D69"/>
    <w:rsid w:val="7813C3DB"/>
    <w:rsid w:val="78212698"/>
    <w:rsid w:val="78245FE0"/>
    <w:rsid w:val="783209D7"/>
    <w:rsid w:val="78449CFE"/>
    <w:rsid w:val="785E7B06"/>
    <w:rsid w:val="7867EF17"/>
    <w:rsid w:val="788244F8"/>
    <w:rsid w:val="788C9F9F"/>
    <w:rsid w:val="789D9F22"/>
    <w:rsid w:val="78B36A38"/>
    <w:rsid w:val="78BA010D"/>
    <w:rsid w:val="78BF9AC7"/>
    <w:rsid w:val="78C3A64B"/>
    <w:rsid w:val="78C4B5D7"/>
    <w:rsid w:val="78D03ABF"/>
    <w:rsid w:val="78F9D4B7"/>
    <w:rsid w:val="7907B6ED"/>
    <w:rsid w:val="79245AC0"/>
    <w:rsid w:val="7932DC5D"/>
    <w:rsid w:val="793E25D7"/>
    <w:rsid w:val="79490001"/>
    <w:rsid w:val="79514796"/>
    <w:rsid w:val="795A7966"/>
    <w:rsid w:val="795EF2B2"/>
    <w:rsid w:val="79626FAC"/>
    <w:rsid w:val="798A0881"/>
    <w:rsid w:val="79B87590"/>
    <w:rsid w:val="79BFC530"/>
    <w:rsid w:val="79D236DC"/>
    <w:rsid w:val="79D9AEC6"/>
    <w:rsid w:val="79EDC25E"/>
    <w:rsid w:val="79F2088E"/>
    <w:rsid w:val="79FBA326"/>
    <w:rsid w:val="79FC9640"/>
    <w:rsid w:val="7A0DC9D5"/>
    <w:rsid w:val="7A206434"/>
    <w:rsid w:val="7A327B2A"/>
    <w:rsid w:val="7A383329"/>
    <w:rsid w:val="7A3CC2F4"/>
    <w:rsid w:val="7A63F20D"/>
    <w:rsid w:val="7A73CD78"/>
    <w:rsid w:val="7A76C3F0"/>
    <w:rsid w:val="7A8404CC"/>
    <w:rsid w:val="7A89AF72"/>
    <w:rsid w:val="7ACC62EE"/>
    <w:rsid w:val="7AD23803"/>
    <w:rsid w:val="7ADF9CE6"/>
    <w:rsid w:val="7AE774EB"/>
    <w:rsid w:val="7B0B9530"/>
    <w:rsid w:val="7B1105D9"/>
    <w:rsid w:val="7B14E9B9"/>
    <w:rsid w:val="7B23BF39"/>
    <w:rsid w:val="7B395E1F"/>
    <w:rsid w:val="7B476973"/>
    <w:rsid w:val="7B48D868"/>
    <w:rsid w:val="7B4BD1DD"/>
    <w:rsid w:val="7B673D2D"/>
    <w:rsid w:val="7B6FA5FE"/>
    <w:rsid w:val="7B73B5BB"/>
    <w:rsid w:val="7B80BB37"/>
    <w:rsid w:val="7B87EA86"/>
    <w:rsid w:val="7B9A8990"/>
    <w:rsid w:val="7B9B6A49"/>
    <w:rsid w:val="7BA2D145"/>
    <w:rsid w:val="7BAE1CC3"/>
    <w:rsid w:val="7BD89355"/>
    <w:rsid w:val="7BDCE3A8"/>
    <w:rsid w:val="7BDEF018"/>
    <w:rsid w:val="7BEC4EC2"/>
    <w:rsid w:val="7BEF3705"/>
    <w:rsid w:val="7BF49167"/>
    <w:rsid w:val="7BFC4089"/>
    <w:rsid w:val="7C274A02"/>
    <w:rsid w:val="7C2ED86C"/>
    <w:rsid w:val="7C314C17"/>
    <w:rsid w:val="7C517E0E"/>
    <w:rsid w:val="7C75C699"/>
    <w:rsid w:val="7C76FA13"/>
    <w:rsid w:val="7C7D2B2B"/>
    <w:rsid w:val="7C85A3D4"/>
    <w:rsid w:val="7C89EE87"/>
    <w:rsid w:val="7C93FB77"/>
    <w:rsid w:val="7C9616BD"/>
    <w:rsid w:val="7C970864"/>
    <w:rsid w:val="7CAB9696"/>
    <w:rsid w:val="7CC802E2"/>
    <w:rsid w:val="7CE7A23E"/>
    <w:rsid w:val="7CF94A0A"/>
    <w:rsid w:val="7CFCC73F"/>
    <w:rsid w:val="7D06FEC0"/>
    <w:rsid w:val="7D0B128F"/>
    <w:rsid w:val="7D19CA20"/>
    <w:rsid w:val="7D20513C"/>
    <w:rsid w:val="7D277122"/>
    <w:rsid w:val="7D2D0A11"/>
    <w:rsid w:val="7D398355"/>
    <w:rsid w:val="7D3B6121"/>
    <w:rsid w:val="7D442B2B"/>
    <w:rsid w:val="7D5B6E2A"/>
    <w:rsid w:val="7D62DA98"/>
    <w:rsid w:val="7D78B409"/>
    <w:rsid w:val="7D8F006A"/>
    <w:rsid w:val="7D9B0C18"/>
    <w:rsid w:val="7DA9DF2D"/>
    <w:rsid w:val="7DAEF599"/>
    <w:rsid w:val="7DB39808"/>
    <w:rsid w:val="7DB55768"/>
    <w:rsid w:val="7DD48202"/>
    <w:rsid w:val="7DD9F358"/>
    <w:rsid w:val="7DDEDF62"/>
    <w:rsid w:val="7DE3EF22"/>
    <w:rsid w:val="7DF30359"/>
    <w:rsid w:val="7DFA7D17"/>
    <w:rsid w:val="7E26B570"/>
    <w:rsid w:val="7E35E0CF"/>
    <w:rsid w:val="7E3C2DF9"/>
    <w:rsid w:val="7E54BB80"/>
    <w:rsid w:val="7E551BF7"/>
    <w:rsid w:val="7E63FBDC"/>
    <w:rsid w:val="7E73B83A"/>
    <w:rsid w:val="7E80B1AA"/>
    <w:rsid w:val="7E95CE7A"/>
    <w:rsid w:val="7E95F351"/>
    <w:rsid w:val="7EDAADC4"/>
    <w:rsid w:val="7EDC2A76"/>
    <w:rsid w:val="7EDCD251"/>
    <w:rsid w:val="7F16ED55"/>
    <w:rsid w:val="7F200C9E"/>
    <w:rsid w:val="7F29EE40"/>
    <w:rsid w:val="7F2F6688"/>
    <w:rsid w:val="7F2F7C1C"/>
    <w:rsid w:val="7F311A4C"/>
    <w:rsid w:val="7F4FE71D"/>
    <w:rsid w:val="7F5CD1AD"/>
    <w:rsid w:val="7F7D223F"/>
    <w:rsid w:val="7F8F7661"/>
    <w:rsid w:val="7F90D9E1"/>
    <w:rsid w:val="7F9A523E"/>
    <w:rsid w:val="7FBAFB8F"/>
    <w:rsid w:val="7FC6385B"/>
    <w:rsid w:val="7FD5DECF"/>
    <w:rsid w:val="7FE033C4"/>
    <w:rsid w:val="7FEE0D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E3913"/>
  <w15:chartTrackingRefBased/>
  <w15:docId w15:val="{0D2263B5-E25F-48DA-AC25-AD813810B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119"/>
    <w:pPr>
      <w:widowControl w:val="0"/>
      <w:autoSpaceDE w:val="0"/>
      <w:autoSpaceDN w:val="0"/>
      <w:adjustRightInd w:val="0"/>
      <w:spacing w:after="0" w:line="240" w:lineRule="auto"/>
    </w:pPr>
    <w:rPr>
      <w:rFonts w:ascii="Arial" w:eastAsia="Times New Roman" w:hAnsi="Arial" w:cs="Arial"/>
      <w:sz w:val="20"/>
      <w:szCs w:val="20"/>
    </w:rPr>
  </w:style>
  <w:style w:type="paragraph" w:styleId="Heading1">
    <w:name w:val="heading 1"/>
    <w:basedOn w:val="Normal"/>
    <w:next w:val="Normal"/>
    <w:link w:val="Heading1Char"/>
    <w:uiPriority w:val="1"/>
    <w:qFormat/>
    <w:rsid w:val="001709E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1"/>
    <w:unhideWhenUsed/>
    <w:qFormat/>
    <w:rsid w:val="00F4219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8278D"/>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 Bullet,Medium Grid 1 - Accent 21,RMSI bulle Style,List Paragraph1,Bullet  Paragraph,Heading3 Char,Heading3,Issue Action POC,3,POCG Table Text,Dot pt,F5 List Paragraph,List Paragraph Char Char Char,Indicator Text,Numbered Para 1"/>
    <w:basedOn w:val="Normal"/>
    <w:link w:val="ListParagraphChar"/>
    <w:uiPriority w:val="1"/>
    <w:qFormat/>
    <w:rsid w:val="007A7119"/>
    <w:pPr>
      <w:ind w:left="720"/>
      <w:contextualSpacing/>
    </w:pPr>
  </w:style>
  <w:style w:type="character" w:styleId="Hyperlink">
    <w:name w:val="Hyperlink"/>
    <w:uiPriority w:val="99"/>
    <w:rsid w:val="007A7119"/>
    <w:rPr>
      <w:color w:val="0000FF"/>
      <w:u w:val="single"/>
    </w:rPr>
  </w:style>
  <w:style w:type="character" w:styleId="CommentReference">
    <w:name w:val="annotation reference"/>
    <w:basedOn w:val="DefaultParagraphFont"/>
    <w:uiPriority w:val="99"/>
    <w:semiHidden/>
    <w:unhideWhenUsed/>
    <w:rsid w:val="007A7119"/>
    <w:rPr>
      <w:sz w:val="16"/>
      <w:szCs w:val="16"/>
    </w:rPr>
  </w:style>
  <w:style w:type="paragraph" w:styleId="CommentText">
    <w:name w:val="annotation text"/>
    <w:basedOn w:val="Normal"/>
    <w:link w:val="CommentTextChar"/>
    <w:uiPriority w:val="99"/>
    <w:unhideWhenUsed/>
    <w:rsid w:val="007A7119"/>
  </w:style>
  <w:style w:type="character" w:customStyle="1" w:styleId="CommentTextChar">
    <w:name w:val="Comment Text Char"/>
    <w:basedOn w:val="DefaultParagraphFont"/>
    <w:link w:val="CommentText"/>
    <w:uiPriority w:val="99"/>
    <w:rsid w:val="007A7119"/>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7A7119"/>
    <w:rPr>
      <w:b/>
      <w:bCs/>
    </w:rPr>
  </w:style>
  <w:style w:type="character" w:customStyle="1" w:styleId="CommentSubjectChar">
    <w:name w:val="Comment Subject Char"/>
    <w:basedOn w:val="CommentTextChar"/>
    <w:link w:val="CommentSubject"/>
    <w:uiPriority w:val="99"/>
    <w:semiHidden/>
    <w:rsid w:val="007A7119"/>
    <w:rPr>
      <w:rFonts w:ascii="Arial" w:eastAsia="Times New Roman" w:hAnsi="Arial" w:cs="Arial"/>
      <w:b/>
      <w:bCs/>
      <w:sz w:val="20"/>
      <w:szCs w:val="20"/>
    </w:rPr>
  </w:style>
  <w:style w:type="character" w:customStyle="1" w:styleId="ListParagraphChar">
    <w:name w:val="List Paragraph Char"/>
    <w:aliases w:val="Paragraph Bullet Char,Medium Grid 1 - Accent 21 Char,RMSI bulle Style Char,List Paragraph1 Char,Bullet  Paragraph Char,Heading3 Char Char,Heading3 Char1,Issue Action POC Char,3 Char,POCG Table Text Char,Dot pt Char"/>
    <w:basedOn w:val="DefaultParagraphFont"/>
    <w:link w:val="ListParagraph"/>
    <w:uiPriority w:val="1"/>
    <w:qFormat/>
    <w:locked/>
    <w:rsid w:val="00994C86"/>
    <w:rPr>
      <w:rFonts w:ascii="Arial" w:eastAsia="Times New Roman" w:hAnsi="Arial" w:cs="Arial"/>
      <w:sz w:val="20"/>
      <w:szCs w:val="20"/>
    </w:rPr>
  </w:style>
  <w:style w:type="paragraph" w:styleId="Header">
    <w:name w:val="header"/>
    <w:basedOn w:val="Normal"/>
    <w:link w:val="HeaderChar"/>
    <w:uiPriority w:val="99"/>
    <w:rsid w:val="00C96B41"/>
    <w:pPr>
      <w:widowControl/>
      <w:tabs>
        <w:tab w:val="center" w:pos="4320"/>
        <w:tab w:val="right" w:pos="8640"/>
      </w:tabs>
      <w:autoSpaceDE/>
      <w:autoSpaceDN/>
      <w:adjustRightInd/>
    </w:pPr>
    <w:rPr>
      <w:rFonts w:asciiTheme="minorHAnsi" w:hAnsiTheme="minorHAnsi" w:cs="Times New Roman"/>
      <w:sz w:val="24"/>
    </w:rPr>
  </w:style>
  <w:style w:type="character" w:customStyle="1" w:styleId="HeaderChar">
    <w:name w:val="Header Char"/>
    <w:basedOn w:val="DefaultParagraphFont"/>
    <w:link w:val="Header"/>
    <w:uiPriority w:val="99"/>
    <w:rsid w:val="00C96B41"/>
    <w:rPr>
      <w:rFonts w:eastAsia="Times New Roman" w:cs="Times New Roman"/>
      <w:sz w:val="24"/>
      <w:szCs w:val="20"/>
    </w:rPr>
  </w:style>
  <w:style w:type="paragraph" w:customStyle="1" w:styleId="FOATemplateBody">
    <w:name w:val="FOA Template Body"/>
    <w:basedOn w:val="Normal"/>
    <w:qFormat/>
    <w:rsid w:val="002C78FF"/>
    <w:pPr>
      <w:widowControl/>
      <w:autoSpaceDE/>
      <w:autoSpaceDN/>
      <w:adjustRightInd/>
    </w:pPr>
    <w:rPr>
      <w:rFonts w:ascii="Calibri" w:eastAsiaTheme="minorHAnsi" w:hAnsi="Calibri" w:cstheme="minorBidi"/>
      <w:sz w:val="24"/>
      <w:szCs w:val="22"/>
    </w:rPr>
  </w:style>
  <w:style w:type="character" w:styleId="UnresolvedMention">
    <w:name w:val="Unresolved Mention"/>
    <w:basedOn w:val="DefaultParagraphFont"/>
    <w:uiPriority w:val="99"/>
    <w:semiHidden/>
    <w:unhideWhenUsed/>
    <w:rsid w:val="00D47C2C"/>
    <w:rPr>
      <w:color w:val="605E5C"/>
      <w:shd w:val="clear" w:color="auto" w:fill="E1DFDD"/>
    </w:rPr>
  </w:style>
  <w:style w:type="character" w:styleId="FollowedHyperlink">
    <w:name w:val="FollowedHyperlink"/>
    <w:basedOn w:val="DefaultParagraphFont"/>
    <w:uiPriority w:val="99"/>
    <w:semiHidden/>
    <w:unhideWhenUsed/>
    <w:rsid w:val="003C0283"/>
    <w:rPr>
      <w:color w:val="954F72" w:themeColor="followedHyperlink"/>
      <w:u w:val="single"/>
    </w:rPr>
  </w:style>
  <w:style w:type="character" w:customStyle="1" w:styleId="Heading1Char">
    <w:name w:val="Heading 1 Char"/>
    <w:basedOn w:val="DefaultParagraphFont"/>
    <w:link w:val="Heading1"/>
    <w:uiPriority w:val="9"/>
    <w:rsid w:val="001709E2"/>
    <w:rPr>
      <w:rFonts w:asciiTheme="majorHAnsi" w:eastAsiaTheme="majorEastAsia" w:hAnsiTheme="majorHAnsi" w:cstheme="majorBidi"/>
      <w:color w:val="2F5496" w:themeColor="accent1" w:themeShade="BF"/>
      <w:sz w:val="32"/>
      <w:szCs w:val="32"/>
    </w:rPr>
  </w:style>
  <w:style w:type="paragraph" w:customStyle="1" w:styleId="Style1">
    <w:name w:val="Style1"/>
    <w:basedOn w:val="Heading1"/>
    <w:qFormat/>
    <w:rsid w:val="00457356"/>
    <w:rPr>
      <w:rFonts w:ascii="Arial" w:hAnsi="Arial"/>
      <w:sz w:val="24"/>
    </w:rPr>
  </w:style>
  <w:style w:type="paragraph" w:styleId="TOC1">
    <w:name w:val="toc 1"/>
    <w:basedOn w:val="Normal"/>
    <w:next w:val="Normal"/>
    <w:autoRedefine/>
    <w:uiPriority w:val="39"/>
    <w:unhideWhenUsed/>
    <w:rsid w:val="001021D2"/>
    <w:pPr>
      <w:shd w:val="clear" w:color="auto" w:fill="D9D9D9" w:themeFill="background1" w:themeFillShade="D9"/>
      <w:tabs>
        <w:tab w:val="right" w:leader="dot" w:pos="9360"/>
      </w:tabs>
      <w:spacing w:after="100"/>
    </w:pPr>
    <w:rPr>
      <w:b/>
      <w:bCs/>
      <w:noProof/>
      <w:shd w:val="clear" w:color="auto" w:fill="D9D9D9" w:themeFill="background1" w:themeFillShade="D9"/>
    </w:rPr>
  </w:style>
  <w:style w:type="paragraph" w:styleId="Footer">
    <w:name w:val="footer"/>
    <w:basedOn w:val="Normal"/>
    <w:link w:val="FooterChar"/>
    <w:uiPriority w:val="99"/>
    <w:unhideWhenUsed/>
    <w:rsid w:val="004A3B01"/>
    <w:pPr>
      <w:tabs>
        <w:tab w:val="center" w:pos="4680"/>
        <w:tab w:val="right" w:pos="9360"/>
      </w:tabs>
    </w:pPr>
  </w:style>
  <w:style w:type="character" w:customStyle="1" w:styleId="FooterChar">
    <w:name w:val="Footer Char"/>
    <w:basedOn w:val="DefaultParagraphFont"/>
    <w:link w:val="Footer"/>
    <w:uiPriority w:val="99"/>
    <w:rsid w:val="004A3B01"/>
    <w:rPr>
      <w:rFonts w:ascii="Arial" w:eastAsia="Times New Roman" w:hAnsi="Arial" w:cs="Arial"/>
      <w:sz w:val="20"/>
      <w:szCs w:val="20"/>
    </w:rPr>
  </w:style>
  <w:style w:type="paragraph" w:styleId="Revision">
    <w:name w:val="Revision"/>
    <w:hidden/>
    <w:uiPriority w:val="99"/>
    <w:semiHidden/>
    <w:rsid w:val="00A67111"/>
    <w:pPr>
      <w:spacing w:after="0" w:line="240" w:lineRule="auto"/>
    </w:pPr>
    <w:rPr>
      <w:rFonts w:ascii="Arial" w:eastAsia="Times New Roman" w:hAnsi="Arial" w:cs="Arial"/>
      <w:sz w:val="20"/>
      <w:szCs w:val="20"/>
    </w:rPr>
  </w:style>
  <w:style w:type="character" w:customStyle="1" w:styleId="normaltextrun">
    <w:name w:val="normaltextrun"/>
    <w:basedOn w:val="DefaultParagraphFont"/>
    <w:rsid w:val="00C14D8D"/>
  </w:style>
  <w:style w:type="character" w:customStyle="1" w:styleId="eop">
    <w:name w:val="eop"/>
    <w:basedOn w:val="DefaultParagraphFont"/>
    <w:rsid w:val="00C14D8D"/>
  </w:style>
  <w:style w:type="paragraph" w:customStyle="1" w:styleId="paragraph">
    <w:name w:val="paragraph"/>
    <w:basedOn w:val="Normal"/>
    <w:rsid w:val="001C4AD7"/>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advancedproofingissue">
    <w:name w:val="advancedproofingissue"/>
    <w:basedOn w:val="DefaultParagraphFont"/>
    <w:rsid w:val="00286C21"/>
  </w:style>
  <w:style w:type="paragraph" w:customStyle="1" w:styleId="Default">
    <w:name w:val="Default"/>
    <w:rsid w:val="006D77E1"/>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uiPriority w:val="1"/>
    <w:rsid w:val="00F42192"/>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FC507D"/>
    <w:pPr>
      <w:tabs>
        <w:tab w:val="left" w:pos="600"/>
        <w:tab w:val="left" w:pos="900"/>
        <w:tab w:val="right" w:leader="dot" w:pos="9360"/>
      </w:tabs>
      <w:spacing w:after="100"/>
      <w:ind w:left="200"/>
    </w:pPr>
  </w:style>
  <w:style w:type="character" w:customStyle="1" w:styleId="Heading3Char">
    <w:name w:val="Heading 3 Char"/>
    <w:basedOn w:val="DefaultParagraphFont"/>
    <w:link w:val="Heading3"/>
    <w:uiPriority w:val="9"/>
    <w:semiHidden/>
    <w:rsid w:val="00D8278D"/>
    <w:rPr>
      <w:rFonts w:asciiTheme="majorHAnsi" w:eastAsiaTheme="majorEastAsia" w:hAnsiTheme="majorHAnsi" w:cstheme="majorBidi"/>
      <w:color w:val="1F3763" w:themeColor="accent1" w:themeShade="7F"/>
      <w:sz w:val="24"/>
      <w:szCs w:val="24"/>
    </w:rPr>
  </w:style>
  <w:style w:type="character" w:styleId="Mention">
    <w:name w:val="Mention"/>
    <w:basedOn w:val="DefaultParagraphFont"/>
    <w:uiPriority w:val="99"/>
    <w:unhideWhenUsed/>
    <w:rsid w:val="00BA14E5"/>
    <w:rPr>
      <w:color w:val="2B579A"/>
      <w:shd w:val="clear" w:color="auto" w:fill="E6E6E6"/>
    </w:rPr>
  </w:style>
  <w:style w:type="paragraph" w:customStyle="1" w:styleId="indent-1">
    <w:name w:val="indent-1"/>
    <w:basedOn w:val="Normal"/>
    <w:rsid w:val="00C33858"/>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paragraph-hierarchy">
    <w:name w:val="paragraph-hierarchy"/>
    <w:basedOn w:val="DefaultParagraphFont"/>
    <w:rsid w:val="00C33858"/>
  </w:style>
  <w:style w:type="character" w:customStyle="1" w:styleId="paren">
    <w:name w:val="paren"/>
    <w:basedOn w:val="DefaultParagraphFont"/>
    <w:rsid w:val="00C33858"/>
  </w:style>
  <w:style w:type="paragraph" w:styleId="BodyText">
    <w:name w:val="Body Text"/>
    <w:basedOn w:val="Normal"/>
    <w:link w:val="BodyTextChar"/>
    <w:uiPriority w:val="1"/>
    <w:qFormat/>
    <w:rsid w:val="008765A4"/>
    <w:rPr>
      <w:rFonts w:eastAsiaTheme="minorEastAsia"/>
      <w:sz w:val="16"/>
      <w:szCs w:val="16"/>
    </w:rPr>
  </w:style>
  <w:style w:type="character" w:customStyle="1" w:styleId="BodyTextChar">
    <w:name w:val="Body Text Char"/>
    <w:basedOn w:val="DefaultParagraphFont"/>
    <w:link w:val="BodyText"/>
    <w:uiPriority w:val="99"/>
    <w:rsid w:val="008765A4"/>
    <w:rPr>
      <w:rFonts w:ascii="Arial" w:eastAsiaTheme="minorEastAsia" w:hAnsi="Arial" w:cs="Arial"/>
      <w:sz w:val="16"/>
      <w:szCs w:val="16"/>
    </w:rPr>
  </w:style>
  <w:style w:type="paragraph" w:customStyle="1" w:styleId="TableParagraph">
    <w:name w:val="Table Paragraph"/>
    <w:basedOn w:val="Normal"/>
    <w:uiPriority w:val="1"/>
    <w:qFormat/>
    <w:rsid w:val="008765A4"/>
    <w:rPr>
      <w:rFonts w:ascii="Times New Roman" w:eastAsiaTheme="minorEastAsia" w:hAnsi="Times New Roman" w:cs="Times New Roman"/>
      <w:sz w:val="24"/>
      <w:szCs w:val="24"/>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style>
  <w:style w:type="character" w:customStyle="1" w:styleId="cf01">
    <w:name w:val="cf01"/>
    <w:basedOn w:val="DefaultParagraphFont"/>
    <w:rsid w:val="00BE4556"/>
    <w:rPr>
      <w:rFonts w:ascii="Segoe UI" w:hAnsi="Segoe UI" w:cs="Segoe UI" w:hint="default"/>
      <w:sz w:val="18"/>
      <w:szCs w:val="18"/>
    </w:rPr>
  </w:style>
  <w:style w:type="paragraph" w:styleId="TOC3">
    <w:name w:val="toc 3"/>
    <w:basedOn w:val="Normal"/>
    <w:next w:val="Normal"/>
    <w:autoRedefine/>
    <w:uiPriority w:val="39"/>
    <w:unhideWhenUsed/>
    <w:rsid w:val="00E9296C"/>
    <w:pPr>
      <w:widowControl/>
      <w:autoSpaceDE/>
      <w:autoSpaceDN/>
      <w:adjustRightInd/>
      <w:spacing w:after="100" w:line="259" w:lineRule="auto"/>
      <w:ind w:left="440"/>
    </w:pPr>
    <w:rPr>
      <w:rFonts w:asciiTheme="minorHAnsi" w:eastAsiaTheme="minorEastAsia" w:hAnsiTheme="minorHAnsi" w:cstheme="minorBidi"/>
      <w:kern w:val="2"/>
      <w:sz w:val="22"/>
      <w:szCs w:val="22"/>
      <w14:ligatures w14:val="standardContextual"/>
    </w:rPr>
  </w:style>
  <w:style w:type="paragraph" w:styleId="TOC4">
    <w:name w:val="toc 4"/>
    <w:basedOn w:val="Normal"/>
    <w:next w:val="Normal"/>
    <w:autoRedefine/>
    <w:uiPriority w:val="39"/>
    <w:unhideWhenUsed/>
    <w:rsid w:val="00E9296C"/>
    <w:pPr>
      <w:widowControl/>
      <w:autoSpaceDE/>
      <w:autoSpaceDN/>
      <w:adjustRightInd/>
      <w:spacing w:after="100" w:line="259" w:lineRule="auto"/>
      <w:ind w:left="660"/>
    </w:pPr>
    <w:rPr>
      <w:rFonts w:asciiTheme="minorHAnsi" w:eastAsiaTheme="minorEastAsia" w:hAnsiTheme="minorHAnsi" w:cstheme="minorBidi"/>
      <w:kern w:val="2"/>
      <w:sz w:val="22"/>
      <w:szCs w:val="22"/>
      <w14:ligatures w14:val="standardContextual"/>
    </w:rPr>
  </w:style>
  <w:style w:type="paragraph" w:styleId="TOC5">
    <w:name w:val="toc 5"/>
    <w:basedOn w:val="Normal"/>
    <w:next w:val="Normal"/>
    <w:autoRedefine/>
    <w:uiPriority w:val="39"/>
    <w:unhideWhenUsed/>
    <w:rsid w:val="00E9296C"/>
    <w:pPr>
      <w:widowControl/>
      <w:autoSpaceDE/>
      <w:autoSpaceDN/>
      <w:adjustRightInd/>
      <w:spacing w:after="100" w:line="259" w:lineRule="auto"/>
      <w:ind w:left="880"/>
    </w:pPr>
    <w:rPr>
      <w:rFonts w:asciiTheme="minorHAnsi" w:eastAsiaTheme="minorEastAsia" w:hAnsiTheme="minorHAnsi" w:cstheme="minorBidi"/>
      <w:kern w:val="2"/>
      <w:sz w:val="22"/>
      <w:szCs w:val="22"/>
      <w14:ligatures w14:val="standardContextual"/>
    </w:rPr>
  </w:style>
  <w:style w:type="paragraph" w:styleId="TOC6">
    <w:name w:val="toc 6"/>
    <w:basedOn w:val="Normal"/>
    <w:next w:val="Normal"/>
    <w:autoRedefine/>
    <w:uiPriority w:val="39"/>
    <w:unhideWhenUsed/>
    <w:rsid w:val="00E9296C"/>
    <w:pPr>
      <w:widowControl/>
      <w:autoSpaceDE/>
      <w:autoSpaceDN/>
      <w:adjustRightInd/>
      <w:spacing w:after="100" w:line="259" w:lineRule="auto"/>
      <w:ind w:left="1100"/>
    </w:pPr>
    <w:rPr>
      <w:rFonts w:asciiTheme="minorHAnsi" w:eastAsiaTheme="minorEastAsia" w:hAnsiTheme="minorHAnsi" w:cstheme="minorBidi"/>
      <w:kern w:val="2"/>
      <w:sz w:val="22"/>
      <w:szCs w:val="22"/>
      <w14:ligatures w14:val="standardContextual"/>
    </w:rPr>
  </w:style>
  <w:style w:type="paragraph" w:styleId="TOC7">
    <w:name w:val="toc 7"/>
    <w:basedOn w:val="Normal"/>
    <w:next w:val="Normal"/>
    <w:autoRedefine/>
    <w:uiPriority w:val="39"/>
    <w:unhideWhenUsed/>
    <w:rsid w:val="00E9296C"/>
    <w:pPr>
      <w:widowControl/>
      <w:autoSpaceDE/>
      <w:autoSpaceDN/>
      <w:adjustRightInd/>
      <w:spacing w:after="100" w:line="259" w:lineRule="auto"/>
      <w:ind w:left="1320"/>
    </w:pPr>
    <w:rPr>
      <w:rFonts w:asciiTheme="minorHAnsi" w:eastAsiaTheme="minorEastAsia" w:hAnsiTheme="minorHAnsi" w:cstheme="minorBidi"/>
      <w:kern w:val="2"/>
      <w:sz w:val="22"/>
      <w:szCs w:val="22"/>
      <w14:ligatures w14:val="standardContextual"/>
    </w:rPr>
  </w:style>
  <w:style w:type="paragraph" w:styleId="TOC8">
    <w:name w:val="toc 8"/>
    <w:basedOn w:val="Normal"/>
    <w:next w:val="Normal"/>
    <w:autoRedefine/>
    <w:uiPriority w:val="39"/>
    <w:unhideWhenUsed/>
    <w:rsid w:val="00E9296C"/>
    <w:pPr>
      <w:widowControl/>
      <w:autoSpaceDE/>
      <w:autoSpaceDN/>
      <w:adjustRightInd/>
      <w:spacing w:after="100" w:line="259" w:lineRule="auto"/>
      <w:ind w:left="1540"/>
    </w:pPr>
    <w:rPr>
      <w:rFonts w:asciiTheme="minorHAnsi" w:eastAsiaTheme="minorEastAsia" w:hAnsiTheme="minorHAnsi" w:cstheme="minorBidi"/>
      <w:kern w:val="2"/>
      <w:sz w:val="22"/>
      <w:szCs w:val="22"/>
      <w14:ligatures w14:val="standardContextual"/>
    </w:rPr>
  </w:style>
  <w:style w:type="paragraph" w:styleId="TOC9">
    <w:name w:val="toc 9"/>
    <w:basedOn w:val="Normal"/>
    <w:next w:val="Normal"/>
    <w:autoRedefine/>
    <w:uiPriority w:val="39"/>
    <w:unhideWhenUsed/>
    <w:rsid w:val="00E9296C"/>
    <w:pPr>
      <w:widowControl/>
      <w:autoSpaceDE/>
      <w:autoSpaceDN/>
      <w:adjustRightInd/>
      <w:spacing w:after="100" w:line="259" w:lineRule="auto"/>
      <w:ind w:left="1760"/>
    </w:pPr>
    <w:rPr>
      <w:rFonts w:asciiTheme="minorHAnsi" w:eastAsiaTheme="minorEastAsia" w:hAnsiTheme="minorHAnsi" w:cstheme="minorBidi"/>
      <w:kern w:val="2"/>
      <w:sz w:val="22"/>
      <w:szCs w:val="22"/>
      <w14:ligatures w14:val="standardContextual"/>
    </w:rPr>
  </w:style>
  <w:style w:type="paragraph" w:styleId="NoSpacing">
    <w:name w:val="No Spacing"/>
    <w:uiPriority w:val="1"/>
    <w:qFormat/>
    <w:rsid w:val="00386C63"/>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header2">
    <w:name w:val="header2"/>
    <w:basedOn w:val="Normal"/>
    <w:rsid w:val="00C62668"/>
    <w:pPr>
      <w:widowControl/>
      <w:autoSpaceDE/>
      <w:autoSpaceDN/>
      <w:adjustRightInd/>
      <w:outlineLvl w:val="1"/>
    </w:pPr>
    <w:rPr>
      <w:rFonts w:ascii="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874">
      <w:bodyDiv w:val="1"/>
      <w:marLeft w:val="0"/>
      <w:marRight w:val="0"/>
      <w:marTop w:val="0"/>
      <w:marBottom w:val="0"/>
      <w:divBdr>
        <w:top w:val="none" w:sz="0" w:space="0" w:color="auto"/>
        <w:left w:val="none" w:sz="0" w:space="0" w:color="auto"/>
        <w:bottom w:val="none" w:sz="0" w:space="0" w:color="auto"/>
        <w:right w:val="none" w:sz="0" w:space="0" w:color="auto"/>
      </w:divBdr>
    </w:div>
    <w:div w:id="103119629">
      <w:bodyDiv w:val="1"/>
      <w:marLeft w:val="0"/>
      <w:marRight w:val="0"/>
      <w:marTop w:val="0"/>
      <w:marBottom w:val="0"/>
      <w:divBdr>
        <w:top w:val="none" w:sz="0" w:space="0" w:color="auto"/>
        <w:left w:val="none" w:sz="0" w:space="0" w:color="auto"/>
        <w:bottom w:val="none" w:sz="0" w:space="0" w:color="auto"/>
        <w:right w:val="none" w:sz="0" w:space="0" w:color="auto"/>
      </w:divBdr>
      <w:divsChild>
        <w:div w:id="1229337606">
          <w:marLeft w:val="0"/>
          <w:marRight w:val="0"/>
          <w:marTop w:val="0"/>
          <w:marBottom w:val="0"/>
          <w:divBdr>
            <w:top w:val="none" w:sz="0" w:space="0" w:color="auto"/>
            <w:left w:val="none" w:sz="0" w:space="0" w:color="auto"/>
            <w:bottom w:val="none" w:sz="0" w:space="0" w:color="auto"/>
            <w:right w:val="none" w:sz="0" w:space="0" w:color="auto"/>
          </w:divBdr>
        </w:div>
        <w:div w:id="1322806720">
          <w:marLeft w:val="0"/>
          <w:marRight w:val="0"/>
          <w:marTop w:val="0"/>
          <w:marBottom w:val="0"/>
          <w:divBdr>
            <w:top w:val="none" w:sz="0" w:space="0" w:color="auto"/>
            <w:left w:val="none" w:sz="0" w:space="0" w:color="auto"/>
            <w:bottom w:val="none" w:sz="0" w:space="0" w:color="auto"/>
            <w:right w:val="none" w:sz="0" w:space="0" w:color="auto"/>
          </w:divBdr>
        </w:div>
        <w:div w:id="1436092962">
          <w:marLeft w:val="0"/>
          <w:marRight w:val="0"/>
          <w:marTop w:val="0"/>
          <w:marBottom w:val="0"/>
          <w:divBdr>
            <w:top w:val="none" w:sz="0" w:space="0" w:color="auto"/>
            <w:left w:val="none" w:sz="0" w:space="0" w:color="auto"/>
            <w:bottom w:val="none" w:sz="0" w:space="0" w:color="auto"/>
            <w:right w:val="none" w:sz="0" w:space="0" w:color="auto"/>
          </w:divBdr>
        </w:div>
        <w:div w:id="1545095146">
          <w:marLeft w:val="0"/>
          <w:marRight w:val="0"/>
          <w:marTop w:val="0"/>
          <w:marBottom w:val="0"/>
          <w:divBdr>
            <w:top w:val="none" w:sz="0" w:space="0" w:color="auto"/>
            <w:left w:val="none" w:sz="0" w:space="0" w:color="auto"/>
            <w:bottom w:val="none" w:sz="0" w:space="0" w:color="auto"/>
            <w:right w:val="none" w:sz="0" w:space="0" w:color="auto"/>
          </w:divBdr>
        </w:div>
      </w:divsChild>
    </w:div>
    <w:div w:id="120000298">
      <w:bodyDiv w:val="1"/>
      <w:marLeft w:val="0"/>
      <w:marRight w:val="0"/>
      <w:marTop w:val="0"/>
      <w:marBottom w:val="0"/>
      <w:divBdr>
        <w:top w:val="none" w:sz="0" w:space="0" w:color="auto"/>
        <w:left w:val="none" w:sz="0" w:space="0" w:color="auto"/>
        <w:bottom w:val="none" w:sz="0" w:space="0" w:color="auto"/>
        <w:right w:val="none" w:sz="0" w:space="0" w:color="auto"/>
      </w:divBdr>
      <w:divsChild>
        <w:div w:id="358703385">
          <w:marLeft w:val="0"/>
          <w:marRight w:val="0"/>
          <w:marTop w:val="0"/>
          <w:marBottom w:val="0"/>
          <w:divBdr>
            <w:top w:val="none" w:sz="0" w:space="0" w:color="auto"/>
            <w:left w:val="none" w:sz="0" w:space="0" w:color="auto"/>
            <w:bottom w:val="none" w:sz="0" w:space="0" w:color="auto"/>
            <w:right w:val="none" w:sz="0" w:space="0" w:color="auto"/>
          </w:divBdr>
        </w:div>
        <w:div w:id="468669501">
          <w:marLeft w:val="0"/>
          <w:marRight w:val="0"/>
          <w:marTop w:val="0"/>
          <w:marBottom w:val="0"/>
          <w:divBdr>
            <w:top w:val="none" w:sz="0" w:space="0" w:color="auto"/>
            <w:left w:val="none" w:sz="0" w:space="0" w:color="auto"/>
            <w:bottom w:val="none" w:sz="0" w:space="0" w:color="auto"/>
            <w:right w:val="none" w:sz="0" w:space="0" w:color="auto"/>
          </w:divBdr>
        </w:div>
        <w:div w:id="1194853480">
          <w:marLeft w:val="0"/>
          <w:marRight w:val="0"/>
          <w:marTop w:val="0"/>
          <w:marBottom w:val="0"/>
          <w:divBdr>
            <w:top w:val="none" w:sz="0" w:space="0" w:color="auto"/>
            <w:left w:val="none" w:sz="0" w:space="0" w:color="auto"/>
            <w:bottom w:val="none" w:sz="0" w:space="0" w:color="auto"/>
            <w:right w:val="none" w:sz="0" w:space="0" w:color="auto"/>
          </w:divBdr>
        </w:div>
      </w:divsChild>
    </w:div>
    <w:div w:id="544608562">
      <w:bodyDiv w:val="1"/>
      <w:marLeft w:val="0"/>
      <w:marRight w:val="0"/>
      <w:marTop w:val="0"/>
      <w:marBottom w:val="0"/>
      <w:divBdr>
        <w:top w:val="none" w:sz="0" w:space="0" w:color="auto"/>
        <w:left w:val="none" w:sz="0" w:space="0" w:color="auto"/>
        <w:bottom w:val="none" w:sz="0" w:space="0" w:color="auto"/>
        <w:right w:val="none" w:sz="0" w:space="0" w:color="auto"/>
      </w:divBdr>
      <w:divsChild>
        <w:div w:id="172691952">
          <w:marLeft w:val="0"/>
          <w:marRight w:val="0"/>
          <w:marTop w:val="0"/>
          <w:marBottom w:val="0"/>
          <w:divBdr>
            <w:top w:val="none" w:sz="0" w:space="0" w:color="auto"/>
            <w:left w:val="none" w:sz="0" w:space="0" w:color="auto"/>
            <w:bottom w:val="none" w:sz="0" w:space="0" w:color="auto"/>
            <w:right w:val="none" w:sz="0" w:space="0" w:color="auto"/>
          </w:divBdr>
        </w:div>
        <w:div w:id="918758903">
          <w:marLeft w:val="0"/>
          <w:marRight w:val="0"/>
          <w:marTop w:val="0"/>
          <w:marBottom w:val="0"/>
          <w:divBdr>
            <w:top w:val="none" w:sz="0" w:space="0" w:color="auto"/>
            <w:left w:val="none" w:sz="0" w:space="0" w:color="auto"/>
            <w:bottom w:val="none" w:sz="0" w:space="0" w:color="auto"/>
            <w:right w:val="none" w:sz="0" w:space="0" w:color="auto"/>
          </w:divBdr>
        </w:div>
      </w:divsChild>
    </w:div>
    <w:div w:id="607811821">
      <w:bodyDiv w:val="1"/>
      <w:marLeft w:val="0"/>
      <w:marRight w:val="0"/>
      <w:marTop w:val="0"/>
      <w:marBottom w:val="0"/>
      <w:divBdr>
        <w:top w:val="none" w:sz="0" w:space="0" w:color="auto"/>
        <w:left w:val="none" w:sz="0" w:space="0" w:color="auto"/>
        <w:bottom w:val="none" w:sz="0" w:space="0" w:color="auto"/>
        <w:right w:val="none" w:sz="0" w:space="0" w:color="auto"/>
      </w:divBdr>
      <w:divsChild>
        <w:div w:id="61098994">
          <w:marLeft w:val="0"/>
          <w:marRight w:val="0"/>
          <w:marTop w:val="0"/>
          <w:marBottom w:val="0"/>
          <w:divBdr>
            <w:top w:val="none" w:sz="0" w:space="0" w:color="auto"/>
            <w:left w:val="none" w:sz="0" w:space="0" w:color="auto"/>
            <w:bottom w:val="none" w:sz="0" w:space="0" w:color="auto"/>
            <w:right w:val="none" w:sz="0" w:space="0" w:color="auto"/>
          </w:divBdr>
        </w:div>
        <w:div w:id="1725374597">
          <w:marLeft w:val="0"/>
          <w:marRight w:val="0"/>
          <w:marTop w:val="0"/>
          <w:marBottom w:val="0"/>
          <w:divBdr>
            <w:top w:val="none" w:sz="0" w:space="0" w:color="auto"/>
            <w:left w:val="none" w:sz="0" w:space="0" w:color="auto"/>
            <w:bottom w:val="none" w:sz="0" w:space="0" w:color="auto"/>
            <w:right w:val="none" w:sz="0" w:space="0" w:color="auto"/>
          </w:divBdr>
        </w:div>
        <w:div w:id="1844083622">
          <w:marLeft w:val="0"/>
          <w:marRight w:val="0"/>
          <w:marTop w:val="0"/>
          <w:marBottom w:val="0"/>
          <w:divBdr>
            <w:top w:val="none" w:sz="0" w:space="0" w:color="auto"/>
            <w:left w:val="none" w:sz="0" w:space="0" w:color="auto"/>
            <w:bottom w:val="none" w:sz="0" w:space="0" w:color="auto"/>
            <w:right w:val="none" w:sz="0" w:space="0" w:color="auto"/>
          </w:divBdr>
        </w:div>
      </w:divsChild>
    </w:div>
    <w:div w:id="734668356">
      <w:bodyDiv w:val="1"/>
      <w:marLeft w:val="0"/>
      <w:marRight w:val="0"/>
      <w:marTop w:val="0"/>
      <w:marBottom w:val="0"/>
      <w:divBdr>
        <w:top w:val="none" w:sz="0" w:space="0" w:color="auto"/>
        <w:left w:val="none" w:sz="0" w:space="0" w:color="auto"/>
        <w:bottom w:val="none" w:sz="0" w:space="0" w:color="auto"/>
        <w:right w:val="none" w:sz="0" w:space="0" w:color="auto"/>
      </w:divBdr>
      <w:divsChild>
        <w:div w:id="257835576">
          <w:marLeft w:val="0"/>
          <w:marRight w:val="0"/>
          <w:marTop w:val="0"/>
          <w:marBottom w:val="0"/>
          <w:divBdr>
            <w:top w:val="none" w:sz="0" w:space="0" w:color="auto"/>
            <w:left w:val="none" w:sz="0" w:space="0" w:color="auto"/>
            <w:bottom w:val="none" w:sz="0" w:space="0" w:color="auto"/>
            <w:right w:val="none" w:sz="0" w:space="0" w:color="auto"/>
          </w:divBdr>
        </w:div>
        <w:div w:id="277034442">
          <w:marLeft w:val="0"/>
          <w:marRight w:val="0"/>
          <w:marTop w:val="0"/>
          <w:marBottom w:val="0"/>
          <w:divBdr>
            <w:top w:val="none" w:sz="0" w:space="0" w:color="auto"/>
            <w:left w:val="none" w:sz="0" w:space="0" w:color="auto"/>
            <w:bottom w:val="none" w:sz="0" w:space="0" w:color="auto"/>
            <w:right w:val="none" w:sz="0" w:space="0" w:color="auto"/>
          </w:divBdr>
        </w:div>
        <w:div w:id="391542631">
          <w:marLeft w:val="0"/>
          <w:marRight w:val="0"/>
          <w:marTop w:val="0"/>
          <w:marBottom w:val="0"/>
          <w:divBdr>
            <w:top w:val="none" w:sz="0" w:space="0" w:color="auto"/>
            <w:left w:val="none" w:sz="0" w:space="0" w:color="auto"/>
            <w:bottom w:val="none" w:sz="0" w:space="0" w:color="auto"/>
            <w:right w:val="none" w:sz="0" w:space="0" w:color="auto"/>
          </w:divBdr>
        </w:div>
        <w:div w:id="417407498">
          <w:marLeft w:val="0"/>
          <w:marRight w:val="0"/>
          <w:marTop w:val="0"/>
          <w:marBottom w:val="0"/>
          <w:divBdr>
            <w:top w:val="none" w:sz="0" w:space="0" w:color="auto"/>
            <w:left w:val="none" w:sz="0" w:space="0" w:color="auto"/>
            <w:bottom w:val="none" w:sz="0" w:space="0" w:color="auto"/>
            <w:right w:val="none" w:sz="0" w:space="0" w:color="auto"/>
          </w:divBdr>
        </w:div>
        <w:div w:id="593974811">
          <w:marLeft w:val="0"/>
          <w:marRight w:val="0"/>
          <w:marTop w:val="0"/>
          <w:marBottom w:val="0"/>
          <w:divBdr>
            <w:top w:val="none" w:sz="0" w:space="0" w:color="auto"/>
            <w:left w:val="none" w:sz="0" w:space="0" w:color="auto"/>
            <w:bottom w:val="none" w:sz="0" w:space="0" w:color="auto"/>
            <w:right w:val="none" w:sz="0" w:space="0" w:color="auto"/>
          </w:divBdr>
        </w:div>
        <w:div w:id="962350896">
          <w:marLeft w:val="0"/>
          <w:marRight w:val="0"/>
          <w:marTop w:val="0"/>
          <w:marBottom w:val="0"/>
          <w:divBdr>
            <w:top w:val="none" w:sz="0" w:space="0" w:color="auto"/>
            <w:left w:val="none" w:sz="0" w:space="0" w:color="auto"/>
            <w:bottom w:val="none" w:sz="0" w:space="0" w:color="auto"/>
            <w:right w:val="none" w:sz="0" w:space="0" w:color="auto"/>
          </w:divBdr>
        </w:div>
        <w:div w:id="1269311256">
          <w:marLeft w:val="0"/>
          <w:marRight w:val="0"/>
          <w:marTop w:val="0"/>
          <w:marBottom w:val="0"/>
          <w:divBdr>
            <w:top w:val="none" w:sz="0" w:space="0" w:color="auto"/>
            <w:left w:val="none" w:sz="0" w:space="0" w:color="auto"/>
            <w:bottom w:val="none" w:sz="0" w:space="0" w:color="auto"/>
            <w:right w:val="none" w:sz="0" w:space="0" w:color="auto"/>
          </w:divBdr>
        </w:div>
        <w:div w:id="1430345419">
          <w:marLeft w:val="0"/>
          <w:marRight w:val="0"/>
          <w:marTop w:val="0"/>
          <w:marBottom w:val="0"/>
          <w:divBdr>
            <w:top w:val="none" w:sz="0" w:space="0" w:color="auto"/>
            <w:left w:val="none" w:sz="0" w:space="0" w:color="auto"/>
            <w:bottom w:val="none" w:sz="0" w:space="0" w:color="auto"/>
            <w:right w:val="none" w:sz="0" w:space="0" w:color="auto"/>
          </w:divBdr>
        </w:div>
        <w:div w:id="1597250886">
          <w:marLeft w:val="0"/>
          <w:marRight w:val="0"/>
          <w:marTop w:val="0"/>
          <w:marBottom w:val="0"/>
          <w:divBdr>
            <w:top w:val="none" w:sz="0" w:space="0" w:color="auto"/>
            <w:left w:val="none" w:sz="0" w:space="0" w:color="auto"/>
            <w:bottom w:val="none" w:sz="0" w:space="0" w:color="auto"/>
            <w:right w:val="none" w:sz="0" w:space="0" w:color="auto"/>
          </w:divBdr>
        </w:div>
        <w:div w:id="1637880359">
          <w:marLeft w:val="0"/>
          <w:marRight w:val="0"/>
          <w:marTop w:val="0"/>
          <w:marBottom w:val="0"/>
          <w:divBdr>
            <w:top w:val="none" w:sz="0" w:space="0" w:color="auto"/>
            <w:left w:val="none" w:sz="0" w:space="0" w:color="auto"/>
            <w:bottom w:val="none" w:sz="0" w:space="0" w:color="auto"/>
            <w:right w:val="none" w:sz="0" w:space="0" w:color="auto"/>
          </w:divBdr>
        </w:div>
        <w:div w:id="1708024038">
          <w:marLeft w:val="0"/>
          <w:marRight w:val="0"/>
          <w:marTop w:val="0"/>
          <w:marBottom w:val="0"/>
          <w:divBdr>
            <w:top w:val="none" w:sz="0" w:space="0" w:color="auto"/>
            <w:left w:val="none" w:sz="0" w:space="0" w:color="auto"/>
            <w:bottom w:val="none" w:sz="0" w:space="0" w:color="auto"/>
            <w:right w:val="none" w:sz="0" w:space="0" w:color="auto"/>
          </w:divBdr>
        </w:div>
        <w:div w:id="1842428495">
          <w:marLeft w:val="0"/>
          <w:marRight w:val="0"/>
          <w:marTop w:val="0"/>
          <w:marBottom w:val="0"/>
          <w:divBdr>
            <w:top w:val="none" w:sz="0" w:space="0" w:color="auto"/>
            <w:left w:val="none" w:sz="0" w:space="0" w:color="auto"/>
            <w:bottom w:val="none" w:sz="0" w:space="0" w:color="auto"/>
            <w:right w:val="none" w:sz="0" w:space="0" w:color="auto"/>
          </w:divBdr>
        </w:div>
        <w:div w:id="1996451280">
          <w:marLeft w:val="0"/>
          <w:marRight w:val="0"/>
          <w:marTop w:val="0"/>
          <w:marBottom w:val="0"/>
          <w:divBdr>
            <w:top w:val="none" w:sz="0" w:space="0" w:color="auto"/>
            <w:left w:val="none" w:sz="0" w:space="0" w:color="auto"/>
            <w:bottom w:val="none" w:sz="0" w:space="0" w:color="auto"/>
            <w:right w:val="none" w:sz="0" w:space="0" w:color="auto"/>
          </w:divBdr>
        </w:div>
        <w:div w:id="2087145372">
          <w:marLeft w:val="0"/>
          <w:marRight w:val="0"/>
          <w:marTop w:val="0"/>
          <w:marBottom w:val="0"/>
          <w:divBdr>
            <w:top w:val="none" w:sz="0" w:space="0" w:color="auto"/>
            <w:left w:val="none" w:sz="0" w:space="0" w:color="auto"/>
            <w:bottom w:val="none" w:sz="0" w:space="0" w:color="auto"/>
            <w:right w:val="none" w:sz="0" w:space="0" w:color="auto"/>
          </w:divBdr>
        </w:div>
        <w:div w:id="2107841053">
          <w:marLeft w:val="0"/>
          <w:marRight w:val="0"/>
          <w:marTop w:val="0"/>
          <w:marBottom w:val="0"/>
          <w:divBdr>
            <w:top w:val="none" w:sz="0" w:space="0" w:color="auto"/>
            <w:left w:val="none" w:sz="0" w:space="0" w:color="auto"/>
            <w:bottom w:val="none" w:sz="0" w:space="0" w:color="auto"/>
            <w:right w:val="none" w:sz="0" w:space="0" w:color="auto"/>
          </w:divBdr>
        </w:div>
      </w:divsChild>
    </w:div>
    <w:div w:id="761923009">
      <w:bodyDiv w:val="1"/>
      <w:marLeft w:val="0"/>
      <w:marRight w:val="0"/>
      <w:marTop w:val="0"/>
      <w:marBottom w:val="0"/>
      <w:divBdr>
        <w:top w:val="none" w:sz="0" w:space="0" w:color="auto"/>
        <w:left w:val="none" w:sz="0" w:space="0" w:color="auto"/>
        <w:bottom w:val="none" w:sz="0" w:space="0" w:color="auto"/>
        <w:right w:val="none" w:sz="0" w:space="0" w:color="auto"/>
      </w:divBdr>
      <w:divsChild>
        <w:div w:id="74715742">
          <w:marLeft w:val="0"/>
          <w:marRight w:val="0"/>
          <w:marTop w:val="0"/>
          <w:marBottom w:val="0"/>
          <w:divBdr>
            <w:top w:val="none" w:sz="0" w:space="0" w:color="auto"/>
            <w:left w:val="none" w:sz="0" w:space="0" w:color="auto"/>
            <w:bottom w:val="none" w:sz="0" w:space="0" w:color="auto"/>
            <w:right w:val="none" w:sz="0" w:space="0" w:color="auto"/>
          </w:divBdr>
        </w:div>
        <w:div w:id="87193873">
          <w:marLeft w:val="0"/>
          <w:marRight w:val="0"/>
          <w:marTop w:val="0"/>
          <w:marBottom w:val="0"/>
          <w:divBdr>
            <w:top w:val="none" w:sz="0" w:space="0" w:color="auto"/>
            <w:left w:val="none" w:sz="0" w:space="0" w:color="auto"/>
            <w:bottom w:val="none" w:sz="0" w:space="0" w:color="auto"/>
            <w:right w:val="none" w:sz="0" w:space="0" w:color="auto"/>
          </w:divBdr>
        </w:div>
        <w:div w:id="147019627">
          <w:marLeft w:val="0"/>
          <w:marRight w:val="0"/>
          <w:marTop w:val="0"/>
          <w:marBottom w:val="0"/>
          <w:divBdr>
            <w:top w:val="none" w:sz="0" w:space="0" w:color="auto"/>
            <w:left w:val="none" w:sz="0" w:space="0" w:color="auto"/>
            <w:bottom w:val="none" w:sz="0" w:space="0" w:color="auto"/>
            <w:right w:val="none" w:sz="0" w:space="0" w:color="auto"/>
          </w:divBdr>
        </w:div>
        <w:div w:id="453527604">
          <w:marLeft w:val="0"/>
          <w:marRight w:val="0"/>
          <w:marTop w:val="0"/>
          <w:marBottom w:val="0"/>
          <w:divBdr>
            <w:top w:val="none" w:sz="0" w:space="0" w:color="auto"/>
            <w:left w:val="none" w:sz="0" w:space="0" w:color="auto"/>
            <w:bottom w:val="none" w:sz="0" w:space="0" w:color="auto"/>
            <w:right w:val="none" w:sz="0" w:space="0" w:color="auto"/>
          </w:divBdr>
        </w:div>
        <w:div w:id="559482683">
          <w:marLeft w:val="0"/>
          <w:marRight w:val="0"/>
          <w:marTop w:val="0"/>
          <w:marBottom w:val="0"/>
          <w:divBdr>
            <w:top w:val="none" w:sz="0" w:space="0" w:color="auto"/>
            <w:left w:val="none" w:sz="0" w:space="0" w:color="auto"/>
            <w:bottom w:val="none" w:sz="0" w:space="0" w:color="auto"/>
            <w:right w:val="none" w:sz="0" w:space="0" w:color="auto"/>
          </w:divBdr>
        </w:div>
        <w:div w:id="680736754">
          <w:marLeft w:val="0"/>
          <w:marRight w:val="0"/>
          <w:marTop w:val="0"/>
          <w:marBottom w:val="0"/>
          <w:divBdr>
            <w:top w:val="none" w:sz="0" w:space="0" w:color="auto"/>
            <w:left w:val="none" w:sz="0" w:space="0" w:color="auto"/>
            <w:bottom w:val="none" w:sz="0" w:space="0" w:color="auto"/>
            <w:right w:val="none" w:sz="0" w:space="0" w:color="auto"/>
          </w:divBdr>
        </w:div>
        <w:div w:id="1325933671">
          <w:marLeft w:val="0"/>
          <w:marRight w:val="0"/>
          <w:marTop w:val="0"/>
          <w:marBottom w:val="0"/>
          <w:divBdr>
            <w:top w:val="none" w:sz="0" w:space="0" w:color="auto"/>
            <w:left w:val="none" w:sz="0" w:space="0" w:color="auto"/>
            <w:bottom w:val="none" w:sz="0" w:space="0" w:color="auto"/>
            <w:right w:val="none" w:sz="0" w:space="0" w:color="auto"/>
          </w:divBdr>
        </w:div>
        <w:div w:id="1416628791">
          <w:marLeft w:val="0"/>
          <w:marRight w:val="0"/>
          <w:marTop w:val="0"/>
          <w:marBottom w:val="0"/>
          <w:divBdr>
            <w:top w:val="none" w:sz="0" w:space="0" w:color="auto"/>
            <w:left w:val="none" w:sz="0" w:space="0" w:color="auto"/>
            <w:bottom w:val="none" w:sz="0" w:space="0" w:color="auto"/>
            <w:right w:val="none" w:sz="0" w:space="0" w:color="auto"/>
          </w:divBdr>
        </w:div>
        <w:div w:id="1481801710">
          <w:marLeft w:val="0"/>
          <w:marRight w:val="0"/>
          <w:marTop w:val="0"/>
          <w:marBottom w:val="0"/>
          <w:divBdr>
            <w:top w:val="none" w:sz="0" w:space="0" w:color="auto"/>
            <w:left w:val="none" w:sz="0" w:space="0" w:color="auto"/>
            <w:bottom w:val="none" w:sz="0" w:space="0" w:color="auto"/>
            <w:right w:val="none" w:sz="0" w:space="0" w:color="auto"/>
          </w:divBdr>
        </w:div>
        <w:div w:id="1776361310">
          <w:marLeft w:val="0"/>
          <w:marRight w:val="0"/>
          <w:marTop w:val="0"/>
          <w:marBottom w:val="0"/>
          <w:divBdr>
            <w:top w:val="none" w:sz="0" w:space="0" w:color="auto"/>
            <w:left w:val="none" w:sz="0" w:space="0" w:color="auto"/>
            <w:bottom w:val="none" w:sz="0" w:space="0" w:color="auto"/>
            <w:right w:val="none" w:sz="0" w:space="0" w:color="auto"/>
          </w:divBdr>
        </w:div>
        <w:div w:id="1787961576">
          <w:marLeft w:val="0"/>
          <w:marRight w:val="0"/>
          <w:marTop w:val="0"/>
          <w:marBottom w:val="0"/>
          <w:divBdr>
            <w:top w:val="none" w:sz="0" w:space="0" w:color="auto"/>
            <w:left w:val="none" w:sz="0" w:space="0" w:color="auto"/>
            <w:bottom w:val="none" w:sz="0" w:space="0" w:color="auto"/>
            <w:right w:val="none" w:sz="0" w:space="0" w:color="auto"/>
          </w:divBdr>
        </w:div>
        <w:div w:id="1868056108">
          <w:marLeft w:val="0"/>
          <w:marRight w:val="0"/>
          <w:marTop w:val="0"/>
          <w:marBottom w:val="0"/>
          <w:divBdr>
            <w:top w:val="none" w:sz="0" w:space="0" w:color="auto"/>
            <w:left w:val="none" w:sz="0" w:space="0" w:color="auto"/>
            <w:bottom w:val="none" w:sz="0" w:space="0" w:color="auto"/>
            <w:right w:val="none" w:sz="0" w:space="0" w:color="auto"/>
          </w:divBdr>
        </w:div>
      </w:divsChild>
    </w:div>
    <w:div w:id="791705599">
      <w:bodyDiv w:val="1"/>
      <w:marLeft w:val="0"/>
      <w:marRight w:val="0"/>
      <w:marTop w:val="0"/>
      <w:marBottom w:val="0"/>
      <w:divBdr>
        <w:top w:val="none" w:sz="0" w:space="0" w:color="auto"/>
        <w:left w:val="none" w:sz="0" w:space="0" w:color="auto"/>
        <w:bottom w:val="none" w:sz="0" w:space="0" w:color="auto"/>
        <w:right w:val="none" w:sz="0" w:space="0" w:color="auto"/>
      </w:divBdr>
      <w:divsChild>
        <w:div w:id="34472728">
          <w:marLeft w:val="0"/>
          <w:marRight w:val="0"/>
          <w:marTop w:val="0"/>
          <w:marBottom w:val="0"/>
          <w:divBdr>
            <w:top w:val="none" w:sz="0" w:space="0" w:color="auto"/>
            <w:left w:val="none" w:sz="0" w:space="0" w:color="auto"/>
            <w:bottom w:val="none" w:sz="0" w:space="0" w:color="auto"/>
            <w:right w:val="none" w:sz="0" w:space="0" w:color="auto"/>
          </w:divBdr>
        </w:div>
        <w:div w:id="294723943">
          <w:marLeft w:val="0"/>
          <w:marRight w:val="0"/>
          <w:marTop w:val="0"/>
          <w:marBottom w:val="0"/>
          <w:divBdr>
            <w:top w:val="none" w:sz="0" w:space="0" w:color="auto"/>
            <w:left w:val="none" w:sz="0" w:space="0" w:color="auto"/>
            <w:bottom w:val="none" w:sz="0" w:space="0" w:color="auto"/>
            <w:right w:val="none" w:sz="0" w:space="0" w:color="auto"/>
          </w:divBdr>
        </w:div>
        <w:div w:id="1916893779">
          <w:marLeft w:val="0"/>
          <w:marRight w:val="0"/>
          <w:marTop w:val="0"/>
          <w:marBottom w:val="0"/>
          <w:divBdr>
            <w:top w:val="none" w:sz="0" w:space="0" w:color="auto"/>
            <w:left w:val="none" w:sz="0" w:space="0" w:color="auto"/>
            <w:bottom w:val="none" w:sz="0" w:space="0" w:color="auto"/>
            <w:right w:val="none" w:sz="0" w:space="0" w:color="auto"/>
          </w:divBdr>
        </w:div>
      </w:divsChild>
    </w:div>
    <w:div w:id="993877436">
      <w:bodyDiv w:val="1"/>
      <w:marLeft w:val="0"/>
      <w:marRight w:val="0"/>
      <w:marTop w:val="0"/>
      <w:marBottom w:val="0"/>
      <w:divBdr>
        <w:top w:val="none" w:sz="0" w:space="0" w:color="auto"/>
        <w:left w:val="none" w:sz="0" w:space="0" w:color="auto"/>
        <w:bottom w:val="none" w:sz="0" w:space="0" w:color="auto"/>
        <w:right w:val="none" w:sz="0" w:space="0" w:color="auto"/>
      </w:divBdr>
      <w:divsChild>
        <w:div w:id="1303268628">
          <w:marLeft w:val="0"/>
          <w:marRight w:val="0"/>
          <w:marTop w:val="0"/>
          <w:marBottom w:val="0"/>
          <w:divBdr>
            <w:top w:val="none" w:sz="0" w:space="0" w:color="auto"/>
            <w:left w:val="none" w:sz="0" w:space="0" w:color="auto"/>
            <w:bottom w:val="none" w:sz="0" w:space="0" w:color="auto"/>
            <w:right w:val="none" w:sz="0" w:space="0" w:color="auto"/>
          </w:divBdr>
          <w:divsChild>
            <w:div w:id="1681739966">
              <w:marLeft w:val="0"/>
              <w:marRight w:val="0"/>
              <w:marTop w:val="0"/>
              <w:marBottom w:val="0"/>
              <w:divBdr>
                <w:top w:val="none" w:sz="0" w:space="0" w:color="auto"/>
                <w:left w:val="none" w:sz="0" w:space="0" w:color="auto"/>
                <w:bottom w:val="none" w:sz="0" w:space="0" w:color="auto"/>
                <w:right w:val="none" w:sz="0" w:space="0" w:color="auto"/>
              </w:divBdr>
              <w:divsChild>
                <w:div w:id="1373771831">
                  <w:marLeft w:val="0"/>
                  <w:marRight w:val="0"/>
                  <w:marTop w:val="0"/>
                  <w:marBottom w:val="0"/>
                  <w:divBdr>
                    <w:top w:val="none" w:sz="0" w:space="0" w:color="auto"/>
                    <w:left w:val="none" w:sz="0" w:space="0" w:color="auto"/>
                    <w:bottom w:val="none" w:sz="0" w:space="0" w:color="auto"/>
                    <w:right w:val="none" w:sz="0" w:space="0" w:color="auto"/>
                  </w:divBdr>
                </w:div>
                <w:div w:id="316344040">
                  <w:marLeft w:val="0"/>
                  <w:marRight w:val="0"/>
                  <w:marTop w:val="0"/>
                  <w:marBottom w:val="0"/>
                  <w:divBdr>
                    <w:top w:val="none" w:sz="0" w:space="0" w:color="auto"/>
                    <w:left w:val="none" w:sz="0" w:space="0" w:color="auto"/>
                    <w:bottom w:val="none" w:sz="0" w:space="0" w:color="auto"/>
                    <w:right w:val="none" w:sz="0" w:space="0" w:color="auto"/>
                  </w:divBdr>
                </w:div>
                <w:div w:id="40173934">
                  <w:marLeft w:val="0"/>
                  <w:marRight w:val="0"/>
                  <w:marTop w:val="0"/>
                  <w:marBottom w:val="0"/>
                  <w:divBdr>
                    <w:top w:val="none" w:sz="0" w:space="0" w:color="auto"/>
                    <w:left w:val="none" w:sz="0" w:space="0" w:color="auto"/>
                    <w:bottom w:val="none" w:sz="0" w:space="0" w:color="auto"/>
                    <w:right w:val="none" w:sz="0" w:space="0" w:color="auto"/>
                  </w:divBdr>
                </w:div>
              </w:divsChild>
            </w:div>
            <w:div w:id="792946982">
              <w:marLeft w:val="0"/>
              <w:marRight w:val="0"/>
              <w:marTop w:val="0"/>
              <w:marBottom w:val="0"/>
              <w:divBdr>
                <w:top w:val="none" w:sz="0" w:space="0" w:color="auto"/>
                <w:left w:val="none" w:sz="0" w:space="0" w:color="auto"/>
                <w:bottom w:val="none" w:sz="0" w:space="0" w:color="auto"/>
                <w:right w:val="none" w:sz="0" w:space="0" w:color="auto"/>
              </w:divBdr>
              <w:divsChild>
                <w:div w:id="526989979">
                  <w:marLeft w:val="0"/>
                  <w:marRight w:val="0"/>
                  <w:marTop w:val="0"/>
                  <w:marBottom w:val="0"/>
                  <w:divBdr>
                    <w:top w:val="none" w:sz="0" w:space="0" w:color="auto"/>
                    <w:left w:val="none" w:sz="0" w:space="0" w:color="auto"/>
                    <w:bottom w:val="none" w:sz="0" w:space="0" w:color="auto"/>
                    <w:right w:val="none" w:sz="0" w:space="0" w:color="auto"/>
                  </w:divBdr>
                </w:div>
                <w:div w:id="1810048970">
                  <w:marLeft w:val="0"/>
                  <w:marRight w:val="0"/>
                  <w:marTop w:val="0"/>
                  <w:marBottom w:val="0"/>
                  <w:divBdr>
                    <w:top w:val="none" w:sz="0" w:space="0" w:color="auto"/>
                    <w:left w:val="none" w:sz="0" w:space="0" w:color="auto"/>
                    <w:bottom w:val="none" w:sz="0" w:space="0" w:color="auto"/>
                    <w:right w:val="none" w:sz="0" w:space="0" w:color="auto"/>
                  </w:divBdr>
                </w:div>
                <w:div w:id="322047862">
                  <w:marLeft w:val="0"/>
                  <w:marRight w:val="0"/>
                  <w:marTop w:val="0"/>
                  <w:marBottom w:val="0"/>
                  <w:divBdr>
                    <w:top w:val="none" w:sz="0" w:space="0" w:color="auto"/>
                    <w:left w:val="none" w:sz="0" w:space="0" w:color="auto"/>
                    <w:bottom w:val="none" w:sz="0" w:space="0" w:color="auto"/>
                    <w:right w:val="none" w:sz="0" w:space="0" w:color="auto"/>
                  </w:divBdr>
                </w:div>
                <w:div w:id="941038318">
                  <w:marLeft w:val="0"/>
                  <w:marRight w:val="0"/>
                  <w:marTop w:val="0"/>
                  <w:marBottom w:val="0"/>
                  <w:divBdr>
                    <w:top w:val="none" w:sz="0" w:space="0" w:color="auto"/>
                    <w:left w:val="none" w:sz="0" w:space="0" w:color="auto"/>
                    <w:bottom w:val="none" w:sz="0" w:space="0" w:color="auto"/>
                    <w:right w:val="none" w:sz="0" w:space="0" w:color="auto"/>
                  </w:divBdr>
                </w:div>
              </w:divsChild>
            </w:div>
            <w:div w:id="226913617">
              <w:marLeft w:val="0"/>
              <w:marRight w:val="0"/>
              <w:marTop w:val="0"/>
              <w:marBottom w:val="0"/>
              <w:divBdr>
                <w:top w:val="none" w:sz="0" w:space="0" w:color="auto"/>
                <w:left w:val="none" w:sz="0" w:space="0" w:color="auto"/>
                <w:bottom w:val="none" w:sz="0" w:space="0" w:color="auto"/>
                <w:right w:val="none" w:sz="0" w:space="0" w:color="auto"/>
              </w:divBdr>
            </w:div>
            <w:div w:id="1423642319">
              <w:marLeft w:val="0"/>
              <w:marRight w:val="0"/>
              <w:marTop w:val="0"/>
              <w:marBottom w:val="0"/>
              <w:divBdr>
                <w:top w:val="none" w:sz="0" w:space="0" w:color="auto"/>
                <w:left w:val="none" w:sz="0" w:space="0" w:color="auto"/>
                <w:bottom w:val="none" w:sz="0" w:space="0" w:color="auto"/>
                <w:right w:val="none" w:sz="0" w:space="0" w:color="auto"/>
              </w:divBdr>
            </w:div>
            <w:div w:id="844056250">
              <w:marLeft w:val="0"/>
              <w:marRight w:val="0"/>
              <w:marTop w:val="0"/>
              <w:marBottom w:val="0"/>
              <w:divBdr>
                <w:top w:val="none" w:sz="0" w:space="0" w:color="auto"/>
                <w:left w:val="none" w:sz="0" w:space="0" w:color="auto"/>
                <w:bottom w:val="none" w:sz="0" w:space="0" w:color="auto"/>
                <w:right w:val="none" w:sz="0" w:space="0" w:color="auto"/>
              </w:divBdr>
            </w:div>
            <w:div w:id="1648124617">
              <w:marLeft w:val="0"/>
              <w:marRight w:val="0"/>
              <w:marTop w:val="0"/>
              <w:marBottom w:val="0"/>
              <w:divBdr>
                <w:top w:val="none" w:sz="0" w:space="0" w:color="auto"/>
                <w:left w:val="none" w:sz="0" w:space="0" w:color="auto"/>
                <w:bottom w:val="none" w:sz="0" w:space="0" w:color="auto"/>
                <w:right w:val="none" w:sz="0" w:space="0" w:color="auto"/>
              </w:divBdr>
            </w:div>
          </w:divsChild>
        </w:div>
        <w:div w:id="172694818">
          <w:marLeft w:val="0"/>
          <w:marRight w:val="0"/>
          <w:marTop w:val="0"/>
          <w:marBottom w:val="0"/>
          <w:divBdr>
            <w:top w:val="none" w:sz="0" w:space="0" w:color="auto"/>
            <w:left w:val="none" w:sz="0" w:space="0" w:color="auto"/>
            <w:bottom w:val="none" w:sz="0" w:space="0" w:color="auto"/>
            <w:right w:val="none" w:sz="0" w:space="0" w:color="auto"/>
          </w:divBdr>
        </w:div>
      </w:divsChild>
    </w:div>
    <w:div w:id="1074282262">
      <w:bodyDiv w:val="1"/>
      <w:marLeft w:val="0"/>
      <w:marRight w:val="0"/>
      <w:marTop w:val="0"/>
      <w:marBottom w:val="0"/>
      <w:divBdr>
        <w:top w:val="none" w:sz="0" w:space="0" w:color="auto"/>
        <w:left w:val="none" w:sz="0" w:space="0" w:color="auto"/>
        <w:bottom w:val="none" w:sz="0" w:space="0" w:color="auto"/>
        <w:right w:val="none" w:sz="0" w:space="0" w:color="auto"/>
      </w:divBdr>
      <w:divsChild>
        <w:div w:id="77219076">
          <w:marLeft w:val="0"/>
          <w:marRight w:val="0"/>
          <w:marTop w:val="0"/>
          <w:marBottom w:val="0"/>
          <w:divBdr>
            <w:top w:val="none" w:sz="0" w:space="0" w:color="auto"/>
            <w:left w:val="none" w:sz="0" w:space="0" w:color="auto"/>
            <w:bottom w:val="none" w:sz="0" w:space="0" w:color="auto"/>
            <w:right w:val="none" w:sz="0" w:space="0" w:color="auto"/>
          </w:divBdr>
        </w:div>
        <w:div w:id="785077320">
          <w:marLeft w:val="0"/>
          <w:marRight w:val="0"/>
          <w:marTop w:val="0"/>
          <w:marBottom w:val="0"/>
          <w:divBdr>
            <w:top w:val="none" w:sz="0" w:space="0" w:color="auto"/>
            <w:left w:val="none" w:sz="0" w:space="0" w:color="auto"/>
            <w:bottom w:val="none" w:sz="0" w:space="0" w:color="auto"/>
            <w:right w:val="none" w:sz="0" w:space="0" w:color="auto"/>
          </w:divBdr>
        </w:div>
        <w:div w:id="957492872">
          <w:marLeft w:val="0"/>
          <w:marRight w:val="0"/>
          <w:marTop w:val="0"/>
          <w:marBottom w:val="0"/>
          <w:divBdr>
            <w:top w:val="none" w:sz="0" w:space="0" w:color="auto"/>
            <w:left w:val="none" w:sz="0" w:space="0" w:color="auto"/>
            <w:bottom w:val="none" w:sz="0" w:space="0" w:color="auto"/>
            <w:right w:val="none" w:sz="0" w:space="0" w:color="auto"/>
          </w:divBdr>
        </w:div>
        <w:div w:id="1137994654">
          <w:marLeft w:val="0"/>
          <w:marRight w:val="0"/>
          <w:marTop w:val="0"/>
          <w:marBottom w:val="0"/>
          <w:divBdr>
            <w:top w:val="none" w:sz="0" w:space="0" w:color="auto"/>
            <w:left w:val="none" w:sz="0" w:space="0" w:color="auto"/>
            <w:bottom w:val="none" w:sz="0" w:space="0" w:color="auto"/>
            <w:right w:val="none" w:sz="0" w:space="0" w:color="auto"/>
          </w:divBdr>
        </w:div>
        <w:div w:id="1481573948">
          <w:marLeft w:val="0"/>
          <w:marRight w:val="0"/>
          <w:marTop w:val="0"/>
          <w:marBottom w:val="0"/>
          <w:divBdr>
            <w:top w:val="none" w:sz="0" w:space="0" w:color="auto"/>
            <w:left w:val="none" w:sz="0" w:space="0" w:color="auto"/>
            <w:bottom w:val="none" w:sz="0" w:space="0" w:color="auto"/>
            <w:right w:val="none" w:sz="0" w:space="0" w:color="auto"/>
          </w:divBdr>
        </w:div>
        <w:div w:id="1557352443">
          <w:marLeft w:val="0"/>
          <w:marRight w:val="0"/>
          <w:marTop w:val="0"/>
          <w:marBottom w:val="0"/>
          <w:divBdr>
            <w:top w:val="none" w:sz="0" w:space="0" w:color="auto"/>
            <w:left w:val="none" w:sz="0" w:space="0" w:color="auto"/>
            <w:bottom w:val="none" w:sz="0" w:space="0" w:color="auto"/>
            <w:right w:val="none" w:sz="0" w:space="0" w:color="auto"/>
          </w:divBdr>
        </w:div>
        <w:div w:id="1786071556">
          <w:marLeft w:val="0"/>
          <w:marRight w:val="0"/>
          <w:marTop w:val="0"/>
          <w:marBottom w:val="0"/>
          <w:divBdr>
            <w:top w:val="none" w:sz="0" w:space="0" w:color="auto"/>
            <w:left w:val="none" w:sz="0" w:space="0" w:color="auto"/>
            <w:bottom w:val="none" w:sz="0" w:space="0" w:color="auto"/>
            <w:right w:val="none" w:sz="0" w:space="0" w:color="auto"/>
          </w:divBdr>
        </w:div>
      </w:divsChild>
    </w:div>
    <w:div w:id="1302271956">
      <w:bodyDiv w:val="1"/>
      <w:marLeft w:val="0"/>
      <w:marRight w:val="0"/>
      <w:marTop w:val="0"/>
      <w:marBottom w:val="0"/>
      <w:divBdr>
        <w:top w:val="none" w:sz="0" w:space="0" w:color="auto"/>
        <w:left w:val="none" w:sz="0" w:space="0" w:color="auto"/>
        <w:bottom w:val="none" w:sz="0" w:space="0" w:color="auto"/>
        <w:right w:val="none" w:sz="0" w:space="0" w:color="auto"/>
      </w:divBdr>
    </w:div>
    <w:div w:id="1436049888">
      <w:bodyDiv w:val="1"/>
      <w:marLeft w:val="0"/>
      <w:marRight w:val="0"/>
      <w:marTop w:val="0"/>
      <w:marBottom w:val="0"/>
      <w:divBdr>
        <w:top w:val="none" w:sz="0" w:space="0" w:color="auto"/>
        <w:left w:val="none" w:sz="0" w:space="0" w:color="auto"/>
        <w:bottom w:val="none" w:sz="0" w:space="0" w:color="auto"/>
        <w:right w:val="none" w:sz="0" w:space="0" w:color="auto"/>
      </w:divBdr>
    </w:div>
    <w:div w:id="1569653309">
      <w:bodyDiv w:val="1"/>
      <w:marLeft w:val="0"/>
      <w:marRight w:val="0"/>
      <w:marTop w:val="0"/>
      <w:marBottom w:val="0"/>
      <w:divBdr>
        <w:top w:val="none" w:sz="0" w:space="0" w:color="auto"/>
        <w:left w:val="none" w:sz="0" w:space="0" w:color="auto"/>
        <w:bottom w:val="none" w:sz="0" w:space="0" w:color="auto"/>
        <w:right w:val="none" w:sz="0" w:space="0" w:color="auto"/>
      </w:divBdr>
      <w:divsChild>
        <w:div w:id="530267445">
          <w:marLeft w:val="0"/>
          <w:marRight w:val="0"/>
          <w:marTop w:val="0"/>
          <w:marBottom w:val="0"/>
          <w:divBdr>
            <w:top w:val="none" w:sz="0" w:space="0" w:color="auto"/>
            <w:left w:val="none" w:sz="0" w:space="0" w:color="auto"/>
            <w:bottom w:val="none" w:sz="0" w:space="0" w:color="auto"/>
            <w:right w:val="none" w:sz="0" w:space="0" w:color="auto"/>
          </w:divBdr>
          <w:divsChild>
            <w:div w:id="833565545">
              <w:marLeft w:val="0"/>
              <w:marRight w:val="0"/>
              <w:marTop w:val="0"/>
              <w:marBottom w:val="0"/>
              <w:divBdr>
                <w:top w:val="none" w:sz="0" w:space="0" w:color="auto"/>
                <w:left w:val="none" w:sz="0" w:space="0" w:color="auto"/>
                <w:bottom w:val="none" w:sz="0" w:space="0" w:color="auto"/>
                <w:right w:val="none" w:sz="0" w:space="0" w:color="auto"/>
              </w:divBdr>
              <w:divsChild>
                <w:div w:id="1932230005">
                  <w:marLeft w:val="0"/>
                  <w:marRight w:val="0"/>
                  <w:marTop w:val="0"/>
                  <w:marBottom w:val="0"/>
                  <w:divBdr>
                    <w:top w:val="none" w:sz="0" w:space="0" w:color="auto"/>
                    <w:left w:val="none" w:sz="0" w:space="0" w:color="auto"/>
                    <w:bottom w:val="none" w:sz="0" w:space="0" w:color="auto"/>
                    <w:right w:val="none" w:sz="0" w:space="0" w:color="auto"/>
                  </w:divBdr>
                </w:div>
                <w:div w:id="736514676">
                  <w:marLeft w:val="0"/>
                  <w:marRight w:val="0"/>
                  <w:marTop w:val="0"/>
                  <w:marBottom w:val="0"/>
                  <w:divBdr>
                    <w:top w:val="none" w:sz="0" w:space="0" w:color="auto"/>
                    <w:left w:val="none" w:sz="0" w:space="0" w:color="auto"/>
                    <w:bottom w:val="none" w:sz="0" w:space="0" w:color="auto"/>
                    <w:right w:val="none" w:sz="0" w:space="0" w:color="auto"/>
                  </w:divBdr>
                </w:div>
                <w:div w:id="1354500298">
                  <w:marLeft w:val="0"/>
                  <w:marRight w:val="0"/>
                  <w:marTop w:val="0"/>
                  <w:marBottom w:val="0"/>
                  <w:divBdr>
                    <w:top w:val="none" w:sz="0" w:space="0" w:color="auto"/>
                    <w:left w:val="none" w:sz="0" w:space="0" w:color="auto"/>
                    <w:bottom w:val="none" w:sz="0" w:space="0" w:color="auto"/>
                    <w:right w:val="none" w:sz="0" w:space="0" w:color="auto"/>
                  </w:divBdr>
                </w:div>
              </w:divsChild>
            </w:div>
            <w:div w:id="222453935">
              <w:marLeft w:val="0"/>
              <w:marRight w:val="0"/>
              <w:marTop w:val="0"/>
              <w:marBottom w:val="0"/>
              <w:divBdr>
                <w:top w:val="none" w:sz="0" w:space="0" w:color="auto"/>
                <w:left w:val="none" w:sz="0" w:space="0" w:color="auto"/>
                <w:bottom w:val="none" w:sz="0" w:space="0" w:color="auto"/>
                <w:right w:val="none" w:sz="0" w:space="0" w:color="auto"/>
              </w:divBdr>
              <w:divsChild>
                <w:div w:id="1827697747">
                  <w:marLeft w:val="0"/>
                  <w:marRight w:val="0"/>
                  <w:marTop w:val="0"/>
                  <w:marBottom w:val="0"/>
                  <w:divBdr>
                    <w:top w:val="none" w:sz="0" w:space="0" w:color="auto"/>
                    <w:left w:val="none" w:sz="0" w:space="0" w:color="auto"/>
                    <w:bottom w:val="none" w:sz="0" w:space="0" w:color="auto"/>
                    <w:right w:val="none" w:sz="0" w:space="0" w:color="auto"/>
                  </w:divBdr>
                </w:div>
                <w:div w:id="867839963">
                  <w:marLeft w:val="0"/>
                  <w:marRight w:val="0"/>
                  <w:marTop w:val="0"/>
                  <w:marBottom w:val="0"/>
                  <w:divBdr>
                    <w:top w:val="none" w:sz="0" w:space="0" w:color="auto"/>
                    <w:left w:val="none" w:sz="0" w:space="0" w:color="auto"/>
                    <w:bottom w:val="none" w:sz="0" w:space="0" w:color="auto"/>
                    <w:right w:val="none" w:sz="0" w:space="0" w:color="auto"/>
                  </w:divBdr>
                </w:div>
                <w:div w:id="1870876953">
                  <w:marLeft w:val="0"/>
                  <w:marRight w:val="0"/>
                  <w:marTop w:val="0"/>
                  <w:marBottom w:val="0"/>
                  <w:divBdr>
                    <w:top w:val="none" w:sz="0" w:space="0" w:color="auto"/>
                    <w:left w:val="none" w:sz="0" w:space="0" w:color="auto"/>
                    <w:bottom w:val="none" w:sz="0" w:space="0" w:color="auto"/>
                    <w:right w:val="none" w:sz="0" w:space="0" w:color="auto"/>
                  </w:divBdr>
                </w:div>
                <w:div w:id="1431200985">
                  <w:marLeft w:val="0"/>
                  <w:marRight w:val="0"/>
                  <w:marTop w:val="0"/>
                  <w:marBottom w:val="0"/>
                  <w:divBdr>
                    <w:top w:val="none" w:sz="0" w:space="0" w:color="auto"/>
                    <w:left w:val="none" w:sz="0" w:space="0" w:color="auto"/>
                    <w:bottom w:val="none" w:sz="0" w:space="0" w:color="auto"/>
                    <w:right w:val="none" w:sz="0" w:space="0" w:color="auto"/>
                  </w:divBdr>
                </w:div>
              </w:divsChild>
            </w:div>
            <w:div w:id="862330927">
              <w:marLeft w:val="0"/>
              <w:marRight w:val="0"/>
              <w:marTop w:val="0"/>
              <w:marBottom w:val="0"/>
              <w:divBdr>
                <w:top w:val="none" w:sz="0" w:space="0" w:color="auto"/>
                <w:left w:val="none" w:sz="0" w:space="0" w:color="auto"/>
                <w:bottom w:val="none" w:sz="0" w:space="0" w:color="auto"/>
                <w:right w:val="none" w:sz="0" w:space="0" w:color="auto"/>
              </w:divBdr>
            </w:div>
            <w:div w:id="1297028243">
              <w:marLeft w:val="0"/>
              <w:marRight w:val="0"/>
              <w:marTop w:val="0"/>
              <w:marBottom w:val="0"/>
              <w:divBdr>
                <w:top w:val="none" w:sz="0" w:space="0" w:color="auto"/>
                <w:left w:val="none" w:sz="0" w:space="0" w:color="auto"/>
                <w:bottom w:val="none" w:sz="0" w:space="0" w:color="auto"/>
                <w:right w:val="none" w:sz="0" w:space="0" w:color="auto"/>
              </w:divBdr>
            </w:div>
            <w:div w:id="1317145662">
              <w:marLeft w:val="0"/>
              <w:marRight w:val="0"/>
              <w:marTop w:val="0"/>
              <w:marBottom w:val="0"/>
              <w:divBdr>
                <w:top w:val="none" w:sz="0" w:space="0" w:color="auto"/>
                <w:left w:val="none" w:sz="0" w:space="0" w:color="auto"/>
                <w:bottom w:val="none" w:sz="0" w:space="0" w:color="auto"/>
                <w:right w:val="none" w:sz="0" w:space="0" w:color="auto"/>
              </w:divBdr>
            </w:div>
            <w:div w:id="1116870552">
              <w:marLeft w:val="0"/>
              <w:marRight w:val="0"/>
              <w:marTop w:val="0"/>
              <w:marBottom w:val="0"/>
              <w:divBdr>
                <w:top w:val="none" w:sz="0" w:space="0" w:color="auto"/>
                <w:left w:val="none" w:sz="0" w:space="0" w:color="auto"/>
                <w:bottom w:val="none" w:sz="0" w:space="0" w:color="auto"/>
                <w:right w:val="none" w:sz="0" w:space="0" w:color="auto"/>
              </w:divBdr>
            </w:div>
          </w:divsChild>
        </w:div>
        <w:div w:id="999500308">
          <w:marLeft w:val="0"/>
          <w:marRight w:val="0"/>
          <w:marTop w:val="0"/>
          <w:marBottom w:val="0"/>
          <w:divBdr>
            <w:top w:val="none" w:sz="0" w:space="0" w:color="auto"/>
            <w:left w:val="none" w:sz="0" w:space="0" w:color="auto"/>
            <w:bottom w:val="none" w:sz="0" w:space="0" w:color="auto"/>
            <w:right w:val="none" w:sz="0" w:space="0" w:color="auto"/>
          </w:divBdr>
        </w:div>
      </w:divsChild>
    </w:div>
    <w:div w:id="1606230816">
      <w:bodyDiv w:val="1"/>
      <w:marLeft w:val="0"/>
      <w:marRight w:val="0"/>
      <w:marTop w:val="0"/>
      <w:marBottom w:val="0"/>
      <w:divBdr>
        <w:top w:val="none" w:sz="0" w:space="0" w:color="auto"/>
        <w:left w:val="none" w:sz="0" w:space="0" w:color="auto"/>
        <w:bottom w:val="none" w:sz="0" w:space="0" w:color="auto"/>
        <w:right w:val="none" w:sz="0" w:space="0" w:color="auto"/>
      </w:divBdr>
      <w:divsChild>
        <w:div w:id="1923486707">
          <w:marLeft w:val="0"/>
          <w:marRight w:val="0"/>
          <w:marTop w:val="0"/>
          <w:marBottom w:val="0"/>
          <w:divBdr>
            <w:top w:val="none" w:sz="0" w:space="0" w:color="auto"/>
            <w:left w:val="none" w:sz="0" w:space="0" w:color="auto"/>
            <w:bottom w:val="none" w:sz="0" w:space="0" w:color="auto"/>
            <w:right w:val="none" w:sz="0" w:space="0" w:color="auto"/>
          </w:divBdr>
          <w:divsChild>
            <w:div w:id="70853207">
              <w:marLeft w:val="0"/>
              <w:marRight w:val="0"/>
              <w:marTop w:val="0"/>
              <w:marBottom w:val="0"/>
              <w:divBdr>
                <w:top w:val="none" w:sz="0" w:space="0" w:color="auto"/>
                <w:left w:val="none" w:sz="0" w:space="0" w:color="auto"/>
                <w:bottom w:val="none" w:sz="0" w:space="0" w:color="auto"/>
                <w:right w:val="none" w:sz="0" w:space="0" w:color="auto"/>
              </w:divBdr>
              <w:divsChild>
                <w:div w:id="2095936296">
                  <w:marLeft w:val="0"/>
                  <w:marRight w:val="0"/>
                  <w:marTop w:val="0"/>
                  <w:marBottom w:val="0"/>
                  <w:divBdr>
                    <w:top w:val="none" w:sz="0" w:space="0" w:color="auto"/>
                    <w:left w:val="none" w:sz="0" w:space="0" w:color="auto"/>
                    <w:bottom w:val="none" w:sz="0" w:space="0" w:color="auto"/>
                    <w:right w:val="none" w:sz="0" w:space="0" w:color="auto"/>
                  </w:divBdr>
                </w:div>
                <w:div w:id="2145274116">
                  <w:marLeft w:val="0"/>
                  <w:marRight w:val="0"/>
                  <w:marTop w:val="0"/>
                  <w:marBottom w:val="0"/>
                  <w:divBdr>
                    <w:top w:val="none" w:sz="0" w:space="0" w:color="auto"/>
                    <w:left w:val="none" w:sz="0" w:space="0" w:color="auto"/>
                    <w:bottom w:val="none" w:sz="0" w:space="0" w:color="auto"/>
                    <w:right w:val="none" w:sz="0" w:space="0" w:color="auto"/>
                  </w:divBdr>
                </w:div>
                <w:div w:id="1256284781">
                  <w:marLeft w:val="0"/>
                  <w:marRight w:val="0"/>
                  <w:marTop w:val="0"/>
                  <w:marBottom w:val="0"/>
                  <w:divBdr>
                    <w:top w:val="none" w:sz="0" w:space="0" w:color="auto"/>
                    <w:left w:val="none" w:sz="0" w:space="0" w:color="auto"/>
                    <w:bottom w:val="none" w:sz="0" w:space="0" w:color="auto"/>
                    <w:right w:val="none" w:sz="0" w:space="0" w:color="auto"/>
                  </w:divBdr>
                </w:div>
              </w:divsChild>
            </w:div>
            <w:div w:id="1062483041">
              <w:marLeft w:val="0"/>
              <w:marRight w:val="0"/>
              <w:marTop w:val="0"/>
              <w:marBottom w:val="0"/>
              <w:divBdr>
                <w:top w:val="none" w:sz="0" w:space="0" w:color="auto"/>
                <w:left w:val="none" w:sz="0" w:space="0" w:color="auto"/>
                <w:bottom w:val="none" w:sz="0" w:space="0" w:color="auto"/>
                <w:right w:val="none" w:sz="0" w:space="0" w:color="auto"/>
              </w:divBdr>
              <w:divsChild>
                <w:div w:id="1956977801">
                  <w:marLeft w:val="0"/>
                  <w:marRight w:val="0"/>
                  <w:marTop w:val="0"/>
                  <w:marBottom w:val="0"/>
                  <w:divBdr>
                    <w:top w:val="none" w:sz="0" w:space="0" w:color="auto"/>
                    <w:left w:val="none" w:sz="0" w:space="0" w:color="auto"/>
                    <w:bottom w:val="none" w:sz="0" w:space="0" w:color="auto"/>
                    <w:right w:val="none" w:sz="0" w:space="0" w:color="auto"/>
                  </w:divBdr>
                </w:div>
                <w:div w:id="1154875812">
                  <w:marLeft w:val="0"/>
                  <w:marRight w:val="0"/>
                  <w:marTop w:val="0"/>
                  <w:marBottom w:val="0"/>
                  <w:divBdr>
                    <w:top w:val="none" w:sz="0" w:space="0" w:color="auto"/>
                    <w:left w:val="none" w:sz="0" w:space="0" w:color="auto"/>
                    <w:bottom w:val="none" w:sz="0" w:space="0" w:color="auto"/>
                    <w:right w:val="none" w:sz="0" w:space="0" w:color="auto"/>
                  </w:divBdr>
                </w:div>
                <w:div w:id="1878616121">
                  <w:marLeft w:val="0"/>
                  <w:marRight w:val="0"/>
                  <w:marTop w:val="0"/>
                  <w:marBottom w:val="0"/>
                  <w:divBdr>
                    <w:top w:val="none" w:sz="0" w:space="0" w:color="auto"/>
                    <w:left w:val="none" w:sz="0" w:space="0" w:color="auto"/>
                    <w:bottom w:val="none" w:sz="0" w:space="0" w:color="auto"/>
                    <w:right w:val="none" w:sz="0" w:space="0" w:color="auto"/>
                  </w:divBdr>
                </w:div>
                <w:div w:id="1862550481">
                  <w:marLeft w:val="0"/>
                  <w:marRight w:val="0"/>
                  <w:marTop w:val="0"/>
                  <w:marBottom w:val="0"/>
                  <w:divBdr>
                    <w:top w:val="none" w:sz="0" w:space="0" w:color="auto"/>
                    <w:left w:val="none" w:sz="0" w:space="0" w:color="auto"/>
                    <w:bottom w:val="none" w:sz="0" w:space="0" w:color="auto"/>
                    <w:right w:val="none" w:sz="0" w:space="0" w:color="auto"/>
                  </w:divBdr>
                </w:div>
              </w:divsChild>
            </w:div>
            <w:div w:id="2039357522">
              <w:marLeft w:val="0"/>
              <w:marRight w:val="0"/>
              <w:marTop w:val="0"/>
              <w:marBottom w:val="0"/>
              <w:divBdr>
                <w:top w:val="none" w:sz="0" w:space="0" w:color="auto"/>
                <w:left w:val="none" w:sz="0" w:space="0" w:color="auto"/>
                <w:bottom w:val="none" w:sz="0" w:space="0" w:color="auto"/>
                <w:right w:val="none" w:sz="0" w:space="0" w:color="auto"/>
              </w:divBdr>
            </w:div>
            <w:div w:id="111485474">
              <w:marLeft w:val="0"/>
              <w:marRight w:val="0"/>
              <w:marTop w:val="0"/>
              <w:marBottom w:val="0"/>
              <w:divBdr>
                <w:top w:val="none" w:sz="0" w:space="0" w:color="auto"/>
                <w:left w:val="none" w:sz="0" w:space="0" w:color="auto"/>
                <w:bottom w:val="none" w:sz="0" w:space="0" w:color="auto"/>
                <w:right w:val="none" w:sz="0" w:space="0" w:color="auto"/>
              </w:divBdr>
            </w:div>
            <w:div w:id="97414946">
              <w:marLeft w:val="0"/>
              <w:marRight w:val="0"/>
              <w:marTop w:val="0"/>
              <w:marBottom w:val="0"/>
              <w:divBdr>
                <w:top w:val="none" w:sz="0" w:space="0" w:color="auto"/>
                <w:left w:val="none" w:sz="0" w:space="0" w:color="auto"/>
                <w:bottom w:val="none" w:sz="0" w:space="0" w:color="auto"/>
                <w:right w:val="none" w:sz="0" w:space="0" w:color="auto"/>
              </w:divBdr>
            </w:div>
            <w:div w:id="617687940">
              <w:marLeft w:val="0"/>
              <w:marRight w:val="0"/>
              <w:marTop w:val="0"/>
              <w:marBottom w:val="0"/>
              <w:divBdr>
                <w:top w:val="none" w:sz="0" w:space="0" w:color="auto"/>
                <w:left w:val="none" w:sz="0" w:space="0" w:color="auto"/>
                <w:bottom w:val="none" w:sz="0" w:space="0" w:color="auto"/>
                <w:right w:val="none" w:sz="0" w:space="0" w:color="auto"/>
              </w:divBdr>
            </w:div>
          </w:divsChild>
        </w:div>
        <w:div w:id="1836147211">
          <w:marLeft w:val="0"/>
          <w:marRight w:val="0"/>
          <w:marTop w:val="0"/>
          <w:marBottom w:val="0"/>
          <w:divBdr>
            <w:top w:val="none" w:sz="0" w:space="0" w:color="auto"/>
            <w:left w:val="none" w:sz="0" w:space="0" w:color="auto"/>
            <w:bottom w:val="none" w:sz="0" w:space="0" w:color="auto"/>
            <w:right w:val="none" w:sz="0" w:space="0" w:color="auto"/>
          </w:divBdr>
        </w:div>
      </w:divsChild>
    </w:div>
    <w:div w:id="1778909201">
      <w:bodyDiv w:val="1"/>
      <w:marLeft w:val="0"/>
      <w:marRight w:val="0"/>
      <w:marTop w:val="0"/>
      <w:marBottom w:val="0"/>
      <w:divBdr>
        <w:top w:val="none" w:sz="0" w:space="0" w:color="auto"/>
        <w:left w:val="none" w:sz="0" w:space="0" w:color="auto"/>
        <w:bottom w:val="none" w:sz="0" w:space="0" w:color="auto"/>
        <w:right w:val="none" w:sz="0" w:space="0" w:color="auto"/>
      </w:divBdr>
    </w:div>
    <w:div w:id="1846704556">
      <w:bodyDiv w:val="1"/>
      <w:marLeft w:val="0"/>
      <w:marRight w:val="0"/>
      <w:marTop w:val="0"/>
      <w:marBottom w:val="0"/>
      <w:divBdr>
        <w:top w:val="none" w:sz="0" w:space="0" w:color="auto"/>
        <w:left w:val="none" w:sz="0" w:space="0" w:color="auto"/>
        <w:bottom w:val="none" w:sz="0" w:space="0" w:color="auto"/>
        <w:right w:val="none" w:sz="0" w:space="0" w:color="auto"/>
      </w:divBdr>
      <w:divsChild>
        <w:div w:id="1547595588">
          <w:marLeft w:val="0"/>
          <w:marRight w:val="0"/>
          <w:marTop w:val="0"/>
          <w:marBottom w:val="0"/>
          <w:divBdr>
            <w:top w:val="none" w:sz="0" w:space="0" w:color="auto"/>
            <w:left w:val="none" w:sz="0" w:space="0" w:color="auto"/>
            <w:bottom w:val="none" w:sz="0" w:space="0" w:color="auto"/>
            <w:right w:val="none" w:sz="0" w:space="0" w:color="auto"/>
          </w:divBdr>
          <w:divsChild>
            <w:div w:id="848954931">
              <w:marLeft w:val="0"/>
              <w:marRight w:val="0"/>
              <w:marTop w:val="0"/>
              <w:marBottom w:val="0"/>
              <w:divBdr>
                <w:top w:val="none" w:sz="0" w:space="0" w:color="auto"/>
                <w:left w:val="none" w:sz="0" w:space="0" w:color="auto"/>
                <w:bottom w:val="none" w:sz="0" w:space="0" w:color="auto"/>
                <w:right w:val="none" w:sz="0" w:space="0" w:color="auto"/>
              </w:divBdr>
              <w:divsChild>
                <w:div w:id="1537549464">
                  <w:marLeft w:val="0"/>
                  <w:marRight w:val="0"/>
                  <w:marTop w:val="0"/>
                  <w:marBottom w:val="0"/>
                  <w:divBdr>
                    <w:top w:val="none" w:sz="0" w:space="0" w:color="auto"/>
                    <w:left w:val="none" w:sz="0" w:space="0" w:color="auto"/>
                    <w:bottom w:val="none" w:sz="0" w:space="0" w:color="auto"/>
                    <w:right w:val="none" w:sz="0" w:space="0" w:color="auto"/>
                  </w:divBdr>
                </w:div>
                <w:div w:id="1962370929">
                  <w:marLeft w:val="0"/>
                  <w:marRight w:val="0"/>
                  <w:marTop w:val="0"/>
                  <w:marBottom w:val="0"/>
                  <w:divBdr>
                    <w:top w:val="none" w:sz="0" w:space="0" w:color="auto"/>
                    <w:left w:val="none" w:sz="0" w:space="0" w:color="auto"/>
                    <w:bottom w:val="none" w:sz="0" w:space="0" w:color="auto"/>
                    <w:right w:val="none" w:sz="0" w:space="0" w:color="auto"/>
                  </w:divBdr>
                </w:div>
                <w:div w:id="264968522">
                  <w:marLeft w:val="0"/>
                  <w:marRight w:val="0"/>
                  <w:marTop w:val="0"/>
                  <w:marBottom w:val="0"/>
                  <w:divBdr>
                    <w:top w:val="none" w:sz="0" w:space="0" w:color="auto"/>
                    <w:left w:val="none" w:sz="0" w:space="0" w:color="auto"/>
                    <w:bottom w:val="none" w:sz="0" w:space="0" w:color="auto"/>
                    <w:right w:val="none" w:sz="0" w:space="0" w:color="auto"/>
                  </w:divBdr>
                </w:div>
              </w:divsChild>
            </w:div>
            <w:div w:id="821312120">
              <w:marLeft w:val="0"/>
              <w:marRight w:val="0"/>
              <w:marTop w:val="0"/>
              <w:marBottom w:val="0"/>
              <w:divBdr>
                <w:top w:val="none" w:sz="0" w:space="0" w:color="auto"/>
                <w:left w:val="none" w:sz="0" w:space="0" w:color="auto"/>
                <w:bottom w:val="none" w:sz="0" w:space="0" w:color="auto"/>
                <w:right w:val="none" w:sz="0" w:space="0" w:color="auto"/>
              </w:divBdr>
              <w:divsChild>
                <w:div w:id="1281572218">
                  <w:marLeft w:val="0"/>
                  <w:marRight w:val="0"/>
                  <w:marTop w:val="0"/>
                  <w:marBottom w:val="0"/>
                  <w:divBdr>
                    <w:top w:val="none" w:sz="0" w:space="0" w:color="auto"/>
                    <w:left w:val="none" w:sz="0" w:space="0" w:color="auto"/>
                    <w:bottom w:val="none" w:sz="0" w:space="0" w:color="auto"/>
                    <w:right w:val="none" w:sz="0" w:space="0" w:color="auto"/>
                  </w:divBdr>
                </w:div>
                <w:div w:id="23988334">
                  <w:marLeft w:val="0"/>
                  <w:marRight w:val="0"/>
                  <w:marTop w:val="0"/>
                  <w:marBottom w:val="0"/>
                  <w:divBdr>
                    <w:top w:val="none" w:sz="0" w:space="0" w:color="auto"/>
                    <w:left w:val="none" w:sz="0" w:space="0" w:color="auto"/>
                    <w:bottom w:val="none" w:sz="0" w:space="0" w:color="auto"/>
                    <w:right w:val="none" w:sz="0" w:space="0" w:color="auto"/>
                  </w:divBdr>
                </w:div>
                <w:div w:id="1781491537">
                  <w:marLeft w:val="0"/>
                  <w:marRight w:val="0"/>
                  <w:marTop w:val="0"/>
                  <w:marBottom w:val="0"/>
                  <w:divBdr>
                    <w:top w:val="none" w:sz="0" w:space="0" w:color="auto"/>
                    <w:left w:val="none" w:sz="0" w:space="0" w:color="auto"/>
                    <w:bottom w:val="none" w:sz="0" w:space="0" w:color="auto"/>
                    <w:right w:val="none" w:sz="0" w:space="0" w:color="auto"/>
                  </w:divBdr>
                </w:div>
                <w:div w:id="581179695">
                  <w:marLeft w:val="0"/>
                  <w:marRight w:val="0"/>
                  <w:marTop w:val="0"/>
                  <w:marBottom w:val="0"/>
                  <w:divBdr>
                    <w:top w:val="none" w:sz="0" w:space="0" w:color="auto"/>
                    <w:left w:val="none" w:sz="0" w:space="0" w:color="auto"/>
                    <w:bottom w:val="none" w:sz="0" w:space="0" w:color="auto"/>
                    <w:right w:val="none" w:sz="0" w:space="0" w:color="auto"/>
                  </w:divBdr>
                </w:div>
              </w:divsChild>
            </w:div>
            <w:div w:id="582109334">
              <w:marLeft w:val="0"/>
              <w:marRight w:val="0"/>
              <w:marTop w:val="0"/>
              <w:marBottom w:val="0"/>
              <w:divBdr>
                <w:top w:val="none" w:sz="0" w:space="0" w:color="auto"/>
                <w:left w:val="none" w:sz="0" w:space="0" w:color="auto"/>
                <w:bottom w:val="none" w:sz="0" w:space="0" w:color="auto"/>
                <w:right w:val="none" w:sz="0" w:space="0" w:color="auto"/>
              </w:divBdr>
            </w:div>
            <w:div w:id="1309095633">
              <w:marLeft w:val="0"/>
              <w:marRight w:val="0"/>
              <w:marTop w:val="0"/>
              <w:marBottom w:val="0"/>
              <w:divBdr>
                <w:top w:val="none" w:sz="0" w:space="0" w:color="auto"/>
                <w:left w:val="none" w:sz="0" w:space="0" w:color="auto"/>
                <w:bottom w:val="none" w:sz="0" w:space="0" w:color="auto"/>
                <w:right w:val="none" w:sz="0" w:space="0" w:color="auto"/>
              </w:divBdr>
            </w:div>
            <w:div w:id="160432303">
              <w:marLeft w:val="0"/>
              <w:marRight w:val="0"/>
              <w:marTop w:val="0"/>
              <w:marBottom w:val="0"/>
              <w:divBdr>
                <w:top w:val="none" w:sz="0" w:space="0" w:color="auto"/>
                <w:left w:val="none" w:sz="0" w:space="0" w:color="auto"/>
                <w:bottom w:val="none" w:sz="0" w:space="0" w:color="auto"/>
                <w:right w:val="none" w:sz="0" w:space="0" w:color="auto"/>
              </w:divBdr>
            </w:div>
            <w:div w:id="933167597">
              <w:marLeft w:val="0"/>
              <w:marRight w:val="0"/>
              <w:marTop w:val="0"/>
              <w:marBottom w:val="0"/>
              <w:divBdr>
                <w:top w:val="none" w:sz="0" w:space="0" w:color="auto"/>
                <w:left w:val="none" w:sz="0" w:space="0" w:color="auto"/>
                <w:bottom w:val="none" w:sz="0" w:space="0" w:color="auto"/>
                <w:right w:val="none" w:sz="0" w:space="0" w:color="auto"/>
              </w:divBdr>
            </w:div>
          </w:divsChild>
        </w:div>
        <w:div w:id="488136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ergy.gov/gc/standard-intellectual-property-ip-provisions-financial-assistance-awards" TargetMode="External"/><Relationship Id="rId18" Type="http://schemas.openxmlformats.org/officeDocument/2006/relationships/hyperlink" Target="http://www.sam.gov" TargetMode="External"/><Relationship Id="rId26" Type="http://schemas.openxmlformats.org/officeDocument/2006/relationships/hyperlink" Target="https://www.grants.gov/web/grants/forms/sf-424-individual-family.html" TargetMode="External"/><Relationship Id="rId21" Type="http://schemas.openxmlformats.org/officeDocument/2006/relationships/hyperlink" Target="https://www.whitehouse.gov/wp-content/uploads/2023/10/M-24-02-Buy-America-Implementation-Guidance-Update.pdf"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fedconnect.net/FedConnect/default.aspx?ReturnUrl=%2ffedconnect%2f%3fdoc%3dDE-FOA-0002736%26agency%3dDOE&amp;doc=DE-FOA-0002736&amp;agency=DOE" TargetMode="External"/><Relationship Id="rId17" Type="http://schemas.openxmlformats.org/officeDocument/2006/relationships/hyperlink" Target="http://nepa.energy.gov/" TargetMode="External"/><Relationship Id="rId25" Type="http://schemas.openxmlformats.org/officeDocument/2006/relationships/hyperlink" Target="https://www.energy.gov/nepa/articles/eo-13690-establishing-federal-flood-risk-management%20standard-and-process-further" TargetMode="External"/><Relationship Id="rId33" Type="http://schemas.openxmlformats.org/officeDocument/2006/relationships/header" Target="header1.xml"/><Relationship Id="rId38"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energy.ca.gov/media/9025" TargetMode="External"/><Relationship Id="rId20" Type="http://schemas.openxmlformats.org/officeDocument/2006/relationships/hyperlink" Target="http://www.sam.gov" TargetMode="External"/><Relationship Id="rId29" Type="http://schemas.openxmlformats.org/officeDocument/2006/relationships/hyperlink" Target="https://www.dol.gov/agencies/ofccp/construction/mega-progra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CFR.gov" TargetMode="External"/><Relationship Id="rId24" Type="http://schemas.openxmlformats.org/officeDocument/2006/relationships/hyperlink" Target="https://www.energy.gov/management/department-energy-interim-conflict-interest-policy-requirements-financial-assistance" TargetMode="External"/><Relationship Id="rId32" Type="http://schemas.openxmlformats.org/officeDocument/2006/relationships/hyperlink" Target="https://www.energy.gov/ig/ig&#8208;hotline" TargetMode="External"/><Relationship Id="rId37"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www.nsf.gov/bfa/dias/policy/rtc/index.jsp" TargetMode="External"/><Relationship Id="rId23" Type="http://schemas.openxmlformats.org/officeDocument/2006/relationships/hyperlink" Target="https://www.energy.gov/management/department-energy-interim-conflict-interest-policy-requirements-financial-assistance" TargetMode="External"/><Relationship Id="rId28" Type="http://schemas.openxmlformats.org/officeDocument/2006/relationships/hyperlink" Target="https://www.dol.gov/sites/dolgov/files/ofccp/Construction/files/ConstructionTAG.pdf?msclkid=9e397d68c4b111ec9d8e6fecb6c710ec"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dol.gov/agencies/whd/government-contracts/construction/seminars/events" TargetMode="External"/><Relationship Id="rId31" Type="http://schemas.openxmlformats.org/officeDocument/2006/relationships/hyperlink" Target="http://www.sec.gov/answers/execomp.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sf.gov/awards/managing/rtc.jsp" TargetMode="External"/><Relationship Id="rId22" Type="http://schemas.openxmlformats.org/officeDocument/2006/relationships/hyperlink" Target="https://www.energy.gov/management/build-america-buy-america" TargetMode="External"/><Relationship Id="rId27" Type="http://schemas.openxmlformats.org/officeDocument/2006/relationships/hyperlink" Target="https://www.grants.gov/web/grants/forms/sf-424-individual-family.html" TargetMode="External"/><Relationship Id="rId30" Type="http://schemas.openxmlformats.org/officeDocument/2006/relationships/hyperlink" Target="http://www.fsrs.gov"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www.nsf.gov/awards/managing/rtc.jsp" TargetMode="External"/><Relationship Id="rId1" Type="http://schemas.openxmlformats.org/officeDocument/2006/relationships/hyperlink" Target="https://www.dol.gov/sites/dolgov/files/ofccp/Construction/files/ConstructionTAG.pdf?msclkid=9e397d68c4b111ec9d8e6fecb6c710ec" TargetMode="External"/></Relationships>
</file>

<file path=word/documenttasks/documenttasks1.xml><?xml version="1.0" encoding="utf-8"?>
<t:Tasks xmlns:t="http://schemas.microsoft.com/office/tasks/2019/documenttasks" xmlns:oel="http://schemas.microsoft.com/office/2019/extlst">
  <t:Task id="{E4F57319-DE39-4E50-84C5-C5B62C2F450F}">
    <t:Anchor>
      <t:Comment id="1141929386"/>
    </t:Anchor>
    <t:History>
      <t:Event id="{F062F494-48E5-4E20-997C-E359455F09FC}" time="2023-03-03T22:25:03.235Z">
        <t:Attribution userId="S::christina.evola@energy.ca.gov::0c8512a9-0ef2-4ce9-9eff-d2f3aa1ee740" userProvider="AD" userName="Evola, Christina@Energy"/>
        <t:Anchor>
          <t:Comment id="1141929386"/>
        </t:Anchor>
        <t:Create/>
      </t:Event>
      <t:Event id="{B8BC7CDD-E806-401F-8106-6719708DF779}" time="2023-03-03T22:25:03.235Z">
        <t:Attribution userId="S::christina.evola@energy.ca.gov::0c8512a9-0ef2-4ce9-9eff-d2f3aa1ee740" userProvider="AD" userName="Evola, Christina@Energy"/>
        <t:Anchor>
          <t:Comment id="1141929386"/>
        </t:Anchor>
        <t:Assign userId="S::Matthew.Pinkerton@energy.ca.gov::711cafaf-3c3e-4b00-8e2f-00941bc4fac6" userProvider="AD" userName="Pinkerton, Matthew@Energy"/>
      </t:Event>
      <t:Event id="{28BD91E0-8F35-4D5E-9D5E-8BE5738E3B6A}" time="2023-03-03T22:25:03.235Z">
        <t:Attribution userId="S::christina.evola@energy.ca.gov::0c8512a9-0ef2-4ce9-9eff-d2f3aa1ee740" userProvider="AD" userName="Evola, Christina@Energy"/>
        <t:Anchor>
          <t:Comment id="1141929386"/>
        </t:Anchor>
        <t:SetTitle title="@Pinkerton, Matthew@Energy National Policy assurances should be flown down to recipients. The current matrix is here: https://www.energy.gov/sites/default/files/2021-09/National%20Policy%20Assurances%20-%20November%202020.pdf and the landing page for …"/>
      </t:Event>
    </t:History>
  </t:Task>
  <t:Task id="{DD49D60E-259D-4D03-8F9D-1FDA2C3E2A92}">
    <t:Anchor>
      <t:Comment id="818366661"/>
    </t:Anchor>
    <t:History>
      <t:Event id="{31E173FA-2F2F-4F8F-BE50-41C2139A6329}" time="2023-03-03T22:31:10.408Z">
        <t:Attribution userId="S::christina.evola@energy.ca.gov::0c8512a9-0ef2-4ce9-9eff-d2f3aa1ee740" userProvider="AD" userName="Evola, Christina@Energy"/>
        <t:Anchor>
          <t:Comment id="818366661"/>
        </t:Anchor>
        <t:Create/>
      </t:Event>
      <t:Event id="{31F7E849-B8B4-432B-9651-7540C83B2904}" time="2023-03-03T22:31:10.408Z">
        <t:Attribution userId="S::christina.evola@energy.ca.gov::0c8512a9-0ef2-4ce9-9eff-d2f3aa1ee740" userProvider="AD" userName="Evola, Christina@Energy"/>
        <t:Anchor>
          <t:Comment id="818366661"/>
        </t:Anchor>
        <t:Assign userId="S::Matthew.Pinkerton@energy.ca.gov::711cafaf-3c3e-4b00-8e2f-00941bc4fac6" userProvider="AD" userName="Pinkerton, Matthew@Energy"/>
      </t:Event>
      <t:Event id="{D71CCA37-02C5-4D45-AA58-445002661592}" time="2023-03-03T22:31:10.408Z">
        <t:Attribution userId="S::christina.evola@energy.ca.gov::0c8512a9-0ef2-4ce9-9eff-d2f3aa1ee740" userProvider="AD" userName="Evola, Christina@Energy"/>
        <t:Anchor>
          <t:Comment id="818366661"/>
        </t:Anchor>
        <t:SetTitle title="@Pinkerton, Matthew@Energy I believe we'll need to flow down IP as well. An excerpt from the IP terms regarding recipient requirements for obtaining rights from subrecipient is as follows: &quot;GSB-821-US5 The Recipient has the responsibility to obtain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BBEAB80CFEE441849109E917E47D89" ma:contentTypeVersion="6" ma:contentTypeDescription="Create a new document." ma:contentTypeScope="" ma:versionID="6818821f3b0bfca3ced74f3b431d3ce6">
  <xsd:schema xmlns:xsd="http://www.w3.org/2001/XMLSchema" xmlns:xs="http://www.w3.org/2001/XMLSchema" xmlns:p="http://schemas.microsoft.com/office/2006/metadata/properties" xmlns:ns2="7e12f3b6-244a-4e6d-8b26-df5793ce115b" xmlns:ns3="95584eaa-d4dc-44a3-a033-e234a6ca65de" targetNamespace="http://schemas.microsoft.com/office/2006/metadata/properties" ma:root="true" ma:fieldsID="220199280f8523d3939fdcb6ac381ca9" ns2:_="" ns3:_="">
    <xsd:import namespace="7e12f3b6-244a-4e6d-8b26-df5793ce115b"/>
    <xsd:import namespace="95584eaa-d4dc-44a3-a033-e234a6ca65d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12f3b6-244a-4e6d-8b26-df5793ce11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584eaa-d4dc-44a3-a033-e234a6ca65d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5584eaa-d4dc-44a3-a033-e234a6ca65de">
      <UserInfo>
        <DisplayName>Evola, Christina@Energy</DisplayName>
        <AccountId>1209</AccountId>
        <AccountType/>
      </UserInfo>
      <UserInfo>
        <DisplayName>Pinkerton, Matthew@Energy</DisplayName>
        <AccountId>1253</AccountId>
        <AccountType/>
      </UserInfo>
      <UserInfo>
        <DisplayName>Dixit, Raj@Energy</DisplayName>
        <AccountId>17</AccountId>
        <AccountType/>
      </UserInfo>
      <UserInfo>
        <DisplayName>Ersoy, Elise@Energy</DisplayName>
        <AccountId>6798</AccountId>
        <AccountType/>
      </UserInfo>
      <UserInfo>
        <DisplayName>Kovalick, Alexandra@Energy</DisplayName>
        <AccountId>6799</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BCDC6-53F2-49B6-AC4B-76F987CB1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12f3b6-244a-4e6d-8b26-df5793ce115b"/>
    <ds:schemaRef ds:uri="95584eaa-d4dc-44a3-a033-e234a6ca65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887464-586D-4078-87BC-EDBAC72C67E2}">
  <ds:schemaRefs>
    <ds:schemaRef ds:uri="http://schemas.microsoft.com/sharepoint/v3/contenttype/forms"/>
  </ds:schemaRefs>
</ds:datastoreItem>
</file>

<file path=customXml/itemProps3.xml><?xml version="1.0" encoding="utf-8"?>
<ds:datastoreItem xmlns:ds="http://schemas.openxmlformats.org/officeDocument/2006/customXml" ds:itemID="{E8B0E967-0380-462B-B7B2-350E376C2CEA}">
  <ds:schemaRefs>
    <ds:schemaRef ds:uri="http://schemas.microsoft.com/office/2006/metadata/properties"/>
    <ds:schemaRef ds:uri="http://schemas.microsoft.com/office/infopath/2007/PartnerControls"/>
    <ds:schemaRef ds:uri="95584eaa-d4dc-44a3-a033-e234a6ca65de"/>
  </ds:schemaRefs>
</ds:datastoreItem>
</file>

<file path=customXml/itemProps4.xml><?xml version="1.0" encoding="utf-8"?>
<ds:datastoreItem xmlns:ds="http://schemas.openxmlformats.org/officeDocument/2006/customXml" ds:itemID="{AFA7069F-C7A9-401E-8F74-29EC18258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32</Pages>
  <Words>15281</Words>
  <Characters>87107</Characters>
  <Application>Microsoft Office Word</Application>
  <DocSecurity>0</DocSecurity>
  <Lines>725</Lines>
  <Paragraphs>204</Paragraphs>
  <ScaleCrop>false</ScaleCrop>
  <Company>California Energy Commision</Company>
  <LinksUpToDate>false</LinksUpToDate>
  <CharactersWithSpaces>102184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Pinkerton, Matthew@Energy</dc:creator>
  <cp:keywords/>
  <dc:description/>
  <cp:lastModifiedBy>Dixit, Raj@Energy</cp:lastModifiedBy>
  <cp:revision>3</cp:revision>
  <dcterms:created xsi:type="dcterms:W3CDTF">2025-09-16T22:54:00Z</dcterms:created>
  <dcterms:modified xsi:type="dcterms:W3CDTF">2025-09-16T22:57:00Z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{"FileActivityType":"9","FileActivityTimeStamp":"2023-10-25T19:59:24.257Z","FileActivityUsersOnPage":[{"DisplayName":"Reasor, Sonia@Energy","Id":"sonia.reasor@energy.ca.gov"},{"DisplayName":"Dixit, Raj@Energy","Id":"raj.dixit@energy.ca.gov"},{"DisplayName":"Evola, Christina@Energy","Id":"christina.evola@energy.ca.gov"},{"DisplayName":"Pinkerton, Matthew@Energy","Id":"matthew.pinkerton@energy.ca.gov"}],"FileActivityNavigationId":null}</vt:lpwstr>
  </property>
  <property fmtid="{D5CDD505-2E9C-101B-9397-08002B2CF9AE}" pid="7" name="TriggerFlowInfo">
    <vt:lpwstr/>
  </property>
</Properties>
</file>