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275A" w14:textId="05ACC160" w:rsidR="00A06E04" w:rsidRPr="00D11706" w:rsidRDefault="004E72C3" w:rsidP="004E72C3">
      <w:pPr>
        <w:pStyle w:val="Title"/>
        <w:rPr>
          <w:sz w:val="26"/>
          <w:szCs w:val="26"/>
        </w:rPr>
      </w:pPr>
      <w:r w:rsidRPr="00D11706">
        <w:rPr>
          <w:sz w:val="26"/>
          <w:szCs w:val="26"/>
        </w:rPr>
        <w:t xml:space="preserve">NOTICE OF </w:t>
      </w:r>
      <w:r w:rsidR="004A59F2">
        <w:rPr>
          <w:sz w:val="26"/>
          <w:szCs w:val="26"/>
        </w:rPr>
        <w:t>PROPOSED AWARD (NOPA)</w:t>
      </w:r>
    </w:p>
    <w:p w14:paraId="21F6206B" w14:textId="3374EB09" w:rsidR="004E72C3" w:rsidRPr="004A59F2" w:rsidRDefault="00FA5BD0" w:rsidP="00115792">
      <w:pPr>
        <w:pStyle w:val="Subtitle"/>
        <w:rPr>
          <w:rStyle w:val="SubtleEmphasis"/>
          <w:b/>
        </w:rPr>
      </w:pPr>
      <w:r w:rsidRPr="004A59F2">
        <w:rPr>
          <w:rStyle w:val="SubtleEmphasis"/>
          <w:b/>
        </w:rPr>
        <w:t>Geothermal Grant and Loan Program</w:t>
      </w:r>
    </w:p>
    <w:p w14:paraId="0E80D953" w14:textId="7A9B09F1" w:rsidR="007256C3" w:rsidRPr="004A59F2" w:rsidRDefault="007256C3" w:rsidP="00115792">
      <w:pPr>
        <w:pStyle w:val="Subtitle"/>
      </w:pPr>
      <w:r w:rsidRPr="004A59F2">
        <w:rPr>
          <w:rStyle w:val="SubtleEmphasis"/>
          <w:b/>
        </w:rPr>
        <w:t>GFO-23-402</w:t>
      </w:r>
    </w:p>
    <w:p w14:paraId="3F37C1E7" w14:textId="3CD8C26C" w:rsidR="004E72C3" w:rsidRPr="0082030A" w:rsidRDefault="3779A8A8" w:rsidP="3636A0B1">
      <w:pPr>
        <w:pStyle w:val="Subtitle"/>
      </w:pPr>
      <w:r w:rsidRPr="0082030A">
        <w:t>September</w:t>
      </w:r>
      <w:r w:rsidR="00B32169" w:rsidRPr="0082030A">
        <w:t xml:space="preserve"> </w:t>
      </w:r>
      <w:r w:rsidR="0082030A" w:rsidRPr="0082030A">
        <w:t>2</w:t>
      </w:r>
      <w:r w:rsidR="006B1FD7">
        <w:t>9,</w:t>
      </w:r>
      <w:r w:rsidR="004A59F2" w:rsidRPr="0082030A">
        <w:t xml:space="preserve"> 2025</w:t>
      </w:r>
    </w:p>
    <w:p w14:paraId="7337185F" w14:textId="087CD252" w:rsidR="00544CA8" w:rsidRPr="006B1FD7" w:rsidRDefault="1C9F6AF1" w:rsidP="00E010F8">
      <w:pPr>
        <w:spacing w:before="240"/>
        <w:rPr>
          <w:sz w:val="24"/>
        </w:rPr>
      </w:pPr>
      <w:r w:rsidRPr="006B1FD7">
        <w:rPr>
          <w:sz w:val="24"/>
        </w:rPr>
        <w:t>On February 6, 2024</w:t>
      </w:r>
      <w:r w:rsidR="6728B6A8" w:rsidRPr="006B1FD7">
        <w:rPr>
          <w:sz w:val="24"/>
        </w:rPr>
        <w:t xml:space="preserve">, the California Energy Commission (CEC) released a competitive </w:t>
      </w:r>
      <w:r w:rsidR="4F3C58CB" w:rsidRPr="006B1FD7">
        <w:rPr>
          <w:sz w:val="24"/>
        </w:rPr>
        <w:t>two</w:t>
      </w:r>
      <w:r w:rsidR="4BC66375" w:rsidRPr="006B1FD7">
        <w:rPr>
          <w:sz w:val="24"/>
        </w:rPr>
        <w:t>-</w:t>
      </w:r>
      <w:r w:rsidR="4F3C58CB" w:rsidRPr="006B1FD7">
        <w:rPr>
          <w:sz w:val="24"/>
        </w:rPr>
        <w:t xml:space="preserve">phase </w:t>
      </w:r>
      <w:r w:rsidR="2489A08B" w:rsidRPr="006B1FD7">
        <w:rPr>
          <w:sz w:val="24"/>
        </w:rPr>
        <w:t xml:space="preserve">grant </w:t>
      </w:r>
      <w:r w:rsidR="6728B6A8" w:rsidRPr="006B1FD7">
        <w:rPr>
          <w:sz w:val="24"/>
        </w:rPr>
        <w:t>solicitation</w:t>
      </w:r>
      <w:r w:rsidR="74D65962" w:rsidRPr="006B1FD7">
        <w:rPr>
          <w:sz w:val="24"/>
        </w:rPr>
        <w:t xml:space="preserve"> entitled</w:t>
      </w:r>
      <w:r w:rsidR="601FA862" w:rsidRPr="006B1FD7">
        <w:rPr>
          <w:sz w:val="24"/>
        </w:rPr>
        <w:t xml:space="preserve"> “Geothermal Grant and Loan Program"</w:t>
      </w:r>
      <w:r w:rsidR="36C84E8D" w:rsidRPr="006B1FD7">
        <w:rPr>
          <w:sz w:val="24"/>
        </w:rPr>
        <w:t xml:space="preserve"> </w:t>
      </w:r>
      <w:r w:rsidR="45ABC85D" w:rsidRPr="006B1FD7">
        <w:rPr>
          <w:sz w:val="24"/>
        </w:rPr>
        <w:t>(GFO-23-402)</w:t>
      </w:r>
      <w:r w:rsidR="4F712B2F" w:rsidRPr="006B1FD7">
        <w:rPr>
          <w:sz w:val="24"/>
        </w:rPr>
        <w:t xml:space="preserve">. </w:t>
      </w:r>
      <w:r w:rsidR="37D9EE3B" w:rsidRPr="006B1FD7">
        <w:rPr>
          <w:sz w:val="24"/>
        </w:rPr>
        <w:t>The purpose of t</w:t>
      </w:r>
      <w:r w:rsidR="4F712B2F" w:rsidRPr="006B1FD7">
        <w:rPr>
          <w:sz w:val="24"/>
        </w:rPr>
        <w:t xml:space="preserve">his competitive solicitation </w:t>
      </w:r>
      <w:r w:rsidR="005C7B4C" w:rsidRPr="006B1FD7">
        <w:rPr>
          <w:sz w:val="24"/>
        </w:rPr>
        <w:t>is</w:t>
      </w:r>
      <w:r w:rsidR="6728B6A8" w:rsidRPr="006B1FD7">
        <w:rPr>
          <w:sz w:val="24"/>
        </w:rPr>
        <w:t xml:space="preserve"> to </w:t>
      </w:r>
      <w:r w:rsidR="4183002E" w:rsidRPr="006B1FD7">
        <w:rPr>
          <w:sz w:val="24"/>
        </w:rPr>
        <w:t xml:space="preserve">award grants </w:t>
      </w:r>
      <w:r w:rsidR="002B426C" w:rsidRPr="006B1FD7">
        <w:rPr>
          <w:sz w:val="24"/>
        </w:rPr>
        <w:t>for</w:t>
      </w:r>
      <w:r w:rsidR="00B54BCB" w:rsidRPr="006B1FD7">
        <w:rPr>
          <w:sz w:val="24"/>
        </w:rPr>
        <w:t xml:space="preserve"> projects focused on </w:t>
      </w:r>
      <w:r w:rsidR="00D15AD0" w:rsidRPr="006B1FD7">
        <w:rPr>
          <w:sz w:val="24"/>
        </w:rPr>
        <w:t>advanc</w:t>
      </w:r>
      <w:r w:rsidR="00592207" w:rsidRPr="006B1FD7">
        <w:rPr>
          <w:sz w:val="24"/>
        </w:rPr>
        <w:t>ing</w:t>
      </w:r>
      <w:r w:rsidR="00D15AD0" w:rsidRPr="006B1FD7">
        <w:rPr>
          <w:sz w:val="24"/>
        </w:rPr>
        <w:t xml:space="preserve"> </w:t>
      </w:r>
      <w:r w:rsidR="316BD523" w:rsidRPr="006B1FD7">
        <w:rPr>
          <w:sz w:val="24"/>
        </w:rPr>
        <w:t>the geothermal</w:t>
      </w:r>
      <w:r w:rsidR="0F0C5835" w:rsidRPr="006B1FD7">
        <w:rPr>
          <w:sz w:val="24"/>
        </w:rPr>
        <w:t xml:space="preserve"> </w:t>
      </w:r>
      <w:r w:rsidR="316BD523" w:rsidRPr="006B1FD7">
        <w:rPr>
          <w:sz w:val="24"/>
        </w:rPr>
        <w:t>sector</w:t>
      </w:r>
      <w:r w:rsidR="006D04E5" w:rsidRPr="006B1FD7">
        <w:rPr>
          <w:sz w:val="24"/>
        </w:rPr>
        <w:t xml:space="preserve"> </w:t>
      </w:r>
      <w:r w:rsidR="316BD523" w:rsidRPr="006B1FD7">
        <w:rPr>
          <w:sz w:val="24"/>
        </w:rPr>
        <w:t>and related activities</w:t>
      </w:r>
      <w:r w:rsidR="1AC2A53E" w:rsidRPr="006B1FD7">
        <w:rPr>
          <w:sz w:val="24"/>
        </w:rPr>
        <w:t xml:space="preserve"> in California</w:t>
      </w:r>
      <w:r w:rsidR="00592207" w:rsidRPr="006B1FD7">
        <w:rPr>
          <w:sz w:val="24"/>
        </w:rPr>
        <w:t xml:space="preserve">, including </w:t>
      </w:r>
      <w:r w:rsidR="00527A53" w:rsidRPr="006B1FD7">
        <w:rPr>
          <w:sz w:val="24"/>
        </w:rPr>
        <w:t xml:space="preserve">the </w:t>
      </w:r>
      <w:r w:rsidR="00FA6699" w:rsidRPr="006B1FD7">
        <w:rPr>
          <w:sz w:val="24"/>
        </w:rPr>
        <w:t xml:space="preserve">development of </w:t>
      </w:r>
      <w:r w:rsidR="00592207" w:rsidRPr="006B1FD7">
        <w:rPr>
          <w:sz w:val="24"/>
        </w:rPr>
        <w:t>geothermal energy and/or recovery of lithium or other critical minerals from geothermal brine that support local jurisdictions and private entities</w:t>
      </w:r>
      <w:r w:rsidR="00527A53" w:rsidRPr="006B1FD7">
        <w:rPr>
          <w:sz w:val="24"/>
        </w:rPr>
        <w:t>.</w:t>
      </w:r>
    </w:p>
    <w:p w14:paraId="1E237DA0" w14:textId="7F5CA8FD" w:rsidR="002C5D95" w:rsidRPr="006B1FD7" w:rsidRDefault="109630D2" w:rsidP="00E010F8">
      <w:pPr>
        <w:spacing w:before="240"/>
        <w:rPr>
          <w:sz w:val="24"/>
        </w:rPr>
      </w:pPr>
      <w:r w:rsidRPr="006B1FD7">
        <w:rPr>
          <w:rFonts w:eastAsia="Arial" w:cs="Arial"/>
          <w:sz w:val="24"/>
        </w:rPr>
        <w:t xml:space="preserve">Phase One aimed to provide technical assistance funds to support local jurisdictions in developing and preparing a full proposal for Phase Two of this solicitation. Phase Two is for eligible applicants to submit </w:t>
      </w:r>
      <w:r w:rsidR="76F9A40B" w:rsidRPr="006B1FD7">
        <w:rPr>
          <w:rFonts w:eastAsia="Arial" w:cs="Arial"/>
          <w:sz w:val="24"/>
        </w:rPr>
        <w:t>a</w:t>
      </w:r>
      <w:r w:rsidRPr="006B1FD7">
        <w:rPr>
          <w:rFonts w:eastAsia="Arial" w:cs="Arial"/>
          <w:sz w:val="24"/>
        </w:rPr>
        <w:t xml:space="preserve"> full proposal for </w:t>
      </w:r>
      <w:r w:rsidR="32E5BA97" w:rsidRPr="006B1FD7">
        <w:rPr>
          <w:rFonts w:eastAsia="Arial" w:cs="Arial"/>
          <w:sz w:val="24"/>
        </w:rPr>
        <w:t>projects related to the development of geothermal energy resources and/or the recovery of lithium or other critical minerals from geothermal brine</w:t>
      </w:r>
      <w:r w:rsidRPr="006B1FD7">
        <w:rPr>
          <w:rFonts w:eastAsia="Arial" w:cs="Arial"/>
          <w:sz w:val="24"/>
        </w:rPr>
        <w:t>.</w:t>
      </w:r>
      <w:r w:rsidR="00A34D4C" w:rsidRPr="006B1FD7">
        <w:rPr>
          <w:rFonts w:eastAsia="Arial" w:cs="Arial"/>
          <w:sz w:val="24"/>
        </w:rPr>
        <w:t xml:space="preserve"> </w:t>
      </w:r>
      <w:r w:rsidRPr="006B1FD7">
        <w:rPr>
          <w:rFonts w:eastAsia="Arial" w:cs="Arial"/>
          <w:sz w:val="24"/>
        </w:rPr>
        <w:t xml:space="preserve">The grant solicitation </w:t>
      </w:r>
      <w:r w:rsidR="6DF516EB" w:rsidRPr="006B1FD7">
        <w:rPr>
          <w:rFonts w:eastAsia="Arial" w:cs="Arial"/>
          <w:sz w:val="24"/>
        </w:rPr>
        <w:t xml:space="preserve">initially </w:t>
      </w:r>
      <w:r w:rsidRPr="006B1FD7">
        <w:rPr>
          <w:rFonts w:eastAsia="Arial" w:cs="Arial"/>
          <w:sz w:val="24"/>
        </w:rPr>
        <w:t xml:space="preserve">announced that there </w:t>
      </w:r>
      <w:r w:rsidR="3D0E5EBF" w:rsidRPr="006B1FD7">
        <w:rPr>
          <w:rFonts w:eastAsia="Arial" w:cs="Arial"/>
          <w:sz w:val="24"/>
        </w:rPr>
        <w:t xml:space="preserve">would be </w:t>
      </w:r>
      <w:r w:rsidRPr="006B1FD7">
        <w:rPr>
          <w:rFonts w:eastAsia="Arial" w:cs="Arial"/>
          <w:sz w:val="24"/>
        </w:rPr>
        <w:t>up to $</w:t>
      </w:r>
      <w:r w:rsidR="49D312B7" w:rsidRPr="006B1FD7">
        <w:rPr>
          <w:rFonts w:eastAsia="Arial" w:cs="Arial"/>
          <w:sz w:val="24"/>
        </w:rPr>
        <w:t>5,790,000</w:t>
      </w:r>
      <w:r w:rsidRPr="006B1FD7">
        <w:rPr>
          <w:rFonts w:eastAsia="Arial" w:cs="Arial"/>
          <w:sz w:val="24"/>
        </w:rPr>
        <w:t xml:space="preserve"> available funding for Phase </w:t>
      </w:r>
      <w:r w:rsidR="0289B49C" w:rsidRPr="006B1FD7">
        <w:rPr>
          <w:rFonts w:eastAsia="Arial" w:cs="Arial"/>
          <w:sz w:val="24"/>
        </w:rPr>
        <w:t>Two</w:t>
      </w:r>
      <w:r w:rsidR="513B2C53" w:rsidRPr="006B1FD7">
        <w:rPr>
          <w:rFonts w:eastAsia="Arial" w:cs="Arial"/>
          <w:sz w:val="24"/>
        </w:rPr>
        <w:t>.</w:t>
      </w:r>
      <w:r w:rsidRPr="006B1FD7">
        <w:rPr>
          <w:rFonts w:eastAsia="Arial" w:cs="Arial"/>
          <w:sz w:val="24"/>
        </w:rPr>
        <w:t xml:space="preserve"> </w:t>
      </w:r>
      <w:r w:rsidR="00DB5BD1" w:rsidRPr="006B1FD7">
        <w:rPr>
          <w:sz w:val="24"/>
        </w:rPr>
        <w:t>The CEC has reduced the total available funding for Phase Two of this solicitation to $4,</w:t>
      </w:r>
      <w:r w:rsidR="00780F34" w:rsidRPr="006B1FD7">
        <w:rPr>
          <w:sz w:val="24"/>
        </w:rPr>
        <w:t>109,902</w:t>
      </w:r>
      <w:r w:rsidR="00974EFD" w:rsidRPr="006B1FD7">
        <w:rPr>
          <w:sz w:val="24"/>
        </w:rPr>
        <w:t>.</w:t>
      </w:r>
      <w:r w:rsidR="00C93B56" w:rsidRPr="006B1FD7">
        <w:rPr>
          <w:sz w:val="24"/>
        </w:rPr>
        <w:t xml:space="preserve"> </w:t>
      </w:r>
      <w:r w:rsidR="40F6EA7B" w:rsidRPr="006B1FD7">
        <w:rPr>
          <w:sz w:val="24"/>
        </w:rPr>
        <w:t xml:space="preserve">Pursuant </w:t>
      </w:r>
      <w:r w:rsidR="00A34D4C" w:rsidRPr="006B1FD7">
        <w:rPr>
          <w:sz w:val="24"/>
        </w:rPr>
        <w:t>to Solicitation</w:t>
      </w:r>
      <w:r w:rsidR="00DB5BD1" w:rsidRPr="006B1FD7">
        <w:rPr>
          <w:sz w:val="24"/>
        </w:rPr>
        <w:t xml:space="preserve"> </w:t>
      </w:r>
      <w:r w:rsidR="3FB1859B" w:rsidRPr="006B1FD7">
        <w:rPr>
          <w:sz w:val="24"/>
        </w:rPr>
        <w:t>M</w:t>
      </w:r>
      <w:r w:rsidR="00DB5BD1" w:rsidRPr="006B1FD7">
        <w:rPr>
          <w:sz w:val="24"/>
        </w:rPr>
        <w:t xml:space="preserve">anual, Section </w:t>
      </w:r>
      <w:r w:rsidR="6C7E5F5A" w:rsidRPr="006B1FD7">
        <w:rPr>
          <w:sz w:val="24"/>
        </w:rPr>
        <w:t>I.</w:t>
      </w:r>
      <w:r w:rsidR="00DB5BD1" w:rsidRPr="006B1FD7">
        <w:rPr>
          <w:sz w:val="24"/>
        </w:rPr>
        <w:t xml:space="preserve">D.3, page 8, the CEC </w:t>
      </w:r>
      <w:r w:rsidR="754DCFE5" w:rsidRPr="006B1FD7">
        <w:rPr>
          <w:sz w:val="24"/>
        </w:rPr>
        <w:t xml:space="preserve">reserves the right to </w:t>
      </w:r>
      <w:r w:rsidR="00DB5BD1" w:rsidRPr="006B1FD7">
        <w:rPr>
          <w:sz w:val="24"/>
        </w:rPr>
        <w:t>“increase or decrease the available funding in any phase</w:t>
      </w:r>
      <w:r w:rsidR="7B432789" w:rsidRPr="006B1FD7">
        <w:rPr>
          <w:sz w:val="24"/>
        </w:rPr>
        <w:t xml:space="preserve"> (</w:t>
      </w:r>
      <w:r w:rsidR="00DB5BD1" w:rsidRPr="006B1FD7">
        <w:rPr>
          <w:sz w:val="24"/>
        </w:rPr>
        <w:t>…</w:t>
      </w:r>
      <w:r w:rsidR="05A77049" w:rsidRPr="006B1FD7">
        <w:rPr>
          <w:sz w:val="24"/>
        </w:rPr>
        <w:t>)</w:t>
      </w:r>
      <w:r w:rsidR="00DB5BD1" w:rsidRPr="006B1FD7">
        <w:rPr>
          <w:sz w:val="24"/>
        </w:rPr>
        <w:t>”</w:t>
      </w:r>
      <w:r w:rsidR="1E83A813" w:rsidRPr="006B1FD7">
        <w:rPr>
          <w:sz w:val="24"/>
        </w:rPr>
        <w:t xml:space="preserve"> of the solicitation</w:t>
      </w:r>
      <w:r w:rsidR="37CA90F2" w:rsidRPr="006B1FD7">
        <w:rPr>
          <w:sz w:val="24"/>
        </w:rPr>
        <w:t>.</w:t>
      </w:r>
      <w:r w:rsidR="00DB5BD1" w:rsidRPr="006B1FD7">
        <w:rPr>
          <w:sz w:val="24"/>
        </w:rPr>
        <w:t xml:space="preserve"> The attached NOPA reflects the new total available funding for Phase Two.  Th</w:t>
      </w:r>
      <w:r w:rsidR="00417E41" w:rsidRPr="006B1FD7">
        <w:rPr>
          <w:sz w:val="24"/>
        </w:rPr>
        <w:t>e</w:t>
      </w:r>
      <w:r w:rsidR="00DB5BD1" w:rsidRPr="006B1FD7">
        <w:rPr>
          <w:sz w:val="24"/>
        </w:rPr>
        <w:t xml:space="preserve"> maximum and minimum individual </w:t>
      </w:r>
      <w:proofErr w:type="gramStart"/>
      <w:r w:rsidR="00DB5BD1" w:rsidRPr="006B1FD7">
        <w:rPr>
          <w:sz w:val="24"/>
        </w:rPr>
        <w:t xml:space="preserve">award </w:t>
      </w:r>
      <w:r w:rsidR="000B62F2" w:rsidRPr="006B1FD7">
        <w:rPr>
          <w:sz w:val="24"/>
        </w:rPr>
        <w:t>amount</w:t>
      </w:r>
      <w:r w:rsidR="00C60814" w:rsidRPr="006B1FD7">
        <w:rPr>
          <w:sz w:val="24"/>
        </w:rPr>
        <w:t>s</w:t>
      </w:r>
      <w:r w:rsidR="00DB5BD1" w:rsidRPr="006B1FD7">
        <w:rPr>
          <w:sz w:val="24"/>
        </w:rPr>
        <w:t xml:space="preserve"> of</w:t>
      </w:r>
      <w:proofErr w:type="gramEnd"/>
      <w:r w:rsidR="00DB5BD1" w:rsidRPr="006B1FD7">
        <w:rPr>
          <w:sz w:val="24"/>
        </w:rPr>
        <w:t xml:space="preserve"> $1,500,000 and $</w:t>
      </w:r>
      <w:proofErr w:type="gramStart"/>
      <w:r w:rsidR="00DB5BD1" w:rsidRPr="006B1FD7">
        <w:rPr>
          <w:sz w:val="24"/>
        </w:rPr>
        <w:t>250,000</w:t>
      </w:r>
      <w:proofErr w:type="gramEnd"/>
      <w:r w:rsidR="00DB5BD1" w:rsidRPr="006B1FD7">
        <w:rPr>
          <w:sz w:val="24"/>
        </w:rPr>
        <w:t xml:space="preserve"> have not been changed. </w:t>
      </w:r>
    </w:p>
    <w:p w14:paraId="3D3EB2FF" w14:textId="2760E2F9" w:rsidR="00B87654" w:rsidRPr="006B1FD7" w:rsidRDefault="03192F79" w:rsidP="00E010F8">
      <w:pPr>
        <w:spacing w:before="240"/>
        <w:rPr>
          <w:sz w:val="24"/>
        </w:rPr>
      </w:pPr>
      <w:r w:rsidRPr="006B1FD7">
        <w:rPr>
          <w:sz w:val="24"/>
        </w:rPr>
        <w:t>During Phase Two, t</w:t>
      </w:r>
      <w:r w:rsidR="005279C4" w:rsidRPr="006B1FD7">
        <w:rPr>
          <w:sz w:val="24"/>
        </w:rPr>
        <w:t xml:space="preserve">he CEC received </w:t>
      </w:r>
      <w:r w:rsidR="2BDE9745" w:rsidRPr="006B1FD7">
        <w:rPr>
          <w:sz w:val="24"/>
        </w:rPr>
        <w:t>fourteen (14)</w:t>
      </w:r>
      <w:r w:rsidR="009F1E16" w:rsidRPr="006B1FD7">
        <w:rPr>
          <w:sz w:val="24"/>
        </w:rPr>
        <w:t xml:space="preserve"> </w:t>
      </w:r>
      <w:r w:rsidR="005279C4" w:rsidRPr="006B1FD7">
        <w:rPr>
          <w:sz w:val="24"/>
        </w:rPr>
        <w:t xml:space="preserve">proposals by </w:t>
      </w:r>
      <w:r w:rsidR="00527A53" w:rsidRPr="006B1FD7">
        <w:rPr>
          <w:sz w:val="24"/>
        </w:rPr>
        <w:t xml:space="preserve">the </w:t>
      </w:r>
      <w:r w:rsidR="14B9CFB7" w:rsidRPr="006B1FD7">
        <w:rPr>
          <w:sz w:val="24"/>
        </w:rPr>
        <w:t>Full A</w:t>
      </w:r>
      <w:r w:rsidR="046DD148" w:rsidRPr="006B1FD7">
        <w:rPr>
          <w:sz w:val="24"/>
        </w:rPr>
        <w:t>pplication</w:t>
      </w:r>
      <w:r w:rsidR="424C0636" w:rsidRPr="006B1FD7">
        <w:rPr>
          <w:sz w:val="24"/>
        </w:rPr>
        <w:t>s</w:t>
      </w:r>
      <w:r w:rsidR="046DD148" w:rsidRPr="006B1FD7">
        <w:rPr>
          <w:sz w:val="24"/>
        </w:rPr>
        <w:t xml:space="preserve"> deadline</w:t>
      </w:r>
      <w:r w:rsidR="01DAE58A" w:rsidRPr="006B1FD7">
        <w:rPr>
          <w:sz w:val="24"/>
        </w:rPr>
        <w:t>, i.e. January 27, 2025</w:t>
      </w:r>
      <w:r w:rsidR="0093425C" w:rsidRPr="006B1FD7">
        <w:rPr>
          <w:sz w:val="24"/>
        </w:rPr>
        <w:t>. Each proposal was screened</w:t>
      </w:r>
      <w:r w:rsidR="00750D18" w:rsidRPr="006B1FD7">
        <w:rPr>
          <w:sz w:val="24"/>
        </w:rPr>
        <w:t>,</w:t>
      </w:r>
      <w:r w:rsidR="0093425C" w:rsidRPr="006B1FD7">
        <w:rPr>
          <w:sz w:val="24"/>
        </w:rPr>
        <w:t xml:space="preserve"> and applications that passed screening were reviewed, evaluated, and scored </w:t>
      </w:r>
      <w:r w:rsidR="3D54B399" w:rsidRPr="006B1FD7">
        <w:rPr>
          <w:sz w:val="24"/>
        </w:rPr>
        <w:t>according to</w:t>
      </w:r>
      <w:r w:rsidR="0093425C" w:rsidRPr="006B1FD7">
        <w:rPr>
          <w:sz w:val="24"/>
        </w:rPr>
        <w:t xml:space="preserve"> the solicitation criteria. A total of eleven (11) proposals passed the scoring evaluation process,</w:t>
      </w:r>
      <w:r w:rsidR="204EBE7E" w:rsidRPr="006B1FD7">
        <w:rPr>
          <w:sz w:val="24"/>
        </w:rPr>
        <w:t xml:space="preserve"> and </w:t>
      </w:r>
      <w:r w:rsidR="00093D9A" w:rsidRPr="006B1FD7">
        <w:rPr>
          <w:sz w:val="24"/>
        </w:rPr>
        <w:t>three</w:t>
      </w:r>
      <w:r w:rsidR="55A7A031" w:rsidRPr="006B1FD7">
        <w:rPr>
          <w:sz w:val="24"/>
        </w:rPr>
        <w:t xml:space="preserve"> </w:t>
      </w:r>
      <w:r w:rsidR="204EBE7E" w:rsidRPr="006B1FD7">
        <w:rPr>
          <w:sz w:val="24"/>
        </w:rPr>
        <w:t>(</w:t>
      </w:r>
      <w:r w:rsidR="00093D9A" w:rsidRPr="006B1FD7">
        <w:rPr>
          <w:sz w:val="24"/>
        </w:rPr>
        <w:t>3</w:t>
      </w:r>
      <w:r w:rsidR="204EBE7E" w:rsidRPr="006B1FD7">
        <w:rPr>
          <w:sz w:val="24"/>
        </w:rPr>
        <w:t xml:space="preserve">) </w:t>
      </w:r>
      <w:r w:rsidR="1FA03DF5" w:rsidRPr="006B1FD7">
        <w:rPr>
          <w:sz w:val="24"/>
        </w:rPr>
        <w:t xml:space="preserve">proposals </w:t>
      </w:r>
      <w:r w:rsidR="00A86402" w:rsidRPr="006B1FD7">
        <w:rPr>
          <w:sz w:val="24"/>
        </w:rPr>
        <w:t>are recommended for funding</w:t>
      </w:r>
      <w:r w:rsidR="72080858" w:rsidRPr="006B1FD7">
        <w:rPr>
          <w:sz w:val="24"/>
        </w:rPr>
        <w:t>, as listed in the attached NOPA table</w:t>
      </w:r>
      <w:r w:rsidR="00A86402" w:rsidRPr="006B1FD7">
        <w:rPr>
          <w:sz w:val="24"/>
        </w:rPr>
        <w:t>.</w:t>
      </w:r>
      <w:r w:rsidR="50781527" w:rsidRPr="006B1FD7">
        <w:rPr>
          <w:sz w:val="24"/>
        </w:rPr>
        <w:t xml:space="preserve"> </w:t>
      </w:r>
    </w:p>
    <w:p w14:paraId="2A82C75E" w14:textId="4946F34E" w:rsidR="00B87654" w:rsidRPr="006B1FD7" w:rsidRDefault="00B87654" w:rsidP="00E010F8">
      <w:pPr>
        <w:rPr>
          <w:sz w:val="24"/>
        </w:rPr>
      </w:pPr>
      <w:r w:rsidRPr="006B1FD7">
        <w:rPr>
          <w:sz w:val="24"/>
        </w:rPr>
        <w:t>The NO</w:t>
      </w:r>
      <w:r w:rsidR="00BC26BB" w:rsidRPr="006B1FD7">
        <w:rPr>
          <w:sz w:val="24"/>
        </w:rPr>
        <w:t>PA</w:t>
      </w:r>
      <w:r w:rsidRPr="006B1FD7">
        <w:rPr>
          <w:sz w:val="24"/>
        </w:rPr>
        <w:t xml:space="preserve"> table identifies</w:t>
      </w:r>
      <w:r w:rsidR="00FA0622" w:rsidRPr="006B1FD7">
        <w:rPr>
          <w:sz w:val="24"/>
        </w:rPr>
        <w:t xml:space="preserve"> </w:t>
      </w:r>
      <w:r w:rsidR="0818813B" w:rsidRPr="006B1FD7">
        <w:rPr>
          <w:sz w:val="24"/>
        </w:rPr>
        <w:t>each applicant</w:t>
      </w:r>
      <w:r w:rsidR="006752D6" w:rsidRPr="006B1FD7">
        <w:rPr>
          <w:sz w:val="24"/>
        </w:rPr>
        <w:t>/project</w:t>
      </w:r>
      <w:r w:rsidR="0818813B" w:rsidRPr="006B1FD7">
        <w:rPr>
          <w:sz w:val="24"/>
        </w:rPr>
        <w:t xml:space="preserve"> selected and recommended</w:t>
      </w:r>
      <w:r w:rsidR="001F18A1" w:rsidRPr="006B1FD7">
        <w:rPr>
          <w:sz w:val="24"/>
        </w:rPr>
        <w:t xml:space="preserve"> by CEC staff</w:t>
      </w:r>
      <w:r w:rsidR="0818813B" w:rsidRPr="006B1FD7">
        <w:rPr>
          <w:sz w:val="24"/>
        </w:rPr>
        <w:t xml:space="preserve"> for Phase </w:t>
      </w:r>
      <w:r w:rsidR="678B51E8" w:rsidRPr="006B1FD7">
        <w:rPr>
          <w:sz w:val="24"/>
        </w:rPr>
        <w:t>Two</w:t>
      </w:r>
      <w:r w:rsidR="0818813B" w:rsidRPr="006B1FD7">
        <w:rPr>
          <w:sz w:val="24"/>
        </w:rPr>
        <w:t xml:space="preserve"> funding and includes </w:t>
      </w:r>
      <w:r w:rsidR="00527A53" w:rsidRPr="006B1FD7">
        <w:rPr>
          <w:sz w:val="24"/>
        </w:rPr>
        <w:t xml:space="preserve">the project title, the requested and recommended funding amount, </w:t>
      </w:r>
      <w:r w:rsidR="33314FE3" w:rsidRPr="006B1FD7">
        <w:rPr>
          <w:sz w:val="24"/>
        </w:rPr>
        <w:t xml:space="preserve">match funds, </w:t>
      </w:r>
      <w:r w:rsidR="5D5C2D0E" w:rsidRPr="006B1FD7">
        <w:rPr>
          <w:sz w:val="24"/>
        </w:rPr>
        <w:t xml:space="preserve">score, </w:t>
      </w:r>
      <w:r w:rsidR="00527A53" w:rsidRPr="006B1FD7">
        <w:rPr>
          <w:sz w:val="24"/>
        </w:rPr>
        <w:t xml:space="preserve">and the </w:t>
      </w:r>
      <w:r w:rsidR="00B763C5" w:rsidRPr="006B1FD7">
        <w:rPr>
          <w:sz w:val="24"/>
        </w:rPr>
        <w:t>award status</w:t>
      </w:r>
      <w:r w:rsidR="00C733B6" w:rsidRPr="006B1FD7">
        <w:rPr>
          <w:sz w:val="24"/>
        </w:rPr>
        <w:t>.</w:t>
      </w:r>
      <w:r w:rsidRPr="006B1FD7">
        <w:rPr>
          <w:sz w:val="24"/>
        </w:rPr>
        <w:t xml:space="preserve"> The total </w:t>
      </w:r>
      <w:r w:rsidR="004E37D5" w:rsidRPr="006B1FD7">
        <w:rPr>
          <w:sz w:val="24"/>
        </w:rPr>
        <w:t xml:space="preserve">funding </w:t>
      </w:r>
      <w:r w:rsidRPr="006B1FD7">
        <w:rPr>
          <w:sz w:val="24"/>
        </w:rPr>
        <w:t xml:space="preserve">amount recommended is </w:t>
      </w:r>
      <w:r w:rsidR="003C5113" w:rsidRPr="006B1FD7">
        <w:rPr>
          <w:sz w:val="24"/>
        </w:rPr>
        <w:t>$</w:t>
      </w:r>
      <w:r w:rsidR="43B6619F" w:rsidRPr="006B1FD7">
        <w:rPr>
          <w:sz w:val="24"/>
        </w:rPr>
        <w:t>4,</w:t>
      </w:r>
      <w:r w:rsidR="00093D9A" w:rsidRPr="006B1FD7">
        <w:rPr>
          <w:sz w:val="24"/>
        </w:rPr>
        <w:t>109,902</w:t>
      </w:r>
      <w:r w:rsidRPr="006B1FD7">
        <w:rPr>
          <w:sz w:val="24"/>
        </w:rPr>
        <w:t>.</w:t>
      </w:r>
    </w:p>
    <w:p w14:paraId="1CAFA6AE" w14:textId="526B6926" w:rsidR="180DBA7D" w:rsidRPr="006B1FD7" w:rsidRDefault="3ECFBAC7" w:rsidP="00E010F8">
      <w:pPr>
        <w:spacing w:line="259" w:lineRule="auto"/>
        <w:rPr>
          <w:sz w:val="24"/>
        </w:rPr>
      </w:pPr>
      <w:r w:rsidRPr="006B1FD7">
        <w:rPr>
          <w:sz w:val="24"/>
        </w:rPr>
        <w:t>Funding</w:t>
      </w:r>
      <w:r w:rsidR="007A444A" w:rsidRPr="006B1FD7">
        <w:rPr>
          <w:sz w:val="24"/>
        </w:rPr>
        <w:t xml:space="preserve"> </w:t>
      </w:r>
      <w:r w:rsidRPr="006B1FD7">
        <w:rPr>
          <w:sz w:val="24"/>
        </w:rPr>
        <w:t xml:space="preserve">of </w:t>
      </w:r>
      <w:r w:rsidR="00FC3727" w:rsidRPr="006B1FD7">
        <w:rPr>
          <w:sz w:val="24"/>
        </w:rPr>
        <w:t xml:space="preserve">the </w:t>
      </w:r>
      <w:r w:rsidRPr="006B1FD7">
        <w:rPr>
          <w:sz w:val="24"/>
        </w:rPr>
        <w:t>proposed project</w:t>
      </w:r>
      <w:r w:rsidR="2B1E4839" w:rsidRPr="006B1FD7">
        <w:rPr>
          <w:sz w:val="24"/>
        </w:rPr>
        <w:t>s</w:t>
      </w:r>
      <w:r w:rsidRPr="006B1FD7">
        <w:rPr>
          <w:sz w:val="24"/>
        </w:rPr>
        <w:t xml:space="preserve"> </w:t>
      </w:r>
      <w:r w:rsidR="786AE536" w:rsidRPr="006B1FD7">
        <w:rPr>
          <w:sz w:val="24"/>
        </w:rPr>
        <w:t>resulting</w:t>
      </w:r>
      <w:r w:rsidRPr="006B1FD7">
        <w:rPr>
          <w:sz w:val="24"/>
        </w:rPr>
        <w:t xml:space="preserve"> from</w:t>
      </w:r>
      <w:r w:rsidR="6E1E854A" w:rsidRPr="006B1FD7">
        <w:rPr>
          <w:sz w:val="24"/>
        </w:rPr>
        <w:t xml:space="preserve"> </w:t>
      </w:r>
      <w:r w:rsidR="40BCEDDE" w:rsidRPr="006B1FD7">
        <w:rPr>
          <w:sz w:val="24"/>
        </w:rPr>
        <w:t xml:space="preserve">Phase Two of </w:t>
      </w:r>
      <w:r w:rsidR="6E1E854A" w:rsidRPr="006B1FD7">
        <w:rPr>
          <w:sz w:val="24"/>
        </w:rPr>
        <w:t xml:space="preserve">this solicitation </w:t>
      </w:r>
      <w:r w:rsidRPr="006B1FD7">
        <w:rPr>
          <w:sz w:val="24"/>
        </w:rPr>
        <w:t xml:space="preserve">is contingent upon the approval of </w:t>
      </w:r>
      <w:r w:rsidR="00845D8B" w:rsidRPr="006B1FD7">
        <w:rPr>
          <w:sz w:val="24"/>
        </w:rPr>
        <w:t xml:space="preserve">the associated grant awards </w:t>
      </w:r>
      <w:r w:rsidR="470BF48F" w:rsidRPr="006B1FD7">
        <w:rPr>
          <w:sz w:val="24"/>
        </w:rPr>
        <w:t xml:space="preserve">by </w:t>
      </w:r>
      <w:r w:rsidR="1D4A48AF" w:rsidRPr="006B1FD7">
        <w:rPr>
          <w:sz w:val="24"/>
        </w:rPr>
        <w:t xml:space="preserve">the </w:t>
      </w:r>
      <w:r w:rsidR="470BF48F" w:rsidRPr="006B1FD7">
        <w:rPr>
          <w:sz w:val="24"/>
        </w:rPr>
        <w:t xml:space="preserve">CEC </w:t>
      </w:r>
      <w:r w:rsidRPr="006B1FD7">
        <w:rPr>
          <w:sz w:val="24"/>
        </w:rPr>
        <w:t>at a publicly noticed</w:t>
      </w:r>
      <w:r w:rsidR="259321A8" w:rsidRPr="006B1FD7">
        <w:rPr>
          <w:sz w:val="24"/>
        </w:rPr>
        <w:t xml:space="preserve"> CEC</w:t>
      </w:r>
      <w:r w:rsidRPr="006B1FD7">
        <w:rPr>
          <w:sz w:val="24"/>
        </w:rPr>
        <w:t xml:space="preserve"> business meeting</w:t>
      </w:r>
      <w:r w:rsidR="64CC79BD" w:rsidRPr="006B1FD7">
        <w:rPr>
          <w:sz w:val="24"/>
        </w:rPr>
        <w:t xml:space="preserve"> and </w:t>
      </w:r>
      <w:r w:rsidR="00845D8B" w:rsidRPr="006B1FD7">
        <w:rPr>
          <w:sz w:val="24"/>
        </w:rPr>
        <w:t xml:space="preserve">subsequent </w:t>
      </w:r>
      <w:r w:rsidR="64CC79BD" w:rsidRPr="006B1FD7">
        <w:rPr>
          <w:sz w:val="24"/>
        </w:rPr>
        <w:t xml:space="preserve">execution of </w:t>
      </w:r>
      <w:r w:rsidR="00E5059F" w:rsidRPr="006B1FD7">
        <w:rPr>
          <w:sz w:val="24"/>
        </w:rPr>
        <w:t xml:space="preserve">the </w:t>
      </w:r>
      <w:r w:rsidR="64CC79BD" w:rsidRPr="006B1FD7">
        <w:rPr>
          <w:sz w:val="24"/>
        </w:rPr>
        <w:t>grant agreement</w:t>
      </w:r>
      <w:r w:rsidR="00E5059F" w:rsidRPr="006B1FD7">
        <w:rPr>
          <w:sz w:val="24"/>
        </w:rPr>
        <w:t>s</w:t>
      </w:r>
      <w:r w:rsidR="58742435" w:rsidRPr="006B1FD7">
        <w:rPr>
          <w:sz w:val="24"/>
        </w:rPr>
        <w:t xml:space="preserve">. </w:t>
      </w:r>
      <w:r w:rsidR="7E9A9C1A" w:rsidRPr="006B1FD7">
        <w:rPr>
          <w:sz w:val="24"/>
        </w:rPr>
        <w:t xml:space="preserve">CEC </w:t>
      </w:r>
      <w:r w:rsidR="05A5CB20" w:rsidRPr="006B1FD7">
        <w:rPr>
          <w:sz w:val="24"/>
        </w:rPr>
        <w:t>approved</w:t>
      </w:r>
      <w:r w:rsidR="2CE02ACF" w:rsidRPr="006B1FD7">
        <w:rPr>
          <w:sz w:val="24"/>
        </w:rPr>
        <w:t xml:space="preserve"> </w:t>
      </w:r>
      <w:r w:rsidR="00B71585" w:rsidRPr="006B1FD7">
        <w:rPr>
          <w:sz w:val="24"/>
        </w:rPr>
        <w:t xml:space="preserve">grants for selected </w:t>
      </w:r>
      <w:r w:rsidR="7E9A9C1A" w:rsidRPr="006B1FD7">
        <w:rPr>
          <w:sz w:val="24"/>
        </w:rPr>
        <w:t xml:space="preserve">projects </w:t>
      </w:r>
      <w:r w:rsidR="169AE3C3" w:rsidRPr="006B1FD7">
        <w:rPr>
          <w:sz w:val="24"/>
        </w:rPr>
        <w:t>must</w:t>
      </w:r>
      <w:r w:rsidR="025BA8CC" w:rsidRPr="006B1FD7">
        <w:rPr>
          <w:sz w:val="24"/>
        </w:rPr>
        <w:t xml:space="preserve"> be submitted to the </w:t>
      </w:r>
      <w:r w:rsidR="042846CC" w:rsidRPr="006B1FD7">
        <w:rPr>
          <w:sz w:val="24"/>
        </w:rPr>
        <w:t>C</w:t>
      </w:r>
      <w:r w:rsidR="03188386" w:rsidRPr="006B1FD7">
        <w:rPr>
          <w:sz w:val="24"/>
        </w:rPr>
        <w:t xml:space="preserve">alifornia </w:t>
      </w:r>
      <w:r w:rsidR="6460FF1C" w:rsidRPr="006B1FD7">
        <w:rPr>
          <w:sz w:val="24"/>
        </w:rPr>
        <w:t xml:space="preserve">State </w:t>
      </w:r>
      <w:r w:rsidR="025BA8CC" w:rsidRPr="006B1FD7">
        <w:rPr>
          <w:sz w:val="24"/>
        </w:rPr>
        <w:t>Legislature</w:t>
      </w:r>
      <w:r w:rsidR="00527A53" w:rsidRPr="006B1FD7">
        <w:rPr>
          <w:sz w:val="24"/>
        </w:rPr>
        <w:t xml:space="preserve"> for review and comment</w:t>
      </w:r>
      <w:r w:rsidR="6EEA4989" w:rsidRPr="006B1FD7">
        <w:rPr>
          <w:sz w:val="24"/>
        </w:rPr>
        <w:t>.</w:t>
      </w:r>
      <w:r w:rsidR="5507A08C" w:rsidRPr="006B1FD7">
        <w:rPr>
          <w:sz w:val="24"/>
        </w:rPr>
        <w:t xml:space="preserve"> </w:t>
      </w:r>
      <w:r w:rsidR="1CD9B327" w:rsidRPr="006B1FD7">
        <w:rPr>
          <w:sz w:val="24"/>
        </w:rPr>
        <w:t xml:space="preserve">After a 30-day period, the </w:t>
      </w:r>
      <w:r w:rsidR="4FDC217D" w:rsidRPr="006B1FD7">
        <w:rPr>
          <w:sz w:val="24"/>
        </w:rPr>
        <w:t>CEC</w:t>
      </w:r>
      <w:r w:rsidR="1CD9B327" w:rsidRPr="006B1FD7">
        <w:rPr>
          <w:sz w:val="24"/>
        </w:rPr>
        <w:t xml:space="preserve"> </w:t>
      </w:r>
      <w:r w:rsidR="68238D59" w:rsidRPr="006B1FD7">
        <w:rPr>
          <w:sz w:val="24"/>
        </w:rPr>
        <w:t xml:space="preserve">will </w:t>
      </w:r>
      <w:r w:rsidR="1CD9B327" w:rsidRPr="006B1FD7">
        <w:rPr>
          <w:sz w:val="24"/>
        </w:rPr>
        <w:t xml:space="preserve">execute the </w:t>
      </w:r>
      <w:r w:rsidR="00B71585" w:rsidRPr="006B1FD7">
        <w:rPr>
          <w:sz w:val="24"/>
        </w:rPr>
        <w:t xml:space="preserve">grant </w:t>
      </w:r>
      <w:r w:rsidR="1CD9B327" w:rsidRPr="006B1FD7">
        <w:rPr>
          <w:sz w:val="24"/>
        </w:rPr>
        <w:t>agreements</w:t>
      </w:r>
      <w:r w:rsidR="34ADDAB6" w:rsidRPr="006B1FD7">
        <w:rPr>
          <w:sz w:val="24"/>
        </w:rPr>
        <w:t xml:space="preserve"> for </w:t>
      </w:r>
      <w:r w:rsidR="00B71585" w:rsidRPr="006B1FD7">
        <w:rPr>
          <w:sz w:val="24"/>
        </w:rPr>
        <w:t xml:space="preserve">the </w:t>
      </w:r>
      <w:r w:rsidR="00F51450" w:rsidRPr="006B1FD7">
        <w:rPr>
          <w:sz w:val="24"/>
        </w:rPr>
        <w:t xml:space="preserve">awarded </w:t>
      </w:r>
      <w:r w:rsidR="34ADDAB6" w:rsidRPr="006B1FD7">
        <w:rPr>
          <w:sz w:val="24"/>
        </w:rPr>
        <w:t>projects</w:t>
      </w:r>
      <w:r w:rsidRPr="006B1FD7">
        <w:rPr>
          <w:sz w:val="24"/>
        </w:rPr>
        <w:t xml:space="preserve">. If the CEC is unable to </w:t>
      </w:r>
      <w:r w:rsidR="0C2F370C" w:rsidRPr="006B1FD7">
        <w:rPr>
          <w:sz w:val="24"/>
        </w:rPr>
        <w:t xml:space="preserve">negotiate and execute a </w:t>
      </w:r>
      <w:r w:rsidR="00F51450" w:rsidRPr="006B1FD7">
        <w:rPr>
          <w:sz w:val="24"/>
        </w:rPr>
        <w:t xml:space="preserve">grant </w:t>
      </w:r>
      <w:r w:rsidR="0C2F370C" w:rsidRPr="006B1FD7">
        <w:rPr>
          <w:sz w:val="24"/>
        </w:rPr>
        <w:t>agreement with an applicant in a timely manner</w:t>
      </w:r>
      <w:r w:rsidRPr="006B1FD7">
        <w:rPr>
          <w:sz w:val="24"/>
        </w:rPr>
        <w:t xml:space="preserve">, the </w:t>
      </w:r>
      <w:r w:rsidR="7BCB921A" w:rsidRPr="006B1FD7">
        <w:rPr>
          <w:sz w:val="24"/>
        </w:rPr>
        <w:t>C</w:t>
      </w:r>
      <w:r w:rsidR="474B388E" w:rsidRPr="006B1FD7">
        <w:rPr>
          <w:sz w:val="24"/>
        </w:rPr>
        <w:t>EC</w:t>
      </w:r>
      <w:r w:rsidRPr="006B1FD7">
        <w:rPr>
          <w:sz w:val="24"/>
        </w:rPr>
        <w:t>, at its sole discretion, reserves the right to cancel or otherwise modify the pending award</w:t>
      </w:r>
      <w:r w:rsidR="00750D18" w:rsidRPr="006B1FD7">
        <w:rPr>
          <w:sz w:val="24"/>
        </w:rPr>
        <w:t xml:space="preserve">. </w:t>
      </w:r>
      <w:r w:rsidRPr="006B1FD7">
        <w:rPr>
          <w:sz w:val="24"/>
        </w:rPr>
        <w:t>In addition, the CEC</w:t>
      </w:r>
      <w:r w:rsidR="1BE9D18F" w:rsidRPr="006B1FD7">
        <w:rPr>
          <w:sz w:val="24"/>
        </w:rPr>
        <w:t>, at its sole d</w:t>
      </w:r>
      <w:r w:rsidR="484A62AB" w:rsidRPr="006B1FD7">
        <w:rPr>
          <w:sz w:val="24"/>
        </w:rPr>
        <w:t>iscretion</w:t>
      </w:r>
      <w:r w:rsidR="1BE9D18F" w:rsidRPr="006B1FD7">
        <w:rPr>
          <w:sz w:val="24"/>
        </w:rPr>
        <w:t>,</w:t>
      </w:r>
      <w:r w:rsidRPr="006B1FD7">
        <w:rPr>
          <w:sz w:val="24"/>
        </w:rPr>
        <w:t xml:space="preserve"> reserves the right to</w:t>
      </w:r>
      <w:r w:rsidR="0D02AC09" w:rsidRPr="006B1FD7">
        <w:rPr>
          <w:sz w:val="24"/>
        </w:rPr>
        <w:t xml:space="preserve"> </w:t>
      </w:r>
      <w:r w:rsidR="08B24E20" w:rsidRPr="006B1FD7">
        <w:rPr>
          <w:sz w:val="24"/>
        </w:rPr>
        <w:lastRenderedPageBreak/>
        <w:t>negotiate with successful applicants to modify the project scope, schedule, or level of funding.</w:t>
      </w:r>
    </w:p>
    <w:p w14:paraId="70AD9AFE" w14:textId="6624C89E" w:rsidR="00D57FFB" w:rsidRPr="006B1FD7" w:rsidRDefault="00B87654" w:rsidP="00E010F8">
      <w:pPr>
        <w:spacing w:after="0"/>
        <w:rPr>
          <w:sz w:val="24"/>
        </w:rPr>
      </w:pPr>
      <w:r w:rsidRPr="006B1FD7">
        <w:rPr>
          <w:sz w:val="24"/>
        </w:rPr>
        <w:t xml:space="preserve">This notice for GFO-23-402 </w:t>
      </w:r>
      <w:r w:rsidR="00805FB4" w:rsidRPr="006B1FD7">
        <w:rPr>
          <w:sz w:val="24"/>
        </w:rPr>
        <w:t>is</w:t>
      </w:r>
      <w:r w:rsidRPr="006B1FD7">
        <w:rPr>
          <w:sz w:val="24"/>
        </w:rPr>
        <w:t xml:space="preserve"> posted on the CEC’s </w:t>
      </w:r>
      <w:hyperlink r:id="rId11">
        <w:r w:rsidR="0038610A" w:rsidRPr="006B1FD7">
          <w:rPr>
            <w:rStyle w:val="Hyperlink"/>
            <w:sz w:val="24"/>
          </w:rPr>
          <w:t xml:space="preserve">Awards </w:t>
        </w:r>
        <w:r w:rsidRPr="006B1FD7">
          <w:rPr>
            <w:rStyle w:val="Hyperlink"/>
            <w:sz w:val="24"/>
          </w:rPr>
          <w:t>website</w:t>
        </w:r>
      </w:hyperlink>
      <w:r w:rsidR="00F036D2" w:rsidRPr="006B1FD7">
        <w:rPr>
          <w:sz w:val="24"/>
        </w:rPr>
        <w:t>.</w:t>
      </w:r>
    </w:p>
    <w:p w14:paraId="154922EF" w14:textId="4B847DD8" w:rsidR="005438B8" w:rsidRPr="006B1FD7" w:rsidRDefault="00777DEA" w:rsidP="00E010F8">
      <w:pPr>
        <w:rPr>
          <w:sz w:val="24"/>
        </w:rPr>
      </w:pPr>
      <w:r w:rsidRPr="006B1FD7">
        <w:rPr>
          <w:sz w:val="24"/>
        </w:rPr>
        <w:t xml:space="preserve">For </w:t>
      </w:r>
      <w:r w:rsidR="3014563B" w:rsidRPr="006B1FD7">
        <w:rPr>
          <w:sz w:val="24"/>
        </w:rPr>
        <w:t xml:space="preserve">additional </w:t>
      </w:r>
      <w:r w:rsidRPr="006B1FD7">
        <w:rPr>
          <w:sz w:val="24"/>
        </w:rPr>
        <w:t>information, please contact</w:t>
      </w:r>
      <w:r w:rsidR="001820C0" w:rsidRPr="006B1FD7">
        <w:rPr>
          <w:sz w:val="24"/>
        </w:rPr>
        <w:t>:</w:t>
      </w:r>
    </w:p>
    <w:p w14:paraId="34FF190F" w14:textId="77777777" w:rsidR="000E3AA1" w:rsidRPr="006B1FD7" w:rsidRDefault="000E3AA1" w:rsidP="00E010F8">
      <w:pPr>
        <w:spacing w:after="0"/>
        <w:rPr>
          <w:sz w:val="24"/>
        </w:rPr>
      </w:pPr>
      <w:r w:rsidRPr="006B1FD7">
        <w:rPr>
          <w:sz w:val="24"/>
        </w:rPr>
        <w:t xml:space="preserve">Crystal Willis, Commission Agreement Officer </w:t>
      </w:r>
    </w:p>
    <w:p w14:paraId="3020F85D" w14:textId="77777777" w:rsidR="00F25089" w:rsidRPr="006B1FD7" w:rsidRDefault="000E3AA1" w:rsidP="00E010F8">
      <w:pPr>
        <w:spacing w:after="0"/>
        <w:rPr>
          <w:sz w:val="24"/>
        </w:rPr>
      </w:pPr>
      <w:r w:rsidRPr="006B1FD7">
        <w:rPr>
          <w:sz w:val="24"/>
        </w:rPr>
        <w:t xml:space="preserve">Email: </w:t>
      </w:r>
      <w:hyperlink r:id="rId12" w:history="1">
        <w:r w:rsidR="00720E7E" w:rsidRPr="006B1FD7">
          <w:rPr>
            <w:rStyle w:val="Hyperlink"/>
            <w:sz w:val="24"/>
          </w:rPr>
          <w:t>crystal.willis@energy.ca.gov</w:t>
        </w:r>
      </w:hyperlink>
      <w:r w:rsidR="00720E7E" w:rsidRPr="006B1FD7">
        <w:rPr>
          <w:sz w:val="24"/>
        </w:rPr>
        <w:t xml:space="preserve">  </w:t>
      </w:r>
    </w:p>
    <w:p w14:paraId="52421462" w14:textId="77777777" w:rsidR="00F046D6" w:rsidRDefault="00F046D6" w:rsidP="00F05222">
      <w:pPr>
        <w:spacing w:after="0"/>
      </w:pPr>
    </w:p>
    <w:p w14:paraId="3B6000AF" w14:textId="77777777" w:rsidR="009C37DB" w:rsidRDefault="009C37DB" w:rsidP="00F05222">
      <w:pPr>
        <w:spacing w:after="0"/>
      </w:pPr>
    </w:p>
    <w:p w14:paraId="59FB5A0A" w14:textId="77777777" w:rsidR="009C37DB" w:rsidRDefault="009C37DB" w:rsidP="00F05222">
      <w:pPr>
        <w:spacing w:after="0"/>
        <w:sectPr w:rsidR="009C37DB" w:rsidSect="00F0603D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152" w:bottom="1440" w:left="1152" w:header="144" w:footer="144" w:gutter="0"/>
          <w:cols w:space="720"/>
          <w:titlePg/>
          <w:docGrid w:linePitch="360"/>
        </w:sectPr>
      </w:pPr>
    </w:p>
    <w:p w14:paraId="2D06CBA5" w14:textId="53713F59" w:rsidR="00792AA4" w:rsidRPr="00366352" w:rsidRDefault="00366352" w:rsidP="00FC5231">
      <w:pPr>
        <w:spacing w:after="120"/>
        <w:jc w:val="center"/>
        <w:rPr>
          <w:b/>
          <w:bCs/>
          <w:sz w:val="24"/>
          <w:szCs w:val="28"/>
        </w:rPr>
      </w:pPr>
      <w:r w:rsidRPr="00366352">
        <w:rPr>
          <w:b/>
          <w:bCs/>
          <w:sz w:val="24"/>
          <w:szCs w:val="28"/>
        </w:rPr>
        <w:lastRenderedPageBreak/>
        <w:t xml:space="preserve">Proposed </w:t>
      </w:r>
      <w:r>
        <w:rPr>
          <w:b/>
          <w:bCs/>
          <w:sz w:val="24"/>
          <w:szCs w:val="28"/>
        </w:rPr>
        <w:t>A</w:t>
      </w:r>
      <w:r w:rsidRPr="00366352">
        <w:rPr>
          <w:b/>
          <w:bCs/>
          <w:sz w:val="24"/>
          <w:szCs w:val="28"/>
        </w:rPr>
        <w:t>wards</w:t>
      </w:r>
    </w:p>
    <w:tbl>
      <w:tblPr>
        <w:tblW w:w="5002" w:type="pct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  <w:tblCaption w:val="Proposed Awards"/>
        <w:tblDescription w:val="Table indicating the applications that have been proposed for awards of the GFO-23-402 solicitation."/>
      </w:tblPr>
      <w:tblGrid>
        <w:gridCol w:w="1075"/>
        <w:gridCol w:w="1709"/>
        <w:gridCol w:w="3873"/>
        <w:gridCol w:w="1441"/>
        <w:gridCol w:w="1873"/>
        <w:gridCol w:w="1365"/>
        <w:gridCol w:w="900"/>
        <w:gridCol w:w="1439"/>
      </w:tblGrid>
      <w:tr w:rsidR="003A509E" w:rsidRPr="00551B39" w14:paraId="1B9CB8B7" w14:textId="77777777" w:rsidTr="00FC5231">
        <w:trPr>
          <w:cantSplit/>
          <w:trHeight w:val="20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7DCA52" w14:textId="598FE035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Rank</w:t>
            </w:r>
            <w:r w:rsidRPr="00551B39"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 Number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C77C30" w14:textId="6A576E01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551B39">
              <w:rPr>
                <w:rFonts w:eastAsia="Times New Roman" w:cs="Arial"/>
                <w:b/>
                <w:bCs/>
                <w:color w:val="000000"/>
                <w:szCs w:val="22"/>
              </w:rPr>
              <w:t>Applicant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F41374" w14:textId="77777777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551B39">
              <w:rPr>
                <w:rFonts w:eastAsia="Times New Roman" w:cs="Arial"/>
                <w:b/>
                <w:bCs/>
                <w:color w:val="000000"/>
                <w:szCs w:val="22"/>
              </w:rPr>
              <w:t>Project Title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9B370F" w14:textId="0C3AF4AB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CEC </w:t>
            </w:r>
            <w:r w:rsidRPr="00551B39">
              <w:rPr>
                <w:rFonts w:eastAsia="Times New Roman" w:cs="Arial"/>
                <w:b/>
                <w:bCs/>
                <w:color w:val="000000"/>
                <w:szCs w:val="22"/>
              </w:rPr>
              <w:t>Funds Requested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9C2646" w14:textId="5504F10B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CEC Funds Recommended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5B49114" w14:textId="1719D240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Match Funds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750D84" w14:textId="64EA9074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551B39">
              <w:rPr>
                <w:rFonts w:eastAsia="Times New Roman" w:cs="Arial"/>
                <w:b/>
                <w:bCs/>
                <w:color w:val="000000"/>
                <w:szCs w:val="22"/>
              </w:rPr>
              <w:t>Score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462BD" w14:textId="054AE5F6" w:rsidR="00FB188F" w:rsidRPr="00551B39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Award </w:t>
            </w:r>
            <w:r w:rsidR="00AF3BF7">
              <w:rPr>
                <w:rFonts w:eastAsia="Times New Roman" w:cs="Arial"/>
                <w:b/>
                <w:bCs/>
                <w:color w:val="000000"/>
                <w:szCs w:val="22"/>
              </w:rPr>
              <w:t>S</w:t>
            </w: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tatus</w:t>
            </w:r>
          </w:p>
        </w:tc>
      </w:tr>
      <w:tr w:rsidR="00642430" w:rsidRPr="00551B39" w14:paraId="12DD4FFF" w14:textId="77777777" w:rsidTr="009929A7">
        <w:trPr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05F7" w14:textId="1BE9F23E" w:rsidR="00642430" w:rsidRPr="00551B39" w:rsidRDefault="00642430" w:rsidP="00642430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B7F" w14:textId="4706AE0B" w:rsidR="00642430" w:rsidRPr="00551B39" w:rsidRDefault="00642430" w:rsidP="00B55AF8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Eden </w:t>
            </w:r>
            <w:proofErr w:type="spellStart"/>
            <w:r>
              <w:rPr>
                <w:rFonts w:cs="Arial"/>
                <w:color w:val="000000"/>
                <w:szCs w:val="22"/>
              </w:rPr>
              <w:t>GeoPower</w:t>
            </w:r>
            <w:proofErr w:type="spellEnd"/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76CB" w14:textId="193F3897" w:rsidR="00642430" w:rsidRPr="00551B39" w:rsidRDefault="00642430" w:rsidP="00B55AF8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Demonstration of Electrical Reservoir Stimulation: Enhancing Power and Lithium Production in Salton Sea Geothermal Wells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114E" w14:textId="43538BE2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$1,250,192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A2B8" w14:textId="772A2388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$1,250,192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C8B5" w14:textId="4CC18E52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$1,750,200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4E53" w14:textId="48EE36AE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82.38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AC21" w14:textId="441FC5D0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551B39">
              <w:rPr>
                <w:rFonts w:eastAsia="Times New Roman" w:cs="Arial"/>
                <w:color w:val="000000"/>
                <w:szCs w:val="22"/>
              </w:rPr>
              <w:t>Award</w:t>
            </w:r>
            <w:r>
              <w:rPr>
                <w:rFonts w:eastAsia="Times New Roman" w:cs="Arial"/>
                <w:color w:val="000000"/>
                <w:szCs w:val="22"/>
              </w:rPr>
              <w:t>ee</w:t>
            </w:r>
          </w:p>
        </w:tc>
      </w:tr>
      <w:tr w:rsidR="00642430" w:rsidRPr="00551B39" w14:paraId="0411A8CB" w14:textId="77777777" w:rsidTr="009929A7">
        <w:trPr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B397" w14:textId="29950B6A" w:rsidR="00642430" w:rsidRPr="00551B39" w:rsidRDefault="00642430" w:rsidP="00642430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8C69" w14:textId="1A91AE49" w:rsidR="00642430" w:rsidRPr="00551B39" w:rsidRDefault="00642430" w:rsidP="00B55AF8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Last Frontier Healthcare District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68D8" w14:textId="32B007D7" w:rsidR="00642430" w:rsidRPr="00551B39" w:rsidRDefault="00642430" w:rsidP="00B55AF8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Geothermal Injection Capacity Expansion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200" w14:textId="26A20EB8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$1,500,000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A112" w14:textId="321B7B7E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$1,500,000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F88" w14:textId="7F94E18E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1CC8" w14:textId="02AEC52F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81.19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1E6B" w14:textId="055B72D8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551B39">
              <w:rPr>
                <w:rFonts w:eastAsia="Times New Roman" w:cs="Arial"/>
                <w:color w:val="000000"/>
                <w:szCs w:val="22"/>
              </w:rPr>
              <w:t>Award</w:t>
            </w:r>
            <w:r>
              <w:rPr>
                <w:rFonts w:eastAsia="Times New Roman" w:cs="Arial"/>
                <w:color w:val="000000"/>
                <w:szCs w:val="22"/>
              </w:rPr>
              <w:t>ee</w:t>
            </w:r>
          </w:p>
        </w:tc>
      </w:tr>
      <w:tr w:rsidR="00642430" w:rsidRPr="00551B39" w14:paraId="3C203475" w14:textId="77777777" w:rsidTr="009929A7">
        <w:trPr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36E3" w14:textId="7E7BF6C3" w:rsidR="00642430" w:rsidRPr="00551B39" w:rsidRDefault="00642430" w:rsidP="00642430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6357" w14:textId="1BE9B571" w:rsidR="00642430" w:rsidRPr="00551B39" w:rsidRDefault="00642430" w:rsidP="00B55AF8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County of Sonoma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FD19" w14:textId="5B5040DE" w:rsidR="00642430" w:rsidRPr="00551B39" w:rsidRDefault="00642430" w:rsidP="00B55AF8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Sonoma-Lake-Mendocino Proactive Regional Geothermal Planning Project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D4F" w14:textId="635D51A9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$1,359,710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F8C1" w14:textId="0E12A5C7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$1,359,710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EB6E" w14:textId="3A11DCCA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$164,170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A8E" w14:textId="4AB1A80D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80.06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408" w14:textId="5F7A1F1D" w:rsidR="00642430" w:rsidRPr="00551B39" w:rsidRDefault="00642430" w:rsidP="00240D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551B39">
              <w:rPr>
                <w:rFonts w:eastAsia="Times New Roman" w:cs="Arial"/>
                <w:color w:val="000000"/>
                <w:szCs w:val="22"/>
              </w:rPr>
              <w:t>Award</w:t>
            </w:r>
            <w:r>
              <w:rPr>
                <w:rFonts w:eastAsia="Times New Roman" w:cs="Arial"/>
                <w:color w:val="000000"/>
                <w:szCs w:val="22"/>
              </w:rPr>
              <w:t>ee</w:t>
            </w:r>
          </w:p>
        </w:tc>
      </w:tr>
      <w:tr w:rsidR="00642430" w:rsidRPr="00551B39" w14:paraId="041BB64E" w14:textId="77777777" w:rsidTr="009929A7">
        <w:trPr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5F55BF9" w14:textId="00461A54" w:rsidR="00642430" w:rsidRPr="00642430" w:rsidRDefault="00642430" w:rsidP="00642430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642430">
              <w:rPr>
                <w:rFonts w:eastAsia="Times New Roman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0D62153" w14:textId="12B12E3C" w:rsidR="00642430" w:rsidRPr="00642430" w:rsidRDefault="00642430" w:rsidP="00642430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642430">
              <w:rPr>
                <w:rFonts w:eastAsia="Times New Roman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1C913AB" w14:textId="78EFD2FC" w:rsidR="00642430" w:rsidRPr="00642430" w:rsidRDefault="00642430" w:rsidP="00642430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642430">
              <w:rPr>
                <w:rFonts w:eastAsia="Times New Roman" w:cs="Arial"/>
                <w:b/>
                <w:bCs/>
                <w:color w:val="000000"/>
                <w:szCs w:val="22"/>
              </w:rPr>
              <w:t>Total: 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A04488A" w14:textId="52867526" w:rsidR="00642430" w:rsidRPr="00642430" w:rsidRDefault="00EE50BE" w:rsidP="00F9500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642430">
              <w:rPr>
                <w:rFonts w:eastAsia="Times New Roman" w:cs="Arial"/>
                <w:b/>
                <w:bCs/>
                <w:color w:val="000000"/>
                <w:szCs w:val="22"/>
              </w:rPr>
              <w:t>$4,</w:t>
            </w: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109,902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5F84B3" w14:textId="50D72B41" w:rsidR="00642430" w:rsidRPr="00642430" w:rsidRDefault="00EE50BE" w:rsidP="00240D3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642430">
              <w:rPr>
                <w:rFonts w:eastAsia="Times New Roman" w:cs="Arial"/>
                <w:b/>
                <w:bCs/>
                <w:color w:val="000000"/>
                <w:szCs w:val="22"/>
              </w:rPr>
              <w:t>$4,</w:t>
            </w: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109,902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3513C00" w14:textId="777A8D09" w:rsidR="00642430" w:rsidRPr="00642430" w:rsidRDefault="00EE50BE" w:rsidP="00240D3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642430">
              <w:rPr>
                <w:rFonts w:eastAsia="Times New Roman" w:cs="Arial"/>
                <w:b/>
                <w:bCs/>
                <w:color w:val="000000"/>
                <w:szCs w:val="22"/>
              </w:rPr>
              <w:t>$</w:t>
            </w:r>
            <w:r w:rsidR="00C762E1" w:rsidRPr="00C762E1">
              <w:rPr>
                <w:rFonts w:eastAsia="Times New Roman" w:cs="Arial"/>
                <w:b/>
                <w:bCs/>
                <w:color w:val="000000"/>
                <w:szCs w:val="22"/>
              </w:rPr>
              <w:t>1,914,370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872AFD1" w14:textId="10655E14" w:rsidR="00642430" w:rsidRPr="00642430" w:rsidRDefault="00642430" w:rsidP="00F9500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FAC8E" w14:textId="795E87E9" w:rsidR="00642430" w:rsidRPr="00642430" w:rsidRDefault="00642430" w:rsidP="00F9500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</w:p>
        </w:tc>
      </w:tr>
    </w:tbl>
    <w:p w14:paraId="04BBB866" w14:textId="5110428C" w:rsidR="00366352" w:rsidRPr="00366352" w:rsidRDefault="00366352" w:rsidP="00FC5231">
      <w:pPr>
        <w:spacing w:before="240" w:after="12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Passed, but </w:t>
      </w:r>
      <w:r w:rsidR="00C217AA">
        <w:rPr>
          <w:b/>
          <w:bCs/>
          <w:sz w:val="24"/>
          <w:szCs w:val="28"/>
        </w:rPr>
        <w:t>n</w:t>
      </w:r>
      <w:r w:rsidR="00750179">
        <w:rPr>
          <w:b/>
          <w:bCs/>
          <w:sz w:val="24"/>
          <w:szCs w:val="28"/>
        </w:rPr>
        <w:t xml:space="preserve">ot </w:t>
      </w:r>
      <w:r w:rsidR="009C181A">
        <w:rPr>
          <w:b/>
          <w:bCs/>
          <w:sz w:val="24"/>
          <w:szCs w:val="28"/>
        </w:rPr>
        <w:t>Funded</w:t>
      </w:r>
    </w:p>
    <w:tbl>
      <w:tblPr>
        <w:tblW w:w="5002" w:type="pct"/>
        <w:tblLayout w:type="fixed"/>
        <w:tblLook w:val="04A0" w:firstRow="1" w:lastRow="0" w:firstColumn="1" w:lastColumn="0" w:noHBand="0" w:noVBand="1"/>
        <w:tblCaption w:val="Passed, but Not Awarded"/>
        <w:tblDescription w:val="Table indicating the applications that passed, but not awarded. "/>
      </w:tblPr>
      <w:tblGrid>
        <w:gridCol w:w="1075"/>
        <w:gridCol w:w="1709"/>
        <w:gridCol w:w="3873"/>
        <w:gridCol w:w="1441"/>
        <w:gridCol w:w="1873"/>
        <w:gridCol w:w="1365"/>
        <w:gridCol w:w="900"/>
        <w:gridCol w:w="1439"/>
      </w:tblGrid>
      <w:tr w:rsidR="003B196D" w:rsidRPr="00E662AC" w14:paraId="0985D80F" w14:textId="77777777" w:rsidTr="42502400">
        <w:trPr>
          <w:cantSplit/>
          <w:trHeight w:val="20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2D8698B" w14:textId="463268A2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Rank </w:t>
            </w: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Number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355BA50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Applicant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D9471C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Project Title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C89D1EA" w14:textId="18CB6E95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CEC </w:t>
            </w:r>
            <w:r w:rsidR="00FB188F"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Funds Requested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E46E88F" w14:textId="7ED2A59D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CEC Funds Recommended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BD9846E" w14:textId="35C9CABC" w:rsidR="00FB188F" w:rsidRPr="00E662AC" w:rsidRDefault="00813B25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Match</w:t>
            </w:r>
            <w:r w:rsidR="00F14751"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 Funds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15474A9" w14:textId="3869BF3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Score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00C78DF" w14:textId="4B812B57" w:rsidR="00FB188F" w:rsidRPr="00E662AC" w:rsidRDefault="00AF3BF7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Award Status</w:t>
            </w:r>
          </w:p>
        </w:tc>
      </w:tr>
      <w:tr w:rsidR="00924078" w:rsidRPr="00E662AC" w14:paraId="6D6A4A3F" w14:textId="77777777" w:rsidTr="42502400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1BFE" w14:textId="20B80D65" w:rsidR="00924078" w:rsidRDefault="00924078" w:rsidP="00924078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C16D" w14:textId="4FE6A532" w:rsidR="00924078" w:rsidRDefault="00924078" w:rsidP="00924078">
            <w:pPr>
              <w:spacing w:after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XGS Energy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70D9" w14:textId="5E5C5045" w:rsidR="00924078" w:rsidRDefault="00924078" w:rsidP="00924078">
            <w:pPr>
              <w:spacing w:after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Expanding Next-Generation Geothermal Potential in Imperial County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3783" w14:textId="1680507E" w:rsidR="00924078" w:rsidRDefault="00924078" w:rsidP="00924078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$377,986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47AD" w14:textId="75CC84D6" w:rsidR="00924078" w:rsidRDefault="00924078" w:rsidP="00924078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7C56" w14:textId="3EC0D44A" w:rsidR="00924078" w:rsidRDefault="00924078" w:rsidP="00924078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$496,539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A377" w14:textId="069CEA50" w:rsidR="00924078" w:rsidRDefault="00924078" w:rsidP="00924078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78.63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FD38" w14:textId="20C5AEDF" w:rsidR="00924078" w:rsidRDefault="34F7CCDC" w:rsidP="00924078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4250240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F8143F" w:rsidRPr="00E662AC" w14:paraId="3C89695F" w14:textId="77777777" w:rsidTr="42502400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7124" w14:textId="4D06C36A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6D0A" w14:textId="2E8D456F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County of Imperial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CEF6" w14:textId="2946D358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Geothermal - Themed Outdoor Park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5AEF" w14:textId="6F73D137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$1,500,000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32B4" w14:textId="08D45780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E33D" w14:textId="4E092A04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$705,000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FFDB" w14:textId="2CD289C5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77.63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2D95" w14:textId="0CBB857C" w:rsidR="00F8143F" w:rsidRPr="00E662AC" w:rsidRDefault="34367A2F" w:rsidP="00F8143F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3DA8382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F8143F" w:rsidRPr="00E662AC" w14:paraId="7817DA0F" w14:textId="77777777" w:rsidTr="42502400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3CD9" w14:textId="4EE75CE8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3AC8" w14:textId="74876BDE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Exergy Systems Inc.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DE80" w14:textId="27324AD6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Sustainable Geothermal Processing: Lithium and Critical Mineral Recovery with Electro-Separation Technologies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B828" w14:textId="40DF5109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$1,495,132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056" w14:textId="48B57AEC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F84C" w14:textId="38EFDA23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$1,496,616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9DC" w14:textId="1A164694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76.06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A5DD" w14:textId="6667E5F4" w:rsidR="00F8143F" w:rsidRPr="00E662AC" w:rsidRDefault="02EB3C4C" w:rsidP="00F8143F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3DA8382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F8143F" w:rsidRPr="00E662AC" w14:paraId="6B58048A" w14:textId="77777777" w:rsidTr="42502400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7C4B" w14:textId="1043A758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130D" w14:textId="1E2FDF9A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County of Imperial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B056" w14:textId="35B9820F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Lithium, Education, and Geothermal for Advancing Careers with Youth (LEGACY) Initiative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D28C" w14:textId="4D362336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$1,500,000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0FB6" w14:textId="43AA0D3A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6691" w14:textId="013AAEBD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A490" w14:textId="4CA04031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75.44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144A" w14:textId="7DB46C6A" w:rsidR="00F8143F" w:rsidRPr="00E662AC" w:rsidRDefault="59B30F97" w:rsidP="00F8143F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3DA8382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F8143F" w:rsidRPr="00E662AC" w14:paraId="621374CB" w14:textId="77777777" w:rsidTr="42502400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2209" w14:textId="2A0CEBE9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F82" w14:textId="707AF42A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proofErr w:type="spellStart"/>
            <w:r>
              <w:rPr>
                <w:rFonts w:cs="Arial"/>
                <w:color w:val="000000"/>
                <w:szCs w:val="22"/>
              </w:rPr>
              <w:t>Imageair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Inc.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38B5" w14:textId="6C69E7A8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Monitoring of Surface Deformation in Imperial Valley for Environmental Impact Mitigation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405C" w14:textId="462ED757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$582,500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E3A2" w14:textId="63AACDBB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4ECE" w14:textId="5A96B2D0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$826,800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B25E" w14:textId="2CDB8F55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75.06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8503" w14:textId="47FFB554" w:rsidR="00F8143F" w:rsidRPr="00E662AC" w:rsidRDefault="35BD5504" w:rsidP="00F8143F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3DA8382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F8143F" w:rsidRPr="00E662AC" w14:paraId="2427182C" w14:textId="77777777" w:rsidTr="42502400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C23" w14:textId="331AEE03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2CC4" w14:textId="7BCEDA23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EELI Technology Inc.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41EE" w14:textId="3A34441D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Pilot-scale Demonstration of Electrochemical Lithium Recovery from Geothermal Brines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226C" w14:textId="021AED07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$1,300,000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76B5" w14:textId="52E0720C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09F7" w14:textId="74119C4B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$1,314,989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FB0" w14:textId="41972A8D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72.81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BD26" w14:textId="568D6B58" w:rsidR="00F8143F" w:rsidRPr="00E662AC" w:rsidRDefault="6E6E2F3A" w:rsidP="00F8143F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3DA8382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F8143F" w:rsidRPr="00E662AC" w14:paraId="3A22D0CD" w14:textId="77777777" w:rsidTr="42502400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20C3" w14:textId="1307E65F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4F8" w14:textId="53E17FCC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Salton Sea Lithium Extraction Company, LLC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1DC5" w14:textId="03BCF10C" w:rsidR="00F8143F" w:rsidRPr="00E662AC" w:rsidRDefault="00F8143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Qualification of Potential New Lithium Resources Adjacent to the Salton Sea Known Geothermal Resource Area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FC2F" w14:textId="53ED0FC4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$950,000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8D4F" w14:textId="5800AB51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BD60" w14:textId="56279B3C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$950,000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1D1" w14:textId="7080EA4F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71.69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7AE7" w14:textId="07FB4E60" w:rsidR="00F8143F" w:rsidRPr="00E662AC" w:rsidRDefault="2FF39E2B" w:rsidP="00F8143F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3DA8382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F8143F" w:rsidRPr="00E662AC" w14:paraId="79F7672A" w14:textId="77777777" w:rsidTr="42502400">
        <w:trPr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1CFD" w14:textId="487B2A15" w:rsidR="00F8143F" w:rsidRPr="00C06F66" w:rsidRDefault="00F8143F" w:rsidP="00F8143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11EA" w14:textId="380A46F0" w:rsidR="00F8143F" w:rsidRPr="00C06F66" w:rsidRDefault="00F8143F" w:rsidP="00204034">
            <w:pPr>
              <w:spacing w:after="0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High Desert Lumber LLC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2F73" w14:textId="51C9733D" w:rsidR="00F8143F" w:rsidRPr="00E662AC" w:rsidRDefault="00F8143F" w:rsidP="00204034">
            <w:pPr>
              <w:spacing w:after="0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High Desert Lumber Geothermal Project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28EA" w14:textId="0FEE3359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$250,000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868E" w14:textId="3CE61863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E83" w14:textId="2855DE5B" w:rsidR="00F8143F" w:rsidRPr="00794B9C" w:rsidRDefault="00F8143F" w:rsidP="00F8143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$250,000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BE7E" w14:textId="3BD31D94" w:rsidR="00F8143F" w:rsidRPr="00E662AC" w:rsidRDefault="00F8143F" w:rsidP="00F8143F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70.69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B77F" w14:textId="220D6571" w:rsidR="00F8143F" w:rsidRPr="00E662AC" w:rsidRDefault="167401A8" w:rsidP="00F8143F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3DA83820">
              <w:rPr>
                <w:rFonts w:eastAsia="Times New Roman" w:cs="Arial"/>
                <w:color w:val="000000" w:themeColor="text1"/>
              </w:rPr>
              <w:t>Finalist</w:t>
            </w:r>
          </w:p>
        </w:tc>
      </w:tr>
      <w:tr w:rsidR="00382F2A" w:rsidRPr="00E662AC" w14:paraId="25190173" w14:textId="77777777" w:rsidTr="42502400">
        <w:trPr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59EBF557" w14:textId="40D65D20" w:rsidR="00382F2A" w:rsidRDefault="00382F2A" w:rsidP="00382F2A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4C2FDE00" w14:textId="7ABF714F" w:rsidR="00382F2A" w:rsidRDefault="00382F2A" w:rsidP="00382F2A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3648635" w14:textId="1D6AD7FE" w:rsidR="00382F2A" w:rsidRDefault="00382F2A" w:rsidP="00382F2A">
            <w:pPr>
              <w:spacing w:after="0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Total:</w:t>
            </w: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27D81C9" w14:textId="5A259164" w:rsidR="00382F2A" w:rsidRDefault="00382F2A" w:rsidP="00382F2A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$</w:t>
            </w:r>
            <w:r w:rsidR="00200372" w:rsidRPr="00200372">
              <w:rPr>
                <w:rFonts w:cs="Arial"/>
                <w:b/>
                <w:bCs/>
                <w:color w:val="000000"/>
                <w:szCs w:val="22"/>
              </w:rPr>
              <w:t>7,955,618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3E8D064" w14:textId="67A043A1" w:rsidR="00382F2A" w:rsidRDefault="00382F2A" w:rsidP="00382F2A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58F5409" w14:textId="6BB5478B" w:rsidR="00382F2A" w:rsidRDefault="00382F2A" w:rsidP="00382F2A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$</w:t>
            </w:r>
            <w:r w:rsidR="00736E17" w:rsidRPr="00736E17">
              <w:rPr>
                <w:rFonts w:cs="Arial"/>
                <w:b/>
                <w:bCs/>
                <w:color w:val="000000"/>
                <w:szCs w:val="22"/>
              </w:rPr>
              <w:t xml:space="preserve">6,039,944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14:paraId="7697B096" w14:textId="20C48B9F" w:rsidR="00382F2A" w:rsidRDefault="00382F2A" w:rsidP="00382F2A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45E6A19" w14:textId="77777777" w:rsidR="00382F2A" w:rsidRPr="00E662AC" w:rsidRDefault="00382F2A" w:rsidP="00382F2A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</w:tbl>
    <w:p w14:paraId="23ECC123" w14:textId="0D57918E" w:rsidR="00750179" w:rsidRPr="00750179" w:rsidRDefault="00750179" w:rsidP="00FC5231">
      <w:pPr>
        <w:spacing w:before="240" w:after="12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Did Not Pass</w:t>
      </w:r>
    </w:p>
    <w:tbl>
      <w:tblPr>
        <w:tblW w:w="5002" w:type="pct"/>
        <w:tblLayout w:type="fixed"/>
        <w:tblLook w:val="04A0" w:firstRow="1" w:lastRow="0" w:firstColumn="1" w:lastColumn="0" w:noHBand="0" w:noVBand="1"/>
        <w:tblCaption w:val="Did not Pass"/>
        <w:tblDescription w:val="Table indicating the applications that did not pass of the GFO-23-402 solicitation scoring criteria. "/>
      </w:tblPr>
      <w:tblGrid>
        <w:gridCol w:w="1075"/>
        <w:gridCol w:w="1709"/>
        <w:gridCol w:w="3873"/>
        <w:gridCol w:w="1441"/>
        <w:gridCol w:w="1873"/>
        <w:gridCol w:w="1365"/>
        <w:gridCol w:w="900"/>
        <w:gridCol w:w="1439"/>
      </w:tblGrid>
      <w:tr w:rsidR="003B196D" w:rsidRPr="00E662AC" w14:paraId="0FCDF38F" w14:textId="77777777" w:rsidTr="00FC5231">
        <w:trPr>
          <w:cantSplit/>
          <w:trHeight w:val="20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81A6CD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Rank</w:t>
            </w: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 Number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9010F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Applicant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DA5639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Project Title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2A7DE7" w14:textId="3DB01FB0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CEC </w:t>
            </w:r>
            <w:r w:rsidR="00FB188F"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Funds Requested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2D05C5" w14:textId="14ECB89E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CEC Funds Recommended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19A913C" w14:textId="1E3EC8CA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Match Funds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434443" w14:textId="32C4C3DC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Score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9E952E" w14:textId="5873326E" w:rsidR="00FB188F" w:rsidRPr="00E662AC" w:rsidRDefault="005E506E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Award Status</w:t>
            </w:r>
          </w:p>
        </w:tc>
      </w:tr>
      <w:tr w:rsidR="000617B1" w:rsidRPr="00E662AC" w14:paraId="470C001F" w14:textId="77777777" w:rsidTr="00204034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735D" w14:textId="01D9E1AD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9C63" w14:textId="6970E234" w:rsidR="000617B1" w:rsidRPr="00E662AC" w:rsidRDefault="000617B1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City of </w:t>
            </w:r>
            <w:proofErr w:type="spellStart"/>
            <w:r>
              <w:rPr>
                <w:rFonts w:cs="Arial"/>
                <w:color w:val="000000"/>
                <w:szCs w:val="22"/>
              </w:rPr>
              <w:t>Calipatria</w:t>
            </w:r>
            <w:proofErr w:type="spellEnd"/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677E" w14:textId="44E58AC8" w:rsidR="000617B1" w:rsidRPr="00E662AC" w:rsidRDefault="000617B1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proofErr w:type="spellStart"/>
            <w:r>
              <w:rPr>
                <w:rFonts w:cs="Arial"/>
                <w:color w:val="000000"/>
                <w:szCs w:val="22"/>
              </w:rPr>
              <w:t>Calipatria</w:t>
            </w:r>
            <w:proofErr w:type="spellEnd"/>
            <w:r>
              <w:rPr>
                <w:rFonts w:cs="Arial"/>
                <w:color w:val="000000"/>
                <w:szCs w:val="22"/>
              </w:rPr>
              <w:t xml:space="preserve"> Wastewater Repair Project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2B55" w14:textId="58A52CF0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$1,500,000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3E8F" w14:textId="1D2E925C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6130" w14:textId="1DB5FE87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$0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D641" w14:textId="469948CD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N/A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6171" w14:textId="4D82805B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Did Not Pass</w:t>
            </w:r>
          </w:p>
        </w:tc>
      </w:tr>
      <w:tr w:rsidR="000617B1" w:rsidRPr="00E662AC" w14:paraId="15E5BA63" w14:textId="77777777" w:rsidTr="00FC5231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326D7776" w14:textId="44782078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C8CA74F" w14:textId="69F24693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AFB5971" w14:textId="6E4AA9F2" w:rsidR="000617B1" w:rsidRPr="00E662AC" w:rsidRDefault="000617B1" w:rsidP="000617B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Total:</w:t>
            </w: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7A3126E" w14:textId="1ABD7249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$1,500,000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606B94A" w14:textId="610E8859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$0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2CE4148" w14:textId="3F031096" w:rsidR="000617B1" w:rsidRPr="00794B9C" w:rsidRDefault="000617B1" w:rsidP="00061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$0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1AFF0F9F" w14:textId="01B680E1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6070208" w14:textId="517AD82E" w:rsidR="000617B1" w:rsidRPr="00E662AC" w:rsidRDefault="000617B1" w:rsidP="000617B1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</w:tbl>
    <w:p w14:paraId="58E8CBBD" w14:textId="6E0D2A10" w:rsidR="00750179" w:rsidRPr="00750179" w:rsidRDefault="00750179" w:rsidP="00FC5231">
      <w:pPr>
        <w:spacing w:before="240" w:after="12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Disqualified</w:t>
      </w:r>
    </w:p>
    <w:tbl>
      <w:tblPr>
        <w:tblW w:w="5002" w:type="pct"/>
        <w:tblLayout w:type="fixed"/>
        <w:tblLook w:val="04A0" w:firstRow="1" w:lastRow="0" w:firstColumn="1" w:lastColumn="0" w:noHBand="0" w:noVBand="1"/>
        <w:tblCaption w:val="Disqualified"/>
        <w:tblDescription w:val="Table indicating the applications that did not pass the screeninig criteria of the GFO-23-402 solicitation. "/>
      </w:tblPr>
      <w:tblGrid>
        <w:gridCol w:w="1075"/>
        <w:gridCol w:w="1709"/>
        <w:gridCol w:w="3873"/>
        <w:gridCol w:w="1441"/>
        <w:gridCol w:w="1873"/>
        <w:gridCol w:w="1365"/>
        <w:gridCol w:w="900"/>
        <w:gridCol w:w="1439"/>
      </w:tblGrid>
      <w:tr w:rsidR="003B196D" w:rsidRPr="00E662AC" w14:paraId="7DAAFC60" w14:textId="77777777" w:rsidTr="00FC5231">
        <w:trPr>
          <w:cantSplit/>
          <w:trHeight w:val="20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360A23" w14:textId="57EB7973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Rank</w:t>
            </w: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 Number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2FC844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Applicant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22B397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Project Title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508E5C" w14:textId="7B348FF0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 xml:space="preserve">CEC </w:t>
            </w:r>
            <w:r w:rsidR="00FB188F"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Funds Requested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2257A" w14:textId="7A866177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CEC Funds Recommended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43FFB73" w14:textId="61205EC2" w:rsidR="00FB188F" w:rsidRPr="00E662AC" w:rsidRDefault="00F14751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Match Funds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14B327" w14:textId="1E574006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Score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29C659" w14:textId="71ED9EFC" w:rsidR="00FB188F" w:rsidRPr="00E662AC" w:rsidRDefault="005E506E" w:rsidP="00C53CC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Award Status</w:t>
            </w:r>
          </w:p>
        </w:tc>
      </w:tr>
      <w:tr w:rsidR="00AD0AC8" w:rsidRPr="00E662AC" w14:paraId="4617762B" w14:textId="77777777" w:rsidTr="00204034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E9FC" w14:textId="340EB2CC" w:rsidR="00FB188F" w:rsidRPr="00E662AC" w:rsidRDefault="008A05C4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2CCE" w14:textId="77777777" w:rsidR="00FB188F" w:rsidRPr="00E662AC" w:rsidRDefault="00FB188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 w:rsidRPr="00E662AC">
              <w:rPr>
                <w:rFonts w:eastAsia="Times New Roman" w:cs="Arial"/>
                <w:color w:val="000000"/>
                <w:szCs w:val="22"/>
              </w:rPr>
              <w:t>Control Systems Corp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C6E3" w14:textId="6267F025" w:rsidR="00FB188F" w:rsidRPr="00E662AC" w:rsidRDefault="00D23603" w:rsidP="00204034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N/A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33E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E662AC">
              <w:rPr>
                <w:rFonts w:eastAsia="Times New Roman" w:cs="Arial"/>
                <w:color w:val="000000"/>
                <w:szCs w:val="22"/>
              </w:rPr>
              <w:t>$0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64E2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E662AC">
              <w:rPr>
                <w:rFonts w:eastAsia="Times New Roman" w:cs="Arial"/>
                <w:color w:val="000000"/>
                <w:szCs w:val="22"/>
              </w:rPr>
              <w:t>$0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0445" w14:textId="7C7BBA6D" w:rsidR="00FB188F" w:rsidRPr="00E662AC" w:rsidRDefault="00CD1390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$0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008" w14:textId="09943ACC" w:rsidR="00FB188F" w:rsidRPr="00E662AC" w:rsidRDefault="001F0CB2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N/A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7A02" w14:textId="538B1ACA" w:rsidR="00FB188F" w:rsidRPr="00E662AC" w:rsidRDefault="00AF3BF7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Disqualified</w:t>
            </w:r>
          </w:p>
        </w:tc>
      </w:tr>
      <w:tr w:rsidR="00AD0AC8" w:rsidRPr="00E662AC" w14:paraId="3E543616" w14:textId="77777777" w:rsidTr="00204034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287D" w14:textId="144A3BB8" w:rsidR="00FB188F" w:rsidRPr="00E662AC" w:rsidRDefault="008A05C4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739" w14:textId="4874AA56" w:rsidR="00FB188F" w:rsidRPr="00E662AC" w:rsidRDefault="00FB188F" w:rsidP="00204034">
            <w:pPr>
              <w:spacing w:after="0"/>
              <w:rPr>
                <w:rFonts w:eastAsia="Times New Roman" w:cs="Arial"/>
                <w:color w:val="000000"/>
                <w:szCs w:val="22"/>
              </w:rPr>
            </w:pPr>
            <w:r w:rsidRPr="00E662AC">
              <w:rPr>
                <w:rFonts w:eastAsia="Times New Roman" w:cs="Arial"/>
                <w:color w:val="000000"/>
                <w:szCs w:val="22"/>
              </w:rPr>
              <w:t>Rabbit Inc.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D7F1" w14:textId="3EB7787D" w:rsidR="00FB188F" w:rsidRPr="00E662AC" w:rsidRDefault="00D23603" w:rsidP="00204034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N/A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2844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E662AC">
              <w:rPr>
                <w:rFonts w:eastAsia="Times New Roman" w:cs="Arial"/>
                <w:color w:val="000000"/>
                <w:szCs w:val="22"/>
              </w:rPr>
              <w:t>$0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23D" w14:textId="77777777" w:rsidR="00FB188F" w:rsidRPr="00E662AC" w:rsidRDefault="00FB188F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 w:rsidRPr="00E662AC">
              <w:rPr>
                <w:rFonts w:eastAsia="Times New Roman" w:cs="Arial"/>
                <w:color w:val="000000"/>
                <w:szCs w:val="22"/>
              </w:rPr>
              <w:t>$0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3DE6" w14:textId="67A7D3AF" w:rsidR="00FB188F" w:rsidRPr="00E662AC" w:rsidRDefault="00CD1390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$0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9976" w14:textId="2F53D080" w:rsidR="00FB188F" w:rsidRPr="00E662AC" w:rsidRDefault="001F0CB2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N/A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32C2" w14:textId="1F9625AF" w:rsidR="00FB188F" w:rsidRPr="00E662AC" w:rsidRDefault="00AF3BF7" w:rsidP="00C53CC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  <w:r>
              <w:rPr>
                <w:rFonts w:eastAsia="Times New Roman" w:cs="Arial"/>
                <w:color w:val="000000"/>
                <w:szCs w:val="22"/>
              </w:rPr>
              <w:t>Disqualified</w:t>
            </w:r>
          </w:p>
        </w:tc>
      </w:tr>
      <w:tr w:rsidR="00894833" w:rsidRPr="00E662AC" w14:paraId="49DC2C4F" w14:textId="77777777" w:rsidTr="00FC5231">
        <w:trPr>
          <w:trHeight w:val="2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3FABBC57" w14:textId="4F826E2A" w:rsidR="00894833" w:rsidRPr="00E662AC" w:rsidRDefault="00894833" w:rsidP="008948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A6520FC" w14:textId="031E8D2C" w:rsidR="00894833" w:rsidRPr="00E662AC" w:rsidRDefault="00894833" w:rsidP="008948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1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AF330B" w14:textId="59C9218A" w:rsidR="00894833" w:rsidRPr="00E662AC" w:rsidRDefault="007336AC" w:rsidP="001F4C5A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T</w:t>
            </w:r>
            <w:r w:rsidRPr="00551B39">
              <w:rPr>
                <w:rFonts w:eastAsia="Times New Roman" w:cs="Arial"/>
                <w:b/>
                <w:bCs/>
                <w:color w:val="000000"/>
                <w:szCs w:val="22"/>
              </w:rPr>
              <w:t>otal: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46227B" w14:textId="77777777" w:rsidR="00894833" w:rsidRPr="00E662AC" w:rsidRDefault="00894833" w:rsidP="0089483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$0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A5C1B0" w14:textId="77777777" w:rsidR="00894833" w:rsidRPr="00E662AC" w:rsidRDefault="00894833" w:rsidP="0089483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 w:rsidRPr="00E662AC">
              <w:rPr>
                <w:rFonts w:eastAsia="Times New Roman" w:cs="Arial"/>
                <w:b/>
                <w:bCs/>
                <w:color w:val="000000"/>
                <w:szCs w:val="22"/>
              </w:rPr>
              <w:t>$0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877DC7E" w14:textId="1E4BD016" w:rsidR="00894833" w:rsidRPr="00794B9C" w:rsidRDefault="00894833" w:rsidP="0089483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2"/>
              </w:rPr>
              <w:t>$0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5B048A8D" w14:textId="461A795F" w:rsidR="00894833" w:rsidRPr="00E662AC" w:rsidRDefault="00894833" w:rsidP="008948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84428C0" w14:textId="00AF07B0" w:rsidR="00894833" w:rsidRPr="00E662AC" w:rsidRDefault="00894833" w:rsidP="00894833">
            <w:pPr>
              <w:spacing w:after="0"/>
              <w:jc w:val="center"/>
              <w:rPr>
                <w:rFonts w:eastAsia="Times New Roman" w:cs="Arial"/>
                <w:color w:val="000000"/>
                <w:szCs w:val="22"/>
              </w:rPr>
            </w:pPr>
          </w:p>
        </w:tc>
      </w:tr>
    </w:tbl>
    <w:p w14:paraId="05E8D5AC" w14:textId="77777777" w:rsidR="009C37DB" w:rsidRDefault="009C37DB" w:rsidP="00F05222">
      <w:pPr>
        <w:spacing w:after="0"/>
      </w:pPr>
    </w:p>
    <w:p w14:paraId="18A8C22B" w14:textId="77777777" w:rsidR="005742D3" w:rsidRDefault="005742D3" w:rsidP="00F05222">
      <w:pPr>
        <w:spacing w:after="0"/>
      </w:pPr>
    </w:p>
    <w:sectPr w:rsidR="005742D3" w:rsidSect="00341773">
      <w:headerReference w:type="first" r:id="rId17"/>
      <w:footerReference w:type="first" r:id="rId18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9163" w14:textId="77777777" w:rsidR="00AF4D75" w:rsidRDefault="00AF4D75" w:rsidP="00F86D2B">
      <w:r>
        <w:separator/>
      </w:r>
    </w:p>
  </w:endnote>
  <w:endnote w:type="continuationSeparator" w:id="0">
    <w:p w14:paraId="53068220" w14:textId="77777777" w:rsidR="00AF4D75" w:rsidRDefault="00AF4D75" w:rsidP="00F86D2B">
      <w:r>
        <w:continuationSeparator/>
      </w:r>
    </w:p>
  </w:endnote>
  <w:endnote w:type="continuationNotice" w:id="1">
    <w:p w14:paraId="0B88E4FE" w14:textId="77777777" w:rsidR="00AF4D75" w:rsidRDefault="00AF4D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74D3" w14:textId="003338D2" w:rsidR="00316B76" w:rsidRPr="00316B76" w:rsidRDefault="001C043A" w:rsidP="00316B76">
    <w:pPr>
      <w:pStyle w:val="Footer"/>
      <w:spacing w:after="0"/>
      <w:jc w:val="right"/>
      <w:rPr>
        <w:sz w:val="20"/>
        <w:szCs w:val="20"/>
      </w:rPr>
    </w:pPr>
    <w:r w:rsidRPr="0082030A">
      <w:rPr>
        <w:sz w:val="20"/>
        <w:szCs w:val="20"/>
      </w:rPr>
      <w:t xml:space="preserve">September </w:t>
    </w:r>
    <w:r w:rsidR="0082030A" w:rsidRPr="0082030A">
      <w:rPr>
        <w:sz w:val="20"/>
        <w:szCs w:val="20"/>
      </w:rPr>
      <w:t>2</w:t>
    </w:r>
    <w:r w:rsidR="006B1FD7">
      <w:rPr>
        <w:sz w:val="20"/>
        <w:szCs w:val="20"/>
      </w:rPr>
      <w:t>9</w:t>
    </w:r>
    <w:r w:rsidRPr="0082030A">
      <w:rPr>
        <w:sz w:val="20"/>
        <w:szCs w:val="20"/>
      </w:rPr>
      <w:t>, 2025</w:t>
    </w:r>
    <w:r w:rsidR="00316B76" w:rsidRPr="0082030A">
      <w:rPr>
        <w:sz w:val="20"/>
        <w:szCs w:val="20"/>
      </w:rPr>
      <w:ptab w:relativeTo="margin" w:alignment="center" w:leader="none"/>
    </w:r>
    <w:r w:rsidR="00316B76" w:rsidRPr="0082030A">
      <w:rPr>
        <w:sz w:val="20"/>
        <w:szCs w:val="20"/>
      </w:rPr>
      <w:t>Page</w:t>
    </w:r>
    <w:r w:rsidR="00316B76" w:rsidRPr="00316B76">
      <w:rPr>
        <w:sz w:val="20"/>
        <w:szCs w:val="20"/>
      </w:rPr>
      <w:t xml:space="preserve"> </w:t>
    </w:r>
    <w:r w:rsidR="00316B76" w:rsidRPr="00316B76">
      <w:rPr>
        <w:sz w:val="20"/>
        <w:szCs w:val="20"/>
      </w:rPr>
      <w:fldChar w:fldCharType="begin"/>
    </w:r>
    <w:r w:rsidR="00316B76" w:rsidRPr="00316B76">
      <w:rPr>
        <w:sz w:val="20"/>
        <w:szCs w:val="20"/>
      </w:rPr>
      <w:instrText xml:space="preserve"> PAGE </w:instrText>
    </w:r>
    <w:r w:rsidR="00316B76" w:rsidRPr="00316B76">
      <w:rPr>
        <w:sz w:val="20"/>
        <w:szCs w:val="20"/>
      </w:rPr>
      <w:fldChar w:fldCharType="separate"/>
    </w:r>
    <w:r w:rsidR="00316B76" w:rsidRPr="00316B76">
      <w:rPr>
        <w:sz w:val="20"/>
        <w:szCs w:val="20"/>
      </w:rPr>
      <w:t>2</w:t>
    </w:r>
    <w:r w:rsidR="00316B76" w:rsidRPr="00316B76">
      <w:rPr>
        <w:sz w:val="20"/>
        <w:szCs w:val="20"/>
      </w:rPr>
      <w:fldChar w:fldCharType="end"/>
    </w:r>
    <w:r w:rsidR="00316B76" w:rsidRPr="00316B76">
      <w:rPr>
        <w:sz w:val="20"/>
        <w:szCs w:val="20"/>
      </w:rPr>
      <w:t xml:space="preserve"> of </w:t>
    </w:r>
    <w:r w:rsidR="00316B76" w:rsidRPr="00316B76">
      <w:rPr>
        <w:sz w:val="20"/>
        <w:szCs w:val="20"/>
      </w:rPr>
      <w:fldChar w:fldCharType="begin"/>
    </w:r>
    <w:r w:rsidR="00316B76" w:rsidRPr="00316B76">
      <w:rPr>
        <w:sz w:val="20"/>
        <w:szCs w:val="20"/>
      </w:rPr>
      <w:instrText xml:space="preserve"> NUMPAGES  </w:instrText>
    </w:r>
    <w:r w:rsidR="00316B76" w:rsidRPr="00316B76">
      <w:rPr>
        <w:sz w:val="20"/>
        <w:szCs w:val="20"/>
      </w:rPr>
      <w:fldChar w:fldCharType="separate"/>
    </w:r>
    <w:r w:rsidR="00316B76" w:rsidRPr="00316B76">
      <w:rPr>
        <w:sz w:val="20"/>
        <w:szCs w:val="20"/>
      </w:rPr>
      <w:t>3</w:t>
    </w:r>
    <w:r w:rsidR="00316B76" w:rsidRPr="00316B76">
      <w:rPr>
        <w:sz w:val="20"/>
        <w:szCs w:val="20"/>
      </w:rPr>
      <w:fldChar w:fldCharType="end"/>
    </w:r>
    <w:r w:rsidR="00316B76" w:rsidRPr="00316B76">
      <w:rPr>
        <w:sz w:val="20"/>
        <w:szCs w:val="20"/>
      </w:rPr>
      <w:ptab w:relativeTo="margin" w:alignment="right" w:leader="none"/>
    </w:r>
    <w:r w:rsidR="00316B76" w:rsidRPr="00316B76">
      <w:rPr>
        <w:sz w:val="20"/>
        <w:szCs w:val="20"/>
      </w:rPr>
      <w:t>GFO-23-402</w:t>
    </w:r>
  </w:p>
  <w:p w14:paraId="70EE6855" w14:textId="7BA15294" w:rsidR="00AA5E45" w:rsidRPr="00316B76" w:rsidRDefault="00316B76" w:rsidP="00316B76">
    <w:pPr>
      <w:pStyle w:val="Footer"/>
      <w:spacing w:after="0"/>
      <w:jc w:val="right"/>
      <w:rPr>
        <w:sz w:val="20"/>
        <w:szCs w:val="20"/>
      </w:rPr>
    </w:pPr>
    <w:r w:rsidRPr="00316B76">
      <w:rPr>
        <w:sz w:val="20"/>
        <w:szCs w:val="20"/>
      </w:rPr>
      <w:t>Geothermal Grant and Loan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yellow"/>
      </w:rPr>
      <w:id w:val="157339535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sdt>
        <w:sdtPr>
          <w:rPr>
            <w:highlight w:val="yellow"/>
          </w:rPr>
          <w:id w:val="358099443"/>
          <w:docPartObj>
            <w:docPartGallery w:val="Page Numbers (Top of Page)"/>
            <w:docPartUnique/>
          </w:docPartObj>
        </w:sdtPr>
        <w:sdtEndPr>
          <w:rPr>
            <w:highlight w:val="none"/>
          </w:rPr>
        </w:sdtEndPr>
        <w:sdtContent>
          <w:p w14:paraId="6EB0ECAC" w14:textId="018B7A7D" w:rsidR="00FE533D" w:rsidRPr="001848B6" w:rsidRDefault="00F25089" w:rsidP="00466CC9">
            <w:pPr>
              <w:tabs>
                <w:tab w:val="left" w:pos="0"/>
                <w:tab w:val="center" w:pos="4680"/>
                <w:tab w:val="right" w:pos="9360"/>
              </w:tabs>
              <w:spacing w:after="0"/>
              <w:ind w:left="-1152"/>
              <w:jc w:val="right"/>
              <w:rPr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19EAD06" wp14:editId="6CB3F885">
                  <wp:extent cx="7759063" cy="1033272"/>
                  <wp:effectExtent l="0" t="0" r="0" b="0"/>
                  <wp:docPr id="965247657" name="Picture 965247657" descr="energy.ca.gov&#10;715 P Street, Sacramento, CA 95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ter.gif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063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E235" w14:textId="2C295B3C" w:rsidR="001F2D3E" w:rsidRPr="00316B76" w:rsidRDefault="001C043A" w:rsidP="004778E0">
    <w:pPr>
      <w:pStyle w:val="Footer"/>
      <w:spacing w:after="0"/>
      <w:jc w:val="right"/>
      <w:rPr>
        <w:sz w:val="20"/>
        <w:szCs w:val="20"/>
      </w:rPr>
    </w:pPr>
    <w:r w:rsidRPr="0082030A">
      <w:rPr>
        <w:sz w:val="20"/>
        <w:szCs w:val="20"/>
      </w:rPr>
      <w:t xml:space="preserve">September </w:t>
    </w:r>
    <w:r w:rsidR="0082030A" w:rsidRPr="0082030A">
      <w:rPr>
        <w:sz w:val="20"/>
        <w:szCs w:val="20"/>
      </w:rPr>
      <w:t>2</w:t>
    </w:r>
    <w:r w:rsidR="00E010F8">
      <w:rPr>
        <w:sz w:val="20"/>
        <w:szCs w:val="20"/>
      </w:rPr>
      <w:t>9</w:t>
    </w:r>
    <w:r w:rsidRPr="0082030A">
      <w:rPr>
        <w:sz w:val="20"/>
        <w:szCs w:val="20"/>
      </w:rPr>
      <w:t>, 2025</w:t>
    </w:r>
    <w:r w:rsidR="00931911" w:rsidRPr="00316B76">
      <w:rPr>
        <w:sz w:val="20"/>
        <w:szCs w:val="20"/>
      </w:rPr>
      <w:ptab w:relativeTo="margin" w:alignment="center" w:leader="none"/>
    </w:r>
    <w:r w:rsidR="00931911" w:rsidRPr="00316B76">
      <w:rPr>
        <w:sz w:val="20"/>
        <w:szCs w:val="20"/>
      </w:rPr>
      <w:t xml:space="preserve">Page </w:t>
    </w:r>
    <w:r w:rsidR="00931911" w:rsidRPr="00316B76">
      <w:rPr>
        <w:sz w:val="20"/>
        <w:szCs w:val="20"/>
      </w:rPr>
      <w:fldChar w:fldCharType="begin"/>
    </w:r>
    <w:r w:rsidR="00931911" w:rsidRPr="00316B76">
      <w:rPr>
        <w:sz w:val="20"/>
        <w:szCs w:val="20"/>
      </w:rPr>
      <w:instrText xml:space="preserve"> PAGE </w:instrText>
    </w:r>
    <w:r w:rsidR="00931911" w:rsidRPr="00316B76">
      <w:rPr>
        <w:sz w:val="20"/>
        <w:szCs w:val="20"/>
      </w:rPr>
      <w:fldChar w:fldCharType="separate"/>
    </w:r>
    <w:r w:rsidR="00931911" w:rsidRPr="00316B76">
      <w:rPr>
        <w:sz w:val="20"/>
        <w:szCs w:val="20"/>
      </w:rPr>
      <w:t>2</w:t>
    </w:r>
    <w:r w:rsidR="00931911" w:rsidRPr="00316B76">
      <w:rPr>
        <w:sz w:val="20"/>
        <w:szCs w:val="20"/>
      </w:rPr>
      <w:fldChar w:fldCharType="end"/>
    </w:r>
    <w:r w:rsidR="00931911" w:rsidRPr="00316B76">
      <w:rPr>
        <w:sz w:val="20"/>
        <w:szCs w:val="20"/>
      </w:rPr>
      <w:t xml:space="preserve"> of </w:t>
    </w:r>
    <w:r w:rsidR="00931911" w:rsidRPr="00316B76">
      <w:rPr>
        <w:sz w:val="20"/>
        <w:szCs w:val="20"/>
      </w:rPr>
      <w:fldChar w:fldCharType="begin"/>
    </w:r>
    <w:r w:rsidR="00931911" w:rsidRPr="00316B76">
      <w:rPr>
        <w:sz w:val="20"/>
        <w:szCs w:val="20"/>
      </w:rPr>
      <w:instrText xml:space="preserve"> NUMPAGES  </w:instrText>
    </w:r>
    <w:r w:rsidR="00931911" w:rsidRPr="00316B76">
      <w:rPr>
        <w:sz w:val="20"/>
        <w:szCs w:val="20"/>
      </w:rPr>
      <w:fldChar w:fldCharType="separate"/>
    </w:r>
    <w:r w:rsidR="00931911" w:rsidRPr="00316B76">
      <w:rPr>
        <w:sz w:val="20"/>
        <w:szCs w:val="20"/>
      </w:rPr>
      <w:t>2</w:t>
    </w:r>
    <w:r w:rsidR="00931911" w:rsidRPr="00316B76">
      <w:rPr>
        <w:sz w:val="20"/>
        <w:szCs w:val="20"/>
      </w:rPr>
      <w:fldChar w:fldCharType="end"/>
    </w:r>
    <w:r w:rsidR="00931911" w:rsidRPr="00316B76">
      <w:rPr>
        <w:sz w:val="20"/>
        <w:szCs w:val="20"/>
      </w:rPr>
      <w:ptab w:relativeTo="margin" w:alignment="right" w:leader="none"/>
    </w:r>
    <w:r w:rsidR="00931911" w:rsidRPr="00316B76">
      <w:rPr>
        <w:sz w:val="20"/>
        <w:szCs w:val="20"/>
      </w:rPr>
      <w:t>GFO-23-402</w:t>
    </w:r>
  </w:p>
  <w:p w14:paraId="5DC6F963" w14:textId="1983AA7C" w:rsidR="00931911" w:rsidRPr="00316B76" w:rsidRDefault="00931911" w:rsidP="004778E0">
    <w:pPr>
      <w:pStyle w:val="Footer"/>
      <w:spacing w:after="0"/>
      <w:jc w:val="right"/>
      <w:rPr>
        <w:sz w:val="20"/>
        <w:szCs w:val="20"/>
      </w:rPr>
    </w:pPr>
    <w:r w:rsidRPr="00316B76">
      <w:rPr>
        <w:sz w:val="20"/>
        <w:szCs w:val="20"/>
      </w:rPr>
      <w:t>Geothermal Grant and Loan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75C6" w14:textId="77777777" w:rsidR="00AF4D75" w:rsidRDefault="00AF4D75" w:rsidP="00F86D2B">
      <w:r>
        <w:separator/>
      </w:r>
    </w:p>
  </w:footnote>
  <w:footnote w:type="continuationSeparator" w:id="0">
    <w:p w14:paraId="3F57F737" w14:textId="77777777" w:rsidR="00AF4D75" w:rsidRDefault="00AF4D75" w:rsidP="00F86D2B">
      <w:r>
        <w:continuationSeparator/>
      </w:r>
    </w:p>
  </w:footnote>
  <w:footnote w:type="continuationNotice" w:id="1">
    <w:p w14:paraId="0935B944" w14:textId="77777777" w:rsidR="00AF4D75" w:rsidRDefault="00AF4D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9BE6" w14:textId="3D9AE68D" w:rsidR="00FE533D" w:rsidRDefault="00E65480" w:rsidP="00816BAA">
    <w:pPr>
      <w:pStyle w:val="Title"/>
    </w:pPr>
    <w:r>
      <w:t xml:space="preserve">NOTICE OF </w:t>
    </w:r>
    <w:r w:rsidR="009112BC">
      <w:t>PROPOSED AWARD (NOPA)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C9AC" w14:textId="4594A229" w:rsidR="00F25089" w:rsidRDefault="00747AD8" w:rsidP="00466CC9">
    <w:pPr>
      <w:pStyle w:val="Header"/>
      <w:spacing w:after="0"/>
      <w:ind w:left="-1152"/>
    </w:pPr>
    <w:r>
      <w:rPr>
        <w:noProof/>
      </w:rPr>
      <w:drawing>
        <wp:inline distT="0" distB="0" distL="0" distR="0" wp14:anchorId="721DDE33" wp14:editId="52AA3B91">
          <wp:extent cx="7769405" cy="1017767"/>
          <wp:effectExtent l="0" t="0" r="3175" b="0"/>
          <wp:docPr id="1321124356" name="Picture 1321124356" descr="CEC and CN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02504" name="Picture 930202504" descr="CEC and CNR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298" cy="1021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345A" w14:textId="5498D546" w:rsidR="009C37DB" w:rsidRPr="00E62EEC" w:rsidRDefault="00FB1059" w:rsidP="00DC0652">
    <w:pPr>
      <w:pStyle w:val="Header"/>
      <w:jc w:val="center"/>
      <w:rPr>
        <w:b/>
        <w:bCs/>
        <w:sz w:val="32"/>
        <w:szCs w:val="36"/>
      </w:rPr>
    </w:pPr>
    <w:r w:rsidRPr="00E62EEC">
      <w:rPr>
        <w:b/>
        <w:bCs/>
        <w:sz w:val="32"/>
        <w:szCs w:val="36"/>
      </w:rPr>
      <w:t>NOTICE OF PROPOSED (NOPA)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68C"/>
    <w:multiLevelType w:val="hybridMultilevel"/>
    <w:tmpl w:val="B93EF78C"/>
    <w:lvl w:ilvl="0" w:tplc="4100F98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522E6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F254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F257B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D68FC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C2DEF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92AB1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52A8E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C2BBB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45E1A6A"/>
    <w:multiLevelType w:val="hybridMultilevel"/>
    <w:tmpl w:val="91841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6113E"/>
    <w:multiLevelType w:val="hybridMultilevel"/>
    <w:tmpl w:val="79E81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F5225"/>
    <w:multiLevelType w:val="hybridMultilevel"/>
    <w:tmpl w:val="F37EF31C"/>
    <w:lvl w:ilvl="0" w:tplc="849021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53074073">
    <w:abstractNumId w:val="0"/>
  </w:num>
  <w:num w:numId="2" w16cid:durableId="909078449">
    <w:abstractNumId w:val="3"/>
  </w:num>
  <w:num w:numId="3" w16cid:durableId="181944375">
    <w:abstractNumId w:val="2"/>
  </w:num>
  <w:num w:numId="4" w16cid:durableId="666859883">
    <w:abstractNumId w:val="4"/>
  </w:num>
  <w:num w:numId="5" w16cid:durableId="8901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069E"/>
    <w:rsid w:val="00001904"/>
    <w:rsid w:val="00002E3A"/>
    <w:rsid w:val="00004B05"/>
    <w:rsid w:val="00004C04"/>
    <w:rsid w:val="00006CE3"/>
    <w:rsid w:val="00006F32"/>
    <w:rsid w:val="0000763A"/>
    <w:rsid w:val="00011564"/>
    <w:rsid w:val="0001323C"/>
    <w:rsid w:val="00013BFD"/>
    <w:rsid w:val="0001487F"/>
    <w:rsid w:val="00015319"/>
    <w:rsid w:val="00015969"/>
    <w:rsid w:val="000204D9"/>
    <w:rsid w:val="000205A9"/>
    <w:rsid w:val="0002213A"/>
    <w:rsid w:val="0002349E"/>
    <w:rsid w:val="00023A1E"/>
    <w:rsid w:val="000264B7"/>
    <w:rsid w:val="0002687C"/>
    <w:rsid w:val="00027125"/>
    <w:rsid w:val="000275B9"/>
    <w:rsid w:val="000302E9"/>
    <w:rsid w:val="00032C04"/>
    <w:rsid w:val="000330BF"/>
    <w:rsid w:val="000334FF"/>
    <w:rsid w:val="000377DE"/>
    <w:rsid w:val="00040852"/>
    <w:rsid w:val="000418C7"/>
    <w:rsid w:val="00041BEE"/>
    <w:rsid w:val="0004238D"/>
    <w:rsid w:val="00042FA4"/>
    <w:rsid w:val="00047D66"/>
    <w:rsid w:val="000535A5"/>
    <w:rsid w:val="00054330"/>
    <w:rsid w:val="000545B8"/>
    <w:rsid w:val="000557AC"/>
    <w:rsid w:val="000603AD"/>
    <w:rsid w:val="00061269"/>
    <w:rsid w:val="000612A2"/>
    <w:rsid w:val="000617B1"/>
    <w:rsid w:val="000620C1"/>
    <w:rsid w:val="00063413"/>
    <w:rsid w:val="00064274"/>
    <w:rsid w:val="00065F19"/>
    <w:rsid w:val="000671C2"/>
    <w:rsid w:val="000700A3"/>
    <w:rsid w:val="000719CE"/>
    <w:rsid w:val="00071A05"/>
    <w:rsid w:val="00072448"/>
    <w:rsid w:val="000739BF"/>
    <w:rsid w:val="000773A9"/>
    <w:rsid w:val="0008111D"/>
    <w:rsid w:val="00084837"/>
    <w:rsid w:val="00084A0D"/>
    <w:rsid w:val="00085219"/>
    <w:rsid w:val="000854B6"/>
    <w:rsid w:val="00086397"/>
    <w:rsid w:val="00087A47"/>
    <w:rsid w:val="000900DF"/>
    <w:rsid w:val="00092670"/>
    <w:rsid w:val="00092DF6"/>
    <w:rsid w:val="00093D9A"/>
    <w:rsid w:val="00097770"/>
    <w:rsid w:val="000A1457"/>
    <w:rsid w:val="000A1A87"/>
    <w:rsid w:val="000A293A"/>
    <w:rsid w:val="000B3155"/>
    <w:rsid w:val="000B3E07"/>
    <w:rsid w:val="000B4874"/>
    <w:rsid w:val="000B5B9C"/>
    <w:rsid w:val="000B6092"/>
    <w:rsid w:val="000B62F2"/>
    <w:rsid w:val="000B634F"/>
    <w:rsid w:val="000C1410"/>
    <w:rsid w:val="000C397E"/>
    <w:rsid w:val="000C4453"/>
    <w:rsid w:val="000C45FE"/>
    <w:rsid w:val="000C48A4"/>
    <w:rsid w:val="000C4DBE"/>
    <w:rsid w:val="000C536B"/>
    <w:rsid w:val="000C5A4D"/>
    <w:rsid w:val="000C5FF2"/>
    <w:rsid w:val="000C6580"/>
    <w:rsid w:val="000D07F0"/>
    <w:rsid w:val="000D47BF"/>
    <w:rsid w:val="000D56A5"/>
    <w:rsid w:val="000E330A"/>
    <w:rsid w:val="000E3AA1"/>
    <w:rsid w:val="000F1708"/>
    <w:rsid w:val="000F47CE"/>
    <w:rsid w:val="000F5189"/>
    <w:rsid w:val="00100AEF"/>
    <w:rsid w:val="00101A60"/>
    <w:rsid w:val="001041EA"/>
    <w:rsid w:val="00106734"/>
    <w:rsid w:val="00107255"/>
    <w:rsid w:val="0011099C"/>
    <w:rsid w:val="00114BD3"/>
    <w:rsid w:val="001156C3"/>
    <w:rsid w:val="00115792"/>
    <w:rsid w:val="00116F0A"/>
    <w:rsid w:val="00117D08"/>
    <w:rsid w:val="00117FCD"/>
    <w:rsid w:val="00120319"/>
    <w:rsid w:val="0012045D"/>
    <w:rsid w:val="0012245C"/>
    <w:rsid w:val="001246FF"/>
    <w:rsid w:val="00125C56"/>
    <w:rsid w:val="001315E7"/>
    <w:rsid w:val="0013392E"/>
    <w:rsid w:val="00134622"/>
    <w:rsid w:val="001352E5"/>
    <w:rsid w:val="0013677B"/>
    <w:rsid w:val="00136D16"/>
    <w:rsid w:val="00141143"/>
    <w:rsid w:val="0014324C"/>
    <w:rsid w:val="00143385"/>
    <w:rsid w:val="001456FE"/>
    <w:rsid w:val="00146351"/>
    <w:rsid w:val="0014731B"/>
    <w:rsid w:val="00150DFC"/>
    <w:rsid w:val="00153B6F"/>
    <w:rsid w:val="00153ECD"/>
    <w:rsid w:val="00155CDA"/>
    <w:rsid w:val="001568B9"/>
    <w:rsid w:val="001572B7"/>
    <w:rsid w:val="00164107"/>
    <w:rsid w:val="0016433D"/>
    <w:rsid w:val="00164D7B"/>
    <w:rsid w:val="0016507B"/>
    <w:rsid w:val="0016759B"/>
    <w:rsid w:val="0017240F"/>
    <w:rsid w:val="00172B37"/>
    <w:rsid w:val="00174DFB"/>
    <w:rsid w:val="00174FDE"/>
    <w:rsid w:val="001777D9"/>
    <w:rsid w:val="00180AF5"/>
    <w:rsid w:val="001820C0"/>
    <w:rsid w:val="0018257B"/>
    <w:rsid w:val="00182EEC"/>
    <w:rsid w:val="00184265"/>
    <w:rsid w:val="001848B6"/>
    <w:rsid w:val="001863CE"/>
    <w:rsid w:val="00187DA2"/>
    <w:rsid w:val="00190262"/>
    <w:rsid w:val="00192D3C"/>
    <w:rsid w:val="001965F5"/>
    <w:rsid w:val="00196CA3"/>
    <w:rsid w:val="001A00C0"/>
    <w:rsid w:val="001A0266"/>
    <w:rsid w:val="001A5BA1"/>
    <w:rsid w:val="001B302D"/>
    <w:rsid w:val="001B5655"/>
    <w:rsid w:val="001B6681"/>
    <w:rsid w:val="001C043A"/>
    <w:rsid w:val="001C1183"/>
    <w:rsid w:val="001C2246"/>
    <w:rsid w:val="001C7747"/>
    <w:rsid w:val="001D00D8"/>
    <w:rsid w:val="001D10F2"/>
    <w:rsid w:val="001D159E"/>
    <w:rsid w:val="001D178E"/>
    <w:rsid w:val="001D3E14"/>
    <w:rsid w:val="001D40A1"/>
    <w:rsid w:val="001D4561"/>
    <w:rsid w:val="001D7DFD"/>
    <w:rsid w:val="001E1C0A"/>
    <w:rsid w:val="001E20A2"/>
    <w:rsid w:val="001E3000"/>
    <w:rsid w:val="001E4198"/>
    <w:rsid w:val="001E46CB"/>
    <w:rsid w:val="001E503B"/>
    <w:rsid w:val="001E6356"/>
    <w:rsid w:val="001E6760"/>
    <w:rsid w:val="001E7174"/>
    <w:rsid w:val="001F0545"/>
    <w:rsid w:val="001F0CB2"/>
    <w:rsid w:val="001F0E9F"/>
    <w:rsid w:val="001F18A1"/>
    <w:rsid w:val="001F19C1"/>
    <w:rsid w:val="001F2B5D"/>
    <w:rsid w:val="001F2D3E"/>
    <w:rsid w:val="001F397B"/>
    <w:rsid w:val="001F48F5"/>
    <w:rsid w:val="001F4C5A"/>
    <w:rsid w:val="001F52C7"/>
    <w:rsid w:val="001F53CF"/>
    <w:rsid w:val="001F5C18"/>
    <w:rsid w:val="001F61A4"/>
    <w:rsid w:val="001F62F3"/>
    <w:rsid w:val="001F758F"/>
    <w:rsid w:val="001F7DDF"/>
    <w:rsid w:val="00200372"/>
    <w:rsid w:val="00202ADB"/>
    <w:rsid w:val="00202E65"/>
    <w:rsid w:val="00203E08"/>
    <w:rsid w:val="00204034"/>
    <w:rsid w:val="00207091"/>
    <w:rsid w:val="0021016A"/>
    <w:rsid w:val="00212F6D"/>
    <w:rsid w:val="00214F30"/>
    <w:rsid w:val="00216108"/>
    <w:rsid w:val="0021618C"/>
    <w:rsid w:val="0021675B"/>
    <w:rsid w:val="00221CB7"/>
    <w:rsid w:val="00224052"/>
    <w:rsid w:val="00224C04"/>
    <w:rsid w:val="002256ED"/>
    <w:rsid w:val="00226C11"/>
    <w:rsid w:val="00226C60"/>
    <w:rsid w:val="002275EE"/>
    <w:rsid w:val="00227674"/>
    <w:rsid w:val="002303C5"/>
    <w:rsid w:val="0023166A"/>
    <w:rsid w:val="00233870"/>
    <w:rsid w:val="0023432E"/>
    <w:rsid w:val="002343CE"/>
    <w:rsid w:val="002372E7"/>
    <w:rsid w:val="00240D33"/>
    <w:rsid w:val="002419A6"/>
    <w:rsid w:val="00242A67"/>
    <w:rsid w:val="00242CBF"/>
    <w:rsid w:val="00244CEE"/>
    <w:rsid w:val="0024517D"/>
    <w:rsid w:val="00245A3A"/>
    <w:rsid w:val="002468DE"/>
    <w:rsid w:val="00247624"/>
    <w:rsid w:val="002477A7"/>
    <w:rsid w:val="0025356F"/>
    <w:rsid w:val="00254748"/>
    <w:rsid w:val="00254854"/>
    <w:rsid w:val="002552DD"/>
    <w:rsid w:val="00255CF4"/>
    <w:rsid w:val="00256A89"/>
    <w:rsid w:val="0025717B"/>
    <w:rsid w:val="00257CE2"/>
    <w:rsid w:val="00257DCF"/>
    <w:rsid w:val="00261274"/>
    <w:rsid w:val="00266B05"/>
    <w:rsid w:val="00271205"/>
    <w:rsid w:val="0027416A"/>
    <w:rsid w:val="002753CC"/>
    <w:rsid w:val="00275D88"/>
    <w:rsid w:val="00276DAE"/>
    <w:rsid w:val="00280B6F"/>
    <w:rsid w:val="00280B8E"/>
    <w:rsid w:val="00291E51"/>
    <w:rsid w:val="00292FD5"/>
    <w:rsid w:val="00293EC9"/>
    <w:rsid w:val="00294050"/>
    <w:rsid w:val="002946D5"/>
    <w:rsid w:val="00295D1D"/>
    <w:rsid w:val="002A062B"/>
    <w:rsid w:val="002A5638"/>
    <w:rsid w:val="002A5F7A"/>
    <w:rsid w:val="002A6865"/>
    <w:rsid w:val="002A73BB"/>
    <w:rsid w:val="002B1A12"/>
    <w:rsid w:val="002B3C3C"/>
    <w:rsid w:val="002B407C"/>
    <w:rsid w:val="002B426C"/>
    <w:rsid w:val="002B43E6"/>
    <w:rsid w:val="002B568F"/>
    <w:rsid w:val="002B6535"/>
    <w:rsid w:val="002C040D"/>
    <w:rsid w:val="002C5D95"/>
    <w:rsid w:val="002D11A5"/>
    <w:rsid w:val="002D58BF"/>
    <w:rsid w:val="002D613B"/>
    <w:rsid w:val="002D6E3B"/>
    <w:rsid w:val="002D72D3"/>
    <w:rsid w:val="002E1633"/>
    <w:rsid w:val="002E2748"/>
    <w:rsid w:val="002E2A9C"/>
    <w:rsid w:val="002E31A2"/>
    <w:rsid w:val="002E33D4"/>
    <w:rsid w:val="002E4D54"/>
    <w:rsid w:val="002E6640"/>
    <w:rsid w:val="002E6E49"/>
    <w:rsid w:val="002F3CEA"/>
    <w:rsid w:val="002F41ED"/>
    <w:rsid w:val="002F604F"/>
    <w:rsid w:val="002F733D"/>
    <w:rsid w:val="002F7482"/>
    <w:rsid w:val="00300FB1"/>
    <w:rsid w:val="00302A4C"/>
    <w:rsid w:val="00303438"/>
    <w:rsid w:val="00303906"/>
    <w:rsid w:val="0030422E"/>
    <w:rsid w:val="0030434B"/>
    <w:rsid w:val="00304428"/>
    <w:rsid w:val="0030486B"/>
    <w:rsid w:val="0030622B"/>
    <w:rsid w:val="00306481"/>
    <w:rsid w:val="003105DF"/>
    <w:rsid w:val="00310B8C"/>
    <w:rsid w:val="003120E3"/>
    <w:rsid w:val="0031410B"/>
    <w:rsid w:val="00315234"/>
    <w:rsid w:val="00315626"/>
    <w:rsid w:val="00316B76"/>
    <w:rsid w:val="003200E4"/>
    <w:rsid w:val="00324723"/>
    <w:rsid w:val="00330B6C"/>
    <w:rsid w:val="00330CB0"/>
    <w:rsid w:val="00332C3A"/>
    <w:rsid w:val="00332E60"/>
    <w:rsid w:val="0033382B"/>
    <w:rsid w:val="00335814"/>
    <w:rsid w:val="00336164"/>
    <w:rsid w:val="00340467"/>
    <w:rsid w:val="00341168"/>
    <w:rsid w:val="003414BC"/>
    <w:rsid w:val="00341773"/>
    <w:rsid w:val="003431C5"/>
    <w:rsid w:val="0034380D"/>
    <w:rsid w:val="00343B80"/>
    <w:rsid w:val="00344CD3"/>
    <w:rsid w:val="00345F1B"/>
    <w:rsid w:val="00346A23"/>
    <w:rsid w:val="00346F2F"/>
    <w:rsid w:val="003471C2"/>
    <w:rsid w:val="00350AF2"/>
    <w:rsid w:val="003541F6"/>
    <w:rsid w:val="00354CFE"/>
    <w:rsid w:val="0035568D"/>
    <w:rsid w:val="0035651B"/>
    <w:rsid w:val="00356BD6"/>
    <w:rsid w:val="00356DA1"/>
    <w:rsid w:val="003575AB"/>
    <w:rsid w:val="003577AA"/>
    <w:rsid w:val="00364321"/>
    <w:rsid w:val="00365C5D"/>
    <w:rsid w:val="00366352"/>
    <w:rsid w:val="00367735"/>
    <w:rsid w:val="003717BB"/>
    <w:rsid w:val="0037498B"/>
    <w:rsid w:val="00375714"/>
    <w:rsid w:val="00375C51"/>
    <w:rsid w:val="00375EB4"/>
    <w:rsid w:val="0037729F"/>
    <w:rsid w:val="0038063E"/>
    <w:rsid w:val="00380A31"/>
    <w:rsid w:val="0038116C"/>
    <w:rsid w:val="00381210"/>
    <w:rsid w:val="00381EAD"/>
    <w:rsid w:val="00382F2A"/>
    <w:rsid w:val="003831C5"/>
    <w:rsid w:val="0038610A"/>
    <w:rsid w:val="0039250A"/>
    <w:rsid w:val="00393F6B"/>
    <w:rsid w:val="003945B3"/>
    <w:rsid w:val="00395472"/>
    <w:rsid w:val="00395D6F"/>
    <w:rsid w:val="00397340"/>
    <w:rsid w:val="003A006E"/>
    <w:rsid w:val="003A1167"/>
    <w:rsid w:val="003A509E"/>
    <w:rsid w:val="003A6014"/>
    <w:rsid w:val="003A6ADB"/>
    <w:rsid w:val="003B0FCE"/>
    <w:rsid w:val="003B196D"/>
    <w:rsid w:val="003B22B3"/>
    <w:rsid w:val="003B2AD5"/>
    <w:rsid w:val="003B31B2"/>
    <w:rsid w:val="003B5EF8"/>
    <w:rsid w:val="003B61B5"/>
    <w:rsid w:val="003B69A7"/>
    <w:rsid w:val="003B724B"/>
    <w:rsid w:val="003C179C"/>
    <w:rsid w:val="003C1AFB"/>
    <w:rsid w:val="003C3CA0"/>
    <w:rsid w:val="003C5113"/>
    <w:rsid w:val="003C56C4"/>
    <w:rsid w:val="003C6484"/>
    <w:rsid w:val="003D39B6"/>
    <w:rsid w:val="003D5112"/>
    <w:rsid w:val="003D517E"/>
    <w:rsid w:val="003D54BC"/>
    <w:rsid w:val="003D5BC0"/>
    <w:rsid w:val="003D6564"/>
    <w:rsid w:val="003E0D2D"/>
    <w:rsid w:val="003E17EF"/>
    <w:rsid w:val="003E39B5"/>
    <w:rsid w:val="003E68C1"/>
    <w:rsid w:val="003E70DF"/>
    <w:rsid w:val="003E7EE4"/>
    <w:rsid w:val="003E7F86"/>
    <w:rsid w:val="003F03B0"/>
    <w:rsid w:val="003F03DD"/>
    <w:rsid w:val="003F04E8"/>
    <w:rsid w:val="003F0735"/>
    <w:rsid w:val="003F4B25"/>
    <w:rsid w:val="003F6185"/>
    <w:rsid w:val="004001A6"/>
    <w:rsid w:val="004026C2"/>
    <w:rsid w:val="0040369C"/>
    <w:rsid w:val="00403C3F"/>
    <w:rsid w:val="00406D28"/>
    <w:rsid w:val="00415DE9"/>
    <w:rsid w:val="00417175"/>
    <w:rsid w:val="00417E3C"/>
    <w:rsid w:val="00417E41"/>
    <w:rsid w:val="00424716"/>
    <w:rsid w:val="004259E3"/>
    <w:rsid w:val="00426E4D"/>
    <w:rsid w:val="00430859"/>
    <w:rsid w:val="00430C6D"/>
    <w:rsid w:val="00431F6A"/>
    <w:rsid w:val="004323DF"/>
    <w:rsid w:val="00432616"/>
    <w:rsid w:val="004341D0"/>
    <w:rsid w:val="00434814"/>
    <w:rsid w:val="00435423"/>
    <w:rsid w:val="0043590F"/>
    <w:rsid w:val="00435C25"/>
    <w:rsid w:val="004373B8"/>
    <w:rsid w:val="00437D5F"/>
    <w:rsid w:val="00441EF2"/>
    <w:rsid w:val="00446FAD"/>
    <w:rsid w:val="00447E34"/>
    <w:rsid w:val="004504D5"/>
    <w:rsid w:val="00452110"/>
    <w:rsid w:val="00453FD5"/>
    <w:rsid w:val="004546F0"/>
    <w:rsid w:val="00455E1B"/>
    <w:rsid w:val="00456812"/>
    <w:rsid w:val="0046106E"/>
    <w:rsid w:val="0046109A"/>
    <w:rsid w:val="00461158"/>
    <w:rsid w:val="00462480"/>
    <w:rsid w:val="00463A5D"/>
    <w:rsid w:val="00465BA5"/>
    <w:rsid w:val="00466CC9"/>
    <w:rsid w:val="00467100"/>
    <w:rsid w:val="00467676"/>
    <w:rsid w:val="00467BB1"/>
    <w:rsid w:val="00470DE2"/>
    <w:rsid w:val="00471CCF"/>
    <w:rsid w:val="00471F17"/>
    <w:rsid w:val="004725C1"/>
    <w:rsid w:val="00474067"/>
    <w:rsid w:val="00474B4E"/>
    <w:rsid w:val="00474FC7"/>
    <w:rsid w:val="0047557C"/>
    <w:rsid w:val="00476132"/>
    <w:rsid w:val="004766BC"/>
    <w:rsid w:val="004778E0"/>
    <w:rsid w:val="00481B7D"/>
    <w:rsid w:val="00481E73"/>
    <w:rsid w:val="00483506"/>
    <w:rsid w:val="00484739"/>
    <w:rsid w:val="00485131"/>
    <w:rsid w:val="00485732"/>
    <w:rsid w:val="00486660"/>
    <w:rsid w:val="00486671"/>
    <w:rsid w:val="004909E5"/>
    <w:rsid w:val="004911F3"/>
    <w:rsid w:val="00494338"/>
    <w:rsid w:val="00495385"/>
    <w:rsid w:val="00496EAA"/>
    <w:rsid w:val="0049724E"/>
    <w:rsid w:val="00497534"/>
    <w:rsid w:val="004976A1"/>
    <w:rsid w:val="004A18E4"/>
    <w:rsid w:val="004A1AAA"/>
    <w:rsid w:val="004A4C18"/>
    <w:rsid w:val="004A4F1B"/>
    <w:rsid w:val="004A59F2"/>
    <w:rsid w:val="004A79B4"/>
    <w:rsid w:val="004B37FC"/>
    <w:rsid w:val="004B3BC8"/>
    <w:rsid w:val="004B60D9"/>
    <w:rsid w:val="004B6B0A"/>
    <w:rsid w:val="004C0765"/>
    <w:rsid w:val="004C2D79"/>
    <w:rsid w:val="004C4AE3"/>
    <w:rsid w:val="004C548A"/>
    <w:rsid w:val="004C55C9"/>
    <w:rsid w:val="004C69BE"/>
    <w:rsid w:val="004D03B1"/>
    <w:rsid w:val="004D128F"/>
    <w:rsid w:val="004D1D3D"/>
    <w:rsid w:val="004D28FA"/>
    <w:rsid w:val="004D3AB2"/>
    <w:rsid w:val="004D3B40"/>
    <w:rsid w:val="004D5DEA"/>
    <w:rsid w:val="004D63F0"/>
    <w:rsid w:val="004D6DB4"/>
    <w:rsid w:val="004D7625"/>
    <w:rsid w:val="004E0655"/>
    <w:rsid w:val="004E0B4B"/>
    <w:rsid w:val="004E3724"/>
    <w:rsid w:val="004E37D5"/>
    <w:rsid w:val="004E72C3"/>
    <w:rsid w:val="004F00AB"/>
    <w:rsid w:val="004F4573"/>
    <w:rsid w:val="004F79AA"/>
    <w:rsid w:val="00500316"/>
    <w:rsid w:val="00503B17"/>
    <w:rsid w:val="00504D69"/>
    <w:rsid w:val="00505BD4"/>
    <w:rsid w:val="00505E0A"/>
    <w:rsid w:val="005067D0"/>
    <w:rsid w:val="0050719D"/>
    <w:rsid w:val="00507514"/>
    <w:rsid w:val="00507899"/>
    <w:rsid w:val="005102E1"/>
    <w:rsid w:val="00510D8A"/>
    <w:rsid w:val="005114EC"/>
    <w:rsid w:val="00512A69"/>
    <w:rsid w:val="005139E6"/>
    <w:rsid w:val="00514BD0"/>
    <w:rsid w:val="0051684A"/>
    <w:rsid w:val="0051764D"/>
    <w:rsid w:val="005177E5"/>
    <w:rsid w:val="00517D2D"/>
    <w:rsid w:val="00520295"/>
    <w:rsid w:val="00523718"/>
    <w:rsid w:val="00524D51"/>
    <w:rsid w:val="00524EA9"/>
    <w:rsid w:val="005265C3"/>
    <w:rsid w:val="005269C7"/>
    <w:rsid w:val="00527817"/>
    <w:rsid w:val="005279C4"/>
    <w:rsid w:val="00527A53"/>
    <w:rsid w:val="00530751"/>
    <w:rsid w:val="0053147D"/>
    <w:rsid w:val="00531612"/>
    <w:rsid w:val="00533000"/>
    <w:rsid w:val="00533E07"/>
    <w:rsid w:val="005364EB"/>
    <w:rsid w:val="00536E3C"/>
    <w:rsid w:val="00537834"/>
    <w:rsid w:val="005404F6"/>
    <w:rsid w:val="005409BB"/>
    <w:rsid w:val="005412F2"/>
    <w:rsid w:val="005438B8"/>
    <w:rsid w:val="00544CA8"/>
    <w:rsid w:val="00546B29"/>
    <w:rsid w:val="00546B6A"/>
    <w:rsid w:val="00551B39"/>
    <w:rsid w:val="00554DA6"/>
    <w:rsid w:val="00555E46"/>
    <w:rsid w:val="005562AE"/>
    <w:rsid w:val="005568CA"/>
    <w:rsid w:val="00556E99"/>
    <w:rsid w:val="00557A12"/>
    <w:rsid w:val="005606FB"/>
    <w:rsid w:val="00560D11"/>
    <w:rsid w:val="00561DFE"/>
    <w:rsid w:val="00566F50"/>
    <w:rsid w:val="005677C6"/>
    <w:rsid w:val="00570142"/>
    <w:rsid w:val="005723B2"/>
    <w:rsid w:val="005725F0"/>
    <w:rsid w:val="005742D3"/>
    <w:rsid w:val="005761B9"/>
    <w:rsid w:val="00576BE5"/>
    <w:rsid w:val="00576EA5"/>
    <w:rsid w:val="00577643"/>
    <w:rsid w:val="00577D95"/>
    <w:rsid w:val="005810AF"/>
    <w:rsid w:val="00581F58"/>
    <w:rsid w:val="00583C45"/>
    <w:rsid w:val="00584B53"/>
    <w:rsid w:val="00584D06"/>
    <w:rsid w:val="00587AF2"/>
    <w:rsid w:val="0059002E"/>
    <w:rsid w:val="00591D14"/>
    <w:rsid w:val="00592207"/>
    <w:rsid w:val="0059266D"/>
    <w:rsid w:val="0059368D"/>
    <w:rsid w:val="005940CC"/>
    <w:rsid w:val="00594473"/>
    <w:rsid w:val="00594ABE"/>
    <w:rsid w:val="00597573"/>
    <w:rsid w:val="005A077A"/>
    <w:rsid w:val="005A3353"/>
    <w:rsid w:val="005A5245"/>
    <w:rsid w:val="005A79A2"/>
    <w:rsid w:val="005B374D"/>
    <w:rsid w:val="005B5A05"/>
    <w:rsid w:val="005B78D6"/>
    <w:rsid w:val="005C0787"/>
    <w:rsid w:val="005C3CC2"/>
    <w:rsid w:val="005C497D"/>
    <w:rsid w:val="005C6799"/>
    <w:rsid w:val="005C72AB"/>
    <w:rsid w:val="005C7B4C"/>
    <w:rsid w:val="005D070F"/>
    <w:rsid w:val="005D291F"/>
    <w:rsid w:val="005D3DFE"/>
    <w:rsid w:val="005D466C"/>
    <w:rsid w:val="005D58C6"/>
    <w:rsid w:val="005D794D"/>
    <w:rsid w:val="005E00B2"/>
    <w:rsid w:val="005E0A18"/>
    <w:rsid w:val="005E155A"/>
    <w:rsid w:val="005E1B4F"/>
    <w:rsid w:val="005E1DD4"/>
    <w:rsid w:val="005E1E33"/>
    <w:rsid w:val="005E2654"/>
    <w:rsid w:val="005E2C77"/>
    <w:rsid w:val="005E506E"/>
    <w:rsid w:val="005E533D"/>
    <w:rsid w:val="005E5BD3"/>
    <w:rsid w:val="005E6FA2"/>
    <w:rsid w:val="005E78F5"/>
    <w:rsid w:val="005E79BF"/>
    <w:rsid w:val="005F1226"/>
    <w:rsid w:val="005F24A8"/>
    <w:rsid w:val="005F5E99"/>
    <w:rsid w:val="005F746B"/>
    <w:rsid w:val="0060041A"/>
    <w:rsid w:val="00600966"/>
    <w:rsid w:val="006016DE"/>
    <w:rsid w:val="0060214B"/>
    <w:rsid w:val="00605F84"/>
    <w:rsid w:val="00607317"/>
    <w:rsid w:val="00611A14"/>
    <w:rsid w:val="00617F4E"/>
    <w:rsid w:val="00620113"/>
    <w:rsid w:val="0062161F"/>
    <w:rsid w:val="006238C0"/>
    <w:rsid w:val="00623A0F"/>
    <w:rsid w:val="00623F9A"/>
    <w:rsid w:val="006251B4"/>
    <w:rsid w:val="00625718"/>
    <w:rsid w:val="00625EDB"/>
    <w:rsid w:val="006260B9"/>
    <w:rsid w:val="0062786A"/>
    <w:rsid w:val="00632046"/>
    <w:rsid w:val="00636621"/>
    <w:rsid w:val="006401B8"/>
    <w:rsid w:val="00640B41"/>
    <w:rsid w:val="00640F2E"/>
    <w:rsid w:val="006420BA"/>
    <w:rsid w:val="00642430"/>
    <w:rsid w:val="0064273A"/>
    <w:rsid w:val="00642EB2"/>
    <w:rsid w:val="006433E6"/>
    <w:rsid w:val="00643F3A"/>
    <w:rsid w:val="00644155"/>
    <w:rsid w:val="00647928"/>
    <w:rsid w:val="00650AD4"/>
    <w:rsid w:val="006511D6"/>
    <w:rsid w:val="00651696"/>
    <w:rsid w:val="00652AD9"/>
    <w:rsid w:val="00657084"/>
    <w:rsid w:val="00657974"/>
    <w:rsid w:val="00660440"/>
    <w:rsid w:val="00662016"/>
    <w:rsid w:val="006634A1"/>
    <w:rsid w:val="006636C9"/>
    <w:rsid w:val="006656CD"/>
    <w:rsid w:val="00665AA2"/>
    <w:rsid w:val="00665B27"/>
    <w:rsid w:val="006661B0"/>
    <w:rsid w:val="00670E11"/>
    <w:rsid w:val="006724BE"/>
    <w:rsid w:val="00672645"/>
    <w:rsid w:val="00674DD4"/>
    <w:rsid w:val="006752D6"/>
    <w:rsid w:val="00675989"/>
    <w:rsid w:val="00676E06"/>
    <w:rsid w:val="00676F2B"/>
    <w:rsid w:val="00682891"/>
    <w:rsid w:val="006918F1"/>
    <w:rsid w:val="00691A33"/>
    <w:rsid w:val="00693267"/>
    <w:rsid w:val="00693570"/>
    <w:rsid w:val="00695B3E"/>
    <w:rsid w:val="006972F4"/>
    <w:rsid w:val="00697569"/>
    <w:rsid w:val="006A0775"/>
    <w:rsid w:val="006A0A61"/>
    <w:rsid w:val="006A195E"/>
    <w:rsid w:val="006A2FB0"/>
    <w:rsid w:val="006A3031"/>
    <w:rsid w:val="006A57AF"/>
    <w:rsid w:val="006A7255"/>
    <w:rsid w:val="006B0C31"/>
    <w:rsid w:val="006B1FD7"/>
    <w:rsid w:val="006B324E"/>
    <w:rsid w:val="006B4DB1"/>
    <w:rsid w:val="006B74FC"/>
    <w:rsid w:val="006C122E"/>
    <w:rsid w:val="006C27BF"/>
    <w:rsid w:val="006C2964"/>
    <w:rsid w:val="006C33F1"/>
    <w:rsid w:val="006C367D"/>
    <w:rsid w:val="006C51B7"/>
    <w:rsid w:val="006C56E1"/>
    <w:rsid w:val="006C5B2E"/>
    <w:rsid w:val="006D04E5"/>
    <w:rsid w:val="006D30B5"/>
    <w:rsid w:val="006D3493"/>
    <w:rsid w:val="006D3827"/>
    <w:rsid w:val="006D38B7"/>
    <w:rsid w:val="006D3D5A"/>
    <w:rsid w:val="006D4411"/>
    <w:rsid w:val="006D559C"/>
    <w:rsid w:val="006E1254"/>
    <w:rsid w:val="006E13B2"/>
    <w:rsid w:val="006E146A"/>
    <w:rsid w:val="006E176E"/>
    <w:rsid w:val="006E287B"/>
    <w:rsid w:val="006E3F4F"/>
    <w:rsid w:val="006E52EE"/>
    <w:rsid w:val="006E58A0"/>
    <w:rsid w:val="006E5E0C"/>
    <w:rsid w:val="006E718F"/>
    <w:rsid w:val="006F01F3"/>
    <w:rsid w:val="006F0E86"/>
    <w:rsid w:val="006F1283"/>
    <w:rsid w:val="006F200A"/>
    <w:rsid w:val="006F2427"/>
    <w:rsid w:val="006F64AA"/>
    <w:rsid w:val="006F654E"/>
    <w:rsid w:val="006F6F04"/>
    <w:rsid w:val="007015F7"/>
    <w:rsid w:val="00705316"/>
    <w:rsid w:val="007061C1"/>
    <w:rsid w:val="0070696C"/>
    <w:rsid w:val="00707F6C"/>
    <w:rsid w:val="00710741"/>
    <w:rsid w:val="007109F3"/>
    <w:rsid w:val="007134AE"/>
    <w:rsid w:val="007139E9"/>
    <w:rsid w:val="00715474"/>
    <w:rsid w:val="00717661"/>
    <w:rsid w:val="0072029B"/>
    <w:rsid w:val="00720980"/>
    <w:rsid w:val="00720E7E"/>
    <w:rsid w:val="007211FC"/>
    <w:rsid w:val="0072280C"/>
    <w:rsid w:val="007234A6"/>
    <w:rsid w:val="007256C3"/>
    <w:rsid w:val="007305E9"/>
    <w:rsid w:val="00732AD4"/>
    <w:rsid w:val="007336AC"/>
    <w:rsid w:val="00733972"/>
    <w:rsid w:val="00736E17"/>
    <w:rsid w:val="0074299E"/>
    <w:rsid w:val="00743095"/>
    <w:rsid w:val="00743B96"/>
    <w:rsid w:val="00746756"/>
    <w:rsid w:val="00747557"/>
    <w:rsid w:val="00747AD8"/>
    <w:rsid w:val="007500EA"/>
    <w:rsid w:val="00750179"/>
    <w:rsid w:val="00750988"/>
    <w:rsid w:val="00750D18"/>
    <w:rsid w:val="0075197B"/>
    <w:rsid w:val="00751C0F"/>
    <w:rsid w:val="00751EC9"/>
    <w:rsid w:val="00754831"/>
    <w:rsid w:val="00757BED"/>
    <w:rsid w:val="00760293"/>
    <w:rsid w:val="007615BC"/>
    <w:rsid w:val="0076223F"/>
    <w:rsid w:val="00765B5A"/>
    <w:rsid w:val="00766AAF"/>
    <w:rsid w:val="00766AFF"/>
    <w:rsid w:val="00770134"/>
    <w:rsid w:val="00770FEC"/>
    <w:rsid w:val="0077265A"/>
    <w:rsid w:val="0077266E"/>
    <w:rsid w:val="00773DFA"/>
    <w:rsid w:val="00776BF1"/>
    <w:rsid w:val="00777798"/>
    <w:rsid w:val="00777A98"/>
    <w:rsid w:val="00777DEA"/>
    <w:rsid w:val="00780F34"/>
    <w:rsid w:val="0078154A"/>
    <w:rsid w:val="00782407"/>
    <w:rsid w:val="0078278B"/>
    <w:rsid w:val="007829D0"/>
    <w:rsid w:val="00783717"/>
    <w:rsid w:val="00784112"/>
    <w:rsid w:val="007865CB"/>
    <w:rsid w:val="00790927"/>
    <w:rsid w:val="007919E9"/>
    <w:rsid w:val="00791E4B"/>
    <w:rsid w:val="00792AA4"/>
    <w:rsid w:val="00793AC5"/>
    <w:rsid w:val="0079402A"/>
    <w:rsid w:val="0079419F"/>
    <w:rsid w:val="00794B9C"/>
    <w:rsid w:val="00797DDC"/>
    <w:rsid w:val="007A0F01"/>
    <w:rsid w:val="007A444A"/>
    <w:rsid w:val="007A479B"/>
    <w:rsid w:val="007A7968"/>
    <w:rsid w:val="007B0F2A"/>
    <w:rsid w:val="007B2853"/>
    <w:rsid w:val="007B2C5C"/>
    <w:rsid w:val="007B3D4A"/>
    <w:rsid w:val="007B62AA"/>
    <w:rsid w:val="007B6813"/>
    <w:rsid w:val="007B69C0"/>
    <w:rsid w:val="007C1940"/>
    <w:rsid w:val="007C3AD2"/>
    <w:rsid w:val="007C49C2"/>
    <w:rsid w:val="007C5948"/>
    <w:rsid w:val="007C5F95"/>
    <w:rsid w:val="007C682A"/>
    <w:rsid w:val="007C68C5"/>
    <w:rsid w:val="007C76FE"/>
    <w:rsid w:val="007D10C1"/>
    <w:rsid w:val="007D225A"/>
    <w:rsid w:val="007D25B6"/>
    <w:rsid w:val="007D2B44"/>
    <w:rsid w:val="007D2F3E"/>
    <w:rsid w:val="007D31C4"/>
    <w:rsid w:val="007D334B"/>
    <w:rsid w:val="007D4BA2"/>
    <w:rsid w:val="007D4C30"/>
    <w:rsid w:val="007D53FC"/>
    <w:rsid w:val="007D5747"/>
    <w:rsid w:val="007D592C"/>
    <w:rsid w:val="007E19CD"/>
    <w:rsid w:val="007E25EE"/>
    <w:rsid w:val="007E53C8"/>
    <w:rsid w:val="007E620C"/>
    <w:rsid w:val="007E6C2D"/>
    <w:rsid w:val="007E6F29"/>
    <w:rsid w:val="007E74BD"/>
    <w:rsid w:val="007E7B36"/>
    <w:rsid w:val="007E7F94"/>
    <w:rsid w:val="007F3268"/>
    <w:rsid w:val="007F631D"/>
    <w:rsid w:val="007F65CF"/>
    <w:rsid w:val="00800D90"/>
    <w:rsid w:val="00802DB5"/>
    <w:rsid w:val="008031CF"/>
    <w:rsid w:val="00805FB4"/>
    <w:rsid w:val="00807113"/>
    <w:rsid w:val="008121B4"/>
    <w:rsid w:val="00813B25"/>
    <w:rsid w:val="0081433C"/>
    <w:rsid w:val="008152A4"/>
    <w:rsid w:val="0081533B"/>
    <w:rsid w:val="00815E4F"/>
    <w:rsid w:val="00816BAA"/>
    <w:rsid w:val="0082030A"/>
    <w:rsid w:val="00821173"/>
    <w:rsid w:val="00822838"/>
    <w:rsid w:val="00823046"/>
    <w:rsid w:val="00823327"/>
    <w:rsid w:val="00825D54"/>
    <w:rsid w:val="00826A82"/>
    <w:rsid w:val="00830EBF"/>
    <w:rsid w:val="008319C1"/>
    <w:rsid w:val="00833846"/>
    <w:rsid w:val="008370E8"/>
    <w:rsid w:val="0083711E"/>
    <w:rsid w:val="00837580"/>
    <w:rsid w:val="00840155"/>
    <w:rsid w:val="0084016C"/>
    <w:rsid w:val="00840D18"/>
    <w:rsid w:val="00840EEA"/>
    <w:rsid w:val="00841F85"/>
    <w:rsid w:val="00843C15"/>
    <w:rsid w:val="008445BB"/>
    <w:rsid w:val="00844AD5"/>
    <w:rsid w:val="00845D8B"/>
    <w:rsid w:val="00846253"/>
    <w:rsid w:val="00846985"/>
    <w:rsid w:val="0084741A"/>
    <w:rsid w:val="008479D6"/>
    <w:rsid w:val="00847AF6"/>
    <w:rsid w:val="00853980"/>
    <w:rsid w:val="008544F0"/>
    <w:rsid w:val="00861643"/>
    <w:rsid w:val="00862739"/>
    <w:rsid w:val="008634E6"/>
    <w:rsid w:val="008653DA"/>
    <w:rsid w:val="00865BF0"/>
    <w:rsid w:val="00870005"/>
    <w:rsid w:val="00870660"/>
    <w:rsid w:val="00870E84"/>
    <w:rsid w:val="00871A17"/>
    <w:rsid w:val="008727B8"/>
    <w:rsid w:val="00875BCA"/>
    <w:rsid w:val="00877CA3"/>
    <w:rsid w:val="0088020F"/>
    <w:rsid w:val="008811C8"/>
    <w:rsid w:val="00883E66"/>
    <w:rsid w:val="00887B48"/>
    <w:rsid w:val="00891290"/>
    <w:rsid w:val="008914BD"/>
    <w:rsid w:val="00891A26"/>
    <w:rsid w:val="008931FD"/>
    <w:rsid w:val="00894833"/>
    <w:rsid w:val="008952C9"/>
    <w:rsid w:val="00896DEB"/>
    <w:rsid w:val="008A05C4"/>
    <w:rsid w:val="008A315E"/>
    <w:rsid w:val="008A38B0"/>
    <w:rsid w:val="008A3FBE"/>
    <w:rsid w:val="008A534A"/>
    <w:rsid w:val="008A6F4E"/>
    <w:rsid w:val="008B0918"/>
    <w:rsid w:val="008B16DC"/>
    <w:rsid w:val="008B178F"/>
    <w:rsid w:val="008B2CEC"/>
    <w:rsid w:val="008B4AA1"/>
    <w:rsid w:val="008B526A"/>
    <w:rsid w:val="008B5E41"/>
    <w:rsid w:val="008B796F"/>
    <w:rsid w:val="008B7F17"/>
    <w:rsid w:val="008C1445"/>
    <w:rsid w:val="008C1A1C"/>
    <w:rsid w:val="008C1E4D"/>
    <w:rsid w:val="008C23CB"/>
    <w:rsid w:val="008C3107"/>
    <w:rsid w:val="008C375D"/>
    <w:rsid w:val="008C552E"/>
    <w:rsid w:val="008C6C22"/>
    <w:rsid w:val="008C77F0"/>
    <w:rsid w:val="008D3557"/>
    <w:rsid w:val="008D3863"/>
    <w:rsid w:val="008D3B92"/>
    <w:rsid w:val="008D5424"/>
    <w:rsid w:val="008D645F"/>
    <w:rsid w:val="008D7500"/>
    <w:rsid w:val="008E1433"/>
    <w:rsid w:val="008E259C"/>
    <w:rsid w:val="008E2615"/>
    <w:rsid w:val="008E31F2"/>
    <w:rsid w:val="008E3743"/>
    <w:rsid w:val="008E3926"/>
    <w:rsid w:val="008E4011"/>
    <w:rsid w:val="008E57FF"/>
    <w:rsid w:val="008E7852"/>
    <w:rsid w:val="008F1562"/>
    <w:rsid w:val="008F156A"/>
    <w:rsid w:val="008F1A31"/>
    <w:rsid w:val="008F210C"/>
    <w:rsid w:val="008F235D"/>
    <w:rsid w:val="008F3042"/>
    <w:rsid w:val="008F4BCA"/>
    <w:rsid w:val="009011B8"/>
    <w:rsid w:val="009011E4"/>
    <w:rsid w:val="009015B2"/>
    <w:rsid w:val="00902A67"/>
    <w:rsid w:val="00902D07"/>
    <w:rsid w:val="00902F51"/>
    <w:rsid w:val="009032E5"/>
    <w:rsid w:val="009041D3"/>
    <w:rsid w:val="00904262"/>
    <w:rsid w:val="00906D7D"/>
    <w:rsid w:val="00907862"/>
    <w:rsid w:val="00910710"/>
    <w:rsid w:val="00910966"/>
    <w:rsid w:val="00911154"/>
    <w:rsid w:val="009112BC"/>
    <w:rsid w:val="00912360"/>
    <w:rsid w:val="00914595"/>
    <w:rsid w:val="0091721E"/>
    <w:rsid w:val="00921E0D"/>
    <w:rsid w:val="009222CB"/>
    <w:rsid w:val="00924078"/>
    <w:rsid w:val="009251F7"/>
    <w:rsid w:val="009275A1"/>
    <w:rsid w:val="009277EF"/>
    <w:rsid w:val="0092790C"/>
    <w:rsid w:val="009304CF"/>
    <w:rsid w:val="00931911"/>
    <w:rsid w:val="00931C30"/>
    <w:rsid w:val="009323DE"/>
    <w:rsid w:val="0093425C"/>
    <w:rsid w:val="00936FC2"/>
    <w:rsid w:val="0093788E"/>
    <w:rsid w:val="009407F5"/>
    <w:rsid w:val="00942AEB"/>
    <w:rsid w:val="00943399"/>
    <w:rsid w:val="00943CAC"/>
    <w:rsid w:val="00950A8D"/>
    <w:rsid w:val="00950BFB"/>
    <w:rsid w:val="0095186A"/>
    <w:rsid w:val="00951B01"/>
    <w:rsid w:val="009537E7"/>
    <w:rsid w:val="00955CA0"/>
    <w:rsid w:val="00957036"/>
    <w:rsid w:val="00957732"/>
    <w:rsid w:val="009578AD"/>
    <w:rsid w:val="009608CB"/>
    <w:rsid w:val="009616D9"/>
    <w:rsid w:val="00961BB8"/>
    <w:rsid w:val="009629DC"/>
    <w:rsid w:val="0096321D"/>
    <w:rsid w:val="00965EFB"/>
    <w:rsid w:val="00967320"/>
    <w:rsid w:val="00970ABA"/>
    <w:rsid w:val="00972C43"/>
    <w:rsid w:val="00974EFD"/>
    <w:rsid w:val="00976E84"/>
    <w:rsid w:val="009771A7"/>
    <w:rsid w:val="00977E99"/>
    <w:rsid w:val="00982DEA"/>
    <w:rsid w:val="00984937"/>
    <w:rsid w:val="00984A88"/>
    <w:rsid w:val="00985A94"/>
    <w:rsid w:val="009876E7"/>
    <w:rsid w:val="00987C15"/>
    <w:rsid w:val="00990576"/>
    <w:rsid w:val="00990605"/>
    <w:rsid w:val="00990BB2"/>
    <w:rsid w:val="00991DFE"/>
    <w:rsid w:val="00992467"/>
    <w:rsid w:val="009929A7"/>
    <w:rsid w:val="00992C7E"/>
    <w:rsid w:val="00994C22"/>
    <w:rsid w:val="00994D58"/>
    <w:rsid w:val="009951D7"/>
    <w:rsid w:val="00995206"/>
    <w:rsid w:val="00995CC1"/>
    <w:rsid w:val="00995E6D"/>
    <w:rsid w:val="009A2697"/>
    <w:rsid w:val="009A3419"/>
    <w:rsid w:val="009A4795"/>
    <w:rsid w:val="009A5024"/>
    <w:rsid w:val="009A7192"/>
    <w:rsid w:val="009B0751"/>
    <w:rsid w:val="009B11C3"/>
    <w:rsid w:val="009B2244"/>
    <w:rsid w:val="009B2656"/>
    <w:rsid w:val="009B298A"/>
    <w:rsid w:val="009B3007"/>
    <w:rsid w:val="009B3305"/>
    <w:rsid w:val="009B3B0A"/>
    <w:rsid w:val="009C181A"/>
    <w:rsid w:val="009C1955"/>
    <w:rsid w:val="009C2F14"/>
    <w:rsid w:val="009C37DB"/>
    <w:rsid w:val="009C4DA7"/>
    <w:rsid w:val="009D169C"/>
    <w:rsid w:val="009D1890"/>
    <w:rsid w:val="009D1C42"/>
    <w:rsid w:val="009D45C0"/>
    <w:rsid w:val="009D46BA"/>
    <w:rsid w:val="009D78D8"/>
    <w:rsid w:val="009E0014"/>
    <w:rsid w:val="009E08E0"/>
    <w:rsid w:val="009E2A61"/>
    <w:rsid w:val="009E3A31"/>
    <w:rsid w:val="009E4141"/>
    <w:rsid w:val="009E5D20"/>
    <w:rsid w:val="009E6290"/>
    <w:rsid w:val="009E6C35"/>
    <w:rsid w:val="009E7236"/>
    <w:rsid w:val="009E754B"/>
    <w:rsid w:val="009F1074"/>
    <w:rsid w:val="009F1E16"/>
    <w:rsid w:val="009F32E7"/>
    <w:rsid w:val="009F799B"/>
    <w:rsid w:val="00A00165"/>
    <w:rsid w:val="00A0218B"/>
    <w:rsid w:val="00A035DD"/>
    <w:rsid w:val="00A037BF"/>
    <w:rsid w:val="00A044B3"/>
    <w:rsid w:val="00A05C94"/>
    <w:rsid w:val="00A06E04"/>
    <w:rsid w:val="00A06E0E"/>
    <w:rsid w:val="00A072EC"/>
    <w:rsid w:val="00A07FA3"/>
    <w:rsid w:val="00A108B8"/>
    <w:rsid w:val="00A111D7"/>
    <w:rsid w:val="00A121D7"/>
    <w:rsid w:val="00A130F6"/>
    <w:rsid w:val="00A14834"/>
    <w:rsid w:val="00A15FA8"/>
    <w:rsid w:val="00A16287"/>
    <w:rsid w:val="00A16749"/>
    <w:rsid w:val="00A17202"/>
    <w:rsid w:val="00A17BA1"/>
    <w:rsid w:val="00A20B26"/>
    <w:rsid w:val="00A22673"/>
    <w:rsid w:val="00A25C21"/>
    <w:rsid w:val="00A26035"/>
    <w:rsid w:val="00A27492"/>
    <w:rsid w:val="00A30798"/>
    <w:rsid w:val="00A32EAC"/>
    <w:rsid w:val="00A3384C"/>
    <w:rsid w:val="00A3483A"/>
    <w:rsid w:val="00A34D4C"/>
    <w:rsid w:val="00A363DF"/>
    <w:rsid w:val="00A36CF5"/>
    <w:rsid w:val="00A37BD8"/>
    <w:rsid w:val="00A402D9"/>
    <w:rsid w:val="00A4162B"/>
    <w:rsid w:val="00A4170D"/>
    <w:rsid w:val="00A450FD"/>
    <w:rsid w:val="00A46771"/>
    <w:rsid w:val="00A4720B"/>
    <w:rsid w:val="00A47F3D"/>
    <w:rsid w:val="00A50A30"/>
    <w:rsid w:val="00A52E1E"/>
    <w:rsid w:val="00A531B3"/>
    <w:rsid w:val="00A53E4D"/>
    <w:rsid w:val="00A56ADF"/>
    <w:rsid w:val="00A57084"/>
    <w:rsid w:val="00A616CC"/>
    <w:rsid w:val="00A65C3E"/>
    <w:rsid w:val="00A71A00"/>
    <w:rsid w:val="00A72664"/>
    <w:rsid w:val="00A73089"/>
    <w:rsid w:val="00A74CCF"/>
    <w:rsid w:val="00A753D1"/>
    <w:rsid w:val="00A76686"/>
    <w:rsid w:val="00A77423"/>
    <w:rsid w:val="00A80316"/>
    <w:rsid w:val="00A80E26"/>
    <w:rsid w:val="00A81D56"/>
    <w:rsid w:val="00A82F6B"/>
    <w:rsid w:val="00A85BF0"/>
    <w:rsid w:val="00A86402"/>
    <w:rsid w:val="00A86E64"/>
    <w:rsid w:val="00A87E2F"/>
    <w:rsid w:val="00A92B4A"/>
    <w:rsid w:val="00A95CEF"/>
    <w:rsid w:val="00AA2572"/>
    <w:rsid w:val="00AA3A18"/>
    <w:rsid w:val="00AA5E45"/>
    <w:rsid w:val="00AA7B1F"/>
    <w:rsid w:val="00AA7B74"/>
    <w:rsid w:val="00AB03B1"/>
    <w:rsid w:val="00AB3778"/>
    <w:rsid w:val="00AB6C24"/>
    <w:rsid w:val="00AC097B"/>
    <w:rsid w:val="00AC1A53"/>
    <w:rsid w:val="00AC23C1"/>
    <w:rsid w:val="00AC2EA6"/>
    <w:rsid w:val="00AC2EFF"/>
    <w:rsid w:val="00AC46A8"/>
    <w:rsid w:val="00AC54D0"/>
    <w:rsid w:val="00AC681F"/>
    <w:rsid w:val="00AC7AB7"/>
    <w:rsid w:val="00AD0A6A"/>
    <w:rsid w:val="00AD0AC8"/>
    <w:rsid w:val="00AD21FC"/>
    <w:rsid w:val="00AD5C88"/>
    <w:rsid w:val="00AD5CC1"/>
    <w:rsid w:val="00AD60E5"/>
    <w:rsid w:val="00AD6604"/>
    <w:rsid w:val="00AE05B9"/>
    <w:rsid w:val="00AE076E"/>
    <w:rsid w:val="00AE0F78"/>
    <w:rsid w:val="00AE1DE2"/>
    <w:rsid w:val="00AE2165"/>
    <w:rsid w:val="00AE3D95"/>
    <w:rsid w:val="00AE5CEE"/>
    <w:rsid w:val="00AF1CE9"/>
    <w:rsid w:val="00AF3BF7"/>
    <w:rsid w:val="00AF3D47"/>
    <w:rsid w:val="00AF4D75"/>
    <w:rsid w:val="00AF5816"/>
    <w:rsid w:val="00AF608F"/>
    <w:rsid w:val="00AF7029"/>
    <w:rsid w:val="00AF74F3"/>
    <w:rsid w:val="00B00B0D"/>
    <w:rsid w:val="00B00D4F"/>
    <w:rsid w:val="00B0218D"/>
    <w:rsid w:val="00B03356"/>
    <w:rsid w:val="00B037BA"/>
    <w:rsid w:val="00B072EE"/>
    <w:rsid w:val="00B07747"/>
    <w:rsid w:val="00B105FC"/>
    <w:rsid w:val="00B11903"/>
    <w:rsid w:val="00B12DB4"/>
    <w:rsid w:val="00B15E1C"/>
    <w:rsid w:val="00B16F8C"/>
    <w:rsid w:val="00B17849"/>
    <w:rsid w:val="00B20D41"/>
    <w:rsid w:val="00B21E35"/>
    <w:rsid w:val="00B21F92"/>
    <w:rsid w:val="00B226EB"/>
    <w:rsid w:val="00B249E3"/>
    <w:rsid w:val="00B24C52"/>
    <w:rsid w:val="00B25FA9"/>
    <w:rsid w:val="00B2643D"/>
    <w:rsid w:val="00B269BA"/>
    <w:rsid w:val="00B279AE"/>
    <w:rsid w:val="00B27BA1"/>
    <w:rsid w:val="00B30123"/>
    <w:rsid w:val="00B3121F"/>
    <w:rsid w:val="00B32169"/>
    <w:rsid w:val="00B32C6C"/>
    <w:rsid w:val="00B33AD1"/>
    <w:rsid w:val="00B33E59"/>
    <w:rsid w:val="00B343FB"/>
    <w:rsid w:val="00B3508C"/>
    <w:rsid w:val="00B354C2"/>
    <w:rsid w:val="00B366A5"/>
    <w:rsid w:val="00B37302"/>
    <w:rsid w:val="00B40F0F"/>
    <w:rsid w:val="00B4157F"/>
    <w:rsid w:val="00B43458"/>
    <w:rsid w:val="00B461C6"/>
    <w:rsid w:val="00B46550"/>
    <w:rsid w:val="00B51D26"/>
    <w:rsid w:val="00B5240E"/>
    <w:rsid w:val="00B52ECD"/>
    <w:rsid w:val="00B531B3"/>
    <w:rsid w:val="00B535FD"/>
    <w:rsid w:val="00B54BCB"/>
    <w:rsid w:val="00B55AF8"/>
    <w:rsid w:val="00B63960"/>
    <w:rsid w:val="00B64B2B"/>
    <w:rsid w:val="00B66727"/>
    <w:rsid w:val="00B66F47"/>
    <w:rsid w:val="00B67038"/>
    <w:rsid w:val="00B71585"/>
    <w:rsid w:val="00B725C0"/>
    <w:rsid w:val="00B73B47"/>
    <w:rsid w:val="00B7430F"/>
    <w:rsid w:val="00B763C5"/>
    <w:rsid w:val="00B77189"/>
    <w:rsid w:val="00B778D8"/>
    <w:rsid w:val="00B809A4"/>
    <w:rsid w:val="00B80E1D"/>
    <w:rsid w:val="00B80E72"/>
    <w:rsid w:val="00B817F7"/>
    <w:rsid w:val="00B84A50"/>
    <w:rsid w:val="00B84C05"/>
    <w:rsid w:val="00B84D31"/>
    <w:rsid w:val="00B84D57"/>
    <w:rsid w:val="00B85421"/>
    <w:rsid w:val="00B85DA2"/>
    <w:rsid w:val="00B8613C"/>
    <w:rsid w:val="00B866C0"/>
    <w:rsid w:val="00B87654"/>
    <w:rsid w:val="00B906E9"/>
    <w:rsid w:val="00B91465"/>
    <w:rsid w:val="00B91E4F"/>
    <w:rsid w:val="00B92E57"/>
    <w:rsid w:val="00B9572D"/>
    <w:rsid w:val="00B95D98"/>
    <w:rsid w:val="00B96C5B"/>
    <w:rsid w:val="00B9774A"/>
    <w:rsid w:val="00B97D87"/>
    <w:rsid w:val="00BA1317"/>
    <w:rsid w:val="00BA1733"/>
    <w:rsid w:val="00BA1B1F"/>
    <w:rsid w:val="00BA2E7C"/>
    <w:rsid w:val="00BA3F4C"/>
    <w:rsid w:val="00BA4E8A"/>
    <w:rsid w:val="00BA6EBB"/>
    <w:rsid w:val="00BA765F"/>
    <w:rsid w:val="00BB278B"/>
    <w:rsid w:val="00BB33E3"/>
    <w:rsid w:val="00BB3A3E"/>
    <w:rsid w:val="00BB3C77"/>
    <w:rsid w:val="00BB4D1F"/>
    <w:rsid w:val="00BB5DCD"/>
    <w:rsid w:val="00BB635D"/>
    <w:rsid w:val="00BB6A09"/>
    <w:rsid w:val="00BC094E"/>
    <w:rsid w:val="00BC26BB"/>
    <w:rsid w:val="00BC2D6A"/>
    <w:rsid w:val="00BC4BF0"/>
    <w:rsid w:val="00BC58C2"/>
    <w:rsid w:val="00BD0CFE"/>
    <w:rsid w:val="00BD166A"/>
    <w:rsid w:val="00BD1EE4"/>
    <w:rsid w:val="00BD2B2B"/>
    <w:rsid w:val="00BD2CCD"/>
    <w:rsid w:val="00BD2D6A"/>
    <w:rsid w:val="00BD31C5"/>
    <w:rsid w:val="00BD709A"/>
    <w:rsid w:val="00BE05E2"/>
    <w:rsid w:val="00BE0F1D"/>
    <w:rsid w:val="00BE6AC9"/>
    <w:rsid w:val="00BF0E59"/>
    <w:rsid w:val="00BF2EC7"/>
    <w:rsid w:val="00BF2FF0"/>
    <w:rsid w:val="00BF322E"/>
    <w:rsid w:val="00BF436D"/>
    <w:rsid w:val="00BF458D"/>
    <w:rsid w:val="00BF689F"/>
    <w:rsid w:val="00BF7A3A"/>
    <w:rsid w:val="00C013EA"/>
    <w:rsid w:val="00C0333B"/>
    <w:rsid w:val="00C03527"/>
    <w:rsid w:val="00C04645"/>
    <w:rsid w:val="00C05C72"/>
    <w:rsid w:val="00C06F66"/>
    <w:rsid w:val="00C072F3"/>
    <w:rsid w:val="00C078CF"/>
    <w:rsid w:val="00C10410"/>
    <w:rsid w:val="00C10C4A"/>
    <w:rsid w:val="00C110E1"/>
    <w:rsid w:val="00C11E33"/>
    <w:rsid w:val="00C12731"/>
    <w:rsid w:val="00C12F02"/>
    <w:rsid w:val="00C13358"/>
    <w:rsid w:val="00C15D83"/>
    <w:rsid w:val="00C16C27"/>
    <w:rsid w:val="00C1765A"/>
    <w:rsid w:val="00C20A32"/>
    <w:rsid w:val="00C21628"/>
    <w:rsid w:val="00C217AA"/>
    <w:rsid w:val="00C218F1"/>
    <w:rsid w:val="00C23C93"/>
    <w:rsid w:val="00C24547"/>
    <w:rsid w:val="00C246F1"/>
    <w:rsid w:val="00C24B43"/>
    <w:rsid w:val="00C31983"/>
    <w:rsid w:val="00C340E7"/>
    <w:rsid w:val="00C37A22"/>
    <w:rsid w:val="00C416B9"/>
    <w:rsid w:val="00C43C0C"/>
    <w:rsid w:val="00C43EBA"/>
    <w:rsid w:val="00C44C0C"/>
    <w:rsid w:val="00C45894"/>
    <w:rsid w:val="00C47A9D"/>
    <w:rsid w:val="00C47D66"/>
    <w:rsid w:val="00C5386E"/>
    <w:rsid w:val="00C53CC3"/>
    <w:rsid w:val="00C54137"/>
    <w:rsid w:val="00C54F69"/>
    <w:rsid w:val="00C55488"/>
    <w:rsid w:val="00C57BAF"/>
    <w:rsid w:val="00C60814"/>
    <w:rsid w:val="00C62A08"/>
    <w:rsid w:val="00C630B2"/>
    <w:rsid w:val="00C63819"/>
    <w:rsid w:val="00C63CFD"/>
    <w:rsid w:val="00C643D2"/>
    <w:rsid w:val="00C65605"/>
    <w:rsid w:val="00C65D28"/>
    <w:rsid w:val="00C6663B"/>
    <w:rsid w:val="00C66738"/>
    <w:rsid w:val="00C66919"/>
    <w:rsid w:val="00C67037"/>
    <w:rsid w:val="00C70CEC"/>
    <w:rsid w:val="00C733B6"/>
    <w:rsid w:val="00C7453D"/>
    <w:rsid w:val="00C74A21"/>
    <w:rsid w:val="00C762E1"/>
    <w:rsid w:val="00C76481"/>
    <w:rsid w:val="00C8088A"/>
    <w:rsid w:val="00C811C3"/>
    <w:rsid w:val="00C8409F"/>
    <w:rsid w:val="00C905C0"/>
    <w:rsid w:val="00C911DC"/>
    <w:rsid w:val="00C92D20"/>
    <w:rsid w:val="00C93B56"/>
    <w:rsid w:val="00C94B6B"/>
    <w:rsid w:val="00C96BDD"/>
    <w:rsid w:val="00CA04C1"/>
    <w:rsid w:val="00CA203C"/>
    <w:rsid w:val="00CA29B4"/>
    <w:rsid w:val="00CA437D"/>
    <w:rsid w:val="00CA4AD7"/>
    <w:rsid w:val="00CA4D75"/>
    <w:rsid w:val="00CA513C"/>
    <w:rsid w:val="00CA571E"/>
    <w:rsid w:val="00CB2773"/>
    <w:rsid w:val="00CB430D"/>
    <w:rsid w:val="00CB50DD"/>
    <w:rsid w:val="00CB7B83"/>
    <w:rsid w:val="00CC35C7"/>
    <w:rsid w:val="00CD08B4"/>
    <w:rsid w:val="00CD1390"/>
    <w:rsid w:val="00CD179F"/>
    <w:rsid w:val="00CD247E"/>
    <w:rsid w:val="00CD5F14"/>
    <w:rsid w:val="00CD7042"/>
    <w:rsid w:val="00CE05EC"/>
    <w:rsid w:val="00CE0DB9"/>
    <w:rsid w:val="00CE0EF1"/>
    <w:rsid w:val="00CE2E56"/>
    <w:rsid w:val="00CE7469"/>
    <w:rsid w:val="00CF1A2B"/>
    <w:rsid w:val="00CF1BF3"/>
    <w:rsid w:val="00CF35E9"/>
    <w:rsid w:val="00CF5045"/>
    <w:rsid w:val="00CF5A4C"/>
    <w:rsid w:val="00CF720D"/>
    <w:rsid w:val="00CF736E"/>
    <w:rsid w:val="00CF7FFA"/>
    <w:rsid w:val="00D01766"/>
    <w:rsid w:val="00D027AE"/>
    <w:rsid w:val="00D054CD"/>
    <w:rsid w:val="00D07A74"/>
    <w:rsid w:val="00D10DBE"/>
    <w:rsid w:val="00D110CE"/>
    <w:rsid w:val="00D11706"/>
    <w:rsid w:val="00D117FB"/>
    <w:rsid w:val="00D159F3"/>
    <w:rsid w:val="00D15AD0"/>
    <w:rsid w:val="00D16163"/>
    <w:rsid w:val="00D16E15"/>
    <w:rsid w:val="00D20333"/>
    <w:rsid w:val="00D20B81"/>
    <w:rsid w:val="00D23603"/>
    <w:rsid w:val="00D265BB"/>
    <w:rsid w:val="00D272BC"/>
    <w:rsid w:val="00D27EA9"/>
    <w:rsid w:val="00D31C17"/>
    <w:rsid w:val="00D31D57"/>
    <w:rsid w:val="00D32C3D"/>
    <w:rsid w:val="00D32D3C"/>
    <w:rsid w:val="00D3310E"/>
    <w:rsid w:val="00D348B9"/>
    <w:rsid w:val="00D34BEB"/>
    <w:rsid w:val="00D34BFB"/>
    <w:rsid w:val="00D35E4C"/>
    <w:rsid w:val="00D369DD"/>
    <w:rsid w:val="00D36D70"/>
    <w:rsid w:val="00D36E8B"/>
    <w:rsid w:val="00D37331"/>
    <w:rsid w:val="00D4057E"/>
    <w:rsid w:val="00D410E2"/>
    <w:rsid w:val="00D41288"/>
    <w:rsid w:val="00D431C2"/>
    <w:rsid w:val="00D43B83"/>
    <w:rsid w:val="00D44509"/>
    <w:rsid w:val="00D46FFE"/>
    <w:rsid w:val="00D54D9A"/>
    <w:rsid w:val="00D57FFB"/>
    <w:rsid w:val="00D6004B"/>
    <w:rsid w:val="00D6156F"/>
    <w:rsid w:val="00D7028F"/>
    <w:rsid w:val="00D70A31"/>
    <w:rsid w:val="00D71437"/>
    <w:rsid w:val="00D71E05"/>
    <w:rsid w:val="00D732D8"/>
    <w:rsid w:val="00D80461"/>
    <w:rsid w:val="00D81665"/>
    <w:rsid w:val="00D81686"/>
    <w:rsid w:val="00D82A9B"/>
    <w:rsid w:val="00D84FE9"/>
    <w:rsid w:val="00D8508E"/>
    <w:rsid w:val="00D91D44"/>
    <w:rsid w:val="00D91F4B"/>
    <w:rsid w:val="00D921D6"/>
    <w:rsid w:val="00D92641"/>
    <w:rsid w:val="00D93AE9"/>
    <w:rsid w:val="00D9549B"/>
    <w:rsid w:val="00D96351"/>
    <w:rsid w:val="00DA0425"/>
    <w:rsid w:val="00DA0897"/>
    <w:rsid w:val="00DA1ACC"/>
    <w:rsid w:val="00DA470F"/>
    <w:rsid w:val="00DA653A"/>
    <w:rsid w:val="00DA7845"/>
    <w:rsid w:val="00DB5651"/>
    <w:rsid w:val="00DB568A"/>
    <w:rsid w:val="00DB5BD1"/>
    <w:rsid w:val="00DB6106"/>
    <w:rsid w:val="00DC0652"/>
    <w:rsid w:val="00DC2C6B"/>
    <w:rsid w:val="00DC3730"/>
    <w:rsid w:val="00DC4BD9"/>
    <w:rsid w:val="00DC5FE1"/>
    <w:rsid w:val="00DC6147"/>
    <w:rsid w:val="00DC7BF8"/>
    <w:rsid w:val="00DD09FE"/>
    <w:rsid w:val="00DD1911"/>
    <w:rsid w:val="00DD1ACA"/>
    <w:rsid w:val="00DD1FD9"/>
    <w:rsid w:val="00DD3C67"/>
    <w:rsid w:val="00DD4B47"/>
    <w:rsid w:val="00DD62E4"/>
    <w:rsid w:val="00DD7D48"/>
    <w:rsid w:val="00DE04A5"/>
    <w:rsid w:val="00DE3643"/>
    <w:rsid w:val="00DE3943"/>
    <w:rsid w:val="00DE55E1"/>
    <w:rsid w:val="00DE6D9D"/>
    <w:rsid w:val="00DE70F4"/>
    <w:rsid w:val="00DF366A"/>
    <w:rsid w:val="00DF3EA1"/>
    <w:rsid w:val="00DF4895"/>
    <w:rsid w:val="00DF7549"/>
    <w:rsid w:val="00E010F8"/>
    <w:rsid w:val="00E0181E"/>
    <w:rsid w:val="00E04027"/>
    <w:rsid w:val="00E054D9"/>
    <w:rsid w:val="00E06428"/>
    <w:rsid w:val="00E06839"/>
    <w:rsid w:val="00E06D8D"/>
    <w:rsid w:val="00E06EB1"/>
    <w:rsid w:val="00E06F05"/>
    <w:rsid w:val="00E10714"/>
    <w:rsid w:val="00E1761A"/>
    <w:rsid w:val="00E20303"/>
    <w:rsid w:val="00E210F6"/>
    <w:rsid w:val="00E21157"/>
    <w:rsid w:val="00E2223D"/>
    <w:rsid w:val="00E24300"/>
    <w:rsid w:val="00E26383"/>
    <w:rsid w:val="00E27206"/>
    <w:rsid w:val="00E27D99"/>
    <w:rsid w:val="00E30EEE"/>
    <w:rsid w:val="00E33B32"/>
    <w:rsid w:val="00E365D0"/>
    <w:rsid w:val="00E36D70"/>
    <w:rsid w:val="00E36DB4"/>
    <w:rsid w:val="00E4036A"/>
    <w:rsid w:val="00E431F0"/>
    <w:rsid w:val="00E4339C"/>
    <w:rsid w:val="00E43CD4"/>
    <w:rsid w:val="00E461B5"/>
    <w:rsid w:val="00E46B69"/>
    <w:rsid w:val="00E5059F"/>
    <w:rsid w:val="00E50E20"/>
    <w:rsid w:val="00E51358"/>
    <w:rsid w:val="00E519BD"/>
    <w:rsid w:val="00E51AFB"/>
    <w:rsid w:val="00E51F5B"/>
    <w:rsid w:val="00E51F85"/>
    <w:rsid w:val="00E522F4"/>
    <w:rsid w:val="00E53927"/>
    <w:rsid w:val="00E608F1"/>
    <w:rsid w:val="00E60B5A"/>
    <w:rsid w:val="00E611B9"/>
    <w:rsid w:val="00E6198B"/>
    <w:rsid w:val="00E62EEC"/>
    <w:rsid w:val="00E63642"/>
    <w:rsid w:val="00E65480"/>
    <w:rsid w:val="00E662AC"/>
    <w:rsid w:val="00E70A64"/>
    <w:rsid w:val="00E71107"/>
    <w:rsid w:val="00E729C5"/>
    <w:rsid w:val="00E72F2D"/>
    <w:rsid w:val="00E733B0"/>
    <w:rsid w:val="00E758A7"/>
    <w:rsid w:val="00E76BED"/>
    <w:rsid w:val="00E8199E"/>
    <w:rsid w:val="00E81B76"/>
    <w:rsid w:val="00E82C82"/>
    <w:rsid w:val="00E83363"/>
    <w:rsid w:val="00E8376F"/>
    <w:rsid w:val="00E84408"/>
    <w:rsid w:val="00E84B2B"/>
    <w:rsid w:val="00E87552"/>
    <w:rsid w:val="00E91E29"/>
    <w:rsid w:val="00E94C6C"/>
    <w:rsid w:val="00E95882"/>
    <w:rsid w:val="00E95AA9"/>
    <w:rsid w:val="00E96593"/>
    <w:rsid w:val="00EA0D6D"/>
    <w:rsid w:val="00EA3F83"/>
    <w:rsid w:val="00EA56D3"/>
    <w:rsid w:val="00EA6BA9"/>
    <w:rsid w:val="00EA7BDE"/>
    <w:rsid w:val="00EB077A"/>
    <w:rsid w:val="00EB1B0F"/>
    <w:rsid w:val="00EB5209"/>
    <w:rsid w:val="00EB6BF6"/>
    <w:rsid w:val="00EC0690"/>
    <w:rsid w:val="00EC1582"/>
    <w:rsid w:val="00EC1E94"/>
    <w:rsid w:val="00EC2A91"/>
    <w:rsid w:val="00EC3200"/>
    <w:rsid w:val="00EC5B2E"/>
    <w:rsid w:val="00EC5E5C"/>
    <w:rsid w:val="00EC6F2A"/>
    <w:rsid w:val="00EC7766"/>
    <w:rsid w:val="00EC7CCC"/>
    <w:rsid w:val="00EC7DAA"/>
    <w:rsid w:val="00ED18F1"/>
    <w:rsid w:val="00ED30C4"/>
    <w:rsid w:val="00ED6139"/>
    <w:rsid w:val="00ED64C6"/>
    <w:rsid w:val="00ED650C"/>
    <w:rsid w:val="00ED6891"/>
    <w:rsid w:val="00ED692A"/>
    <w:rsid w:val="00EE21B2"/>
    <w:rsid w:val="00EE32C3"/>
    <w:rsid w:val="00EE50BE"/>
    <w:rsid w:val="00EE578A"/>
    <w:rsid w:val="00EE7209"/>
    <w:rsid w:val="00EE75EA"/>
    <w:rsid w:val="00EF1BC6"/>
    <w:rsid w:val="00EF1E88"/>
    <w:rsid w:val="00EF471E"/>
    <w:rsid w:val="00EF529C"/>
    <w:rsid w:val="00EF55A2"/>
    <w:rsid w:val="00EF662F"/>
    <w:rsid w:val="00EF75BD"/>
    <w:rsid w:val="00F0099E"/>
    <w:rsid w:val="00F036D2"/>
    <w:rsid w:val="00F03A6F"/>
    <w:rsid w:val="00F03CA4"/>
    <w:rsid w:val="00F03ED8"/>
    <w:rsid w:val="00F04125"/>
    <w:rsid w:val="00F0461B"/>
    <w:rsid w:val="00F046D6"/>
    <w:rsid w:val="00F05222"/>
    <w:rsid w:val="00F0603D"/>
    <w:rsid w:val="00F074AE"/>
    <w:rsid w:val="00F10DFF"/>
    <w:rsid w:val="00F124E6"/>
    <w:rsid w:val="00F14751"/>
    <w:rsid w:val="00F16D30"/>
    <w:rsid w:val="00F223BB"/>
    <w:rsid w:val="00F22E85"/>
    <w:rsid w:val="00F22E9A"/>
    <w:rsid w:val="00F25089"/>
    <w:rsid w:val="00F3068E"/>
    <w:rsid w:val="00F31438"/>
    <w:rsid w:val="00F34F1B"/>
    <w:rsid w:val="00F352AD"/>
    <w:rsid w:val="00F36164"/>
    <w:rsid w:val="00F3685D"/>
    <w:rsid w:val="00F40A05"/>
    <w:rsid w:val="00F43BE9"/>
    <w:rsid w:val="00F44ED1"/>
    <w:rsid w:val="00F44F88"/>
    <w:rsid w:val="00F45AE9"/>
    <w:rsid w:val="00F4689F"/>
    <w:rsid w:val="00F46BAF"/>
    <w:rsid w:val="00F471AF"/>
    <w:rsid w:val="00F47519"/>
    <w:rsid w:val="00F51450"/>
    <w:rsid w:val="00F51E74"/>
    <w:rsid w:val="00F5350B"/>
    <w:rsid w:val="00F53B06"/>
    <w:rsid w:val="00F564C4"/>
    <w:rsid w:val="00F61197"/>
    <w:rsid w:val="00F620CD"/>
    <w:rsid w:val="00F6362B"/>
    <w:rsid w:val="00F65A30"/>
    <w:rsid w:val="00F660E0"/>
    <w:rsid w:val="00F72C84"/>
    <w:rsid w:val="00F73EC9"/>
    <w:rsid w:val="00F74A97"/>
    <w:rsid w:val="00F7560D"/>
    <w:rsid w:val="00F7561A"/>
    <w:rsid w:val="00F779EB"/>
    <w:rsid w:val="00F8105A"/>
    <w:rsid w:val="00F8143F"/>
    <w:rsid w:val="00F84C3D"/>
    <w:rsid w:val="00F8517F"/>
    <w:rsid w:val="00F86D2B"/>
    <w:rsid w:val="00F8763E"/>
    <w:rsid w:val="00F90F6B"/>
    <w:rsid w:val="00F92F8E"/>
    <w:rsid w:val="00F947AC"/>
    <w:rsid w:val="00F95009"/>
    <w:rsid w:val="00F95150"/>
    <w:rsid w:val="00F95D8D"/>
    <w:rsid w:val="00F967DF"/>
    <w:rsid w:val="00FA0622"/>
    <w:rsid w:val="00FA2868"/>
    <w:rsid w:val="00FA2B1E"/>
    <w:rsid w:val="00FA35E8"/>
    <w:rsid w:val="00FA5524"/>
    <w:rsid w:val="00FA5BD0"/>
    <w:rsid w:val="00FA6699"/>
    <w:rsid w:val="00FA703D"/>
    <w:rsid w:val="00FB1059"/>
    <w:rsid w:val="00FB17F0"/>
    <w:rsid w:val="00FB188F"/>
    <w:rsid w:val="00FB32B1"/>
    <w:rsid w:val="00FB40CC"/>
    <w:rsid w:val="00FB5CE8"/>
    <w:rsid w:val="00FC061B"/>
    <w:rsid w:val="00FC0B12"/>
    <w:rsid w:val="00FC0E1E"/>
    <w:rsid w:val="00FC21E7"/>
    <w:rsid w:val="00FC22C8"/>
    <w:rsid w:val="00FC29CC"/>
    <w:rsid w:val="00FC3727"/>
    <w:rsid w:val="00FC4595"/>
    <w:rsid w:val="00FC5231"/>
    <w:rsid w:val="00FC53F4"/>
    <w:rsid w:val="00FC68A9"/>
    <w:rsid w:val="00FC69E8"/>
    <w:rsid w:val="00FD0216"/>
    <w:rsid w:val="00FD1C87"/>
    <w:rsid w:val="00FD2A17"/>
    <w:rsid w:val="00FD2DDB"/>
    <w:rsid w:val="00FD6186"/>
    <w:rsid w:val="00FD760A"/>
    <w:rsid w:val="00FD7A1C"/>
    <w:rsid w:val="00FD7E6F"/>
    <w:rsid w:val="00FE1C4A"/>
    <w:rsid w:val="00FE2DA7"/>
    <w:rsid w:val="00FE4B57"/>
    <w:rsid w:val="00FE533D"/>
    <w:rsid w:val="00FE6423"/>
    <w:rsid w:val="00FE7B15"/>
    <w:rsid w:val="00FF3749"/>
    <w:rsid w:val="00FF3D99"/>
    <w:rsid w:val="00FF419A"/>
    <w:rsid w:val="00FF425A"/>
    <w:rsid w:val="00FF66D3"/>
    <w:rsid w:val="00FF68B3"/>
    <w:rsid w:val="01742911"/>
    <w:rsid w:val="01C5556C"/>
    <w:rsid w:val="01DAE58A"/>
    <w:rsid w:val="01FD6F1E"/>
    <w:rsid w:val="02122393"/>
    <w:rsid w:val="025BA8CC"/>
    <w:rsid w:val="0289B49C"/>
    <w:rsid w:val="02A7E1F3"/>
    <w:rsid w:val="02B4FE70"/>
    <w:rsid w:val="02EB3C4C"/>
    <w:rsid w:val="03188386"/>
    <w:rsid w:val="03192F79"/>
    <w:rsid w:val="03A2ED54"/>
    <w:rsid w:val="04070E91"/>
    <w:rsid w:val="042846CC"/>
    <w:rsid w:val="046DD148"/>
    <w:rsid w:val="053C3AF2"/>
    <w:rsid w:val="059DA7D1"/>
    <w:rsid w:val="05A5CB20"/>
    <w:rsid w:val="05A77049"/>
    <w:rsid w:val="05C0A3AB"/>
    <w:rsid w:val="05EE7C9D"/>
    <w:rsid w:val="0637D745"/>
    <w:rsid w:val="0641E0F6"/>
    <w:rsid w:val="066D4AE4"/>
    <w:rsid w:val="06AD10A9"/>
    <w:rsid w:val="0751EA53"/>
    <w:rsid w:val="07549274"/>
    <w:rsid w:val="0796C6BA"/>
    <w:rsid w:val="07A49125"/>
    <w:rsid w:val="07D9BA38"/>
    <w:rsid w:val="07FADF17"/>
    <w:rsid w:val="0818813B"/>
    <w:rsid w:val="08B24E20"/>
    <w:rsid w:val="08B5E948"/>
    <w:rsid w:val="08C1113E"/>
    <w:rsid w:val="0AA1AD99"/>
    <w:rsid w:val="0B32FAD3"/>
    <w:rsid w:val="0B52B678"/>
    <w:rsid w:val="0B7253DC"/>
    <w:rsid w:val="0C2F370C"/>
    <w:rsid w:val="0C507F7C"/>
    <w:rsid w:val="0C943CFB"/>
    <w:rsid w:val="0CA74736"/>
    <w:rsid w:val="0CDE3617"/>
    <w:rsid w:val="0D02AC09"/>
    <w:rsid w:val="0D232C90"/>
    <w:rsid w:val="0D50BEE8"/>
    <w:rsid w:val="0D51DEAA"/>
    <w:rsid w:val="0DA36BCE"/>
    <w:rsid w:val="0E55D5C3"/>
    <w:rsid w:val="0E89DB42"/>
    <w:rsid w:val="0F0C5835"/>
    <w:rsid w:val="0FCB931B"/>
    <w:rsid w:val="1057E8DB"/>
    <w:rsid w:val="106F23BF"/>
    <w:rsid w:val="109630D2"/>
    <w:rsid w:val="114C612D"/>
    <w:rsid w:val="11D3A2F7"/>
    <w:rsid w:val="1223369A"/>
    <w:rsid w:val="124A05D3"/>
    <w:rsid w:val="1253F263"/>
    <w:rsid w:val="126F298A"/>
    <w:rsid w:val="128FF275"/>
    <w:rsid w:val="14807A6F"/>
    <w:rsid w:val="14B9CFB7"/>
    <w:rsid w:val="14CA0A55"/>
    <w:rsid w:val="152A21B8"/>
    <w:rsid w:val="153DD0F6"/>
    <w:rsid w:val="1569C97D"/>
    <w:rsid w:val="16298852"/>
    <w:rsid w:val="1662F9C8"/>
    <w:rsid w:val="167401A8"/>
    <w:rsid w:val="169AE3C3"/>
    <w:rsid w:val="16B56F49"/>
    <w:rsid w:val="16C66D0A"/>
    <w:rsid w:val="16F0F13C"/>
    <w:rsid w:val="174AD617"/>
    <w:rsid w:val="180DBA7D"/>
    <w:rsid w:val="184A6AE2"/>
    <w:rsid w:val="184B0408"/>
    <w:rsid w:val="187EA9A1"/>
    <w:rsid w:val="188045C6"/>
    <w:rsid w:val="197E2EA7"/>
    <w:rsid w:val="19A64166"/>
    <w:rsid w:val="19FDC32D"/>
    <w:rsid w:val="1AC2A53E"/>
    <w:rsid w:val="1AEE0DEF"/>
    <w:rsid w:val="1BDCA39A"/>
    <w:rsid w:val="1BE9D18F"/>
    <w:rsid w:val="1C049F9B"/>
    <w:rsid w:val="1C3C131E"/>
    <w:rsid w:val="1C9F6AF1"/>
    <w:rsid w:val="1CCBBC4C"/>
    <w:rsid w:val="1CD9B327"/>
    <w:rsid w:val="1CEC45BA"/>
    <w:rsid w:val="1D4A48AF"/>
    <w:rsid w:val="1D4F928F"/>
    <w:rsid w:val="1DDE3737"/>
    <w:rsid w:val="1E07A9B1"/>
    <w:rsid w:val="1E83A813"/>
    <w:rsid w:val="1F3DA001"/>
    <w:rsid w:val="1FA03DF5"/>
    <w:rsid w:val="2004D753"/>
    <w:rsid w:val="20469B1E"/>
    <w:rsid w:val="204A2A18"/>
    <w:rsid w:val="204EBE7E"/>
    <w:rsid w:val="20EF2372"/>
    <w:rsid w:val="210E9903"/>
    <w:rsid w:val="2137A6B2"/>
    <w:rsid w:val="216BF780"/>
    <w:rsid w:val="21F1CC5E"/>
    <w:rsid w:val="2244362F"/>
    <w:rsid w:val="2291CD4A"/>
    <w:rsid w:val="22A317C0"/>
    <w:rsid w:val="23CD7838"/>
    <w:rsid w:val="23ED9E95"/>
    <w:rsid w:val="2489A08B"/>
    <w:rsid w:val="24DCE08F"/>
    <w:rsid w:val="24EB752B"/>
    <w:rsid w:val="258EAAA5"/>
    <w:rsid w:val="259321A8"/>
    <w:rsid w:val="25F6CD34"/>
    <w:rsid w:val="26449C06"/>
    <w:rsid w:val="270860F1"/>
    <w:rsid w:val="27CCB1A2"/>
    <w:rsid w:val="28A4DDA4"/>
    <w:rsid w:val="28AA9DB0"/>
    <w:rsid w:val="29841BC5"/>
    <w:rsid w:val="29C29E9F"/>
    <w:rsid w:val="2A0CAA8E"/>
    <w:rsid w:val="2A4ACF96"/>
    <w:rsid w:val="2A7D206A"/>
    <w:rsid w:val="2AC34B02"/>
    <w:rsid w:val="2B042219"/>
    <w:rsid w:val="2B0A6097"/>
    <w:rsid w:val="2B131DB0"/>
    <w:rsid w:val="2B1E4839"/>
    <w:rsid w:val="2B6911BE"/>
    <w:rsid w:val="2B866546"/>
    <w:rsid w:val="2BDE9745"/>
    <w:rsid w:val="2BE8F3F0"/>
    <w:rsid w:val="2C467781"/>
    <w:rsid w:val="2C87CBAC"/>
    <w:rsid w:val="2CB83E14"/>
    <w:rsid w:val="2CE02ACF"/>
    <w:rsid w:val="2D06ABEC"/>
    <w:rsid w:val="2D189186"/>
    <w:rsid w:val="2DBF93AA"/>
    <w:rsid w:val="2E063E07"/>
    <w:rsid w:val="2E43D68C"/>
    <w:rsid w:val="2EDFD725"/>
    <w:rsid w:val="2F94C08B"/>
    <w:rsid w:val="2FF39E2B"/>
    <w:rsid w:val="3014563B"/>
    <w:rsid w:val="30A80087"/>
    <w:rsid w:val="30F537D4"/>
    <w:rsid w:val="31009331"/>
    <w:rsid w:val="316BD523"/>
    <w:rsid w:val="31C8E8E0"/>
    <w:rsid w:val="32E5BA97"/>
    <w:rsid w:val="33292C9A"/>
    <w:rsid w:val="33314FE3"/>
    <w:rsid w:val="336D6DDA"/>
    <w:rsid w:val="338D19AC"/>
    <w:rsid w:val="34295753"/>
    <w:rsid w:val="34367A2F"/>
    <w:rsid w:val="34926DF1"/>
    <w:rsid w:val="34ADDAB6"/>
    <w:rsid w:val="34D35BEB"/>
    <w:rsid w:val="34E3C60C"/>
    <w:rsid w:val="34F7CCDC"/>
    <w:rsid w:val="35BD5504"/>
    <w:rsid w:val="35BE8CE6"/>
    <w:rsid w:val="3636A0B1"/>
    <w:rsid w:val="3660E710"/>
    <w:rsid w:val="3674597F"/>
    <w:rsid w:val="368B346E"/>
    <w:rsid w:val="36C84E8D"/>
    <w:rsid w:val="3779A8A8"/>
    <w:rsid w:val="37886F40"/>
    <w:rsid w:val="37CA90F2"/>
    <w:rsid w:val="37D9EE3B"/>
    <w:rsid w:val="38325D80"/>
    <w:rsid w:val="387B9112"/>
    <w:rsid w:val="38A76D90"/>
    <w:rsid w:val="38B6D496"/>
    <w:rsid w:val="38D7A548"/>
    <w:rsid w:val="38D98E1D"/>
    <w:rsid w:val="39A6E5D8"/>
    <w:rsid w:val="39BD2BB9"/>
    <w:rsid w:val="3B6D009D"/>
    <w:rsid w:val="3BC6C816"/>
    <w:rsid w:val="3BC7F34A"/>
    <w:rsid w:val="3C356059"/>
    <w:rsid w:val="3CB88FDA"/>
    <w:rsid w:val="3D0E5EBF"/>
    <w:rsid w:val="3D54B399"/>
    <w:rsid w:val="3DA83820"/>
    <w:rsid w:val="3E1BCF57"/>
    <w:rsid w:val="3E304DC2"/>
    <w:rsid w:val="3EB4988A"/>
    <w:rsid w:val="3ECFBAC7"/>
    <w:rsid w:val="3EDF7428"/>
    <w:rsid w:val="3F160B6D"/>
    <w:rsid w:val="3FB1859B"/>
    <w:rsid w:val="4020DF57"/>
    <w:rsid w:val="402B7B16"/>
    <w:rsid w:val="406265B4"/>
    <w:rsid w:val="40BCEDDE"/>
    <w:rsid w:val="40CE2384"/>
    <w:rsid w:val="40F46C08"/>
    <w:rsid w:val="40F6EA7B"/>
    <w:rsid w:val="414B7B07"/>
    <w:rsid w:val="414CDFD2"/>
    <w:rsid w:val="4183002E"/>
    <w:rsid w:val="420662D8"/>
    <w:rsid w:val="424C0636"/>
    <w:rsid w:val="42502400"/>
    <w:rsid w:val="43B6619F"/>
    <w:rsid w:val="4418DEC1"/>
    <w:rsid w:val="44437162"/>
    <w:rsid w:val="447F4E15"/>
    <w:rsid w:val="4585A104"/>
    <w:rsid w:val="45ABC85D"/>
    <w:rsid w:val="45ABFE02"/>
    <w:rsid w:val="46BFAC58"/>
    <w:rsid w:val="46D49B60"/>
    <w:rsid w:val="46D54CFA"/>
    <w:rsid w:val="46DF7D9C"/>
    <w:rsid w:val="470BF48F"/>
    <w:rsid w:val="4727F337"/>
    <w:rsid w:val="474B388E"/>
    <w:rsid w:val="47BDA5BF"/>
    <w:rsid w:val="47F611D6"/>
    <w:rsid w:val="484A62AB"/>
    <w:rsid w:val="49473484"/>
    <w:rsid w:val="49536C30"/>
    <w:rsid w:val="49D312B7"/>
    <w:rsid w:val="49E66B2F"/>
    <w:rsid w:val="49FC51FF"/>
    <w:rsid w:val="4A2BF235"/>
    <w:rsid w:val="4AAA102F"/>
    <w:rsid w:val="4B7C31AB"/>
    <w:rsid w:val="4BC66375"/>
    <w:rsid w:val="4C8668CD"/>
    <w:rsid w:val="4DBD01B1"/>
    <w:rsid w:val="4DF902B7"/>
    <w:rsid w:val="4EA38E78"/>
    <w:rsid w:val="4F173B76"/>
    <w:rsid w:val="4F3C58CB"/>
    <w:rsid w:val="4F712B2F"/>
    <w:rsid w:val="4FBA6DB8"/>
    <w:rsid w:val="4FDC217D"/>
    <w:rsid w:val="50781527"/>
    <w:rsid w:val="50C090B1"/>
    <w:rsid w:val="50D11FFC"/>
    <w:rsid w:val="512EFD8F"/>
    <w:rsid w:val="513B2C53"/>
    <w:rsid w:val="513D93E4"/>
    <w:rsid w:val="5148FD5F"/>
    <w:rsid w:val="5186E035"/>
    <w:rsid w:val="51D10667"/>
    <w:rsid w:val="51FF6D24"/>
    <w:rsid w:val="521AE6BD"/>
    <w:rsid w:val="52CDDC09"/>
    <w:rsid w:val="53A06DD4"/>
    <w:rsid w:val="53ABFBEE"/>
    <w:rsid w:val="541D6778"/>
    <w:rsid w:val="543A5B28"/>
    <w:rsid w:val="54681BF4"/>
    <w:rsid w:val="54FF2A1E"/>
    <w:rsid w:val="5507A08C"/>
    <w:rsid w:val="5527B524"/>
    <w:rsid w:val="5563FA2E"/>
    <w:rsid w:val="55A7A031"/>
    <w:rsid w:val="56841B57"/>
    <w:rsid w:val="56B1B2CA"/>
    <w:rsid w:val="58742435"/>
    <w:rsid w:val="5922EF59"/>
    <w:rsid w:val="59B30F97"/>
    <w:rsid w:val="59CC5316"/>
    <w:rsid w:val="59EAC903"/>
    <w:rsid w:val="5B8F4C63"/>
    <w:rsid w:val="5BD93592"/>
    <w:rsid w:val="5C0D75BA"/>
    <w:rsid w:val="5C274F2C"/>
    <w:rsid w:val="5D5C2D0E"/>
    <w:rsid w:val="5D72E04C"/>
    <w:rsid w:val="5D7D45EB"/>
    <w:rsid w:val="5EF18D7D"/>
    <w:rsid w:val="601FA862"/>
    <w:rsid w:val="6027ACE5"/>
    <w:rsid w:val="60655115"/>
    <w:rsid w:val="60C9A1D6"/>
    <w:rsid w:val="61712536"/>
    <w:rsid w:val="61A42585"/>
    <w:rsid w:val="61A9D753"/>
    <w:rsid w:val="61D47E66"/>
    <w:rsid w:val="6205106D"/>
    <w:rsid w:val="6231E583"/>
    <w:rsid w:val="6259D907"/>
    <w:rsid w:val="625A99FC"/>
    <w:rsid w:val="6302CE3A"/>
    <w:rsid w:val="64386746"/>
    <w:rsid w:val="6460FF1C"/>
    <w:rsid w:val="64CC79BD"/>
    <w:rsid w:val="65BBE8A3"/>
    <w:rsid w:val="65D6D8FB"/>
    <w:rsid w:val="6636DB73"/>
    <w:rsid w:val="66CBD141"/>
    <w:rsid w:val="67102050"/>
    <w:rsid w:val="671CD883"/>
    <w:rsid w:val="6728B6A8"/>
    <w:rsid w:val="6744DF40"/>
    <w:rsid w:val="674D5DDB"/>
    <w:rsid w:val="678A8422"/>
    <w:rsid w:val="678B51E8"/>
    <w:rsid w:val="68238D59"/>
    <w:rsid w:val="68339844"/>
    <w:rsid w:val="68356638"/>
    <w:rsid w:val="68C11461"/>
    <w:rsid w:val="68E80822"/>
    <w:rsid w:val="69359D4F"/>
    <w:rsid w:val="69750205"/>
    <w:rsid w:val="6A0B2080"/>
    <w:rsid w:val="6B014BB2"/>
    <w:rsid w:val="6B137AB5"/>
    <w:rsid w:val="6B36ABC6"/>
    <w:rsid w:val="6BAEB2CC"/>
    <w:rsid w:val="6C7E5F5A"/>
    <w:rsid w:val="6CDB1591"/>
    <w:rsid w:val="6D180A93"/>
    <w:rsid w:val="6D328D95"/>
    <w:rsid w:val="6DF516EB"/>
    <w:rsid w:val="6E1E854A"/>
    <w:rsid w:val="6E5F3AEE"/>
    <w:rsid w:val="6E6C8D09"/>
    <w:rsid w:val="6E6E2F3A"/>
    <w:rsid w:val="6E8F0FFC"/>
    <w:rsid w:val="6EEA4989"/>
    <w:rsid w:val="6EEFAD1B"/>
    <w:rsid w:val="6F5EC1A7"/>
    <w:rsid w:val="702D6C99"/>
    <w:rsid w:val="70590FD4"/>
    <w:rsid w:val="71273CFF"/>
    <w:rsid w:val="72080858"/>
    <w:rsid w:val="7266C6D0"/>
    <w:rsid w:val="727013AA"/>
    <w:rsid w:val="72715F66"/>
    <w:rsid w:val="72858BBB"/>
    <w:rsid w:val="72E163A7"/>
    <w:rsid w:val="7402CAC9"/>
    <w:rsid w:val="74D65962"/>
    <w:rsid w:val="7500958A"/>
    <w:rsid w:val="754DCFE5"/>
    <w:rsid w:val="760B015C"/>
    <w:rsid w:val="76BEA696"/>
    <w:rsid w:val="76C11F9D"/>
    <w:rsid w:val="76F9A40B"/>
    <w:rsid w:val="7707025A"/>
    <w:rsid w:val="786AE536"/>
    <w:rsid w:val="78D037A6"/>
    <w:rsid w:val="79D9F1CB"/>
    <w:rsid w:val="7AC3DDAF"/>
    <w:rsid w:val="7B432789"/>
    <w:rsid w:val="7B9F0E1C"/>
    <w:rsid w:val="7BA614F3"/>
    <w:rsid w:val="7BCB921A"/>
    <w:rsid w:val="7C7F55AC"/>
    <w:rsid w:val="7CA157A8"/>
    <w:rsid w:val="7D7F25F4"/>
    <w:rsid w:val="7D88B346"/>
    <w:rsid w:val="7DF3B64E"/>
    <w:rsid w:val="7E9A9C1A"/>
    <w:rsid w:val="7ED36E6C"/>
    <w:rsid w:val="7F5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11E4BF52-6446-4A72-837E-8426F65C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B8"/>
    <w:pPr>
      <w:spacing w:after="24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ascii="Arial" w:eastAsiaTheme="minorHAnsi" w:hAnsi="Arial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ascii="Arial" w:eastAsiaTheme="minorHAnsi" w:hAnsi="Arial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A5BD0"/>
    <w:pPr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BD0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SubtleEmphasis">
    <w:name w:val="Subtle Emphasis"/>
    <w:uiPriority w:val="19"/>
    <w:qFormat/>
    <w:rsid w:val="007256C3"/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628"/>
    <w:pPr>
      <w:numPr>
        <w:ilvl w:val="1"/>
      </w:numPr>
      <w:spacing w:after="0"/>
      <w:jc w:val="center"/>
    </w:pPr>
    <w:rPr>
      <w:b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21628"/>
    <w:rPr>
      <w:rFonts w:ascii="Arial" w:hAnsi="Arial"/>
      <w:b/>
      <w:spacing w:val="15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E15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05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2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D32D3C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D32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D3C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2D3C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036D2"/>
    <w:pPr>
      <w:ind w:left="720"/>
      <w:contextualSpacing/>
    </w:pPr>
  </w:style>
  <w:style w:type="paragraph" w:styleId="Revision">
    <w:name w:val="Revision"/>
    <w:hidden/>
    <w:uiPriority w:val="99"/>
    <w:semiHidden/>
    <w:rsid w:val="00F3685D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DEA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6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5437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mailto:crystal.willis@energy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3434D3A1-18B4-4882-B41D-E7F3425D9372}">
    <t:Anchor>
      <t:Comment id="890422470"/>
    </t:Anchor>
    <t:History>
      <t:Event id="{841780B8-4C95-44E1-AC93-96CD8BBEA8BD}" time="2025-04-07T19:32:21.827Z">
        <t:Attribution userId="S::sonia.reasor@energy.ca.gov::f333e74b-9ff7-4360-be75-b47a6760650b" userProvider="AD" userName="Reasor, Sonia@Energy"/>
        <t:Anchor>
          <t:Comment id="890422470"/>
        </t:Anchor>
        <t:Create/>
      </t:Event>
      <t:Event id="{E95FB3DB-D4C8-4705-8E85-025FEE23CDE6}" time="2025-04-07T19:32:21.827Z">
        <t:Attribution userId="S::sonia.reasor@energy.ca.gov::f333e74b-9ff7-4360-be75-b47a6760650b" userProvider="AD" userName="Reasor, Sonia@Energy"/>
        <t:Anchor>
          <t:Comment id="890422470"/>
        </t:Anchor>
        <t:Assign userId="S::cory.irish@energy.ca.gov::8fd3409c-bd0a-4854-bd89-5a4cac6011fa" userProvider="AD" userName="Irish, Cory@Energy"/>
      </t:Event>
      <t:Event id="{1D4CC65C-3DFF-45EF-8224-53532C861878}" time="2025-04-07T19:32:21.827Z">
        <t:Attribution userId="S::sonia.reasor@energy.ca.gov::f333e74b-9ff7-4360-be75-b47a6760650b" userProvider="AD" userName="Reasor, Sonia@Energy"/>
        <t:Anchor>
          <t:Comment id="890422470"/>
        </t:Anchor>
        <t:SetTitle title="@Irish, Cory@Energy should we include short paragraph reference the NOTAR or no need? Thanks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AF8A394E-EA63-4BC0-B05C-0D9F57BA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4955</Characters>
  <Application>Microsoft Office Word</Application>
  <DocSecurity>0</DocSecurity>
  <Lines>41</Lines>
  <Paragraphs>11</Paragraphs>
  <ScaleCrop>false</ScaleCrop>
  <Company>Wobschall Design</Company>
  <LinksUpToDate>false</LinksUpToDate>
  <CharactersWithSpaces>5813</CharactersWithSpaces>
  <SharedDoc>false</SharedDoc>
  <HLinks>
    <vt:vector size="12" baseType="variant">
      <vt:variant>
        <vt:i4>1376317</vt:i4>
      </vt:variant>
      <vt:variant>
        <vt:i4>3</vt:i4>
      </vt:variant>
      <vt:variant>
        <vt:i4>0</vt:i4>
      </vt:variant>
      <vt:variant>
        <vt:i4>5</vt:i4>
      </vt:variant>
      <vt:variant>
        <vt:lpwstr>mailto:crystal.willis@energy.ca.gov</vt:lpwstr>
      </vt:variant>
      <vt:variant>
        <vt:lpwstr/>
      </vt:variant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https://www.energy.ca.gov/funding-opportunities/awards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Sutton, Marissa@Energy</cp:lastModifiedBy>
  <cp:revision>5</cp:revision>
  <cp:lastPrinted>2023-06-22T20:50:00Z</cp:lastPrinted>
  <dcterms:created xsi:type="dcterms:W3CDTF">2025-09-26T21:03:00Z</dcterms:created>
  <dcterms:modified xsi:type="dcterms:W3CDTF">2025-09-29T20:15:00Z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d259d590b637355e75478935b03f044536740c0f6d01768a024920ef28bdd1d3</vt:lpwstr>
  </property>
  <property fmtid="{D5CDD505-2E9C-101B-9397-08002B2CF9AE}" pid="5" name="Order">
    <vt:r8>27554800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