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BF4E" w14:textId="77777777" w:rsidR="007C2562" w:rsidRDefault="007C2562" w:rsidP="003F0056">
      <w:pPr>
        <w:jc w:val="center"/>
        <w:rPr>
          <w:rFonts w:ascii="Arial" w:eastAsia="Arial" w:hAnsi="Arial" w:cs="Arial"/>
          <w:b/>
          <w:bCs/>
          <w:color w:val="000000" w:themeColor="text1"/>
          <w:sz w:val="40"/>
          <w:szCs w:val="40"/>
        </w:rPr>
      </w:pPr>
    </w:p>
    <w:p w14:paraId="39BDDAA0" w14:textId="77777777" w:rsidR="007C2562" w:rsidRDefault="007C2562" w:rsidP="003F0056">
      <w:pPr>
        <w:jc w:val="center"/>
        <w:rPr>
          <w:rFonts w:ascii="Arial" w:eastAsia="Arial" w:hAnsi="Arial" w:cs="Arial"/>
          <w:b/>
          <w:bCs/>
          <w:color w:val="000000" w:themeColor="text1"/>
          <w:sz w:val="40"/>
          <w:szCs w:val="40"/>
        </w:rPr>
      </w:pPr>
    </w:p>
    <w:p w14:paraId="13993568" w14:textId="77777777" w:rsidR="007C2562" w:rsidRDefault="007C2562" w:rsidP="003F0056">
      <w:pPr>
        <w:jc w:val="center"/>
        <w:rPr>
          <w:rFonts w:ascii="Arial" w:eastAsia="Arial" w:hAnsi="Arial" w:cs="Arial"/>
          <w:b/>
          <w:bCs/>
          <w:color w:val="000000" w:themeColor="text1"/>
          <w:sz w:val="40"/>
          <w:szCs w:val="40"/>
        </w:rPr>
      </w:pPr>
    </w:p>
    <w:p w14:paraId="6DCE49A3" w14:textId="7A1455B6" w:rsidR="00324EB7" w:rsidRDefault="00324EB7" w:rsidP="003F0056">
      <w:pPr>
        <w:jc w:val="center"/>
        <w:rPr>
          <w:rFonts w:ascii="Arial" w:eastAsia="Arial" w:hAnsi="Arial" w:cs="Arial"/>
          <w:b/>
          <w:bCs/>
          <w:color w:val="000000" w:themeColor="text1"/>
          <w:sz w:val="40"/>
          <w:szCs w:val="40"/>
        </w:rPr>
      </w:pPr>
      <w:r w:rsidRPr="003F0056">
        <w:rPr>
          <w:rFonts w:ascii="Arial" w:eastAsia="Arial" w:hAnsi="Arial" w:cs="Arial"/>
          <w:b/>
          <w:bCs/>
          <w:color w:val="000000" w:themeColor="text1"/>
          <w:sz w:val="40"/>
          <w:szCs w:val="40"/>
        </w:rPr>
        <w:t>Energy Research and Development Division  Electric Program Investment Charge (EPIC) Program</w:t>
      </w:r>
    </w:p>
    <w:p w14:paraId="69736C56" w14:textId="77777777" w:rsidR="00F4732F" w:rsidRPr="00650345" w:rsidRDefault="00F4732F" w:rsidP="003F0056">
      <w:pPr>
        <w:jc w:val="center"/>
        <w:rPr>
          <w:rFonts w:ascii="Arial" w:eastAsia="Arial" w:hAnsi="Arial" w:cs="Arial"/>
          <w:b/>
          <w:bCs/>
          <w:color w:val="000000" w:themeColor="text1"/>
          <w:sz w:val="16"/>
          <w:szCs w:val="16"/>
        </w:rPr>
      </w:pPr>
    </w:p>
    <w:p w14:paraId="088CD860" w14:textId="1DEBD366" w:rsidR="00417FE8" w:rsidRPr="003F0056" w:rsidRDefault="00324EB7" w:rsidP="003F0056">
      <w:pPr>
        <w:jc w:val="center"/>
        <w:rPr>
          <w:rFonts w:ascii="Arial" w:eastAsia="Arial" w:hAnsi="Arial" w:cs="Arial"/>
          <w:b/>
          <w:bCs/>
          <w:color w:val="000000" w:themeColor="text1"/>
          <w:sz w:val="40"/>
          <w:szCs w:val="40"/>
        </w:rPr>
      </w:pPr>
      <w:r w:rsidRPr="003F0056">
        <w:rPr>
          <w:rFonts w:ascii="Arial" w:eastAsia="Arial" w:hAnsi="Arial" w:cs="Arial"/>
          <w:b/>
          <w:bCs/>
          <w:color w:val="000000" w:themeColor="text1"/>
          <w:sz w:val="40"/>
          <w:szCs w:val="40"/>
        </w:rPr>
        <w:t>Questions and Answers</w:t>
      </w:r>
    </w:p>
    <w:p w14:paraId="191A1173" w14:textId="77777777" w:rsidR="00393DE0" w:rsidRDefault="00393DE0" w:rsidP="00417FE8">
      <w:pPr>
        <w:jc w:val="center"/>
        <w:rPr>
          <w:rFonts w:ascii="Arial" w:eastAsia="Arial" w:hAnsi="Arial" w:cs="Arial"/>
          <w:b/>
          <w:bCs/>
          <w:color w:val="000000" w:themeColor="text1"/>
          <w:sz w:val="28"/>
          <w:szCs w:val="28"/>
        </w:rPr>
      </w:pPr>
    </w:p>
    <w:p w14:paraId="0DBEC9E3" w14:textId="77777777" w:rsidR="00393DE0" w:rsidRDefault="00393DE0" w:rsidP="00417FE8">
      <w:pPr>
        <w:jc w:val="center"/>
        <w:rPr>
          <w:rFonts w:ascii="Arial" w:eastAsia="Arial" w:hAnsi="Arial" w:cs="Arial"/>
          <w:b/>
          <w:bCs/>
          <w:color w:val="000000" w:themeColor="text1"/>
          <w:sz w:val="28"/>
          <w:szCs w:val="28"/>
        </w:rPr>
      </w:pPr>
    </w:p>
    <w:p w14:paraId="33B09117" w14:textId="77777777" w:rsidR="00CD6F28" w:rsidRDefault="00CD6F28" w:rsidP="00417FE8">
      <w:pPr>
        <w:jc w:val="center"/>
        <w:rPr>
          <w:rFonts w:ascii="Arial" w:eastAsia="Arial" w:hAnsi="Arial" w:cs="Arial"/>
          <w:b/>
          <w:bCs/>
          <w:color w:val="000000" w:themeColor="text1"/>
          <w:sz w:val="28"/>
          <w:szCs w:val="28"/>
        </w:rPr>
      </w:pPr>
    </w:p>
    <w:p w14:paraId="52929B8E" w14:textId="4A0EB06C" w:rsidR="00C75746" w:rsidRPr="008D769F" w:rsidRDefault="00C75746" w:rsidP="00417FE8">
      <w:pPr>
        <w:jc w:val="center"/>
        <w:rPr>
          <w:rFonts w:ascii="Arial" w:eastAsia="Arial" w:hAnsi="Arial" w:cs="Arial"/>
          <w:b/>
          <w:bCs/>
          <w:color w:val="1F497D" w:themeColor="text2"/>
          <w:sz w:val="56"/>
          <w:szCs w:val="56"/>
        </w:rPr>
      </w:pPr>
      <w:r w:rsidRPr="008D769F">
        <w:rPr>
          <w:rFonts w:ascii="Arial" w:eastAsia="Arial" w:hAnsi="Arial" w:cs="Arial"/>
          <w:b/>
          <w:bCs/>
          <w:color w:val="1F497D" w:themeColor="text2"/>
          <w:sz w:val="56"/>
          <w:szCs w:val="56"/>
        </w:rPr>
        <w:t xml:space="preserve">GFO-25-301 </w:t>
      </w:r>
    </w:p>
    <w:p w14:paraId="5D667418" w14:textId="77777777" w:rsidR="00C75746" w:rsidRPr="009B0ED8" w:rsidRDefault="00C75746" w:rsidP="00417FE8">
      <w:pPr>
        <w:jc w:val="center"/>
        <w:rPr>
          <w:rFonts w:ascii="Arial" w:eastAsia="Arial" w:hAnsi="Arial" w:cs="Arial"/>
          <w:b/>
          <w:bCs/>
          <w:color w:val="1F497D" w:themeColor="text2"/>
          <w:sz w:val="36"/>
          <w:szCs w:val="36"/>
        </w:rPr>
      </w:pPr>
      <w:r w:rsidRPr="009B0ED8">
        <w:rPr>
          <w:rFonts w:ascii="Arial" w:eastAsia="Arial" w:hAnsi="Arial" w:cs="Arial"/>
          <w:b/>
          <w:bCs/>
          <w:color w:val="1F497D" w:themeColor="text2"/>
          <w:sz w:val="36"/>
          <w:szCs w:val="36"/>
        </w:rPr>
        <w:t>Distributed Resources for Innovative Vehicle Energization Strategies (DRIVES)</w:t>
      </w:r>
    </w:p>
    <w:p w14:paraId="3E80B0EF" w14:textId="10882EA4" w:rsidR="00CE250C" w:rsidRPr="009B0ED8" w:rsidRDefault="00CE250C" w:rsidP="00417FE8">
      <w:pPr>
        <w:jc w:val="center"/>
        <w:rPr>
          <w:rFonts w:ascii="Arial" w:eastAsia="Arial" w:hAnsi="Arial" w:cs="Arial"/>
          <w:b/>
          <w:bCs/>
          <w:color w:val="1F497D" w:themeColor="text2"/>
          <w:sz w:val="36"/>
          <w:szCs w:val="36"/>
        </w:rPr>
      </w:pPr>
    </w:p>
    <w:p w14:paraId="5FAC443C" w14:textId="77777777" w:rsidR="00CE250C" w:rsidRDefault="00CE250C">
      <w:pPr>
        <w:rPr>
          <w:rFonts w:ascii="Arial" w:eastAsia="Arial" w:hAnsi="Arial" w:cs="Arial"/>
          <w:b/>
          <w:bCs/>
          <w:sz w:val="36"/>
          <w:szCs w:val="36"/>
        </w:rPr>
      </w:pPr>
      <w:r>
        <w:rPr>
          <w:rFonts w:ascii="Arial" w:eastAsia="Arial" w:hAnsi="Arial" w:cs="Arial"/>
          <w:b/>
          <w:bCs/>
          <w:sz w:val="36"/>
          <w:szCs w:val="36"/>
        </w:rPr>
        <w:br w:type="page"/>
      </w:r>
    </w:p>
    <w:p w14:paraId="29892295" w14:textId="00555307" w:rsidR="00C75746" w:rsidRDefault="00C75746" w:rsidP="00C75746">
      <w:pPr>
        <w:pBdr>
          <w:top w:val="single" w:sz="4" w:space="1" w:color="000000"/>
        </w:pBdr>
        <w:spacing w:line="257" w:lineRule="auto"/>
        <w:rPr>
          <w:rFonts w:ascii="Arial" w:eastAsia="Arial" w:hAnsi="Arial" w:cs="Arial"/>
          <w:color w:val="000000" w:themeColor="text1"/>
        </w:rPr>
      </w:pPr>
    </w:p>
    <w:p w14:paraId="0D008413" w14:textId="77777777" w:rsidR="00C75746" w:rsidRDefault="00C75746" w:rsidP="00C75746">
      <w:pPr>
        <w:pBdr>
          <w:top w:val="single" w:sz="4" w:space="1" w:color="000000"/>
        </w:pBdr>
        <w:spacing w:line="257" w:lineRule="auto"/>
        <w:rPr>
          <w:rFonts w:ascii="Arial" w:eastAsia="Arial" w:hAnsi="Arial" w:cs="Arial"/>
          <w:color w:val="365F91" w:themeColor="accent1" w:themeShade="BF"/>
          <w:sz w:val="32"/>
          <w:szCs w:val="32"/>
        </w:rPr>
      </w:pPr>
      <w:r w:rsidRPr="7CD16FE7">
        <w:rPr>
          <w:rFonts w:ascii="Arial" w:eastAsia="Arial" w:hAnsi="Arial" w:cs="Arial"/>
          <w:b/>
          <w:bCs/>
          <w:color w:val="365F91" w:themeColor="accent1" w:themeShade="BF"/>
          <w:sz w:val="32"/>
          <w:szCs w:val="32"/>
        </w:rPr>
        <w:t>Table of Contents</w:t>
      </w:r>
    </w:p>
    <w:sdt>
      <w:sdtPr>
        <w:id w:val="56251464"/>
        <w:docPartObj>
          <w:docPartGallery w:val="Table of Contents"/>
          <w:docPartUnique/>
        </w:docPartObj>
      </w:sdtPr>
      <w:sdtEndPr/>
      <w:sdtContent>
        <w:p w14:paraId="67D78D7D" w14:textId="77777777" w:rsidR="00C75746" w:rsidRDefault="00C75746" w:rsidP="00C75746">
          <w:pPr>
            <w:pStyle w:val="TOC1"/>
            <w:tabs>
              <w:tab w:val="right" w:leader="dot" w:pos="9350"/>
            </w:tabs>
            <w:rPr>
              <w:rFonts w:eastAsiaTheme="minorEastAsia"/>
              <w:noProof/>
              <w:kern w:val="2"/>
              <w:sz w:val="24"/>
              <w:szCs w:val="24"/>
              <w14:ligatures w14:val="standardContextual"/>
            </w:rPr>
          </w:pPr>
          <w:r>
            <w:fldChar w:fldCharType="begin"/>
          </w:r>
          <w:r>
            <w:instrText>TOC \o "1-9" \z \u \h</w:instrText>
          </w:r>
          <w:r>
            <w:fldChar w:fldCharType="separate"/>
          </w:r>
        </w:p>
        <w:p w14:paraId="535BE447" w14:textId="6446931A"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76" w:history="1">
            <w:r w:rsidRPr="00F10105">
              <w:rPr>
                <w:rStyle w:val="Hyperlink"/>
                <w:rFonts w:ascii="Arial" w:hAnsi="Arial" w:cs="Arial"/>
                <w:b/>
                <w:bCs/>
                <w:noProof/>
              </w:rPr>
              <w:t>Key Takeaways and Changes</w:t>
            </w:r>
            <w:r>
              <w:rPr>
                <w:noProof/>
                <w:webHidden/>
              </w:rPr>
              <w:tab/>
            </w:r>
            <w:r w:rsidR="0066115A">
              <w:rPr>
                <w:noProof/>
                <w:webHidden/>
              </w:rPr>
              <w:t>3</w:t>
            </w:r>
          </w:hyperlink>
        </w:p>
        <w:p w14:paraId="075158E7" w14:textId="7500B06E"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76" w:history="1">
            <w:r w:rsidRPr="00F10105">
              <w:rPr>
                <w:rStyle w:val="Hyperlink"/>
                <w:rFonts w:ascii="Arial" w:hAnsi="Arial" w:cs="Arial"/>
                <w:b/>
                <w:bCs/>
                <w:noProof/>
              </w:rPr>
              <w:t>Key Changes</w:t>
            </w:r>
            <w:r>
              <w:rPr>
                <w:noProof/>
                <w:webHidden/>
              </w:rPr>
              <w:tab/>
            </w:r>
            <w:r w:rsidR="0066115A">
              <w:rPr>
                <w:noProof/>
                <w:webHidden/>
              </w:rPr>
              <w:t>4</w:t>
            </w:r>
          </w:hyperlink>
        </w:p>
        <w:p w14:paraId="56CC58FA" w14:textId="11497DBF"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78" w:history="1">
            <w:r w:rsidRPr="00F10105">
              <w:rPr>
                <w:rStyle w:val="Hyperlink"/>
                <w:rFonts w:ascii="Arial" w:hAnsi="Arial" w:cs="Arial"/>
                <w:b/>
                <w:bCs/>
                <w:noProof/>
              </w:rPr>
              <w:t>General/Administrative</w:t>
            </w:r>
            <w:r>
              <w:rPr>
                <w:noProof/>
                <w:webHidden/>
              </w:rPr>
              <w:tab/>
            </w:r>
            <w:r>
              <w:rPr>
                <w:noProof/>
                <w:webHidden/>
              </w:rPr>
              <w:fldChar w:fldCharType="begin"/>
            </w:r>
            <w:r>
              <w:rPr>
                <w:noProof/>
                <w:webHidden/>
              </w:rPr>
              <w:instrText xml:space="preserve"> PAGEREF _Toc211856678 \h </w:instrText>
            </w:r>
            <w:r>
              <w:rPr>
                <w:noProof/>
                <w:webHidden/>
              </w:rPr>
            </w:r>
            <w:r>
              <w:rPr>
                <w:noProof/>
                <w:webHidden/>
              </w:rPr>
              <w:fldChar w:fldCharType="separate"/>
            </w:r>
            <w:r w:rsidR="00D27F41">
              <w:rPr>
                <w:noProof/>
                <w:webHidden/>
              </w:rPr>
              <w:t>4</w:t>
            </w:r>
            <w:r>
              <w:rPr>
                <w:noProof/>
                <w:webHidden/>
              </w:rPr>
              <w:fldChar w:fldCharType="end"/>
            </w:r>
          </w:hyperlink>
        </w:p>
        <w:p w14:paraId="787E5E76" w14:textId="321C81AD"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79" w:history="1">
            <w:r w:rsidRPr="00F10105">
              <w:rPr>
                <w:rStyle w:val="Hyperlink"/>
                <w:rFonts w:ascii="Arial" w:hAnsi="Arial" w:cs="Arial"/>
                <w:b/>
                <w:bCs/>
                <w:noProof/>
              </w:rPr>
              <w:t>Technical</w:t>
            </w:r>
            <w:r>
              <w:rPr>
                <w:noProof/>
                <w:webHidden/>
              </w:rPr>
              <w:tab/>
            </w:r>
            <w:r>
              <w:rPr>
                <w:noProof/>
                <w:webHidden/>
              </w:rPr>
              <w:fldChar w:fldCharType="begin"/>
            </w:r>
            <w:r>
              <w:rPr>
                <w:noProof/>
                <w:webHidden/>
              </w:rPr>
              <w:instrText xml:space="preserve"> PAGEREF _Toc211856679 \h </w:instrText>
            </w:r>
            <w:r>
              <w:rPr>
                <w:noProof/>
                <w:webHidden/>
              </w:rPr>
            </w:r>
            <w:r>
              <w:rPr>
                <w:noProof/>
                <w:webHidden/>
              </w:rPr>
              <w:fldChar w:fldCharType="separate"/>
            </w:r>
            <w:r w:rsidR="00D27F41">
              <w:rPr>
                <w:noProof/>
                <w:webHidden/>
              </w:rPr>
              <w:t>10</w:t>
            </w:r>
            <w:r>
              <w:rPr>
                <w:noProof/>
                <w:webHidden/>
              </w:rPr>
              <w:fldChar w:fldCharType="end"/>
            </w:r>
          </w:hyperlink>
        </w:p>
        <w:p w14:paraId="22FAC76F" w14:textId="3D34550B"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80" w:history="1">
            <w:r w:rsidRPr="00F10105">
              <w:rPr>
                <w:rStyle w:val="Hyperlink"/>
                <w:rFonts w:ascii="Arial" w:hAnsi="Arial" w:cs="Arial"/>
                <w:b/>
                <w:bCs/>
                <w:noProof/>
              </w:rPr>
              <w:t>Eligibility</w:t>
            </w:r>
            <w:r>
              <w:rPr>
                <w:noProof/>
                <w:webHidden/>
              </w:rPr>
              <w:tab/>
            </w:r>
            <w:r w:rsidR="001B34F1">
              <w:rPr>
                <w:noProof/>
                <w:webHidden/>
              </w:rPr>
              <w:t>12</w:t>
            </w:r>
          </w:hyperlink>
        </w:p>
        <w:p w14:paraId="09C1BCD4" w14:textId="3107AF91"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81" w:history="1">
            <w:r w:rsidRPr="00F10105">
              <w:rPr>
                <w:rStyle w:val="Hyperlink"/>
                <w:rFonts w:ascii="Arial" w:hAnsi="Arial" w:cs="Arial"/>
                <w:b/>
                <w:bCs/>
                <w:noProof/>
              </w:rPr>
              <w:t>Pilot</w:t>
            </w:r>
            <w:r>
              <w:rPr>
                <w:noProof/>
                <w:webHidden/>
              </w:rPr>
              <w:tab/>
            </w:r>
            <w:r>
              <w:rPr>
                <w:noProof/>
                <w:webHidden/>
              </w:rPr>
              <w:fldChar w:fldCharType="begin"/>
            </w:r>
            <w:r>
              <w:rPr>
                <w:noProof/>
                <w:webHidden/>
              </w:rPr>
              <w:instrText xml:space="preserve"> PAGEREF _Toc211856681 \h </w:instrText>
            </w:r>
            <w:r>
              <w:rPr>
                <w:noProof/>
                <w:webHidden/>
              </w:rPr>
            </w:r>
            <w:r>
              <w:rPr>
                <w:noProof/>
                <w:webHidden/>
              </w:rPr>
              <w:fldChar w:fldCharType="separate"/>
            </w:r>
            <w:r w:rsidR="00D27F41">
              <w:rPr>
                <w:noProof/>
                <w:webHidden/>
              </w:rPr>
              <w:t>17</w:t>
            </w:r>
            <w:r>
              <w:rPr>
                <w:noProof/>
                <w:webHidden/>
              </w:rPr>
              <w:fldChar w:fldCharType="end"/>
            </w:r>
          </w:hyperlink>
        </w:p>
        <w:p w14:paraId="6875B9C6" w14:textId="55CC9A26"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82" w:history="1">
            <w:r w:rsidRPr="00F10105">
              <w:rPr>
                <w:rStyle w:val="Hyperlink"/>
                <w:rFonts w:ascii="Arial" w:hAnsi="Arial" w:cs="Arial"/>
                <w:b/>
                <w:bCs/>
                <w:noProof/>
              </w:rPr>
              <w:t>Certification</w:t>
            </w:r>
            <w:r>
              <w:rPr>
                <w:noProof/>
                <w:webHidden/>
              </w:rPr>
              <w:tab/>
            </w:r>
            <w:r>
              <w:rPr>
                <w:noProof/>
                <w:webHidden/>
              </w:rPr>
              <w:fldChar w:fldCharType="begin"/>
            </w:r>
            <w:r>
              <w:rPr>
                <w:noProof/>
                <w:webHidden/>
              </w:rPr>
              <w:instrText xml:space="preserve"> PAGEREF _Toc211856682 \h </w:instrText>
            </w:r>
            <w:r>
              <w:rPr>
                <w:noProof/>
                <w:webHidden/>
              </w:rPr>
            </w:r>
            <w:r>
              <w:rPr>
                <w:noProof/>
                <w:webHidden/>
              </w:rPr>
              <w:fldChar w:fldCharType="separate"/>
            </w:r>
            <w:r w:rsidR="00D27F41">
              <w:rPr>
                <w:noProof/>
                <w:webHidden/>
              </w:rPr>
              <w:t>18</w:t>
            </w:r>
            <w:r>
              <w:rPr>
                <w:noProof/>
                <w:webHidden/>
              </w:rPr>
              <w:fldChar w:fldCharType="end"/>
            </w:r>
          </w:hyperlink>
        </w:p>
        <w:p w14:paraId="0764D9F1" w14:textId="77777777" w:rsidR="00C75746" w:rsidRDefault="00C75746" w:rsidP="00C75746">
          <w:pPr>
            <w:pStyle w:val="TOC1"/>
            <w:tabs>
              <w:tab w:val="right" w:leader="dot" w:pos="9360"/>
            </w:tabs>
            <w:rPr>
              <w:rStyle w:val="Hyperlink"/>
            </w:rPr>
          </w:pPr>
          <w:r>
            <w:fldChar w:fldCharType="end"/>
          </w:r>
        </w:p>
      </w:sdtContent>
    </w:sdt>
    <w:p w14:paraId="12531ADC" w14:textId="77777777" w:rsidR="009B0ED8" w:rsidRPr="00951731" w:rsidRDefault="009B0ED8" w:rsidP="009B0ED8">
      <w:pPr>
        <w:pBdr>
          <w:top w:val="single" w:sz="4" w:space="1" w:color="000000"/>
        </w:pBdr>
        <w:spacing w:line="257" w:lineRule="auto"/>
        <w:rPr>
          <w:rFonts w:ascii="Arial" w:eastAsia="Arial" w:hAnsi="Arial" w:cs="Arial"/>
          <w:b/>
          <w:bCs/>
          <w:color w:val="000000" w:themeColor="text1"/>
          <w:sz w:val="36"/>
          <w:szCs w:val="36"/>
        </w:rPr>
      </w:pPr>
      <w:bookmarkStart w:id="0" w:name="_Toc211856676"/>
    </w:p>
    <w:p w14:paraId="289CE8FE" w14:textId="77777777" w:rsidR="009B0ED8" w:rsidRDefault="009B0ED8" w:rsidP="009B0ED8">
      <w:pPr>
        <w:pStyle w:val="Heading1"/>
        <w:rPr>
          <w:rFonts w:ascii="Arial" w:eastAsia="Arial" w:hAnsi="Arial" w:cs="Arial"/>
        </w:rPr>
      </w:pPr>
      <w:bookmarkStart w:id="1" w:name="_Toc211502687"/>
      <w:bookmarkStart w:id="2" w:name="_Toc211856675"/>
      <w:r w:rsidRPr="7DEF416A">
        <w:rPr>
          <w:rFonts w:ascii="Arial" w:eastAsia="Arial" w:hAnsi="Arial" w:cs="Arial"/>
          <w:b/>
          <w:bCs/>
        </w:rPr>
        <w:t>Disclaimer</w:t>
      </w:r>
      <w:bookmarkEnd w:id="1"/>
      <w:bookmarkEnd w:id="2"/>
    </w:p>
    <w:p w14:paraId="26A31544" w14:textId="77777777" w:rsidR="009B0ED8" w:rsidRPr="00413D04" w:rsidRDefault="009B0ED8" w:rsidP="009B0ED8">
      <w:pPr>
        <w:pBdr>
          <w:top w:val="single" w:sz="4" w:space="1" w:color="000000"/>
        </w:pBdr>
        <w:spacing w:line="257" w:lineRule="auto"/>
        <w:rPr>
          <w:rFonts w:ascii="Arial" w:eastAsia="Arial" w:hAnsi="Arial" w:cs="Arial"/>
          <w:color w:val="000000" w:themeColor="text1"/>
        </w:rPr>
      </w:pPr>
      <w:r w:rsidRPr="00413D04">
        <w:rPr>
          <w:rFonts w:ascii="Arial" w:eastAsia="Arial" w:hAnsi="Arial" w:cs="Arial"/>
          <w:color w:val="000000" w:themeColor="text1"/>
        </w:rPr>
        <w:t>The following answers are based on California Energy Commission (CEC) staff’s interpretation of the questions received. It is the Applicant’s responsibility to review the Solicitation Manual and to determine whether their proposed project is eligible for funding by reviewing the Eligibility Requirements within the solicitation. The CEC cannot give definitive advice as to whether a particular project is eligible for funding, because not all proposal details are known.</w:t>
      </w:r>
    </w:p>
    <w:p w14:paraId="51684A57" w14:textId="77777777" w:rsidR="00D27F41" w:rsidRDefault="00D27F41">
      <w:pPr>
        <w:rPr>
          <w:rFonts w:ascii="Arial" w:eastAsiaTheme="majorEastAsia" w:hAnsi="Arial" w:cs="Arial"/>
          <w:b/>
          <w:bCs/>
          <w:color w:val="365F91" w:themeColor="accent1" w:themeShade="BF"/>
          <w:sz w:val="32"/>
          <w:szCs w:val="32"/>
        </w:rPr>
      </w:pPr>
      <w:r>
        <w:rPr>
          <w:rFonts w:ascii="Arial" w:hAnsi="Arial" w:cs="Arial"/>
          <w:b/>
          <w:bCs/>
        </w:rPr>
        <w:br w:type="page"/>
      </w:r>
    </w:p>
    <w:bookmarkEnd w:id="0"/>
    <w:p w14:paraId="741AAEAC" w14:textId="77777777" w:rsidR="000C07DB" w:rsidRPr="000C07DB" w:rsidRDefault="000C07DB" w:rsidP="000C07DB">
      <w:pPr>
        <w:keepNext/>
        <w:keepLines/>
        <w:spacing w:before="240" w:line="259" w:lineRule="auto"/>
        <w:outlineLvl w:val="0"/>
        <w:rPr>
          <w:rFonts w:ascii="Calibri Light" w:eastAsia="MS Gothic" w:hAnsi="Calibri Light" w:cs="Times New Roman"/>
          <w:color w:val="2F5496"/>
          <w:sz w:val="32"/>
          <w:szCs w:val="32"/>
        </w:rPr>
      </w:pPr>
      <w:r w:rsidRPr="000C07DB">
        <w:rPr>
          <w:rFonts w:ascii="Arial" w:eastAsia="MS Gothic" w:hAnsi="Arial" w:cs="Arial"/>
          <w:b/>
          <w:bCs/>
          <w:color w:val="2F5496"/>
          <w:sz w:val="32"/>
          <w:szCs w:val="32"/>
        </w:rPr>
        <w:t>Key Takeaways</w:t>
      </w:r>
    </w:p>
    <w:p w14:paraId="3EABEB14" w14:textId="77777777" w:rsidR="000C07DB" w:rsidRPr="000C07DB" w:rsidRDefault="000C07DB" w:rsidP="000C07DB">
      <w:pPr>
        <w:keepNext/>
        <w:keepLines/>
        <w:spacing w:before="40" w:line="259" w:lineRule="auto"/>
        <w:outlineLvl w:val="2"/>
        <w:rPr>
          <w:rFonts w:ascii="Arial" w:eastAsia="MS Gothic" w:hAnsi="Arial" w:cs="Arial"/>
          <w:color w:val="1F3763"/>
        </w:rPr>
      </w:pPr>
      <w:bookmarkStart w:id="3" w:name="_Toc211856677"/>
      <w:r w:rsidRPr="000C07DB">
        <w:rPr>
          <w:rFonts w:ascii="Arial" w:eastAsia="MS Gothic" w:hAnsi="Arial" w:cs="Arial"/>
          <w:color w:val="1F3763"/>
        </w:rPr>
        <w:t>UL 3141 Certification</w:t>
      </w:r>
      <w:bookmarkEnd w:id="3"/>
      <w:r w:rsidRPr="000C07DB">
        <w:rPr>
          <w:rFonts w:ascii="Arial" w:eastAsia="MS Gothic" w:hAnsi="Arial" w:cs="Arial"/>
          <w:color w:val="1F3763"/>
        </w:rPr>
        <w:t xml:space="preserve"> </w:t>
      </w:r>
    </w:p>
    <w:p w14:paraId="64663C00" w14:textId="77777777" w:rsidR="000C07DB" w:rsidRPr="000C07DB" w:rsidRDefault="000C07DB" w:rsidP="000C07DB">
      <w:pPr>
        <w:numPr>
          <w:ilvl w:val="0"/>
          <w:numId w:val="34"/>
        </w:numPr>
        <w:spacing w:after="160" w:line="259" w:lineRule="auto"/>
        <w:contextualSpacing/>
        <w:rPr>
          <w:rFonts w:ascii="Calibri" w:eastAsia="Calibri" w:hAnsi="Calibri" w:cs="Arial"/>
          <w:sz w:val="22"/>
          <w:szCs w:val="22"/>
        </w:rPr>
      </w:pPr>
      <w:r w:rsidRPr="000C07DB">
        <w:rPr>
          <w:rFonts w:ascii="Arial" w:eastAsia="Times New Roman" w:hAnsi="Arial" w:cs="Arial"/>
          <w:sz w:val="22"/>
          <w:szCs w:val="22"/>
        </w:rPr>
        <w:t xml:space="preserve">Advancing UL 3141-certified power control systems (PCS) for interoperability of commercial EV charging systems with flexible service connections and on-site generation is a central research goal of this funding. </w:t>
      </w:r>
    </w:p>
    <w:p w14:paraId="4118AEC1" w14:textId="77777777" w:rsidR="000C07DB" w:rsidRPr="000C07DB" w:rsidRDefault="000C07DB" w:rsidP="000C07DB">
      <w:pPr>
        <w:numPr>
          <w:ilvl w:val="0"/>
          <w:numId w:val="34"/>
        </w:numPr>
        <w:spacing w:after="160" w:line="259" w:lineRule="auto"/>
        <w:contextualSpacing/>
        <w:rPr>
          <w:rFonts w:ascii="Calibri" w:eastAsia="Calibri" w:hAnsi="Calibri" w:cs="Arial"/>
          <w:sz w:val="22"/>
          <w:szCs w:val="22"/>
        </w:rPr>
      </w:pPr>
      <w:r w:rsidRPr="000C07DB">
        <w:rPr>
          <w:rFonts w:ascii="Arial" w:eastAsia="Times New Roman" w:hAnsi="Arial" w:cs="Arial"/>
          <w:sz w:val="22"/>
          <w:szCs w:val="22"/>
        </w:rPr>
        <w:t>Eligible PCS include:</w:t>
      </w:r>
    </w:p>
    <w:p w14:paraId="6AF50B63" w14:textId="77777777" w:rsidR="000C07DB" w:rsidRPr="000C07DB" w:rsidRDefault="000C07DB" w:rsidP="000C07DB">
      <w:pPr>
        <w:numPr>
          <w:ilvl w:val="1"/>
          <w:numId w:val="34"/>
        </w:numPr>
        <w:spacing w:after="160" w:line="259" w:lineRule="auto"/>
        <w:contextualSpacing/>
        <w:rPr>
          <w:rFonts w:ascii="Arial" w:eastAsia="Calibri" w:hAnsi="Arial" w:cs="Arial"/>
          <w:sz w:val="22"/>
          <w:szCs w:val="22"/>
        </w:rPr>
      </w:pPr>
      <w:r w:rsidRPr="000C07DB">
        <w:rPr>
          <w:rFonts w:ascii="Arial" w:eastAsia="Calibri" w:hAnsi="Arial" w:cs="Arial"/>
          <w:sz w:val="22"/>
          <w:szCs w:val="22"/>
        </w:rPr>
        <w:t>Commercially available UL 3141-certified systems</w:t>
      </w:r>
    </w:p>
    <w:p w14:paraId="55C2B6AC" w14:textId="77777777" w:rsidR="000C07DB" w:rsidRPr="000C07DB" w:rsidRDefault="000C07DB" w:rsidP="000C07DB">
      <w:pPr>
        <w:numPr>
          <w:ilvl w:val="1"/>
          <w:numId w:val="34"/>
        </w:numPr>
        <w:spacing w:after="160" w:line="259" w:lineRule="auto"/>
        <w:contextualSpacing/>
        <w:rPr>
          <w:rFonts w:ascii="Arial" w:eastAsia="Calibri" w:hAnsi="Arial" w:cs="Arial"/>
          <w:sz w:val="22"/>
          <w:szCs w:val="22"/>
        </w:rPr>
      </w:pPr>
      <w:r w:rsidRPr="000C07DB">
        <w:rPr>
          <w:rFonts w:ascii="Arial" w:eastAsia="Calibri" w:hAnsi="Arial" w:cs="Arial"/>
          <w:sz w:val="22"/>
          <w:szCs w:val="22"/>
        </w:rPr>
        <w:t>Emerging technologies seeking UL 3141 certification over the project term</w:t>
      </w:r>
    </w:p>
    <w:p w14:paraId="29E6B8EE" w14:textId="77777777" w:rsidR="000C07DB" w:rsidRPr="000C07DB" w:rsidRDefault="000C07DB" w:rsidP="000C07DB">
      <w:pPr>
        <w:numPr>
          <w:ilvl w:val="0"/>
          <w:numId w:val="34"/>
        </w:numPr>
        <w:spacing w:after="160" w:line="259" w:lineRule="auto"/>
        <w:contextualSpacing/>
        <w:rPr>
          <w:rFonts w:ascii="Calibri" w:eastAsia="Calibri" w:hAnsi="Calibri" w:cs="Arial"/>
          <w:sz w:val="22"/>
          <w:szCs w:val="22"/>
        </w:rPr>
      </w:pPr>
      <w:r w:rsidRPr="000C07DB">
        <w:rPr>
          <w:rFonts w:ascii="Arial" w:eastAsia="Times New Roman" w:hAnsi="Arial" w:cs="Arial"/>
          <w:sz w:val="22"/>
          <w:szCs w:val="22"/>
        </w:rPr>
        <w:t>The evaluation is neutral between the two types of eligible PCS, provided strong justification is given.</w:t>
      </w:r>
    </w:p>
    <w:p w14:paraId="13515124" w14:textId="77777777" w:rsidR="000C07DB" w:rsidRPr="000C07DB" w:rsidRDefault="000C07DB" w:rsidP="000C07DB">
      <w:pPr>
        <w:numPr>
          <w:ilvl w:val="0"/>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 xml:space="preserve">The minimum requirements for UL 3141 testing and certification can be found on the Underwriter Laboratory's website at https://www.shopulstandards.com/ProductDetail.aspx?productId=UL3141_2_O_20241009. </w:t>
      </w:r>
    </w:p>
    <w:p w14:paraId="31A27AEA" w14:textId="77777777" w:rsidR="000C07DB" w:rsidRPr="000C07DB" w:rsidRDefault="000C07DB" w:rsidP="000C07DB">
      <w:pPr>
        <w:numPr>
          <w:ilvl w:val="0"/>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 xml:space="preserve">Eligibility in </w:t>
      </w:r>
      <w:proofErr w:type="gramStart"/>
      <w:r w:rsidRPr="000C07DB">
        <w:rPr>
          <w:rFonts w:ascii="Arial" w:eastAsia="Times New Roman" w:hAnsi="Arial" w:cs="Arial"/>
          <w:sz w:val="22"/>
          <w:szCs w:val="22"/>
        </w:rPr>
        <w:t>the flexible</w:t>
      </w:r>
      <w:proofErr w:type="gramEnd"/>
      <w:r w:rsidRPr="000C07DB">
        <w:rPr>
          <w:rFonts w:ascii="Arial" w:eastAsia="Times New Roman" w:hAnsi="Arial" w:cs="Arial"/>
          <w:sz w:val="22"/>
          <w:szCs w:val="22"/>
        </w:rPr>
        <w:t xml:space="preserve"> service pilots may require additional PCS functionality beyond the criteria outlined in UL 3141; contact pilot teams for details:</w:t>
      </w:r>
    </w:p>
    <w:p w14:paraId="41523C9F" w14:textId="77777777" w:rsidR="000C07DB" w:rsidRPr="000C07DB" w:rsidRDefault="000C07DB" w:rsidP="000C07DB">
      <w:pPr>
        <w:numPr>
          <w:ilvl w:val="1"/>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SCE Automated LCMS Pilot:</w:t>
      </w:r>
    </w:p>
    <w:p w14:paraId="0AEC82E5" w14:textId="77777777" w:rsidR="000C07DB" w:rsidRPr="000C07DB" w:rsidRDefault="000C07DB" w:rsidP="000C07DB">
      <w:pPr>
        <w:numPr>
          <w:ilvl w:val="2"/>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Contact Roger Salas (</w:t>
      </w:r>
      <w:hyperlink r:id="rId11" w:history="1">
        <w:r w:rsidRPr="000C07DB">
          <w:rPr>
            <w:rFonts w:ascii="Arial" w:eastAsia="Times New Roman" w:hAnsi="Arial" w:cs="Arial"/>
            <w:color w:val="0563C1"/>
            <w:sz w:val="22"/>
            <w:szCs w:val="22"/>
            <w:u w:val="single"/>
          </w:rPr>
          <w:t>roger.salas@sce.com</w:t>
        </w:r>
      </w:hyperlink>
      <w:r w:rsidRPr="000C07DB">
        <w:rPr>
          <w:rFonts w:ascii="Arial" w:eastAsia="Times New Roman" w:hAnsi="Arial" w:cs="Arial"/>
          <w:sz w:val="22"/>
          <w:szCs w:val="22"/>
        </w:rPr>
        <w:t>) and Jaycee Estafani (</w:t>
      </w:r>
      <w:hyperlink r:id="rId12" w:history="1">
        <w:r w:rsidRPr="000C07DB">
          <w:rPr>
            <w:rFonts w:ascii="Arial" w:eastAsia="Times New Roman" w:hAnsi="Arial" w:cs="Arial"/>
            <w:color w:val="0563C1"/>
            <w:sz w:val="22"/>
            <w:szCs w:val="22"/>
            <w:u w:val="single"/>
          </w:rPr>
          <w:t>jaycee.estefani@sce.com</w:t>
        </w:r>
      </w:hyperlink>
      <w:r w:rsidRPr="000C07DB">
        <w:rPr>
          <w:rFonts w:ascii="Arial" w:eastAsia="Times New Roman" w:hAnsi="Arial" w:cs="Arial"/>
          <w:sz w:val="22"/>
          <w:szCs w:val="22"/>
        </w:rPr>
        <w:t>) directly</w:t>
      </w:r>
    </w:p>
    <w:p w14:paraId="2E664A95" w14:textId="77777777" w:rsidR="000C07DB" w:rsidRPr="000C07DB" w:rsidRDefault="000C07DB" w:rsidP="000C07DB">
      <w:pPr>
        <w:numPr>
          <w:ilvl w:val="1"/>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PG&amp;E Flex Connect Pilot</w:t>
      </w:r>
    </w:p>
    <w:p w14:paraId="2548033B" w14:textId="77777777" w:rsidR="000C07DB" w:rsidRPr="000C07DB" w:rsidRDefault="000C07DB" w:rsidP="00A517F6">
      <w:pPr>
        <w:numPr>
          <w:ilvl w:val="2"/>
          <w:numId w:val="34"/>
        </w:numPr>
        <w:spacing w:after="160" w:line="259" w:lineRule="auto"/>
        <w:rPr>
          <w:rFonts w:ascii="Arial" w:eastAsia="Times New Roman" w:hAnsi="Arial" w:cs="Arial"/>
          <w:sz w:val="22"/>
          <w:szCs w:val="22"/>
        </w:rPr>
      </w:pPr>
      <w:r w:rsidRPr="000C07DB">
        <w:rPr>
          <w:rFonts w:ascii="Arial" w:eastAsia="Times New Roman" w:hAnsi="Arial" w:cs="Arial"/>
          <w:sz w:val="22"/>
          <w:szCs w:val="22"/>
        </w:rPr>
        <w:t xml:space="preserve">Contact </w:t>
      </w:r>
      <w:hyperlink r:id="rId13">
        <w:r w:rsidRPr="000C07DB">
          <w:rPr>
            <w:rFonts w:ascii="Arial" w:eastAsia="Times New Roman" w:hAnsi="Arial" w:cs="Arial"/>
            <w:color w:val="0563C1"/>
            <w:sz w:val="22"/>
            <w:szCs w:val="22"/>
            <w:u w:val="single"/>
          </w:rPr>
          <w:t>flexconnect@pge.com</w:t>
        </w:r>
      </w:hyperlink>
      <w:r w:rsidRPr="000C07DB">
        <w:rPr>
          <w:rFonts w:ascii="Arial" w:eastAsia="Times New Roman" w:hAnsi="Arial" w:cs="Arial"/>
          <w:sz w:val="22"/>
          <w:szCs w:val="22"/>
        </w:rPr>
        <w:t xml:space="preserve"> or visit </w:t>
      </w:r>
      <w:hyperlink r:id="rId14">
        <w:r w:rsidRPr="000C07DB">
          <w:rPr>
            <w:rFonts w:ascii="Arial" w:eastAsia="Times New Roman" w:hAnsi="Arial" w:cs="Arial"/>
            <w:color w:val="0563C1"/>
            <w:sz w:val="22"/>
            <w:szCs w:val="22"/>
            <w:u w:val="single"/>
          </w:rPr>
          <w:t>www.pge.com/flexconnect</w:t>
        </w:r>
      </w:hyperlink>
      <w:r w:rsidRPr="000C07DB">
        <w:rPr>
          <w:rFonts w:ascii="Arial" w:eastAsia="Times New Roman" w:hAnsi="Arial" w:cs="Arial"/>
          <w:sz w:val="22"/>
          <w:szCs w:val="22"/>
        </w:rPr>
        <w:t> </w:t>
      </w:r>
    </w:p>
    <w:p w14:paraId="56B0C4C0"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Renewable Generation Clarification</w:t>
      </w:r>
    </w:p>
    <w:p w14:paraId="5678DD2E" w14:textId="77777777" w:rsidR="000C07DB" w:rsidRPr="000C07DB" w:rsidRDefault="000C07DB" w:rsidP="000C07DB">
      <w:pPr>
        <w:numPr>
          <w:ilvl w:val="0"/>
          <w:numId w:val="34"/>
        </w:numPr>
        <w:spacing w:after="160" w:line="259" w:lineRule="auto"/>
        <w:contextualSpacing/>
        <w:rPr>
          <w:rFonts w:ascii="Arial" w:eastAsia="Calibri" w:hAnsi="Arial" w:cs="Arial"/>
          <w:color w:val="000000"/>
          <w:sz w:val="22"/>
          <w:szCs w:val="22"/>
        </w:rPr>
      </w:pPr>
      <w:r w:rsidRPr="000C07DB">
        <w:rPr>
          <w:rFonts w:ascii="Arial" w:eastAsia="Calibri" w:hAnsi="Arial" w:cs="Arial"/>
          <w:color w:val="000000"/>
          <w:sz w:val="22"/>
          <w:szCs w:val="22"/>
        </w:rPr>
        <w:t>Renewable distributed energy resources (DERs) and renewable energy generation equipment must be 100% renewable as defined by the California Energy Commission’s “Renewable Portfolio Standard (RPS) Eligibility Guidebook (9</w:t>
      </w:r>
      <w:r w:rsidRPr="000C07DB">
        <w:rPr>
          <w:rFonts w:ascii="Arial" w:eastAsia="Calibri" w:hAnsi="Arial" w:cs="Arial"/>
          <w:color w:val="000000"/>
          <w:sz w:val="22"/>
          <w:szCs w:val="22"/>
          <w:vertAlign w:val="superscript"/>
        </w:rPr>
        <w:t>th</w:t>
      </w:r>
      <w:r w:rsidRPr="000C07DB">
        <w:rPr>
          <w:rFonts w:ascii="Arial" w:eastAsia="Calibri" w:hAnsi="Arial" w:cs="Arial"/>
          <w:color w:val="000000"/>
          <w:sz w:val="22"/>
          <w:szCs w:val="22"/>
        </w:rPr>
        <w:t xml:space="preserve"> Edition).” </w:t>
      </w:r>
    </w:p>
    <w:p w14:paraId="75CA08F8" w14:textId="77777777" w:rsidR="000C07DB" w:rsidRPr="000C07DB" w:rsidRDefault="000C07DB" w:rsidP="000C07DB">
      <w:pPr>
        <w:numPr>
          <w:ilvl w:val="0"/>
          <w:numId w:val="34"/>
        </w:numPr>
        <w:spacing w:after="160" w:line="259" w:lineRule="auto"/>
        <w:contextualSpacing/>
        <w:rPr>
          <w:rFonts w:ascii="Arial" w:eastAsia="Calibri" w:hAnsi="Arial" w:cs="Arial"/>
          <w:color w:val="000000"/>
          <w:sz w:val="22"/>
          <w:szCs w:val="22"/>
        </w:rPr>
      </w:pPr>
      <w:r w:rsidRPr="000C07DB">
        <w:rPr>
          <w:rFonts w:ascii="Arial" w:eastAsia="Calibri" w:hAnsi="Arial" w:cs="Arial"/>
          <w:color w:val="000000"/>
          <w:sz w:val="22"/>
          <w:szCs w:val="22"/>
        </w:rPr>
        <w:t>The draft 10</w:t>
      </w:r>
      <w:r w:rsidRPr="000C07DB">
        <w:rPr>
          <w:rFonts w:ascii="Arial" w:eastAsia="Calibri" w:hAnsi="Arial" w:cs="Arial"/>
          <w:color w:val="000000"/>
          <w:sz w:val="22"/>
          <w:szCs w:val="22"/>
          <w:vertAlign w:val="superscript"/>
        </w:rPr>
        <w:t>th</w:t>
      </w:r>
      <w:r w:rsidRPr="000C07DB">
        <w:rPr>
          <w:rFonts w:ascii="Arial" w:eastAsia="Calibri" w:hAnsi="Arial" w:cs="Arial"/>
          <w:color w:val="000000"/>
          <w:sz w:val="22"/>
          <w:szCs w:val="22"/>
        </w:rPr>
        <w:t xml:space="preserve"> edition of the RPS Eligibility Guidebook was published on September 17, 2025, and includes the use of linear generators. As such, projects proposing to use fuel cells or linear generators as on-site generation are eligible for funding as long as they are using 100% renewable fuel as described in the 9</w:t>
      </w:r>
      <w:r w:rsidRPr="000C07DB">
        <w:rPr>
          <w:rFonts w:ascii="Arial" w:eastAsia="Calibri" w:hAnsi="Arial" w:cs="Arial"/>
          <w:color w:val="000000"/>
          <w:sz w:val="22"/>
          <w:szCs w:val="22"/>
          <w:vertAlign w:val="superscript"/>
        </w:rPr>
        <w:t>th</w:t>
      </w:r>
      <w:r w:rsidRPr="000C07DB">
        <w:rPr>
          <w:rFonts w:ascii="Arial" w:eastAsia="Calibri" w:hAnsi="Arial" w:cs="Arial"/>
          <w:color w:val="000000"/>
          <w:sz w:val="22"/>
          <w:szCs w:val="22"/>
        </w:rPr>
        <w:t xml:space="preserve"> Edition RPS Guidebook [to be replaced by the 10</w:t>
      </w:r>
      <w:r w:rsidRPr="000C07DB">
        <w:rPr>
          <w:rFonts w:ascii="Arial" w:eastAsia="Calibri" w:hAnsi="Arial" w:cs="Arial"/>
          <w:color w:val="000000"/>
          <w:sz w:val="22"/>
          <w:szCs w:val="22"/>
          <w:vertAlign w:val="superscript"/>
        </w:rPr>
        <w:t>th</w:t>
      </w:r>
      <w:r w:rsidRPr="000C07DB">
        <w:rPr>
          <w:rFonts w:ascii="Arial" w:eastAsia="Calibri" w:hAnsi="Arial" w:cs="Arial"/>
          <w:color w:val="000000"/>
          <w:sz w:val="22"/>
          <w:szCs w:val="22"/>
        </w:rPr>
        <w:t xml:space="preserve"> edition when published]. </w:t>
      </w:r>
    </w:p>
    <w:p w14:paraId="62C71B6F" w14:textId="77777777" w:rsidR="000C07DB" w:rsidRPr="000C07DB" w:rsidRDefault="000C07DB" w:rsidP="008F26CC">
      <w:pPr>
        <w:numPr>
          <w:ilvl w:val="0"/>
          <w:numId w:val="34"/>
        </w:numPr>
        <w:spacing w:after="160" w:line="259" w:lineRule="auto"/>
        <w:rPr>
          <w:rFonts w:ascii="Arial" w:eastAsia="Calibri" w:hAnsi="Arial" w:cs="Arial"/>
          <w:color w:val="000000"/>
          <w:sz w:val="22"/>
          <w:szCs w:val="22"/>
        </w:rPr>
      </w:pPr>
      <w:r w:rsidRPr="000C07DB">
        <w:rPr>
          <w:rFonts w:ascii="Arial" w:eastAsia="Calibri" w:hAnsi="Arial" w:cs="Arial"/>
          <w:color w:val="000000"/>
          <w:sz w:val="22"/>
          <w:szCs w:val="22"/>
        </w:rPr>
        <w:t>Though RPS certification is not required, if generating electricity from a fuel source, applicants must demonstrate that the fuel is 100% renewable.</w:t>
      </w:r>
    </w:p>
    <w:p w14:paraId="0B746F95"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SDG&amp;E Eligibility</w:t>
      </w:r>
    </w:p>
    <w:p w14:paraId="0CE95D15" w14:textId="77777777" w:rsidR="000C07DB" w:rsidRPr="000C07DB" w:rsidRDefault="000C07DB" w:rsidP="000C07DB">
      <w:pPr>
        <w:numPr>
          <w:ilvl w:val="0"/>
          <w:numId w:val="34"/>
        </w:numPr>
        <w:spacing w:after="160" w:line="259" w:lineRule="auto"/>
        <w:contextualSpacing/>
        <w:rPr>
          <w:rFonts w:ascii="Calibri" w:eastAsia="Calibri" w:hAnsi="Calibri" w:cs="Arial"/>
          <w:color w:val="000000"/>
          <w:sz w:val="22"/>
          <w:szCs w:val="22"/>
        </w:rPr>
      </w:pPr>
      <w:r w:rsidRPr="000C07DB">
        <w:rPr>
          <w:rFonts w:ascii="Arial" w:eastAsia="Times New Roman" w:hAnsi="Arial" w:cs="Arial"/>
          <w:color w:val="000000"/>
          <w:sz w:val="22"/>
          <w:szCs w:val="22"/>
        </w:rPr>
        <w:t xml:space="preserve">Projects in SDG&amp;E’s service territory are </w:t>
      </w:r>
      <w:r w:rsidRPr="000C07DB">
        <w:rPr>
          <w:rFonts w:ascii="Arial" w:eastAsia="Times New Roman" w:hAnsi="Arial" w:cs="Arial"/>
          <w:b/>
          <w:bCs/>
          <w:color w:val="000000"/>
          <w:sz w:val="22"/>
          <w:szCs w:val="22"/>
        </w:rPr>
        <w:t>not eligible</w:t>
      </w:r>
      <w:r w:rsidRPr="000C07DB">
        <w:rPr>
          <w:rFonts w:ascii="Arial" w:eastAsia="Times New Roman" w:hAnsi="Arial" w:cs="Arial"/>
          <w:color w:val="000000"/>
          <w:sz w:val="22"/>
          <w:szCs w:val="22"/>
        </w:rPr>
        <w:t xml:space="preserve"> for funding.</w:t>
      </w:r>
    </w:p>
    <w:p w14:paraId="6FA499B6" w14:textId="77777777" w:rsidR="000C07DB" w:rsidRPr="000C07DB" w:rsidRDefault="000C07DB" w:rsidP="000C07DB">
      <w:pPr>
        <w:numPr>
          <w:ilvl w:val="0"/>
          <w:numId w:val="34"/>
        </w:numPr>
        <w:spacing w:after="160" w:line="259" w:lineRule="auto"/>
        <w:contextualSpacing/>
        <w:rPr>
          <w:rFonts w:ascii="Calibri" w:eastAsia="Calibri" w:hAnsi="Calibri" w:cs="Arial"/>
          <w:color w:val="000000"/>
          <w:sz w:val="22"/>
          <w:szCs w:val="22"/>
        </w:rPr>
      </w:pPr>
      <w:r w:rsidRPr="000C07DB">
        <w:rPr>
          <w:rFonts w:ascii="Arial" w:eastAsia="Times New Roman" w:hAnsi="Arial" w:cs="Arial"/>
          <w:color w:val="000000"/>
          <w:sz w:val="22"/>
          <w:szCs w:val="22"/>
        </w:rPr>
        <w:t>SDG&amp;E does not currently operate any flexible service connection pilots, nor does it have a framework in place to support limited load profile schedules for customers.</w:t>
      </w:r>
    </w:p>
    <w:p w14:paraId="18A9C5F8"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r w:rsidRPr="000C07DB">
        <w:rPr>
          <w:rFonts w:ascii="Arial" w:eastAsia="MS Gothic" w:hAnsi="Arial" w:cs="Arial"/>
          <w:b/>
          <w:bCs/>
          <w:color w:val="2F5496"/>
          <w:sz w:val="32"/>
          <w:szCs w:val="32"/>
        </w:rPr>
        <w:t>Key Changes</w:t>
      </w:r>
    </w:p>
    <w:p w14:paraId="441C6F78"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Match Funding for Projects Sited In and Benefiting California Native American Tribes</w:t>
      </w:r>
    </w:p>
    <w:p w14:paraId="11ED272A" w14:textId="77777777" w:rsidR="000C07DB" w:rsidRPr="000C07DB" w:rsidRDefault="000C07DB" w:rsidP="00342CB2">
      <w:pPr>
        <w:numPr>
          <w:ilvl w:val="0"/>
          <w:numId w:val="34"/>
        </w:numPr>
        <w:spacing w:after="160" w:line="259" w:lineRule="auto"/>
        <w:rPr>
          <w:rFonts w:ascii="Calibri" w:eastAsia="Calibri" w:hAnsi="Calibri" w:cs="Arial"/>
          <w:sz w:val="22"/>
          <w:szCs w:val="22"/>
        </w:rPr>
      </w:pPr>
      <w:r w:rsidRPr="000C07DB">
        <w:rPr>
          <w:rFonts w:ascii="Arial" w:eastAsia="Calibri" w:hAnsi="Arial" w:cs="Arial"/>
          <w:sz w:val="22"/>
          <w:szCs w:val="22"/>
        </w:rPr>
        <w:t>CEC staff will be issuing an addendum reducing the match funding requirement to 10% for projects whose demonstration site is located in and benefiting a California Native American Tribe</w:t>
      </w:r>
    </w:p>
    <w:p w14:paraId="52041E32"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 xml:space="preserve">UL 3141 Certification </w:t>
      </w:r>
    </w:p>
    <w:p w14:paraId="030736E4" w14:textId="77777777" w:rsidR="000C07DB" w:rsidRPr="000C07DB" w:rsidRDefault="000C07DB" w:rsidP="00342CB2">
      <w:pPr>
        <w:numPr>
          <w:ilvl w:val="0"/>
          <w:numId w:val="34"/>
        </w:numPr>
        <w:spacing w:after="160" w:line="259" w:lineRule="auto"/>
        <w:rPr>
          <w:rFonts w:ascii="Arial" w:eastAsia="Calibri" w:hAnsi="Arial" w:cs="Arial"/>
          <w:sz w:val="22"/>
          <w:szCs w:val="22"/>
        </w:rPr>
      </w:pPr>
      <w:r w:rsidRPr="000C07DB">
        <w:rPr>
          <w:rFonts w:ascii="Arial" w:eastAsia="Calibri" w:hAnsi="Arial" w:cs="Arial"/>
          <w:color w:val="000000"/>
          <w:sz w:val="22"/>
          <w:szCs w:val="22"/>
        </w:rPr>
        <w:t xml:space="preserve">CEC staff will be issuing </w:t>
      </w:r>
      <w:r w:rsidRPr="000C07DB">
        <w:rPr>
          <w:rFonts w:ascii="Arial" w:eastAsia="Calibri" w:hAnsi="Arial" w:cs="Arial"/>
          <w:sz w:val="22"/>
          <w:szCs w:val="22"/>
        </w:rPr>
        <w:t>an addendum to clarify UL 3141 certification requirements.</w:t>
      </w:r>
    </w:p>
    <w:p w14:paraId="46D16A52"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Renewable Generation Clarification</w:t>
      </w:r>
    </w:p>
    <w:p w14:paraId="6AE8AD0C" w14:textId="77777777" w:rsidR="000C07DB" w:rsidRPr="000C07DB" w:rsidRDefault="000C07DB" w:rsidP="00342CB2">
      <w:pPr>
        <w:numPr>
          <w:ilvl w:val="0"/>
          <w:numId w:val="34"/>
        </w:numPr>
        <w:spacing w:after="160" w:line="259" w:lineRule="auto"/>
        <w:rPr>
          <w:rFonts w:ascii="Calibri" w:eastAsia="Calibri" w:hAnsi="Calibri" w:cs="Arial"/>
          <w:color w:val="000000"/>
          <w:sz w:val="22"/>
          <w:szCs w:val="22"/>
        </w:rPr>
      </w:pPr>
      <w:r w:rsidRPr="000C07DB">
        <w:rPr>
          <w:rFonts w:ascii="Arial" w:eastAsia="Calibri" w:hAnsi="Arial" w:cs="Arial"/>
          <w:color w:val="000000"/>
          <w:sz w:val="22"/>
          <w:szCs w:val="22"/>
        </w:rPr>
        <w:t>CEC staff will be issuing an addendum to the solicitation manual clarifying the eligibility of renewable generation sources.</w:t>
      </w:r>
    </w:p>
    <w:p w14:paraId="7B438D5B"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Disadvantaged Community (DAC) - Demonstration Requirement</w:t>
      </w:r>
    </w:p>
    <w:p w14:paraId="6992E0C1" w14:textId="77777777" w:rsidR="000C07DB" w:rsidRPr="000C07DB" w:rsidRDefault="000C07DB" w:rsidP="000C07DB">
      <w:pPr>
        <w:numPr>
          <w:ilvl w:val="0"/>
          <w:numId w:val="34"/>
        </w:numPr>
        <w:spacing w:after="160" w:line="259" w:lineRule="auto"/>
        <w:contextualSpacing/>
        <w:rPr>
          <w:rFonts w:ascii="Arial" w:eastAsia="Calibri" w:hAnsi="Arial" w:cs="Arial"/>
          <w:color w:val="000000"/>
          <w:sz w:val="22"/>
          <w:szCs w:val="22"/>
        </w:rPr>
      </w:pPr>
      <w:r w:rsidRPr="000C07DB">
        <w:rPr>
          <w:rFonts w:ascii="Arial" w:eastAsia="Calibri" w:hAnsi="Arial" w:cs="Arial"/>
          <w:color w:val="000000"/>
          <w:sz w:val="22"/>
          <w:szCs w:val="22"/>
        </w:rPr>
        <w:t xml:space="preserve">The DAC siting </w:t>
      </w:r>
      <w:r w:rsidRPr="000C07DB">
        <w:rPr>
          <w:rFonts w:ascii="Arial" w:eastAsia="Calibri" w:hAnsi="Arial" w:cs="Arial"/>
          <w:i/>
          <w:iCs/>
          <w:color w:val="000000"/>
          <w:sz w:val="22"/>
          <w:szCs w:val="22"/>
        </w:rPr>
        <w:t xml:space="preserve">requirement </w:t>
      </w:r>
      <w:r w:rsidRPr="000C07DB">
        <w:rPr>
          <w:rFonts w:ascii="Arial" w:eastAsia="Calibri" w:hAnsi="Arial" w:cs="Arial"/>
          <w:color w:val="000000"/>
          <w:sz w:val="22"/>
          <w:szCs w:val="22"/>
        </w:rPr>
        <w:t>will be replaced with a</w:t>
      </w:r>
      <w:r w:rsidRPr="000C07DB">
        <w:rPr>
          <w:rFonts w:ascii="Arial" w:eastAsia="Calibri" w:hAnsi="Arial" w:cs="Arial"/>
          <w:i/>
          <w:iCs/>
          <w:color w:val="000000"/>
          <w:sz w:val="22"/>
          <w:szCs w:val="22"/>
        </w:rPr>
        <w:t xml:space="preserve"> preference points </w:t>
      </w:r>
      <w:r w:rsidRPr="000C07DB">
        <w:rPr>
          <w:rFonts w:ascii="Arial" w:eastAsia="Calibri" w:hAnsi="Arial" w:cs="Arial"/>
          <w:color w:val="000000"/>
          <w:sz w:val="22"/>
          <w:szCs w:val="22"/>
        </w:rPr>
        <w:t>system in an upcoming addendum.</w:t>
      </w:r>
    </w:p>
    <w:p w14:paraId="42C54054" w14:textId="77777777" w:rsidR="000C07DB" w:rsidRPr="000C07DB" w:rsidRDefault="000C07DB" w:rsidP="000C07DB">
      <w:pPr>
        <w:numPr>
          <w:ilvl w:val="1"/>
          <w:numId w:val="34"/>
        </w:numPr>
        <w:spacing w:after="160" w:line="259" w:lineRule="auto"/>
        <w:contextualSpacing/>
        <w:rPr>
          <w:rFonts w:ascii="Arial" w:eastAsia="Arial" w:hAnsi="Arial" w:cs="Arial"/>
          <w:sz w:val="22"/>
          <w:szCs w:val="22"/>
        </w:rPr>
      </w:pPr>
      <w:r w:rsidRPr="000C07DB">
        <w:rPr>
          <w:rFonts w:ascii="Arial" w:eastAsia="Arial" w:hAnsi="Arial" w:cs="Arial"/>
          <w:sz w:val="22"/>
          <w:szCs w:val="22"/>
        </w:rPr>
        <w:t>Projects in DACs or Tribal Reservations will receive scoring bonuses but are no longer mandatory.</w:t>
      </w:r>
    </w:p>
    <w:p w14:paraId="2441A5CB" w14:textId="77777777" w:rsidR="000C07DB" w:rsidRPr="000C07DB" w:rsidRDefault="000C07DB" w:rsidP="00130419">
      <w:pPr>
        <w:numPr>
          <w:ilvl w:val="1"/>
          <w:numId w:val="34"/>
        </w:numPr>
        <w:spacing w:after="160" w:line="259" w:lineRule="auto"/>
        <w:rPr>
          <w:rFonts w:ascii="Arial" w:eastAsia="Arial" w:hAnsi="Arial" w:cs="Arial"/>
          <w:sz w:val="22"/>
          <w:szCs w:val="22"/>
        </w:rPr>
      </w:pPr>
      <w:r w:rsidRPr="000C07DB">
        <w:rPr>
          <w:rFonts w:ascii="Arial" w:eastAsia="Calibri" w:hAnsi="Arial" w:cs="Arial"/>
          <w:color w:val="000000"/>
          <w:sz w:val="22"/>
          <w:szCs w:val="22"/>
        </w:rPr>
        <w:t>This change aims to broaden participation while still encouraging benefits to DACs</w:t>
      </w:r>
    </w:p>
    <w:p w14:paraId="058216F8" w14:textId="77777777" w:rsidR="000C07DB" w:rsidRPr="000C07DB" w:rsidRDefault="000C07DB" w:rsidP="000C07DB">
      <w:pPr>
        <w:keepNext/>
        <w:keepLines/>
        <w:spacing w:before="40" w:line="259" w:lineRule="auto"/>
        <w:outlineLvl w:val="2"/>
        <w:rPr>
          <w:rFonts w:ascii="Arial" w:eastAsia="MS Gothic" w:hAnsi="Arial" w:cs="Arial"/>
          <w:color w:val="1F3864"/>
        </w:rPr>
      </w:pPr>
      <w:r w:rsidRPr="000C07DB">
        <w:rPr>
          <w:rFonts w:ascii="Arial" w:eastAsia="MS Gothic" w:hAnsi="Arial" w:cs="Arial"/>
          <w:color w:val="1F3864"/>
        </w:rPr>
        <w:t>Application Deadline Extension</w:t>
      </w:r>
    </w:p>
    <w:p w14:paraId="6AB7E0BD" w14:textId="77777777" w:rsidR="000C07DB" w:rsidRPr="000C07DB" w:rsidRDefault="000C07DB" w:rsidP="00130419">
      <w:pPr>
        <w:numPr>
          <w:ilvl w:val="0"/>
          <w:numId w:val="34"/>
        </w:numPr>
        <w:spacing w:after="160" w:line="259" w:lineRule="auto"/>
        <w:rPr>
          <w:rFonts w:ascii="Calibri" w:eastAsia="Calibri" w:hAnsi="Calibri" w:cs="Arial"/>
          <w:sz w:val="22"/>
          <w:szCs w:val="22"/>
        </w:rPr>
      </w:pPr>
      <w:r w:rsidRPr="000C07DB">
        <w:rPr>
          <w:rFonts w:ascii="Arial" w:eastAsia="Calibri" w:hAnsi="Arial" w:cs="Arial"/>
          <w:color w:val="000000"/>
          <w:sz w:val="22"/>
          <w:szCs w:val="22"/>
        </w:rPr>
        <w:t xml:space="preserve">CEC staff will be issuing </w:t>
      </w:r>
      <w:r w:rsidRPr="000C07DB">
        <w:rPr>
          <w:rFonts w:ascii="Arial" w:eastAsia="Calibri" w:hAnsi="Arial" w:cs="Arial"/>
          <w:sz w:val="22"/>
          <w:szCs w:val="22"/>
        </w:rPr>
        <w:t xml:space="preserve">an addendum to extend the submission deadline to </w:t>
      </w:r>
      <w:r w:rsidRPr="000C07DB">
        <w:rPr>
          <w:rFonts w:ascii="Arial" w:eastAsia="Calibri" w:hAnsi="Arial" w:cs="Arial"/>
          <w:b/>
          <w:bCs/>
          <w:sz w:val="22"/>
          <w:szCs w:val="22"/>
        </w:rPr>
        <w:t xml:space="preserve">Dec. 12, 2025, at 5:00pm </w:t>
      </w:r>
      <w:r w:rsidRPr="000C07DB">
        <w:rPr>
          <w:rFonts w:ascii="Arial" w:eastAsia="Calibri" w:hAnsi="Arial" w:cs="Arial"/>
          <w:sz w:val="22"/>
          <w:szCs w:val="22"/>
        </w:rPr>
        <w:t>(from Nov. 21)</w:t>
      </w:r>
      <w:r w:rsidRPr="000C07DB">
        <w:rPr>
          <w:rFonts w:ascii="Arial" w:eastAsia="Calibri" w:hAnsi="Arial" w:cs="Arial"/>
          <w:b/>
          <w:bCs/>
          <w:sz w:val="22"/>
          <w:szCs w:val="22"/>
        </w:rPr>
        <w:t>.</w:t>
      </w:r>
      <w:r w:rsidRPr="000C07DB">
        <w:rPr>
          <w:rFonts w:ascii="Arial" w:eastAsia="Calibri" w:hAnsi="Arial" w:cs="Arial"/>
          <w:sz w:val="22"/>
          <w:szCs w:val="22"/>
        </w:rPr>
        <w:t xml:space="preserve"> </w:t>
      </w:r>
    </w:p>
    <w:p w14:paraId="2B3598CA"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4" w:name="_Toc211856678"/>
      <w:r w:rsidRPr="000C07DB">
        <w:rPr>
          <w:rFonts w:ascii="Arial" w:eastAsia="MS Gothic" w:hAnsi="Arial" w:cs="Arial"/>
          <w:b/>
          <w:bCs/>
          <w:color w:val="2F5496"/>
          <w:sz w:val="32"/>
          <w:szCs w:val="32"/>
        </w:rPr>
        <w:t>General/Administrative</w:t>
      </w:r>
      <w:bookmarkEnd w:id="4"/>
    </w:p>
    <w:p w14:paraId="44363371" w14:textId="77777777" w:rsidR="000C07DB" w:rsidRPr="000C07DB" w:rsidRDefault="000C07DB" w:rsidP="00FB53D9">
      <w:pPr>
        <w:keepNext/>
        <w:keepLines/>
        <w:spacing w:before="40" w:line="259" w:lineRule="auto"/>
        <w:outlineLvl w:val="2"/>
        <w:rPr>
          <w:rFonts w:ascii="Arial" w:eastAsia="Calibri" w:hAnsi="Arial" w:cs="Arial"/>
          <w:sz w:val="22"/>
          <w:szCs w:val="22"/>
        </w:rPr>
      </w:pPr>
      <w:r w:rsidRPr="000C07DB">
        <w:rPr>
          <w:rFonts w:ascii="Arial" w:eastAsia="Calibri" w:hAnsi="Arial" w:cs="Arial"/>
          <w:sz w:val="22"/>
          <w:szCs w:val="22"/>
        </w:rPr>
        <w:t>Q1 – Is a confirmed site or location required at the time of application submission?</w:t>
      </w:r>
    </w:p>
    <w:p w14:paraId="6E605B5A" w14:textId="77777777" w:rsidR="000C07DB" w:rsidRPr="009A57B5" w:rsidRDefault="000C07DB" w:rsidP="000C07DB">
      <w:pPr>
        <w:spacing w:after="160" w:line="259" w:lineRule="auto"/>
        <w:ind w:left="720"/>
        <w:rPr>
          <w:rFonts w:ascii="Arial" w:eastAsia="Calibri" w:hAnsi="Arial" w:cs="Arial"/>
          <w:color w:val="17365D" w:themeColor="text2" w:themeShade="BF"/>
          <w:sz w:val="22"/>
          <w:szCs w:val="22"/>
        </w:rPr>
      </w:pPr>
      <w:r w:rsidRPr="009A57B5">
        <w:rPr>
          <w:rFonts w:ascii="Arial" w:eastAsia="Calibri" w:hAnsi="Arial" w:cs="Arial"/>
          <w:color w:val="17365D" w:themeColor="text2" w:themeShade="BF"/>
          <w:sz w:val="22"/>
          <w:szCs w:val="22"/>
        </w:rPr>
        <w:t xml:space="preserve">CEC – Yes – A “site commitment letter signed by an authorized representative of the proposed demonstration/ deployment site” is required in Attachment 9 (“Commitment and Support Letter Form”). Furthermore, each applicant must include a letter of support confirming </w:t>
      </w:r>
      <w:proofErr w:type="gramStart"/>
      <w:r w:rsidRPr="009A57B5">
        <w:rPr>
          <w:rFonts w:ascii="Arial" w:eastAsia="Calibri" w:hAnsi="Arial" w:cs="Arial"/>
          <w:color w:val="17365D" w:themeColor="text2" w:themeShade="BF"/>
          <w:sz w:val="22"/>
          <w:szCs w:val="22"/>
        </w:rPr>
        <w:t>its</w:t>
      </w:r>
      <w:proofErr w:type="gramEnd"/>
      <w:r w:rsidRPr="009A57B5">
        <w:rPr>
          <w:rFonts w:ascii="Arial" w:eastAsia="Calibri" w:hAnsi="Arial" w:cs="Arial"/>
          <w:color w:val="17365D" w:themeColor="text2" w:themeShade="BF"/>
          <w:sz w:val="22"/>
          <w:szCs w:val="22"/>
        </w:rPr>
        <w:t xml:space="preserve"> eligibility to participate in PG&amp;E or SCE’s flexible service pilot. Because IOU staff require a specific site address to assess eligibility, each applicant must </w:t>
      </w:r>
      <w:proofErr w:type="gramStart"/>
      <w:r w:rsidRPr="009A57B5">
        <w:rPr>
          <w:rFonts w:ascii="Arial" w:eastAsia="Calibri" w:hAnsi="Arial" w:cs="Arial"/>
          <w:color w:val="17365D" w:themeColor="text2" w:themeShade="BF"/>
          <w:sz w:val="22"/>
          <w:szCs w:val="22"/>
        </w:rPr>
        <w:t>secure</w:t>
      </w:r>
      <w:proofErr w:type="gramEnd"/>
      <w:r w:rsidRPr="009A57B5">
        <w:rPr>
          <w:rFonts w:ascii="Arial" w:eastAsia="Calibri" w:hAnsi="Arial" w:cs="Arial"/>
          <w:color w:val="17365D" w:themeColor="text2" w:themeShade="BF"/>
          <w:sz w:val="22"/>
          <w:szCs w:val="22"/>
        </w:rPr>
        <w:t xml:space="preserve"> and confirm its demonstration site prior to submission.</w:t>
      </w:r>
    </w:p>
    <w:p w14:paraId="019D7BB8"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(Duplicate questions included in response:</w:t>
      </w:r>
    </w:p>
    <w:p w14:paraId="119FE43D" w14:textId="77777777" w:rsidR="000C07DB" w:rsidRPr="000C07DB" w:rsidRDefault="000C07DB" w:rsidP="009D24FA">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Does the applicant need to identify a specific demonstration site location in its GFO response?</w:t>
      </w:r>
      <w:r w:rsidRPr="000C07DB">
        <w:rPr>
          <w:rFonts w:ascii="Arial" w:eastAsia="Calibri" w:hAnsi="Arial" w:cs="Arial"/>
          <w:sz w:val="22"/>
          <w:szCs w:val="22"/>
        </w:rPr>
        <w:t>)</w:t>
      </w:r>
    </w:p>
    <w:p w14:paraId="3E03B9F3"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Q2 – How many projects are planned to be funded under this solicitation in each group?</w:t>
      </w:r>
    </w:p>
    <w:p w14:paraId="300170B0"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We intend to fund one project from Group 1 and reserve all remaining funds, likely enough for two projects, for Group 2. However, Section I.D.3 of the Solicitation Manual outlines the CEC’s right to make changes to the funding amount, including “increasing or decreasing the available funding and the min/max grant award amounts” or “reallocating funding between any of the groups.”</w:t>
      </w:r>
    </w:p>
    <w:p w14:paraId="424CE428"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 – Assuming the project funds will pay for the hardware on this demonstration?  This kind of hardware is expensive to procure and construct and therefore - can the project team use project finance funds from industry to engineer, procure and construct the demonstration equipment?</w:t>
      </w:r>
    </w:p>
    <w:p w14:paraId="1AD9B2AB"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Recipients are permitted to use project finance funds to support project spending beyond the reimbursable amount awarded by the CEC. These funds would be considered match share if they are fully available to the applicant or its match partner at the time of application. While all projects must provide at least the minimum match percentage to be eligible for funding, applicants will be evaluated by their overall budgets and cost effectiveness. Applicants' ability to justify the level of funding, both CEC and match share, required for a successful project will be evaluated in the “budget and cost effectiveness” scoring criterion.</w:t>
      </w:r>
    </w:p>
    <w:p w14:paraId="2CA7FF52"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 – Should subcontractor expenses—such as travel and equipment costs—be included in the application budget?</w:t>
      </w:r>
    </w:p>
    <w:p w14:paraId="43FAC548"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All major subrecipients (subrecipients receiving $100,000 or more of CEC funds) must submit budget documentation as a part of the application package. Please refer to Section I.C.6 of the solicitation manual for more information on application budget requirements.</w:t>
      </w:r>
    </w:p>
    <w:p w14:paraId="066F227E"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Q5 – What is the objective of including the CBO in the project?</w:t>
      </w:r>
    </w:p>
    <w:p w14:paraId="708AEC40"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While the role of a community-based organization (CBO) will vary by project, its inclusion is intended to support workforce development, recruitment, and knowledge-sharing activities with the local community. </w:t>
      </w:r>
    </w:p>
    <w:p w14:paraId="1C964119" w14:textId="77777777" w:rsidR="000C07DB" w:rsidRPr="000C07DB" w:rsidRDefault="000C07DB" w:rsidP="000C07DB">
      <w:pPr>
        <w:spacing w:after="160" w:line="259" w:lineRule="auto"/>
        <w:rPr>
          <w:rFonts w:ascii="Arial" w:eastAsia="Calibri" w:hAnsi="Arial" w:cs="Arial"/>
          <w:color w:val="000000"/>
          <w:sz w:val="22"/>
          <w:szCs w:val="22"/>
        </w:rPr>
      </w:pPr>
      <w:r w:rsidRPr="000C07DB">
        <w:rPr>
          <w:rFonts w:ascii="Arial" w:eastAsia="Calibri" w:hAnsi="Arial" w:cs="Arial"/>
          <w:color w:val="000000"/>
          <w:sz w:val="22"/>
          <w:szCs w:val="22"/>
        </w:rPr>
        <w:t>Q6 – Will applicants who are not selected for funding also receive notification once award decisions are announced?</w:t>
      </w:r>
    </w:p>
    <w:p w14:paraId="4B4C1AA6"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Applicants who are not selected for funding will not receive individual notifications. Awarded entities will be publicly listed in the Notice of Proposed Awards published after the proposal evaluation.</w:t>
      </w:r>
    </w:p>
    <w:p w14:paraId="41A71F7B"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Q7 – The window for proposal submission, given the date of answered Q&amp;A and the pre-requirements of the project, is very short. Can the submission due date be reconsidered to allow time for obtaining IOU approvals and absorbing the Q&amp;A responses?</w:t>
      </w:r>
    </w:p>
    <w:p w14:paraId="436F8EF8"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The CEC is extending the application deadline from </w:t>
      </w:r>
      <w:r w:rsidRPr="00BB5AA9">
        <w:rPr>
          <w:rFonts w:ascii="Arial" w:eastAsia="Calibri" w:hAnsi="Arial" w:cs="Arial"/>
          <w:b/>
          <w:bCs/>
          <w:color w:val="17365D" w:themeColor="text2" w:themeShade="BF"/>
          <w:sz w:val="22"/>
          <w:szCs w:val="22"/>
        </w:rPr>
        <w:t>November 21, 2025,</w:t>
      </w:r>
      <w:r w:rsidRPr="00BB5AA9">
        <w:rPr>
          <w:rFonts w:ascii="Arial" w:eastAsia="Calibri" w:hAnsi="Arial" w:cs="Arial"/>
          <w:color w:val="17365D" w:themeColor="text2" w:themeShade="BF"/>
          <w:sz w:val="22"/>
          <w:szCs w:val="22"/>
        </w:rPr>
        <w:t xml:space="preserve"> to </w:t>
      </w:r>
      <w:r w:rsidRPr="00BB5AA9">
        <w:rPr>
          <w:rFonts w:ascii="Arial" w:eastAsia="Calibri" w:hAnsi="Arial" w:cs="Arial"/>
          <w:b/>
          <w:bCs/>
          <w:color w:val="17365D" w:themeColor="text2" w:themeShade="BF"/>
          <w:sz w:val="22"/>
          <w:szCs w:val="22"/>
        </w:rPr>
        <w:t>December 12, 2025, at 5:00 PM</w:t>
      </w:r>
      <w:r w:rsidRPr="00BB5AA9">
        <w:rPr>
          <w:rFonts w:ascii="Arial" w:eastAsia="Calibri" w:hAnsi="Arial" w:cs="Arial"/>
          <w:color w:val="17365D" w:themeColor="text2" w:themeShade="BF"/>
          <w:sz w:val="22"/>
          <w:szCs w:val="22"/>
        </w:rPr>
        <w:t>. An official addendum will be issued to confirm this update.</w:t>
      </w:r>
    </w:p>
    <w:p w14:paraId="29CC9F67" w14:textId="77777777" w:rsidR="000C07DB" w:rsidRPr="000C07DB" w:rsidRDefault="000C07DB" w:rsidP="00FB53D9">
      <w:pPr>
        <w:keepNext/>
        <w:keepLines/>
        <w:spacing w:after="160" w:line="259" w:lineRule="auto"/>
        <w:rPr>
          <w:rFonts w:ascii="Arial" w:eastAsia="Calibri" w:hAnsi="Arial" w:cs="Arial"/>
          <w:color w:val="000000"/>
          <w:sz w:val="22"/>
          <w:szCs w:val="22"/>
        </w:rPr>
      </w:pPr>
      <w:r w:rsidRPr="000C07DB">
        <w:rPr>
          <w:rFonts w:ascii="Arial" w:eastAsia="Calibri" w:hAnsi="Arial" w:cs="Arial"/>
          <w:color w:val="000000"/>
          <w:sz w:val="22"/>
          <w:szCs w:val="22"/>
        </w:rPr>
        <w:t>Q8 – Are there any unique carve outs or criteria for tribal applicants? Is the required match the same % for all applicants?</w:t>
      </w:r>
    </w:p>
    <w:p w14:paraId="2A0C0E0F" w14:textId="77777777" w:rsidR="000C07DB" w:rsidRPr="00BB5AA9" w:rsidRDefault="000C07DB" w:rsidP="00FB53D9">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The match funding requirement will be reduced to 10% for projects with a demonstration site located in and benefiting a California Native American Tribe. CEC staff will issue an addendum to reflect this change. </w:t>
      </w:r>
    </w:p>
    <w:p w14:paraId="2B840E8C"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042ED413" w14:textId="77777777" w:rsidR="000C07DB" w:rsidRPr="000C07DB" w:rsidRDefault="000C07DB" w:rsidP="000C07DB">
      <w:pPr>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Is there a reduced match requirement available for Tribal or CBO lead applicants under this program?</w:t>
      </w:r>
      <w:r w:rsidRPr="000C07DB">
        <w:rPr>
          <w:rFonts w:ascii="Arial" w:eastAsia="Calibri" w:hAnsi="Arial" w:cs="Arial"/>
          <w:sz w:val="22"/>
          <w:szCs w:val="22"/>
        </w:rPr>
        <w:t>)</w:t>
      </w:r>
    </w:p>
    <w:p w14:paraId="138A8DC2"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Q9 – Does [the grant award] cover the cost of vehicle and chargers?</w:t>
      </w:r>
    </w:p>
    <w:p w14:paraId="456D0F70"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Yes - funds awarded by the CEC may be used to reimburse funds spent on EVs and chargers deployed in the demonstration. Alignment between project objectives and proposed spending, including all match funds, will be evaluated under Scoring Criterion 5, “Budget and Cost-Effectiveness.” </w:t>
      </w:r>
    </w:p>
    <w:p w14:paraId="03F60BDD"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Q10 – Are projects with existing CEC demonstration projects as likely to receive funding as others that have not had any CEC funding in the past? This question (whether projects with existing funding can get additional funding) is about the demonstration sites, not the applicants.</w:t>
      </w:r>
    </w:p>
    <w:p w14:paraId="1131DE67" w14:textId="7E3C9265"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Projects that have received CEC funding in the past are no more or less likely to receive subsequent funding merely because of a previous award. However, Section IV, A of the Solicitation Man</w:t>
      </w:r>
      <w:r w:rsidR="00951BD4" w:rsidRPr="00BB5AA9">
        <w:rPr>
          <w:rFonts w:ascii="Arial" w:eastAsia="Calibri" w:hAnsi="Arial" w:cs="Arial"/>
          <w:color w:val="17365D" w:themeColor="text2" w:themeShade="BF"/>
          <w:sz w:val="22"/>
          <w:szCs w:val="22"/>
        </w:rPr>
        <w:t>u</w:t>
      </w:r>
      <w:r w:rsidRPr="00BB5AA9">
        <w:rPr>
          <w:rFonts w:ascii="Arial" w:eastAsia="Calibri" w:hAnsi="Arial" w:cs="Arial"/>
          <w:color w:val="17365D" w:themeColor="text2" w:themeShade="BF"/>
          <w:sz w:val="22"/>
          <w:szCs w:val="22"/>
        </w:rPr>
        <w:t xml:space="preserve">al states that, “Applications will be evaluated and scored based on responses to the information requested in this solicitation and </w:t>
      </w:r>
      <w:r w:rsidRPr="00BB5AA9">
        <w:rPr>
          <w:rFonts w:ascii="Arial" w:eastAsia="Calibri" w:hAnsi="Arial" w:cs="Arial"/>
          <w:i/>
          <w:iCs/>
          <w:color w:val="17365D" w:themeColor="text2" w:themeShade="BF"/>
          <w:sz w:val="22"/>
          <w:szCs w:val="22"/>
        </w:rPr>
        <w:t>on any other information available, such as past performance of CEC agreements</w:t>
      </w:r>
      <w:r w:rsidRPr="00BB5AA9">
        <w:rPr>
          <w:rFonts w:ascii="Arial" w:eastAsia="Calibri" w:hAnsi="Arial" w:cs="Arial"/>
          <w:color w:val="17365D" w:themeColor="text2" w:themeShade="BF"/>
          <w:sz w:val="22"/>
          <w:szCs w:val="22"/>
        </w:rPr>
        <w:t>.” Particularly strong or weak performances on past CEC agreements may therefore be considered by the evaluation team in application scoring. This includes demonstration site hosts with a history of partnering on well-performing projects. Furthermore, Section IV, E of the Solicitation Manual states that, “An applicant may be disqualified under this solicitation due to severe performance issues under one or more prior or active CEC agreements.”</w:t>
      </w:r>
    </w:p>
    <w:p w14:paraId="412DC2F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Q11 – Is networking and reporting required for five years, and can networking services be discontinued after that period?</w:t>
      </w:r>
    </w:p>
    <w:p w14:paraId="139DB515"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The analysis period for projects awarded under this GFO is 12 months, followed by relevant reporting deliverables outlined in the scope of work. The five-year networking and reporting requirement you are referring to may be referring to award requirements through the Fuels and Transportation Division; the DRIVES GFO does not have this five-year requirement.</w:t>
      </w:r>
    </w:p>
    <w:p w14:paraId="2438AC50"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D37500E" w14:textId="77777777" w:rsidR="000C07DB" w:rsidRPr="000C07DB" w:rsidRDefault="000C07DB" w:rsidP="009D24FA">
      <w:pPr>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 xml:space="preserve">We understand the CEC requires five years of operational data and performance reporting following project completion. Can you confirm whether the EVSE units must remain network-connected and reporting beyond that period, or if the applicant is free to operate them offline or under a different configuration once the five years have </w:t>
      </w:r>
      <w:proofErr w:type="gramStart"/>
      <w:r w:rsidRPr="000C07DB">
        <w:rPr>
          <w:rFonts w:ascii="Arial" w:eastAsia="Calibri" w:hAnsi="Arial" w:cs="Arial"/>
          <w:i/>
          <w:iCs/>
          <w:sz w:val="22"/>
          <w:szCs w:val="22"/>
        </w:rPr>
        <w:t>concluded</w:t>
      </w:r>
      <w:proofErr w:type="gramEnd"/>
      <w:r w:rsidRPr="000C07DB">
        <w:rPr>
          <w:rFonts w:ascii="Arial" w:eastAsia="Calibri" w:hAnsi="Arial" w:cs="Arial"/>
          <w:i/>
          <w:iCs/>
          <w:sz w:val="22"/>
          <w:szCs w:val="22"/>
        </w:rPr>
        <w:t>?</w:t>
      </w:r>
      <w:r w:rsidRPr="000C07DB">
        <w:rPr>
          <w:rFonts w:ascii="Arial" w:eastAsia="Calibri" w:hAnsi="Arial" w:cs="Arial"/>
          <w:sz w:val="22"/>
          <w:szCs w:val="22"/>
        </w:rPr>
        <w:t>)</w:t>
      </w:r>
    </w:p>
    <w:p w14:paraId="3E06FE81" w14:textId="77777777" w:rsidR="000C07DB" w:rsidRPr="000C07DB" w:rsidRDefault="000C07DB" w:rsidP="009D24FA">
      <w:pPr>
        <w:keepNext/>
        <w:keepLines/>
        <w:spacing w:after="160" w:line="259" w:lineRule="auto"/>
        <w:rPr>
          <w:rFonts w:ascii="Arial" w:eastAsia="Calibri" w:hAnsi="Arial" w:cs="Arial"/>
          <w:sz w:val="22"/>
          <w:szCs w:val="22"/>
        </w:rPr>
      </w:pPr>
      <w:r w:rsidRPr="000C07DB">
        <w:rPr>
          <w:rFonts w:ascii="Arial" w:eastAsia="Calibri" w:hAnsi="Arial" w:cs="Arial"/>
          <w:sz w:val="22"/>
          <w:szCs w:val="22"/>
        </w:rPr>
        <w:t>Q12 – Can you please clarify the match share formula used here? Is it the DOE formula or a percentage of CEC reimbursable funds?</w:t>
      </w:r>
    </w:p>
    <w:p w14:paraId="2D5E7767" w14:textId="77777777" w:rsidR="000C07DB" w:rsidRPr="00BB5AA9" w:rsidRDefault="000C07DB" w:rsidP="009D24FA">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Match share is calculated as a percentage of the total CEC reimbursable funds. For example, if an applicant with a demonstration site not located in and benefiting a California Native American Tribe were proposing an award of $3,000,000, it would be required to provide at least $900,000 in match funding.</w:t>
      </w:r>
    </w:p>
    <w:p w14:paraId="1C176A69"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Q13 – Where to find the ppt? I already checked the GFO website but found nothing.</w:t>
      </w:r>
    </w:p>
    <w:p w14:paraId="4959F644" w14:textId="77777777" w:rsidR="000C07DB" w:rsidRPr="000C07DB" w:rsidRDefault="000C07DB" w:rsidP="000C07DB">
      <w:pPr>
        <w:spacing w:after="160" w:line="259" w:lineRule="auto"/>
        <w:ind w:left="720"/>
        <w:rPr>
          <w:rFonts w:ascii="Arial" w:eastAsia="Calibri" w:hAnsi="Arial" w:cs="Arial"/>
          <w:color w:val="4472C4"/>
          <w:sz w:val="22"/>
          <w:szCs w:val="22"/>
        </w:rPr>
      </w:pPr>
      <w:r w:rsidRPr="00BB5AA9">
        <w:rPr>
          <w:rFonts w:ascii="Arial" w:eastAsia="Calibri" w:hAnsi="Arial" w:cs="Arial"/>
          <w:color w:val="17365D" w:themeColor="text2" w:themeShade="BF"/>
          <w:sz w:val="22"/>
          <w:szCs w:val="22"/>
        </w:rPr>
        <w:t xml:space="preserve">CEC – Both the PowerPoint slides and workshop recording are accessible on the pre-application workshops event page at </w:t>
      </w:r>
      <w:hyperlink r:id="rId15">
        <w:r w:rsidRPr="000C07DB">
          <w:rPr>
            <w:rFonts w:ascii="Arial" w:eastAsia="Calibri" w:hAnsi="Arial" w:cs="Arial"/>
            <w:color w:val="0563C1"/>
            <w:sz w:val="22"/>
            <w:szCs w:val="22"/>
            <w:u w:val="single"/>
          </w:rPr>
          <w:t>https://www.energy.ca.gov/event/funding-workshop/2025-10/pre-application-workshop-gfo-25-301-distributed-resources-innovative</w:t>
        </w:r>
      </w:hyperlink>
      <w:r w:rsidRPr="000C07DB">
        <w:rPr>
          <w:rFonts w:ascii="Arial" w:eastAsia="Calibri" w:hAnsi="Arial" w:cs="Arial"/>
          <w:color w:val="4472C4"/>
          <w:sz w:val="22"/>
          <w:szCs w:val="22"/>
        </w:rPr>
        <w:t xml:space="preserve">. </w:t>
      </w:r>
    </w:p>
    <w:p w14:paraId="1B496A6B"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6A844AEF" w14:textId="77777777" w:rsidR="000C07DB" w:rsidRPr="000C07DB" w:rsidRDefault="000C07DB" w:rsidP="000C07DB">
      <w:pPr>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 xml:space="preserve">Will there be a recording available </w:t>
      </w:r>
      <w:proofErr w:type="gramStart"/>
      <w:r w:rsidRPr="000C07DB">
        <w:rPr>
          <w:rFonts w:ascii="Arial" w:eastAsia="Calibri" w:hAnsi="Arial" w:cs="Arial"/>
          <w:i/>
          <w:iCs/>
          <w:sz w:val="22"/>
          <w:szCs w:val="22"/>
        </w:rPr>
        <w:t>from</w:t>
      </w:r>
      <w:proofErr w:type="gramEnd"/>
      <w:r w:rsidRPr="000C07DB">
        <w:rPr>
          <w:rFonts w:ascii="Arial" w:eastAsia="Calibri" w:hAnsi="Arial" w:cs="Arial"/>
          <w:i/>
          <w:iCs/>
          <w:sz w:val="22"/>
          <w:szCs w:val="22"/>
        </w:rPr>
        <w:t xml:space="preserve"> today’s presentation?  Thank You</w:t>
      </w:r>
      <w:r w:rsidRPr="000C07DB">
        <w:rPr>
          <w:rFonts w:ascii="Arial" w:eastAsia="Calibri" w:hAnsi="Arial" w:cs="Arial"/>
          <w:sz w:val="22"/>
          <w:szCs w:val="22"/>
        </w:rPr>
        <w:t>!)</w:t>
      </w:r>
    </w:p>
    <w:p w14:paraId="703B9846" w14:textId="77777777" w:rsidR="000C07DB" w:rsidRPr="000C07DB" w:rsidRDefault="000C07DB" w:rsidP="000C07DB">
      <w:pPr>
        <w:keepNext/>
        <w:keepLines/>
        <w:spacing w:after="160" w:line="259" w:lineRule="auto"/>
        <w:rPr>
          <w:rFonts w:ascii="Arial" w:eastAsia="Calibri" w:hAnsi="Arial" w:cs="Arial"/>
          <w:sz w:val="22"/>
          <w:szCs w:val="22"/>
        </w:rPr>
      </w:pPr>
      <w:r w:rsidRPr="000C07DB">
        <w:rPr>
          <w:rFonts w:ascii="Arial" w:eastAsia="Calibri" w:hAnsi="Arial" w:cs="Arial"/>
          <w:sz w:val="22"/>
          <w:szCs w:val="22"/>
        </w:rPr>
        <w:t>Q14 – Do subrecipients need to be based in California?</w:t>
      </w:r>
    </w:p>
    <w:p w14:paraId="394DB363" w14:textId="77777777" w:rsidR="000C07DB" w:rsidRPr="00BB5AA9" w:rsidRDefault="000C07DB" w:rsidP="000C07DB">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There is no requirement that subrecipients be based in California; however, projects will be evaluated in part on "Funds Spent in California" (See Solicitation Manual, Section F). Also refer to Solicitation Manual, Section I.L.</w:t>
      </w:r>
      <w:proofErr w:type="gramStart"/>
      <w:r w:rsidRPr="00BB5AA9">
        <w:rPr>
          <w:rFonts w:ascii="Arial" w:eastAsia="Calibri" w:hAnsi="Arial" w:cs="Arial"/>
          <w:color w:val="17365D" w:themeColor="text2" w:themeShade="BF"/>
          <w:sz w:val="22"/>
          <w:szCs w:val="22"/>
        </w:rPr>
        <w:t xml:space="preserve"> for</w:t>
      </w:r>
      <w:proofErr w:type="gramEnd"/>
      <w:r w:rsidRPr="00BB5AA9">
        <w:rPr>
          <w:rFonts w:ascii="Arial" w:eastAsia="Calibri" w:hAnsi="Arial" w:cs="Arial"/>
          <w:color w:val="17365D" w:themeColor="text2" w:themeShade="BF"/>
          <w:sz w:val="22"/>
          <w:szCs w:val="22"/>
        </w:rPr>
        <w:t xml:space="preserve"> a more thorough explanation of "Funds spent in California."</w:t>
      </w:r>
    </w:p>
    <w:p w14:paraId="74E79D7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Q15 – Could you please clarify what is meant by “costs incurred”? Does this refer to when purchase orders are placed, or when invoices are issued to the project partner or developer?</w:t>
      </w:r>
    </w:p>
    <w:p w14:paraId="74913A38"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In the context of the Solicitation Manual Section I.C.6. Budget Forms, costs incurred refer to expenses that have been paid or are owed as a result of the project. Both purchase orders and invoices from project partners would qualify as “costs incurred.”</w:t>
      </w:r>
    </w:p>
    <w:p w14:paraId="02735B93"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Q16 – Does this effectively prevent LADWP customers from applying? What if the applicant is a firm like Vector Energy that has worked with PG&amp;E and SCE energy projects in the past?  If not, is there a separate program for LADWP customers?</w:t>
      </w:r>
    </w:p>
    <w:p w14:paraId="1E8CD92A"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Demonstrations must be sited in either PG&amp;E or SCE’s service territory to be eligible for the IOUs’ flexible service pilots. LADWP may act as a project partner, so long as the demonstration is sited in and </w:t>
      </w:r>
      <w:proofErr w:type="gramStart"/>
      <w:r w:rsidRPr="00BB5AA9">
        <w:rPr>
          <w:rFonts w:ascii="Arial" w:eastAsia="Calibri" w:hAnsi="Arial" w:cs="Arial"/>
          <w:color w:val="17365D" w:themeColor="text2" w:themeShade="BF"/>
          <w:sz w:val="22"/>
          <w:szCs w:val="22"/>
        </w:rPr>
        <w:t>serving</w:t>
      </w:r>
      <w:proofErr w:type="gramEnd"/>
      <w:r w:rsidRPr="00BB5AA9">
        <w:rPr>
          <w:rFonts w:ascii="Arial" w:eastAsia="Calibri" w:hAnsi="Arial" w:cs="Arial"/>
          <w:color w:val="17365D" w:themeColor="text2" w:themeShade="BF"/>
          <w:sz w:val="22"/>
          <w:szCs w:val="22"/>
        </w:rPr>
        <w:t xml:space="preserve"> either PG&amp;E’s or SCE’s service territory.</w:t>
      </w:r>
    </w:p>
    <w:p w14:paraId="1C73F408" w14:textId="77777777" w:rsidR="000C07DB" w:rsidRPr="000C07DB" w:rsidRDefault="000C07DB" w:rsidP="000C07DB">
      <w:pPr>
        <w:spacing w:after="160" w:line="259" w:lineRule="auto"/>
        <w:rPr>
          <w:rFonts w:ascii="Arial" w:eastAsia="Calibri" w:hAnsi="Arial" w:cs="Arial"/>
          <w:color w:val="000000"/>
          <w:sz w:val="22"/>
          <w:szCs w:val="22"/>
        </w:rPr>
      </w:pPr>
      <w:r w:rsidRPr="000C07DB">
        <w:rPr>
          <w:rFonts w:ascii="Arial" w:eastAsia="Calibri" w:hAnsi="Arial" w:cs="Arial"/>
          <w:color w:val="000000"/>
          <w:sz w:val="22"/>
          <w:szCs w:val="22"/>
        </w:rPr>
        <w:t xml:space="preserve">Q17 – Is there a deadline for when the resources have to be installed? (Assume it will </w:t>
      </w:r>
      <w:proofErr w:type="gramStart"/>
      <w:r w:rsidRPr="000C07DB">
        <w:rPr>
          <w:rFonts w:ascii="Arial" w:eastAsia="Calibri" w:hAnsi="Arial" w:cs="Arial"/>
          <w:color w:val="000000"/>
          <w:sz w:val="22"/>
          <w:szCs w:val="22"/>
        </w:rPr>
        <w:t>be in</w:t>
      </w:r>
      <w:proofErr w:type="gramEnd"/>
      <w:r w:rsidRPr="000C07DB">
        <w:rPr>
          <w:rFonts w:ascii="Arial" w:eastAsia="Calibri" w:hAnsi="Arial" w:cs="Arial"/>
          <w:color w:val="000000"/>
          <w:sz w:val="22"/>
          <w:szCs w:val="22"/>
        </w:rPr>
        <w:t xml:space="preserve"> late 2026/2027.)</w:t>
      </w:r>
    </w:p>
    <w:p w14:paraId="2765A43C"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There is no firm deadline by which the DERs and charging infrastructure must be installed. However, the anticipated agreement end date of May 31, 2030, anticipates that construction/commissioning will be completed and that 12 months of analysis will begin around 2027-2028.</w:t>
      </w:r>
    </w:p>
    <w:p w14:paraId="015A56A9" w14:textId="77777777" w:rsidR="000C07DB" w:rsidRPr="000C07DB" w:rsidRDefault="000C07DB" w:rsidP="00BB5AA9">
      <w:pPr>
        <w:keepNext/>
        <w:keepLines/>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01BB421A" w14:textId="77777777" w:rsidR="000C07DB" w:rsidRPr="000C07DB" w:rsidRDefault="000C07DB" w:rsidP="00BB5AA9">
      <w:pPr>
        <w:keepNext/>
        <w:keepLines/>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 xml:space="preserve">What </w:t>
      </w:r>
      <w:proofErr w:type="gramStart"/>
      <w:r w:rsidRPr="000C07DB">
        <w:rPr>
          <w:rFonts w:ascii="Arial" w:eastAsia="Calibri" w:hAnsi="Arial" w:cs="Arial"/>
          <w:i/>
          <w:iCs/>
          <w:sz w:val="22"/>
          <w:szCs w:val="22"/>
        </w:rPr>
        <w:t>is the date</w:t>
      </w:r>
      <w:proofErr w:type="gramEnd"/>
      <w:r w:rsidRPr="000C07DB">
        <w:rPr>
          <w:rFonts w:ascii="Arial" w:eastAsia="Calibri" w:hAnsi="Arial" w:cs="Arial"/>
          <w:i/>
          <w:iCs/>
          <w:sz w:val="22"/>
          <w:szCs w:val="22"/>
        </w:rPr>
        <w:t xml:space="preserve"> the energy source needs to be installed, since it is custom made</w:t>
      </w:r>
      <w:r w:rsidRPr="000C07DB">
        <w:rPr>
          <w:rFonts w:ascii="Arial" w:eastAsia="Calibri" w:hAnsi="Arial" w:cs="Arial"/>
          <w:sz w:val="22"/>
          <w:szCs w:val="22"/>
        </w:rPr>
        <w:t>?</w:t>
      </w:r>
    </w:p>
    <w:p w14:paraId="07E39579" w14:textId="77777777" w:rsidR="000C07DB" w:rsidRPr="000C07DB" w:rsidRDefault="000C07DB" w:rsidP="00BB5AA9">
      <w:pPr>
        <w:keepNext/>
        <w:keepLines/>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What is the required energize date</w:t>
      </w:r>
      <w:r w:rsidRPr="000C07DB">
        <w:rPr>
          <w:rFonts w:ascii="Arial" w:eastAsia="Calibri" w:hAnsi="Arial" w:cs="Arial"/>
          <w:sz w:val="22"/>
          <w:szCs w:val="22"/>
        </w:rPr>
        <w:t>?)</w:t>
      </w:r>
    </w:p>
    <w:p w14:paraId="40EA0082"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Q18 – Can valid utility rebates be used? If so, will they be considered part of an applicant’s match funds?</w:t>
      </w:r>
    </w:p>
    <w:p w14:paraId="6C22599B"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Valid utility rebates may be used, but they will not be considered a share of an applicant’s match funds because they are contingent. “Match funds do not include… contingent awards from other entities (public or private).” Please refer to Section I.K of the solicitation manual for more information on match funds.</w:t>
      </w:r>
    </w:p>
    <w:p w14:paraId="7CD482FF"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Q19 – Is there a preference for the planned commercial EV charging site to be on State land or private land?</w:t>
      </w:r>
    </w:p>
    <w:p w14:paraId="7FB25BDB"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The evaluation criteria (Solicitation Manual, Section IV) does not outline any preference given to state vs. private land. However, the applicant is encouraged to strongly justify the unique features (e.g., grid constraints, opportunity for renewable distributed generation, scalability, use case) that make its demonstration site a compelling use case for DER-integrated EV charging under a flexible service connection.</w:t>
      </w:r>
    </w:p>
    <w:p w14:paraId="787ADE0F"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 xml:space="preserve">Subsequent Questions: </w:t>
      </w:r>
    </w:p>
    <w:p w14:paraId="1CA5EF3F" w14:textId="77777777" w:rsidR="000C07DB" w:rsidRPr="000C07DB" w:rsidRDefault="000C07DB" w:rsidP="000C07DB">
      <w:pPr>
        <w:numPr>
          <w:ilvl w:val="0"/>
          <w:numId w:val="30"/>
        </w:numPr>
        <w:spacing w:after="160" w:line="259" w:lineRule="auto"/>
        <w:rPr>
          <w:rFonts w:ascii="Arial" w:eastAsia="Calibri" w:hAnsi="Arial" w:cs="Arial"/>
          <w:sz w:val="22"/>
          <w:szCs w:val="22"/>
        </w:rPr>
      </w:pPr>
      <w:r w:rsidRPr="000C07DB">
        <w:rPr>
          <w:rFonts w:ascii="Arial" w:eastAsia="Calibri" w:hAnsi="Arial" w:cs="Arial"/>
          <w:sz w:val="22"/>
          <w:szCs w:val="22"/>
        </w:rPr>
        <w:t xml:space="preserve">If State land is an option, does the State of California have potential </w:t>
      </w:r>
      <w:proofErr w:type="gramStart"/>
      <w:r w:rsidRPr="000C07DB">
        <w:rPr>
          <w:rFonts w:ascii="Arial" w:eastAsia="Calibri" w:hAnsi="Arial" w:cs="Arial"/>
          <w:sz w:val="22"/>
          <w:szCs w:val="22"/>
        </w:rPr>
        <w:t>have</w:t>
      </w:r>
      <w:proofErr w:type="gramEnd"/>
      <w:r w:rsidRPr="000C07DB">
        <w:rPr>
          <w:rFonts w:ascii="Arial" w:eastAsia="Calibri" w:hAnsi="Arial" w:cs="Arial"/>
          <w:sz w:val="22"/>
          <w:szCs w:val="22"/>
        </w:rPr>
        <w:t xml:space="preserve"> potential parcels already identified in line with the RFQ?</w:t>
      </w:r>
    </w:p>
    <w:p w14:paraId="24D7F8DD"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State land is an option for demonstrations, so long as the site is served by either PG&amp;E or SCE and is eligible for flexible service, though the CEC has no parcels identified.</w:t>
      </w:r>
    </w:p>
    <w:p w14:paraId="0C72F9E0" w14:textId="77777777" w:rsidR="000C07DB" w:rsidRPr="000C07DB" w:rsidRDefault="000C07DB" w:rsidP="000C07DB">
      <w:pPr>
        <w:numPr>
          <w:ilvl w:val="0"/>
          <w:numId w:val="30"/>
        </w:numPr>
        <w:spacing w:after="160" w:line="259" w:lineRule="auto"/>
        <w:rPr>
          <w:rFonts w:ascii="Arial" w:eastAsia="Calibri" w:hAnsi="Arial" w:cs="Arial"/>
          <w:sz w:val="22"/>
          <w:szCs w:val="22"/>
        </w:rPr>
      </w:pPr>
      <w:r w:rsidRPr="000C07DB">
        <w:rPr>
          <w:rFonts w:ascii="Arial" w:eastAsia="Calibri" w:hAnsi="Arial" w:cs="Arial"/>
          <w:sz w:val="22"/>
          <w:szCs w:val="22"/>
        </w:rPr>
        <w:t>If private land is preferred, can the cost of land be included in either the reimbursable or cost share portion of the application?</w:t>
      </w:r>
    </w:p>
    <w:p w14:paraId="31E8B3B5"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As mentioned above, there is no explicit preference for private land. Land procurement costs may not be included in either the reimbursable or cost share portion of the application. “Match funds do not include… the cost or value of the project work site.” Please refer to Section I.K of the solicitation manual for more information on match funds.</w:t>
      </w:r>
    </w:p>
    <w:p w14:paraId="4742FC79"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Q20 – Is there a recommended or minimum budget allocation (dollars or percentage) that should go to the Community-Based Organization (CBO) project partner?</w:t>
      </w:r>
    </w:p>
    <w:p w14:paraId="6FDC8000"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While there is no minimum budget allocation outlined for CBO project partners, any funding designated for CBOs in the budget should be justified alongside a description of their role in the project. </w:t>
      </w:r>
    </w:p>
    <w:p w14:paraId="79277C3A" w14:textId="77777777" w:rsidR="000C07DB" w:rsidRPr="000C07DB" w:rsidRDefault="000C07DB" w:rsidP="00BB5AA9">
      <w:pPr>
        <w:keepNext/>
        <w:keepLines/>
        <w:spacing w:after="160" w:line="259" w:lineRule="auto"/>
        <w:rPr>
          <w:rFonts w:ascii="Arial" w:eastAsia="Calibri" w:hAnsi="Arial" w:cs="Arial"/>
          <w:sz w:val="22"/>
          <w:szCs w:val="22"/>
        </w:rPr>
      </w:pPr>
      <w:r w:rsidRPr="000C07DB">
        <w:rPr>
          <w:rFonts w:ascii="Arial" w:eastAsia="Calibri" w:hAnsi="Arial" w:cs="Arial"/>
          <w:sz w:val="22"/>
          <w:szCs w:val="22"/>
        </w:rPr>
        <w:t>Q21 – In some recent CEC solicitations, there had been a preliminary abstract proposal evaluation phase.  This solicitation does not have this preliminary step.  Why?</w:t>
      </w:r>
    </w:p>
    <w:p w14:paraId="7AD5C390" w14:textId="77777777" w:rsidR="000C07DB" w:rsidRPr="00BB5AA9" w:rsidRDefault="000C07DB" w:rsidP="00BB5AA9">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CEC staff opted for a one-phase scoring process, compared to the two-phase abstract/full application approach described in your question, due to a constrained evaluation timeline as we approach the end of the EPIC 4 funding cycle.</w:t>
      </w:r>
    </w:p>
    <w:p w14:paraId="75BC6D4F" w14:textId="77777777" w:rsidR="000C07DB" w:rsidRPr="000C07DB" w:rsidRDefault="000C07DB" w:rsidP="000C07DB">
      <w:pPr>
        <w:rPr>
          <w:rFonts w:ascii="Arial" w:eastAsia="Times New Roman" w:hAnsi="Arial" w:cs="Arial"/>
          <w:color w:val="000000"/>
          <w:sz w:val="22"/>
          <w:szCs w:val="22"/>
        </w:rPr>
      </w:pPr>
      <w:r w:rsidRPr="000C07DB">
        <w:rPr>
          <w:rFonts w:ascii="Arial" w:eastAsia="Times New Roman" w:hAnsi="Arial" w:cs="Arial"/>
          <w:color w:val="000000"/>
          <w:sz w:val="22"/>
          <w:szCs w:val="22"/>
        </w:rPr>
        <w:t>Q22 – If a site is getting a battery and bidirectional EVSEs as part of an existing CEC grant, can the funds from the new grant be used towards the same site specifically to connect their existing solar with the battery and EV charger setup?</w:t>
      </w:r>
    </w:p>
    <w:p w14:paraId="58BA7598" w14:textId="77777777" w:rsidR="000C07DB" w:rsidRPr="000C07DB" w:rsidRDefault="000C07DB" w:rsidP="000C07DB">
      <w:pPr>
        <w:rPr>
          <w:rFonts w:ascii="Arial" w:eastAsia="Times New Roman" w:hAnsi="Arial" w:cs="Arial"/>
          <w:color w:val="000000"/>
          <w:sz w:val="22"/>
          <w:szCs w:val="22"/>
        </w:rPr>
      </w:pPr>
    </w:p>
    <w:p w14:paraId="043E38D7" w14:textId="77777777" w:rsidR="000C07DB" w:rsidRPr="00BB5AA9" w:rsidRDefault="000C07DB" w:rsidP="000C07DB">
      <w:pPr>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Funding under this solicitation could support connecting solar with a battery and EV charging infrastructure at a site that is already hosting a CEC-funded project, and in general would support site additions/expansions, so long as all other application requirements of the GFO are met (e.g., enrolling in a flexible service pilot with either PG&amp;E or SCE, integration of a UL 3141 certified power control system). Budget documentation submitted as a part of the application package must clearly justify the cost-effectiveness of any funds awarded under the GFO. Furthermore, neither existing equipment nor previous CEC awards may be used as match funds. If one site </w:t>
      </w:r>
      <w:proofErr w:type="gramStart"/>
      <w:r w:rsidRPr="00BB5AA9">
        <w:rPr>
          <w:rFonts w:ascii="Arial" w:eastAsia="Times New Roman" w:hAnsi="Arial" w:cs="Arial"/>
          <w:color w:val="17365D" w:themeColor="text2" w:themeShade="BF"/>
          <w:sz w:val="22"/>
          <w:szCs w:val="22"/>
        </w:rPr>
        <w:t>is hosting</w:t>
      </w:r>
      <w:proofErr w:type="gramEnd"/>
      <w:r w:rsidRPr="00BB5AA9">
        <w:rPr>
          <w:rFonts w:ascii="Arial" w:eastAsia="Times New Roman" w:hAnsi="Arial" w:cs="Arial"/>
          <w:color w:val="17365D" w:themeColor="text2" w:themeShade="BF"/>
          <w:sz w:val="22"/>
          <w:szCs w:val="22"/>
        </w:rPr>
        <w:t xml:space="preserve"> multiple CEC-funded projects, they will need to very clearly track and document funding from each project separately and ensure no double-counting.</w:t>
      </w:r>
    </w:p>
    <w:p w14:paraId="621743CE" w14:textId="77777777" w:rsidR="000C07DB" w:rsidRPr="000C07DB" w:rsidRDefault="000C07DB" w:rsidP="000C07DB">
      <w:pPr>
        <w:ind w:left="720"/>
        <w:rPr>
          <w:rFonts w:ascii="Arial" w:eastAsia="Times New Roman" w:hAnsi="Arial" w:cs="Arial"/>
          <w:color w:val="4472C4"/>
          <w:sz w:val="22"/>
          <w:szCs w:val="22"/>
        </w:rPr>
      </w:pPr>
    </w:p>
    <w:p w14:paraId="31911C6A" w14:textId="77777777" w:rsidR="000C07DB" w:rsidRPr="000C07DB" w:rsidRDefault="000C07DB" w:rsidP="000C07DB">
      <w:pPr>
        <w:rPr>
          <w:rFonts w:ascii="Arial" w:eastAsia="Calibri" w:hAnsi="Arial" w:cs="Arial"/>
          <w:sz w:val="22"/>
          <w:szCs w:val="22"/>
        </w:rPr>
      </w:pPr>
      <w:r w:rsidRPr="000C07DB">
        <w:rPr>
          <w:rFonts w:ascii="Arial" w:eastAsia="Times New Roman" w:hAnsi="Arial" w:cs="Arial"/>
          <w:color w:val="000000"/>
          <w:sz w:val="22"/>
          <w:szCs w:val="22"/>
        </w:rPr>
        <w:tab/>
      </w:r>
      <w:r w:rsidRPr="000C07DB">
        <w:rPr>
          <w:rFonts w:ascii="Arial" w:eastAsia="Calibri" w:hAnsi="Arial" w:cs="Arial"/>
          <w:sz w:val="22"/>
          <w:szCs w:val="22"/>
        </w:rPr>
        <w:t>(Other question(s) addressed in response:</w:t>
      </w:r>
    </w:p>
    <w:p w14:paraId="26FBDB89" w14:textId="77777777" w:rsidR="000C07DB" w:rsidRPr="000C07DB" w:rsidRDefault="000C07DB" w:rsidP="000C07DB">
      <w:pPr>
        <w:rPr>
          <w:rFonts w:ascii="Arial" w:eastAsia="Times New Roman" w:hAnsi="Arial" w:cs="Arial"/>
          <w:color w:val="000000"/>
          <w:sz w:val="22"/>
          <w:szCs w:val="22"/>
        </w:rPr>
      </w:pPr>
    </w:p>
    <w:p w14:paraId="2721E61F" w14:textId="77777777" w:rsidR="000C07DB" w:rsidRPr="000C07DB" w:rsidRDefault="000C07DB" w:rsidP="000C07DB">
      <w:pPr>
        <w:numPr>
          <w:ilvl w:val="0"/>
          <w:numId w:val="29"/>
        </w:numPr>
        <w:spacing w:after="160" w:line="259" w:lineRule="auto"/>
        <w:contextualSpacing/>
        <w:rPr>
          <w:rFonts w:ascii="Arial" w:eastAsia="Times New Roman" w:hAnsi="Arial" w:cs="Arial"/>
          <w:i/>
          <w:iCs/>
          <w:color w:val="000000"/>
          <w:sz w:val="22"/>
          <w:szCs w:val="22"/>
        </w:rPr>
      </w:pPr>
      <w:r w:rsidRPr="000C07DB">
        <w:rPr>
          <w:rFonts w:ascii="Arial" w:eastAsia="Times New Roman" w:hAnsi="Arial" w:cs="Arial"/>
          <w:i/>
          <w:iCs/>
          <w:color w:val="000000"/>
          <w:sz w:val="22"/>
          <w:szCs w:val="22"/>
        </w:rPr>
        <w:t>If a site has solar but is not operational, can the grant funding be used to update the solar system to make it operational, provided the cost of doing so is less than installing a new solar system?</w:t>
      </w:r>
    </w:p>
    <w:p w14:paraId="5A85F473" w14:textId="77777777" w:rsidR="000C07DB" w:rsidRPr="000C07DB" w:rsidRDefault="000C07DB" w:rsidP="000C07DB">
      <w:pPr>
        <w:numPr>
          <w:ilvl w:val="0"/>
          <w:numId w:val="29"/>
        </w:numPr>
        <w:spacing w:after="160" w:line="259" w:lineRule="auto"/>
        <w:contextualSpacing/>
        <w:rPr>
          <w:rFonts w:ascii="Arial" w:eastAsia="Times New Roman" w:hAnsi="Arial" w:cs="Arial"/>
          <w:i/>
          <w:iCs/>
          <w:color w:val="000000"/>
          <w:sz w:val="22"/>
          <w:szCs w:val="22"/>
        </w:rPr>
      </w:pPr>
      <w:r w:rsidRPr="000C07DB">
        <w:rPr>
          <w:rFonts w:ascii="Arial" w:eastAsia="Times New Roman" w:hAnsi="Arial" w:cs="Arial"/>
          <w:i/>
          <w:iCs/>
          <w:color w:val="000000"/>
          <w:sz w:val="22"/>
          <w:szCs w:val="22"/>
        </w:rPr>
        <w:t>If a site does not have any existing renewable generation source, can the funds be used to install a new renewable generation source in addition to bidirectional EV chargers and a battery energy storage system (BESS)?)</w:t>
      </w:r>
    </w:p>
    <w:p w14:paraId="5FFFBAAA" w14:textId="77777777"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Times New Roman" w:hAnsi="Arial" w:cs="Arial"/>
          <w:color w:val="000000"/>
          <w:sz w:val="22"/>
          <w:szCs w:val="22"/>
        </w:rPr>
        <w:t>Q23 – For any of the scenarios above is there a minimum match share commitment required from the site host?</w:t>
      </w:r>
    </w:p>
    <w:p w14:paraId="70A8F242" w14:textId="77777777" w:rsidR="000C07DB" w:rsidRPr="00BB5AA9" w:rsidRDefault="000C07DB" w:rsidP="000C07DB">
      <w:pPr>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CEC – There is no minimum match share commitment requirement specific to the site host.</w:t>
      </w:r>
    </w:p>
    <w:p w14:paraId="1C62BA66" w14:textId="77777777"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Times New Roman" w:hAnsi="Arial" w:cs="Arial"/>
          <w:color w:val="000000"/>
          <w:sz w:val="22"/>
          <w:szCs w:val="22"/>
        </w:rPr>
        <w:t>Q24 – Could you clarify the 12-month analysis period; does it need to be completed before the agreement end date of 5/31/30?</w:t>
      </w:r>
    </w:p>
    <w:p w14:paraId="1295AE9A" w14:textId="77777777" w:rsidR="000C07DB" w:rsidRPr="00BB5AA9" w:rsidRDefault="000C07DB" w:rsidP="000C07DB">
      <w:pPr>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CEC – Yes – the 12-month analysis must be completed before the anticipated agreement end date of May 31, 2030. Additionally, any reporting outlined in the scope of work, following the 12 months of data collection/analysis, must also be finalized prior to the agreement end date.</w:t>
      </w:r>
    </w:p>
    <w:p w14:paraId="135811BB" w14:textId="77777777"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Times New Roman" w:hAnsi="Arial" w:cs="Arial"/>
          <w:color w:val="000000"/>
          <w:sz w:val="22"/>
          <w:szCs w:val="22"/>
        </w:rPr>
        <w:t>Q25 – Is this intended to be a permanent or temporary solution?</w:t>
      </w:r>
    </w:p>
    <w:p w14:paraId="34ACE6DC" w14:textId="77777777" w:rsidR="000C07DB" w:rsidRPr="00BB5AA9" w:rsidRDefault="000C07DB" w:rsidP="000C07DB">
      <w:pPr>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DERs, power control systems, and EV charging infrastructure funded under this solicitation are intended as permanent solutions for recipients and/or site hosts. </w:t>
      </w:r>
    </w:p>
    <w:p w14:paraId="68215B0A" w14:textId="77777777" w:rsidR="000C07DB" w:rsidRPr="000C07DB" w:rsidRDefault="000C07DB" w:rsidP="000C07DB">
      <w:pPr>
        <w:widowControl w:val="0"/>
        <w:spacing w:after="160" w:line="259" w:lineRule="auto"/>
        <w:rPr>
          <w:rFonts w:ascii="Arial" w:eastAsia="Times New Roman" w:hAnsi="Arial" w:cs="Arial"/>
          <w:sz w:val="22"/>
          <w:szCs w:val="22"/>
        </w:rPr>
      </w:pPr>
      <w:r w:rsidRPr="000C07DB">
        <w:rPr>
          <w:rFonts w:ascii="Arial" w:eastAsia="Times New Roman" w:hAnsi="Arial" w:cs="Arial"/>
          <w:sz w:val="22"/>
          <w:szCs w:val="22"/>
        </w:rPr>
        <w:t>Q26 – What factors or criteria determine whether match funding required will exceed 30% of the total project cost?</w:t>
      </w:r>
    </w:p>
    <w:p w14:paraId="62AE75A8" w14:textId="77777777" w:rsidR="000C07DB" w:rsidRPr="00BB5AA9" w:rsidRDefault="000C07DB" w:rsidP="000C07DB">
      <w:pPr>
        <w:widowControl w:val="0"/>
        <w:spacing w:after="160" w:line="259" w:lineRule="auto"/>
        <w:ind w:left="720"/>
        <w:rPr>
          <w:rFonts w:ascii="Arial" w:eastAsia="Calibri"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There are no specific factors or criteria that determine whether or not a project will exceed the match funding minimum. Each project will have unique budgetary needs, and 30% (or 10% for </w:t>
      </w:r>
      <w:r w:rsidRPr="00BB5AA9">
        <w:rPr>
          <w:rFonts w:ascii="Arial" w:eastAsia="Calibri" w:hAnsi="Arial" w:cs="Arial"/>
          <w:color w:val="17365D" w:themeColor="text2" w:themeShade="BF"/>
          <w:sz w:val="22"/>
          <w:szCs w:val="22"/>
        </w:rPr>
        <w:t>projects with a demonstration site located in and benefiting a California Native American Tribe)</w:t>
      </w:r>
      <w:r w:rsidRPr="00BB5AA9">
        <w:rPr>
          <w:rFonts w:ascii="Arial" w:eastAsia="Times New Roman" w:hAnsi="Arial" w:cs="Arial"/>
          <w:color w:val="17365D" w:themeColor="text2" w:themeShade="BF"/>
          <w:sz w:val="22"/>
          <w:szCs w:val="22"/>
        </w:rPr>
        <w:t xml:space="preserve"> merely indicates the minimum match funding required for eligibility. All applicants will be evaluated on the </w:t>
      </w:r>
      <w:r w:rsidRPr="00BB5AA9">
        <w:rPr>
          <w:rFonts w:ascii="Arial" w:eastAsia="Calibri" w:hAnsi="Arial" w:cs="Arial"/>
          <w:color w:val="17365D" w:themeColor="text2" w:themeShade="BF"/>
          <w:sz w:val="22"/>
          <w:szCs w:val="22"/>
        </w:rPr>
        <w:t xml:space="preserve">alignment between their project objectives and proposed spending, including all match funds, under Scoring Criterion 5, “Budget and Cost-Effectiveness.” </w:t>
      </w:r>
    </w:p>
    <w:p w14:paraId="59E4A4DE" w14:textId="77777777" w:rsidR="000C07DB" w:rsidRPr="000C07DB" w:rsidRDefault="000C07DB" w:rsidP="000C07DB">
      <w:pPr>
        <w:widowControl w:val="0"/>
        <w:spacing w:after="160" w:line="259" w:lineRule="auto"/>
        <w:rPr>
          <w:rFonts w:ascii="Arial" w:eastAsia="Times New Roman" w:hAnsi="Arial" w:cs="Arial"/>
          <w:sz w:val="22"/>
          <w:szCs w:val="22"/>
        </w:rPr>
      </w:pPr>
      <w:r w:rsidRPr="000C07DB">
        <w:rPr>
          <w:rFonts w:ascii="Arial" w:eastAsia="Times New Roman" w:hAnsi="Arial" w:cs="Arial"/>
          <w:sz w:val="22"/>
          <w:szCs w:val="22"/>
        </w:rPr>
        <w:t>Q27 – Can we phase installation - for example, install all conduit and infrastructure now but add chargers over several years?</w:t>
      </w:r>
    </w:p>
    <w:p w14:paraId="3395B5A3" w14:textId="77777777" w:rsidR="000C07DB" w:rsidRPr="00BB5AA9" w:rsidRDefault="000C07DB" w:rsidP="000C07DB">
      <w:pPr>
        <w:widowControl w:val="0"/>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While there are no specific installation timeline requirements, all of the minimum required hardware and software must be installed, commissioned, and operational prior to the 12-month data collection/analysis period and subsequent final reporting required for each scope of work funded under this GFO. </w:t>
      </w:r>
    </w:p>
    <w:p w14:paraId="1165F1A7"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Q28 – Are the POUs eligible to be a project partner for this GFO?</w:t>
      </w:r>
    </w:p>
    <w:p w14:paraId="0EF4596E" w14:textId="77777777" w:rsidR="000C07DB" w:rsidRPr="00BB5AA9" w:rsidRDefault="000C07DB" w:rsidP="000C07DB">
      <w:pPr>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Yes – POUs are eligible to act as project partners (e.g., subrecipients); however, all funded demonstrations must be sited in either PG&amp;E’s or SCE’s service territory and participate in either of their flexible service pilots. </w:t>
      </w:r>
    </w:p>
    <w:p w14:paraId="4F17888F"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5" w:name="_Toc211856679"/>
      <w:r w:rsidRPr="000C07DB">
        <w:rPr>
          <w:rFonts w:ascii="Arial" w:eastAsia="MS Gothic" w:hAnsi="Arial" w:cs="Arial"/>
          <w:b/>
          <w:bCs/>
          <w:color w:val="2F5496"/>
          <w:sz w:val="32"/>
          <w:szCs w:val="32"/>
        </w:rPr>
        <w:t>Technical</w:t>
      </w:r>
      <w:bookmarkEnd w:id="5"/>
    </w:p>
    <w:p w14:paraId="54DEA73F"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Q29 – Could the CEC more fully define which systems should be classified as alternate current (AC) coupled vs. direct current (DC) coupled?</w:t>
      </w:r>
    </w:p>
    <w:p w14:paraId="7CC2F8CB"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Group 1 targets DC-coupled microgrids, which should include a DC bus network to maintain solar generation, battery storage, and EV chargers in their native DC form—minimizing the need for multiple inverters and conversions. Group 2 targets AC-coupled microgrids, which typically use an AC bus network and may require DC/AC inverters to integrate renewable generation, storage, and charging components.</w:t>
      </w:r>
    </w:p>
    <w:p w14:paraId="5ECF8CF0"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Subsequent Questions:</w:t>
      </w:r>
    </w:p>
    <w:p w14:paraId="5B5EC381" w14:textId="77777777" w:rsidR="000C07DB" w:rsidRPr="000C07DB" w:rsidRDefault="000C07DB" w:rsidP="000C07DB">
      <w:pPr>
        <w:numPr>
          <w:ilvl w:val="1"/>
          <w:numId w:val="31"/>
        </w:numPr>
        <w:spacing w:after="160" w:line="259" w:lineRule="auto"/>
        <w:rPr>
          <w:rFonts w:ascii="Arial" w:eastAsia="Calibri" w:hAnsi="Arial" w:cs="Arial"/>
          <w:sz w:val="22"/>
          <w:szCs w:val="22"/>
        </w:rPr>
      </w:pPr>
      <w:r w:rsidRPr="000C07DB">
        <w:rPr>
          <w:rFonts w:ascii="Arial" w:eastAsia="Calibri" w:hAnsi="Arial" w:cs="Arial"/>
          <w:sz w:val="22"/>
          <w:szCs w:val="22"/>
        </w:rPr>
        <w:t>If a system has solar panels connected to a DC/DC converter to charge up a battery that is then providing Level 2 AC charging power (e.g., J1772) to vehicles via a DC/AC inverter, would this be classified as AC coupled or DC coupled?</w:t>
      </w:r>
    </w:p>
    <w:p w14:paraId="5D7F106A" w14:textId="77777777" w:rsidR="000C07DB" w:rsidRPr="00BB5AA9" w:rsidRDefault="000C07DB" w:rsidP="000C07DB">
      <w:pPr>
        <w:spacing w:after="160" w:line="259" w:lineRule="auto"/>
        <w:ind w:left="144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We would consider such a system AC-coupled for the purposes of this GFO. The conversion from DC generation/storage to AC chargers would disqualify such a system from Group 1. However, it may still be eligible under Group 2.</w:t>
      </w:r>
    </w:p>
    <w:p w14:paraId="6EA5A991" w14:textId="77777777" w:rsidR="000C07DB" w:rsidRPr="000C07DB" w:rsidRDefault="000C07DB" w:rsidP="000C07DB">
      <w:pPr>
        <w:numPr>
          <w:ilvl w:val="1"/>
          <w:numId w:val="32"/>
        </w:numPr>
        <w:spacing w:after="160" w:line="259" w:lineRule="auto"/>
        <w:rPr>
          <w:rFonts w:ascii="Arial" w:eastAsia="Calibri" w:hAnsi="Arial" w:cs="Arial"/>
          <w:sz w:val="22"/>
          <w:szCs w:val="22"/>
        </w:rPr>
      </w:pPr>
      <w:r w:rsidRPr="000C07DB">
        <w:rPr>
          <w:rFonts w:ascii="Arial" w:eastAsia="Calibri" w:hAnsi="Arial" w:cs="Arial"/>
          <w:sz w:val="22"/>
          <w:szCs w:val="22"/>
        </w:rPr>
        <w:t>If a system has solar panels with a solar inverter feeding AC power to a DC Fast Charger, would such a system be classified as AC coupled or DC coupled?</w:t>
      </w:r>
    </w:p>
    <w:p w14:paraId="64671191" w14:textId="77777777" w:rsidR="000C07DB" w:rsidRPr="00BB5AA9" w:rsidRDefault="000C07DB" w:rsidP="000C07DB">
      <w:pPr>
        <w:spacing w:after="160" w:line="259" w:lineRule="auto"/>
        <w:ind w:left="144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We would consider such a system AC-coupled for the purposes of this GFO. The conversion from AC power to DC chargers would disqualify such a system from Group 1; however, it may still be eligible under Group 2.</w:t>
      </w:r>
    </w:p>
    <w:p w14:paraId="6119C51C" w14:textId="77777777" w:rsidR="000C07DB" w:rsidRPr="000C07DB" w:rsidRDefault="000C07DB" w:rsidP="000C07DB">
      <w:pPr>
        <w:numPr>
          <w:ilvl w:val="1"/>
          <w:numId w:val="33"/>
        </w:numPr>
        <w:spacing w:after="160" w:line="259" w:lineRule="auto"/>
        <w:rPr>
          <w:rFonts w:ascii="Arial" w:eastAsia="Calibri" w:hAnsi="Arial" w:cs="Arial"/>
          <w:sz w:val="22"/>
          <w:szCs w:val="22"/>
        </w:rPr>
      </w:pPr>
      <w:r w:rsidRPr="000C07DB">
        <w:rPr>
          <w:rFonts w:ascii="Arial" w:eastAsia="Calibri" w:hAnsi="Arial" w:cs="Arial"/>
          <w:sz w:val="22"/>
          <w:szCs w:val="22"/>
        </w:rPr>
        <w:t>If a system had DC fast chargers driven directly from solar panels via a DC/DC converter operating at a site that also has batteries connected to bi-directional DC/AC inverters providing Level 2 AC charging, would such a system be classified as AC coupled or DC coupled?</w:t>
      </w:r>
    </w:p>
    <w:p w14:paraId="34ABB06B" w14:textId="77777777" w:rsidR="000C07DB" w:rsidRPr="00BB5AA9" w:rsidRDefault="000C07DB" w:rsidP="000C07DB">
      <w:pPr>
        <w:spacing w:after="160" w:line="259" w:lineRule="auto"/>
        <w:ind w:left="144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Projects eligible under Group 1 will not include behind-the-meter DC generation to AC charging conversions. However, such a system may be eligible under Group 2. </w:t>
      </w:r>
    </w:p>
    <w:p w14:paraId="28F82CE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Q30 – What is the preferred technology readiness of the technologies?</w:t>
      </w:r>
    </w:p>
    <w:p w14:paraId="53DFC92D"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CEC staff elected not to include specific guidelines around technology readiness level in the solicitation manual to remain open to both commercially available and developing solutions. However, we anticipate that the components comprising solutions applying under Group 1 may have a slightly lower TRL (likely 6-8) compared to the components of systems applying under Group 2 (likely 7-9). The additional funding available for Group 1 applicants is included to cover any additional costs that may be incurred in preparing/testing pre-commercial DC power electronics for demonstration readiness. </w:t>
      </w:r>
    </w:p>
    <w:p w14:paraId="4B3597B7"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We encourage all applicants to use their proposals to justify how their systems represent a compelling solution to address utility coordination challenges when pairing commercial EV charging with on-site renewable generation, how funding could help advance their proposed solutions, and how they are poised to produce strong analysis on ratepayer and cost-savings benefits.</w:t>
      </w:r>
    </w:p>
    <w:p w14:paraId="620A358C" w14:textId="77777777" w:rsidR="000C07DB" w:rsidRPr="000C07DB" w:rsidRDefault="000C07DB" w:rsidP="000C07DB">
      <w:pPr>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3CB5358B" w14:textId="77777777" w:rsidR="000C07DB" w:rsidRPr="000C07DB" w:rsidRDefault="000C07DB" w:rsidP="000C07DB">
      <w:pPr>
        <w:rPr>
          <w:rFonts w:ascii="Arial" w:eastAsia="Times New Roman" w:hAnsi="Arial" w:cs="Arial"/>
          <w:color w:val="000000"/>
          <w:sz w:val="22"/>
          <w:szCs w:val="22"/>
        </w:rPr>
      </w:pPr>
    </w:p>
    <w:p w14:paraId="0ED3EEBD" w14:textId="77777777" w:rsidR="000C07DB" w:rsidRPr="000C07DB" w:rsidRDefault="000C07DB" w:rsidP="000C07DB">
      <w:pPr>
        <w:numPr>
          <w:ilvl w:val="0"/>
          <w:numId w:val="29"/>
        </w:numPr>
        <w:spacing w:after="160" w:line="259" w:lineRule="auto"/>
        <w:contextualSpacing/>
        <w:rPr>
          <w:rFonts w:ascii="Arial" w:eastAsia="Calibri" w:hAnsi="Arial" w:cs="Arial"/>
          <w:b/>
          <w:bCs/>
          <w:i/>
          <w:iCs/>
          <w:color w:val="4472C4"/>
          <w:sz w:val="22"/>
          <w:szCs w:val="22"/>
        </w:rPr>
      </w:pPr>
      <w:r w:rsidRPr="000C07DB">
        <w:rPr>
          <w:rFonts w:ascii="Arial" w:eastAsia="Times New Roman" w:hAnsi="Arial" w:cs="Arial"/>
          <w:i/>
          <w:iCs/>
          <w:color w:val="000000"/>
          <w:sz w:val="22"/>
          <w:szCs w:val="22"/>
        </w:rPr>
        <w:t>CEC mentions a desire for TRL advancement as a result of the project, but has a good number of constraints on the project (such as certifications, acceptance by PG&amp;E, strong site context, etc.) that suggest a more mature technology package is desired. Can you clarify what the desired starting TRL would be, or whether TRL advancement is the goal?</w:t>
      </w:r>
    </w:p>
    <w:p w14:paraId="737A88F2"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Does the CEC have expected / minimum Technology Readiness Level (TRL) ratings for project entry and exit?</w:t>
      </w:r>
    </w:p>
    <w:p w14:paraId="3EE4A646" w14:textId="77777777" w:rsidR="000C07DB" w:rsidRPr="000C07DB" w:rsidRDefault="000C07DB" w:rsidP="000C07DB">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 xml:space="preserve">If </w:t>
      </w:r>
      <w:proofErr w:type="gramStart"/>
      <w:r w:rsidRPr="000C07DB">
        <w:rPr>
          <w:rFonts w:ascii="Arial" w:eastAsia="Calibri" w:hAnsi="Arial" w:cs="Arial"/>
          <w:i/>
          <w:iCs/>
          <w:sz w:val="22"/>
          <w:szCs w:val="22"/>
        </w:rPr>
        <w:t>its</w:t>
      </w:r>
      <w:proofErr w:type="gramEnd"/>
      <w:r w:rsidRPr="000C07DB">
        <w:rPr>
          <w:rFonts w:ascii="Arial" w:eastAsia="Calibri" w:hAnsi="Arial" w:cs="Arial"/>
          <w:i/>
          <w:iCs/>
          <w:sz w:val="22"/>
          <w:szCs w:val="22"/>
        </w:rPr>
        <w:t xml:space="preserve"> TRL8 is that ok to be included?)</w:t>
      </w:r>
    </w:p>
    <w:p w14:paraId="64CB96BB" w14:textId="77777777" w:rsidR="000C07DB" w:rsidRPr="000C07DB" w:rsidRDefault="000C07DB" w:rsidP="00BB5AA9">
      <w:pPr>
        <w:keepNext/>
        <w:keepLines/>
        <w:spacing w:after="160" w:line="259" w:lineRule="auto"/>
        <w:rPr>
          <w:rFonts w:ascii="Arial" w:eastAsia="Calibri" w:hAnsi="Arial" w:cs="Arial"/>
          <w:sz w:val="22"/>
          <w:szCs w:val="22"/>
        </w:rPr>
      </w:pPr>
      <w:r w:rsidRPr="000C07DB">
        <w:rPr>
          <w:rFonts w:ascii="Arial" w:eastAsia="Calibri" w:hAnsi="Arial" w:cs="Arial"/>
          <w:sz w:val="22"/>
          <w:szCs w:val="22"/>
        </w:rPr>
        <w:t>Q31 – Does the battery need to serve only EV loads, or can it also support other site loads like office operations?</w:t>
      </w:r>
    </w:p>
    <w:p w14:paraId="716272D3" w14:textId="77777777" w:rsidR="000C07DB" w:rsidRPr="00BB5AA9" w:rsidRDefault="000C07DB" w:rsidP="00BB5AA9">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The on-site generation and battery energy storage may be used to support other site loads in addition to EV charging infrastructure.</w:t>
      </w:r>
    </w:p>
    <w:p w14:paraId="68DC0242"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Q32 – Is there a minimum project size?</w:t>
      </w:r>
    </w:p>
    <w:p w14:paraId="5B4F96AF"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No – CEC staff intentionally left size/energy requirements (for generation, storage, and EV chargers) out of the solicitation manual to allow proposals for projects in a variety of use cases under a variety of constraints. Nor is there a minimum percentage of charger load that must be met by on-site generation vs. utility power. However, we are targeting priority use cases and strongly encourage applicants to use their proposals to justify the cost-effectiveness and impacts of their proposed solutions. Please refer to Section I.C of the solicitation manual for more details on priority use cases being targeted by this GFO.</w:t>
      </w:r>
    </w:p>
    <w:p w14:paraId="1754A951" w14:textId="77777777" w:rsidR="000C07DB" w:rsidRPr="000C07DB" w:rsidRDefault="000C07DB" w:rsidP="000C07DB">
      <w:pPr>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5F057ED" w14:textId="77777777" w:rsidR="000C07DB" w:rsidRPr="000C07DB" w:rsidRDefault="000C07DB" w:rsidP="000C07DB">
      <w:pPr>
        <w:rPr>
          <w:rFonts w:ascii="Arial" w:eastAsia="Times New Roman" w:hAnsi="Arial" w:cs="Arial"/>
          <w:color w:val="000000"/>
          <w:sz w:val="22"/>
          <w:szCs w:val="22"/>
        </w:rPr>
      </w:pPr>
    </w:p>
    <w:p w14:paraId="1069EE3A"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Times New Roman" w:hAnsi="Arial" w:cs="Arial"/>
          <w:i/>
          <w:iCs/>
          <w:color w:val="000000"/>
          <w:sz w:val="22"/>
          <w:szCs w:val="22"/>
        </w:rPr>
        <w:t>Is there a prescribed minimum kW size for the EV charging units?</w:t>
      </w:r>
    </w:p>
    <w:p w14:paraId="4AE4D35A"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What </w:t>
      </w:r>
      <w:proofErr w:type="gramStart"/>
      <w:r w:rsidRPr="000C07DB">
        <w:rPr>
          <w:rFonts w:ascii="Arial" w:eastAsia="Calibri" w:hAnsi="Arial" w:cs="Arial"/>
          <w:i/>
          <w:iCs/>
          <w:sz w:val="22"/>
          <w:szCs w:val="22"/>
        </w:rPr>
        <w:t>was</w:t>
      </w:r>
      <w:proofErr w:type="gramEnd"/>
      <w:r w:rsidRPr="000C07DB">
        <w:rPr>
          <w:rFonts w:ascii="Arial" w:eastAsia="Calibri" w:hAnsi="Arial" w:cs="Arial"/>
          <w:i/>
          <w:iCs/>
          <w:sz w:val="22"/>
          <w:szCs w:val="22"/>
        </w:rPr>
        <w:t xml:space="preserve"> </w:t>
      </w:r>
      <w:proofErr w:type="gramStart"/>
      <w:r w:rsidRPr="000C07DB">
        <w:rPr>
          <w:rFonts w:ascii="Arial" w:eastAsia="Calibri" w:hAnsi="Arial" w:cs="Arial"/>
          <w:i/>
          <w:iCs/>
          <w:sz w:val="22"/>
          <w:szCs w:val="22"/>
        </w:rPr>
        <w:t>the mw</w:t>
      </w:r>
      <w:proofErr w:type="gramEnd"/>
      <w:r w:rsidRPr="000C07DB">
        <w:rPr>
          <w:rFonts w:ascii="Arial" w:eastAsia="Calibri" w:hAnsi="Arial" w:cs="Arial"/>
          <w:i/>
          <w:iCs/>
          <w:sz w:val="22"/>
          <w:szCs w:val="22"/>
        </w:rPr>
        <w:t xml:space="preserve"> requirements? I missed the first part of the </w:t>
      </w:r>
      <w:proofErr w:type="gramStart"/>
      <w:r w:rsidRPr="000C07DB">
        <w:rPr>
          <w:rFonts w:ascii="Arial" w:eastAsia="Calibri" w:hAnsi="Arial" w:cs="Arial"/>
          <w:i/>
          <w:iCs/>
          <w:sz w:val="22"/>
          <w:szCs w:val="22"/>
        </w:rPr>
        <w:t>presentation?</w:t>
      </w:r>
      <w:proofErr w:type="gramEnd"/>
    </w:p>
    <w:p w14:paraId="478D0AF2"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What is the power required (in </w:t>
      </w:r>
      <w:proofErr w:type="gramStart"/>
      <w:r w:rsidRPr="000C07DB">
        <w:rPr>
          <w:rFonts w:ascii="Arial" w:eastAsia="Calibri" w:hAnsi="Arial" w:cs="Arial"/>
          <w:i/>
          <w:iCs/>
          <w:sz w:val="22"/>
          <w:szCs w:val="22"/>
        </w:rPr>
        <w:t>mw</w:t>
      </w:r>
      <w:proofErr w:type="gramEnd"/>
      <w:r w:rsidRPr="000C07DB">
        <w:rPr>
          <w:rFonts w:ascii="Arial" w:eastAsia="Calibri" w:hAnsi="Arial" w:cs="Arial"/>
          <w:i/>
          <w:iCs/>
          <w:sz w:val="22"/>
          <w:szCs w:val="22"/>
        </w:rPr>
        <w:t>)?</w:t>
      </w:r>
    </w:p>
    <w:p w14:paraId="08E9CB4C" w14:textId="77777777" w:rsidR="000C07DB" w:rsidRPr="000C07DB" w:rsidRDefault="000C07DB" w:rsidP="00391D5C">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Is there a project requirement or recommendation for the percentage of energy delivered to EV chargers that must come from renewable sources? For example, 60% from renewables and 40% from the utility grid</w:t>
      </w:r>
      <w:r w:rsidRPr="000C07DB">
        <w:rPr>
          <w:rFonts w:ascii="Arial" w:eastAsia="Calibri" w:hAnsi="Arial" w:cs="Arial"/>
          <w:sz w:val="22"/>
          <w:szCs w:val="22"/>
        </w:rPr>
        <w:t>.)</w:t>
      </w:r>
    </w:p>
    <w:p w14:paraId="0C28CCDF"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 xml:space="preserve">Q33 – Also wanted to be clarified that for the DC coupled option, is AC-DC PCS allowed for connecting the DC coupled microgrid to the IOU's grid power? </w:t>
      </w:r>
    </w:p>
    <w:p w14:paraId="14484B93"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Yes – applicants to Group 1 with DC-coupled microgrid solutions are allowed to include an AC-DC power control system to import and regulate AC utility power. However, all behind-the-meter assets (e.g., renewable generation, storage, EV chargers) must be DC-coupled. </w:t>
      </w:r>
    </w:p>
    <w:p w14:paraId="34880199"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Q34 – Are any specific charging standards or interfaces preferred by the CEC? (e.g., SAE Combo vs. CHAdeMO vs. NACS vs. J1772) </w:t>
      </w:r>
    </w:p>
    <w:p w14:paraId="60B21116"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No – There are no specific charging standards or interfaces required for an award.</w:t>
      </w:r>
    </w:p>
    <w:p w14:paraId="2A467646"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Q35 – Is a grid disconnect capability a requirement?</w:t>
      </w:r>
    </w:p>
    <w:p w14:paraId="6C3429E1"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No – grid disconnect ability is not a requirement, though islanding features may help strengthen the case for commercial EV charging integrated with on-site generation, particularly in grid-constrained areas prone to power outages.</w:t>
      </w:r>
    </w:p>
    <w:p w14:paraId="28377D66" w14:textId="77777777" w:rsidR="000C07DB" w:rsidRPr="000C07DB" w:rsidRDefault="000C07DB" w:rsidP="000C07DB">
      <w:pPr>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73D271D1" w14:textId="77777777" w:rsidR="000C07DB" w:rsidRPr="000C07DB" w:rsidRDefault="000C07DB" w:rsidP="000C07DB">
      <w:pPr>
        <w:ind w:left="720"/>
        <w:rPr>
          <w:rFonts w:ascii="Arial" w:eastAsia="Calibri" w:hAnsi="Arial" w:cs="Arial"/>
          <w:sz w:val="22"/>
          <w:szCs w:val="22"/>
        </w:rPr>
      </w:pPr>
    </w:p>
    <w:p w14:paraId="6B654EDE" w14:textId="77777777" w:rsidR="000C07DB" w:rsidRPr="000C07DB" w:rsidRDefault="000C07DB" w:rsidP="000C07DB">
      <w:pPr>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Does the microgrid need to be capable of islanded operation independent from the utility electric service?</w:t>
      </w:r>
      <w:r w:rsidRPr="000C07DB">
        <w:rPr>
          <w:rFonts w:ascii="Arial" w:eastAsia="Calibri" w:hAnsi="Arial" w:cs="Arial"/>
          <w:sz w:val="22"/>
          <w:szCs w:val="22"/>
        </w:rPr>
        <w:t>)</w:t>
      </w:r>
    </w:p>
    <w:p w14:paraId="288F82E0"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6" w:name="_Toc211856680"/>
      <w:r w:rsidRPr="000C07DB">
        <w:rPr>
          <w:rFonts w:ascii="Arial" w:eastAsia="MS Gothic" w:hAnsi="Arial" w:cs="Arial"/>
          <w:b/>
          <w:bCs/>
          <w:color w:val="2F5496"/>
          <w:sz w:val="32"/>
          <w:szCs w:val="32"/>
        </w:rPr>
        <w:t>Eligibility</w:t>
      </w:r>
      <w:bookmarkEnd w:id="6"/>
    </w:p>
    <w:p w14:paraId="249C9854"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Q36 – Can funding be used to add capacity to existing microgrids that otherwise meet the criteria to add EV charging capacity?</w:t>
      </w:r>
    </w:p>
    <w:p w14:paraId="268C96E6" w14:textId="77777777" w:rsidR="000C07DB" w:rsidRPr="00BB5AA9" w:rsidRDefault="000C07DB" w:rsidP="000C07DB">
      <w:pPr>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Yes - there is no language in the solicitation manual disqualifying applicants proposing to expand existing sites that otherwise meet all eligibility criteria. An applicant looking to expand use of existing sites should refer to the solicitation goals and justify in its application why such an expansion provides a compelling opportunity to participate in a flexible service pilot and integrate on-site generation and storage for commercial EV charging. Please note that </w:t>
      </w:r>
      <w:r w:rsidRPr="00BB5AA9">
        <w:rPr>
          <w:rFonts w:ascii="Arial" w:eastAsia="Times New Roman" w:hAnsi="Arial" w:cs="Arial"/>
          <w:color w:val="17365D" w:themeColor="text2" w:themeShade="BF"/>
          <w:sz w:val="22"/>
          <w:szCs w:val="22"/>
        </w:rPr>
        <w:t>neither existing equipment nor previous CEC awards may be used as match funds.</w:t>
      </w:r>
    </w:p>
    <w:p w14:paraId="7A85BADC" w14:textId="77777777" w:rsidR="000C07DB" w:rsidRPr="000C07DB" w:rsidRDefault="000C07DB" w:rsidP="000C07DB">
      <w:pPr>
        <w:ind w:left="720"/>
        <w:rPr>
          <w:rFonts w:ascii="Arial" w:eastAsia="Times New Roman" w:hAnsi="Arial" w:cs="Arial"/>
          <w:color w:val="4472C4"/>
          <w:sz w:val="22"/>
          <w:szCs w:val="22"/>
        </w:rPr>
      </w:pPr>
    </w:p>
    <w:p w14:paraId="775E8ACC" w14:textId="77777777" w:rsidR="000C07DB" w:rsidRPr="000C07DB" w:rsidRDefault="000C07DB" w:rsidP="000C07DB">
      <w:pPr>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00FF9E23" w14:textId="77777777" w:rsidR="000C07DB" w:rsidRPr="000C07DB" w:rsidRDefault="000C07DB" w:rsidP="000C07DB">
      <w:pPr>
        <w:ind w:left="720"/>
        <w:rPr>
          <w:rFonts w:ascii="Arial" w:eastAsia="Calibri" w:hAnsi="Arial" w:cs="Arial"/>
          <w:sz w:val="22"/>
          <w:szCs w:val="22"/>
        </w:rPr>
      </w:pPr>
    </w:p>
    <w:p w14:paraId="69625916" w14:textId="77777777" w:rsidR="000C07DB" w:rsidRPr="000C07DB" w:rsidRDefault="000C07DB" w:rsidP="000C07DB">
      <w:pPr>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 xml:space="preserve">Is the grant funding restricted to new construction projects, or can it also be applied to </w:t>
      </w:r>
      <w:proofErr w:type="gramStart"/>
      <w:r w:rsidRPr="000C07DB">
        <w:rPr>
          <w:rFonts w:ascii="Arial" w:eastAsia="Calibri" w:hAnsi="Arial" w:cs="Arial"/>
          <w:i/>
          <w:iCs/>
          <w:sz w:val="22"/>
          <w:szCs w:val="22"/>
        </w:rPr>
        <w:t>retrofitting</w:t>
      </w:r>
      <w:proofErr w:type="gramEnd"/>
      <w:r w:rsidRPr="000C07DB">
        <w:rPr>
          <w:rFonts w:ascii="Arial" w:eastAsia="Calibri" w:hAnsi="Arial" w:cs="Arial"/>
          <w:i/>
          <w:iCs/>
          <w:sz w:val="22"/>
          <w:szCs w:val="22"/>
        </w:rPr>
        <w:t xml:space="preserve"> or </w:t>
      </w:r>
      <w:proofErr w:type="gramStart"/>
      <w:r w:rsidRPr="000C07DB">
        <w:rPr>
          <w:rFonts w:ascii="Arial" w:eastAsia="Calibri" w:hAnsi="Arial" w:cs="Arial"/>
          <w:i/>
          <w:iCs/>
          <w:sz w:val="22"/>
          <w:szCs w:val="22"/>
        </w:rPr>
        <w:t>expanding</w:t>
      </w:r>
      <w:proofErr w:type="gramEnd"/>
      <w:r w:rsidRPr="000C07DB">
        <w:rPr>
          <w:rFonts w:ascii="Arial" w:eastAsia="Calibri" w:hAnsi="Arial" w:cs="Arial"/>
          <w:i/>
          <w:iCs/>
          <w:sz w:val="22"/>
          <w:szCs w:val="22"/>
        </w:rPr>
        <w:t xml:space="preserve"> existing infrastructure?</w:t>
      </w:r>
    </w:p>
    <w:p w14:paraId="7D009FEB" w14:textId="77777777" w:rsidR="000C07DB" w:rsidRPr="000C07DB" w:rsidRDefault="000C07DB" w:rsidP="000C07DB">
      <w:pPr>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Can you clarify if a project may propose a microgrid solution coupled with existing, already installed EVSE? Or are new EVSE installations required?</w:t>
      </w:r>
    </w:p>
    <w:p w14:paraId="1C03FA80" w14:textId="77777777" w:rsidR="000C07DB" w:rsidRPr="000C07DB" w:rsidRDefault="000C07DB" w:rsidP="005E098C">
      <w:pPr>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 xml:space="preserve">Are upgrades to existing EV charging sites that use a flexible interconnection pilot eligible, or </w:t>
      </w:r>
      <w:proofErr w:type="gramStart"/>
      <w:r w:rsidRPr="000C07DB">
        <w:rPr>
          <w:rFonts w:ascii="Arial" w:eastAsia="Calibri" w:hAnsi="Arial" w:cs="Arial"/>
          <w:i/>
          <w:iCs/>
          <w:sz w:val="22"/>
          <w:szCs w:val="22"/>
        </w:rPr>
        <w:t>is</w:t>
      </w:r>
      <w:proofErr w:type="gramEnd"/>
      <w:r w:rsidRPr="000C07DB">
        <w:rPr>
          <w:rFonts w:ascii="Arial" w:eastAsia="Calibri" w:hAnsi="Arial" w:cs="Arial"/>
          <w:i/>
          <w:iCs/>
          <w:sz w:val="22"/>
          <w:szCs w:val="22"/>
        </w:rPr>
        <w:t xml:space="preserve"> </w:t>
      </w:r>
      <w:proofErr w:type="gramStart"/>
      <w:r w:rsidRPr="000C07DB">
        <w:rPr>
          <w:rFonts w:ascii="Arial" w:eastAsia="Calibri" w:hAnsi="Arial" w:cs="Arial"/>
          <w:i/>
          <w:iCs/>
          <w:sz w:val="22"/>
          <w:szCs w:val="22"/>
        </w:rPr>
        <w:t>it</w:t>
      </w:r>
      <w:proofErr w:type="gramEnd"/>
      <w:r w:rsidRPr="000C07DB">
        <w:rPr>
          <w:rFonts w:ascii="Arial" w:eastAsia="Calibri" w:hAnsi="Arial" w:cs="Arial"/>
          <w:i/>
          <w:iCs/>
          <w:sz w:val="22"/>
          <w:szCs w:val="22"/>
        </w:rPr>
        <w:t xml:space="preserve"> new builds only?</w:t>
      </w:r>
      <w:r w:rsidRPr="000C07DB">
        <w:rPr>
          <w:rFonts w:ascii="Arial" w:eastAsia="Calibri" w:hAnsi="Arial" w:cs="Arial"/>
          <w:sz w:val="22"/>
          <w:szCs w:val="22"/>
        </w:rPr>
        <w:t>)</w:t>
      </w:r>
    </w:p>
    <w:p w14:paraId="5FADCB5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Q37 – Can you define the range of "renewable" resources eligible in this GFO? Specifically, are technologies that use biomethane and renewable natural gas eligible?</w:t>
      </w:r>
    </w:p>
    <w:p w14:paraId="295F2725"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Renewable DERs and renewable energy generation equipment must be 100% renewable as defined by the California Energy Commission’s “Renewables Portfolio Standard (RPS) Eligibility Guidebook (9</w:t>
      </w:r>
      <w:r w:rsidRPr="00BB5AA9">
        <w:rPr>
          <w:rFonts w:ascii="Arial" w:eastAsia="Calibri" w:hAnsi="Arial" w:cs="Arial"/>
          <w:color w:val="17365D" w:themeColor="text2" w:themeShade="BF"/>
          <w:sz w:val="22"/>
          <w:szCs w:val="22"/>
          <w:vertAlign w:val="superscript"/>
        </w:rPr>
        <w:t>th</w:t>
      </w:r>
      <w:r w:rsidRPr="00BB5AA9">
        <w:rPr>
          <w:rFonts w:ascii="Arial" w:eastAsia="Calibri" w:hAnsi="Arial" w:cs="Arial"/>
          <w:color w:val="17365D" w:themeColor="text2" w:themeShade="BF"/>
          <w:sz w:val="22"/>
          <w:szCs w:val="22"/>
        </w:rPr>
        <w:t xml:space="preserve"> Edition).” The draft 10</w:t>
      </w:r>
      <w:r w:rsidRPr="00BB5AA9">
        <w:rPr>
          <w:rFonts w:ascii="Arial" w:eastAsia="Calibri" w:hAnsi="Arial" w:cs="Arial"/>
          <w:color w:val="17365D" w:themeColor="text2" w:themeShade="BF"/>
          <w:sz w:val="22"/>
          <w:szCs w:val="22"/>
          <w:vertAlign w:val="superscript"/>
        </w:rPr>
        <w:t>th</w:t>
      </w:r>
      <w:r w:rsidRPr="00BB5AA9">
        <w:rPr>
          <w:rFonts w:ascii="Arial" w:eastAsia="Calibri" w:hAnsi="Arial" w:cs="Arial"/>
          <w:color w:val="17365D" w:themeColor="text2" w:themeShade="BF"/>
          <w:sz w:val="22"/>
          <w:szCs w:val="22"/>
        </w:rPr>
        <w:t xml:space="preserve"> edition of the RPS Eligibility Guidebook, published on September 17, 2025, includes linear generators as potentially RPS eligible. As such, projects using fuel cells or linear generators as on-site generation are eligible for funding so long as they are using 100% renewable fuel as described in the 9</w:t>
      </w:r>
      <w:r w:rsidRPr="00BB5AA9">
        <w:rPr>
          <w:rFonts w:ascii="Arial" w:eastAsia="Calibri" w:hAnsi="Arial" w:cs="Arial"/>
          <w:color w:val="17365D" w:themeColor="text2" w:themeShade="BF"/>
          <w:sz w:val="22"/>
          <w:szCs w:val="22"/>
          <w:vertAlign w:val="superscript"/>
        </w:rPr>
        <w:t>th</w:t>
      </w:r>
      <w:r w:rsidRPr="00BB5AA9">
        <w:rPr>
          <w:rFonts w:ascii="Arial" w:eastAsia="Calibri" w:hAnsi="Arial" w:cs="Arial"/>
          <w:color w:val="17365D" w:themeColor="text2" w:themeShade="BF"/>
          <w:sz w:val="22"/>
          <w:szCs w:val="22"/>
        </w:rPr>
        <w:t xml:space="preserve"> Edition RPS Guidebook [to be replaced by the 10</w:t>
      </w:r>
      <w:r w:rsidRPr="00BB5AA9">
        <w:rPr>
          <w:rFonts w:ascii="Arial" w:eastAsia="Calibri" w:hAnsi="Arial" w:cs="Arial"/>
          <w:color w:val="17365D" w:themeColor="text2" w:themeShade="BF"/>
          <w:sz w:val="22"/>
          <w:szCs w:val="22"/>
          <w:vertAlign w:val="superscript"/>
        </w:rPr>
        <w:t>th</w:t>
      </w:r>
      <w:r w:rsidRPr="00BB5AA9">
        <w:rPr>
          <w:rFonts w:ascii="Arial" w:eastAsia="Calibri" w:hAnsi="Arial" w:cs="Arial"/>
          <w:color w:val="17365D" w:themeColor="text2" w:themeShade="BF"/>
          <w:sz w:val="22"/>
          <w:szCs w:val="22"/>
        </w:rPr>
        <w:t xml:space="preserve"> edition when published]. Though RPS certification is not required, if the proposed generation technology requires a fuel source such as biofuel, applicants must demonstrate that the fuel is 100% renewable.</w:t>
      </w:r>
    </w:p>
    <w:p w14:paraId="426D7C0D"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staff will be issuing an addendum to the solicitation manual clarifying the eligibility of generation resources.</w:t>
      </w:r>
    </w:p>
    <w:p w14:paraId="7D3CCEBE"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0D44EEE"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Is a project using fuel cells to provide AC power for commercial EV eligible for this GFO?</w:t>
      </w:r>
    </w:p>
    <w:p w14:paraId="0BE4B656"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Can hydrogen energy storage be counted as part of the overall system’s energy storage to qualify for funding?</w:t>
      </w:r>
    </w:p>
    <w:p w14:paraId="6033CBB8"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Is renewable natural gas considered a Renewable Source (e.g. RNG fuel cell generator)?</w:t>
      </w:r>
    </w:p>
    <w:p w14:paraId="3E1B40D0"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Our ADES is a Thorium based would it as a microreactor would that be included in renewable?</w:t>
      </w:r>
    </w:p>
    <w:p w14:paraId="369245C7"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Is renewable propane fueled fuel cell applicable for the funding opportunity?</w:t>
      </w:r>
    </w:p>
    <w:p w14:paraId="248BB172" w14:textId="77777777" w:rsidR="000C07DB" w:rsidRPr="000C07DB" w:rsidRDefault="000C07DB" w:rsidP="005F575B">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Will renewable fuels powered generators applicable for this opportunity?</w:t>
      </w:r>
      <w:r w:rsidRPr="000C07DB">
        <w:rPr>
          <w:rFonts w:ascii="Arial" w:eastAsia="Calibri" w:hAnsi="Arial" w:cs="Arial"/>
          <w:sz w:val="22"/>
          <w:szCs w:val="22"/>
        </w:rPr>
        <w:t>)</w:t>
      </w:r>
    </w:p>
    <w:p w14:paraId="1E232733"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Q38 – Is commercial EV charging for trucks or is the definition broader than that?</w:t>
      </w:r>
    </w:p>
    <w:p w14:paraId="45A39FA0"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The GFO encourages a wide range of innovative commercial EV charging projects that integrate DERs and flexible service options. Examples include (but are not limited to):</w:t>
      </w:r>
    </w:p>
    <w:p w14:paraId="312F9DA2"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Destination Charging (e.g., malls, restaurants, hotels, casinos, resorts)</w:t>
      </w:r>
    </w:p>
    <w:p w14:paraId="0ABF27E5"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Workplace and Corporate Campuses</w:t>
      </w:r>
    </w:p>
    <w:p w14:paraId="626A4013"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Multifamily and Residential Complexes</w:t>
      </w:r>
    </w:p>
    <w:p w14:paraId="21290879"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Fleet and Logistics (including private “behind the fence” fleet operations)</w:t>
      </w:r>
    </w:p>
    <w:p w14:paraId="3E36CF31"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Public Charging Networks</w:t>
      </w:r>
    </w:p>
    <w:p w14:paraId="57B75E58"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Municipal Transit</w:t>
      </w:r>
    </w:p>
    <w:p w14:paraId="30AB441D"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Heavy Duty and Industrial</w:t>
      </w:r>
    </w:p>
    <w:p w14:paraId="3560E6D3"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Educational Institutions (e.g., school bus fleets, public/private campus charging)</w:t>
      </w:r>
    </w:p>
    <w:p w14:paraId="618401C5" w14:textId="77777777" w:rsidR="000C07DB" w:rsidRPr="004F4A11" w:rsidRDefault="000C07DB" w:rsidP="005F575B">
      <w:pPr>
        <w:numPr>
          <w:ilvl w:val="0"/>
          <w:numId w:val="29"/>
        </w:numPr>
        <w:spacing w:after="160" w:line="259" w:lineRule="auto"/>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Shared-Use Private Charging (e.g., employee-only workplace charging)</w:t>
      </w:r>
    </w:p>
    <w:p w14:paraId="2044C998"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Important Notes:</w:t>
      </w:r>
    </w:p>
    <w:p w14:paraId="09F69CB2"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Projects serving private, single-family homes are not eligible. </w:t>
      </w:r>
    </w:p>
    <w:p w14:paraId="54E60F49"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All applicants, regardless of use case, are required to meet all minimum requirements outlined in the solicitation manual. </w:t>
      </w:r>
    </w:p>
    <w:p w14:paraId="18E54D52"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There are no minimum or maximum demonstration size requirements (e.g., vehicles served, energy dispensed) outlined in the solicitation manual.</w:t>
      </w:r>
    </w:p>
    <w:p w14:paraId="2FD4088C"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There are no minimum or maximum charging rates outlined in the solicitation manual.</w:t>
      </w:r>
    </w:p>
    <w:p w14:paraId="7458C0D1"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Applicants may connect commercial charging to other non-charging related loads under the same microgrid managed by a single PCS.</w:t>
      </w:r>
    </w:p>
    <w:p w14:paraId="0BEA0997" w14:textId="77777777" w:rsidR="000C07DB" w:rsidRPr="004F4A11" w:rsidRDefault="000C07DB" w:rsidP="005F575B">
      <w:pPr>
        <w:numPr>
          <w:ilvl w:val="0"/>
          <w:numId w:val="29"/>
        </w:numPr>
        <w:spacing w:after="160" w:line="259" w:lineRule="auto"/>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Proposals must clearly define the intended use case and are encouraged to include compelling reasons for incorporating behind-the-meter generation and flexible service agreements in addition to the system’s potential benefits to the local community and broader ratepayers. </w:t>
      </w:r>
    </w:p>
    <w:p w14:paraId="2C7E9C7B"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1045DE1F" w14:textId="6E463A84"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The RFP notes that "commercial" also includes </w:t>
      </w:r>
      <w:r w:rsidR="003B067D" w:rsidRPr="000C07DB">
        <w:rPr>
          <w:rFonts w:ascii="Arial" w:eastAsia="Calibri" w:hAnsi="Arial" w:cs="Arial"/>
          <w:i/>
          <w:iCs/>
          <w:sz w:val="22"/>
          <w:szCs w:val="22"/>
        </w:rPr>
        <w:t>multifamily</w:t>
      </w:r>
      <w:r w:rsidRPr="000C07DB">
        <w:rPr>
          <w:rFonts w:ascii="Arial" w:eastAsia="Calibri" w:hAnsi="Arial" w:cs="Arial"/>
          <w:i/>
          <w:iCs/>
          <w:sz w:val="22"/>
          <w:szCs w:val="22"/>
        </w:rPr>
        <w:t xml:space="preserve"> housing. Are there any requirements unique to affordable multifamily housing properties or developers?</w:t>
      </w:r>
    </w:p>
    <w:p w14:paraId="63671105"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If our chargers </w:t>
      </w:r>
      <w:proofErr w:type="gramStart"/>
      <w:r w:rsidRPr="000C07DB">
        <w:rPr>
          <w:rFonts w:ascii="Arial" w:eastAsia="Calibri" w:hAnsi="Arial" w:cs="Arial"/>
          <w:i/>
          <w:iCs/>
          <w:sz w:val="22"/>
          <w:szCs w:val="22"/>
        </w:rPr>
        <w:t>will be</w:t>
      </w:r>
      <w:proofErr w:type="gramEnd"/>
      <w:r w:rsidRPr="000C07DB">
        <w:rPr>
          <w:rFonts w:ascii="Arial" w:eastAsia="Calibri" w:hAnsi="Arial" w:cs="Arial"/>
          <w:i/>
          <w:iCs/>
          <w:sz w:val="22"/>
          <w:szCs w:val="22"/>
        </w:rPr>
        <w:t xml:space="preserve"> fleet-only and behind the fence, are we still eligible for this grant or is public access required?</w:t>
      </w:r>
    </w:p>
    <w:p w14:paraId="0404CAC8"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Are public schools (elementary, high schools, etc.) eligible for the project site, where their parking lot may only </w:t>
      </w:r>
      <w:proofErr w:type="gramStart"/>
      <w:r w:rsidRPr="000C07DB">
        <w:rPr>
          <w:rFonts w:ascii="Arial" w:eastAsia="Calibri" w:hAnsi="Arial" w:cs="Arial"/>
          <w:i/>
          <w:iCs/>
          <w:sz w:val="22"/>
          <w:szCs w:val="22"/>
        </w:rPr>
        <w:t>open</w:t>
      </w:r>
      <w:proofErr w:type="gramEnd"/>
      <w:r w:rsidRPr="000C07DB">
        <w:rPr>
          <w:rFonts w:ascii="Arial" w:eastAsia="Calibri" w:hAnsi="Arial" w:cs="Arial"/>
          <w:i/>
          <w:iCs/>
          <w:sz w:val="22"/>
          <w:szCs w:val="22"/>
        </w:rPr>
        <w:t xml:space="preserve"> for faculty and staff?</w:t>
      </w:r>
    </w:p>
    <w:p w14:paraId="46E40597"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Can projects be located in multifamily residential parking lots — whether dedicated </w:t>
      </w:r>
      <w:proofErr w:type="gramStart"/>
      <w:r w:rsidRPr="000C07DB">
        <w:rPr>
          <w:rFonts w:ascii="Arial" w:eastAsia="Calibri" w:hAnsi="Arial" w:cs="Arial"/>
          <w:i/>
          <w:iCs/>
          <w:sz w:val="22"/>
          <w:szCs w:val="22"/>
        </w:rPr>
        <w:t>for</w:t>
      </w:r>
      <w:proofErr w:type="gramEnd"/>
      <w:r w:rsidRPr="000C07DB">
        <w:rPr>
          <w:rFonts w:ascii="Arial" w:eastAsia="Calibri" w:hAnsi="Arial" w:cs="Arial"/>
          <w:i/>
          <w:iCs/>
          <w:sz w:val="22"/>
          <w:szCs w:val="22"/>
        </w:rPr>
        <w:t xml:space="preserve"> tenants or open to the public/visitors (or both)</w:t>
      </w:r>
    </w:p>
    <w:p w14:paraId="34B74EC4"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Is </w:t>
      </w:r>
      <w:proofErr w:type="gramStart"/>
      <w:r w:rsidRPr="000C07DB">
        <w:rPr>
          <w:rFonts w:ascii="Arial" w:eastAsia="Calibri" w:hAnsi="Arial" w:cs="Arial"/>
          <w:i/>
          <w:iCs/>
          <w:sz w:val="22"/>
          <w:szCs w:val="22"/>
        </w:rPr>
        <w:t>a California</w:t>
      </w:r>
      <w:proofErr w:type="gramEnd"/>
      <w:r w:rsidRPr="000C07DB">
        <w:rPr>
          <w:rFonts w:ascii="Arial" w:eastAsia="Calibri" w:hAnsi="Arial" w:cs="Arial"/>
          <w:i/>
          <w:iCs/>
          <w:sz w:val="22"/>
          <w:szCs w:val="22"/>
        </w:rPr>
        <w:t xml:space="preserve"> Public School District’s EV school bus charging depot an eligible demonstration site?</w:t>
      </w:r>
    </w:p>
    <w:p w14:paraId="77559808"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Are there any restrictions on eligible commercial sites? Would a casino site be eligible?</w:t>
      </w:r>
    </w:p>
    <w:p w14:paraId="29B65B27"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Do multifamily sites have to be installed on shared parking spaces? (vs having dedicated parking spots)</w:t>
      </w:r>
    </w:p>
    <w:p w14:paraId="53D39E8A"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How many charging stations / simultaneous vehicles under charge is the CEC targeting for the commercial charging center in this solicitation? Is there a minimum number of charging stations required by the CEC?</w:t>
      </w:r>
    </w:p>
    <w:p w14:paraId="7875F6E3"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What are the minimum and maximum charging rates (per vehicle) the CEC is targeting for the commercial charging center in this solicitation? </w:t>
      </w:r>
    </w:p>
    <w:p w14:paraId="608D4BBD"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sidDel="00E36D1A">
        <w:rPr>
          <w:rFonts w:ascii="Arial" w:eastAsia="Calibri" w:hAnsi="Arial" w:cs="Arial"/>
          <w:i/>
          <w:iCs/>
          <w:sz w:val="22"/>
          <w:szCs w:val="22"/>
        </w:rPr>
        <w:t xml:space="preserve"> </w:t>
      </w:r>
    </w:p>
    <w:p w14:paraId="279F7372"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Does the charging station need to be accessible to the public, or would a charging station operating commercially for a private or limited fleet be considered responsive to this solicitation?</w:t>
      </w:r>
    </w:p>
    <w:p w14:paraId="2B1C9177" w14:textId="77777777" w:rsidR="000C07DB" w:rsidRPr="000C07DB" w:rsidRDefault="000C07DB" w:rsidP="005F575B">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Is the CEC interested in applications where a commercial charging station and other non-charging related electrical loads are connected into the same microgrid / DER and managed by the same PCS? For example, a restaurant with a charging pavilion behind the restaurant where both the charging and restaurant electrical loads are running from the same microgrid supplied by the same DERs?</w:t>
      </w:r>
      <w:r w:rsidRPr="000C07DB">
        <w:rPr>
          <w:rFonts w:ascii="Arial" w:eastAsia="Calibri" w:hAnsi="Arial" w:cs="Arial"/>
          <w:sz w:val="22"/>
          <w:szCs w:val="22"/>
        </w:rPr>
        <w:t>)</w:t>
      </w:r>
    </w:p>
    <w:p w14:paraId="02054CC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 xml:space="preserve">Q39 – The DRIVES program requires that a project site be located in a Disadvantaged Community (DAC) per </w:t>
      </w:r>
      <w:proofErr w:type="spellStart"/>
      <w:r w:rsidRPr="000C07DB">
        <w:rPr>
          <w:rFonts w:ascii="Arial" w:eastAsia="Calibri" w:hAnsi="Arial" w:cs="Arial"/>
          <w:sz w:val="22"/>
          <w:szCs w:val="22"/>
        </w:rPr>
        <w:t>CalEnviroScreen</w:t>
      </w:r>
      <w:proofErr w:type="spellEnd"/>
      <w:r w:rsidRPr="000C07DB">
        <w:rPr>
          <w:rFonts w:ascii="Arial" w:eastAsia="Calibri" w:hAnsi="Arial" w:cs="Arial"/>
          <w:sz w:val="22"/>
          <w:szCs w:val="22"/>
        </w:rPr>
        <w:t xml:space="preserve"> 4.0. Can the CEC elaborate why that is a requirement of this solicitation, where other CEC solicitations instead weigh projects in a DAC more favorably than those outside of DACs through their scoring criteria or require a percentage of the awarded applications serve a DAC? The DAC requirement is quite restrictive, and these types of projects are not able to be moved to new sites that can meet the many geographic requirements. Can the CEC please adjust this DAC requirement to instead weigh projects in DACs more favorably or have a percentage of the total number of projects awarded be in DACs, instead of all of the projects? When commercial EV charging developers are assessing project locations to develop their sites many items are critical to the business case, but the location being in a DAC is very infrequently considered, especially when compared to potential demand, proximity to highways and freight corridors, and utility power. Having projects benefit DACs is very important but this strict all or nothing requirement will limit the number of qualified projects that the CEC receives under this solicitation.</w:t>
      </w:r>
    </w:p>
    <w:p w14:paraId="205F8A98"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CEC staff will issue an addendum revising the current requirement for project siting in disadvantaged communities (DACs). Instead, projects located in DACs, Low Income Communities, or Tribal Territories will receive preference points during evaluation.</w:t>
      </w:r>
    </w:p>
    <w:p w14:paraId="0C54BF51"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While benefits like cost savings, resiliency, air quality, and charging access remain critical for DACs, the previous requirement may have excluded strong candidates. The updated scoring criteria aim to encourage </w:t>
      </w:r>
      <w:proofErr w:type="gramStart"/>
      <w:r w:rsidRPr="004F4A11">
        <w:rPr>
          <w:rFonts w:ascii="Arial" w:eastAsia="Calibri" w:hAnsi="Arial" w:cs="Arial"/>
          <w:color w:val="17365D" w:themeColor="text2" w:themeShade="BF"/>
          <w:sz w:val="22"/>
          <w:szCs w:val="22"/>
        </w:rPr>
        <w:t>siting</w:t>
      </w:r>
      <w:proofErr w:type="gramEnd"/>
      <w:r w:rsidRPr="004F4A11">
        <w:rPr>
          <w:rFonts w:ascii="Arial" w:eastAsia="Calibri" w:hAnsi="Arial" w:cs="Arial"/>
          <w:color w:val="17365D" w:themeColor="text2" w:themeShade="BF"/>
          <w:sz w:val="22"/>
          <w:szCs w:val="22"/>
        </w:rPr>
        <w:t xml:space="preserve"> in these areas without limiting broader participation or ratepayer benefits.</w:t>
      </w:r>
    </w:p>
    <w:p w14:paraId="2A3C4598" w14:textId="77777777" w:rsidR="000C07DB" w:rsidRPr="000C07DB" w:rsidRDefault="000C07DB" w:rsidP="004F4A11">
      <w:pPr>
        <w:keepNext/>
        <w:keepLines/>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6546906A" w14:textId="77777777" w:rsidR="000C07DB" w:rsidRPr="000C07DB" w:rsidRDefault="000C07DB" w:rsidP="004F4A11">
      <w:pPr>
        <w:keepNext/>
        <w:keepLines/>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Can the site where the project takes place be close to a disadvantaged community, or is it a firm requirement that a site be located in a disadvantaged census tract? Is there a maximum distance from a community that the CEC is comfortable with? </w:t>
      </w:r>
    </w:p>
    <w:p w14:paraId="5F1F1530"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Someone in the webinar also had a relevant question about tribal sites, but it sounded like the answer would be best in written form. If the location is both within a DAC and a tribal area and site host is a tribe – given all other conditions are met – would this be an allowable site location?</w:t>
      </w:r>
    </w:p>
    <w:p w14:paraId="467CB4BE" w14:textId="77777777" w:rsidR="000C07DB" w:rsidRPr="000C07DB" w:rsidRDefault="000C07DB" w:rsidP="000C07DB">
      <w:pPr>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 xml:space="preserve">Are areas designated in </w:t>
      </w:r>
      <w:proofErr w:type="spellStart"/>
      <w:r w:rsidRPr="000C07DB">
        <w:rPr>
          <w:rFonts w:ascii="Arial" w:eastAsia="Calibri" w:hAnsi="Arial" w:cs="Arial"/>
          <w:i/>
          <w:iCs/>
          <w:sz w:val="22"/>
          <w:szCs w:val="22"/>
        </w:rPr>
        <w:t>CalEnviroScreen</w:t>
      </w:r>
      <w:proofErr w:type="spellEnd"/>
      <w:r w:rsidRPr="000C07DB">
        <w:rPr>
          <w:rFonts w:ascii="Arial" w:eastAsia="Calibri" w:hAnsi="Arial" w:cs="Arial"/>
          <w:i/>
          <w:iCs/>
          <w:sz w:val="22"/>
          <w:szCs w:val="22"/>
        </w:rPr>
        <w:t xml:space="preserve"> 4.0 as "DAC </w:t>
      </w:r>
      <w:proofErr w:type="gramStart"/>
      <w:r w:rsidRPr="000C07DB">
        <w:rPr>
          <w:rFonts w:ascii="Arial" w:eastAsia="Calibri" w:hAnsi="Arial" w:cs="Arial"/>
          <w:i/>
          <w:iCs/>
          <w:sz w:val="22"/>
          <w:szCs w:val="22"/>
        </w:rPr>
        <w:t>1/2 mile</w:t>
      </w:r>
      <w:proofErr w:type="gramEnd"/>
      <w:r w:rsidRPr="000C07DB">
        <w:rPr>
          <w:rFonts w:ascii="Arial" w:eastAsia="Calibri" w:hAnsi="Arial" w:cs="Arial"/>
          <w:i/>
          <w:iCs/>
          <w:sz w:val="22"/>
          <w:szCs w:val="22"/>
        </w:rPr>
        <w:t xml:space="preserve"> neighbors" eligible for this GFO?</w:t>
      </w:r>
    </w:p>
    <w:p w14:paraId="392EC2DA" w14:textId="77777777" w:rsidR="000C07DB" w:rsidRPr="000C07DB" w:rsidRDefault="000C07DB" w:rsidP="007C4B77">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 xml:space="preserve">Would CEC allow projects with more than one </w:t>
      </w:r>
      <w:proofErr w:type="gramStart"/>
      <w:r w:rsidRPr="000C07DB">
        <w:rPr>
          <w:rFonts w:ascii="Arial" w:eastAsia="Calibri" w:hAnsi="Arial" w:cs="Arial"/>
          <w:i/>
          <w:iCs/>
          <w:sz w:val="22"/>
          <w:szCs w:val="22"/>
        </w:rPr>
        <w:t>sites</w:t>
      </w:r>
      <w:proofErr w:type="gramEnd"/>
      <w:r w:rsidRPr="000C07DB">
        <w:rPr>
          <w:rFonts w:ascii="Arial" w:eastAsia="Calibri" w:hAnsi="Arial" w:cs="Arial"/>
          <w:i/>
          <w:iCs/>
          <w:sz w:val="22"/>
          <w:szCs w:val="22"/>
        </w:rPr>
        <w:t xml:space="preserve"> with only one of the sites located in </w:t>
      </w:r>
      <w:proofErr w:type="spellStart"/>
      <w:r w:rsidRPr="000C07DB">
        <w:rPr>
          <w:rFonts w:ascii="Arial" w:eastAsia="Calibri" w:hAnsi="Arial" w:cs="Arial"/>
          <w:i/>
          <w:iCs/>
          <w:sz w:val="22"/>
          <w:szCs w:val="22"/>
        </w:rPr>
        <w:t>CalEnviroScore</w:t>
      </w:r>
      <w:proofErr w:type="spellEnd"/>
      <w:r w:rsidRPr="000C07DB">
        <w:rPr>
          <w:rFonts w:ascii="Arial" w:eastAsia="Calibri" w:hAnsi="Arial" w:cs="Arial"/>
          <w:i/>
          <w:iCs/>
          <w:sz w:val="22"/>
          <w:szCs w:val="22"/>
        </w:rPr>
        <w:t xml:space="preserve"> 75% areas?)</w:t>
      </w:r>
    </w:p>
    <w:p w14:paraId="51F5F944"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Q40 – Are level 2 chargers eligible for funding under this solicitation?</w:t>
      </w:r>
    </w:p>
    <w:p w14:paraId="646877E6"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There is no minimum or maximum required charger level for this GFO.</w:t>
      </w:r>
    </w:p>
    <w:p w14:paraId="16CC965D"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(Other question(s) addressed in response:</w:t>
      </w:r>
    </w:p>
    <w:p w14:paraId="41B11F2A" w14:textId="77777777" w:rsidR="000C07DB" w:rsidRPr="000C07DB" w:rsidRDefault="000C07DB" w:rsidP="007C4B77">
      <w:pPr>
        <w:spacing w:after="160" w:line="259" w:lineRule="auto"/>
        <w:ind w:left="1080"/>
        <w:rPr>
          <w:rFonts w:ascii="Arial" w:eastAsia="Calibri" w:hAnsi="Arial" w:cs="Arial"/>
          <w:color w:val="4472C4"/>
          <w:sz w:val="22"/>
          <w:szCs w:val="22"/>
        </w:rPr>
      </w:pPr>
      <w:r w:rsidRPr="000C07DB">
        <w:rPr>
          <w:rFonts w:ascii="Arial" w:eastAsia="Calibri" w:hAnsi="Arial" w:cs="Arial"/>
          <w:i/>
          <w:iCs/>
          <w:sz w:val="22"/>
          <w:szCs w:val="22"/>
        </w:rPr>
        <w:t xml:space="preserve">Is the CEC looking for </w:t>
      </w:r>
      <w:proofErr w:type="gramStart"/>
      <w:r w:rsidRPr="000C07DB">
        <w:rPr>
          <w:rFonts w:ascii="Arial" w:eastAsia="Calibri" w:hAnsi="Arial" w:cs="Arial"/>
          <w:i/>
          <w:iCs/>
          <w:sz w:val="22"/>
          <w:szCs w:val="22"/>
        </w:rPr>
        <w:t>the</w:t>
      </w:r>
      <w:proofErr w:type="gramEnd"/>
      <w:r w:rsidRPr="000C07DB">
        <w:rPr>
          <w:rFonts w:ascii="Arial" w:eastAsia="Calibri" w:hAnsi="Arial" w:cs="Arial"/>
          <w:i/>
          <w:iCs/>
          <w:sz w:val="22"/>
          <w:szCs w:val="22"/>
        </w:rPr>
        <w:t xml:space="preserve"> commercial charging station to support Level 2 AC charging, Level 3 DC fast charging, or some combination of both?)</w:t>
      </w:r>
    </w:p>
    <w:p w14:paraId="3FBF8C8B"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Q41 – Are there any requirements for the hardware to be manufactured in the U.S. in order to qualify for funding?</w:t>
      </w:r>
    </w:p>
    <w:p w14:paraId="327F743C"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There is no requirement that hardware be manufactured in the United States to be eligible for funding under this GFO.</w:t>
      </w:r>
    </w:p>
    <w:p w14:paraId="5E9ADD10"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Q42 – One of the inherent benefits of DC architecture is that a project's grid connection can be much smaller than conventional AC-coupled systems. For projects in Group 1, if the project's anticipated grid connection does not exceed the existing utility service and/or panel capacity, being part of a flexible service pilot program would be unnecessary. Would the CEC consider this kind of project and, if so, would the requirement to enroll in the PG&amp;E or SCE flexible service pilot still apply?</w:t>
      </w:r>
    </w:p>
    <w:p w14:paraId="761FA2A6"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The load limiting profile unique to enrollment in a PG&amp;E or SCE flexible service pilot is central to the research goals of this GFO, and thus all projects must enroll in either of these pilots to be eligible for funding.</w:t>
      </w:r>
    </w:p>
    <w:p w14:paraId="36AFB377"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Q43 – Can SCE's Charge Ready Transport program satisfy the grant's IX [investigation] requirement?</w:t>
      </w:r>
    </w:p>
    <w:p w14:paraId="0D84AB22"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SCE’s Charge Ready Transport Program alone does not satisfy the investigation requirements of this GFO. All funded demonstrations must be enrolled in either PG&amp;E or SCE’s flexible service pilot.</w:t>
      </w:r>
    </w:p>
    <w:p w14:paraId="35A5F518"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Q44 – Can the scope of work eligible under this grant be an isolated portion of a larger EVSE DC/AC-coupled behind-the-meter microgrid project? For example, could the applicable scope be limited to only the EVSE portion or only the BESS portion of the overall project?</w:t>
      </w:r>
    </w:p>
    <w:p w14:paraId="3AB866F8"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No – the scope of work and analysis for awarded projects includes the entire integrated system of renewable distributed generation, battery storage, EV charging infrastructure, a UL 3141 PCS, and other microgrid hardware. The scope of work or analysis cannot be limited to isolated elements of these systems. However, funds awarded through this GFO may be used to add to pre-existing elements, so long as the entire system meets the minimum requirements outlined in Section I.C of the solicitation manual. Please note that pre-existing system elements do not qualify as a form of match funding.</w:t>
      </w:r>
    </w:p>
    <w:p w14:paraId="4F531C59"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Q45 – Could you please clarify whether project eligibility for the DRIVES grant is determined by the point of service or by the property address? Additionally, if a separate project at the same location—but under a different point of service—is already receiving CEC funds through another grant, would this project still be eligible?</w:t>
      </w:r>
    </w:p>
    <w:p w14:paraId="42735D85"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CEC – Eligibility for DRIVES is considered based on the demonstration site address (which in most cases should align with the point of service). Questions about pilot eligibility (a requirement </w:t>
      </w:r>
      <w:proofErr w:type="gramStart"/>
      <w:r w:rsidRPr="004F4A11">
        <w:rPr>
          <w:rFonts w:ascii="Arial" w:eastAsia="Calibri" w:hAnsi="Arial" w:cs="Arial"/>
          <w:color w:val="17365D" w:themeColor="text2" w:themeShade="BF"/>
          <w:sz w:val="22"/>
          <w:szCs w:val="22"/>
        </w:rPr>
        <w:t>of</w:t>
      </w:r>
      <w:proofErr w:type="gramEnd"/>
      <w:r w:rsidRPr="004F4A11">
        <w:rPr>
          <w:rFonts w:ascii="Arial" w:eastAsia="Calibri" w:hAnsi="Arial" w:cs="Arial"/>
          <w:color w:val="17365D" w:themeColor="text2" w:themeShade="BF"/>
          <w:sz w:val="22"/>
          <w:szCs w:val="22"/>
        </w:rPr>
        <w:t xml:space="preserve"> DRIVES recipients) should be directed towards staff at PG&amp;E or SCE directly. The award of previous CEC funds does not disqualify an applicant for eligibility, even if previous funds are being spent at the demonstration site being proposed under DRIVES. Please note that previous awards may not be used as match funds. Please also note the response to Q22, which states that projects proposing demonstrations on sites previously funded by the CEC must clearly separate funding and benefits separately to avoid double-counting.</w:t>
      </w:r>
    </w:p>
    <w:p w14:paraId="5ED79354"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7" w:name="_Toc211856681"/>
      <w:r w:rsidRPr="000C07DB">
        <w:rPr>
          <w:rFonts w:ascii="Arial" w:eastAsia="MS Gothic" w:hAnsi="Arial" w:cs="Arial"/>
          <w:b/>
          <w:bCs/>
          <w:color w:val="2F5496"/>
          <w:sz w:val="32"/>
          <w:szCs w:val="32"/>
        </w:rPr>
        <w:t>Pilot</w:t>
      </w:r>
      <w:bookmarkEnd w:id="7"/>
    </w:p>
    <w:p w14:paraId="0F3BD975" w14:textId="77777777"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Calibri" w:hAnsi="Arial" w:cs="Arial"/>
          <w:sz w:val="22"/>
          <w:szCs w:val="22"/>
        </w:rPr>
        <w:t xml:space="preserve">Q46 – </w:t>
      </w:r>
      <w:r w:rsidRPr="000C07DB">
        <w:rPr>
          <w:rFonts w:ascii="Arial" w:eastAsia="Times New Roman" w:hAnsi="Arial" w:cs="Arial"/>
          <w:color w:val="000000"/>
          <w:sz w:val="22"/>
          <w:szCs w:val="22"/>
        </w:rPr>
        <w:t>Will applications from SDG&amp;E be considered? If so, could you please explain why?</w:t>
      </w:r>
    </w:p>
    <w:p w14:paraId="06120C1D"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 xml:space="preserve">CEC - The integration and analysis of behind-the-meter generation with electric vehicle charging infrastructure operating under limited load profile schedules is a core objective of GFO-25-301. Accordingly, applicants are required to submit a letter of support from either Pacific Gas and Electric Company (PG&amp;E) or Southern California Edison (SCE) staff, confirming that the proposed project is eligible to participate in their respective flexible service pilot programs. This requirement is detailed on pages 5, 31, and 46 of the Solicitation Manual (Attachment 1). </w:t>
      </w:r>
    </w:p>
    <w:p w14:paraId="7D676742"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San Diego Gas &amp; Electric Company (SDG&amp;E), in its filing titled “SAN DIEGO GAS &amp; ELECTRIC COMPANY’S (U 902-E) OPENING COMMENTS ON NEXT STEPS FOR FLEXIBLE SERVICE CONNECTIONS, MODIFYING PHASE 2 SCHEDULE” under CPUC Rulemaking 24-01-018, has stated that it does not currently operate any flexible service connection pilots, nor does it have a framework in place to support limited load profile schedules for customers. As a result, applicants proposing demonstration projects within SDG&amp;E’s service territory are not eligible to participate in such pilots and, therefore, cannot provide the required letter of support.</w:t>
      </w:r>
    </w:p>
    <w:p w14:paraId="02F14E0F"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7E4C4B52"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Does this mean that no project in SDG&amp;E territory is possible?</w:t>
      </w:r>
    </w:p>
    <w:p w14:paraId="4FF279A2" w14:textId="77777777" w:rsidR="000C07DB" w:rsidRPr="000C07DB" w:rsidRDefault="000C07DB" w:rsidP="00A37699">
      <w:pPr>
        <w:numPr>
          <w:ilvl w:val="0"/>
          <w:numId w:val="29"/>
        </w:numPr>
        <w:spacing w:after="160" w:line="259" w:lineRule="auto"/>
        <w:rPr>
          <w:rFonts w:ascii="Arial" w:eastAsia="Times New Roman" w:hAnsi="Arial" w:cs="Arial"/>
          <w:i/>
          <w:iCs/>
          <w:sz w:val="22"/>
          <w:szCs w:val="22"/>
        </w:rPr>
      </w:pPr>
      <w:r w:rsidRPr="000C07DB">
        <w:rPr>
          <w:rFonts w:ascii="Arial" w:eastAsia="Times New Roman" w:hAnsi="Arial" w:cs="Arial"/>
          <w:i/>
          <w:iCs/>
          <w:sz w:val="22"/>
          <w:szCs w:val="22"/>
        </w:rPr>
        <w:t>Why do projects need to be within only SCE or PG&amp;E utility areas? Is that because only those have an existing flex program?)</w:t>
      </w:r>
    </w:p>
    <w:p w14:paraId="24311B89" w14:textId="77777777" w:rsidR="000C07DB" w:rsidRPr="000C07DB" w:rsidRDefault="000C07DB" w:rsidP="000C07DB">
      <w:pPr>
        <w:spacing w:after="160" w:line="259" w:lineRule="auto"/>
        <w:rPr>
          <w:rFonts w:ascii="Arial" w:eastAsia="Times New Roman" w:hAnsi="Arial" w:cs="Arial"/>
          <w:sz w:val="22"/>
          <w:szCs w:val="22"/>
        </w:rPr>
      </w:pPr>
      <w:r w:rsidRPr="000C07DB">
        <w:rPr>
          <w:rFonts w:ascii="Arial" w:eastAsia="Times New Roman" w:hAnsi="Arial" w:cs="Arial"/>
          <w:sz w:val="22"/>
          <w:szCs w:val="22"/>
        </w:rPr>
        <w:t>Q47 – Are there any load limitation requirements mandated by the IOU? If so, what is the maximum load limitation a utility can impose? </w:t>
      </w:r>
    </w:p>
    <w:p w14:paraId="0AFA2EE4"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CEC – Scheduled load limitations are intrinsic to flexible service agreements; however, the specific load limitations will vary based on the site’s unique capacity constraints. Questions about these constraints should be directed to PG&amp;E and SCE pilot staff directly.</w:t>
      </w:r>
    </w:p>
    <w:p w14:paraId="3AE58552" w14:textId="77777777" w:rsidR="000C07DB" w:rsidRPr="000C07DB" w:rsidRDefault="000C07DB" w:rsidP="000C07DB">
      <w:pPr>
        <w:spacing w:after="160" w:line="259" w:lineRule="auto"/>
        <w:rPr>
          <w:rFonts w:ascii="Arial" w:eastAsia="Times New Roman" w:hAnsi="Arial" w:cs="Arial"/>
          <w:sz w:val="22"/>
          <w:szCs w:val="22"/>
        </w:rPr>
      </w:pPr>
      <w:r w:rsidRPr="000C07DB">
        <w:rPr>
          <w:rFonts w:ascii="Arial" w:eastAsia="Times New Roman" w:hAnsi="Arial" w:cs="Arial"/>
          <w:sz w:val="22"/>
          <w:szCs w:val="22"/>
        </w:rPr>
        <w:t>Q48 – Does the applicant need to be filed under SCE’s [or PG&amp;E’s] pilot program by the time of application, by the time of award, or some other milestone?</w:t>
      </w:r>
    </w:p>
    <w:p w14:paraId="12385FE0"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A letter of support from IOU pilot staff indicating eligibility for enrollment in a flexible service pilot is a required element of the proposal package; enrollment itself is not required by the time of application. Applicants who are already enrolled in flexible service pilots are still eligible for funding.</w:t>
      </w:r>
    </w:p>
    <w:p w14:paraId="17C2D9FC"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8" w:name="_Toc211856682"/>
      <w:r w:rsidRPr="000C07DB">
        <w:rPr>
          <w:rFonts w:ascii="Arial" w:eastAsia="MS Gothic" w:hAnsi="Arial" w:cs="Arial"/>
          <w:b/>
          <w:bCs/>
          <w:color w:val="2F5496"/>
          <w:sz w:val="32"/>
          <w:szCs w:val="32"/>
        </w:rPr>
        <w:t>Certification</w:t>
      </w:r>
      <w:bookmarkEnd w:id="8"/>
    </w:p>
    <w:p w14:paraId="29316892" w14:textId="1DEFF540"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Calibri" w:hAnsi="Arial" w:cs="Arial"/>
          <w:sz w:val="22"/>
          <w:szCs w:val="22"/>
        </w:rPr>
        <w:t xml:space="preserve">Q49 – </w:t>
      </w:r>
      <w:r w:rsidRPr="000C07DB">
        <w:rPr>
          <w:rFonts w:ascii="Arial" w:eastAsia="Times New Roman" w:hAnsi="Arial" w:cs="Arial"/>
          <w:color w:val="000000"/>
          <w:sz w:val="22"/>
          <w:szCs w:val="22"/>
        </w:rPr>
        <w:t xml:space="preserve">The UL 3141 document published on October 9th, 2024, is a UL Outline, which is not a consensus-based UL standard. The consensus standard was published much more recently and only a couple of companies have UL 3141-certified products. Getting certified would take longer than the current grant deadline </w:t>
      </w:r>
      <w:proofErr w:type="gramStart"/>
      <w:r w:rsidRPr="000C07DB">
        <w:rPr>
          <w:rFonts w:ascii="Arial" w:eastAsia="Times New Roman" w:hAnsi="Arial" w:cs="Arial"/>
          <w:color w:val="000000"/>
          <w:sz w:val="22"/>
          <w:szCs w:val="22"/>
        </w:rPr>
        <w:t>allows for</w:t>
      </w:r>
      <w:proofErr w:type="gramEnd"/>
      <w:r w:rsidRPr="000C07DB">
        <w:rPr>
          <w:rFonts w:ascii="Arial" w:eastAsia="Times New Roman" w:hAnsi="Arial" w:cs="Arial"/>
          <w:color w:val="000000"/>
          <w:sz w:val="22"/>
          <w:szCs w:val="22"/>
        </w:rPr>
        <w:t>. Would the CEC consider expanding that requirement to include UL 1741</w:t>
      </w:r>
      <w:r w:rsidR="00BD2221">
        <w:rPr>
          <w:rFonts w:ascii="Arial" w:eastAsia="Times New Roman" w:hAnsi="Arial" w:cs="Arial"/>
          <w:color w:val="000000"/>
          <w:sz w:val="22"/>
          <w:szCs w:val="22"/>
        </w:rPr>
        <w:t xml:space="preserve"> </w:t>
      </w:r>
      <w:r w:rsidRPr="000C07DB">
        <w:rPr>
          <w:rFonts w:ascii="Arial" w:eastAsia="Times New Roman" w:hAnsi="Arial" w:cs="Arial"/>
          <w:color w:val="000000"/>
          <w:sz w:val="22"/>
          <w:szCs w:val="22"/>
        </w:rPr>
        <w:t>certification requirement decision (CRD) products?</w:t>
      </w:r>
    </w:p>
    <w:p w14:paraId="67858294"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CEC – the current UL 3141 certification documents are an “outline for investigation.” The consensus-based UL 3141 standard is anticipated to be published Q4 2025 -Q1 2026, well ahead of the anticipated start dates for projects awarded under DRIVES.</w:t>
      </w:r>
    </w:p>
    <w:p w14:paraId="07EF43EE"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Advancing UL 3141-certified power control systems for interoperability of commercial EV charging systems with flexible service connections is a central research goal of this funding. However, this GFO remains open to PCSs that are both a) commercially available and currently certified under UL 3141 or b) emerging technologies that are seeking UL 3141 certification. The evaluation criteria have no preference for either option so long as there is strong justification from the applicant in the funding proposal. An applicant proposing with UL 1741 CRD PCSs may be eligible so long as there is a pathway to advance those devices to UL 3141 certification and compliance with IOU flexible service pilots outlined in its project proposal. CEC funds may be used to pursue UL 3141 certification.</w:t>
      </w:r>
    </w:p>
    <w:p w14:paraId="010DC4FA"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bookmarkStart w:id="9" w:name="_Hlk211856714"/>
      <w:r w:rsidRPr="004F4A11">
        <w:rPr>
          <w:rFonts w:ascii="Arial" w:eastAsia="Times New Roman" w:hAnsi="Arial" w:cs="Arial"/>
          <w:color w:val="17365D" w:themeColor="text2" w:themeShade="BF"/>
          <w:sz w:val="22"/>
          <w:szCs w:val="22"/>
        </w:rPr>
        <w:t>CEC staff will issue an addendum to the solicitation manual more clearly outlining requirements related to UL 3141 certification.</w:t>
      </w:r>
    </w:p>
    <w:bookmarkEnd w:id="9"/>
    <w:p w14:paraId="084A5130"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61951EB"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 xml:space="preserve">Can CEC funding be used to pursue UL3141 certification of a power control system (PCS) or does the project need to </w:t>
      </w:r>
      <w:proofErr w:type="gramStart"/>
      <w:r w:rsidRPr="000C07DB">
        <w:rPr>
          <w:rFonts w:ascii="Arial" w:eastAsia="Times New Roman" w:hAnsi="Arial" w:cs="Arial"/>
          <w:i/>
          <w:iCs/>
          <w:sz w:val="22"/>
          <w:szCs w:val="22"/>
        </w:rPr>
        <w:t>spec</w:t>
      </w:r>
      <w:proofErr w:type="gramEnd"/>
      <w:r w:rsidRPr="000C07DB">
        <w:rPr>
          <w:rFonts w:ascii="Arial" w:eastAsia="Times New Roman" w:hAnsi="Arial" w:cs="Arial"/>
          <w:i/>
          <w:iCs/>
          <w:sz w:val="22"/>
          <w:szCs w:val="22"/>
        </w:rPr>
        <w:t xml:space="preserve"> an existing UL3141 certified PCS?</w:t>
      </w:r>
    </w:p>
    <w:p w14:paraId="34685B2F"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 xml:space="preserve">Does the proposed Power Control System (PCS) need to be UL3141 </w:t>
      </w:r>
      <w:proofErr w:type="spellStart"/>
      <w:r w:rsidRPr="000C07DB">
        <w:rPr>
          <w:rFonts w:ascii="Arial" w:eastAsia="Times New Roman" w:hAnsi="Arial" w:cs="Arial"/>
          <w:i/>
          <w:iCs/>
          <w:sz w:val="22"/>
          <w:szCs w:val="22"/>
        </w:rPr>
        <w:t>Cerfitied</w:t>
      </w:r>
      <w:proofErr w:type="spellEnd"/>
      <w:r w:rsidRPr="000C07DB">
        <w:rPr>
          <w:rFonts w:ascii="Arial" w:eastAsia="Times New Roman" w:hAnsi="Arial" w:cs="Arial"/>
          <w:i/>
          <w:iCs/>
          <w:sz w:val="22"/>
          <w:szCs w:val="22"/>
        </w:rPr>
        <w:t xml:space="preserve"> at the time of proposal submission, or would a unit that is on track to achieve certification prior to the agreement start date be considered acceptable?</w:t>
      </w:r>
    </w:p>
    <w:p w14:paraId="227EDBC0" w14:textId="77777777" w:rsidR="000C07DB" w:rsidRPr="000C07DB" w:rsidRDefault="000C07DB" w:rsidP="000C07DB">
      <w:pPr>
        <w:numPr>
          <w:ilvl w:val="1"/>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Same question, but for a unit on track to achieve certification prior to installation per the proposed project timeline?</w:t>
      </w:r>
    </w:p>
    <w:p w14:paraId="77C12362"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 xml:space="preserve">Is load control through a UL3141 certified device required if a participant is participating in PG&amp;E’s </w:t>
      </w:r>
      <w:proofErr w:type="spellStart"/>
      <w:r w:rsidRPr="000C07DB">
        <w:rPr>
          <w:rFonts w:ascii="Arial" w:eastAsia="Times New Roman" w:hAnsi="Arial" w:cs="Arial"/>
          <w:i/>
          <w:iCs/>
          <w:sz w:val="22"/>
          <w:szCs w:val="22"/>
        </w:rPr>
        <w:t>FlexConnect</w:t>
      </w:r>
      <w:proofErr w:type="spellEnd"/>
      <w:r w:rsidRPr="000C07DB">
        <w:rPr>
          <w:rFonts w:ascii="Arial" w:eastAsia="Times New Roman" w:hAnsi="Arial" w:cs="Arial"/>
          <w:i/>
          <w:iCs/>
          <w:sz w:val="22"/>
          <w:szCs w:val="22"/>
        </w:rPr>
        <w:t xml:space="preserve"> program, where a UL 3141-certified device is not required for program participation? Said another way, will CEC require UL3141 if the utility does not?</w:t>
      </w:r>
    </w:p>
    <w:p w14:paraId="47776BDD"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 xml:space="preserve">Does UL 3141 device need to be listed by the time the project begins, or can the device be confirmed to be compliant </w:t>
      </w:r>
      <w:proofErr w:type="gramStart"/>
      <w:r w:rsidRPr="000C07DB">
        <w:rPr>
          <w:rFonts w:ascii="Arial" w:eastAsia="Times New Roman" w:hAnsi="Arial" w:cs="Arial"/>
          <w:i/>
          <w:iCs/>
          <w:sz w:val="22"/>
          <w:szCs w:val="22"/>
        </w:rPr>
        <w:t>to</w:t>
      </w:r>
      <w:proofErr w:type="gramEnd"/>
      <w:r w:rsidRPr="000C07DB">
        <w:rPr>
          <w:rFonts w:ascii="Arial" w:eastAsia="Times New Roman" w:hAnsi="Arial" w:cs="Arial"/>
          <w:i/>
          <w:iCs/>
          <w:sz w:val="22"/>
          <w:szCs w:val="22"/>
        </w:rPr>
        <w:t xml:space="preserve"> UL 3141?</w:t>
      </w:r>
    </w:p>
    <w:p w14:paraId="4B71C5E4" w14:textId="77777777" w:rsidR="000C07DB" w:rsidRPr="000C07DB" w:rsidRDefault="000C07DB" w:rsidP="00BE0C12">
      <w:pPr>
        <w:numPr>
          <w:ilvl w:val="0"/>
          <w:numId w:val="29"/>
        </w:numPr>
        <w:spacing w:after="160" w:line="259" w:lineRule="auto"/>
        <w:rPr>
          <w:rFonts w:ascii="Arial" w:eastAsia="Times New Roman" w:hAnsi="Arial" w:cs="Arial"/>
          <w:i/>
          <w:iCs/>
          <w:sz w:val="22"/>
          <w:szCs w:val="22"/>
        </w:rPr>
      </w:pPr>
      <w:r w:rsidRPr="000C07DB">
        <w:rPr>
          <w:rFonts w:ascii="Arial" w:eastAsia="Times New Roman" w:hAnsi="Arial" w:cs="Arial"/>
          <w:i/>
          <w:iCs/>
          <w:sz w:val="22"/>
          <w:szCs w:val="22"/>
        </w:rPr>
        <w:t>UL3141 document published on October 9</w:t>
      </w:r>
      <w:r w:rsidRPr="000C07DB">
        <w:rPr>
          <w:rFonts w:ascii="Arial" w:eastAsia="Times New Roman" w:hAnsi="Arial" w:cs="Arial"/>
          <w:i/>
          <w:iCs/>
          <w:sz w:val="22"/>
          <w:szCs w:val="22"/>
          <w:vertAlign w:val="superscript"/>
        </w:rPr>
        <w:t>th</w:t>
      </w:r>
      <w:r w:rsidRPr="000C07DB">
        <w:rPr>
          <w:rFonts w:ascii="Arial" w:eastAsia="Times New Roman" w:hAnsi="Arial" w:cs="Arial"/>
          <w:i/>
          <w:iCs/>
          <w:sz w:val="22"/>
          <w:szCs w:val="22"/>
        </w:rPr>
        <w:t xml:space="preserve">, 2024, is an UL Outline, which is not a </w:t>
      </w:r>
      <w:proofErr w:type="gramStart"/>
      <w:r w:rsidRPr="000C07DB">
        <w:rPr>
          <w:rFonts w:ascii="Arial" w:eastAsia="Times New Roman" w:hAnsi="Arial" w:cs="Arial"/>
          <w:i/>
          <w:iCs/>
          <w:sz w:val="22"/>
          <w:szCs w:val="22"/>
        </w:rPr>
        <w:t>consensus based</w:t>
      </w:r>
      <w:proofErr w:type="gramEnd"/>
      <w:r w:rsidRPr="000C07DB">
        <w:rPr>
          <w:rFonts w:ascii="Arial" w:eastAsia="Times New Roman" w:hAnsi="Arial" w:cs="Arial"/>
          <w:i/>
          <w:iCs/>
          <w:sz w:val="22"/>
          <w:szCs w:val="22"/>
        </w:rPr>
        <w:t xml:space="preserve"> UL standard, right?)</w:t>
      </w:r>
    </w:p>
    <w:p w14:paraId="66C1960A" w14:textId="77777777" w:rsidR="000C07DB" w:rsidRPr="000C07DB" w:rsidRDefault="000C07DB" w:rsidP="000C07DB">
      <w:pPr>
        <w:spacing w:after="160" w:line="259" w:lineRule="auto"/>
        <w:rPr>
          <w:rFonts w:ascii="Arial" w:eastAsia="Times New Roman" w:hAnsi="Arial" w:cs="Arial"/>
          <w:sz w:val="22"/>
          <w:szCs w:val="22"/>
        </w:rPr>
      </w:pPr>
      <w:r w:rsidRPr="000C07DB">
        <w:rPr>
          <w:rFonts w:ascii="Arial" w:eastAsia="Times New Roman" w:hAnsi="Arial" w:cs="Arial"/>
          <w:sz w:val="22"/>
          <w:szCs w:val="22"/>
        </w:rPr>
        <w:t>Q50 – Does the CEC have a list of Commercial UL-3141 Certified Power Control Systems?</w:t>
      </w:r>
    </w:p>
    <w:p w14:paraId="2BA5F226"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 xml:space="preserve">CEC – PCSs are certified under the product category Power Control Systems (QIJE) and investigated for compliance with UL 3141, Outline of Investigation for Power Control Systems. The guide information and Certifications (Listings) for QIJE can be viewed on UL Product </w:t>
      </w:r>
      <w:proofErr w:type="spellStart"/>
      <w:r w:rsidRPr="004F4A11">
        <w:rPr>
          <w:rFonts w:ascii="Arial" w:eastAsia="Times New Roman" w:hAnsi="Arial" w:cs="Arial"/>
          <w:color w:val="17365D" w:themeColor="text2" w:themeShade="BF"/>
          <w:sz w:val="22"/>
          <w:szCs w:val="22"/>
        </w:rPr>
        <w:t>iQ</w:t>
      </w:r>
      <w:proofErr w:type="spellEnd"/>
      <w:r w:rsidRPr="004F4A11">
        <w:rPr>
          <w:rFonts w:ascii="Arial" w:eastAsia="Times New Roman" w:hAnsi="Arial" w:cs="Arial"/>
          <w:color w:val="17365D" w:themeColor="text2" w:themeShade="BF"/>
          <w:sz w:val="22"/>
          <w:szCs w:val="22"/>
        </w:rPr>
        <w:t xml:space="preserve"> at www.UL.com/piq; enter QIJE at the search field.</w:t>
      </w:r>
    </w:p>
    <w:p w14:paraId="18476097"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 xml:space="preserve">Please note that products listed as UL 3141 certified on UL’s Product </w:t>
      </w:r>
      <w:proofErr w:type="spellStart"/>
      <w:r w:rsidRPr="004F4A11">
        <w:rPr>
          <w:rFonts w:ascii="Arial" w:eastAsia="Times New Roman" w:hAnsi="Arial" w:cs="Arial"/>
          <w:color w:val="17365D" w:themeColor="text2" w:themeShade="BF"/>
          <w:sz w:val="22"/>
          <w:szCs w:val="22"/>
        </w:rPr>
        <w:t>iQ</w:t>
      </w:r>
      <w:proofErr w:type="spellEnd"/>
      <w:r w:rsidRPr="004F4A11">
        <w:rPr>
          <w:rFonts w:ascii="Arial" w:eastAsia="Times New Roman" w:hAnsi="Arial" w:cs="Arial"/>
          <w:color w:val="17365D" w:themeColor="text2" w:themeShade="BF"/>
          <w:sz w:val="22"/>
          <w:szCs w:val="22"/>
        </w:rPr>
        <w:t xml:space="preserve"> site are not necessarily guaranteed to align with the unique power control needs of each demonstration site or the requirements laid out by IOU pilot staff.</w:t>
      </w:r>
    </w:p>
    <w:p w14:paraId="055150F5" w14:textId="77777777" w:rsidR="000C07DB" w:rsidRPr="000C07DB" w:rsidRDefault="000C07DB" w:rsidP="000C07DB">
      <w:pPr>
        <w:spacing w:after="160" w:line="259" w:lineRule="auto"/>
        <w:rPr>
          <w:rFonts w:ascii="Arial" w:eastAsia="Times New Roman" w:hAnsi="Arial" w:cs="Arial"/>
          <w:sz w:val="22"/>
          <w:szCs w:val="22"/>
        </w:rPr>
      </w:pPr>
      <w:r w:rsidRPr="000C07DB">
        <w:rPr>
          <w:rFonts w:ascii="Arial" w:eastAsia="Times New Roman" w:hAnsi="Arial" w:cs="Arial"/>
          <w:sz w:val="22"/>
          <w:szCs w:val="22"/>
        </w:rPr>
        <w:t>Q51 – Is the CEC able to provide UL 3141 minimum requirements in those 2 pilots?</w:t>
      </w:r>
    </w:p>
    <w:p w14:paraId="1B9B8127"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CEC – The minimum requirements for UL 3141 testing and certification can be found on the Underwriter Laboratory's website at https://www.shopulstandards.com/ProductDetail.aspx?productId=UL3141_2_O_20241009. Eligibility in the flexible service pilots may require additional PCS functionality beyond the criteria outlined in UL 3141. Other questions about eligibility of PCS for use in flexible service pilots should be directed to the pilot teams directly.</w:t>
      </w:r>
    </w:p>
    <w:p w14:paraId="37B666D9"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503B118" w14:textId="03CCF39C" w:rsidR="00CD09FB" w:rsidRPr="00456D76" w:rsidRDefault="000C07DB" w:rsidP="00493F4F">
      <w:pPr>
        <w:numPr>
          <w:ilvl w:val="0"/>
          <w:numId w:val="29"/>
        </w:numPr>
        <w:spacing w:after="160" w:line="259" w:lineRule="auto"/>
        <w:contextualSpacing/>
        <w:rPr>
          <w:rFonts w:ascii="Arial" w:eastAsia="Times New Roman" w:hAnsi="Arial" w:cs="Arial"/>
        </w:rPr>
      </w:pPr>
      <w:r w:rsidRPr="000C07DB">
        <w:rPr>
          <w:rFonts w:ascii="Arial" w:eastAsia="Times New Roman" w:hAnsi="Arial" w:cs="Arial"/>
          <w:i/>
          <w:iCs/>
          <w:sz w:val="22"/>
          <w:szCs w:val="22"/>
        </w:rPr>
        <w:t>GFO mention “Projects must use UL 3141-certified power control systems that meet minimum requirements outlined by the Flex Connect or LCMS pilots, as applicable.”  Are such minimum requirements from the pilots publicly available?</w:t>
      </w:r>
      <w:r w:rsidRPr="000C07DB">
        <w:rPr>
          <w:rFonts w:ascii="Arial" w:eastAsia="Times New Roman" w:hAnsi="Arial" w:cs="Arial"/>
          <w:sz w:val="22"/>
          <w:szCs w:val="22"/>
        </w:rPr>
        <w:t>)</w:t>
      </w:r>
    </w:p>
    <w:sectPr w:rsidR="00CD09FB" w:rsidRPr="00456D76" w:rsidSect="00946D86">
      <w:headerReference w:type="default" r:id="rId16"/>
      <w:footerReference w:type="default" r:id="rId17"/>
      <w:headerReference w:type="first" r:id="rId18"/>
      <w:footerReference w:type="first" r:id="rId19"/>
      <w:pgSz w:w="12240" w:h="15840"/>
      <w:pgMar w:top="1620" w:right="1800" w:bottom="1440" w:left="1800" w:header="3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4BED" w14:textId="77777777" w:rsidR="007F0368" w:rsidRDefault="007F0368" w:rsidP="00F86D2B">
      <w:r>
        <w:separator/>
      </w:r>
    </w:p>
  </w:endnote>
  <w:endnote w:type="continuationSeparator" w:id="0">
    <w:p w14:paraId="1319AFD6" w14:textId="77777777" w:rsidR="007F0368" w:rsidRDefault="007F0368" w:rsidP="00F86D2B">
      <w:r>
        <w:continuationSeparator/>
      </w:r>
    </w:p>
  </w:endnote>
  <w:endnote w:type="continuationNotice" w:id="1">
    <w:p w14:paraId="25D1AF92" w14:textId="77777777" w:rsidR="007F0368" w:rsidRDefault="007F0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510705"/>
      <w:docPartObj>
        <w:docPartGallery w:val="Page Numbers (Bottom of Page)"/>
        <w:docPartUnique/>
      </w:docPartObj>
    </w:sdtPr>
    <w:sdtEndPr>
      <w:rPr>
        <w:rFonts w:asciiTheme="majorHAnsi" w:hAnsiTheme="majorHAnsi" w:cstheme="majorHAnsi"/>
        <w:noProof/>
      </w:rPr>
    </w:sdtEndPr>
    <w:sdtContent>
      <w:p w14:paraId="36A9490F" w14:textId="22E76CF2" w:rsidR="001B75EC" w:rsidRPr="00946D86" w:rsidRDefault="001B75EC" w:rsidP="001B75EC">
        <w:pPr>
          <w:pStyle w:val="Footer"/>
          <w:tabs>
            <w:tab w:val="center" w:pos="4770"/>
            <w:tab w:val="right" w:pos="9990"/>
          </w:tabs>
          <w:rPr>
            <w:rFonts w:asciiTheme="majorHAnsi" w:eastAsia="Arial" w:hAnsiTheme="majorHAnsi" w:cstheme="majorHAnsi"/>
            <w:b/>
            <w:bCs/>
            <w:sz w:val="36"/>
            <w:szCs w:val="36"/>
          </w:rPr>
        </w:pPr>
        <w:r w:rsidRPr="00946D86">
          <w:rPr>
            <w:rFonts w:asciiTheme="majorHAnsi" w:hAnsiTheme="majorHAnsi" w:cstheme="majorHAnsi"/>
            <w:sz w:val="20"/>
            <w:szCs w:val="20"/>
          </w:rPr>
          <w:t xml:space="preserve">Questions and Answers </w:t>
        </w:r>
        <w:r w:rsidRPr="00946D86">
          <w:rPr>
            <w:rFonts w:asciiTheme="majorHAnsi" w:hAnsiTheme="majorHAnsi" w:cstheme="majorHAnsi"/>
          </w:rPr>
          <w:tab/>
        </w:r>
        <w:r w:rsidRPr="00946D86">
          <w:rPr>
            <w:rFonts w:asciiTheme="majorHAnsi" w:hAnsiTheme="majorHAnsi" w:cstheme="majorHAnsi"/>
            <w:sz w:val="20"/>
            <w:szCs w:val="20"/>
          </w:rPr>
          <w:t xml:space="preserve">Page </w:t>
        </w:r>
        <w:r w:rsidRPr="00946D86">
          <w:rPr>
            <w:rFonts w:asciiTheme="majorHAnsi" w:hAnsiTheme="majorHAnsi" w:cstheme="majorHAnsi"/>
            <w:sz w:val="20"/>
            <w:szCs w:val="20"/>
          </w:rPr>
          <w:fldChar w:fldCharType="begin"/>
        </w:r>
        <w:r w:rsidRPr="00946D86">
          <w:rPr>
            <w:rFonts w:asciiTheme="majorHAnsi" w:hAnsiTheme="majorHAnsi" w:cstheme="majorHAnsi"/>
            <w:sz w:val="20"/>
            <w:szCs w:val="20"/>
          </w:rPr>
          <w:instrText xml:space="preserve"> PAGE  \* Arabic  \* MERGEFORMAT </w:instrText>
        </w:r>
        <w:r w:rsidRPr="00946D86">
          <w:rPr>
            <w:rFonts w:asciiTheme="majorHAnsi" w:hAnsiTheme="majorHAnsi" w:cstheme="majorHAnsi"/>
            <w:sz w:val="20"/>
            <w:szCs w:val="20"/>
          </w:rPr>
          <w:fldChar w:fldCharType="separate"/>
        </w:r>
        <w:r w:rsidRPr="00946D86">
          <w:rPr>
            <w:rFonts w:asciiTheme="majorHAnsi" w:hAnsiTheme="majorHAnsi" w:cstheme="majorHAnsi"/>
            <w:sz w:val="20"/>
            <w:szCs w:val="20"/>
          </w:rPr>
          <w:t>17</w:t>
        </w:r>
        <w:r w:rsidRPr="00946D86">
          <w:rPr>
            <w:rFonts w:asciiTheme="majorHAnsi" w:hAnsiTheme="majorHAnsi" w:cstheme="majorHAnsi"/>
            <w:sz w:val="20"/>
            <w:szCs w:val="20"/>
          </w:rPr>
          <w:fldChar w:fldCharType="end"/>
        </w:r>
        <w:r w:rsidRPr="00946D86">
          <w:rPr>
            <w:rFonts w:asciiTheme="majorHAnsi" w:hAnsiTheme="majorHAnsi" w:cstheme="majorHAnsi"/>
            <w:sz w:val="20"/>
            <w:szCs w:val="20"/>
          </w:rPr>
          <w:t xml:space="preserve"> of </w:t>
        </w:r>
        <w:r w:rsidRPr="00946D86">
          <w:rPr>
            <w:rFonts w:asciiTheme="majorHAnsi" w:hAnsiTheme="majorHAnsi" w:cstheme="majorHAnsi"/>
            <w:sz w:val="20"/>
            <w:szCs w:val="20"/>
          </w:rPr>
          <w:fldChar w:fldCharType="begin"/>
        </w:r>
        <w:r w:rsidRPr="00946D86">
          <w:rPr>
            <w:rFonts w:asciiTheme="majorHAnsi" w:hAnsiTheme="majorHAnsi" w:cstheme="majorHAnsi"/>
            <w:sz w:val="20"/>
            <w:szCs w:val="20"/>
          </w:rPr>
          <w:instrText>NUMPAGES  \* Arabic  \* MERGEFORMAT</w:instrText>
        </w:r>
        <w:r w:rsidRPr="00946D86">
          <w:rPr>
            <w:rFonts w:asciiTheme="majorHAnsi" w:hAnsiTheme="majorHAnsi" w:cstheme="majorHAnsi"/>
            <w:sz w:val="20"/>
            <w:szCs w:val="20"/>
          </w:rPr>
          <w:fldChar w:fldCharType="separate"/>
        </w:r>
        <w:r w:rsidRPr="00946D86">
          <w:rPr>
            <w:rFonts w:asciiTheme="majorHAnsi" w:hAnsiTheme="majorHAnsi" w:cstheme="majorHAnsi"/>
            <w:sz w:val="20"/>
            <w:szCs w:val="20"/>
          </w:rPr>
          <w:t>17</w:t>
        </w:r>
        <w:r w:rsidRPr="00946D86">
          <w:rPr>
            <w:rFonts w:asciiTheme="majorHAnsi" w:hAnsiTheme="majorHAnsi" w:cstheme="majorHAnsi"/>
            <w:noProof/>
            <w:sz w:val="20"/>
            <w:szCs w:val="20"/>
          </w:rPr>
          <w:fldChar w:fldCharType="end"/>
        </w:r>
        <w:r w:rsidRPr="00946D86">
          <w:rPr>
            <w:rFonts w:asciiTheme="majorHAnsi" w:hAnsiTheme="majorHAnsi" w:cstheme="majorHAnsi"/>
          </w:rPr>
          <w:tab/>
        </w:r>
        <w:r w:rsidRPr="00946D86">
          <w:rPr>
            <w:rFonts w:asciiTheme="majorHAnsi" w:hAnsiTheme="majorHAnsi" w:cstheme="majorHAnsi"/>
            <w:sz w:val="20"/>
            <w:szCs w:val="20"/>
          </w:rPr>
          <w:t>GFO-25-301</w:t>
        </w:r>
        <w:r w:rsidRPr="00946D86">
          <w:rPr>
            <w:rFonts w:asciiTheme="majorHAnsi" w:eastAsia="Arial" w:hAnsiTheme="majorHAnsi" w:cstheme="majorHAnsi"/>
            <w:b/>
            <w:bCs/>
            <w:sz w:val="36"/>
            <w:szCs w:val="36"/>
          </w:rPr>
          <w:t xml:space="preserve"> </w:t>
        </w:r>
      </w:p>
      <w:p w14:paraId="089DDFA1" w14:textId="5E1BEA02" w:rsidR="001B75EC" w:rsidRPr="00946D86" w:rsidRDefault="001B75EC" w:rsidP="001B75EC">
        <w:pPr>
          <w:pStyle w:val="Footer"/>
          <w:tabs>
            <w:tab w:val="center" w:pos="4770"/>
            <w:tab w:val="right" w:pos="9990"/>
          </w:tabs>
          <w:ind w:left="4320" w:hanging="4320"/>
          <w:rPr>
            <w:rFonts w:asciiTheme="majorHAnsi" w:eastAsia="Arial" w:hAnsiTheme="majorHAnsi" w:cstheme="majorHAnsi"/>
            <w:sz w:val="20"/>
            <w:szCs w:val="20"/>
          </w:rPr>
        </w:pPr>
        <w:r w:rsidRPr="00946D86">
          <w:rPr>
            <w:rFonts w:asciiTheme="majorHAnsi" w:eastAsia="Tahoma" w:hAnsiTheme="majorHAnsi" w:cstheme="majorHAnsi"/>
            <w:sz w:val="20"/>
            <w:szCs w:val="20"/>
          </w:rPr>
          <w:t>October 2025</w:t>
        </w:r>
        <w:r w:rsidR="001A6285" w:rsidRPr="00946D86">
          <w:rPr>
            <w:rFonts w:asciiTheme="majorHAnsi" w:eastAsia="Tahoma" w:hAnsiTheme="majorHAnsi" w:cstheme="majorHAnsi"/>
            <w:sz w:val="20"/>
            <w:szCs w:val="20"/>
          </w:rPr>
          <w:tab/>
        </w:r>
        <w:r w:rsidR="001A6285" w:rsidRPr="00946D86">
          <w:rPr>
            <w:rFonts w:asciiTheme="majorHAnsi" w:eastAsia="Tahoma" w:hAnsiTheme="majorHAnsi" w:cstheme="majorHAnsi"/>
            <w:sz w:val="20"/>
            <w:szCs w:val="20"/>
          </w:rPr>
          <w:tab/>
        </w:r>
        <w:r w:rsidR="001A6285" w:rsidRPr="00946D86">
          <w:rPr>
            <w:rFonts w:asciiTheme="majorHAnsi" w:eastAsia="Tahoma" w:hAnsiTheme="majorHAnsi" w:cstheme="majorHAnsi"/>
            <w:sz w:val="20"/>
            <w:szCs w:val="20"/>
          </w:rPr>
          <w:tab/>
        </w:r>
        <w:r w:rsidRPr="00946D86">
          <w:rPr>
            <w:rFonts w:asciiTheme="majorHAnsi" w:eastAsia="Arial" w:hAnsiTheme="majorHAnsi" w:cstheme="majorHAnsi"/>
            <w:sz w:val="20"/>
            <w:szCs w:val="20"/>
          </w:rPr>
          <w:t>Distributed Resources for Innovative Vehicle</w:t>
        </w:r>
        <w:r w:rsidRPr="00946D86">
          <w:rPr>
            <w:rFonts w:asciiTheme="majorHAnsi" w:eastAsia="Arial" w:hAnsiTheme="majorHAnsi" w:cstheme="majorHAnsi"/>
            <w:sz w:val="20"/>
            <w:szCs w:val="20"/>
          </w:rPr>
          <w:tab/>
        </w:r>
        <w:r w:rsidRPr="00946D86">
          <w:rPr>
            <w:rFonts w:asciiTheme="majorHAnsi" w:eastAsia="Arial" w:hAnsiTheme="majorHAnsi" w:cstheme="majorHAnsi"/>
            <w:sz w:val="20"/>
            <w:szCs w:val="20"/>
          </w:rPr>
          <w:tab/>
          <w:t>Energization Strategies (DRIVES</w:t>
        </w:r>
      </w:p>
    </w:sdtContent>
  </w:sdt>
  <w:p w14:paraId="723E634E" w14:textId="6FBC3919" w:rsidR="005B4E27" w:rsidRDefault="005B4E27" w:rsidP="001B75EC">
    <w:pPr>
      <w:pStyle w:val="Footer"/>
      <w:tabs>
        <w:tab w:val="center" w:pos="4770"/>
        <w:tab w:val="right" w:pos="99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337240246" name="Picture 1337240246"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3133" w14:textId="77777777" w:rsidR="007F0368" w:rsidRDefault="007F0368" w:rsidP="00F86D2B">
      <w:r>
        <w:separator/>
      </w:r>
    </w:p>
  </w:footnote>
  <w:footnote w:type="continuationSeparator" w:id="0">
    <w:p w14:paraId="606D0EF7" w14:textId="77777777" w:rsidR="007F0368" w:rsidRDefault="007F0368" w:rsidP="00F86D2B">
      <w:r>
        <w:continuationSeparator/>
      </w:r>
    </w:p>
  </w:footnote>
  <w:footnote w:type="continuationNotice" w:id="1">
    <w:p w14:paraId="125C67AA" w14:textId="77777777" w:rsidR="007F0368" w:rsidRDefault="007F0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4A4D0132">
          <wp:extent cx="7465625" cy="978010"/>
          <wp:effectExtent l="0" t="0" r="2540" b="0"/>
          <wp:docPr id="1555845065" name="Picture 15558450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45065" name="Picture 1555845065">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C474"/>
    <w:multiLevelType w:val="hybridMultilevel"/>
    <w:tmpl w:val="1E3A0D3A"/>
    <w:lvl w:ilvl="0" w:tplc="D80CC10E">
      <w:start w:val="3"/>
      <w:numFmt w:val="decimal"/>
      <w:lvlText w:val="Q%1."/>
      <w:lvlJc w:val="left"/>
      <w:pPr>
        <w:ind w:left="360" w:hanging="360"/>
      </w:pPr>
      <w:rPr>
        <w:rFonts w:ascii="Arial" w:hAnsi="Arial" w:hint="default"/>
      </w:rPr>
    </w:lvl>
    <w:lvl w:ilvl="1" w:tplc="D250C7BC">
      <w:start w:val="1"/>
      <w:numFmt w:val="lowerLetter"/>
      <w:lvlText w:val="%2."/>
      <w:lvlJc w:val="left"/>
      <w:pPr>
        <w:ind w:left="1440" w:hanging="360"/>
      </w:pPr>
    </w:lvl>
    <w:lvl w:ilvl="2" w:tplc="F828A736">
      <w:start w:val="1"/>
      <w:numFmt w:val="lowerRoman"/>
      <w:lvlText w:val="%3."/>
      <w:lvlJc w:val="right"/>
      <w:pPr>
        <w:ind w:left="2160" w:hanging="180"/>
      </w:pPr>
    </w:lvl>
    <w:lvl w:ilvl="3" w:tplc="6DC83456">
      <w:start w:val="1"/>
      <w:numFmt w:val="decimal"/>
      <w:lvlText w:val="%4."/>
      <w:lvlJc w:val="left"/>
      <w:pPr>
        <w:ind w:left="2880" w:hanging="360"/>
      </w:pPr>
    </w:lvl>
    <w:lvl w:ilvl="4" w:tplc="18B2AD26">
      <w:start w:val="1"/>
      <w:numFmt w:val="lowerLetter"/>
      <w:lvlText w:val="%5."/>
      <w:lvlJc w:val="left"/>
      <w:pPr>
        <w:ind w:left="3600" w:hanging="360"/>
      </w:pPr>
    </w:lvl>
    <w:lvl w:ilvl="5" w:tplc="F9A4D3DA">
      <w:start w:val="1"/>
      <w:numFmt w:val="lowerRoman"/>
      <w:lvlText w:val="%6."/>
      <w:lvlJc w:val="right"/>
      <w:pPr>
        <w:ind w:left="4320" w:hanging="180"/>
      </w:pPr>
    </w:lvl>
    <w:lvl w:ilvl="6" w:tplc="DB142216">
      <w:start w:val="1"/>
      <w:numFmt w:val="decimal"/>
      <w:lvlText w:val="%7."/>
      <w:lvlJc w:val="left"/>
      <w:pPr>
        <w:ind w:left="5040" w:hanging="360"/>
      </w:pPr>
    </w:lvl>
    <w:lvl w:ilvl="7" w:tplc="F7922508">
      <w:start w:val="1"/>
      <w:numFmt w:val="lowerLetter"/>
      <w:lvlText w:val="%8."/>
      <w:lvlJc w:val="left"/>
      <w:pPr>
        <w:ind w:left="5760" w:hanging="360"/>
      </w:pPr>
    </w:lvl>
    <w:lvl w:ilvl="8" w:tplc="FA6CB9AA">
      <w:start w:val="1"/>
      <w:numFmt w:val="lowerRoman"/>
      <w:lvlText w:val="%9."/>
      <w:lvlJc w:val="right"/>
      <w:pPr>
        <w:ind w:left="6480" w:hanging="180"/>
      </w:pPr>
    </w:lvl>
  </w:abstractNum>
  <w:abstractNum w:abstractNumId="1"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B4A7"/>
    <w:multiLevelType w:val="hybridMultilevel"/>
    <w:tmpl w:val="75D28ADE"/>
    <w:lvl w:ilvl="0" w:tplc="DB444E34">
      <w:start w:val="3"/>
      <w:numFmt w:val="decimal"/>
      <w:lvlText w:val="Q%1."/>
      <w:lvlJc w:val="left"/>
      <w:pPr>
        <w:ind w:left="360" w:hanging="360"/>
      </w:pPr>
      <w:rPr>
        <w:rFonts w:ascii="Arial" w:hAnsi="Arial" w:hint="default"/>
      </w:rPr>
    </w:lvl>
    <w:lvl w:ilvl="1" w:tplc="A09E38C8">
      <w:start w:val="1"/>
      <w:numFmt w:val="lowerLetter"/>
      <w:lvlText w:val="%2."/>
      <w:lvlJc w:val="left"/>
      <w:pPr>
        <w:ind w:left="1440" w:hanging="360"/>
      </w:pPr>
    </w:lvl>
    <w:lvl w:ilvl="2" w:tplc="DDC69D82">
      <w:start w:val="1"/>
      <w:numFmt w:val="lowerRoman"/>
      <w:lvlText w:val="%3."/>
      <w:lvlJc w:val="right"/>
      <w:pPr>
        <w:ind w:left="2160" w:hanging="180"/>
      </w:pPr>
    </w:lvl>
    <w:lvl w:ilvl="3" w:tplc="12B045B0">
      <w:start w:val="1"/>
      <w:numFmt w:val="decimal"/>
      <w:lvlText w:val="%4."/>
      <w:lvlJc w:val="left"/>
      <w:pPr>
        <w:ind w:left="2880" w:hanging="360"/>
      </w:pPr>
    </w:lvl>
    <w:lvl w:ilvl="4" w:tplc="E140F270">
      <w:start w:val="1"/>
      <w:numFmt w:val="lowerLetter"/>
      <w:lvlText w:val="%5."/>
      <w:lvlJc w:val="left"/>
      <w:pPr>
        <w:ind w:left="3600" w:hanging="360"/>
      </w:pPr>
    </w:lvl>
    <w:lvl w:ilvl="5" w:tplc="65DACAFA">
      <w:start w:val="1"/>
      <w:numFmt w:val="lowerRoman"/>
      <w:lvlText w:val="%6."/>
      <w:lvlJc w:val="right"/>
      <w:pPr>
        <w:ind w:left="4320" w:hanging="180"/>
      </w:pPr>
    </w:lvl>
    <w:lvl w:ilvl="6" w:tplc="63B2088C">
      <w:start w:val="1"/>
      <w:numFmt w:val="decimal"/>
      <w:lvlText w:val="%7."/>
      <w:lvlJc w:val="left"/>
      <w:pPr>
        <w:ind w:left="5040" w:hanging="360"/>
      </w:pPr>
    </w:lvl>
    <w:lvl w:ilvl="7" w:tplc="38707512">
      <w:start w:val="1"/>
      <w:numFmt w:val="lowerLetter"/>
      <w:lvlText w:val="%8."/>
      <w:lvlJc w:val="left"/>
      <w:pPr>
        <w:ind w:left="5760" w:hanging="360"/>
      </w:pPr>
    </w:lvl>
    <w:lvl w:ilvl="8" w:tplc="CB2E2384">
      <w:start w:val="1"/>
      <w:numFmt w:val="lowerRoman"/>
      <w:lvlText w:val="%9."/>
      <w:lvlJc w:val="right"/>
      <w:pPr>
        <w:ind w:left="6480" w:hanging="180"/>
      </w:pPr>
    </w:lvl>
  </w:abstractNum>
  <w:abstractNum w:abstractNumId="3" w15:restartNumberingAfterBreak="0">
    <w:nsid w:val="11613B9E"/>
    <w:multiLevelType w:val="hybridMultilevel"/>
    <w:tmpl w:val="34422520"/>
    <w:lvl w:ilvl="0" w:tplc="BC3E3AAA">
      <w:start w:val="3"/>
      <w:numFmt w:val="decimal"/>
      <w:lvlText w:val="Q%1."/>
      <w:lvlJc w:val="left"/>
      <w:pPr>
        <w:ind w:left="360" w:hanging="360"/>
      </w:pPr>
      <w:rPr>
        <w:rFonts w:ascii="Arial" w:hAnsi="Arial" w:hint="default"/>
      </w:rPr>
    </w:lvl>
    <w:lvl w:ilvl="1" w:tplc="19D0AF72">
      <w:start w:val="1"/>
      <w:numFmt w:val="lowerLetter"/>
      <w:lvlText w:val="%2."/>
      <w:lvlJc w:val="left"/>
      <w:pPr>
        <w:ind w:left="1440" w:hanging="360"/>
      </w:pPr>
    </w:lvl>
    <w:lvl w:ilvl="2" w:tplc="4E268FCE">
      <w:start w:val="1"/>
      <w:numFmt w:val="lowerRoman"/>
      <w:lvlText w:val="%3."/>
      <w:lvlJc w:val="right"/>
      <w:pPr>
        <w:ind w:left="2160" w:hanging="180"/>
      </w:pPr>
    </w:lvl>
    <w:lvl w:ilvl="3" w:tplc="6008AA9A">
      <w:start w:val="1"/>
      <w:numFmt w:val="decimal"/>
      <w:lvlText w:val="%4."/>
      <w:lvlJc w:val="left"/>
      <w:pPr>
        <w:ind w:left="2880" w:hanging="360"/>
      </w:pPr>
    </w:lvl>
    <w:lvl w:ilvl="4" w:tplc="5666FB0A">
      <w:start w:val="1"/>
      <w:numFmt w:val="lowerLetter"/>
      <w:lvlText w:val="%5."/>
      <w:lvlJc w:val="left"/>
      <w:pPr>
        <w:ind w:left="3600" w:hanging="360"/>
      </w:pPr>
    </w:lvl>
    <w:lvl w:ilvl="5" w:tplc="5B821356">
      <w:start w:val="1"/>
      <w:numFmt w:val="lowerRoman"/>
      <w:lvlText w:val="%6."/>
      <w:lvlJc w:val="right"/>
      <w:pPr>
        <w:ind w:left="4320" w:hanging="180"/>
      </w:pPr>
    </w:lvl>
    <w:lvl w:ilvl="6" w:tplc="3EC468A8">
      <w:start w:val="1"/>
      <w:numFmt w:val="decimal"/>
      <w:lvlText w:val="%7."/>
      <w:lvlJc w:val="left"/>
      <w:pPr>
        <w:ind w:left="5040" w:hanging="360"/>
      </w:pPr>
    </w:lvl>
    <w:lvl w:ilvl="7" w:tplc="8E7CD7EA">
      <w:start w:val="1"/>
      <w:numFmt w:val="lowerLetter"/>
      <w:lvlText w:val="%8."/>
      <w:lvlJc w:val="left"/>
      <w:pPr>
        <w:ind w:left="5760" w:hanging="360"/>
      </w:pPr>
    </w:lvl>
    <w:lvl w:ilvl="8" w:tplc="C86A4560">
      <w:start w:val="1"/>
      <w:numFmt w:val="lowerRoman"/>
      <w:lvlText w:val="%9."/>
      <w:lvlJc w:val="right"/>
      <w:pPr>
        <w:ind w:left="6480" w:hanging="180"/>
      </w:pPr>
    </w:lvl>
  </w:abstractNum>
  <w:abstractNum w:abstractNumId="4" w15:restartNumberingAfterBreak="0">
    <w:nsid w:val="11A50CA4"/>
    <w:multiLevelType w:val="hybridMultilevel"/>
    <w:tmpl w:val="D778CF2E"/>
    <w:lvl w:ilvl="0" w:tplc="3A4865B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0B6B3"/>
    <w:multiLevelType w:val="hybridMultilevel"/>
    <w:tmpl w:val="D1EE13AA"/>
    <w:lvl w:ilvl="0" w:tplc="B4104AB4">
      <w:start w:val="3"/>
      <w:numFmt w:val="decimal"/>
      <w:lvlText w:val="Q%1."/>
      <w:lvlJc w:val="left"/>
      <w:pPr>
        <w:ind w:left="360" w:hanging="360"/>
      </w:pPr>
      <w:rPr>
        <w:rFonts w:ascii="Arial" w:hAnsi="Arial" w:hint="default"/>
      </w:rPr>
    </w:lvl>
    <w:lvl w:ilvl="1" w:tplc="441E9A8A">
      <w:start w:val="1"/>
      <w:numFmt w:val="lowerLetter"/>
      <w:lvlText w:val="%2."/>
      <w:lvlJc w:val="left"/>
      <w:pPr>
        <w:ind w:left="1440" w:hanging="360"/>
      </w:pPr>
    </w:lvl>
    <w:lvl w:ilvl="2" w:tplc="39DE663C">
      <w:start w:val="1"/>
      <w:numFmt w:val="lowerRoman"/>
      <w:lvlText w:val="%3."/>
      <w:lvlJc w:val="right"/>
      <w:pPr>
        <w:ind w:left="2160" w:hanging="180"/>
      </w:pPr>
    </w:lvl>
    <w:lvl w:ilvl="3" w:tplc="7CE25F14">
      <w:start w:val="1"/>
      <w:numFmt w:val="decimal"/>
      <w:lvlText w:val="%4."/>
      <w:lvlJc w:val="left"/>
      <w:pPr>
        <w:ind w:left="2880" w:hanging="360"/>
      </w:pPr>
    </w:lvl>
    <w:lvl w:ilvl="4" w:tplc="ECD2B6EA">
      <w:start w:val="1"/>
      <w:numFmt w:val="lowerLetter"/>
      <w:lvlText w:val="%5."/>
      <w:lvlJc w:val="left"/>
      <w:pPr>
        <w:ind w:left="3600" w:hanging="360"/>
      </w:pPr>
    </w:lvl>
    <w:lvl w:ilvl="5" w:tplc="B65673B8">
      <w:start w:val="1"/>
      <w:numFmt w:val="lowerRoman"/>
      <w:lvlText w:val="%6."/>
      <w:lvlJc w:val="right"/>
      <w:pPr>
        <w:ind w:left="4320" w:hanging="180"/>
      </w:pPr>
    </w:lvl>
    <w:lvl w:ilvl="6" w:tplc="E2E40B2A">
      <w:start w:val="1"/>
      <w:numFmt w:val="decimal"/>
      <w:lvlText w:val="%7."/>
      <w:lvlJc w:val="left"/>
      <w:pPr>
        <w:ind w:left="5040" w:hanging="360"/>
      </w:pPr>
    </w:lvl>
    <w:lvl w:ilvl="7" w:tplc="91B0A4A8">
      <w:start w:val="1"/>
      <w:numFmt w:val="lowerLetter"/>
      <w:lvlText w:val="%8."/>
      <w:lvlJc w:val="left"/>
      <w:pPr>
        <w:ind w:left="5760" w:hanging="360"/>
      </w:pPr>
    </w:lvl>
    <w:lvl w:ilvl="8" w:tplc="29B6775A">
      <w:start w:val="1"/>
      <w:numFmt w:val="lowerRoman"/>
      <w:lvlText w:val="%9."/>
      <w:lvlJc w:val="right"/>
      <w:pPr>
        <w:ind w:left="6480" w:hanging="180"/>
      </w:pPr>
    </w:lvl>
  </w:abstractNum>
  <w:abstractNum w:abstractNumId="6" w15:restartNumberingAfterBreak="0">
    <w:nsid w:val="15D0040E"/>
    <w:multiLevelType w:val="hybridMultilevel"/>
    <w:tmpl w:val="ED8A8ED4"/>
    <w:lvl w:ilvl="0" w:tplc="F006B244">
      <w:start w:val="3"/>
      <w:numFmt w:val="decimal"/>
      <w:lvlText w:val="Q%1."/>
      <w:lvlJc w:val="left"/>
      <w:pPr>
        <w:ind w:left="360" w:hanging="360"/>
      </w:pPr>
      <w:rPr>
        <w:rFonts w:ascii="Arial" w:hAnsi="Arial" w:hint="default"/>
      </w:rPr>
    </w:lvl>
    <w:lvl w:ilvl="1" w:tplc="57F6D46E">
      <w:start w:val="1"/>
      <w:numFmt w:val="lowerLetter"/>
      <w:lvlText w:val="%2."/>
      <w:lvlJc w:val="left"/>
      <w:pPr>
        <w:ind w:left="1440" w:hanging="360"/>
      </w:pPr>
    </w:lvl>
    <w:lvl w:ilvl="2" w:tplc="FA9A959E">
      <w:start w:val="1"/>
      <w:numFmt w:val="lowerRoman"/>
      <w:lvlText w:val="%3."/>
      <w:lvlJc w:val="right"/>
      <w:pPr>
        <w:ind w:left="2160" w:hanging="180"/>
      </w:pPr>
    </w:lvl>
    <w:lvl w:ilvl="3" w:tplc="4F00170A">
      <w:start w:val="1"/>
      <w:numFmt w:val="decimal"/>
      <w:lvlText w:val="%4."/>
      <w:lvlJc w:val="left"/>
      <w:pPr>
        <w:ind w:left="2880" w:hanging="360"/>
      </w:pPr>
    </w:lvl>
    <w:lvl w:ilvl="4" w:tplc="362EE276">
      <w:start w:val="1"/>
      <w:numFmt w:val="lowerLetter"/>
      <w:lvlText w:val="%5."/>
      <w:lvlJc w:val="left"/>
      <w:pPr>
        <w:ind w:left="3600" w:hanging="360"/>
      </w:pPr>
    </w:lvl>
    <w:lvl w:ilvl="5" w:tplc="83B64A82">
      <w:start w:val="1"/>
      <w:numFmt w:val="lowerRoman"/>
      <w:lvlText w:val="%6."/>
      <w:lvlJc w:val="right"/>
      <w:pPr>
        <w:ind w:left="4320" w:hanging="180"/>
      </w:pPr>
    </w:lvl>
    <w:lvl w:ilvl="6" w:tplc="B860B6D4">
      <w:start w:val="1"/>
      <w:numFmt w:val="decimal"/>
      <w:lvlText w:val="%7."/>
      <w:lvlJc w:val="left"/>
      <w:pPr>
        <w:ind w:left="5040" w:hanging="360"/>
      </w:pPr>
    </w:lvl>
    <w:lvl w:ilvl="7" w:tplc="65943CA8">
      <w:start w:val="1"/>
      <w:numFmt w:val="lowerLetter"/>
      <w:lvlText w:val="%8."/>
      <w:lvlJc w:val="left"/>
      <w:pPr>
        <w:ind w:left="5760" w:hanging="360"/>
      </w:pPr>
    </w:lvl>
    <w:lvl w:ilvl="8" w:tplc="6AB41394">
      <w:start w:val="1"/>
      <w:numFmt w:val="lowerRoman"/>
      <w:lvlText w:val="%9."/>
      <w:lvlJc w:val="right"/>
      <w:pPr>
        <w:ind w:left="6480" w:hanging="180"/>
      </w:pPr>
    </w:lvl>
  </w:abstractNum>
  <w:abstractNum w:abstractNumId="7" w15:restartNumberingAfterBreak="0">
    <w:nsid w:val="18236CAF"/>
    <w:multiLevelType w:val="hybridMultilevel"/>
    <w:tmpl w:val="F0F6A2AE"/>
    <w:lvl w:ilvl="0" w:tplc="6F8EFC3E">
      <w:start w:val="3"/>
      <w:numFmt w:val="decimal"/>
      <w:lvlText w:val="Q%1."/>
      <w:lvlJc w:val="left"/>
      <w:pPr>
        <w:ind w:left="360" w:hanging="360"/>
      </w:pPr>
      <w:rPr>
        <w:rFonts w:ascii="Arial" w:hAnsi="Arial" w:hint="default"/>
      </w:rPr>
    </w:lvl>
    <w:lvl w:ilvl="1" w:tplc="6470B978">
      <w:start w:val="1"/>
      <w:numFmt w:val="lowerLetter"/>
      <w:lvlText w:val="%2."/>
      <w:lvlJc w:val="left"/>
      <w:pPr>
        <w:ind w:left="1440" w:hanging="360"/>
      </w:pPr>
    </w:lvl>
    <w:lvl w:ilvl="2" w:tplc="CF7A1142">
      <w:start w:val="1"/>
      <w:numFmt w:val="lowerRoman"/>
      <w:lvlText w:val="%3."/>
      <w:lvlJc w:val="right"/>
      <w:pPr>
        <w:ind w:left="2160" w:hanging="180"/>
      </w:pPr>
    </w:lvl>
    <w:lvl w:ilvl="3" w:tplc="8320E3B6">
      <w:start w:val="1"/>
      <w:numFmt w:val="decimal"/>
      <w:lvlText w:val="%4."/>
      <w:lvlJc w:val="left"/>
      <w:pPr>
        <w:ind w:left="2880" w:hanging="360"/>
      </w:pPr>
    </w:lvl>
    <w:lvl w:ilvl="4" w:tplc="43D83426">
      <w:start w:val="1"/>
      <w:numFmt w:val="lowerLetter"/>
      <w:lvlText w:val="%5."/>
      <w:lvlJc w:val="left"/>
      <w:pPr>
        <w:ind w:left="3600" w:hanging="360"/>
      </w:pPr>
    </w:lvl>
    <w:lvl w:ilvl="5" w:tplc="F8AA1CF8">
      <w:start w:val="1"/>
      <w:numFmt w:val="lowerRoman"/>
      <w:lvlText w:val="%6."/>
      <w:lvlJc w:val="right"/>
      <w:pPr>
        <w:ind w:left="4320" w:hanging="180"/>
      </w:pPr>
    </w:lvl>
    <w:lvl w:ilvl="6" w:tplc="E04684F8">
      <w:start w:val="1"/>
      <w:numFmt w:val="decimal"/>
      <w:lvlText w:val="%7."/>
      <w:lvlJc w:val="left"/>
      <w:pPr>
        <w:ind w:left="5040" w:hanging="360"/>
      </w:pPr>
    </w:lvl>
    <w:lvl w:ilvl="7" w:tplc="AC5E18FC">
      <w:start w:val="1"/>
      <w:numFmt w:val="lowerLetter"/>
      <w:lvlText w:val="%8."/>
      <w:lvlJc w:val="left"/>
      <w:pPr>
        <w:ind w:left="5760" w:hanging="360"/>
      </w:pPr>
    </w:lvl>
    <w:lvl w:ilvl="8" w:tplc="C2060448">
      <w:start w:val="1"/>
      <w:numFmt w:val="lowerRoman"/>
      <w:lvlText w:val="%9."/>
      <w:lvlJc w:val="right"/>
      <w:pPr>
        <w:ind w:left="6480" w:hanging="180"/>
      </w:pPr>
    </w:lvl>
  </w:abstractNum>
  <w:abstractNum w:abstractNumId="8" w15:restartNumberingAfterBreak="0">
    <w:nsid w:val="1AA29EE5"/>
    <w:multiLevelType w:val="hybridMultilevel"/>
    <w:tmpl w:val="849CB9BC"/>
    <w:lvl w:ilvl="0" w:tplc="DEA4F05A">
      <w:start w:val="3"/>
      <w:numFmt w:val="decimal"/>
      <w:lvlText w:val="Q%1."/>
      <w:lvlJc w:val="left"/>
      <w:pPr>
        <w:ind w:left="360" w:hanging="360"/>
      </w:pPr>
      <w:rPr>
        <w:rFonts w:ascii="Arial" w:hAnsi="Arial" w:hint="default"/>
      </w:rPr>
    </w:lvl>
    <w:lvl w:ilvl="1" w:tplc="387C6986">
      <w:start w:val="1"/>
      <w:numFmt w:val="lowerLetter"/>
      <w:lvlText w:val="%2."/>
      <w:lvlJc w:val="left"/>
      <w:pPr>
        <w:ind w:left="1440" w:hanging="360"/>
      </w:pPr>
    </w:lvl>
    <w:lvl w:ilvl="2" w:tplc="AE2C72D2">
      <w:start w:val="1"/>
      <w:numFmt w:val="lowerRoman"/>
      <w:lvlText w:val="%3."/>
      <w:lvlJc w:val="right"/>
      <w:pPr>
        <w:ind w:left="2160" w:hanging="180"/>
      </w:pPr>
    </w:lvl>
    <w:lvl w:ilvl="3" w:tplc="6122AF6A">
      <w:start w:val="1"/>
      <w:numFmt w:val="decimal"/>
      <w:lvlText w:val="%4."/>
      <w:lvlJc w:val="left"/>
      <w:pPr>
        <w:ind w:left="2880" w:hanging="360"/>
      </w:pPr>
    </w:lvl>
    <w:lvl w:ilvl="4" w:tplc="19CE6D40">
      <w:start w:val="1"/>
      <w:numFmt w:val="lowerLetter"/>
      <w:lvlText w:val="%5."/>
      <w:lvlJc w:val="left"/>
      <w:pPr>
        <w:ind w:left="3600" w:hanging="360"/>
      </w:pPr>
    </w:lvl>
    <w:lvl w:ilvl="5" w:tplc="B7A4868A">
      <w:start w:val="1"/>
      <w:numFmt w:val="lowerRoman"/>
      <w:lvlText w:val="%6."/>
      <w:lvlJc w:val="right"/>
      <w:pPr>
        <w:ind w:left="4320" w:hanging="180"/>
      </w:pPr>
    </w:lvl>
    <w:lvl w:ilvl="6" w:tplc="E0DC10B6">
      <w:start w:val="1"/>
      <w:numFmt w:val="decimal"/>
      <w:lvlText w:val="%7."/>
      <w:lvlJc w:val="left"/>
      <w:pPr>
        <w:ind w:left="5040" w:hanging="360"/>
      </w:pPr>
    </w:lvl>
    <w:lvl w:ilvl="7" w:tplc="8FCE72CE">
      <w:start w:val="1"/>
      <w:numFmt w:val="lowerLetter"/>
      <w:lvlText w:val="%8."/>
      <w:lvlJc w:val="left"/>
      <w:pPr>
        <w:ind w:left="5760" w:hanging="360"/>
      </w:pPr>
    </w:lvl>
    <w:lvl w:ilvl="8" w:tplc="C1EE5140">
      <w:start w:val="1"/>
      <w:numFmt w:val="lowerRoman"/>
      <w:lvlText w:val="%9."/>
      <w:lvlJc w:val="right"/>
      <w:pPr>
        <w:ind w:left="6480" w:hanging="180"/>
      </w:pPr>
    </w:lvl>
  </w:abstractNum>
  <w:abstractNum w:abstractNumId="9" w15:restartNumberingAfterBreak="0">
    <w:nsid w:val="20C4F23D"/>
    <w:multiLevelType w:val="hybridMultilevel"/>
    <w:tmpl w:val="D846B892"/>
    <w:lvl w:ilvl="0" w:tplc="278A3B70">
      <w:start w:val="1"/>
      <w:numFmt w:val="decimal"/>
      <w:lvlText w:val="Q%1."/>
      <w:lvlJc w:val="left"/>
      <w:pPr>
        <w:ind w:left="720" w:hanging="360"/>
      </w:pPr>
    </w:lvl>
    <w:lvl w:ilvl="1" w:tplc="C6A408D0">
      <w:start w:val="1"/>
      <w:numFmt w:val="lowerLetter"/>
      <w:lvlText w:val="%2."/>
      <w:lvlJc w:val="left"/>
      <w:pPr>
        <w:ind w:left="1440" w:hanging="360"/>
      </w:pPr>
    </w:lvl>
    <w:lvl w:ilvl="2" w:tplc="6024A322">
      <w:start w:val="1"/>
      <w:numFmt w:val="lowerRoman"/>
      <w:lvlText w:val="%3."/>
      <w:lvlJc w:val="right"/>
      <w:pPr>
        <w:ind w:left="2160" w:hanging="180"/>
      </w:pPr>
    </w:lvl>
    <w:lvl w:ilvl="3" w:tplc="D41E3D94">
      <w:start w:val="1"/>
      <w:numFmt w:val="decimal"/>
      <w:lvlText w:val="%4."/>
      <w:lvlJc w:val="left"/>
      <w:pPr>
        <w:ind w:left="2880" w:hanging="360"/>
      </w:pPr>
    </w:lvl>
    <w:lvl w:ilvl="4" w:tplc="A67447CE">
      <w:start w:val="1"/>
      <w:numFmt w:val="lowerLetter"/>
      <w:lvlText w:val="%5."/>
      <w:lvlJc w:val="left"/>
      <w:pPr>
        <w:ind w:left="3600" w:hanging="360"/>
      </w:pPr>
    </w:lvl>
    <w:lvl w:ilvl="5" w:tplc="F5AE9880">
      <w:start w:val="1"/>
      <w:numFmt w:val="lowerRoman"/>
      <w:lvlText w:val="%6."/>
      <w:lvlJc w:val="right"/>
      <w:pPr>
        <w:ind w:left="4320" w:hanging="180"/>
      </w:pPr>
    </w:lvl>
    <w:lvl w:ilvl="6" w:tplc="CF2694DA">
      <w:start w:val="1"/>
      <w:numFmt w:val="decimal"/>
      <w:lvlText w:val="%7."/>
      <w:lvlJc w:val="left"/>
      <w:pPr>
        <w:ind w:left="5040" w:hanging="360"/>
      </w:pPr>
    </w:lvl>
    <w:lvl w:ilvl="7" w:tplc="D974BA3C">
      <w:start w:val="1"/>
      <w:numFmt w:val="lowerLetter"/>
      <w:lvlText w:val="%8."/>
      <w:lvlJc w:val="left"/>
      <w:pPr>
        <w:ind w:left="5760" w:hanging="360"/>
      </w:pPr>
    </w:lvl>
    <w:lvl w:ilvl="8" w:tplc="09E047EA">
      <w:start w:val="1"/>
      <w:numFmt w:val="lowerRoman"/>
      <w:lvlText w:val="%9."/>
      <w:lvlJc w:val="right"/>
      <w:pPr>
        <w:ind w:left="6480" w:hanging="180"/>
      </w:pPr>
    </w:lvl>
  </w:abstractNum>
  <w:abstractNum w:abstractNumId="10" w15:restartNumberingAfterBreak="0">
    <w:nsid w:val="261C8DFC"/>
    <w:multiLevelType w:val="hybridMultilevel"/>
    <w:tmpl w:val="64544AC6"/>
    <w:lvl w:ilvl="0" w:tplc="F7BEDB90">
      <w:start w:val="3"/>
      <w:numFmt w:val="decimal"/>
      <w:lvlText w:val="Q%1."/>
      <w:lvlJc w:val="left"/>
      <w:pPr>
        <w:ind w:left="360" w:hanging="360"/>
      </w:pPr>
      <w:rPr>
        <w:rFonts w:ascii="Arial" w:hAnsi="Arial" w:hint="default"/>
      </w:rPr>
    </w:lvl>
    <w:lvl w:ilvl="1" w:tplc="E542AC24">
      <w:start w:val="1"/>
      <w:numFmt w:val="lowerLetter"/>
      <w:lvlText w:val="%2."/>
      <w:lvlJc w:val="left"/>
      <w:pPr>
        <w:ind w:left="1440" w:hanging="360"/>
      </w:pPr>
    </w:lvl>
    <w:lvl w:ilvl="2" w:tplc="596CE8E8">
      <w:start w:val="1"/>
      <w:numFmt w:val="lowerRoman"/>
      <w:lvlText w:val="%3."/>
      <w:lvlJc w:val="right"/>
      <w:pPr>
        <w:ind w:left="2160" w:hanging="180"/>
      </w:pPr>
    </w:lvl>
    <w:lvl w:ilvl="3" w:tplc="BD3088C2">
      <w:start w:val="1"/>
      <w:numFmt w:val="decimal"/>
      <w:lvlText w:val="%4."/>
      <w:lvlJc w:val="left"/>
      <w:pPr>
        <w:ind w:left="2880" w:hanging="360"/>
      </w:pPr>
    </w:lvl>
    <w:lvl w:ilvl="4" w:tplc="22C2C370">
      <w:start w:val="1"/>
      <w:numFmt w:val="lowerLetter"/>
      <w:lvlText w:val="%5."/>
      <w:lvlJc w:val="left"/>
      <w:pPr>
        <w:ind w:left="3600" w:hanging="360"/>
      </w:pPr>
    </w:lvl>
    <w:lvl w:ilvl="5" w:tplc="286AEADA">
      <w:start w:val="1"/>
      <w:numFmt w:val="lowerRoman"/>
      <w:lvlText w:val="%6."/>
      <w:lvlJc w:val="right"/>
      <w:pPr>
        <w:ind w:left="4320" w:hanging="180"/>
      </w:pPr>
    </w:lvl>
    <w:lvl w:ilvl="6" w:tplc="3EAE162C">
      <w:start w:val="1"/>
      <w:numFmt w:val="decimal"/>
      <w:lvlText w:val="%7."/>
      <w:lvlJc w:val="left"/>
      <w:pPr>
        <w:ind w:left="5040" w:hanging="360"/>
      </w:pPr>
    </w:lvl>
    <w:lvl w:ilvl="7" w:tplc="D9AC46EE">
      <w:start w:val="1"/>
      <w:numFmt w:val="lowerLetter"/>
      <w:lvlText w:val="%8."/>
      <w:lvlJc w:val="left"/>
      <w:pPr>
        <w:ind w:left="5760" w:hanging="360"/>
      </w:pPr>
    </w:lvl>
    <w:lvl w:ilvl="8" w:tplc="A25ADBB2">
      <w:start w:val="1"/>
      <w:numFmt w:val="lowerRoman"/>
      <w:lvlText w:val="%9."/>
      <w:lvlJc w:val="right"/>
      <w:pPr>
        <w:ind w:left="6480" w:hanging="180"/>
      </w:pPr>
    </w:lvl>
  </w:abstractNum>
  <w:abstractNum w:abstractNumId="11" w15:restartNumberingAfterBreak="0">
    <w:nsid w:val="28C81116"/>
    <w:multiLevelType w:val="hybridMultilevel"/>
    <w:tmpl w:val="4EAEC738"/>
    <w:lvl w:ilvl="0" w:tplc="4236828E">
      <w:start w:val="1"/>
      <w:numFmt w:val="decimal"/>
      <w:lvlText w:val="%1."/>
      <w:lvlJc w:val="left"/>
      <w:pPr>
        <w:ind w:left="720" w:hanging="360"/>
      </w:pPr>
    </w:lvl>
    <w:lvl w:ilvl="1" w:tplc="E37A6AF2">
      <w:start w:val="20"/>
      <w:numFmt w:val="decimal"/>
      <w:lvlText w:val="Q%2."/>
      <w:lvlJc w:val="left"/>
      <w:pPr>
        <w:ind w:left="1440" w:hanging="360"/>
      </w:pPr>
      <w:rPr>
        <w:rFonts w:ascii="Arial" w:hAnsi="Arial" w:hint="default"/>
      </w:rPr>
    </w:lvl>
    <w:lvl w:ilvl="2" w:tplc="5D166A56">
      <w:start w:val="1"/>
      <w:numFmt w:val="lowerRoman"/>
      <w:lvlText w:val="%3."/>
      <w:lvlJc w:val="right"/>
      <w:pPr>
        <w:ind w:left="2160" w:hanging="180"/>
      </w:pPr>
    </w:lvl>
    <w:lvl w:ilvl="3" w:tplc="BB6CB510">
      <w:start w:val="1"/>
      <w:numFmt w:val="decimal"/>
      <w:lvlText w:val="%4."/>
      <w:lvlJc w:val="left"/>
      <w:pPr>
        <w:ind w:left="2880" w:hanging="360"/>
      </w:pPr>
    </w:lvl>
    <w:lvl w:ilvl="4" w:tplc="BCD0100E">
      <w:start w:val="1"/>
      <w:numFmt w:val="lowerLetter"/>
      <w:lvlText w:val="%5."/>
      <w:lvlJc w:val="left"/>
      <w:pPr>
        <w:ind w:left="3600" w:hanging="360"/>
      </w:pPr>
    </w:lvl>
    <w:lvl w:ilvl="5" w:tplc="36BC4EE2">
      <w:start w:val="1"/>
      <w:numFmt w:val="lowerRoman"/>
      <w:lvlText w:val="%6."/>
      <w:lvlJc w:val="right"/>
      <w:pPr>
        <w:ind w:left="4320" w:hanging="180"/>
      </w:pPr>
    </w:lvl>
    <w:lvl w:ilvl="6" w:tplc="B2E0E4DA">
      <w:start w:val="1"/>
      <w:numFmt w:val="decimal"/>
      <w:lvlText w:val="%7."/>
      <w:lvlJc w:val="left"/>
      <w:pPr>
        <w:ind w:left="5040" w:hanging="360"/>
      </w:pPr>
    </w:lvl>
    <w:lvl w:ilvl="7" w:tplc="401257FE">
      <w:start w:val="1"/>
      <w:numFmt w:val="lowerLetter"/>
      <w:lvlText w:val="%8."/>
      <w:lvlJc w:val="left"/>
      <w:pPr>
        <w:ind w:left="5760" w:hanging="360"/>
      </w:pPr>
    </w:lvl>
    <w:lvl w:ilvl="8" w:tplc="035EA3BA">
      <w:start w:val="1"/>
      <w:numFmt w:val="lowerRoman"/>
      <w:lvlText w:val="%9."/>
      <w:lvlJc w:val="right"/>
      <w:pPr>
        <w:ind w:left="6480" w:hanging="180"/>
      </w:pPr>
    </w:lvl>
  </w:abstractNum>
  <w:abstractNum w:abstractNumId="12" w15:restartNumberingAfterBreak="0">
    <w:nsid w:val="2C27D554"/>
    <w:multiLevelType w:val="hybridMultilevel"/>
    <w:tmpl w:val="F77AB25C"/>
    <w:lvl w:ilvl="0" w:tplc="F6FE3158">
      <w:start w:val="1"/>
      <w:numFmt w:val="bullet"/>
      <w:lvlText w:val=""/>
      <w:lvlJc w:val="left"/>
      <w:pPr>
        <w:ind w:left="720" w:hanging="360"/>
      </w:pPr>
      <w:rPr>
        <w:rFonts w:ascii="Symbol" w:hAnsi="Symbol" w:hint="default"/>
      </w:rPr>
    </w:lvl>
    <w:lvl w:ilvl="1" w:tplc="7DA48ED8">
      <w:start w:val="1"/>
      <w:numFmt w:val="bullet"/>
      <w:lvlText w:val=""/>
      <w:lvlJc w:val="left"/>
      <w:pPr>
        <w:ind w:left="1440" w:hanging="360"/>
      </w:pPr>
      <w:rPr>
        <w:rFonts w:ascii="Symbol" w:hAnsi="Symbol" w:hint="default"/>
      </w:rPr>
    </w:lvl>
    <w:lvl w:ilvl="2" w:tplc="70B43360">
      <w:start w:val="1"/>
      <w:numFmt w:val="bullet"/>
      <w:lvlText w:val=""/>
      <w:lvlJc w:val="left"/>
      <w:pPr>
        <w:ind w:left="2160" w:hanging="360"/>
      </w:pPr>
      <w:rPr>
        <w:rFonts w:ascii="Wingdings" w:hAnsi="Wingdings" w:hint="default"/>
      </w:rPr>
    </w:lvl>
    <w:lvl w:ilvl="3" w:tplc="308A8288">
      <w:start w:val="1"/>
      <w:numFmt w:val="bullet"/>
      <w:lvlText w:val=""/>
      <w:lvlJc w:val="left"/>
      <w:pPr>
        <w:ind w:left="2880" w:hanging="360"/>
      </w:pPr>
      <w:rPr>
        <w:rFonts w:ascii="Symbol" w:hAnsi="Symbol" w:hint="default"/>
      </w:rPr>
    </w:lvl>
    <w:lvl w:ilvl="4" w:tplc="1B40DC12">
      <w:start w:val="1"/>
      <w:numFmt w:val="bullet"/>
      <w:lvlText w:val="o"/>
      <w:lvlJc w:val="left"/>
      <w:pPr>
        <w:ind w:left="3600" w:hanging="360"/>
      </w:pPr>
      <w:rPr>
        <w:rFonts w:ascii="Courier New" w:hAnsi="Courier New" w:hint="default"/>
      </w:rPr>
    </w:lvl>
    <w:lvl w:ilvl="5" w:tplc="5BA09DDA">
      <w:start w:val="1"/>
      <w:numFmt w:val="bullet"/>
      <w:lvlText w:val=""/>
      <w:lvlJc w:val="left"/>
      <w:pPr>
        <w:ind w:left="4320" w:hanging="360"/>
      </w:pPr>
      <w:rPr>
        <w:rFonts w:ascii="Wingdings" w:hAnsi="Wingdings" w:hint="default"/>
      </w:rPr>
    </w:lvl>
    <w:lvl w:ilvl="6" w:tplc="22DE01A0">
      <w:start w:val="1"/>
      <w:numFmt w:val="bullet"/>
      <w:lvlText w:val=""/>
      <w:lvlJc w:val="left"/>
      <w:pPr>
        <w:ind w:left="5040" w:hanging="360"/>
      </w:pPr>
      <w:rPr>
        <w:rFonts w:ascii="Symbol" w:hAnsi="Symbol" w:hint="default"/>
      </w:rPr>
    </w:lvl>
    <w:lvl w:ilvl="7" w:tplc="CA4EB1AA">
      <w:start w:val="1"/>
      <w:numFmt w:val="bullet"/>
      <w:lvlText w:val="o"/>
      <w:lvlJc w:val="left"/>
      <w:pPr>
        <w:ind w:left="5760" w:hanging="360"/>
      </w:pPr>
      <w:rPr>
        <w:rFonts w:ascii="Courier New" w:hAnsi="Courier New" w:hint="default"/>
      </w:rPr>
    </w:lvl>
    <w:lvl w:ilvl="8" w:tplc="5FC46526">
      <w:start w:val="1"/>
      <w:numFmt w:val="bullet"/>
      <w:lvlText w:val=""/>
      <w:lvlJc w:val="left"/>
      <w:pPr>
        <w:ind w:left="6480" w:hanging="360"/>
      </w:pPr>
      <w:rPr>
        <w:rFonts w:ascii="Wingdings" w:hAnsi="Wingdings" w:hint="default"/>
      </w:rPr>
    </w:lvl>
  </w:abstractNum>
  <w:abstractNum w:abstractNumId="13" w15:restartNumberingAfterBreak="0">
    <w:nsid w:val="2CB93843"/>
    <w:multiLevelType w:val="hybridMultilevel"/>
    <w:tmpl w:val="FFFFFFFF"/>
    <w:lvl w:ilvl="0" w:tplc="0CD6B2E8">
      <w:start w:val="1"/>
      <w:numFmt w:val="bullet"/>
      <w:lvlText w:val=""/>
      <w:lvlJc w:val="left"/>
      <w:pPr>
        <w:ind w:left="720" w:hanging="360"/>
      </w:pPr>
      <w:rPr>
        <w:rFonts w:ascii="Symbol" w:hAnsi="Symbol" w:hint="default"/>
      </w:rPr>
    </w:lvl>
    <w:lvl w:ilvl="1" w:tplc="20D63232">
      <w:start w:val="1"/>
      <w:numFmt w:val="bullet"/>
      <w:lvlText w:val=""/>
      <w:lvlJc w:val="left"/>
      <w:pPr>
        <w:ind w:left="1440" w:hanging="360"/>
      </w:pPr>
      <w:rPr>
        <w:rFonts w:ascii="Symbol" w:hAnsi="Symbol" w:hint="default"/>
      </w:rPr>
    </w:lvl>
    <w:lvl w:ilvl="2" w:tplc="1E503F7E">
      <w:start w:val="1"/>
      <w:numFmt w:val="bullet"/>
      <w:lvlText w:val=""/>
      <w:lvlJc w:val="left"/>
      <w:pPr>
        <w:ind w:left="2160" w:hanging="360"/>
      </w:pPr>
      <w:rPr>
        <w:rFonts w:ascii="Wingdings" w:hAnsi="Wingdings" w:hint="default"/>
      </w:rPr>
    </w:lvl>
    <w:lvl w:ilvl="3" w:tplc="378EBCF2">
      <w:start w:val="1"/>
      <w:numFmt w:val="bullet"/>
      <w:lvlText w:val=""/>
      <w:lvlJc w:val="left"/>
      <w:pPr>
        <w:ind w:left="2880" w:hanging="360"/>
      </w:pPr>
      <w:rPr>
        <w:rFonts w:ascii="Symbol" w:hAnsi="Symbol" w:hint="default"/>
      </w:rPr>
    </w:lvl>
    <w:lvl w:ilvl="4" w:tplc="013814FA">
      <w:start w:val="1"/>
      <w:numFmt w:val="bullet"/>
      <w:lvlText w:val="o"/>
      <w:lvlJc w:val="left"/>
      <w:pPr>
        <w:ind w:left="3600" w:hanging="360"/>
      </w:pPr>
      <w:rPr>
        <w:rFonts w:ascii="Courier New" w:hAnsi="Courier New" w:hint="default"/>
      </w:rPr>
    </w:lvl>
    <w:lvl w:ilvl="5" w:tplc="1F6A6964">
      <w:start w:val="1"/>
      <w:numFmt w:val="bullet"/>
      <w:lvlText w:val=""/>
      <w:lvlJc w:val="left"/>
      <w:pPr>
        <w:ind w:left="4320" w:hanging="360"/>
      </w:pPr>
      <w:rPr>
        <w:rFonts w:ascii="Wingdings" w:hAnsi="Wingdings" w:hint="default"/>
      </w:rPr>
    </w:lvl>
    <w:lvl w:ilvl="6" w:tplc="A04633E0">
      <w:start w:val="1"/>
      <w:numFmt w:val="bullet"/>
      <w:lvlText w:val=""/>
      <w:lvlJc w:val="left"/>
      <w:pPr>
        <w:ind w:left="5040" w:hanging="360"/>
      </w:pPr>
      <w:rPr>
        <w:rFonts w:ascii="Symbol" w:hAnsi="Symbol" w:hint="default"/>
      </w:rPr>
    </w:lvl>
    <w:lvl w:ilvl="7" w:tplc="A126AF06">
      <w:start w:val="1"/>
      <w:numFmt w:val="bullet"/>
      <w:lvlText w:val="o"/>
      <w:lvlJc w:val="left"/>
      <w:pPr>
        <w:ind w:left="5760" w:hanging="360"/>
      </w:pPr>
      <w:rPr>
        <w:rFonts w:ascii="Courier New" w:hAnsi="Courier New" w:hint="default"/>
      </w:rPr>
    </w:lvl>
    <w:lvl w:ilvl="8" w:tplc="02C00014">
      <w:start w:val="1"/>
      <w:numFmt w:val="bullet"/>
      <w:lvlText w:val=""/>
      <w:lvlJc w:val="left"/>
      <w:pPr>
        <w:ind w:left="6480" w:hanging="360"/>
      </w:pPr>
      <w:rPr>
        <w:rFonts w:ascii="Wingdings" w:hAnsi="Wingdings" w:hint="default"/>
      </w:rPr>
    </w:lvl>
  </w:abstractNum>
  <w:abstractNum w:abstractNumId="14" w15:restartNumberingAfterBreak="0">
    <w:nsid w:val="309055CE"/>
    <w:multiLevelType w:val="hybridMultilevel"/>
    <w:tmpl w:val="81E22422"/>
    <w:lvl w:ilvl="0" w:tplc="B442B850">
      <w:start w:val="1"/>
      <w:numFmt w:val="bullet"/>
      <w:lvlText w:val=""/>
      <w:lvlJc w:val="left"/>
      <w:pPr>
        <w:ind w:left="720" w:hanging="360"/>
      </w:pPr>
      <w:rPr>
        <w:rFonts w:ascii="Symbol" w:hAnsi="Symbol" w:hint="default"/>
      </w:rPr>
    </w:lvl>
    <w:lvl w:ilvl="1" w:tplc="4710C2AE">
      <w:start w:val="1"/>
      <w:numFmt w:val="bullet"/>
      <w:lvlText w:val=""/>
      <w:lvlJc w:val="left"/>
      <w:pPr>
        <w:ind w:left="1440" w:hanging="360"/>
      </w:pPr>
      <w:rPr>
        <w:rFonts w:ascii="Symbol" w:hAnsi="Symbol" w:hint="default"/>
      </w:rPr>
    </w:lvl>
    <w:lvl w:ilvl="2" w:tplc="33E2D7C4">
      <w:start w:val="1"/>
      <w:numFmt w:val="bullet"/>
      <w:lvlText w:val=""/>
      <w:lvlJc w:val="left"/>
      <w:pPr>
        <w:ind w:left="2160" w:hanging="360"/>
      </w:pPr>
      <w:rPr>
        <w:rFonts w:ascii="Wingdings" w:hAnsi="Wingdings" w:hint="default"/>
      </w:rPr>
    </w:lvl>
    <w:lvl w:ilvl="3" w:tplc="10E20C72">
      <w:start w:val="1"/>
      <w:numFmt w:val="bullet"/>
      <w:lvlText w:val=""/>
      <w:lvlJc w:val="left"/>
      <w:pPr>
        <w:ind w:left="2880" w:hanging="360"/>
      </w:pPr>
      <w:rPr>
        <w:rFonts w:ascii="Symbol" w:hAnsi="Symbol" w:hint="default"/>
      </w:rPr>
    </w:lvl>
    <w:lvl w:ilvl="4" w:tplc="D3EEFB88">
      <w:start w:val="1"/>
      <w:numFmt w:val="bullet"/>
      <w:lvlText w:val="o"/>
      <w:lvlJc w:val="left"/>
      <w:pPr>
        <w:ind w:left="3600" w:hanging="360"/>
      </w:pPr>
      <w:rPr>
        <w:rFonts w:ascii="Courier New" w:hAnsi="Courier New" w:hint="default"/>
      </w:rPr>
    </w:lvl>
    <w:lvl w:ilvl="5" w:tplc="54189FC8">
      <w:start w:val="1"/>
      <w:numFmt w:val="bullet"/>
      <w:lvlText w:val=""/>
      <w:lvlJc w:val="left"/>
      <w:pPr>
        <w:ind w:left="4320" w:hanging="360"/>
      </w:pPr>
      <w:rPr>
        <w:rFonts w:ascii="Wingdings" w:hAnsi="Wingdings" w:hint="default"/>
      </w:rPr>
    </w:lvl>
    <w:lvl w:ilvl="6" w:tplc="6828565A">
      <w:start w:val="1"/>
      <w:numFmt w:val="bullet"/>
      <w:lvlText w:val=""/>
      <w:lvlJc w:val="left"/>
      <w:pPr>
        <w:ind w:left="5040" w:hanging="360"/>
      </w:pPr>
      <w:rPr>
        <w:rFonts w:ascii="Symbol" w:hAnsi="Symbol" w:hint="default"/>
      </w:rPr>
    </w:lvl>
    <w:lvl w:ilvl="7" w:tplc="2B24716C">
      <w:start w:val="1"/>
      <w:numFmt w:val="bullet"/>
      <w:lvlText w:val="o"/>
      <w:lvlJc w:val="left"/>
      <w:pPr>
        <w:ind w:left="5760" w:hanging="360"/>
      </w:pPr>
      <w:rPr>
        <w:rFonts w:ascii="Courier New" w:hAnsi="Courier New" w:hint="default"/>
      </w:rPr>
    </w:lvl>
    <w:lvl w:ilvl="8" w:tplc="BFFA5164">
      <w:start w:val="1"/>
      <w:numFmt w:val="bullet"/>
      <w:lvlText w:val=""/>
      <w:lvlJc w:val="left"/>
      <w:pPr>
        <w:ind w:left="6480" w:hanging="360"/>
      </w:pPr>
      <w:rPr>
        <w:rFonts w:ascii="Wingdings" w:hAnsi="Wingdings" w:hint="default"/>
      </w:rPr>
    </w:lvl>
  </w:abstractNum>
  <w:abstractNum w:abstractNumId="15" w15:restartNumberingAfterBreak="0">
    <w:nsid w:val="33631C49"/>
    <w:multiLevelType w:val="hybridMultilevel"/>
    <w:tmpl w:val="F43404DA"/>
    <w:lvl w:ilvl="0" w:tplc="18582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7EC70C"/>
    <w:multiLevelType w:val="hybridMultilevel"/>
    <w:tmpl w:val="13AE82A4"/>
    <w:lvl w:ilvl="0" w:tplc="4ACCFE8A">
      <w:start w:val="1"/>
      <w:numFmt w:val="bullet"/>
      <w:lvlText w:val=""/>
      <w:lvlJc w:val="left"/>
      <w:pPr>
        <w:ind w:left="720" w:hanging="360"/>
      </w:pPr>
      <w:rPr>
        <w:rFonts w:ascii="Symbol" w:hAnsi="Symbol" w:hint="default"/>
      </w:rPr>
    </w:lvl>
    <w:lvl w:ilvl="1" w:tplc="AEFA5E4C">
      <w:start w:val="1"/>
      <w:numFmt w:val="bullet"/>
      <w:lvlText w:val="o"/>
      <w:lvlJc w:val="left"/>
      <w:pPr>
        <w:ind w:left="1440" w:hanging="360"/>
      </w:pPr>
      <w:rPr>
        <w:rFonts w:ascii="Courier New" w:hAnsi="Courier New" w:hint="default"/>
      </w:rPr>
    </w:lvl>
    <w:lvl w:ilvl="2" w:tplc="08B2CED4">
      <w:start w:val="1"/>
      <w:numFmt w:val="bullet"/>
      <w:lvlText w:val=""/>
      <w:lvlJc w:val="left"/>
      <w:pPr>
        <w:ind w:left="2160" w:hanging="360"/>
      </w:pPr>
      <w:rPr>
        <w:rFonts w:ascii="Wingdings" w:hAnsi="Wingdings" w:hint="default"/>
      </w:rPr>
    </w:lvl>
    <w:lvl w:ilvl="3" w:tplc="160630EE">
      <w:start w:val="1"/>
      <w:numFmt w:val="bullet"/>
      <w:lvlText w:val=""/>
      <w:lvlJc w:val="left"/>
      <w:pPr>
        <w:ind w:left="2880" w:hanging="360"/>
      </w:pPr>
      <w:rPr>
        <w:rFonts w:ascii="Symbol" w:hAnsi="Symbol" w:hint="default"/>
      </w:rPr>
    </w:lvl>
    <w:lvl w:ilvl="4" w:tplc="5FE09F78">
      <w:start w:val="1"/>
      <w:numFmt w:val="bullet"/>
      <w:lvlText w:val="o"/>
      <w:lvlJc w:val="left"/>
      <w:pPr>
        <w:ind w:left="3600" w:hanging="360"/>
      </w:pPr>
      <w:rPr>
        <w:rFonts w:ascii="Courier New" w:hAnsi="Courier New" w:hint="default"/>
      </w:rPr>
    </w:lvl>
    <w:lvl w:ilvl="5" w:tplc="37D40944">
      <w:start w:val="1"/>
      <w:numFmt w:val="bullet"/>
      <w:lvlText w:val=""/>
      <w:lvlJc w:val="left"/>
      <w:pPr>
        <w:ind w:left="4320" w:hanging="360"/>
      </w:pPr>
      <w:rPr>
        <w:rFonts w:ascii="Wingdings" w:hAnsi="Wingdings" w:hint="default"/>
      </w:rPr>
    </w:lvl>
    <w:lvl w:ilvl="6" w:tplc="D83E5494">
      <w:start w:val="1"/>
      <w:numFmt w:val="bullet"/>
      <w:lvlText w:val=""/>
      <w:lvlJc w:val="left"/>
      <w:pPr>
        <w:ind w:left="5040" w:hanging="360"/>
      </w:pPr>
      <w:rPr>
        <w:rFonts w:ascii="Symbol" w:hAnsi="Symbol" w:hint="default"/>
      </w:rPr>
    </w:lvl>
    <w:lvl w:ilvl="7" w:tplc="1E2E0E5A">
      <w:start w:val="1"/>
      <w:numFmt w:val="bullet"/>
      <w:lvlText w:val="o"/>
      <w:lvlJc w:val="left"/>
      <w:pPr>
        <w:ind w:left="5760" w:hanging="360"/>
      </w:pPr>
      <w:rPr>
        <w:rFonts w:ascii="Courier New" w:hAnsi="Courier New" w:hint="default"/>
      </w:rPr>
    </w:lvl>
    <w:lvl w:ilvl="8" w:tplc="EA741384">
      <w:start w:val="1"/>
      <w:numFmt w:val="bullet"/>
      <w:lvlText w:val=""/>
      <w:lvlJc w:val="left"/>
      <w:pPr>
        <w:ind w:left="6480" w:hanging="360"/>
      </w:pPr>
      <w:rPr>
        <w:rFonts w:ascii="Wingdings" w:hAnsi="Wingdings" w:hint="default"/>
      </w:rPr>
    </w:lvl>
  </w:abstractNum>
  <w:abstractNum w:abstractNumId="17" w15:restartNumberingAfterBreak="0">
    <w:nsid w:val="43375554"/>
    <w:multiLevelType w:val="multilevel"/>
    <w:tmpl w:val="7384EEF4"/>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445792"/>
    <w:multiLevelType w:val="hybridMultilevel"/>
    <w:tmpl w:val="9856CB0C"/>
    <w:lvl w:ilvl="0" w:tplc="3294E52C">
      <w:start w:val="3"/>
      <w:numFmt w:val="decimal"/>
      <w:lvlText w:val="Q%1."/>
      <w:lvlJc w:val="left"/>
      <w:pPr>
        <w:ind w:left="360" w:hanging="360"/>
      </w:pPr>
      <w:rPr>
        <w:rFonts w:ascii="Arial" w:hAnsi="Arial" w:hint="default"/>
      </w:rPr>
    </w:lvl>
    <w:lvl w:ilvl="1" w:tplc="8278BB10">
      <w:start w:val="1"/>
      <w:numFmt w:val="lowerLetter"/>
      <w:lvlText w:val="%2."/>
      <w:lvlJc w:val="left"/>
      <w:pPr>
        <w:ind w:left="1440" w:hanging="360"/>
      </w:pPr>
    </w:lvl>
    <w:lvl w:ilvl="2" w:tplc="EBEAF638">
      <w:start w:val="1"/>
      <w:numFmt w:val="lowerRoman"/>
      <w:lvlText w:val="%3."/>
      <w:lvlJc w:val="right"/>
      <w:pPr>
        <w:ind w:left="2160" w:hanging="180"/>
      </w:pPr>
    </w:lvl>
    <w:lvl w:ilvl="3" w:tplc="69D2F66C">
      <w:start w:val="1"/>
      <w:numFmt w:val="decimal"/>
      <w:lvlText w:val="%4."/>
      <w:lvlJc w:val="left"/>
      <w:pPr>
        <w:ind w:left="2880" w:hanging="360"/>
      </w:pPr>
    </w:lvl>
    <w:lvl w:ilvl="4" w:tplc="311EAAAC">
      <w:start w:val="1"/>
      <w:numFmt w:val="lowerLetter"/>
      <w:lvlText w:val="%5."/>
      <w:lvlJc w:val="left"/>
      <w:pPr>
        <w:ind w:left="3600" w:hanging="360"/>
      </w:pPr>
    </w:lvl>
    <w:lvl w:ilvl="5" w:tplc="28F8F69E">
      <w:start w:val="1"/>
      <w:numFmt w:val="lowerRoman"/>
      <w:lvlText w:val="%6."/>
      <w:lvlJc w:val="right"/>
      <w:pPr>
        <w:ind w:left="4320" w:hanging="180"/>
      </w:pPr>
    </w:lvl>
    <w:lvl w:ilvl="6" w:tplc="B7443088">
      <w:start w:val="1"/>
      <w:numFmt w:val="decimal"/>
      <w:lvlText w:val="%7."/>
      <w:lvlJc w:val="left"/>
      <w:pPr>
        <w:ind w:left="5040" w:hanging="360"/>
      </w:pPr>
    </w:lvl>
    <w:lvl w:ilvl="7" w:tplc="59161DE4">
      <w:start w:val="1"/>
      <w:numFmt w:val="lowerLetter"/>
      <w:lvlText w:val="%8."/>
      <w:lvlJc w:val="left"/>
      <w:pPr>
        <w:ind w:left="5760" w:hanging="360"/>
      </w:pPr>
    </w:lvl>
    <w:lvl w:ilvl="8" w:tplc="27765D60">
      <w:start w:val="1"/>
      <w:numFmt w:val="lowerRoman"/>
      <w:lvlText w:val="%9."/>
      <w:lvlJc w:val="right"/>
      <w:pPr>
        <w:ind w:left="6480" w:hanging="180"/>
      </w:pPr>
    </w:lvl>
  </w:abstractNum>
  <w:abstractNum w:abstractNumId="19" w15:restartNumberingAfterBreak="0">
    <w:nsid w:val="517E046A"/>
    <w:multiLevelType w:val="multilevel"/>
    <w:tmpl w:val="E77C3F6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16131"/>
    <w:multiLevelType w:val="multilevel"/>
    <w:tmpl w:val="D3841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218EE0"/>
    <w:multiLevelType w:val="hybridMultilevel"/>
    <w:tmpl w:val="6C6245F8"/>
    <w:lvl w:ilvl="0" w:tplc="B2108F6E">
      <w:start w:val="3"/>
      <w:numFmt w:val="decimal"/>
      <w:lvlText w:val="Q%1."/>
      <w:lvlJc w:val="left"/>
      <w:pPr>
        <w:ind w:left="360" w:hanging="360"/>
      </w:pPr>
      <w:rPr>
        <w:rFonts w:ascii="Arial" w:hAnsi="Arial" w:hint="default"/>
      </w:rPr>
    </w:lvl>
    <w:lvl w:ilvl="1" w:tplc="F34C6F8C">
      <w:start w:val="1"/>
      <w:numFmt w:val="lowerLetter"/>
      <w:lvlText w:val="%2."/>
      <w:lvlJc w:val="left"/>
      <w:pPr>
        <w:ind w:left="1440" w:hanging="360"/>
      </w:pPr>
    </w:lvl>
    <w:lvl w:ilvl="2" w:tplc="D32CB508">
      <w:start w:val="1"/>
      <w:numFmt w:val="lowerRoman"/>
      <w:lvlText w:val="%3."/>
      <w:lvlJc w:val="right"/>
      <w:pPr>
        <w:ind w:left="2160" w:hanging="180"/>
      </w:pPr>
    </w:lvl>
    <w:lvl w:ilvl="3" w:tplc="67FA6A2C">
      <w:start w:val="1"/>
      <w:numFmt w:val="decimal"/>
      <w:lvlText w:val="%4."/>
      <w:lvlJc w:val="left"/>
      <w:pPr>
        <w:ind w:left="2880" w:hanging="360"/>
      </w:pPr>
    </w:lvl>
    <w:lvl w:ilvl="4" w:tplc="702223E8">
      <w:start w:val="1"/>
      <w:numFmt w:val="lowerLetter"/>
      <w:lvlText w:val="%5."/>
      <w:lvlJc w:val="left"/>
      <w:pPr>
        <w:ind w:left="3600" w:hanging="360"/>
      </w:pPr>
    </w:lvl>
    <w:lvl w:ilvl="5" w:tplc="E9F4E228">
      <w:start w:val="1"/>
      <w:numFmt w:val="lowerRoman"/>
      <w:lvlText w:val="%6."/>
      <w:lvlJc w:val="right"/>
      <w:pPr>
        <w:ind w:left="4320" w:hanging="180"/>
      </w:pPr>
    </w:lvl>
    <w:lvl w:ilvl="6" w:tplc="D62E27A6">
      <w:start w:val="1"/>
      <w:numFmt w:val="decimal"/>
      <w:lvlText w:val="%7."/>
      <w:lvlJc w:val="left"/>
      <w:pPr>
        <w:ind w:left="5040" w:hanging="360"/>
      </w:pPr>
    </w:lvl>
    <w:lvl w:ilvl="7" w:tplc="5A061E1C">
      <w:start w:val="1"/>
      <w:numFmt w:val="lowerLetter"/>
      <w:lvlText w:val="%8."/>
      <w:lvlJc w:val="left"/>
      <w:pPr>
        <w:ind w:left="5760" w:hanging="360"/>
      </w:pPr>
    </w:lvl>
    <w:lvl w:ilvl="8" w:tplc="846A7052">
      <w:start w:val="1"/>
      <w:numFmt w:val="lowerRoman"/>
      <w:lvlText w:val="%9."/>
      <w:lvlJc w:val="right"/>
      <w:pPr>
        <w:ind w:left="6480" w:hanging="180"/>
      </w:pPr>
    </w:lvl>
  </w:abstractNum>
  <w:abstractNum w:abstractNumId="22" w15:restartNumberingAfterBreak="0">
    <w:nsid w:val="5A6D0976"/>
    <w:multiLevelType w:val="hybridMultilevel"/>
    <w:tmpl w:val="37041F6E"/>
    <w:lvl w:ilvl="0" w:tplc="48B83570">
      <w:start w:val="3"/>
      <w:numFmt w:val="decimal"/>
      <w:lvlText w:val="Q%1."/>
      <w:lvlJc w:val="left"/>
      <w:pPr>
        <w:ind w:left="360" w:hanging="360"/>
      </w:pPr>
      <w:rPr>
        <w:rFonts w:ascii="Arial" w:hAnsi="Arial" w:hint="default"/>
      </w:rPr>
    </w:lvl>
    <w:lvl w:ilvl="1" w:tplc="6EE833A8">
      <w:start w:val="1"/>
      <w:numFmt w:val="lowerLetter"/>
      <w:lvlText w:val="%2."/>
      <w:lvlJc w:val="left"/>
      <w:pPr>
        <w:ind w:left="1440" w:hanging="360"/>
      </w:pPr>
    </w:lvl>
    <w:lvl w:ilvl="2" w:tplc="2D02FD68">
      <w:start w:val="1"/>
      <w:numFmt w:val="lowerRoman"/>
      <w:lvlText w:val="%3."/>
      <w:lvlJc w:val="right"/>
      <w:pPr>
        <w:ind w:left="2160" w:hanging="180"/>
      </w:pPr>
    </w:lvl>
    <w:lvl w:ilvl="3" w:tplc="1B7E150A">
      <w:start w:val="1"/>
      <w:numFmt w:val="decimal"/>
      <w:lvlText w:val="%4."/>
      <w:lvlJc w:val="left"/>
      <w:pPr>
        <w:ind w:left="2880" w:hanging="360"/>
      </w:pPr>
    </w:lvl>
    <w:lvl w:ilvl="4" w:tplc="5E9278FE">
      <w:start w:val="1"/>
      <w:numFmt w:val="lowerLetter"/>
      <w:lvlText w:val="%5."/>
      <w:lvlJc w:val="left"/>
      <w:pPr>
        <w:ind w:left="3600" w:hanging="360"/>
      </w:pPr>
    </w:lvl>
    <w:lvl w:ilvl="5" w:tplc="28A4A574">
      <w:start w:val="1"/>
      <w:numFmt w:val="lowerRoman"/>
      <w:lvlText w:val="%6."/>
      <w:lvlJc w:val="right"/>
      <w:pPr>
        <w:ind w:left="4320" w:hanging="180"/>
      </w:pPr>
    </w:lvl>
    <w:lvl w:ilvl="6" w:tplc="D9288D60">
      <w:start w:val="1"/>
      <w:numFmt w:val="decimal"/>
      <w:lvlText w:val="%7."/>
      <w:lvlJc w:val="left"/>
      <w:pPr>
        <w:ind w:left="5040" w:hanging="360"/>
      </w:pPr>
    </w:lvl>
    <w:lvl w:ilvl="7" w:tplc="10BE91B2">
      <w:start w:val="1"/>
      <w:numFmt w:val="lowerLetter"/>
      <w:lvlText w:val="%8."/>
      <w:lvlJc w:val="left"/>
      <w:pPr>
        <w:ind w:left="5760" w:hanging="360"/>
      </w:pPr>
    </w:lvl>
    <w:lvl w:ilvl="8" w:tplc="06928838">
      <w:start w:val="1"/>
      <w:numFmt w:val="lowerRoman"/>
      <w:lvlText w:val="%9."/>
      <w:lvlJc w:val="right"/>
      <w:pPr>
        <w:ind w:left="6480" w:hanging="180"/>
      </w:pPr>
    </w:lvl>
  </w:abstractNum>
  <w:abstractNum w:abstractNumId="23" w15:restartNumberingAfterBreak="0">
    <w:nsid w:val="5DBA7F83"/>
    <w:multiLevelType w:val="hybridMultilevel"/>
    <w:tmpl w:val="C24C733C"/>
    <w:lvl w:ilvl="0" w:tplc="3C3AF0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BB8C1F"/>
    <w:multiLevelType w:val="hybridMultilevel"/>
    <w:tmpl w:val="8F18135E"/>
    <w:lvl w:ilvl="0" w:tplc="5C9E7554">
      <w:start w:val="1"/>
      <w:numFmt w:val="bullet"/>
      <w:lvlText w:val=""/>
      <w:lvlJc w:val="left"/>
      <w:pPr>
        <w:ind w:left="720" w:hanging="360"/>
      </w:pPr>
      <w:rPr>
        <w:rFonts w:ascii="Symbol" w:hAnsi="Symbol" w:hint="default"/>
      </w:rPr>
    </w:lvl>
    <w:lvl w:ilvl="1" w:tplc="99B081E6">
      <w:start w:val="1"/>
      <w:numFmt w:val="bullet"/>
      <w:lvlText w:val=""/>
      <w:lvlJc w:val="left"/>
      <w:pPr>
        <w:ind w:left="1440" w:hanging="360"/>
      </w:pPr>
      <w:rPr>
        <w:rFonts w:ascii="Symbol" w:hAnsi="Symbol" w:hint="default"/>
      </w:rPr>
    </w:lvl>
    <w:lvl w:ilvl="2" w:tplc="C5886F46">
      <w:start w:val="1"/>
      <w:numFmt w:val="bullet"/>
      <w:lvlText w:val=""/>
      <w:lvlJc w:val="left"/>
      <w:pPr>
        <w:ind w:left="2160" w:hanging="360"/>
      </w:pPr>
      <w:rPr>
        <w:rFonts w:ascii="Wingdings" w:hAnsi="Wingdings" w:hint="default"/>
      </w:rPr>
    </w:lvl>
    <w:lvl w:ilvl="3" w:tplc="438848A6">
      <w:start w:val="1"/>
      <w:numFmt w:val="bullet"/>
      <w:lvlText w:val=""/>
      <w:lvlJc w:val="left"/>
      <w:pPr>
        <w:ind w:left="2880" w:hanging="360"/>
      </w:pPr>
      <w:rPr>
        <w:rFonts w:ascii="Symbol" w:hAnsi="Symbol" w:hint="default"/>
      </w:rPr>
    </w:lvl>
    <w:lvl w:ilvl="4" w:tplc="6F6609E8">
      <w:start w:val="1"/>
      <w:numFmt w:val="bullet"/>
      <w:lvlText w:val="o"/>
      <w:lvlJc w:val="left"/>
      <w:pPr>
        <w:ind w:left="3600" w:hanging="360"/>
      </w:pPr>
      <w:rPr>
        <w:rFonts w:ascii="Courier New" w:hAnsi="Courier New" w:hint="default"/>
      </w:rPr>
    </w:lvl>
    <w:lvl w:ilvl="5" w:tplc="8D683722">
      <w:start w:val="1"/>
      <w:numFmt w:val="bullet"/>
      <w:lvlText w:val=""/>
      <w:lvlJc w:val="left"/>
      <w:pPr>
        <w:ind w:left="4320" w:hanging="360"/>
      </w:pPr>
      <w:rPr>
        <w:rFonts w:ascii="Wingdings" w:hAnsi="Wingdings" w:hint="default"/>
      </w:rPr>
    </w:lvl>
    <w:lvl w:ilvl="6" w:tplc="9D3CA678">
      <w:start w:val="1"/>
      <w:numFmt w:val="bullet"/>
      <w:lvlText w:val=""/>
      <w:lvlJc w:val="left"/>
      <w:pPr>
        <w:ind w:left="5040" w:hanging="360"/>
      </w:pPr>
      <w:rPr>
        <w:rFonts w:ascii="Symbol" w:hAnsi="Symbol" w:hint="default"/>
      </w:rPr>
    </w:lvl>
    <w:lvl w:ilvl="7" w:tplc="F5C40FAC">
      <w:start w:val="1"/>
      <w:numFmt w:val="bullet"/>
      <w:lvlText w:val="o"/>
      <w:lvlJc w:val="left"/>
      <w:pPr>
        <w:ind w:left="5760" w:hanging="360"/>
      </w:pPr>
      <w:rPr>
        <w:rFonts w:ascii="Courier New" w:hAnsi="Courier New" w:hint="default"/>
      </w:rPr>
    </w:lvl>
    <w:lvl w:ilvl="8" w:tplc="990A9E9C">
      <w:start w:val="1"/>
      <w:numFmt w:val="bullet"/>
      <w:lvlText w:val=""/>
      <w:lvlJc w:val="left"/>
      <w:pPr>
        <w:ind w:left="6480" w:hanging="360"/>
      </w:pPr>
      <w:rPr>
        <w:rFonts w:ascii="Wingdings" w:hAnsi="Wingdings" w:hint="default"/>
      </w:rPr>
    </w:lvl>
  </w:abstractNum>
  <w:abstractNum w:abstractNumId="25" w15:restartNumberingAfterBreak="0">
    <w:nsid w:val="65C58529"/>
    <w:multiLevelType w:val="hybridMultilevel"/>
    <w:tmpl w:val="6482692E"/>
    <w:lvl w:ilvl="0" w:tplc="6672A04A">
      <w:start w:val="3"/>
      <w:numFmt w:val="decimal"/>
      <w:lvlText w:val="Q%1."/>
      <w:lvlJc w:val="left"/>
      <w:pPr>
        <w:ind w:left="360" w:hanging="360"/>
      </w:pPr>
      <w:rPr>
        <w:rFonts w:ascii="Arial" w:hAnsi="Arial" w:hint="default"/>
      </w:rPr>
    </w:lvl>
    <w:lvl w:ilvl="1" w:tplc="CADE564A">
      <w:start w:val="1"/>
      <w:numFmt w:val="lowerLetter"/>
      <w:lvlText w:val="%2."/>
      <w:lvlJc w:val="left"/>
      <w:pPr>
        <w:ind w:left="1440" w:hanging="360"/>
      </w:pPr>
    </w:lvl>
    <w:lvl w:ilvl="2" w:tplc="B87A9BDE">
      <w:start w:val="1"/>
      <w:numFmt w:val="lowerRoman"/>
      <w:lvlText w:val="%3."/>
      <w:lvlJc w:val="right"/>
      <w:pPr>
        <w:ind w:left="2160" w:hanging="180"/>
      </w:pPr>
    </w:lvl>
    <w:lvl w:ilvl="3" w:tplc="2FC60D9C">
      <w:start w:val="1"/>
      <w:numFmt w:val="decimal"/>
      <w:lvlText w:val="%4."/>
      <w:lvlJc w:val="left"/>
      <w:pPr>
        <w:ind w:left="2880" w:hanging="360"/>
      </w:pPr>
    </w:lvl>
    <w:lvl w:ilvl="4" w:tplc="8C262F2E">
      <w:start w:val="1"/>
      <w:numFmt w:val="lowerLetter"/>
      <w:lvlText w:val="%5."/>
      <w:lvlJc w:val="left"/>
      <w:pPr>
        <w:ind w:left="3600" w:hanging="360"/>
      </w:pPr>
    </w:lvl>
    <w:lvl w:ilvl="5" w:tplc="774AE384">
      <w:start w:val="1"/>
      <w:numFmt w:val="lowerRoman"/>
      <w:lvlText w:val="%6."/>
      <w:lvlJc w:val="right"/>
      <w:pPr>
        <w:ind w:left="4320" w:hanging="180"/>
      </w:pPr>
    </w:lvl>
    <w:lvl w:ilvl="6" w:tplc="ED5220C6">
      <w:start w:val="1"/>
      <w:numFmt w:val="decimal"/>
      <w:lvlText w:val="%7."/>
      <w:lvlJc w:val="left"/>
      <w:pPr>
        <w:ind w:left="5040" w:hanging="360"/>
      </w:pPr>
    </w:lvl>
    <w:lvl w:ilvl="7" w:tplc="9BB0358C">
      <w:start w:val="1"/>
      <w:numFmt w:val="lowerLetter"/>
      <w:lvlText w:val="%8."/>
      <w:lvlJc w:val="left"/>
      <w:pPr>
        <w:ind w:left="5760" w:hanging="360"/>
      </w:pPr>
    </w:lvl>
    <w:lvl w:ilvl="8" w:tplc="8F5AEE48">
      <w:start w:val="1"/>
      <w:numFmt w:val="lowerRoman"/>
      <w:lvlText w:val="%9."/>
      <w:lvlJc w:val="right"/>
      <w:pPr>
        <w:ind w:left="6480" w:hanging="180"/>
      </w:pPr>
    </w:lvl>
  </w:abstractNum>
  <w:abstractNum w:abstractNumId="26" w15:restartNumberingAfterBreak="0">
    <w:nsid w:val="68AB32BF"/>
    <w:multiLevelType w:val="hybridMultilevel"/>
    <w:tmpl w:val="AF700B20"/>
    <w:lvl w:ilvl="0" w:tplc="4216B280">
      <w:start w:val="3"/>
      <w:numFmt w:val="decimal"/>
      <w:lvlText w:val="Q%1."/>
      <w:lvlJc w:val="left"/>
      <w:pPr>
        <w:ind w:left="360" w:hanging="360"/>
      </w:pPr>
      <w:rPr>
        <w:rFonts w:ascii="Arial" w:hAnsi="Arial" w:hint="default"/>
      </w:rPr>
    </w:lvl>
    <w:lvl w:ilvl="1" w:tplc="752CACFC">
      <w:start w:val="1"/>
      <w:numFmt w:val="lowerLetter"/>
      <w:lvlText w:val="%2."/>
      <w:lvlJc w:val="left"/>
      <w:pPr>
        <w:ind w:left="1440" w:hanging="360"/>
      </w:pPr>
    </w:lvl>
    <w:lvl w:ilvl="2" w:tplc="D812B9B4">
      <w:start w:val="1"/>
      <w:numFmt w:val="lowerRoman"/>
      <w:lvlText w:val="%3."/>
      <w:lvlJc w:val="right"/>
      <w:pPr>
        <w:ind w:left="2160" w:hanging="180"/>
      </w:pPr>
    </w:lvl>
    <w:lvl w:ilvl="3" w:tplc="E2B4CA2A">
      <w:start w:val="1"/>
      <w:numFmt w:val="decimal"/>
      <w:lvlText w:val="%4."/>
      <w:lvlJc w:val="left"/>
      <w:pPr>
        <w:ind w:left="2880" w:hanging="360"/>
      </w:pPr>
    </w:lvl>
    <w:lvl w:ilvl="4" w:tplc="3124BC32">
      <w:start w:val="1"/>
      <w:numFmt w:val="lowerLetter"/>
      <w:lvlText w:val="%5."/>
      <w:lvlJc w:val="left"/>
      <w:pPr>
        <w:ind w:left="3600" w:hanging="360"/>
      </w:pPr>
    </w:lvl>
    <w:lvl w:ilvl="5" w:tplc="5D5ADEC4">
      <w:start w:val="1"/>
      <w:numFmt w:val="lowerRoman"/>
      <w:lvlText w:val="%6."/>
      <w:lvlJc w:val="right"/>
      <w:pPr>
        <w:ind w:left="4320" w:hanging="180"/>
      </w:pPr>
    </w:lvl>
    <w:lvl w:ilvl="6" w:tplc="A6E06E68">
      <w:start w:val="1"/>
      <w:numFmt w:val="decimal"/>
      <w:lvlText w:val="%7."/>
      <w:lvlJc w:val="left"/>
      <w:pPr>
        <w:ind w:left="5040" w:hanging="360"/>
      </w:pPr>
    </w:lvl>
    <w:lvl w:ilvl="7" w:tplc="2BFCCFFA">
      <w:start w:val="1"/>
      <w:numFmt w:val="lowerLetter"/>
      <w:lvlText w:val="%8."/>
      <w:lvlJc w:val="left"/>
      <w:pPr>
        <w:ind w:left="5760" w:hanging="360"/>
      </w:pPr>
    </w:lvl>
    <w:lvl w:ilvl="8" w:tplc="663A5C2E">
      <w:start w:val="1"/>
      <w:numFmt w:val="lowerRoman"/>
      <w:lvlText w:val="%9."/>
      <w:lvlJc w:val="right"/>
      <w:pPr>
        <w:ind w:left="6480" w:hanging="180"/>
      </w:pPr>
    </w:lvl>
  </w:abstractNum>
  <w:abstractNum w:abstractNumId="27" w15:restartNumberingAfterBreak="0">
    <w:nsid w:val="69EF254C"/>
    <w:multiLevelType w:val="hybridMultilevel"/>
    <w:tmpl w:val="AE8EFEB4"/>
    <w:lvl w:ilvl="0" w:tplc="C3589B62">
      <w:start w:val="3"/>
      <w:numFmt w:val="decimal"/>
      <w:lvlText w:val="Q%1."/>
      <w:lvlJc w:val="left"/>
      <w:pPr>
        <w:ind w:left="360" w:hanging="360"/>
      </w:pPr>
      <w:rPr>
        <w:rFonts w:ascii="Arial" w:hAnsi="Arial" w:hint="default"/>
      </w:rPr>
    </w:lvl>
    <w:lvl w:ilvl="1" w:tplc="A3CC441E">
      <w:start w:val="1"/>
      <w:numFmt w:val="lowerLetter"/>
      <w:lvlText w:val="%2."/>
      <w:lvlJc w:val="left"/>
      <w:pPr>
        <w:ind w:left="1440" w:hanging="360"/>
      </w:pPr>
    </w:lvl>
    <w:lvl w:ilvl="2" w:tplc="B858A1BC">
      <w:start w:val="1"/>
      <w:numFmt w:val="lowerRoman"/>
      <w:lvlText w:val="%3."/>
      <w:lvlJc w:val="right"/>
      <w:pPr>
        <w:ind w:left="2160" w:hanging="180"/>
      </w:pPr>
    </w:lvl>
    <w:lvl w:ilvl="3" w:tplc="55564244">
      <w:start w:val="1"/>
      <w:numFmt w:val="decimal"/>
      <w:lvlText w:val="%4."/>
      <w:lvlJc w:val="left"/>
      <w:pPr>
        <w:ind w:left="2880" w:hanging="360"/>
      </w:pPr>
    </w:lvl>
    <w:lvl w:ilvl="4" w:tplc="86BECFEC">
      <w:start w:val="1"/>
      <w:numFmt w:val="lowerLetter"/>
      <w:lvlText w:val="%5."/>
      <w:lvlJc w:val="left"/>
      <w:pPr>
        <w:ind w:left="3600" w:hanging="360"/>
      </w:pPr>
    </w:lvl>
    <w:lvl w:ilvl="5" w:tplc="37C6F3D0">
      <w:start w:val="1"/>
      <w:numFmt w:val="lowerRoman"/>
      <w:lvlText w:val="%6."/>
      <w:lvlJc w:val="right"/>
      <w:pPr>
        <w:ind w:left="4320" w:hanging="180"/>
      </w:pPr>
    </w:lvl>
    <w:lvl w:ilvl="6" w:tplc="2DEC08AC">
      <w:start w:val="1"/>
      <w:numFmt w:val="decimal"/>
      <w:lvlText w:val="%7."/>
      <w:lvlJc w:val="left"/>
      <w:pPr>
        <w:ind w:left="5040" w:hanging="360"/>
      </w:pPr>
    </w:lvl>
    <w:lvl w:ilvl="7" w:tplc="E926EFC6">
      <w:start w:val="1"/>
      <w:numFmt w:val="lowerLetter"/>
      <w:lvlText w:val="%8."/>
      <w:lvlJc w:val="left"/>
      <w:pPr>
        <w:ind w:left="5760" w:hanging="360"/>
      </w:pPr>
    </w:lvl>
    <w:lvl w:ilvl="8" w:tplc="2A9878AE">
      <w:start w:val="1"/>
      <w:numFmt w:val="lowerRoman"/>
      <w:lvlText w:val="%9."/>
      <w:lvlJc w:val="right"/>
      <w:pPr>
        <w:ind w:left="6480" w:hanging="180"/>
      </w:pPr>
    </w:lvl>
  </w:abstractNum>
  <w:abstractNum w:abstractNumId="28" w15:restartNumberingAfterBreak="0">
    <w:nsid w:val="6C395D67"/>
    <w:multiLevelType w:val="hybridMultilevel"/>
    <w:tmpl w:val="FD0E875E"/>
    <w:lvl w:ilvl="0" w:tplc="85C69AE6">
      <w:start w:val="3"/>
      <w:numFmt w:val="decimal"/>
      <w:lvlText w:val="Q%1."/>
      <w:lvlJc w:val="left"/>
      <w:pPr>
        <w:ind w:left="360" w:hanging="360"/>
      </w:pPr>
      <w:rPr>
        <w:rFonts w:ascii="Arial" w:hAnsi="Arial" w:hint="default"/>
      </w:rPr>
    </w:lvl>
    <w:lvl w:ilvl="1" w:tplc="FD9014A8">
      <w:start w:val="1"/>
      <w:numFmt w:val="lowerLetter"/>
      <w:lvlText w:val="%2."/>
      <w:lvlJc w:val="left"/>
      <w:pPr>
        <w:ind w:left="1440" w:hanging="360"/>
      </w:pPr>
    </w:lvl>
    <w:lvl w:ilvl="2" w:tplc="F0E63338">
      <w:start w:val="1"/>
      <w:numFmt w:val="lowerRoman"/>
      <w:lvlText w:val="%3."/>
      <w:lvlJc w:val="right"/>
      <w:pPr>
        <w:ind w:left="2160" w:hanging="180"/>
      </w:pPr>
    </w:lvl>
    <w:lvl w:ilvl="3" w:tplc="3B8CF08C">
      <w:start w:val="1"/>
      <w:numFmt w:val="decimal"/>
      <w:lvlText w:val="%4."/>
      <w:lvlJc w:val="left"/>
      <w:pPr>
        <w:ind w:left="2880" w:hanging="360"/>
      </w:pPr>
    </w:lvl>
    <w:lvl w:ilvl="4" w:tplc="C0D2DCD6">
      <w:start w:val="1"/>
      <w:numFmt w:val="lowerLetter"/>
      <w:lvlText w:val="%5."/>
      <w:lvlJc w:val="left"/>
      <w:pPr>
        <w:ind w:left="3600" w:hanging="360"/>
      </w:pPr>
    </w:lvl>
    <w:lvl w:ilvl="5" w:tplc="7A1E4AFC">
      <w:start w:val="1"/>
      <w:numFmt w:val="lowerRoman"/>
      <w:lvlText w:val="%6."/>
      <w:lvlJc w:val="right"/>
      <w:pPr>
        <w:ind w:left="4320" w:hanging="180"/>
      </w:pPr>
    </w:lvl>
    <w:lvl w:ilvl="6" w:tplc="0C06BE58">
      <w:start w:val="1"/>
      <w:numFmt w:val="decimal"/>
      <w:lvlText w:val="%7."/>
      <w:lvlJc w:val="left"/>
      <w:pPr>
        <w:ind w:left="5040" w:hanging="360"/>
      </w:pPr>
    </w:lvl>
    <w:lvl w:ilvl="7" w:tplc="CFB280D6">
      <w:start w:val="1"/>
      <w:numFmt w:val="lowerLetter"/>
      <w:lvlText w:val="%8."/>
      <w:lvlJc w:val="left"/>
      <w:pPr>
        <w:ind w:left="5760" w:hanging="360"/>
      </w:pPr>
    </w:lvl>
    <w:lvl w:ilvl="8" w:tplc="FC8AC958">
      <w:start w:val="1"/>
      <w:numFmt w:val="lowerRoman"/>
      <w:lvlText w:val="%9."/>
      <w:lvlJc w:val="right"/>
      <w:pPr>
        <w:ind w:left="6480" w:hanging="180"/>
      </w:pPr>
    </w:lvl>
  </w:abstractNum>
  <w:abstractNum w:abstractNumId="29" w15:restartNumberingAfterBreak="0">
    <w:nsid w:val="705036D7"/>
    <w:multiLevelType w:val="hybridMultilevel"/>
    <w:tmpl w:val="33C437B8"/>
    <w:lvl w:ilvl="0" w:tplc="DD386BBE">
      <w:start w:val="1"/>
      <w:numFmt w:val="decimal"/>
      <w:lvlText w:val="Q%1."/>
      <w:lvlJc w:val="left"/>
      <w:pPr>
        <w:ind w:left="360" w:hanging="360"/>
      </w:pPr>
      <w:rPr>
        <w:rFonts w:ascii="Arial" w:hAnsi="Arial" w:cs="Arial" w:hint="default"/>
        <w:sz w:val="24"/>
        <w:szCs w:val="24"/>
      </w:rPr>
    </w:lvl>
    <w:lvl w:ilvl="1" w:tplc="26503680">
      <w:start w:val="1"/>
      <w:numFmt w:val="lowerLetter"/>
      <w:lvlText w:val="%2."/>
      <w:lvlJc w:val="left"/>
      <w:pPr>
        <w:ind w:left="1080" w:hanging="360"/>
      </w:pPr>
    </w:lvl>
    <w:lvl w:ilvl="2" w:tplc="14BE3328">
      <w:start w:val="1"/>
      <w:numFmt w:val="lowerRoman"/>
      <w:lvlText w:val="%3."/>
      <w:lvlJc w:val="right"/>
      <w:pPr>
        <w:ind w:left="1800" w:hanging="180"/>
      </w:pPr>
    </w:lvl>
    <w:lvl w:ilvl="3" w:tplc="0B2265C2">
      <w:start w:val="1"/>
      <w:numFmt w:val="decimal"/>
      <w:lvlText w:val="%4."/>
      <w:lvlJc w:val="left"/>
      <w:pPr>
        <w:ind w:left="2520" w:hanging="360"/>
      </w:pPr>
    </w:lvl>
    <w:lvl w:ilvl="4" w:tplc="3042A1F6">
      <w:start w:val="1"/>
      <w:numFmt w:val="lowerLetter"/>
      <w:lvlText w:val="%5."/>
      <w:lvlJc w:val="left"/>
      <w:pPr>
        <w:ind w:left="3240" w:hanging="360"/>
      </w:pPr>
    </w:lvl>
    <w:lvl w:ilvl="5" w:tplc="DA0E0E54">
      <w:start w:val="1"/>
      <w:numFmt w:val="lowerRoman"/>
      <w:lvlText w:val="%6."/>
      <w:lvlJc w:val="right"/>
      <w:pPr>
        <w:ind w:left="3960" w:hanging="180"/>
      </w:pPr>
    </w:lvl>
    <w:lvl w:ilvl="6" w:tplc="EF1CAE64">
      <w:start w:val="1"/>
      <w:numFmt w:val="decimal"/>
      <w:lvlText w:val="%7."/>
      <w:lvlJc w:val="left"/>
      <w:pPr>
        <w:ind w:left="4680" w:hanging="360"/>
      </w:pPr>
    </w:lvl>
    <w:lvl w:ilvl="7" w:tplc="E7844FBE">
      <w:start w:val="1"/>
      <w:numFmt w:val="lowerLetter"/>
      <w:lvlText w:val="%8."/>
      <w:lvlJc w:val="left"/>
      <w:pPr>
        <w:ind w:left="5400" w:hanging="360"/>
      </w:pPr>
    </w:lvl>
    <w:lvl w:ilvl="8" w:tplc="8B523E82">
      <w:start w:val="1"/>
      <w:numFmt w:val="lowerRoman"/>
      <w:lvlText w:val="%9."/>
      <w:lvlJc w:val="right"/>
      <w:pPr>
        <w:ind w:left="6120" w:hanging="180"/>
      </w:pPr>
    </w:lvl>
  </w:abstractNum>
  <w:abstractNum w:abstractNumId="30" w15:restartNumberingAfterBreak="0">
    <w:nsid w:val="7313E47F"/>
    <w:multiLevelType w:val="hybridMultilevel"/>
    <w:tmpl w:val="8520C0D6"/>
    <w:lvl w:ilvl="0" w:tplc="48462722">
      <w:start w:val="1"/>
      <w:numFmt w:val="bullet"/>
      <w:lvlText w:val=""/>
      <w:lvlJc w:val="left"/>
      <w:pPr>
        <w:ind w:left="720" w:hanging="360"/>
      </w:pPr>
      <w:rPr>
        <w:rFonts w:ascii="Symbol" w:hAnsi="Symbol" w:hint="default"/>
      </w:rPr>
    </w:lvl>
    <w:lvl w:ilvl="1" w:tplc="8CEA93C0">
      <w:start w:val="1"/>
      <w:numFmt w:val="bullet"/>
      <w:lvlText w:val=""/>
      <w:lvlJc w:val="left"/>
      <w:pPr>
        <w:ind w:left="1440" w:hanging="360"/>
      </w:pPr>
      <w:rPr>
        <w:rFonts w:ascii="Symbol" w:hAnsi="Symbol" w:hint="default"/>
      </w:rPr>
    </w:lvl>
    <w:lvl w:ilvl="2" w:tplc="AF887640">
      <w:start w:val="1"/>
      <w:numFmt w:val="bullet"/>
      <w:lvlText w:val=""/>
      <w:lvlJc w:val="left"/>
      <w:pPr>
        <w:ind w:left="2160" w:hanging="360"/>
      </w:pPr>
      <w:rPr>
        <w:rFonts w:ascii="Wingdings" w:hAnsi="Wingdings" w:hint="default"/>
      </w:rPr>
    </w:lvl>
    <w:lvl w:ilvl="3" w:tplc="15FA9600">
      <w:start w:val="1"/>
      <w:numFmt w:val="bullet"/>
      <w:lvlText w:val=""/>
      <w:lvlJc w:val="left"/>
      <w:pPr>
        <w:ind w:left="2880" w:hanging="360"/>
      </w:pPr>
      <w:rPr>
        <w:rFonts w:ascii="Symbol" w:hAnsi="Symbol" w:hint="default"/>
      </w:rPr>
    </w:lvl>
    <w:lvl w:ilvl="4" w:tplc="25D02112">
      <w:start w:val="1"/>
      <w:numFmt w:val="bullet"/>
      <w:lvlText w:val="o"/>
      <w:lvlJc w:val="left"/>
      <w:pPr>
        <w:ind w:left="3600" w:hanging="360"/>
      </w:pPr>
      <w:rPr>
        <w:rFonts w:ascii="Courier New" w:hAnsi="Courier New" w:hint="default"/>
      </w:rPr>
    </w:lvl>
    <w:lvl w:ilvl="5" w:tplc="149CEB70">
      <w:start w:val="1"/>
      <w:numFmt w:val="bullet"/>
      <w:lvlText w:val=""/>
      <w:lvlJc w:val="left"/>
      <w:pPr>
        <w:ind w:left="4320" w:hanging="360"/>
      </w:pPr>
      <w:rPr>
        <w:rFonts w:ascii="Wingdings" w:hAnsi="Wingdings" w:hint="default"/>
      </w:rPr>
    </w:lvl>
    <w:lvl w:ilvl="6" w:tplc="A510D6AA">
      <w:start w:val="1"/>
      <w:numFmt w:val="bullet"/>
      <w:lvlText w:val=""/>
      <w:lvlJc w:val="left"/>
      <w:pPr>
        <w:ind w:left="5040" w:hanging="360"/>
      </w:pPr>
      <w:rPr>
        <w:rFonts w:ascii="Symbol" w:hAnsi="Symbol" w:hint="default"/>
      </w:rPr>
    </w:lvl>
    <w:lvl w:ilvl="7" w:tplc="F9CA4282">
      <w:start w:val="1"/>
      <w:numFmt w:val="bullet"/>
      <w:lvlText w:val="o"/>
      <w:lvlJc w:val="left"/>
      <w:pPr>
        <w:ind w:left="5760" w:hanging="360"/>
      </w:pPr>
      <w:rPr>
        <w:rFonts w:ascii="Courier New" w:hAnsi="Courier New" w:hint="default"/>
      </w:rPr>
    </w:lvl>
    <w:lvl w:ilvl="8" w:tplc="FF085922">
      <w:start w:val="1"/>
      <w:numFmt w:val="bullet"/>
      <w:lvlText w:val=""/>
      <w:lvlJc w:val="left"/>
      <w:pPr>
        <w:ind w:left="6480" w:hanging="360"/>
      </w:pPr>
      <w:rPr>
        <w:rFonts w:ascii="Wingdings" w:hAnsi="Wingdings" w:hint="default"/>
      </w:rPr>
    </w:lvl>
  </w:abstractNum>
  <w:abstractNum w:abstractNumId="31" w15:restartNumberingAfterBreak="0">
    <w:nsid w:val="7459D585"/>
    <w:multiLevelType w:val="hybridMultilevel"/>
    <w:tmpl w:val="F13C1E64"/>
    <w:lvl w:ilvl="0" w:tplc="6A4411F2">
      <w:start w:val="3"/>
      <w:numFmt w:val="decimal"/>
      <w:lvlText w:val="Q%1."/>
      <w:lvlJc w:val="left"/>
      <w:pPr>
        <w:ind w:left="360" w:hanging="360"/>
      </w:pPr>
      <w:rPr>
        <w:rFonts w:ascii="Arial" w:hAnsi="Arial" w:hint="default"/>
      </w:rPr>
    </w:lvl>
    <w:lvl w:ilvl="1" w:tplc="B17A2480">
      <w:start w:val="1"/>
      <w:numFmt w:val="lowerLetter"/>
      <w:lvlText w:val="%2."/>
      <w:lvlJc w:val="left"/>
      <w:pPr>
        <w:ind w:left="1440" w:hanging="360"/>
      </w:pPr>
    </w:lvl>
    <w:lvl w:ilvl="2" w:tplc="9F0C3E3C">
      <w:start w:val="1"/>
      <w:numFmt w:val="lowerRoman"/>
      <w:lvlText w:val="%3."/>
      <w:lvlJc w:val="right"/>
      <w:pPr>
        <w:ind w:left="2160" w:hanging="180"/>
      </w:pPr>
    </w:lvl>
    <w:lvl w:ilvl="3" w:tplc="0862D25A">
      <w:start w:val="1"/>
      <w:numFmt w:val="decimal"/>
      <w:lvlText w:val="%4."/>
      <w:lvlJc w:val="left"/>
      <w:pPr>
        <w:ind w:left="2880" w:hanging="360"/>
      </w:pPr>
    </w:lvl>
    <w:lvl w:ilvl="4" w:tplc="7C16D3AE">
      <w:start w:val="1"/>
      <w:numFmt w:val="lowerLetter"/>
      <w:lvlText w:val="%5."/>
      <w:lvlJc w:val="left"/>
      <w:pPr>
        <w:ind w:left="3600" w:hanging="360"/>
      </w:pPr>
    </w:lvl>
    <w:lvl w:ilvl="5" w:tplc="6F547AEC">
      <w:start w:val="1"/>
      <w:numFmt w:val="lowerRoman"/>
      <w:lvlText w:val="%6."/>
      <w:lvlJc w:val="right"/>
      <w:pPr>
        <w:ind w:left="4320" w:hanging="180"/>
      </w:pPr>
    </w:lvl>
    <w:lvl w:ilvl="6" w:tplc="4BA21B20">
      <w:start w:val="1"/>
      <w:numFmt w:val="decimal"/>
      <w:lvlText w:val="%7."/>
      <w:lvlJc w:val="left"/>
      <w:pPr>
        <w:ind w:left="5040" w:hanging="360"/>
      </w:pPr>
    </w:lvl>
    <w:lvl w:ilvl="7" w:tplc="F74EF19A">
      <w:start w:val="1"/>
      <w:numFmt w:val="lowerLetter"/>
      <w:lvlText w:val="%8."/>
      <w:lvlJc w:val="left"/>
      <w:pPr>
        <w:ind w:left="5760" w:hanging="360"/>
      </w:pPr>
    </w:lvl>
    <w:lvl w:ilvl="8" w:tplc="3E328574">
      <w:start w:val="1"/>
      <w:numFmt w:val="lowerRoman"/>
      <w:lvlText w:val="%9."/>
      <w:lvlJc w:val="right"/>
      <w:pPr>
        <w:ind w:left="6480" w:hanging="180"/>
      </w:pPr>
    </w:lvl>
  </w:abstractNum>
  <w:abstractNum w:abstractNumId="32" w15:restartNumberingAfterBreak="0">
    <w:nsid w:val="78060A70"/>
    <w:multiLevelType w:val="hybridMultilevel"/>
    <w:tmpl w:val="1460F79C"/>
    <w:lvl w:ilvl="0" w:tplc="C14AB1CC">
      <w:start w:val="1"/>
      <w:numFmt w:val="bullet"/>
      <w:lvlText w:val=""/>
      <w:lvlJc w:val="left"/>
      <w:pPr>
        <w:ind w:left="720" w:hanging="360"/>
      </w:pPr>
      <w:rPr>
        <w:rFonts w:ascii="Symbol" w:hAnsi="Symbol" w:hint="default"/>
      </w:rPr>
    </w:lvl>
    <w:lvl w:ilvl="1" w:tplc="897268AA">
      <w:start w:val="1"/>
      <w:numFmt w:val="bullet"/>
      <w:lvlText w:val=""/>
      <w:lvlJc w:val="left"/>
      <w:pPr>
        <w:ind w:left="1440" w:hanging="360"/>
      </w:pPr>
      <w:rPr>
        <w:rFonts w:ascii="Symbol" w:hAnsi="Symbol" w:hint="default"/>
      </w:rPr>
    </w:lvl>
    <w:lvl w:ilvl="2" w:tplc="E2FEB0BE">
      <w:start w:val="1"/>
      <w:numFmt w:val="bullet"/>
      <w:lvlText w:val=""/>
      <w:lvlJc w:val="left"/>
      <w:pPr>
        <w:ind w:left="2160" w:hanging="360"/>
      </w:pPr>
      <w:rPr>
        <w:rFonts w:ascii="Wingdings" w:hAnsi="Wingdings" w:hint="default"/>
      </w:rPr>
    </w:lvl>
    <w:lvl w:ilvl="3" w:tplc="F3FA5E98">
      <w:start w:val="1"/>
      <w:numFmt w:val="bullet"/>
      <w:lvlText w:val=""/>
      <w:lvlJc w:val="left"/>
      <w:pPr>
        <w:ind w:left="2880" w:hanging="360"/>
      </w:pPr>
      <w:rPr>
        <w:rFonts w:ascii="Symbol" w:hAnsi="Symbol" w:hint="default"/>
      </w:rPr>
    </w:lvl>
    <w:lvl w:ilvl="4" w:tplc="5756F3E0">
      <w:start w:val="1"/>
      <w:numFmt w:val="bullet"/>
      <w:lvlText w:val="o"/>
      <w:lvlJc w:val="left"/>
      <w:pPr>
        <w:ind w:left="3600" w:hanging="360"/>
      </w:pPr>
      <w:rPr>
        <w:rFonts w:ascii="Courier New" w:hAnsi="Courier New" w:hint="default"/>
      </w:rPr>
    </w:lvl>
    <w:lvl w:ilvl="5" w:tplc="8212635A">
      <w:start w:val="1"/>
      <w:numFmt w:val="bullet"/>
      <w:lvlText w:val=""/>
      <w:lvlJc w:val="left"/>
      <w:pPr>
        <w:ind w:left="4320" w:hanging="360"/>
      </w:pPr>
      <w:rPr>
        <w:rFonts w:ascii="Wingdings" w:hAnsi="Wingdings" w:hint="default"/>
      </w:rPr>
    </w:lvl>
    <w:lvl w:ilvl="6" w:tplc="FCB2E7E0">
      <w:start w:val="1"/>
      <w:numFmt w:val="bullet"/>
      <w:lvlText w:val=""/>
      <w:lvlJc w:val="left"/>
      <w:pPr>
        <w:ind w:left="5040" w:hanging="360"/>
      </w:pPr>
      <w:rPr>
        <w:rFonts w:ascii="Symbol" w:hAnsi="Symbol" w:hint="default"/>
      </w:rPr>
    </w:lvl>
    <w:lvl w:ilvl="7" w:tplc="109EBC64">
      <w:start w:val="1"/>
      <w:numFmt w:val="bullet"/>
      <w:lvlText w:val="o"/>
      <w:lvlJc w:val="left"/>
      <w:pPr>
        <w:ind w:left="5760" w:hanging="360"/>
      </w:pPr>
      <w:rPr>
        <w:rFonts w:ascii="Courier New" w:hAnsi="Courier New" w:hint="default"/>
      </w:rPr>
    </w:lvl>
    <w:lvl w:ilvl="8" w:tplc="FE802172">
      <w:start w:val="1"/>
      <w:numFmt w:val="bullet"/>
      <w:lvlText w:val=""/>
      <w:lvlJc w:val="left"/>
      <w:pPr>
        <w:ind w:left="6480" w:hanging="360"/>
      </w:pPr>
      <w:rPr>
        <w:rFonts w:ascii="Wingdings" w:hAnsi="Wingdings" w:hint="default"/>
      </w:rPr>
    </w:lvl>
  </w:abstractNum>
  <w:abstractNum w:abstractNumId="33" w15:restartNumberingAfterBreak="0">
    <w:nsid w:val="7CDBAC54"/>
    <w:multiLevelType w:val="hybridMultilevel"/>
    <w:tmpl w:val="9A60BBFA"/>
    <w:lvl w:ilvl="0" w:tplc="1E78299C">
      <w:start w:val="3"/>
      <w:numFmt w:val="decimal"/>
      <w:lvlText w:val="Q%1."/>
      <w:lvlJc w:val="left"/>
      <w:pPr>
        <w:ind w:left="360" w:hanging="360"/>
      </w:pPr>
      <w:rPr>
        <w:rFonts w:ascii="Arial" w:hAnsi="Arial" w:hint="default"/>
      </w:rPr>
    </w:lvl>
    <w:lvl w:ilvl="1" w:tplc="9E884088">
      <w:start w:val="1"/>
      <w:numFmt w:val="lowerLetter"/>
      <w:lvlText w:val="%2."/>
      <w:lvlJc w:val="left"/>
      <w:pPr>
        <w:ind w:left="1440" w:hanging="360"/>
      </w:pPr>
    </w:lvl>
    <w:lvl w:ilvl="2" w:tplc="FFECC7D0">
      <w:start w:val="1"/>
      <w:numFmt w:val="lowerRoman"/>
      <w:lvlText w:val="%3."/>
      <w:lvlJc w:val="right"/>
      <w:pPr>
        <w:ind w:left="2160" w:hanging="180"/>
      </w:pPr>
    </w:lvl>
    <w:lvl w:ilvl="3" w:tplc="F1EA219C">
      <w:start w:val="1"/>
      <w:numFmt w:val="decimal"/>
      <w:lvlText w:val="%4."/>
      <w:lvlJc w:val="left"/>
      <w:pPr>
        <w:ind w:left="2880" w:hanging="360"/>
      </w:pPr>
    </w:lvl>
    <w:lvl w:ilvl="4" w:tplc="B238B218">
      <w:start w:val="1"/>
      <w:numFmt w:val="lowerLetter"/>
      <w:lvlText w:val="%5."/>
      <w:lvlJc w:val="left"/>
      <w:pPr>
        <w:ind w:left="3600" w:hanging="360"/>
      </w:pPr>
    </w:lvl>
    <w:lvl w:ilvl="5" w:tplc="E77AAECA">
      <w:start w:val="1"/>
      <w:numFmt w:val="lowerRoman"/>
      <w:lvlText w:val="%6."/>
      <w:lvlJc w:val="right"/>
      <w:pPr>
        <w:ind w:left="4320" w:hanging="180"/>
      </w:pPr>
    </w:lvl>
    <w:lvl w:ilvl="6" w:tplc="15940E5C">
      <w:start w:val="1"/>
      <w:numFmt w:val="decimal"/>
      <w:lvlText w:val="%7."/>
      <w:lvlJc w:val="left"/>
      <w:pPr>
        <w:ind w:left="5040" w:hanging="360"/>
      </w:pPr>
    </w:lvl>
    <w:lvl w:ilvl="7" w:tplc="5E320210">
      <w:start w:val="1"/>
      <w:numFmt w:val="lowerLetter"/>
      <w:lvlText w:val="%8."/>
      <w:lvlJc w:val="left"/>
      <w:pPr>
        <w:ind w:left="5760" w:hanging="360"/>
      </w:pPr>
    </w:lvl>
    <w:lvl w:ilvl="8" w:tplc="69CA05CA">
      <w:start w:val="1"/>
      <w:numFmt w:val="lowerRoman"/>
      <w:lvlText w:val="%9."/>
      <w:lvlJc w:val="right"/>
      <w:pPr>
        <w:ind w:left="6480" w:hanging="180"/>
      </w:pPr>
    </w:lvl>
  </w:abstractNum>
  <w:num w:numId="1" w16cid:durableId="1013535814">
    <w:abstractNumId w:val="1"/>
  </w:num>
  <w:num w:numId="2" w16cid:durableId="1345664609">
    <w:abstractNumId w:val="32"/>
  </w:num>
  <w:num w:numId="3" w16cid:durableId="1922253110">
    <w:abstractNumId w:val="16"/>
  </w:num>
  <w:num w:numId="4" w16cid:durableId="1649703365">
    <w:abstractNumId w:val="9"/>
  </w:num>
  <w:num w:numId="5" w16cid:durableId="24986826">
    <w:abstractNumId w:val="29"/>
  </w:num>
  <w:num w:numId="6" w16cid:durableId="2039774070">
    <w:abstractNumId w:val="11"/>
  </w:num>
  <w:num w:numId="7" w16cid:durableId="2012676684">
    <w:abstractNumId w:val="30"/>
  </w:num>
  <w:num w:numId="8" w16cid:durableId="1873492685">
    <w:abstractNumId w:val="14"/>
  </w:num>
  <w:num w:numId="9" w16cid:durableId="1799953635">
    <w:abstractNumId w:val="24"/>
  </w:num>
  <w:num w:numId="10" w16cid:durableId="1000234358">
    <w:abstractNumId w:val="12"/>
  </w:num>
  <w:num w:numId="11" w16cid:durableId="992299609">
    <w:abstractNumId w:val="8"/>
  </w:num>
  <w:num w:numId="12" w16cid:durableId="1546983441">
    <w:abstractNumId w:val="0"/>
  </w:num>
  <w:num w:numId="13" w16cid:durableId="1919092298">
    <w:abstractNumId w:val="27"/>
  </w:num>
  <w:num w:numId="14" w16cid:durableId="1825854300">
    <w:abstractNumId w:val="31"/>
  </w:num>
  <w:num w:numId="15" w16cid:durableId="506528771">
    <w:abstractNumId w:val="33"/>
  </w:num>
  <w:num w:numId="16" w16cid:durableId="869689367">
    <w:abstractNumId w:val="18"/>
  </w:num>
  <w:num w:numId="17" w16cid:durableId="216552152">
    <w:abstractNumId w:val="26"/>
  </w:num>
  <w:num w:numId="18" w16cid:durableId="79765318">
    <w:abstractNumId w:val="6"/>
  </w:num>
  <w:num w:numId="19" w16cid:durableId="69818608">
    <w:abstractNumId w:val="28"/>
  </w:num>
  <w:num w:numId="20" w16cid:durableId="667634038">
    <w:abstractNumId w:val="25"/>
  </w:num>
  <w:num w:numId="21" w16cid:durableId="1212812406">
    <w:abstractNumId w:val="21"/>
  </w:num>
  <w:num w:numId="22" w16cid:durableId="1866098300">
    <w:abstractNumId w:val="5"/>
  </w:num>
  <w:num w:numId="23" w16cid:durableId="1501576517">
    <w:abstractNumId w:val="22"/>
  </w:num>
  <w:num w:numId="24" w16cid:durableId="1920872017">
    <w:abstractNumId w:val="10"/>
  </w:num>
  <w:num w:numId="25" w16cid:durableId="1858077471">
    <w:abstractNumId w:val="2"/>
  </w:num>
  <w:num w:numId="26" w16cid:durableId="947544808">
    <w:abstractNumId w:val="7"/>
  </w:num>
  <w:num w:numId="27" w16cid:durableId="268856147">
    <w:abstractNumId w:val="3"/>
  </w:num>
  <w:num w:numId="28" w16cid:durableId="1984235923">
    <w:abstractNumId w:val="13"/>
  </w:num>
  <w:num w:numId="29" w16cid:durableId="217516723">
    <w:abstractNumId w:val="23"/>
  </w:num>
  <w:num w:numId="30" w16cid:durableId="1414619055">
    <w:abstractNumId w:val="15"/>
  </w:num>
  <w:num w:numId="31" w16cid:durableId="386075703">
    <w:abstractNumId w:val="20"/>
  </w:num>
  <w:num w:numId="32" w16cid:durableId="1722092831">
    <w:abstractNumId w:val="17"/>
  </w:num>
  <w:num w:numId="33" w16cid:durableId="1213887820">
    <w:abstractNumId w:val="19"/>
  </w:num>
  <w:num w:numId="34" w16cid:durableId="602304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15969"/>
    <w:rsid w:val="00016527"/>
    <w:rsid w:val="00027125"/>
    <w:rsid w:val="000557AC"/>
    <w:rsid w:val="00063B9D"/>
    <w:rsid w:val="0009064B"/>
    <w:rsid w:val="000A6CE7"/>
    <w:rsid w:val="000C07DB"/>
    <w:rsid w:val="000E31D6"/>
    <w:rsid w:val="00103353"/>
    <w:rsid w:val="00116087"/>
    <w:rsid w:val="00130419"/>
    <w:rsid w:val="001335AB"/>
    <w:rsid w:val="0014043C"/>
    <w:rsid w:val="0014731B"/>
    <w:rsid w:val="001A6285"/>
    <w:rsid w:val="001A7C86"/>
    <w:rsid w:val="001B34F1"/>
    <w:rsid w:val="001B75EC"/>
    <w:rsid w:val="001E0639"/>
    <w:rsid w:val="001F62F3"/>
    <w:rsid w:val="00203587"/>
    <w:rsid w:val="00235167"/>
    <w:rsid w:val="002747CF"/>
    <w:rsid w:val="002A5F7A"/>
    <w:rsid w:val="002D11A5"/>
    <w:rsid w:val="002F74F6"/>
    <w:rsid w:val="00300FB1"/>
    <w:rsid w:val="00306C82"/>
    <w:rsid w:val="00324EB7"/>
    <w:rsid w:val="00342707"/>
    <w:rsid w:val="00342CB2"/>
    <w:rsid w:val="00391D5C"/>
    <w:rsid w:val="00393DE0"/>
    <w:rsid w:val="003A0C4A"/>
    <w:rsid w:val="003B067D"/>
    <w:rsid w:val="003E0AD6"/>
    <w:rsid w:val="003E0D2D"/>
    <w:rsid w:val="003E404F"/>
    <w:rsid w:val="003F0056"/>
    <w:rsid w:val="00410AC7"/>
    <w:rsid w:val="00410FAF"/>
    <w:rsid w:val="00415DE9"/>
    <w:rsid w:val="00417FE8"/>
    <w:rsid w:val="00430859"/>
    <w:rsid w:val="00435A9A"/>
    <w:rsid w:val="004379A5"/>
    <w:rsid w:val="00437D5F"/>
    <w:rsid w:val="004504D5"/>
    <w:rsid w:val="00456D76"/>
    <w:rsid w:val="0049146F"/>
    <w:rsid w:val="00493781"/>
    <w:rsid w:val="004A1AAA"/>
    <w:rsid w:val="004A4C18"/>
    <w:rsid w:val="004D128F"/>
    <w:rsid w:val="004E4D9F"/>
    <w:rsid w:val="004E57B1"/>
    <w:rsid w:val="004F4A11"/>
    <w:rsid w:val="005100D5"/>
    <w:rsid w:val="00524EA9"/>
    <w:rsid w:val="00525E2C"/>
    <w:rsid w:val="00527817"/>
    <w:rsid w:val="00537FE7"/>
    <w:rsid w:val="005568CA"/>
    <w:rsid w:val="00566D9C"/>
    <w:rsid w:val="00577D95"/>
    <w:rsid w:val="0059609D"/>
    <w:rsid w:val="005A10A7"/>
    <w:rsid w:val="005B4E27"/>
    <w:rsid w:val="005E098C"/>
    <w:rsid w:val="005E6FA2"/>
    <w:rsid w:val="005F575B"/>
    <w:rsid w:val="005F6112"/>
    <w:rsid w:val="00650345"/>
    <w:rsid w:val="006511D6"/>
    <w:rsid w:val="00654BE4"/>
    <w:rsid w:val="0066115A"/>
    <w:rsid w:val="00681D81"/>
    <w:rsid w:val="00686A96"/>
    <w:rsid w:val="00693454"/>
    <w:rsid w:val="006A57AF"/>
    <w:rsid w:val="006B13F0"/>
    <w:rsid w:val="006D3827"/>
    <w:rsid w:val="006D5B4C"/>
    <w:rsid w:val="006E146A"/>
    <w:rsid w:val="007134AE"/>
    <w:rsid w:val="007211FC"/>
    <w:rsid w:val="0072524F"/>
    <w:rsid w:val="00751C0F"/>
    <w:rsid w:val="00761F8B"/>
    <w:rsid w:val="0077265A"/>
    <w:rsid w:val="00777798"/>
    <w:rsid w:val="0078154A"/>
    <w:rsid w:val="00783717"/>
    <w:rsid w:val="007840C5"/>
    <w:rsid w:val="007C2562"/>
    <w:rsid w:val="007C4B77"/>
    <w:rsid w:val="007C6051"/>
    <w:rsid w:val="007D545A"/>
    <w:rsid w:val="007F0368"/>
    <w:rsid w:val="008010FA"/>
    <w:rsid w:val="0081533B"/>
    <w:rsid w:val="00846985"/>
    <w:rsid w:val="00874988"/>
    <w:rsid w:val="00891290"/>
    <w:rsid w:val="00891410"/>
    <w:rsid w:val="008C587E"/>
    <w:rsid w:val="008D769F"/>
    <w:rsid w:val="008E1433"/>
    <w:rsid w:val="008E3926"/>
    <w:rsid w:val="008E7852"/>
    <w:rsid w:val="008F26CC"/>
    <w:rsid w:val="008F7BB2"/>
    <w:rsid w:val="00901BDE"/>
    <w:rsid w:val="00910710"/>
    <w:rsid w:val="0091761C"/>
    <w:rsid w:val="009407F5"/>
    <w:rsid w:val="00946D86"/>
    <w:rsid w:val="00950AF4"/>
    <w:rsid w:val="00951731"/>
    <w:rsid w:val="00951BD4"/>
    <w:rsid w:val="00956D6E"/>
    <w:rsid w:val="0096692E"/>
    <w:rsid w:val="009A422C"/>
    <w:rsid w:val="009A57B5"/>
    <w:rsid w:val="009B0ED8"/>
    <w:rsid w:val="009D24FA"/>
    <w:rsid w:val="009D619F"/>
    <w:rsid w:val="009E6C35"/>
    <w:rsid w:val="009E754B"/>
    <w:rsid w:val="009F6B44"/>
    <w:rsid w:val="00A15D24"/>
    <w:rsid w:val="00A15FA8"/>
    <w:rsid w:val="00A17202"/>
    <w:rsid w:val="00A3384C"/>
    <w:rsid w:val="00A36CF5"/>
    <w:rsid w:val="00A37699"/>
    <w:rsid w:val="00A517F6"/>
    <w:rsid w:val="00A63CA8"/>
    <w:rsid w:val="00A73089"/>
    <w:rsid w:val="00A85F75"/>
    <w:rsid w:val="00A90DC6"/>
    <w:rsid w:val="00AD21FC"/>
    <w:rsid w:val="00AD5870"/>
    <w:rsid w:val="00AE05B9"/>
    <w:rsid w:val="00B03AD3"/>
    <w:rsid w:val="00B45E01"/>
    <w:rsid w:val="00B63BC7"/>
    <w:rsid w:val="00B76743"/>
    <w:rsid w:val="00B80E72"/>
    <w:rsid w:val="00B84D31"/>
    <w:rsid w:val="00B906E9"/>
    <w:rsid w:val="00B95798"/>
    <w:rsid w:val="00BA1317"/>
    <w:rsid w:val="00BA3F4C"/>
    <w:rsid w:val="00BB5AA9"/>
    <w:rsid w:val="00BB5DCD"/>
    <w:rsid w:val="00BD2221"/>
    <w:rsid w:val="00BE0C12"/>
    <w:rsid w:val="00C009DD"/>
    <w:rsid w:val="00C01C97"/>
    <w:rsid w:val="00C03527"/>
    <w:rsid w:val="00C2336E"/>
    <w:rsid w:val="00C353F1"/>
    <w:rsid w:val="00C67037"/>
    <w:rsid w:val="00C744B2"/>
    <w:rsid w:val="00C75746"/>
    <w:rsid w:val="00C93693"/>
    <w:rsid w:val="00C96BDD"/>
    <w:rsid w:val="00CA6B2B"/>
    <w:rsid w:val="00CD09FB"/>
    <w:rsid w:val="00CD47E0"/>
    <w:rsid w:val="00CD6F28"/>
    <w:rsid w:val="00CE250C"/>
    <w:rsid w:val="00D1076C"/>
    <w:rsid w:val="00D27F41"/>
    <w:rsid w:val="00D32C3D"/>
    <w:rsid w:val="00D33013"/>
    <w:rsid w:val="00D42F1B"/>
    <w:rsid w:val="00D431C2"/>
    <w:rsid w:val="00D43B83"/>
    <w:rsid w:val="00DC56D1"/>
    <w:rsid w:val="00DE3EF2"/>
    <w:rsid w:val="00E210F6"/>
    <w:rsid w:val="00E62715"/>
    <w:rsid w:val="00E95AA9"/>
    <w:rsid w:val="00EA7BDE"/>
    <w:rsid w:val="00ED18F1"/>
    <w:rsid w:val="00F10DFF"/>
    <w:rsid w:val="00F220FC"/>
    <w:rsid w:val="00F22AD4"/>
    <w:rsid w:val="00F32F12"/>
    <w:rsid w:val="00F4732F"/>
    <w:rsid w:val="00F86D2B"/>
    <w:rsid w:val="00F90F6B"/>
    <w:rsid w:val="00F947AC"/>
    <w:rsid w:val="00F95D8D"/>
    <w:rsid w:val="00F967DF"/>
    <w:rsid w:val="00FB53D9"/>
    <w:rsid w:val="00FE5320"/>
    <w:rsid w:val="00FF7303"/>
    <w:rsid w:val="00FF7B21"/>
    <w:rsid w:val="0CDE3617"/>
    <w:rsid w:val="0DC38D6D"/>
    <w:rsid w:val="2407BBC1"/>
    <w:rsid w:val="4D7C6706"/>
    <w:rsid w:val="52521B09"/>
    <w:rsid w:val="5770E9BA"/>
    <w:rsid w:val="65B14D97"/>
    <w:rsid w:val="7324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50BC5FE8-22D1-40C7-8E5B-B18EB50D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74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75746"/>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574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uiPriority w:val="1"/>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uiPriority w:val="1"/>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uiPriority w:val="1"/>
    <w:rsid w:val="00D33013"/>
  </w:style>
  <w:style w:type="character" w:customStyle="1" w:styleId="eop">
    <w:name w:val="eop"/>
    <w:basedOn w:val="DefaultParagraphFont"/>
    <w:uiPriority w:val="1"/>
    <w:rsid w:val="00D33013"/>
  </w:style>
  <w:style w:type="character" w:styleId="UnresolvedMention">
    <w:name w:val="Unresolved Mention"/>
    <w:basedOn w:val="DefaultParagraphFont"/>
    <w:uiPriority w:val="99"/>
    <w:semiHidden/>
    <w:unhideWhenUsed/>
    <w:rsid w:val="00435A9A"/>
    <w:rPr>
      <w:color w:val="605E5C"/>
      <w:shd w:val="clear" w:color="auto" w:fill="E1DFDD"/>
    </w:rPr>
  </w:style>
  <w:style w:type="character" w:customStyle="1" w:styleId="Heading1Char">
    <w:name w:val="Heading 1 Char"/>
    <w:basedOn w:val="DefaultParagraphFont"/>
    <w:link w:val="Heading1"/>
    <w:uiPriority w:val="9"/>
    <w:rsid w:val="00C7574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574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75746"/>
    <w:rPr>
      <w:rFonts w:asciiTheme="majorHAnsi" w:eastAsiaTheme="majorEastAsia" w:hAnsiTheme="majorHAnsi" w:cstheme="majorBidi"/>
      <w:color w:val="243F60" w:themeColor="accent1" w:themeShade="7F"/>
    </w:rPr>
  </w:style>
  <w:style w:type="character" w:customStyle="1" w:styleId="advancedproofingissue">
    <w:name w:val="advancedproofingissue"/>
    <w:basedOn w:val="DefaultParagraphFont"/>
    <w:uiPriority w:val="1"/>
    <w:rsid w:val="00C75746"/>
  </w:style>
  <w:style w:type="paragraph" w:styleId="ListParagraph">
    <w:name w:val="List Paragraph"/>
    <w:basedOn w:val="Normal"/>
    <w:uiPriority w:val="34"/>
    <w:qFormat/>
    <w:rsid w:val="00C75746"/>
    <w:pPr>
      <w:spacing w:after="160" w:line="259" w:lineRule="auto"/>
      <w:ind w:left="720"/>
      <w:contextualSpacing/>
    </w:pPr>
    <w:rPr>
      <w:rFonts w:eastAsiaTheme="minorHAnsi"/>
      <w:sz w:val="22"/>
      <w:szCs w:val="22"/>
    </w:rPr>
  </w:style>
  <w:style w:type="paragraph" w:styleId="TOC1">
    <w:name w:val="toc 1"/>
    <w:basedOn w:val="Normal"/>
    <w:next w:val="Normal"/>
    <w:autoRedefine/>
    <w:uiPriority w:val="39"/>
    <w:unhideWhenUsed/>
    <w:rsid w:val="00C75746"/>
    <w:pPr>
      <w:spacing w:after="100" w:line="259" w:lineRule="auto"/>
    </w:pPr>
    <w:rPr>
      <w:rFonts w:eastAsiaTheme="minorHAnsi"/>
      <w:sz w:val="22"/>
      <w:szCs w:val="22"/>
    </w:rPr>
  </w:style>
  <w:style w:type="paragraph" w:styleId="TOC2">
    <w:name w:val="toc 2"/>
    <w:basedOn w:val="Normal"/>
    <w:next w:val="Normal"/>
    <w:autoRedefine/>
    <w:uiPriority w:val="39"/>
    <w:unhideWhenUsed/>
    <w:rsid w:val="00C75746"/>
    <w:pPr>
      <w:spacing w:after="100" w:line="259" w:lineRule="auto"/>
      <w:ind w:left="220"/>
    </w:pPr>
    <w:rPr>
      <w:rFonts w:eastAsiaTheme="minorHAnsi"/>
      <w:sz w:val="22"/>
      <w:szCs w:val="22"/>
    </w:rPr>
  </w:style>
  <w:style w:type="paragraph" w:styleId="CommentText">
    <w:name w:val="annotation text"/>
    <w:basedOn w:val="Normal"/>
    <w:link w:val="CommentTextChar"/>
    <w:uiPriority w:val="99"/>
    <w:unhideWhenUsed/>
    <w:rsid w:val="00C75746"/>
    <w:pPr>
      <w:spacing w:after="160"/>
    </w:pPr>
    <w:rPr>
      <w:rFonts w:eastAsiaTheme="minorHAnsi"/>
      <w:sz w:val="20"/>
      <w:szCs w:val="20"/>
    </w:rPr>
  </w:style>
  <w:style w:type="character" w:customStyle="1" w:styleId="CommentTextChar">
    <w:name w:val="Comment Text Char"/>
    <w:basedOn w:val="DefaultParagraphFont"/>
    <w:link w:val="CommentText"/>
    <w:uiPriority w:val="99"/>
    <w:rsid w:val="00C75746"/>
    <w:rPr>
      <w:rFonts w:eastAsiaTheme="minorHAnsi"/>
      <w:sz w:val="20"/>
      <w:szCs w:val="20"/>
    </w:rPr>
  </w:style>
  <w:style w:type="character" w:styleId="CommentReference">
    <w:name w:val="annotation reference"/>
    <w:basedOn w:val="DefaultParagraphFont"/>
    <w:uiPriority w:val="99"/>
    <w:semiHidden/>
    <w:unhideWhenUsed/>
    <w:rsid w:val="00C75746"/>
    <w:rPr>
      <w:sz w:val="16"/>
      <w:szCs w:val="16"/>
    </w:rPr>
  </w:style>
  <w:style w:type="paragraph" w:styleId="CommentSubject">
    <w:name w:val="annotation subject"/>
    <w:basedOn w:val="CommentText"/>
    <w:next w:val="CommentText"/>
    <w:link w:val="CommentSubjectChar"/>
    <w:uiPriority w:val="99"/>
    <w:semiHidden/>
    <w:unhideWhenUsed/>
    <w:rsid w:val="00C75746"/>
    <w:rPr>
      <w:b/>
      <w:bCs/>
    </w:rPr>
  </w:style>
  <w:style w:type="character" w:customStyle="1" w:styleId="CommentSubjectChar">
    <w:name w:val="Comment Subject Char"/>
    <w:basedOn w:val="CommentTextChar"/>
    <w:link w:val="CommentSubject"/>
    <w:uiPriority w:val="99"/>
    <w:semiHidden/>
    <w:rsid w:val="00C75746"/>
    <w:rPr>
      <w:rFonts w:eastAsiaTheme="minorHAnsi"/>
      <w:b/>
      <w:bCs/>
      <w:sz w:val="20"/>
      <w:szCs w:val="20"/>
    </w:rPr>
  </w:style>
  <w:style w:type="paragraph" w:styleId="Revision">
    <w:name w:val="Revision"/>
    <w:hidden/>
    <w:uiPriority w:val="99"/>
    <w:semiHidden/>
    <w:rsid w:val="00C75746"/>
    <w:rPr>
      <w:rFonts w:eastAsiaTheme="minorHAnsi"/>
      <w:sz w:val="22"/>
      <w:szCs w:val="22"/>
    </w:rPr>
  </w:style>
  <w:style w:type="character" w:styleId="Mention">
    <w:name w:val="Mention"/>
    <w:basedOn w:val="DefaultParagraphFont"/>
    <w:uiPriority w:val="99"/>
    <w:unhideWhenUsed/>
    <w:rsid w:val="00C75746"/>
    <w:rPr>
      <w:color w:val="2B579A"/>
      <w:shd w:val="clear" w:color="auto" w:fill="E1DFDD"/>
    </w:rPr>
  </w:style>
  <w:style w:type="paragraph" w:styleId="TOC3">
    <w:name w:val="toc 3"/>
    <w:basedOn w:val="Normal"/>
    <w:next w:val="Normal"/>
    <w:autoRedefine/>
    <w:uiPriority w:val="39"/>
    <w:unhideWhenUsed/>
    <w:rsid w:val="00C75746"/>
    <w:pPr>
      <w:spacing w:after="100" w:line="259" w:lineRule="auto"/>
      <w:ind w:left="440"/>
    </w:pPr>
    <w:rPr>
      <w:rFonts w:eastAsiaTheme="minorHAnsi"/>
      <w:sz w:val="22"/>
      <w:szCs w:val="22"/>
    </w:rPr>
  </w:style>
  <w:style w:type="paragraph" w:styleId="NormalWeb">
    <w:name w:val="Normal (Web)"/>
    <w:basedOn w:val="Normal"/>
    <w:uiPriority w:val="99"/>
    <w:semiHidden/>
    <w:unhideWhenUsed/>
    <w:rsid w:val="00C75746"/>
    <w:pPr>
      <w:spacing w:after="160" w:line="259" w:lineRule="auto"/>
    </w:pPr>
    <w:rPr>
      <w:rFonts w:ascii="Times New Roman" w:eastAsiaTheme="minorHAnsi" w:hAnsi="Times New Roman" w:cs="Times New Roman"/>
    </w:rPr>
  </w:style>
  <w:style w:type="numbering" w:customStyle="1" w:styleId="NoList1">
    <w:name w:val="No List1"/>
    <w:next w:val="NoList"/>
    <w:uiPriority w:val="99"/>
    <w:semiHidden/>
    <w:unhideWhenUsed/>
    <w:rsid w:val="00F32F12"/>
  </w:style>
  <w:style w:type="table" w:customStyle="1" w:styleId="TableGrid1">
    <w:name w:val="Table Grid1"/>
    <w:basedOn w:val="TableNormal"/>
    <w:next w:val="TableGrid"/>
    <w:uiPriority w:val="59"/>
    <w:rsid w:val="00F32F12"/>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C07DB"/>
  </w:style>
  <w:style w:type="table" w:customStyle="1" w:styleId="TableGrid2">
    <w:name w:val="Table Grid2"/>
    <w:basedOn w:val="TableNormal"/>
    <w:next w:val="TableGrid"/>
    <w:uiPriority w:val="59"/>
    <w:rsid w:val="000C07DB"/>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exconnect@pg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ycee.estefani@sc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ger.salas@sce.com" TargetMode="External"/><Relationship Id="rId5" Type="http://schemas.openxmlformats.org/officeDocument/2006/relationships/numbering" Target="numbering.xml"/><Relationship Id="rId15" Type="http://schemas.openxmlformats.org/officeDocument/2006/relationships/hyperlink" Target="https://www.energy.ca.gov/event/funding-workshop/2025-10/pre-application-workshop-gfo-25-301-distributed-resources-innovativ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www.pge.com%2Fflexconnect&amp;data=05%7C02%7C%7C4fe193d32d9745de3d7b08de1576c7ce%7Cac3a124413f44ef68d1bbaa27148194e%7C0%7C0%7C638971797157261004%7CUnknown%7CTWFpbGZsb3d8eyJFbXB0eU1hcGkiOnRydWUsIlYiOiIwLjAuMDAwMCIsIlAiOiJXaW4zMiIsIkFOIjoiTWFpbCIsIldUIjoyfQ%3D%3D%7C0%7C%7C%7C&amp;sdata=OZFrYPnme34kqXYdnneWxTJFXup%2FAPPWI30q%2FfFHyXI%3D&amp;reserved=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CAD7E-D24E-40A8-943B-8EBDEBDC1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20</Pages>
  <Words>6887</Words>
  <Characters>37297</Characters>
  <Application>Microsoft Office Word</Application>
  <DocSecurity>0</DocSecurity>
  <Lines>712</Lines>
  <Paragraphs>257</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44077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Questions &amp; Answers</dc:title>
  <dc:subject/>
  <dc:creator>Bailey Wobschall</dc:creator>
  <cp:keywords/>
  <dc:description/>
  <cp:lastModifiedBy>Cary, Eilene@Energy</cp:lastModifiedBy>
  <cp:revision>56</cp:revision>
  <cp:lastPrinted>2019-04-08T16:38:00Z</cp:lastPrinted>
  <dcterms:created xsi:type="dcterms:W3CDTF">2025-10-29T23:59:00Z</dcterms:created>
  <dcterms:modified xsi:type="dcterms:W3CDTF">2025-10-30T22:50:00Z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c1a5ab5f-31e6-4695-b884-7a20f8e14257</vt:lpwstr>
  </property>
</Properties>
</file>