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E26B" w14:textId="77777777" w:rsidR="00521F6A" w:rsidRPr="00521F6A" w:rsidRDefault="00521F6A" w:rsidP="00521F6A">
      <w:pPr>
        <w:pStyle w:val="Heading1"/>
        <w:spacing w:before="240" w:after="120" w:line="278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521F6A">
        <w:rPr>
          <w:rFonts w:asciiTheme="minorHAnsi" w:hAnsiTheme="minorHAnsi"/>
          <w:b/>
          <w:bCs/>
          <w:color w:val="000000" w:themeColor="text1"/>
          <w:sz w:val="28"/>
          <w:szCs w:val="28"/>
        </w:rPr>
        <w:t>Questions and Answers</w:t>
      </w:r>
    </w:p>
    <w:p w14:paraId="1D7E2A6E" w14:textId="17D09A24" w:rsidR="00AC0DA9" w:rsidRPr="00AC0DA9" w:rsidRDefault="00AC0DA9" w:rsidP="00887679">
      <w:pPr>
        <w:jc w:val="center"/>
        <w:rPr>
          <w:b/>
          <w:sz w:val="28"/>
          <w:szCs w:val="28"/>
        </w:rPr>
      </w:pPr>
      <w:r w:rsidRPr="00AC0DA9">
        <w:rPr>
          <w:b/>
          <w:sz w:val="28"/>
          <w:szCs w:val="28"/>
        </w:rPr>
        <w:t xml:space="preserve">Translation </w:t>
      </w:r>
      <w:r w:rsidR="00887679">
        <w:rPr>
          <w:b/>
          <w:sz w:val="28"/>
          <w:szCs w:val="28"/>
        </w:rPr>
        <w:t xml:space="preserve">and Interpretation </w:t>
      </w:r>
      <w:r w:rsidRPr="00AC0DA9">
        <w:rPr>
          <w:b/>
          <w:sz w:val="28"/>
          <w:szCs w:val="28"/>
        </w:rPr>
        <w:t>Services</w:t>
      </w:r>
    </w:p>
    <w:p w14:paraId="6DDF3A8E" w14:textId="3E591911" w:rsidR="00AC0DA9" w:rsidRPr="00AC0DA9" w:rsidRDefault="00AC0DA9" w:rsidP="004E2DF3">
      <w:pPr>
        <w:jc w:val="center"/>
        <w:rPr>
          <w:b/>
          <w:sz w:val="28"/>
          <w:szCs w:val="28"/>
        </w:rPr>
      </w:pPr>
      <w:r w:rsidRPr="00AC0DA9">
        <w:rPr>
          <w:b/>
          <w:sz w:val="28"/>
          <w:szCs w:val="28"/>
        </w:rPr>
        <w:t>IFB-2</w:t>
      </w:r>
      <w:r w:rsidR="00887679" w:rsidRPr="001130AE">
        <w:rPr>
          <w:b/>
          <w:sz w:val="28"/>
          <w:szCs w:val="28"/>
        </w:rPr>
        <w:t>5</w:t>
      </w:r>
      <w:r w:rsidRPr="00AC0DA9">
        <w:rPr>
          <w:b/>
          <w:sz w:val="28"/>
          <w:szCs w:val="28"/>
        </w:rPr>
        <w:t>-</w:t>
      </w:r>
      <w:r w:rsidR="001130AE" w:rsidRPr="001130AE">
        <w:rPr>
          <w:b/>
          <w:sz w:val="28"/>
          <w:szCs w:val="28"/>
        </w:rPr>
        <w:t>001</w:t>
      </w:r>
      <w:r w:rsidRPr="00AC0DA9">
        <w:rPr>
          <w:b/>
          <w:sz w:val="28"/>
          <w:szCs w:val="28"/>
        </w:rPr>
        <w:br/>
      </w:r>
      <w:r w:rsidR="00887679">
        <w:rPr>
          <w:b/>
          <w:sz w:val="28"/>
          <w:szCs w:val="28"/>
        </w:rPr>
        <w:t>October 2025</w:t>
      </w:r>
    </w:p>
    <w:p w14:paraId="1237CE37" w14:textId="039A98D7" w:rsidR="004E2DF3" w:rsidRDefault="00AC0DA9" w:rsidP="00036291">
      <w:pPr>
        <w:jc w:val="center"/>
      </w:pPr>
      <w:r w:rsidRPr="00AC0DA9">
        <w:t>(Responses are in bold lettering)</w:t>
      </w:r>
    </w:p>
    <w:p w14:paraId="77BCA25D" w14:textId="4707C5CB" w:rsidR="007B4606" w:rsidRPr="007B4606" w:rsidRDefault="007B4606" w:rsidP="00913535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7B4606">
        <w:rPr>
          <w:rFonts w:ascii="Arial" w:hAnsi="Arial" w:cs="Arial"/>
          <w:color w:val="000000"/>
        </w:rPr>
        <w:t>I'd like to confirm that this solicitation does not include American Sign Language as an interpreter, and if not, why isn't it included?</w:t>
      </w:r>
    </w:p>
    <w:p w14:paraId="618A56D6" w14:textId="36B3BE90" w:rsidR="007B4606" w:rsidRDefault="00A345B7" w:rsidP="00B6574F">
      <w:pPr>
        <w:spacing w:after="120" w:line="240" w:lineRule="auto"/>
        <w:ind w:left="360"/>
        <w:jc w:val="both"/>
        <w:rPr>
          <w:rFonts w:ascii="Arial" w:hAnsi="Arial" w:cs="Arial"/>
          <w:b/>
          <w:bCs/>
          <w:color w:val="000000"/>
        </w:rPr>
      </w:pPr>
      <w:r w:rsidRPr="00A345B7">
        <w:rPr>
          <w:rFonts w:ascii="Arial" w:hAnsi="Arial" w:cs="Arial"/>
          <w:b/>
          <w:bCs/>
          <w:color w:val="000000"/>
        </w:rPr>
        <w:t xml:space="preserve">A: </w:t>
      </w:r>
      <w:r w:rsidR="003C375E">
        <w:rPr>
          <w:rFonts w:ascii="Arial" w:hAnsi="Arial" w:cs="Arial"/>
          <w:b/>
          <w:bCs/>
          <w:color w:val="000000"/>
        </w:rPr>
        <w:t xml:space="preserve">As described in Section II of the solicitation manual, Scope of Work and Deliverables, </w:t>
      </w:r>
      <w:r w:rsidR="00F26341">
        <w:rPr>
          <w:rFonts w:ascii="Arial" w:hAnsi="Arial" w:cs="Arial"/>
          <w:b/>
          <w:bCs/>
          <w:color w:val="000000"/>
        </w:rPr>
        <w:t>the contractor must provide qualified and experienced interpreters and translators for the following languages: Chinese (Mandarin and Cantonese, both traditional and simplified), Korean, Spanish, and Vietnamese.</w:t>
      </w:r>
      <w:r w:rsidR="000D3B0C">
        <w:rPr>
          <w:rFonts w:ascii="Arial" w:hAnsi="Arial" w:cs="Arial"/>
          <w:b/>
          <w:bCs/>
          <w:color w:val="000000"/>
        </w:rPr>
        <w:t xml:space="preserve"> </w:t>
      </w:r>
      <w:r w:rsidR="00A5732C">
        <w:rPr>
          <w:rFonts w:ascii="Arial" w:hAnsi="Arial" w:cs="Arial"/>
          <w:b/>
          <w:bCs/>
          <w:color w:val="000000"/>
        </w:rPr>
        <w:t xml:space="preserve">The Energy Commission may request other languages as needed, which may include </w:t>
      </w:r>
      <w:r w:rsidR="00F31E7E">
        <w:rPr>
          <w:rFonts w:ascii="Arial" w:hAnsi="Arial" w:cs="Arial"/>
          <w:b/>
          <w:bCs/>
          <w:color w:val="000000"/>
        </w:rPr>
        <w:t>American Sign Language</w:t>
      </w:r>
      <w:r w:rsidR="00A5732C">
        <w:rPr>
          <w:rFonts w:ascii="Arial" w:hAnsi="Arial" w:cs="Arial"/>
          <w:b/>
          <w:bCs/>
          <w:color w:val="000000"/>
        </w:rPr>
        <w:t>.</w:t>
      </w:r>
      <w:r w:rsidR="00F31E7E">
        <w:rPr>
          <w:rFonts w:ascii="Arial" w:hAnsi="Arial" w:cs="Arial"/>
          <w:b/>
          <w:bCs/>
          <w:color w:val="000000"/>
        </w:rPr>
        <w:t xml:space="preserve"> </w:t>
      </w:r>
    </w:p>
    <w:p w14:paraId="7B0AF9F4" w14:textId="77777777" w:rsidR="00F177F7" w:rsidRDefault="00F177F7" w:rsidP="00913535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F177F7">
        <w:rPr>
          <w:rFonts w:ascii="Arial" w:hAnsi="Arial" w:cs="Arial"/>
        </w:rPr>
        <w:t>Could you please share the average annual translation volume and historical usage data?</w:t>
      </w:r>
    </w:p>
    <w:p w14:paraId="325E3D81" w14:textId="7941711D" w:rsidR="00807AC8" w:rsidRPr="00E0565F" w:rsidRDefault="00807AC8" w:rsidP="00B6574F">
      <w:pPr>
        <w:spacing w:after="120" w:line="240" w:lineRule="auto"/>
        <w:ind w:left="360"/>
        <w:rPr>
          <w:rFonts w:ascii="Arial" w:hAnsi="Arial" w:cs="Arial"/>
          <w:b/>
          <w:bCs/>
        </w:rPr>
      </w:pPr>
      <w:r w:rsidRPr="00E0565F">
        <w:rPr>
          <w:rFonts w:ascii="Arial" w:hAnsi="Arial" w:cs="Arial"/>
          <w:b/>
          <w:bCs/>
        </w:rPr>
        <w:t xml:space="preserve">A: </w:t>
      </w:r>
      <w:r w:rsidR="00330F68">
        <w:rPr>
          <w:rFonts w:ascii="Arial" w:hAnsi="Arial" w:cs="Arial"/>
          <w:b/>
          <w:bCs/>
        </w:rPr>
        <w:t xml:space="preserve">We estimate about </w:t>
      </w:r>
      <w:r w:rsidR="00EB4630">
        <w:rPr>
          <w:rFonts w:ascii="Arial" w:hAnsi="Arial" w:cs="Arial"/>
          <w:b/>
          <w:bCs/>
        </w:rPr>
        <w:t xml:space="preserve">50 </w:t>
      </w:r>
      <w:r w:rsidR="00A54205">
        <w:rPr>
          <w:rFonts w:ascii="Arial" w:hAnsi="Arial" w:cs="Arial"/>
          <w:b/>
          <w:bCs/>
        </w:rPr>
        <w:t>translation requests and 20 remot</w:t>
      </w:r>
      <w:r w:rsidR="000A62C9">
        <w:rPr>
          <w:rFonts w:ascii="Arial" w:hAnsi="Arial" w:cs="Arial"/>
          <w:b/>
          <w:bCs/>
        </w:rPr>
        <w:t xml:space="preserve">e, hybrid, or </w:t>
      </w:r>
      <w:r w:rsidR="00A54205">
        <w:rPr>
          <w:rFonts w:ascii="Arial" w:hAnsi="Arial" w:cs="Arial"/>
          <w:b/>
          <w:bCs/>
        </w:rPr>
        <w:t>in-person interpretation services throughout California.</w:t>
      </w:r>
    </w:p>
    <w:p w14:paraId="077C7E9D" w14:textId="127B5D6F" w:rsidR="00807AC8" w:rsidRDefault="00807AC8" w:rsidP="00913535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807AC8">
        <w:rPr>
          <w:rFonts w:ascii="Arial" w:hAnsi="Arial" w:cs="Arial"/>
        </w:rPr>
        <w:t>Will CEC provide interpretation equipment, or should this be included in our cost bid?</w:t>
      </w:r>
    </w:p>
    <w:p w14:paraId="3511821F" w14:textId="3159889E" w:rsidR="00807AC8" w:rsidRPr="00E0565F" w:rsidRDefault="00807AC8" w:rsidP="00B6574F">
      <w:pPr>
        <w:spacing w:after="120" w:line="240" w:lineRule="auto"/>
        <w:ind w:left="360"/>
        <w:rPr>
          <w:rFonts w:ascii="Arial" w:hAnsi="Arial" w:cs="Arial"/>
          <w:b/>
          <w:bCs/>
        </w:rPr>
      </w:pPr>
      <w:r w:rsidRPr="00E0565F">
        <w:rPr>
          <w:rFonts w:ascii="Arial" w:hAnsi="Arial" w:cs="Arial"/>
          <w:b/>
          <w:bCs/>
        </w:rPr>
        <w:t xml:space="preserve">A: CEC will not provide </w:t>
      </w:r>
      <w:r w:rsidR="00BA2DE4" w:rsidRPr="00E0565F">
        <w:rPr>
          <w:rFonts w:ascii="Arial" w:hAnsi="Arial" w:cs="Arial"/>
          <w:b/>
          <w:bCs/>
        </w:rPr>
        <w:t xml:space="preserve">interpretation equipment. </w:t>
      </w:r>
      <w:r w:rsidR="00196F5B">
        <w:rPr>
          <w:rFonts w:ascii="Arial" w:hAnsi="Arial" w:cs="Arial"/>
          <w:b/>
          <w:bCs/>
        </w:rPr>
        <w:t>Those costs</w:t>
      </w:r>
      <w:r w:rsidR="00BA2DE4" w:rsidRPr="00E0565F">
        <w:rPr>
          <w:rFonts w:ascii="Arial" w:hAnsi="Arial" w:cs="Arial"/>
          <w:b/>
          <w:bCs/>
        </w:rPr>
        <w:t xml:space="preserve"> should be included in the </w:t>
      </w:r>
      <w:r w:rsidR="00491843">
        <w:rPr>
          <w:rFonts w:ascii="Arial" w:hAnsi="Arial" w:cs="Arial"/>
          <w:b/>
          <w:bCs/>
        </w:rPr>
        <w:t xml:space="preserve">Bidder’s </w:t>
      </w:r>
      <w:r w:rsidR="00760906">
        <w:rPr>
          <w:rFonts w:ascii="Arial" w:hAnsi="Arial" w:cs="Arial"/>
          <w:b/>
          <w:bCs/>
        </w:rPr>
        <w:t>Attachment 6 C</w:t>
      </w:r>
      <w:r w:rsidR="00BA2DE4" w:rsidRPr="00E0565F">
        <w:rPr>
          <w:rFonts w:ascii="Arial" w:hAnsi="Arial" w:cs="Arial"/>
          <w:b/>
          <w:bCs/>
        </w:rPr>
        <w:t xml:space="preserve">ost </w:t>
      </w:r>
      <w:r w:rsidR="00760906">
        <w:rPr>
          <w:rFonts w:ascii="Arial" w:hAnsi="Arial" w:cs="Arial"/>
          <w:b/>
          <w:bCs/>
        </w:rPr>
        <w:t>B</w:t>
      </w:r>
      <w:r w:rsidR="00BA2DE4" w:rsidRPr="00E0565F">
        <w:rPr>
          <w:rFonts w:ascii="Arial" w:hAnsi="Arial" w:cs="Arial"/>
          <w:b/>
          <w:bCs/>
        </w:rPr>
        <w:t>id.</w:t>
      </w:r>
    </w:p>
    <w:p w14:paraId="218A4D27" w14:textId="700376ED" w:rsidR="00B47C00" w:rsidRDefault="00B47C00" w:rsidP="00913535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Are incumbent vendor rates or previous contract pricing available for reference?</w:t>
      </w:r>
    </w:p>
    <w:p w14:paraId="3A4E33E9" w14:textId="4362D138" w:rsidR="00B47C00" w:rsidRPr="00E0565F" w:rsidRDefault="00B47C00" w:rsidP="00B6574F">
      <w:pPr>
        <w:spacing w:after="120" w:line="240" w:lineRule="auto"/>
        <w:ind w:left="360"/>
        <w:rPr>
          <w:rFonts w:ascii="Arial" w:hAnsi="Arial" w:cs="Arial"/>
          <w:b/>
          <w:bCs/>
        </w:rPr>
      </w:pPr>
      <w:r w:rsidRPr="0870744E">
        <w:rPr>
          <w:rFonts w:ascii="Arial" w:hAnsi="Arial" w:cs="Arial"/>
          <w:b/>
          <w:bCs/>
        </w:rPr>
        <w:t xml:space="preserve">A: </w:t>
      </w:r>
      <w:r w:rsidR="00DD460C" w:rsidRPr="0870744E">
        <w:rPr>
          <w:rFonts w:ascii="Arial" w:hAnsi="Arial" w:cs="Arial"/>
          <w:b/>
          <w:bCs/>
        </w:rPr>
        <w:t xml:space="preserve">Yes. Please see </w:t>
      </w:r>
      <w:r w:rsidR="00F75251" w:rsidRPr="0870744E">
        <w:rPr>
          <w:rFonts w:ascii="Arial" w:hAnsi="Arial" w:cs="Arial"/>
          <w:b/>
          <w:bCs/>
        </w:rPr>
        <w:t xml:space="preserve">document </w:t>
      </w:r>
      <w:r w:rsidR="00F75251" w:rsidRPr="006405F3">
        <w:rPr>
          <w:rFonts w:ascii="Arial" w:hAnsi="Arial" w:cs="Arial"/>
          <w:b/>
          <w:bCs/>
        </w:rPr>
        <w:t>titled</w:t>
      </w:r>
      <w:r w:rsidR="00344DFD" w:rsidRPr="006405F3">
        <w:rPr>
          <w:rFonts w:ascii="Arial" w:hAnsi="Arial" w:cs="Arial"/>
          <w:b/>
          <w:bCs/>
        </w:rPr>
        <w:t xml:space="preserve"> </w:t>
      </w:r>
      <w:r w:rsidR="006405F3" w:rsidRPr="006405F3">
        <w:rPr>
          <w:rFonts w:ascii="Arial" w:hAnsi="Arial" w:cs="Arial"/>
          <w:b/>
          <w:bCs/>
        </w:rPr>
        <w:t>“</w:t>
      </w:r>
      <w:r w:rsidR="006405F3" w:rsidRPr="006405F3">
        <w:rPr>
          <w:b/>
          <w:bCs/>
        </w:rPr>
        <w:t>02</w:t>
      </w:r>
      <w:r w:rsidR="006405F3" w:rsidRPr="006405F3">
        <w:rPr>
          <w:rFonts w:ascii="Arial" w:hAnsi="Arial" w:cs="Arial"/>
          <w:b/>
          <w:bCs/>
        </w:rPr>
        <w:t xml:space="preserve"> Ex B Att B-1 Rates 140-22-002 CIT</w:t>
      </w:r>
      <w:r w:rsidR="007F72AD" w:rsidRPr="006405F3">
        <w:rPr>
          <w:rFonts w:ascii="Arial" w:hAnsi="Arial" w:cs="Arial"/>
          <w:b/>
          <w:bCs/>
        </w:rPr>
        <w:t>”</w:t>
      </w:r>
      <w:r w:rsidR="00E76230">
        <w:rPr>
          <w:rFonts w:ascii="Arial" w:hAnsi="Arial" w:cs="Arial"/>
          <w:b/>
          <w:bCs/>
        </w:rPr>
        <w:t xml:space="preserve"> which is </w:t>
      </w:r>
      <w:r w:rsidR="0011240C">
        <w:rPr>
          <w:rFonts w:ascii="Arial" w:hAnsi="Arial" w:cs="Arial"/>
          <w:b/>
          <w:bCs/>
        </w:rPr>
        <w:t>the budget from the current interpreting and translation</w:t>
      </w:r>
      <w:r w:rsidR="000E3840">
        <w:rPr>
          <w:rFonts w:ascii="Arial" w:hAnsi="Arial" w:cs="Arial"/>
          <w:b/>
          <w:bCs/>
        </w:rPr>
        <w:t xml:space="preserve"> services contract</w:t>
      </w:r>
      <w:r w:rsidR="417BB968" w:rsidRPr="54E306AA">
        <w:rPr>
          <w:rFonts w:ascii="Arial" w:hAnsi="Arial" w:cs="Arial"/>
          <w:b/>
          <w:bCs/>
        </w:rPr>
        <w:t xml:space="preserve"> and is posted with this Questions and Answers document</w:t>
      </w:r>
      <w:r w:rsidR="000E3840">
        <w:rPr>
          <w:rFonts w:ascii="Arial" w:hAnsi="Arial" w:cs="Arial"/>
          <w:b/>
          <w:bCs/>
        </w:rPr>
        <w:t>.</w:t>
      </w:r>
    </w:p>
    <w:p w14:paraId="44682275" w14:textId="440FDC3B" w:rsidR="006955AF" w:rsidRDefault="006955AF" w:rsidP="00913535">
      <w:pPr>
        <w:spacing w:after="120"/>
        <w:jc w:val="both"/>
        <w:rPr>
          <w:rFonts w:ascii="Arial" w:hAnsi="Arial" w:cs="Arial"/>
        </w:rPr>
      </w:pPr>
      <w:r w:rsidRPr="006955AF">
        <w:rPr>
          <w:rFonts w:ascii="Arial" w:hAnsi="Arial" w:cs="Arial"/>
        </w:rPr>
        <w:t>5. Can you share any historical data or volume we can expect? If you can break it down per mode of service that would be great. </w:t>
      </w:r>
    </w:p>
    <w:p w14:paraId="7DD5B47F" w14:textId="37D59199" w:rsidR="00CE08B7" w:rsidRPr="006955AF" w:rsidRDefault="00CE08B7" w:rsidP="00635562">
      <w:pPr>
        <w:spacing w:after="120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A: Since the beginning of the current contract, </w:t>
      </w:r>
      <w:r w:rsidR="00C6380C">
        <w:rPr>
          <w:rFonts w:ascii="Arial" w:hAnsi="Arial" w:cs="Arial"/>
          <w:b/>
          <w:bCs/>
        </w:rPr>
        <w:t xml:space="preserve">which had a </w:t>
      </w:r>
      <w:proofErr w:type="gramStart"/>
      <w:r w:rsidR="00C6380C">
        <w:rPr>
          <w:rFonts w:ascii="Arial" w:hAnsi="Arial" w:cs="Arial"/>
          <w:b/>
          <w:bCs/>
        </w:rPr>
        <w:t>three year</w:t>
      </w:r>
      <w:proofErr w:type="gramEnd"/>
      <w:r w:rsidR="00C6380C">
        <w:rPr>
          <w:rFonts w:ascii="Arial" w:hAnsi="Arial" w:cs="Arial"/>
          <w:b/>
          <w:bCs/>
        </w:rPr>
        <w:t xml:space="preserve"> term, the CEC</w:t>
      </w:r>
      <w:r>
        <w:rPr>
          <w:rFonts w:ascii="Arial" w:hAnsi="Arial" w:cs="Arial"/>
          <w:b/>
          <w:bCs/>
        </w:rPr>
        <w:t xml:space="preserve"> ha</w:t>
      </w:r>
      <w:r w:rsidR="00E975D0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submitted about 40 translation requests and 20 interpretation services</w:t>
      </w:r>
      <w:r w:rsidR="00E975D0">
        <w:rPr>
          <w:rFonts w:ascii="Arial" w:hAnsi="Arial" w:cs="Arial"/>
          <w:b/>
          <w:bCs/>
        </w:rPr>
        <w:t xml:space="preserve"> to the contractor</w:t>
      </w:r>
      <w:r>
        <w:rPr>
          <w:rFonts w:ascii="Arial" w:hAnsi="Arial" w:cs="Arial"/>
          <w:b/>
          <w:bCs/>
        </w:rPr>
        <w:t>.</w:t>
      </w:r>
    </w:p>
    <w:p w14:paraId="69FEBB5E" w14:textId="1AEDAE97" w:rsidR="006955AF" w:rsidRDefault="006955AF" w:rsidP="00913535">
      <w:pPr>
        <w:spacing w:after="120"/>
        <w:jc w:val="both"/>
        <w:rPr>
          <w:rFonts w:ascii="Arial" w:hAnsi="Arial" w:cs="Arial"/>
        </w:rPr>
      </w:pPr>
      <w:r w:rsidRPr="006955AF">
        <w:rPr>
          <w:rFonts w:ascii="Arial" w:hAnsi="Arial" w:cs="Arial"/>
        </w:rPr>
        <w:t>6. How many vendors are you planning on awarding? If multiple will be awarded, how will the work be distributed?</w:t>
      </w:r>
    </w:p>
    <w:p w14:paraId="18C32E5D" w14:textId="2B59BEA2" w:rsidR="00CE08B7" w:rsidRPr="006955AF" w:rsidRDefault="00CE08B7" w:rsidP="00635562">
      <w:pPr>
        <w:spacing w:after="120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A:</w:t>
      </w:r>
      <w:r w:rsidR="00E0565F">
        <w:rPr>
          <w:rFonts w:ascii="Arial" w:hAnsi="Arial" w:cs="Arial"/>
          <w:b/>
          <w:bCs/>
        </w:rPr>
        <w:t xml:space="preserve"> One</w:t>
      </w:r>
      <w:r w:rsidR="00387016">
        <w:rPr>
          <w:rFonts w:ascii="Arial" w:hAnsi="Arial" w:cs="Arial"/>
          <w:b/>
          <w:bCs/>
        </w:rPr>
        <w:t xml:space="preserve"> contract will be awarded</w:t>
      </w:r>
      <w:r w:rsidR="00E0565F">
        <w:rPr>
          <w:rFonts w:ascii="Arial" w:hAnsi="Arial" w:cs="Arial"/>
          <w:b/>
          <w:bCs/>
        </w:rPr>
        <w:t>.</w:t>
      </w:r>
    </w:p>
    <w:p w14:paraId="6C66EF52" w14:textId="27A297B9" w:rsidR="006955AF" w:rsidRDefault="006955AF" w:rsidP="00913535">
      <w:pPr>
        <w:keepNext/>
        <w:keepLines/>
        <w:spacing w:after="120" w:line="278" w:lineRule="auto"/>
        <w:jc w:val="both"/>
        <w:rPr>
          <w:rFonts w:ascii="Arial" w:hAnsi="Arial" w:cs="Arial"/>
        </w:rPr>
      </w:pPr>
      <w:r w:rsidRPr="006955AF">
        <w:rPr>
          <w:rFonts w:ascii="Arial" w:hAnsi="Arial" w:cs="Arial"/>
        </w:rPr>
        <w:lastRenderedPageBreak/>
        <w:t>7. Is there a budget set aside for this contract? If so, can you share that with us? </w:t>
      </w:r>
    </w:p>
    <w:p w14:paraId="03819828" w14:textId="0C236816" w:rsidR="005E2063" w:rsidRPr="006955AF" w:rsidRDefault="00CE08B7" w:rsidP="00B6574F">
      <w:pPr>
        <w:keepNext/>
        <w:keepLines/>
        <w:spacing w:after="120" w:line="278" w:lineRule="auto"/>
        <w:ind w:left="27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A: </w:t>
      </w:r>
      <w:r w:rsidR="008233CF">
        <w:rPr>
          <w:rFonts w:ascii="Arial" w:hAnsi="Arial" w:cs="Arial"/>
          <w:b/>
          <w:bCs/>
        </w:rPr>
        <w:t xml:space="preserve">There is </w:t>
      </w:r>
      <w:r w:rsidR="008B38DD">
        <w:rPr>
          <w:rFonts w:ascii="Arial" w:hAnsi="Arial" w:cs="Arial"/>
          <w:b/>
          <w:bCs/>
        </w:rPr>
        <w:t xml:space="preserve">up to $349,000 available for the contract resulting from this solicitation. </w:t>
      </w:r>
      <w:r w:rsidR="00190ADF">
        <w:rPr>
          <w:rFonts w:ascii="Arial" w:hAnsi="Arial" w:cs="Arial"/>
          <w:b/>
          <w:bCs/>
        </w:rPr>
        <w:t xml:space="preserve">This amount covers the initial 2-year contract period. </w:t>
      </w:r>
      <w:r w:rsidR="006E3F67" w:rsidRPr="54E306AA">
        <w:rPr>
          <w:rFonts w:ascii="Arial" w:eastAsia="Times New Roman" w:hAnsi="Arial" w:cs="Arial"/>
          <w:b/>
          <w:lang w:eastAsia="en-US"/>
        </w:rPr>
        <w:t>If the Energy Commission exercises the option for year 3, funding for year 3 may be added to the contract in an amount to be determined, based on rates bid and the Energy Commission’s use of the services for years 1 and 2.</w:t>
      </w:r>
      <w:r w:rsidR="006E3F67" w:rsidDel="006E3F67">
        <w:rPr>
          <w:rFonts w:ascii="Arial" w:hAnsi="Arial" w:cs="Arial"/>
          <w:b/>
          <w:bCs/>
        </w:rPr>
        <w:t xml:space="preserve"> </w:t>
      </w:r>
    </w:p>
    <w:p w14:paraId="43F80564" w14:textId="4C187E31" w:rsidR="006955AF" w:rsidRDefault="006955AF" w:rsidP="00913535">
      <w:pPr>
        <w:spacing w:after="120"/>
        <w:jc w:val="both"/>
        <w:rPr>
          <w:rFonts w:ascii="Arial" w:hAnsi="Arial" w:cs="Arial"/>
        </w:rPr>
      </w:pPr>
      <w:r w:rsidRPr="006955AF">
        <w:rPr>
          <w:rFonts w:ascii="Arial" w:hAnsi="Arial" w:cs="Arial"/>
        </w:rPr>
        <w:t>8. Will interpretation equipment be needed? If so, can we charge separately? I only see a row for Audio Technician on the cost sheet.</w:t>
      </w:r>
    </w:p>
    <w:p w14:paraId="7682641A" w14:textId="3A50E7B5" w:rsidR="00CE08B7" w:rsidRPr="006955AF" w:rsidRDefault="00CE08B7" w:rsidP="00B6574F">
      <w:pPr>
        <w:spacing w:after="120"/>
        <w:ind w:left="27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A: </w:t>
      </w:r>
      <w:r w:rsidR="00E3246A">
        <w:rPr>
          <w:rFonts w:ascii="Arial" w:hAnsi="Arial" w:cs="Arial"/>
          <w:b/>
          <w:bCs/>
        </w:rPr>
        <w:t xml:space="preserve">Interpretation equipment may be required for certain </w:t>
      </w:r>
      <w:r w:rsidR="00B6540A">
        <w:rPr>
          <w:rFonts w:ascii="Arial" w:hAnsi="Arial" w:cs="Arial"/>
          <w:b/>
          <w:bCs/>
        </w:rPr>
        <w:t xml:space="preserve">in-person </w:t>
      </w:r>
      <w:r w:rsidR="00E3246A">
        <w:rPr>
          <w:rFonts w:ascii="Arial" w:hAnsi="Arial" w:cs="Arial"/>
          <w:b/>
          <w:bCs/>
        </w:rPr>
        <w:t>jobs, such as sound booths</w:t>
      </w:r>
      <w:r w:rsidR="00B6540A">
        <w:rPr>
          <w:rFonts w:ascii="Arial" w:hAnsi="Arial" w:cs="Arial"/>
          <w:b/>
          <w:bCs/>
        </w:rPr>
        <w:t xml:space="preserve"> (to isolate audio)</w:t>
      </w:r>
      <w:r w:rsidR="00E3246A">
        <w:rPr>
          <w:rFonts w:ascii="Arial" w:hAnsi="Arial" w:cs="Arial"/>
          <w:b/>
          <w:bCs/>
        </w:rPr>
        <w:t xml:space="preserve"> and headsets (</w:t>
      </w:r>
      <w:r w:rsidR="00E95258">
        <w:rPr>
          <w:rFonts w:ascii="Arial" w:hAnsi="Arial" w:cs="Arial"/>
          <w:b/>
          <w:bCs/>
        </w:rPr>
        <w:t>with receivers and transmitter).</w:t>
      </w:r>
      <w:r w:rsidR="008808BC">
        <w:rPr>
          <w:rFonts w:ascii="Arial" w:hAnsi="Arial" w:cs="Arial"/>
          <w:b/>
          <w:bCs/>
        </w:rPr>
        <w:t xml:space="preserve"> The contractor cannot charge separately for those costs.</w:t>
      </w:r>
      <w:r w:rsidR="00C05D90">
        <w:rPr>
          <w:rFonts w:ascii="Arial" w:hAnsi="Arial" w:cs="Arial"/>
          <w:b/>
          <w:bCs/>
        </w:rPr>
        <w:t xml:space="preserve"> </w:t>
      </w:r>
      <w:r w:rsidR="008808BC">
        <w:rPr>
          <w:rFonts w:ascii="Arial" w:hAnsi="Arial" w:cs="Arial"/>
          <w:b/>
          <w:bCs/>
        </w:rPr>
        <w:t xml:space="preserve">Those costs should be included as part of the Bidder’s </w:t>
      </w:r>
      <w:r w:rsidR="00760906">
        <w:rPr>
          <w:rFonts w:ascii="Arial" w:hAnsi="Arial" w:cs="Arial"/>
          <w:b/>
          <w:bCs/>
        </w:rPr>
        <w:t xml:space="preserve">Attachment 6 </w:t>
      </w:r>
      <w:r w:rsidR="008808BC">
        <w:rPr>
          <w:rFonts w:ascii="Arial" w:hAnsi="Arial" w:cs="Arial"/>
          <w:b/>
          <w:bCs/>
        </w:rPr>
        <w:t>Cost Bid</w:t>
      </w:r>
      <w:r w:rsidR="00760906">
        <w:rPr>
          <w:rFonts w:ascii="Arial" w:hAnsi="Arial" w:cs="Arial"/>
          <w:b/>
          <w:bCs/>
        </w:rPr>
        <w:t>.</w:t>
      </w:r>
    </w:p>
    <w:p w14:paraId="1CF396AF" w14:textId="470D9FBC" w:rsidR="006955AF" w:rsidRDefault="006955AF" w:rsidP="00913535">
      <w:pPr>
        <w:spacing w:after="120"/>
        <w:jc w:val="both"/>
        <w:rPr>
          <w:rFonts w:ascii="Arial" w:hAnsi="Arial" w:cs="Arial"/>
        </w:rPr>
      </w:pPr>
      <w:r w:rsidRPr="006955AF">
        <w:rPr>
          <w:rFonts w:ascii="Arial" w:hAnsi="Arial" w:cs="Arial"/>
        </w:rPr>
        <w:t xml:space="preserve">9. What cities will the </w:t>
      </w:r>
      <w:proofErr w:type="gramStart"/>
      <w:r w:rsidRPr="006955AF">
        <w:rPr>
          <w:rFonts w:ascii="Arial" w:hAnsi="Arial" w:cs="Arial"/>
        </w:rPr>
        <w:t>in person</w:t>
      </w:r>
      <w:proofErr w:type="gramEnd"/>
      <w:r w:rsidRPr="006955AF">
        <w:rPr>
          <w:rFonts w:ascii="Arial" w:hAnsi="Arial" w:cs="Arial"/>
        </w:rPr>
        <w:t xml:space="preserve"> requests </w:t>
      </w:r>
      <w:proofErr w:type="gramStart"/>
      <w:r w:rsidRPr="006955AF">
        <w:rPr>
          <w:rFonts w:ascii="Arial" w:hAnsi="Arial" w:cs="Arial"/>
        </w:rPr>
        <w:t>be located in</w:t>
      </w:r>
      <w:proofErr w:type="gramEnd"/>
      <w:r w:rsidRPr="006955AF">
        <w:rPr>
          <w:rFonts w:ascii="Arial" w:hAnsi="Arial" w:cs="Arial"/>
        </w:rPr>
        <w:t>?</w:t>
      </w:r>
    </w:p>
    <w:p w14:paraId="5E2883C1" w14:textId="6D19CAB0" w:rsidR="00E95258" w:rsidRPr="006955AF" w:rsidRDefault="00E95258" w:rsidP="00B6574F">
      <w:pPr>
        <w:spacing w:after="120"/>
        <w:ind w:left="270"/>
        <w:jc w:val="both"/>
        <w:rPr>
          <w:rFonts w:ascii="Arial" w:hAnsi="Arial" w:cs="Arial"/>
          <w:b/>
          <w:bCs/>
        </w:rPr>
      </w:pPr>
      <w:r w:rsidRPr="54E306AA">
        <w:rPr>
          <w:rFonts w:ascii="Arial" w:hAnsi="Arial" w:cs="Arial"/>
          <w:b/>
          <w:bCs/>
        </w:rPr>
        <w:t xml:space="preserve">A: </w:t>
      </w:r>
      <w:r w:rsidR="0F6F66C6" w:rsidRPr="54E306AA">
        <w:rPr>
          <w:rFonts w:ascii="Arial" w:hAnsi="Arial" w:cs="Arial"/>
          <w:b/>
          <w:bCs/>
        </w:rPr>
        <w:t>At this time,</w:t>
      </w:r>
      <w:r>
        <w:rPr>
          <w:rFonts w:ascii="Arial" w:hAnsi="Arial" w:cs="Arial"/>
          <w:b/>
          <w:bCs/>
        </w:rPr>
        <w:t xml:space="preserve"> </w:t>
      </w:r>
      <w:r w:rsidR="00682F45" w:rsidRPr="0069A0D2">
        <w:rPr>
          <w:rFonts w:ascii="Arial" w:hAnsi="Arial" w:cs="Arial"/>
          <w:b/>
          <w:bCs/>
        </w:rPr>
        <w:t xml:space="preserve">CEC cannot say </w:t>
      </w:r>
      <w:r w:rsidR="00CE5CE4" w:rsidRPr="0069A0D2">
        <w:rPr>
          <w:rFonts w:ascii="Arial" w:hAnsi="Arial" w:cs="Arial"/>
          <w:b/>
          <w:bCs/>
        </w:rPr>
        <w:t xml:space="preserve">with certainty where in-person attendance will be needed. </w:t>
      </w:r>
      <w:r w:rsidR="00710339" w:rsidRPr="0069A0D2">
        <w:rPr>
          <w:rFonts w:ascii="Arial" w:hAnsi="Arial" w:cs="Arial"/>
          <w:b/>
          <w:bCs/>
        </w:rPr>
        <w:t>Most interpretation events are in the Sacramento area</w:t>
      </w:r>
      <w:r w:rsidR="001F1304" w:rsidRPr="0069A0D2">
        <w:rPr>
          <w:rFonts w:ascii="Arial" w:hAnsi="Arial" w:cs="Arial"/>
          <w:b/>
          <w:bCs/>
        </w:rPr>
        <w:t>.</w:t>
      </w:r>
      <w:r w:rsidR="000D4D7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In</w:t>
      </w:r>
      <w:r w:rsidR="4687778B" w:rsidRPr="0069A0D2">
        <w:rPr>
          <w:rFonts w:ascii="Arial" w:hAnsi="Arial" w:cs="Arial"/>
          <w:b/>
          <w:bCs/>
        </w:rPr>
        <w:t xml:space="preserve"> 2025, </w:t>
      </w:r>
      <w:r w:rsidR="6B1FF1E8" w:rsidRPr="0069A0D2">
        <w:rPr>
          <w:rFonts w:ascii="Arial" w:hAnsi="Arial" w:cs="Arial"/>
          <w:b/>
          <w:bCs/>
        </w:rPr>
        <w:t>i</w:t>
      </w:r>
      <w:r w:rsidRPr="0069A0D2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-person attendance of the </w:t>
      </w:r>
      <w:r w:rsidRPr="0069A0D2">
        <w:rPr>
          <w:rFonts w:ascii="Arial" w:hAnsi="Arial" w:cs="Arial"/>
          <w:b/>
          <w:bCs/>
        </w:rPr>
        <w:t>interpreter</w:t>
      </w:r>
      <w:r w:rsidR="646DDF51" w:rsidRPr="0069A0D2">
        <w:rPr>
          <w:rFonts w:ascii="Arial" w:hAnsi="Arial" w:cs="Arial"/>
          <w:b/>
          <w:bCs/>
        </w:rPr>
        <w:t>s</w:t>
      </w:r>
      <w:r w:rsidR="00C67177">
        <w:rPr>
          <w:rFonts w:ascii="Arial" w:hAnsi="Arial" w:cs="Arial"/>
          <w:b/>
          <w:bCs/>
        </w:rPr>
        <w:t xml:space="preserve"> </w:t>
      </w:r>
      <w:r w:rsidR="68E2F012" w:rsidRPr="0069A0D2">
        <w:rPr>
          <w:rFonts w:ascii="Arial" w:hAnsi="Arial" w:cs="Arial"/>
          <w:b/>
          <w:bCs/>
        </w:rPr>
        <w:t>was requested for</w:t>
      </w:r>
      <w:r>
        <w:rPr>
          <w:rFonts w:ascii="Arial" w:hAnsi="Arial" w:cs="Arial"/>
          <w:b/>
          <w:bCs/>
        </w:rPr>
        <w:t xml:space="preserve"> Sacramento, </w:t>
      </w:r>
      <w:r w:rsidR="00A13A69">
        <w:rPr>
          <w:rFonts w:ascii="Arial" w:hAnsi="Arial" w:cs="Arial"/>
          <w:b/>
          <w:bCs/>
        </w:rPr>
        <w:t xml:space="preserve">Coalinga, </w:t>
      </w:r>
      <w:r w:rsidR="00337DE4">
        <w:rPr>
          <w:rFonts w:ascii="Arial" w:hAnsi="Arial" w:cs="Arial"/>
          <w:b/>
          <w:bCs/>
        </w:rPr>
        <w:t xml:space="preserve">San Juan Capistrano, Mojave, </w:t>
      </w:r>
      <w:r w:rsidR="007E1532">
        <w:rPr>
          <w:rFonts w:ascii="Arial" w:hAnsi="Arial" w:cs="Arial"/>
          <w:b/>
          <w:bCs/>
        </w:rPr>
        <w:t xml:space="preserve">Imperial, Barstow, </w:t>
      </w:r>
      <w:r w:rsidR="6200FF1B" w:rsidRPr="0069A0D2">
        <w:rPr>
          <w:rFonts w:ascii="Arial" w:hAnsi="Arial" w:cs="Arial"/>
          <w:b/>
          <w:bCs/>
        </w:rPr>
        <w:t xml:space="preserve">and </w:t>
      </w:r>
      <w:r w:rsidR="000840FE">
        <w:rPr>
          <w:rFonts w:ascii="Arial" w:hAnsi="Arial" w:cs="Arial"/>
          <w:b/>
          <w:bCs/>
        </w:rPr>
        <w:t>Tracy</w:t>
      </w:r>
      <w:r w:rsidR="6BCB1DCF" w:rsidRPr="0069A0D2">
        <w:rPr>
          <w:rFonts w:ascii="Arial" w:hAnsi="Arial" w:cs="Arial"/>
          <w:b/>
          <w:bCs/>
        </w:rPr>
        <w:t>.</w:t>
      </w:r>
    </w:p>
    <w:p w14:paraId="47E88ABF" w14:textId="29042FA5" w:rsidR="006955AF" w:rsidRDefault="006955AF" w:rsidP="00913535">
      <w:pPr>
        <w:spacing w:after="120"/>
        <w:jc w:val="both"/>
        <w:rPr>
          <w:rFonts w:ascii="Arial" w:hAnsi="Arial" w:cs="Arial"/>
        </w:rPr>
      </w:pPr>
      <w:r w:rsidRPr="006955AF">
        <w:rPr>
          <w:rFonts w:ascii="Arial" w:hAnsi="Arial" w:cs="Arial"/>
        </w:rPr>
        <w:t xml:space="preserve">10. Are we allowed to charge a </w:t>
      </w:r>
      <w:proofErr w:type="gramStart"/>
      <w:r w:rsidRPr="006955AF">
        <w:rPr>
          <w:rFonts w:ascii="Arial" w:hAnsi="Arial" w:cs="Arial"/>
        </w:rPr>
        <w:t xml:space="preserve">2 </w:t>
      </w:r>
      <w:r w:rsidR="00FB5A45" w:rsidRPr="006955AF">
        <w:rPr>
          <w:rFonts w:ascii="Arial" w:hAnsi="Arial" w:cs="Arial"/>
        </w:rPr>
        <w:t>hr.</w:t>
      </w:r>
      <w:proofErr w:type="gramEnd"/>
      <w:r w:rsidRPr="006955AF">
        <w:rPr>
          <w:rFonts w:ascii="Arial" w:hAnsi="Arial" w:cs="Arial"/>
        </w:rPr>
        <w:t xml:space="preserve"> minimum for in person, and 1 </w:t>
      </w:r>
      <w:r w:rsidR="00FB5A45" w:rsidRPr="006955AF">
        <w:rPr>
          <w:rFonts w:ascii="Arial" w:hAnsi="Arial" w:cs="Arial"/>
        </w:rPr>
        <w:t>hr.</w:t>
      </w:r>
      <w:r w:rsidRPr="006955AF">
        <w:rPr>
          <w:rFonts w:ascii="Arial" w:hAnsi="Arial" w:cs="Arial"/>
        </w:rPr>
        <w:t xml:space="preserve"> for all scheduled virtual requests? </w:t>
      </w:r>
    </w:p>
    <w:p w14:paraId="2A7B4F34" w14:textId="2176EBEF" w:rsidR="00E95258" w:rsidRPr="006955AF" w:rsidRDefault="00E95258" w:rsidP="00B6574F">
      <w:pPr>
        <w:spacing w:after="120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A: </w:t>
      </w:r>
      <w:r w:rsidR="00983391">
        <w:rPr>
          <w:rFonts w:ascii="Arial" w:hAnsi="Arial" w:cs="Arial"/>
          <w:b/>
          <w:bCs/>
        </w:rPr>
        <w:t xml:space="preserve">Per </w:t>
      </w:r>
      <w:r w:rsidR="005A2F77">
        <w:rPr>
          <w:rFonts w:ascii="Arial" w:hAnsi="Arial" w:cs="Arial"/>
          <w:b/>
          <w:bCs/>
        </w:rPr>
        <w:t xml:space="preserve">the Attachment 6 Cost Bid, the minimum charge for translation services is $50. The minimum charge for </w:t>
      </w:r>
      <w:r w:rsidR="000F5C1B">
        <w:rPr>
          <w:rFonts w:ascii="Arial" w:hAnsi="Arial" w:cs="Arial"/>
          <w:b/>
          <w:bCs/>
        </w:rPr>
        <w:t xml:space="preserve">interpretation services will be one hour </w:t>
      </w:r>
      <w:r w:rsidR="00176EF2">
        <w:rPr>
          <w:rFonts w:ascii="Arial" w:hAnsi="Arial" w:cs="Arial"/>
          <w:b/>
          <w:bCs/>
        </w:rPr>
        <w:t>at the applicable rate from the Cost Bid.</w:t>
      </w:r>
      <w:r w:rsidR="00F15A70">
        <w:rPr>
          <w:rFonts w:ascii="Arial" w:hAnsi="Arial" w:cs="Arial"/>
          <w:b/>
          <w:bCs/>
        </w:rPr>
        <w:t xml:space="preserve"> </w:t>
      </w:r>
      <w:r w:rsidR="00176EF2">
        <w:rPr>
          <w:rFonts w:ascii="Arial" w:hAnsi="Arial" w:cs="Arial"/>
          <w:b/>
          <w:bCs/>
        </w:rPr>
        <w:t xml:space="preserve">These minimum charges apply regardless of whether the </w:t>
      </w:r>
      <w:r w:rsidR="00C70130">
        <w:rPr>
          <w:rFonts w:ascii="Arial" w:hAnsi="Arial" w:cs="Arial"/>
          <w:b/>
          <w:bCs/>
        </w:rPr>
        <w:t>event is in person or not.</w:t>
      </w:r>
    </w:p>
    <w:p w14:paraId="3F1F8CB1" w14:textId="5F6FB548" w:rsidR="006955AF" w:rsidRDefault="006955AF" w:rsidP="00913535">
      <w:pPr>
        <w:spacing w:after="120"/>
        <w:jc w:val="both"/>
        <w:rPr>
          <w:rFonts w:ascii="Arial" w:hAnsi="Arial" w:cs="Arial"/>
        </w:rPr>
      </w:pPr>
      <w:r w:rsidRPr="006955AF">
        <w:rPr>
          <w:rFonts w:ascii="Arial" w:hAnsi="Arial" w:cs="Arial"/>
        </w:rPr>
        <w:t>11. Will video or telephone on demand services be needed? </w:t>
      </w:r>
    </w:p>
    <w:p w14:paraId="3DB0D861" w14:textId="2CF487A3" w:rsidR="00E95258" w:rsidRPr="006955AF" w:rsidRDefault="00E95258" w:rsidP="00B6574F">
      <w:pPr>
        <w:spacing w:after="120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A: </w:t>
      </w:r>
      <w:r w:rsidR="000034FC">
        <w:rPr>
          <w:rFonts w:ascii="Arial" w:hAnsi="Arial" w:cs="Arial"/>
          <w:b/>
          <w:bCs/>
        </w:rPr>
        <w:t>Video or telephone requests are not common.</w:t>
      </w:r>
    </w:p>
    <w:p w14:paraId="38652AD5" w14:textId="1D5E6431" w:rsidR="006955AF" w:rsidRDefault="006955AF" w:rsidP="00913535">
      <w:pPr>
        <w:spacing w:after="120"/>
        <w:jc w:val="both"/>
        <w:rPr>
          <w:rFonts w:ascii="Arial" w:hAnsi="Arial" w:cs="Arial"/>
        </w:rPr>
      </w:pPr>
      <w:r w:rsidRPr="006955AF">
        <w:rPr>
          <w:rFonts w:ascii="Arial" w:hAnsi="Arial" w:cs="Arial"/>
        </w:rPr>
        <w:t>12. What type of formats for translation services will we be receiving? (PDF, Word, etc.)</w:t>
      </w:r>
    </w:p>
    <w:p w14:paraId="4306E489" w14:textId="48BD784F" w:rsidR="00FA1699" w:rsidRPr="006955AF" w:rsidRDefault="00FA1699" w:rsidP="00B6574F">
      <w:pPr>
        <w:spacing w:after="120"/>
        <w:ind w:left="360"/>
        <w:jc w:val="both"/>
        <w:rPr>
          <w:rFonts w:ascii="Arial" w:hAnsi="Arial" w:cs="Arial"/>
          <w:b/>
          <w:bCs/>
        </w:rPr>
      </w:pPr>
      <w:r w:rsidRPr="5D17CD76">
        <w:rPr>
          <w:rFonts w:ascii="Arial" w:hAnsi="Arial" w:cs="Arial"/>
          <w:b/>
          <w:bCs/>
        </w:rPr>
        <w:t xml:space="preserve">A: </w:t>
      </w:r>
      <w:r w:rsidR="00F32378" w:rsidRPr="5D17CD76">
        <w:rPr>
          <w:rFonts w:ascii="Arial" w:hAnsi="Arial" w:cs="Arial"/>
          <w:b/>
          <w:bCs/>
        </w:rPr>
        <w:t xml:space="preserve">Microsoft </w:t>
      </w:r>
      <w:r w:rsidRPr="5D17CD76">
        <w:rPr>
          <w:rFonts w:ascii="Arial" w:hAnsi="Arial" w:cs="Arial"/>
          <w:b/>
          <w:bCs/>
        </w:rPr>
        <w:t>Word document</w:t>
      </w:r>
      <w:r w:rsidR="00F56E91" w:rsidRPr="5D17CD76">
        <w:rPr>
          <w:rFonts w:ascii="Arial" w:hAnsi="Arial" w:cs="Arial"/>
          <w:b/>
          <w:bCs/>
        </w:rPr>
        <w:t>s</w:t>
      </w:r>
      <w:r w:rsidRPr="5D17CD76">
        <w:rPr>
          <w:rFonts w:ascii="Arial" w:hAnsi="Arial" w:cs="Arial"/>
          <w:b/>
          <w:bCs/>
        </w:rPr>
        <w:t>, PDF file</w:t>
      </w:r>
      <w:r w:rsidR="00F56E91" w:rsidRPr="5D17CD76">
        <w:rPr>
          <w:rFonts w:ascii="Arial" w:hAnsi="Arial" w:cs="Arial"/>
          <w:b/>
          <w:bCs/>
        </w:rPr>
        <w:t>s</w:t>
      </w:r>
      <w:r w:rsidRPr="5D17CD76">
        <w:rPr>
          <w:rFonts w:ascii="Arial" w:hAnsi="Arial" w:cs="Arial"/>
          <w:b/>
          <w:bCs/>
        </w:rPr>
        <w:t xml:space="preserve">, </w:t>
      </w:r>
      <w:r w:rsidR="00F56E91" w:rsidRPr="5D17CD76">
        <w:rPr>
          <w:rFonts w:ascii="Arial" w:hAnsi="Arial" w:cs="Arial"/>
          <w:b/>
          <w:bCs/>
        </w:rPr>
        <w:t xml:space="preserve">and </w:t>
      </w:r>
      <w:r w:rsidRPr="5D17CD76">
        <w:rPr>
          <w:rFonts w:ascii="Arial" w:hAnsi="Arial" w:cs="Arial"/>
          <w:b/>
          <w:bCs/>
        </w:rPr>
        <w:t>PowerPoint presentation</w:t>
      </w:r>
      <w:r w:rsidR="00F56E91" w:rsidRPr="5D17CD76">
        <w:rPr>
          <w:rFonts w:ascii="Arial" w:hAnsi="Arial" w:cs="Arial"/>
          <w:b/>
          <w:bCs/>
        </w:rPr>
        <w:t>s</w:t>
      </w:r>
      <w:r w:rsidRPr="5D17CD76">
        <w:rPr>
          <w:rFonts w:ascii="Arial" w:hAnsi="Arial" w:cs="Arial"/>
          <w:b/>
          <w:bCs/>
        </w:rPr>
        <w:t xml:space="preserve">, </w:t>
      </w:r>
      <w:r w:rsidR="00F56E91" w:rsidRPr="5D17CD76">
        <w:rPr>
          <w:rFonts w:ascii="Arial" w:hAnsi="Arial" w:cs="Arial"/>
          <w:b/>
          <w:bCs/>
        </w:rPr>
        <w:t xml:space="preserve">are the </w:t>
      </w:r>
      <w:r w:rsidR="00B91F65" w:rsidRPr="5D17CD76">
        <w:rPr>
          <w:rFonts w:ascii="Arial" w:hAnsi="Arial" w:cs="Arial"/>
          <w:b/>
          <w:bCs/>
        </w:rPr>
        <w:t>most typical formats.</w:t>
      </w:r>
    </w:p>
    <w:p w14:paraId="1C2900A0" w14:textId="1BAC4A0E" w:rsidR="006955AF" w:rsidRDefault="006955AF" w:rsidP="00913535">
      <w:pPr>
        <w:spacing w:after="120"/>
        <w:jc w:val="both"/>
        <w:rPr>
          <w:rFonts w:ascii="Arial" w:hAnsi="Arial" w:cs="Arial"/>
        </w:rPr>
      </w:pPr>
      <w:r w:rsidRPr="006955AF">
        <w:rPr>
          <w:rFonts w:ascii="Arial" w:hAnsi="Arial" w:cs="Arial"/>
        </w:rPr>
        <w:t>13. Will translations need to be ADA compliant? If so, can we charge separately? </w:t>
      </w:r>
    </w:p>
    <w:p w14:paraId="7028FFE3" w14:textId="2E1306F0" w:rsidR="00FA1699" w:rsidRPr="006955AF" w:rsidRDefault="00FA1699" w:rsidP="00B6574F">
      <w:pPr>
        <w:spacing w:after="120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A: </w:t>
      </w:r>
      <w:r w:rsidR="00DA48A9">
        <w:rPr>
          <w:rFonts w:ascii="Arial" w:hAnsi="Arial" w:cs="Arial"/>
          <w:b/>
          <w:bCs/>
        </w:rPr>
        <w:t>D</w:t>
      </w:r>
      <w:r w:rsidR="00E249C2">
        <w:rPr>
          <w:rFonts w:ascii="Arial" w:hAnsi="Arial" w:cs="Arial"/>
          <w:b/>
          <w:bCs/>
        </w:rPr>
        <w:t xml:space="preserve">ocuments do not need to be ADA compliant, </w:t>
      </w:r>
      <w:r w:rsidR="00E249C2" w:rsidRPr="00F32378">
        <w:rPr>
          <w:rFonts w:ascii="Arial" w:hAnsi="Arial" w:cs="Arial"/>
          <w:b/>
          <w:bCs/>
          <w:i/>
          <w:iCs/>
        </w:rPr>
        <w:t>unless requested</w:t>
      </w:r>
      <w:r w:rsidR="00E249C2">
        <w:rPr>
          <w:rFonts w:ascii="Arial" w:hAnsi="Arial" w:cs="Arial"/>
          <w:b/>
          <w:bCs/>
        </w:rPr>
        <w:t>.</w:t>
      </w:r>
    </w:p>
    <w:p w14:paraId="6C09CC65" w14:textId="451A1754" w:rsidR="006955AF" w:rsidRDefault="006955AF" w:rsidP="00913535">
      <w:pPr>
        <w:spacing w:after="120"/>
        <w:jc w:val="both"/>
        <w:rPr>
          <w:rFonts w:ascii="Arial" w:hAnsi="Arial" w:cs="Arial"/>
        </w:rPr>
      </w:pPr>
      <w:r w:rsidRPr="006955AF">
        <w:rPr>
          <w:rFonts w:ascii="Arial" w:hAnsi="Arial" w:cs="Arial"/>
        </w:rPr>
        <w:t>14. Will you consider revising the cost sheet to allow us to charge separate rates for video and in person services? </w:t>
      </w:r>
    </w:p>
    <w:p w14:paraId="2C078E63" w14:textId="498EC85C" w:rsidR="006C35DB" w:rsidRDefault="00E249C2" w:rsidP="00B6574F">
      <w:pPr>
        <w:spacing w:after="120"/>
        <w:ind w:left="360"/>
        <w:jc w:val="both"/>
      </w:pPr>
      <w:r>
        <w:rPr>
          <w:rFonts w:ascii="Arial" w:hAnsi="Arial" w:cs="Arial"/>
          <w:b/>
          <w:bCs/>
        </w:rPr>
        <w:t xml:space="preserve">A: </w:t>
      </w:r>
      <w:r w:rsidR="004C5E12">
        <w:rPr>
          <w:rFonts w:ascii="Arial" w:hAnsi="Arial" w:cs="Arial"/>
          <w:b/>
          <w:bCs/>
        </w:rPr>
        <w:t>CEC will not be revising the Attachment 6 Cost Bid</w:t>
      </w:r>
      <w:r w:rsidR="00195458">
        <w:rPr>
          <w:rFonts w:ascii="Arial" w:hAnsi="Arial" w:cs="Arial"/>
          <w:b/>
          <w:bCs/>
        </w:rPr>
        <w:t xml:space="preserve"> at this time.</w:t>
      </w:r>
    </w:p>
    <w:sectPr w:rsidR="006C35DB" w:rsidSect="00EA068A">
      <w:footerReference w:type="default" r:id="rId11"/>
      <w:pgSz w:w="12240" w:h="15840"/>
      <w:pgMar w:top="1440" w:right="1440" w:bottom="1440" w:left="1440" w:header="720" w:footer="5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6136" w14:textId="77777777" w:rsidR="00B140A6" w:rsidRDefault="00B140A6" w:rsidP="00912D01">
      <w:pPr>
        <w:spacing w:after="0" w:line="240" w:lineRule="auto"/>
      </w:pPr>
      <w:r>
        <w:separator/>
      </w:r>
    </w:p>
  </w:endnote>
  <w:endnote w:type="continuationSeparator" w:id="0">
    <w:p w14:paraId="2778F201" w14:textId="77777777" w:rsidR="00B140A6" w:rsidRDefault="00B140A6" w:rsidP="0091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4EDD" w14:textId="689643AA" w:rsidR="00913535" w:rsidRPr="00913535" w:rsidRDefault="00913535" w:rsidP="00913535">
    <w:pPr>
      <w:pStyle w:val="Footer"/>
      <w:rPr>
        <w:rFonts w:ascii="Arial" w:hAnsi="Arial" w:cs="Arial"/>
      </w:rPr>
    </w:pPr>
    <w:r w:rsidRPr="00913535">
      <w:rPr>
        <w:rFonts w:ascii="Arial" w:hAnsi="Arial" w:cs="Arial"/>
      </w:rPr>
      <w:t>October 2025</w:t>
    </w:r>
    <w:r w:rsidRPr="00913535">
      <w:rPr>
        <w:rFonts w:ascii="Arial" w:hAnsi="Arial" w:cs="Arial"/>
      </w:rPr>
      <w:tab/>
      <w:t xml:space="preserve">Page </w:t>
    </w:r>
    <w:r w:rsidRPr="00913535">
      <w:rPr>
        <w:rFonts w:ascii="Arial" w:hAnsi="Arial" w:cs="Arial"/>
      </w:rPr>
      <w:fldChar w:fldCharType="begin"/>
    </w:r>
    <w:r w:rsidRPr="00913535">
      <w:rPr>
        <w:rFonts w:ascii="Arial" w:hAnsi="Arial" w:cs="Arial"/>
      </w:rPr>
      <w:instrText xml:space="preserve"> PAGE  \* Arabic  \* MERGEFORMAT </w:instrText>
    </w:r>
    <w:r w:rsidRPr="00913535">
      <w:rPr>
        <w:rFonts w:ascii="Arial" w:hAnsi="Arial" w:cs="Arial"/>
      </w:rPr>
      <w:fldChar w:fldCharType="separate"/>
    </w:r>
    <w:r w:rsidRPr="00913535">
      <w:rPr>
        <w:rFonts w:ascii="Arial" w:hAnsi="Arial" w:cs="Arial"/>
        <w:noProof/>
      </w:rPr>
      <w:t>2</w:t>
    </w:r>
    <w:r w:rsidRPr="00913535">
      <w:rPr>
        <w:rFonts w:ascii="Arial" w:hAnsi="Arial" w:cs="Arial"/>
      </w:rPr>
      <w:fldChar w:fldCharType="end"/>
    </w:r>
    <w:r w:rsidRPr="00913535">
      <w:rPr>
        <w:rFonts w:ascii="Arial" w:hAnsi="Arial" w:cs="Arial"/>
      </w:rPr>
      <w:t xml:space="preserve"> of </w:t>
    </w:r>
    <w:r w:rsidRPr="00913535">
      <w:rPr>
        <w:rFonts w:ascii="Arial" w:hAnsi="Arial" w:cs="Arial"/>
      </w:rPr>
      <w:fldChar w:fldCharType="begin"/>
    </w:r>
    <w:r w:rsidRPr="00913535">
      <w:rPr>
        <w:rFonts w:ascii="Arial" w:hAnsi="Arial" w:cs="Arial"/>
      </w:rPr>
      <w:instrText xml:space="preserve"> NUMPAGES  \* Arabic  \* MERGEFORMAT </w:instrText>
    </w:r>
    <w:r w:rsidRPr="00913535">
      <w:rPr>
        <w:rFonts w:ascii="Arial" w:hAnsi="Arial" w:cs="Arial"/>
      </w:rPr>
      <w:fldChar w:fldCharType="separate"/>
    </w:r>
    <w:r w:rsidRPr="00913535">
      <w:rPr>
        <w:rFonts w:ascii="Arial" w:hAnsi="Arial" w:cs="Arial"/>
        <w:noProof/>
      </w:rPr>
      <w:t>2</w:t>
    </w:r>
    <w:r w:rsidRPr="00913535">
      <w:rPr>
        <w:rFonts w:ascii="Arial" w:hAnsi="Arial" w:cs="Arial"/>
      </w:rPr>
      <w:fldChar w:fldCharType="end"/>
    </w:r>
    <w:r w:rsidRPr="00913535">
      <w:rPr>
        <w:rFonts w:ascii="Arial" w:hAnsi="Arial" w:cs="Arial"/>
      </w:rPr>
      <w:tab/>
      <w:t>IFB-25-001</w:t>
    </w:r>
  </w:p>
  <w:p w14:paraId="5549588E" w14:textId="1A0A19B2" w:rsidR="00913535" w:rsidRPr="00913535" w:rsidRDefault="00913535" w:rsidP="00913535">
    <w:pPr>
      <w:pStyle w:val="Footer"/>
      <w:jc w:val="right"/>
      <w:rPr>
        <w:rFonts w:ascii="Arial" w:hAnsi="Arial" w:cs="Arial"/>
      </w:rPr>
    </w:pPr>
    <w:r w:rsidRPr="00913535">
      <w:rPr>
        <w:rFonts w:ascii="Arial" w:hAnsi="Arial" w:cs="Arial"/>
      </w:rPr>
      <w:t>TIS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E4B2" w14:textId="77777777" w:rsidR="00B140A6" w:rsidRDefault="00B140A6" w:rsidP="00912D01">
      <w:pPr>
        <w:spacing w:after="0" w:line="240" w:lineRule="auto"/>
      </w:pPr>
      <w:r>
        <w:separator/>
      </w:r>
    </w:p>
  </w:footnote>
  <w:footnote w:type="continuationSeparator" w:id="0">
    <w:p w14:paraId="1CA00727" w14:textId="77777777" w:rsidR="00B140A6" w:rsidRDefault="00B140A6" w:rsidP="00912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96310"/>
    <w:multiLevelType w:val="hybridMultilevel"/>
    <w:tmpl w:val="A44A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8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398574"/>
    <w:rsid w:val="000034FC"/>
    <w:rsid w:val="00036291"/>
    <w:rsid w:val="000840FE"/>
    <w:rsid w:val="000A62C9"/>
    <w:rsid w:val="000D3B0C"/>
    <w:rsid w:val="000D4D74"/>
    <w:rsid w:val="000E0B0A"/>
    <w:rsid w:val="000E3840"/>
    <w:rsid w:val="000F5C1B"/>
    <w:rsid w:val="00106E19"/>
    <w:rsid w:val="0011240C"/>
    <w:rsid w:val="001130AE"/>
    <w:rsid w:val="0017307E"/>
    <w:rsid w:val="00176EF2"/>
    <w:rsid w:val="00190ADF"/>
    <w:rsid w:val="00195458"/>
    <w:rsid w:val="00196F5B"/>
    <w:rsid w:val="001D0E42"/>
    <w:rsid w:val="001F1304"/>
    <w:rsid w:val="002164E5"/>
    <w:rsid w:val="002A448F"/>
    <w:rsid w:val="002B061E"/>
    <w:rsid w:val="002B0DE2"/>
    <w:rsid w:val="002D6947"/>
    <w:rsid w:val="002E317A"/>
    <w:rsid w:val="00304B63"/>
    <w:rsid w:val="00327A3B"/>
    <w:rsid w:val="00330F68"/>
    <w:rsid w:val="00337DE4"/>
    <w:rsid w:val="00344DFD"/>
    <w:rsid w:val="00371249"/>
    <w:rsid w:val="0038611E"/>
    <w:rsid w:val="00387016"/>
    <w:rsid w:val="003934A7"/>
    <w:rsid w:val="003C375E"/>
    <w:rsid w:val="004224DF"/>
    <w:rsid w:val="00475D4A"/>
    <w:rsid w:val="00491843"/>
    <w:rsid w:val="00494AEA"/>
    <w:rsid w:val="004C5E12"/>
    <w:rsid w:val="004E2DF3"/>
    <w:rsid w:val="00521F6A"/>
    <w:rsid w:val="0053313B"/>
    <w:rsid w:val="005634E5"/>
    <w:rsid w:val="005A2F77"/>
    <w:rsid w:val="005C7CC1"/>
    <w:rsid w:val="005E2063"/>
    <w:rsid w:val="00635562"/>
    <w:rsid w:val="006405F3"/>
    <w:rsid w:val="00651A43"/>
    <w:rsid w:val="00682F45"/>
    <w:rsid w:val="006955AF"/>
    <w:rsid w:val="0069A0D2"/>
    <w:rsid w:val="006C35DB"/>
    <w:rsid w:val="006E3F67"/>
    <w:rsid w:val="007007F4"/>
    <w:rsid w:val="00710339"/>
    <w:rsid w:val="00751BF0"/>
    <w:rsid w:val="00760906"/>
    <w:rsid w:val="007631A7"/>
    <w:rsid w:val="0079208B"/>
    <w:rsid w:val="007B4606"/>
    <w:rsid w:val="007E1532"/>
    <w:rsid w:val="007F72AD"/>
    <w:rsid w:val="00807AC8"/>
    <w:rsid w:val="008233CF"/>
    <w:rsid w:val="00846594"/>
    <w:rsid w:val="00853BC8"/>
    <w:rsid w:val="008808BC"/>
    <w:rsid w:val="00887679"/>
    <w:rsid w:val="008B38DD"/>
    <w:rsid w:val="00912D01"/>
    <w:rsid w:val="00913535"/>
    <w:rsid w:val="009401DD"/>
    <w:rsid w:val="00983391"/>
    <w:rsid w:val="00A13A69"/>
    <w:rsid w:val="00A14ED1"/>
    <w:rsid w:val="00A345B7"/>
    <w:rsid w:val="00A54205"/>
    <w:rsid w:val="00A5732C"/>
    <w:rsid w:val="00AB040E"/>
    <w:rsid w:val="00AC08CA"/>
    <w:rsid w:val="00AC0DA9"/>
    <w:rsid w:val="00AD1D6D"/>
    <w:rsid w:val="00B140A6"/>
    <w:rsid w:val="00B35B36"/>
    <w:rsid w:val="00B47C00"/>
    <w:rsid w:val="00B64FE0"/>
    <w:rsid w:val="00B6540A"/>
    <w:rsid w:val="00B6574F"/>
    <w:rsid w:val="00B65989"/>
    <w:rsid w:val="00B65F17"/>
    <w:rsid w:val="00B91F65"/>
    <w:rsid w:val="00BA2DE4"/>
    <w:rsid w:val="00BC5136"/>
    <w:rsid w:val="00BD2334"/>
    <w:rsid w:val="00BF2EE9"/>
    <w:rsid w:val="00C05D90"/>
    <w:rsid w:val="00C6380C"/>
    <w:rsid w:val="00C67177"/>
    <w:rsid w:val="00C70130"/>
    <w:rsid w:val="00C87C90"/>
    <w:rsid w:val="00CD72D7"/>
    <w:rsid w:val="00CE08B7"/>
    <w:rsid w:val="00CE5CE4"/>
    <w:rsid w:val="00DA48A9"/>
    <w:rsid w:val="00DD16F8"/>
    <w:rsid w:val="00DD460C"/>
    <w:rsid w:val="00DF4204"/>
    <w:rsid w:val="00E0565F"/>
    <w:rsid w:val="00E23332"/>
    <w:rsid w:val="00E249C2"/>
    <w:rsid w:val="00E3246A"/>
    <w:rsid w:val="00E739E0"/>
    <w:rsid w:val="00E76230"/>
    <w:rsid w:val="00E95258"/>
    <w:rsid w:val="00E975D0"/>
    <w:rsid w:val="00EA068A"/>
    <w:rsid w:val="00EB2088"/>
    <w:rsid w:val="00EB4630"/>
    <w:rsid w:val="00EE77F4"/>
    <w:rsid w:val="00F15A70"/>
    <w:rsid w:val="00F177F7"/>
    <w:rsid w:val="00F26341"/>
    <w:rsid w:val="00F31E7E"/>
    <w:rsid w:val="00F32378"/>
    <w:rsid w:val="00F56E91"/>
    <w:rsid w:val="00F75251"/>
    <w:rsid w:val="00FA1699"/>
    <w:rsid w:val="00FB1F76"/>
    <w:rsid w:val="00FB5A45"/>
    <w:rsid w:val="00FF177B"/>
    <w:rsid w:val="00FF64D3"/>
    <w:rsid w:val="01A2B5CD"/>
    <w:rsid w:val="0870744E"/>
    <w:rsid w:val="0F6F66C6"/>
    <w:rsid w:val="0F88B6A0"/>
    <w:rsid w:val="158388A1"/>
    <w:rsid w:val="19398574"/>
    <w:rsid w:val="32B67120"/>
    <w:rsid w:val="417BB968"/>
    <w:rsid w:val="4687778B"/>
    <w:rsid w:val="54E306AA"/>
    <w:rsid w:val="5B22CB2C"/>
    <w:rsid w:val="5D17CD76"/>
    <w:rsid w:val="6200FF1B"/>
    <w:rsid w:val="646DDF51"/>
    <w:rsid w:val="65FACA94"/>
    <w:rsid w:val="68E2F012"/>
    <w:rsid w:val="6B1FF1E8"/>
    <w:rsid w:val="6BCB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98574"/>
  <w15:chartTrackingRefBased/>
  <w15:docId w15:val="{4D01C8D9-E024-44F8-A5BB-130C6A8A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7B46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20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0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06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0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6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6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61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B061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01"/>
  </w:style>
  <w:style w:type="paragraph" w:styleId="Footer">
    <w:name w:val="footer"/>
    <w:basedOn w:val="Normal"/>
    <w:link w:val="FooterChar"/>
    <w:uiPriority w:val="99"/>
    <w:unhideWhenUsed/>
    <w:rsid w:val="0091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FCD53-FF48-4937-8F80-7B2D5B628A4B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AA5CC729-E22A-4F72-AE24-C5A393B0D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60A1E-11E6-4EDE-86FB-243F5E8E13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E5060B-8F36-492F-9737-9B42631DE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Links>
    <vt:vector size="12" baseType="variant">
      <vt:variant>
        <vt:i4>1507401</vt:i4>
      </vt:variant>
      <vt:variant>
        <vt:i4>0</vt:i4>
      </vt:variant>
      <vt:variant>
        <vt:i4>0</vt:i4>
      </vt:variant>
      <vt:variant>
        <vt:i4>5</vt:i4>
      </vt:variant>
      <vt:variant>
        <vt:lpwstr>https://www.energy.ca.gov/solicitations/2025-10/ifb-25-001-translationinterpretation-services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mailto:Kristine.Banaag@energy.ca.gov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Banaag, Kristine@Energy</dc:creator>
  <cp:keywords/>
  <dc:description/>
  <cp:lastModifiedBy>Kidd, Kevin@Energy</cp:lastModifiedBy>
  <cp:revision>32</cp:revision>
  <dcterms:created xsi:type="dcterms:W3CDTF">2025-10-21T19:19:00Z</dcterms:created>
  <dcterms:modified xsi:type="dcterms:W3CDTF">2025-10-22T22:55:00Z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