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04E88" w14:textId="678FCDA8" w:rsidR="00B840BA" w:rsidRDefault="00B840BA" w:rsidP="00B840BA">
      <w:pPr>
        <w:spacing w:after="0"/>
        <w:jc w:val="right"/>
        <w:rPr>
          <w:rFonts w:ascii="Arial" w:hAnsi="Arial" w:cs="Arial"/>
        </w:rPr>
      </w:pPr>
      <w:r>
        <w:rPr>
          <w:rFonts w:ascii="Arial" w:hAnsi="Arial" w:cs="Arial"/>
        </w:rPr>
        <w:t>Chris Kavalec</w:t>
      </w:r>
    </w:p>
    <w:p w14:paraId="0B0F1515" w14:textId="602E1498" w:rsidR="00B840BA" w:rsidRPr="00B840BA" w:rsidRDefault="009E6B05" w:rsidP="00B840BA">
      <w:pPr>
        <w:spacing w:after="0"/>
        <w:jc w:val="right"/>
        <w:rPr>
          <w:rFonts w:ascii="Arial" w:hAnsi="Arial" w:cs="Arial"/>
        </w:rPr>
      </w:pPr>
      <w:r>
        <w:rPr>
          <w:rFonts w:ascii="Arial" w:hAnsi="Arial" w:cs="Arial"/>
        </w:rPr>
        <w:t>October 27</w:t>
      </w:r>
      <w:r w:rsidR="00B840BA">
        <w:rPr>
          <w:rFonts w:ascii="Arial" w:hAnsi="Arial" w:cs="Arial"/>
        </w:rPr>
        <w:t>, 2025</w:t>
      </w:r>
    </w:p>
    <w:p w14:paraId="1357BA82" w14:textId="55584D74" w:rsidR="005862C8" w:rsidRPr="000C5D81" w:rsidRDefault="005862C8" w:rsidP="000C5D81">
      <w:pPr>
        <w:jc w:val="center"/>
        <w:rPr>
          <w:rFonts w:ascii="Arial" w:hAnsi="Arial" w:cs="Arial"/>
          <w:sz w:val="36"/>
          <w:szCs w:val="36"/>
        </w:rPr>
      </w:pPr>
      <w:r w:rsidRPr="000C5D81">
        <w:rPr>
          <w:rFonts w:ascii="Arial" w:hAnsi="Arial" w:cs="Arial"/>
          <w:sz w:val="36"/>
          <w:szCs w:val="36"/>
        </w:rPr>
        <w:t>Improved Calibration for End-Use Models</w:t>
      </w:r>
    </w:p>
    <w:p w14:paraId="012FDFFC" w14:textId="1806F992" w:rsidR="007A05AC" w:rsidRDefault="005862C8" w:rsidP="007A05AC">
      <w:pPr>
        <w:rPr>
          <w:rFonts w:ascii="Arial" w:hAnsi="Arial" w:cs="Arial"/>
        </w:rPr>
      </w:pPr>
      <w:r>
        <w:rPr>
          <w:rFonts w:ascii="Arial" w:hAnsi="Arial" w:cs="Arial"/>
        </w:rPr>
        <w:t xml:space="preserve">This approach is designed to provide a more accurate backcast (and thus forecast) for the residential and commercial end-use models by adjusting estimated totals </w:t>
      </w:r>
      <w:r w:rsidR="000C5D81">
        <w:rPr>
          <w:rFonts w:ascii="Arial" w:hAnsi="Arial" w:cs="Arial"/>
        </w:rPr>
        <w:t xml:space="preserve">at the end-use level </w:t>
      </w:r>
      <w:r>
        <w:rPr>
          <w:rFonts w:ascii="Arial" w:hAnsi="Arial" w:cs="Arial"/>
        </w:rPr>
        <w:t xml:space="preserve">for the historical period </w:t>
      </w:r>
      <w:r w:rsidR="000C5D81">
        <w:rPr>
          <w:rFonts w:ascii="Arial" w:hAnsi="Arial" w:cs="Arial"/>
        </w:rPr>
        <w:t xml:space="preserve">so that the </w:t>
      </w:r>
      <w:r w:rsidR="007D209F">
        <w:rPr>
          <w:rFonts w:ascii="Arial" w:hAnsi="Arial" w:cs="Arial"/>
        </w:rPr>
        <w:t xml:space="preserve">yearly </w:t>
      </w:r>
      <w:r w:rsidR="000C5D81">
        <w:rPr>
          <w:rFonts w:ascii="Arial" w:hAnsi="Arial" w:cs="Arial"/>
        </w:rPr>
        <w:t>sum</w:t>
      </w:r>
      <w:r w:rsidR="007A05AC">
        <w:rPr>
          <w:rFonts w:ascii="Arial" w:hAnsi="Arial" w:cs="Arial"/>
        </w:rPr>
        <w:t>s</w:t>
      </w:r>
      <w:r w:rsidR="000C5D81">
        <w:rPr>
          <w:rFonts w:ascii="Arial" w:hAnsi="Arial" w:cs="Arial"/>
        </w:rPr>
        <w:t xml:space="preserve"> </w:t>
      </w:r>
      <w:r>
        <w:rPr>
          <w:rFonts w:ascii="Arial" w:hAnsi="Arial" w:cs="Arial"/>
        </w:rPr>
        <w:t>better match QFER consumption. These adjustments would then be continued into the forecast period.</w:t>
      </w:r>
      <w:r w:rsidR="007C288B">
        <w:rPr>
          <w:rFonts w:ascii="Arial" w:hAnsi="Arial" w:cs="Arial"/>
        </w:rPr>
        <w:t xml:space="preserve"> The example below uses the residential sector.</w:t>
      </w:r>
    </w:p>
    <w:p w14:paraId="333926EA" w14:textId="7CB8E479" w:rsidR="00716A0F" w:rsidRDefault="00716A0F" w:rsidP="007A05AC">
      <w:pPr>
        <w:rPr>
          <w:rFonts w:ascii="Arial" w:hAnsi="Arial" w:cs="Arial"/>
        </w:rPr>
      </w:pPr>
      <w:r>
        <w:rPr>
          <w:rFonts w:ascii="Arial" w:hAnsi="Arial" w:cs="Arial"/>
        </w:rPr>
        <w:t>In order to provide a reasonable adjustment to the end use totals for each year, including the forecast years, we will require:</w:t>
      </w:r>
    </w:p>
    <w:p w14:paraId="1513A2E3" w14:textId="6FADA0AD" w:rsidR="00716A0F" w:rsidRPr="000864CD" w:rsidRDefault="00A27F77" w:rsidP="000864CD">
      <w:pPr>
        <w:pStyle w:val="ListParagraph"/>
        <w:numPr>
          <w:ilvl w:val="0"/>
          <w:numId w:val="2"/>
        </w:numPr>
        <w:rPr>
          <w:rFonts w:ascii="Arial" w:hAnsi="Arial" w:cs="Arial"/>
        </w:rPr>
      </w:pPr>
      <w:r>
        <w:rPr>
          <w:rFonts w:ascii="Arial" w:hAnsi="Arial" w:cs="Arial"/>
        </w:rPr>
        <w:t>Regressions</w:t>
      </w:r>
      <w:r w:rsidR="00716A0F" w:rsidRPr="000864CD">
        <w:rPr>
          <w:rFonts w:ascii="Arial" w:hAnsi="Arial" w:cs="Arial"/>
        </w:rPr>
        <w:t xml:space="preserve"> that tie end use totals to QFER consumption over the historical period, with the regression results used to forecast this relationship into the future.</w:t>
      </w:r>
    </w:p>
    <w:p w14:paraId="3140AF1E" w14:textId="5BB8BBD1" w:rsidR="00716A0F" w:rsidRDefault="00716A0F" w:rsidP="000864CD">
      <w:pPr>
        <w:pStyle w:val="ListParagraph"/>
        <w:numPr>
          <w:ilvl w:val="0"/>
          <w:numId w:val="2"/>
        </w:numPr>
        <w:rPr>
          <w:rFonts w:ascii="Arial" w:hAnsi="Arial" w:cs="Arial"/>
        </w:rPr>
      </w:pPr>
      <w:r w:rsidRPr="000864CD">
        <w:rPr>
          <w:rFonts w:ascii="Arial" w:hAnsi="Arial" w:cs="Arial"/>
        </w:rPr>
        <w:t xml:space="preserve">A way of allocating the </w:t>
      </w:r>
      <w:r w:rsidR="000864CD" w:rsidRPr="000864CD">
        <w:rPr>
          <w:rFonts w:ascii="Arial" w:hAnsi="Arial" w:cs="Arial"/>
        </w:rPr>
        <w:t xml:space="preserve">yearly </w:t>
      </w:r>
      <w:r w:rsidRPr="000864CD">
        <w:rPr>
          <w:rFonts w:ascii="Arial" w:hAnsi="Arial" w:cs="Arial"/>
        </w:rPr>
        <w:t>differences</w:t>
      </w:r>
      <w:r w:rsidR="000864CD" w:rsidRPr="000864CD">
        <w:rPr>
          <w:rFonts w:ascii="Arial" w:hAnsi="Arial" w:cs="Arial"/>
        </w:rPr>
        <w:t>, both historical and forecasted,</w:t>
      </w:r>
      <w:r w:rsidRPr="000864CD">
        <w:rPr>
          <w:rFonts w:ascii="Arial" w:hAnsi="Arial" w:cs="Arial"/>
        </w:rPr>
        <w:t xml:space="preserve"> between the </w:t>
      </w:r>
      <w:r w:rsidR="000864CD" w:rsidRPr="000864CD">
        <w:rPr>
          <w:rFonts w:ascii="Arial" w:hAnsi="Arial" w:cs="Arial"/>
        </w:rPr>
        <w:t>regression-based estimates and the totals coming from the residential model among the various end uses.</w:t>
      </w:r>
    </w:p>
    <w:p w14:paraId="6BA04AF7" w14:textId="15308828" w:rsidR="00263B6B" w:rsidRDefault="008E6980" w:rsidP="00F36266">
      <w:pPr>
        <w:rPr>
          <w:rFonts w:ascii="Arial" w:hAnsi="Arial" w:cs="Arial"/>
        </w:rPr>
      </w:pPr>
      <w:r>
        <w:rPr>
          <w:rFonts w:ascii="Arial" w:hAnsi="Arial" w:cs="Arial"/>
        </w:rPr>
        <w:t xml:space="preserve">The most obvious candidate for these regressions is the ordinary least-squares approach for each planning area/forecast zone, where the QFER </w:t>
      </w:r>
      <w:r w:rsidR="00263B6B">
        <w:rPr>
          <w:rFonts w:ascii="Arial" w:hAnsi="Arial" w:cs="Arial"/>
        </w:rPr>
        <w:t xml:space="preserve">electricity consumption </w:t>
      </w:r>
      <w:r>
        <w:rPr>
          <w:rFonts w:ascii="Arial" w:hAnsi="Arial" w:cs="Arial"/>
        </w:rPr>
        <w:t xml:space="preserve">totals would be regressed on </w:t>
      </w:r>
      <w:r w:rsidR="00D028EE">
        <w:rPr>
          <w:rFonts w:ascii="Arial" w:hAnsi="Arial" w:cs="Arial"/>
        </w:rPr>
        <w:t xml:space="preserve">all of </w:t>
      </w:r>
      <w:r>
        <w:rPr>
          <w:rFonts w:ascii="Arial" w:hAnsi="Arial" w:cs="Arial"/>
        </w:rPr>
        <w:t xml:space="preserve">the individual </w:t>
      </w:r>
      <w:r w:rsidR="00263B6B">
        <w:rPr>
          <w:rFonts w:ascii="Arial" w:hAnsi="Arial" w:cs="Arial"/>
        </w:rPr>
        <w:t xml:space="preserve">electric </w:t>
      </w:r>
      <w:r>
        <w:rPr>
          <w:rFonts w:ascii="Arial" w:hAnsi="Arial" w:cs="Arial"/>
        </w:rPr>
        <w:t>end</w:t>
      </w:r>
      <w:r w:rsidR="00263B6B">
        <w:rPr>
          <w:rFonts w:ascii="Arial" w:hAnsi="Arial" w:cs="Arial"/>
        </w:rPr>
        <w:t>-</w:t>
      </w:r>
      <w:r>
        <w:rPr>
          <w:rFonts w:ascii="Arial" w:hAnsi="Arial" w:cs="Arial"/>
        </w:rPr>
        <w:t>use</w:t>
      </w:r>
      <w:r w:rsidR="00D028EE">
        <w:rPr>
          <w:rFonts w:ascii="Arial" w:hAnsi="Arial" w:cs="Arial"/>
        </w:rPr>
        <w:t xml:space="preserve"> estimates</w:t>
      </w:r>
      <w:r w:rsidR="000C0AC0">
        <w:rPr>
          <w:rFonts w:ascii="Arial" w:hAnsi="Arial" w:cs="Arial"/>
        </w:rPr>
        <w:t xml:space="preserve"> from the Residential Model</w:t>
      </w:r>
      <w:r w:rsidR="00971E9B">
        <w:rPr>
          <w:rFonts w:ascii="Arial" w:hAnsi="Arial" w:cs="Arial"/>
        </w:rPr>
        <w:t>,</w:t>
      </w:r>
      <w:r w:rsidR="004F4272">
        <w:rPr>
          <w:rFonts w:ascii="Arial" w:hAnsi="Arial" w:cs="Arial"/>
        </w:rPr>
        <w:t xml:space="preserve"> or a smaller set where the end uses are aggregated to some degree</w:t>
      </w:r>
      <w:r w:rsidR="00E07D83">
        <w:rPr>
          <w:rFonts w:ascii="Arial" w:hAnsi="Arial" w:cs="Arial"/>
        </w:rPr>
        <w:t>, as used in this analysis</w:t>
      </w:r>
      <w:r w:rsidR="00971E9B">
        <w:rPr>
          <w:rFonts w:ascii="Arial" w:hAnsi="Arial" w:cs="Arial"/>
        </w:rPr>
        <w:t xml:space="preserve"> and shown in </w:t>
      </w:r>
      <w:r w:rsidR="00263B6B">
        <w:rPr>
          <w:rFonts w:ascii="Arial" w:hAnsi="Arial" w:cs="Arial"/>
        </w:rPr>
        <w:t xml:space="preserve">Table </w:t>
      </w:r>
      <w:r w:rsidR="00971E9B">
        <w:rPr>
          <w:rFonts w:ascii="Arial" w:hAnsi="Arial" w:cs="Arial"/>
        </w:rPr>
        <w:t>1</w:t>
      </w:r>
      <w:r w:rsidR="004F4272">
        <w:rPr>
          <w:rFonts w:ascii="Arial" w:hAnsi="Arial" w:cs="Arial"/>
        </w:rPr>
        <w:t>.</w:t>
      </w:r>
      <w:r w:rsidR="00263B6B">
        <w:rPr>
          <w:rStyle w:val="FootnoteReference"/>
          <w:rFonts w:ascii="Arial" w:hAnsi="Arial" w:cs="Arial"/>
        </w:rPr>
        <w:footnoteReference w:id="1"/>
      </w:r>
      <w:r w:rsidR="004F4272">
        <w:rPr>
          <w:rFonts w:ascii="Arial" w:hAnsi="Arial" w:cs="Arial"/>
        </w:rPr>
        <w:t xml:space="preserve"> </w:t>
      </w:r>
      <w:r w:rsidR="00E07D83">
        <w:rPr>
          <w:rFonts w:ascii="Arial" w:hAnsi="Arial" w:cs="Arial"/>
        </w:rPr>
        <w:t xml:space="preserve">Unfortunately, high correlation among the end uses, as shown in </w:t>
      </w:r>
      <w:r w:rsidR="00971E9B">
        <w:rPr>
          <w:rFonts w:ascii="Arial" w:hAnsi="Arial" w:cs="Arial"/>
        </w:rPr>
        <w:t>Table 2</w:t>
      </w:r>
      <w:r w:rsidR="00E07D83">
        <w:rPr>
          <w:rFonts w:ascii="Arial" w:hAnsi="Arial" w:cs="Arial"/>
        </w:rPr>
        <w:t xml:space="preserve"> for the PG&amp;E planning area</w:t>
      </w:r>
      <w:r w:rsidR="009748BC">
        <w:rPr>
          <w:rFonts w:ascii="Arial" w:hAnsi="Arial" w:cs="Arial"/>
        </w:rPr>
        <w:t xml:space="preserve"> residential sector</w:t>
      </w:r>
      <w:r w:rsidR="00E07D83">
        <w:rPr>
          <w:rFonts w:ascii="Arial" w:hAnsi="Arial" w:cs="Arial"/>
        </w:rPr>
        <w:t>, precludes use of this simpler approach</w:t>
      </w:r>
      <w:r w:rsidR="00263B6B">
        <w:rPr>
          <w:rFonts w:ascii="Arial" w:hAnsi="Arial" w:cs="Arial"/>
        </w:rPr>
        <w:t>.</w:t>
      </w:r>
      <w:r w:rsidR="00FC4C46">
        <w:rPr>
          <w:rFonts w:ascii="Arial" w:hAnsi="Arial" w:cs="Arial"/>
        </w:rPr>
        <w:t xml:space="preserve"> Multicollinearity among the independent variables (end uses) severely inflates the coefficient standard errors</w:t>
      </w:r>
      <w:r w:rsidR="00730AE2">
        <w:rPr>
          <w:rFonts w:ascii="Arial" w:hAnsi="Arial" w:cs="Arial"/>
        </w:rPr>
        <w:t xml:space="preserve"> and</w:t>
      </w:r>
      <w:r w:rsidR="00FC4C46">
        <w:rPr>
          <w:rFonts w:ascii="Arial" w:hAnsi="Arial" w:cs="Arial"/>
        </w:rPr>
        <w:t xml:space="preserve"> yield</w:t>
      </w:r>
      <w:r w:rsidR="00730AE2">
        <w:rPr>
          <w:rFonts w:ascii="Arial" w:hAnsi="Arial" w:cs="Arial"/>
        </w:rPr>
        <w:t>s</w:t>
      </w:r>
      <w:r w:rsidR="00FC4C46">
        <w:rPr>
          <w:rFonts w:ascii="Arial" w:hAnsi="Arial" w:cs="Arial"/>
        </w:rPr>
        <w:t xml:space="preserve"> unreliable “nonsense” coefficients. While the regression provides a good fit for the historical period, projections quickly begin to become unrealistic, even negative in some cases. This means that we need a method to overcome the multicollinearity issue and develop more precise adjustments for the individual end uses. For this purpose, </w:t>
      </w:r>
      <w:r w:rsidR="00F73A99">
        <w:rPr>
          <w:rFonts w:ascii="Arial" w:hAnsi="Arial" w:cs="Arial"/>
        </w:rPr>
        <w:t>we are</w:t>
      </w:r>
      <w:r w:rsidR="00FC4C46">
        <w:rPr>
          <w:rFonts w:ascii="Arial" w:hAnsi="Arial" w:cs="Arial"/>
        </w:rPr>
        <w:t xml:space="preserve"> using a principal components analysis (PCA).</w:t>
      </w:r>
    </w:p>
    <w:p w14:paraId="125E59E8" w14:textId="77777777" w:rsidR="00263B6B" w:rsidRDefault="00263B6B" w:rsidP="00F36266">
      <w:pPr>
        <w:rPr>
          <w:rFonts w:ascii="Arial" w:hAnsi="Arial" w:cs="Arial"/>
        </w:rPr>
      </w:pPr>
    </w:p>
    <w:p w14:paraId="1D38557C" w14:textId="77777777" w:rsidR="00263B6B" w:rsidRDefault="00263B6B" w:rsidP="00F36266">
      <w:pPr>
        <w:rPr>
          <w:rFonts w:ascii="Arial" w:hAnsi="Arial" w:cs="Arial"/>
        </w:rPr>
      </w:pPr>
    </w:p>
    <w:p w14:paraId="0C88555E" w14:textId="77777777" w:rsidR="00FC4C46" w:rsidRDefault="00FC4C46" w:rsidP="00F36266">
      <w:pPr>
        <w:rPr>
          <w:rFonts w:ascii="Arial" w:hAnsi="Arial" w:cs="Arial"/>
        </w:rPr>
      </w:pPr>
    </w:p>
    <w:p w14:paraId="748C478A" w14:textId="6ABBCC87" w:rsidR="00263B6B" w:rsidRDefault="00263B6B" w:rsidP="00263B6B">
      <w:pPr>
        <w:jc w:val="center"/>
        <w:rPr>
          <w:rFonts w:ascii="Arial" w:hAnsi="Arial" w:cs="Arial"/>
        </w:rPr>
      </w:pPr>
      <w:r>
        <w:rPr>
          <w:rFonts w:ascii="Arial" w:hAnsi="Arial" w:cs="Arial"/>
        </w:rPr>
        <w:lastRenderedPageBreak/>
        <w:t>Table 1: End-Use Aggregations Used in This Analysis</w:t>
      </w:r>
    </w:p>
    <w:p w14:paraId="7FA7C1C8" w14:textId="1F966411" w:rsidR="00263B6B" w:rsidRDefault="00263B6B" w:rsidP="00263B6B">
      <w:pPr>
        <w:jc w:val="center"/>
        <w:rPr>
          <w:rFonts w:ascii="Arial" w:hAnsi="Arial" w:cs="Arial"/>
        </w:rPr>
      </w:pPr>
      <w:r w:rsidRPr="00263B6B">
        <w:rPr>
          <w:noProof/>
        </w:rPr>
        <w:drawing>
          <wp:inline distT="0" distB="0" distL="0" distR="0" wp14:anchorId="29960FF7" wp14:editId="44B52058">
            <wp:extent cx="4366260" cy="2202180"/>
            <wp:effectExtent l="0" t="0" r="0" b="7620"/>
            <wp:docPr id="1377876505" name="Picture 2" descr="A table showing the names and descriptions of groups of similar end 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876505" name="Picture 2" descr="A table showing the names and descriptions of groups of similar end us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6260" cy="2202180"/>
                    </a:xfrm>
                    <a:prstGeom prst="rect">
                      <a:avLst/>
                    </a:prstGeom>
                    <a:noFill/>
                    <a:ln>
                      <a:noFill/>
                    </a:ln>
                  </pic:spPr>
                </pic:pic>
              </a:graphicData>
            </a:graphic>
          </wp:inline>
        </w:drawing>
      </w:r>
    </w:p>
    <w:p w14:paraId="25E34B17" w14:textId="77777777" w:rsidR="00263B6B" w:rsidRDefault="00263B6B" w:rsidP="00E07D83">
      <w:pPr>
        <w:jc w:val="center"/>
        <w:rPr>
          <w:rFonts w:ascii="Arial" w:hAnsi="Arial" w:cs="Arial"/>
        </w:rPr>
      </w:pPr>
    </w:p>
    <w:p w14:paraId="601BB485" w14:textId="266FB0ED" w:rsidR="00E07D83" w:rsidRDefault="00E07D83" w:rsidP="00E07D83">
      <w:pPr>
        <w:jc w:val="center"/>
        <w:rPr>
          <w:rFonts w:ascii="Arial" w:hAnsi="Arial" w:cs="Arial"/>
        </w:rPr>
      </w:pPr>
      <w:r>
        <w:rPr>
          <w:rFonts w:ascii="Arial" w:hAnsi="Arial" w:cs="Arial"/>
        </w:rPr>
        <w:t xml:space="preserve">Table </w:t>
      </w:r>
      <w:r w:rsidR="00971E9B">
        <w:rPr>
          <w:rFonts w:ascii="Arial" w:hAnsi="Arial" w:cs="Arial"/>
        </w:rPr>
        <w:t>2</w:t>
      </w:r>
      <w:r>
        <w:rPr>
          <w:rFonts w:ascii="Arial" w:hAnsi="Arial" w:cs="Arial"/>
        </w:rPr>
        <w:t>: End-Use Correlations for 2003-2023, PG&amp;E</w:t>
      </w:r>
    </w:p>
    <w:p w14:paraId="045FFC41" w14:textId="4CDF5120" w:rsidR="00E07D83" w:rsidRDefault="00971E9B" w:rsidP="00F36266">
      <w:pPr>
        <w:rPr>
          <w:rFonts w:ascii="Arial" w:hAnsi="Arial" w:cs="Arial"/>
        </w:rPr>
      </w:pPr>
      <w:r w:rsidRPr="00971E9B">
        <w:rPr>
          <w:noProof/>
        </w:rPr>
        <w:drawing>
          <wp:inline distT="0" distB="0" distL="0" distR="0" wp14:anchorId="41758121" wp14:editId="4F920700">
            <wp:extent cx="5943600" cy="1591945"/>
            <wp:effectExtent l="0" t="0" r="0" b="8255"/>
            <wp:docPr id="1181316159" name="Picture 1" descr="A table showing high correlation between many of the end use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316159" name="Picture 1" descr="A table showing high correlation between many of the end use group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591945"/>
                    </a:xfrm>
                    <a:prstGeom prst="rect">
                      <a:avLst/>
                    </a:prstGeom>
                    <a:noFill/>
                    <a:ln>
                      <a:noFill/>
                    </a:ln>
                  </pic:spPr>
                </pic:pic>
              </a:graphicData>
            </a:graphic>
          </wp:inline>
        </w:drawing>
      </w:r>
    </w:p>
    <w:p w14:paraId="57746906" w14:textId="77777777" w:rsidR="00E07D83" w:rsidRDefault="00E07D83" w:rsidP="00F36266">
      <w:pPr>
        <w:rPr>
          <w:rFonts w:ascii="Arial" w:hAnsi="Arial" w:cs="Arial"/>
        </w:rPr>
      </w:pPr>
    </w:p>
    <w:p w14:paraId="7A18BAB5" w14:textId="63E45139" w:rsidR="00334E04" w:rsidRPr="007A05AC" w:rsidRDefault="00334E04" w:rsidP="00334E04">
      <w:pPr>
        <w:rPr>
          <w:rFonts w:ascii="Arial" w:hAnsi="Arial" w:cs="Arial"/>
          <w:sz w:val="28"/>
          <w:szCs w:val="28"/>
        </w:rPr>
      </w:pPr>
      <w:r w:rsidRPr="007A05AC">
        <w:rPr>
          <w:rFonts w:ascii="Arial" w:hAnsi="Arial" w:cs="Arial"/>
          <w:sz w:val="28"/>
          <w:szCs w:val="28"/>
        </w:rPr>
        <w:t xml:space="preserve">Step </w:t>
      </w:r>
      <w:r w:rsidR="00C41E35">
        <w:rPr>
          <w:rFonts w:ascii="Arial" w:hAnsi="Arial" w:cs="Arial"/>
          <w:sz w:val="28"/>
          <w:szCs w:val="28"/>
        </w:rPr>
        <w:t>1</w:t>
      </w:r>
      <w:r w:rsidRPr="007A05AC">
        <w:rPr>
          <w:rFonts w:ascii="Arial" w:hAnsi="Arial" w:cs="Arial"/>
          <w:sz w:val="28"/>
          <w:szCs w:val="28"/>
        </w:rPr>
        <w:t xml:space="preserve">: </w:t>
      </w:r>
      <w:r>
        <w:rPr>
          <w:rFonts w:ascii="Arial" w:hAnsi="Arial" w:cs="Arial"/>
          <w:sz w:val="28"/>
          <w:szCs w:val="28"/>
        </w:rPr>
        <w:t>Principal Components Analysis</w:t>
      </w:r>
    </w:p>
    <w:p w14:paraId="0BEE8A67" w14:textId="346AC047" w:rsidR="00F9013B" w:rsidRDefault="007644D5">
      <w:pPr>
        <w:rPr>
          <w:rFonts w:ascii="Arial" w:hAnsi="Arial" w:cs="Arial"/>
        </w:rPr>
      </w:pPr>
      <w:r>
        <w:rPr>
          <w:rFonts w:ascii="Arial" w:hAnsi="Arial" w:cs="Arial"/>
        </w:rPr>
        <w:t xml:space="preserve">A PCA is designed to reduce the number of dimensions (explanatory variables in our case) to </w:t>
      </w:r>
      <w:r w:rsidR="0098660B">
        <w:rPr>
          <w:rFonts w:ascii="Arial" w:hAnsi="Arial" w:cs="Arial"/>
        </w:rPr>
        <w:t>a smaller number of variables</w:t>
      </w:r>
      <w:r>
        <w:rPr>
          <w:rFonts w:ascii="Arial" w:hAnsi="Arial" w:cs="Arial"/>
        </w:rPr>
        <w:t xml:space="preserve"> that retain most of the original information. In other words, a PCA transforms correlated variables into a smaller set of uncorrelated variables, called </w:t>
      </w:r>
      <w:r w:rsidRPr="0098660B">
        <w:rPr>
          <w:rFonts w:ascii="Arial" w:hAnsi="Arial" w:cs="Arial"/>
          <w:i/>
          <w:iCs/>
        </w:rPr>
        <w:t>principal components</w:t>
      </w:r>
      <w:r>
        <w:rPr>
          <w:rFonts w:ascii="Arial" w:hAnsi="Arial" w:cs="Arial"/>
        </w:rPr>
        <w:t>.</w:t>
      </w:r>
    </w:p>
    <w:p w14:paraId="4A540435" w14:textId="1300BD54" w:rsidR="00802748" w:rsidRDefault="00802748">
      <w:pPr>
        <w:rPr>
          <w:rFonts w:ascii="Arial" w:hAnsi="Arial" w:cs="Arial"/>
        </w:rPr>
      </w:pPr>
      <w:r>
        <w:rPr>
          <w:rFonts w:ascii="Arial" w:hAnsi="Arial" w:cs="Arial"/>
        </w:rPr>
        <w:t xml:space="preserve">More specifically, a PCA </w:t>
      </w:r>
      <w:r w:rsidR="003476C5">
        <w:rPr>
          <w:rFonts w:ascii="Arial" w:hAnsi="Arial" w:cs="Arial"/>
        </w:rPr>
        <w:t>first computes</w:t>
      </w:r>
      <w:r>
        <w:rPr>
          <w:rFonts w:ascii="Arial" w:hAnsi="Arial" w:cs="Arial"/>
        </w:rPr>
        <w:t xml:space="preserve"> </w:t>
      </w:r>
      <w:r w:rsidR="003476C5">
        <w:rPr>
          <w:rFonts w:ascii="Arial" w:hAnsi="Arial" w:cs="Arial"/>
        </w:rPr>
        <w:t xml:space="preserve">the eigenvalues and eigenvectors of </w:t>
      </w:r>
      <w:r>
        <w:rPr>
          <w:rFonts w:ascii="Arial" w:hAnsi="Arial" w:cs="Arial"/>
        </w:rPr>
        <w:t>the covariance matrix of the explanatory variables</w:t>
      </w:r>
      <w:r w:rsidR="009B2652">
        <w:rPr>
          <w:rFonts w:ascii="Arial" w:hAnsi="Arial" w:cs="Arial"/>
        </w:rPr>
        <w:t>, with the eigenvalues providing a measure of the variance captured by its corresponding eigenvector, or principal component.</w:t>
      </w:r>
    </w:p>
    <w:p w14:paraId="346A5848" w14:textId="4F8E4960" w:rsidR="00CF22E7" w:rsidRDefault="00533D10" w:rsidP="00533D10">
      <w:pPr>
        <w:jc w:val="center"/>
        <w:rPr>
          <w:rFonts w:ascii="Arial" w:hAnsi="Arial" w:cs="Arial"/>
        </w:rPr>
      </w:pPr>
      <w:r w:rsidRPr="00533D10">
        <w:rPr>
          <w:noProof/>
        </w:rPr>
        <w:lastRenderedPageBreak/>
        <w:drawing>
          <wp:inline distT="0" distB="0" distL="0" distR="0" wp14:anchorId="6B311DFE" wp14:editId="4D7EEF9F">
            <wp:extent cx="5943600" cy="1783080"/>
            <wp:effectExtent l="0" t="0" r="0" b="0"/>
            <wp:docPr id="2029243926" name="Picture 2" descr="An image of text explaining the definition of eigenvalues and eigenv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243926" name="Picture 2" descr="An image of text explaining the definition of eigenvalues and eigenvectors."/>
                    <pic:cNvPicPr>
                      <a:picLocks noChangeAspect="1" noChangeArrowheads="1"/>
                    </pic:cNvPicPr>
                  </pic:nvPicPr>
                  <pic:blipFill rotWithShape="1">
                    <a:blip r:embed="rId10">
                      <a:extLst>
                        <a:ext uri="{28A0092B-C50C-407E-A947-70E740481C1C}">
                          <a14:useLocalDpi xmlns:a14="http://schemas.microsoft.com/office/drawing/2010/main" val="0"/>
                        </a:ext>
                      </a:extLst>
                    </a:blip>
                    <a:srcRect r="2357"/>
                    <a:stretch>
                      <a:fillRect/>
                    </a:stretch>
                  </pic:blipFill>
                  <pic:spPr bwMode="auto">
                    <a:xfrm>
                      <a:off x="0" y="0"/>
                      <a:ext cx="5943600" cy="1783080"/>
                    </a:xfrm>
                    <a:prstGeom prst="rect">
                      <a:avLst/>
                    </a:prstGeom>
                    <a:noFill/>
                    <a:ln>
                      <a:noFill/>
                    </a:ln>
                    <a:extLst>
                      <a:ext uri="{53640926-AAD7-44D8-BBD7-CCE9431645EC}">
                        <a14:shadowObscured xmlns:a14="http://schemas.microsoft.com/office/drawing/2010/main"/>
                      </a:ext>
                    </a:extLst>
                  </pic:spPr>
                </pic:pic>
              </a:graphicData>
            </a:graphic>
          </wp:inline>
        </w:drawing>
      </w:r>
    </w:p>
    <w:p w14:paraId="438B76D0" w14:textId="59032DF3" w:rsidR="009048C1" w:rsidRPr="00550BB0" w:rsidRDefault="0098660B">
      <w:pPr>
        <w:rPr>
          <w:rFonts w:ascii="Arial" w:hAnsi="Arial" w:cs="Arial"/>
        </w:rPr>
      </w:pPr>
      <w:r>
        <w:rPr>
          <w:rFonts w:ascii="Arial" w:hAnsi="Arial" w:cs="Arial"/>
        </w:rPr>
        <w:t xml:space="preserve">A proper PCA requires many data points (more than </w:t>
      </w:r>
      <w:r w:rsidR="00DB65A8">
        <w:rPr>
          <w:rFonts w:ascii="Arial" w:hAnsi="Arial" w:cs="Arial"/>
        </w:rPr>
        <w:t xml:space="preserve">the </w:t>
      </w:r>
      <w:r>
        <w:rPr>
          <w:rFonts w:ascii="Arial" w:hAnsi="Arial" w:cs="Arial"/>
        </w:rPr>
        <w:t>21</w:t>
      </w:r>
      <w:r w:rsidR="000C0AC0">
        <w:rPr>
          <w:rFonts w:ascii="Arial" w:hAnsi="Arial" w:cs="Arial"/>
        </w:rPr>
        <w:t xml:space="preserve"> </w:t>
      </w:r>
      <w:r w:rsidR="00DB65A8">
        <w:rPr>
          <w:rFonts w:ascii="Arial" w:hAnsi="Arial" w:cs="Arial"/>
        </w:rPr>
        <w:t>we have for each planning area</w:t>
      </w:r>
      <w:r>
        <w:rPr>
          <w:rFonts w:ascii="Arial" w:hAnsi="Arial" w:cs="Arial"/>
        </w:rPr>
        <w:t xml:space="preserve">), so </w:t>
      </w:r>
      <w:r w:rsidR="00F73A99">
        <w:rPr>
          <w:rFonts w:ascii="Arial" w:hAnsi="Arial" w:cs="Arial"/>
        </w:rPr>
        <w:t>we</w:t>
      </w:r>
      <w:r>
        <w:rPr>
          <w:rFonts w:ascii="Arial" w:hAnsi="Arial" w:cs="Arial"/>
        </w:rPr>
        <w:t xml:space="preserve"> combine all of the planning areas into the analysis. First, the data for each end use must be standardized, that is, the mean </w:t>
      </w:r>
      <w:r w:rsidR="00E127C2">
        <w:rPr>
          <w:rFonts w:ascii="Arial" w:hAnsi="Arial" w:cs="Arial"/>
        </w:rPr>
        <w:t xml:space="preserve">of the planning area </w:t>
      </w:r>
      <w:r>
        <w:rPr>
          <w:rFonts w:ascii="Arial" w:hAnsi="Arial" w:cs="Arial"/>
        </w:rPr>
        <w:t>subtracted off and this quantity divided by the planning area</w:t>
      </w:r>
      <w:r w:rsidR="00E127C2">
        <w:rPr>
          <w:rFonts w:ascii="Arial" w:hAnsi="Arial" w:cs="Arial"/>
        </w:rPr>
        <w:t>’s standard deviation</w:t>
      </w:r>
      <w:r>
        <w:rPr>
          <w:rFonts w:ascii="Arial" w:hAnsi="Arial" w:cs="Arial"/>
        </w:rPr>
        <w:t>. Using S</w:t>
      </w:r>
      <w:r w:rsidR="00C56459">
        <w:rPr>
          <w:rFonts w:ascii="Arial" w:hAnsi="Arial" w:cs="Arial"/>
        </w:rPr>
        <w:t>TATA</w:t>
      </w:r>
      <w:r>
        <w:rPr>
          <w:rFonts w:ascii="Arial" w:hAnsi="Arial" w:cs="Arial"/>
        </w:rPr>
        <w:t xml:space="preserve">, the </w:t>
      </w:r>
      <w:r w:rsidR="007B0F99">
        <w:rPr>
          <w:rFonts w:ascii="Arial" w:hAnsi="Arial" w:cs="Arial"/>
        </w:rPr>
        <w:t xml:space="preserve">PCA </w:t>
      </w:r>
      <w:r>
        <w:rPr>
          <w:rFonts w:ascii="Arial" w:hAnsi="Arial" w:cs="Arial"/>
        </w:rPr>
        <w:t>results look like this</w:t>
      </w:r>
      <w:r w:rsidR="002B73D2">
        <w:rPr>
          <w:rFonts w:ascii="Arial" w:hAnsi="Arial" w:cs="Arial"/>
        </w:rPr>
        <w:t xml:space="preserve"> (with an “s” added to the end use names to denote standardized):</w:t>
      </w:r>
    </w:p>
    <w:p w14:paraId="3696983B" w14:textId="7B8B4C6D" w:rsidR="00F9013B" w:rsidRDefault="007863DB" w:rsidP="007863DB">
      <w:pPr>
        <w:jc w:val="center"/>
        <w:rPr>
          <w:rFonts w:ascii="Arial" w:hAnsi="Arial" w:cs="Arial"/>
        </w:rPr>
      </w:pPr>
      <w:r>
        <w:rPr>
          <w:rFonts w:ascii="Arial" w:hAnsi="Arial" w:cs="Arial"/>
        </w:rPr>
        <w:t>Table 3: Results of PCA Analysis</w:t>
      </w:r>
    </w:p>
    <w:p w14:paraId="1D354E49" w14:textId="1C5674EB" w:rsidR="00F9013B" w:rsidRDefault="00002BE0" w:rsidP="009D38D3">
      <w:pPr>
        <w:jc w:val="center"/>
        <w:rPr>
          <w:rFonts w:ascii="Arial" w:hAnsi="Arial" w:cs="Arial"/>
        </w:rPr>
      </w:pPr>
      <w:r>
        <w:rPr>
          <w:rFonts w:ascii="Arial" w:hAnsi="Arial" w:cs="Arial"/>
          <w:noProof/>
        </w:rPr>
        <w:drawing>
          <wp:inline distT="0" distB="0" distL="0" distR="0" wp14:anchorId="3BD01BE3" wp14:editId="57169AC3">
            <wp:extent cx="5943600" cy="4379976"/>
            <wp:effectExtent l="0" t="0" r="0" b="1905"/>
            <wp:docPr id="511346314" name="Picture 6" descr="An image of text output from Stata showing the results of the P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46314" name="Picture 6" descr="An image of text output from Stata showing the results of the PCA."/>
                    <pic:cNvPicPr/>
                  </pic:nvPicPr>
                  <pic:blipFill rotWithShape="1">
                    <a:blip r:embed="rId11">
                      <a:extLst>
                        <a:ext uri="{28A0092B-C50C-407E-A947-70E740481C1C}">
                          <a14:useLocalDpi xmlns:a14="http://schemas.microsoft.com/office/drawing/2010/main" val="0"/>
                        </a:ext>
                      </a:extLst>
                    </a:blip>
                    <a:srcRect l="8821" r="16403"/>
                    <a:stretch>
                      <a:fillRect/>
                    </a:stretch>
                  </pic:blipFill>
                  <pic:spPr bwMode="auto">
                    <a:xfrm>
                      <a:off x="0" y="0"/>
                      <a:ext cx="5943600" cy="4379976"/>
                    </a:xfrm>
                    <a:prstGeom prst="rect">
                      <a:avLst/>
                    </a:prstGeom>
                    <a:ln>
                      <a:noFill/>
                    </a:ln>
                    <a:extLst>
                      <a:ext uri="{53640926-AAD7-44D8-BBD7-CCE9431645EC}">
                        <a14:shadowObscured xmlns:a14="http://schemas.microsoft.com/office/drawing/2010/main"/>
                      </a:ext>
                    </a:extLst>
                  </pic:spPr>
                </pic:pic>
              </a:graphicData>
            </a:graphic>
          </wp:inline>
        </w:drawing>
      </w:r>
    </w:p>
    <w:p w14:paraId="2761B111" w14:textId="62F85947" w:rsidR="007A05AC" w:rsidRDefault="00AB441D">
      <w:pPr>
        <w:rPr>
          <w:rFonts w:ascii="Arial" w:hAnsi="Arial" w:cs="Arial"/>
        </w:rPr>
      </w:pPr>
      <w:r>
        <w:rPr>
          <w:rFonts w:ascii="Arial" w:hAnsi="Arial" w:cs="Arial"/>
        </w:rPr>
        <w:t xml:space="preserve">The </w:t>
      </w:r>
      <w:r w:rsidR="007863DB">
        <w:rPr>
          <w:rFonts w:ascii="Arial" w:hAnsi="Arial" w:cs="Arial"/>
        </w:rPr>
        <w:t xml:space="preserve">top part of the table </w:t>
      </w:r>
      <w:r>
        <w:rPr>
          <w:rFonts w:ascii="Arial" w:hAnsi="Arial" w:cs="Arial"/>
        </w:rPr>
        <w:t>shows the eigenvalues</w:t>
      </w:r>
      <w:r w:rsidR="00DA5170">
        <w:rPr>
          <w:rFonts w:ascii="Arial" w:hAnsi="Arial" w:cs="Arial"/>
        </w:rPr>
        <w:t xml:space="preserve"> </w:t>
      </w:r>
      <w:r w:rsidR="00AA27E7">
        <w:rPr>
          <w:rFonts w:ascii="Arial" w:hAnsi="Arial" w:cs="Arial"/>
        </w:rPr>
        <w:t xml:space="preserve">of the covariance matrix </w:t>
      </w:r>
      <w:r w:rsidR="00DA5170">
        <w:rPr>
          <w:rFonts w:ascii="Arial" w:hAnsi="Arial" w:cs="Arial"/>
        </w:rPr>
        <w:t>(one for each variable)</w:t>
      </w:r>
      <w:r>
        <w:rPr>
          <w:rFonts w:ascii="Arial" w:hAnsi="Arial" w:cs="Arial"/>
        </w:rPr>
        <w:t xml:space="preserve">, along with the proportion of variance </w:t>
      </w:r>
      <w:r w:rsidR="00594536">
        <w:rPr>
          <w:rFonts w:ascii="Arial" w:hAnsi="Arial" w:cs="Arial"/>
        </w:rPr>
        <w:t>attributed</w:t>
      </w:r>
      <w:r w:rsidR="00DA5170">
        <w:rPr>
          <w:rFonts w:ascii="Arial" w:hAnsi="Arial" w:cs="Arial"/>
        </w:rPr>
        <w:t xml:space="preserve"> to each</w:t>
      </w:r>
      <w:r w:rsidR="00594536">
        <w:rPr>
          <w:rFonts w:ascii="Arial" w:hAnsi="Arial" w:cs="Arial"/>
        </w:rPr>
        <w:t xml:space="preserve"> component</w:t>
      </w:r>
      <w:r w:rsidR="00DA5170">
        <w:rPr>
          <w:rFonts w:ascii="Arial" w:hAnsi="Arial" w:cs="Arial"/>
        </w:rPr>
        <w:t xml:space="preserve">, </w:t>
      </w:r>
      <w:r w:rsidR="00C00FBD">
        <w:rPr>
          <w:rFonts w:ascii="Arial" w:hAnsi="Arial" w:cs="Arial"/>
        </w:rPr>
        <w:t xml:space="preserve">and the </w:t>
      </w:r>
      <w:r w:rsidR="007863DB">
        <w:rPr>
          <w:rFonts w:ascii="Arial" w:hAnsi="Arial" w:cs="Arial"/>
        </w:rPr>
        <w:t>bottom part</w:t>
      </w:r>
      <w:r w:rsidR="00C00FBD">
        <w:rPr>
          <w:rFonts w:ascii="Arial" w:hAnsi="Arial" w:cs="Arial"/>
        </w:rPr>
        <w:t xml:space="preserve"> provides the components</w:t>
      </w:r>
      <w:r w:rsidR="00EC4C7A">
        <w:rPr>
          <w:rFonts w:ascii="Arial" w:hAnsi="Arial" w:cs="Arial"/>
        </w:rPr>
        <w:t>, or eigenvectors</w:t>
      </w:r>
      <w:r w:rsidR="00C00FBD">
        <w:rPr>
          <w:rFonts w:ascii="Arial" w:hAnsi="Arial" w:cs="Arial"/>
        </w:rPr>
        <w:t xml:space="preserve">. The typical “rule of thumb” for a PCA is to choose the number </w:t>
      </w:r>
      <w:r w:rsidR="00EC4C7A">
        <w:rPr>
          <w:rFonts w:ascii="Arial" w:hAnsi="Arial" w:cs="Arial"/>
        </w:rPr>
        <w:t xml:space="preserve">of </w:t>
      </w:r>
      <w:r w:rsidR="00C00FBD">
        <w:rPr>
          <w:rFonts w:ascii="Arial" w:hAnsi="Arial" w:cs="Arial"/>
        </w:rPr>
        <w:t xml:space="preserve">components that correspond to eigenvalues above one, in this case three. </w:t>
      </w:r>
    </w:p>
    <w:p w14:paraId="03DBC318" w14:textId="6814F758" w:rsidR="00457EC8" w:rsidRPr="007A05AC" w:rsidRDefault="00457EC8" w:rsidP="00457EC8">
      <w:pPr>
        <w:rPr>
          <w:rFonts w:ascii="Arial" w:hAnsi="Arial" w:cs="Arial"/>
          <w:sz w:val="28"/>
          <w:szCs w:val="28"/>
        </w:rPr>
      </w:pPr>
      <w:r w:rsidRPr="007A05AC">
        <w:rPr>
          <w:rFonts w:ascii="Arial" w:hAnsi="Arial" w:cs="Arial"/>
          <w:sz w:val="28"/>
          <w:szCs w:val="28"/>
        </w:rPr>
        <w:t xml:space="preserve">Step </w:t>
      </w:r>
      <w:r>
        <w:rPr>
          <w:rFonts w:ascii="Arial" w:hAnsi="Arial" w:cs="Arial"/>
          <w:sz w:val="28"/>
          <w:szCs w:val="28"/>
        </w:rPr>
        <w:t>2</w:t>
      </w:r>
      <w:r w:rsidRPr="007A05AC">
        <w:rPr>
          <w:rFonts w:ascii="Arial" w:hAnsi="Arial" w:cs="Arial"/>
          <w:sz w:val="28"/>
          <w:szCs w:val="28"/>
        </w:rPr>
        <w:t xml:space="preserve">: </w:t>
      </w:r>
      <w:r>
        <w:rPr>
          <w:rFonts w:ascii="Arial" w:hAnsi="Arial" w:cs="Arial"/>
          <w:sz w:val="28"/>
          <w:szCs w:val="28"/>
        </w:rPr>
        <w:t xml:space="preserve">Create </w:t>
      </w:r>
      <w:r w:rsidR="00A218C3">
        <w:rPr>
          <w:rFonts w:ascii="Arial" w:hAnsi="Arial" w:cs="Arial"/>
          <w:sz w:val="28"/>
          <w:szCs w:val="28"/>
        </w:rPr>
        <w:t xml:space="preserve">Preliminary </w:t>
      </w:r>
      <w:r>
        <w:rPr>
          <w:rFonts w:ascii="Arial" w:hAnsi="Arial" w:cs="Arial"/>
          <w:sz w:val="28"/>
          <w:szCs w:val="28"/>
        </w:rPr>
        <w:t>End-Use Weights</w:t>
      </w:r>
    </w:p>
    <w:p w14:paraId="4DD22FAF" w14:textId="1D455A02" w:rsidR="007A05AC" w:rsidRDefault="00AA27E7">
      <w:pPr>
        <w:rPr>
          <w:rFonts w:ascii="Arial" w:hAnsi="Arial" w:cs="Arial"/>
        </w:rPr>
      </w:pPr>
      <w:r>
        <w:rPr>
          <w:rFonts w:ascii="Arial" w:hAnsi="Arial" w:cs="Arial"/>
        </w:rPr>
        <w:t xml:space="preserve">Next, we </w:t>
      </w:r>
      <w:r w:rsidR="00427978">
        <w:rPr>
          <w:rFonts w:ascii="Arial" w:hAnsi="Arial" w:cs="Arial"/>
        </w:rPr>
        <w:t>form three new variables for the three chosen components</w:t>
      </w:r>
      <w:r w:rsidR="007E50A9">
        <w:rPr>
          <w:rFonts w:ascii="Arial" w:hAnsi="Arial" w:cs="Arial"/>
        </w:rPr>
        <w:t xml:space="preserve"> using the eigenvector values</w:t>
      </w:r>
      <w:r w:rsidR="000C0AC0">
        <w:rPr>
          <w:rFonts w:ascii="Arial" w:hAnsi="Arial" w:cs="Arial"/>
        </w:rPr>
        <w:t xml:space="preserve"> (using the STATA command)</w:t>
      </w:r>
      <w:r w:rsidR="007B0F99">
        <w:rPr>
          <w:rFonts w:ascii="Arial" w:hAnsi="Arial" w:cs="Arial"/>
        </w:rPr>
        <w:t>:</w:t>
      </w:r>
    </w:p>
    <w:p w14:paraId="2A279603" w14:textId="49495CE7" w:rsidR="00002BE0" w:rsidRPr="009D38D3" w:rsidRDefault="00002BE0" w:rsidP="00002BE0">
      <w:pPr>
        <w:rPr>
          <w:rFonts w:ascii="Source Sans Pro" w:hAnsi="Source Sans Pro" w:cs="Courier New"/>
          <w:i/>
          <w:iCs/>
        </w:rPr>
      </w:pPr>
      <w:r w:rsidRPr="009D38D3">
        <w:rPr>
          <w:rFonts w:ascii="Source Sans Pro" w:hAnsi="Source Sans Pro" w:cs="Courier New"/>
          <w:i/>
          <w:iCs/>
        </w:rPr>
        <w:t>. gen pca1=.3710* coolings+.2320* refridgefreezs`+.2411* furnacefans+.3712* heatings-.3060* lightings+.3614* miscs+.3421* others+.2129* poolhottubs+.2190* tvcompoffs-.2042* washdrys+.3693* waterheats</w:t>
      </w:r>
    </w:p>
    <w:p w14:paraId="0842CE80" w14:textId="14DD53FA" w:rsidR="00002BE0" w:rsidRPr="009D38D3" w:rsidRDefault="00002BE0" w:rsidP="00002BE0">
      <w:pPr>
        <w:rPr>
          <w:rFonts w:ascii="Source Sans Pro" w:hAnsi="Source Sans Pro" w:cs="Courier New"/>
          <w:i/>
          <w:iCs/>
        </w:rPr>
      </w:pPr>
      <w:r w:rsidRPr="009D38D3">
        <w:rPr>
          <w:rFonts w:ascii="Source Sans Pro" w:hAnsi="Source Sans Pro" w:cs="Courier New"/>
          <w:i/>
          <w:iCs/>
        </w:rPr>
        <w:t xml:space="preserve"> . gen pca2=-.0360* coolings+.4195* refridgefreezs+.1258* furnacefans-.1537* heatings+.3495* lightings-.2215*miscs-.0075* others+.4707* poolhottubs+.5* tvcompoffs+.3747* washdrys-.0023* wate</w:t>
      </w:r>
      <w:r w:rsidR="003154D6" w:rsidRPr="009D38D3">
        <w:rPr>
          <w:rFonts w:ascii="Source Sans Pro" w:hAnsi="Source Sans Pro" w:cs="Courier New"/>
          <w:i/>
          <w:iCs/>
        </w:rPr>
        <w:t>r</w:t>
      </w:r>
      <w:r w:rsidRPr="009D38D3">
        <w:rPr>
          <w:rFonts w:ascii="Source Sans Pro" w:hAnsi="Source Sans Pro" w:cs="Courier New"/>
          <w:i/>
          <w:iCs/>
        </w:rPr>
        <w:t>heat</w:t>
      </w:r>
      <w:r w:rsidR="003154D6" w:rsidRPr="009D38D3">
        <w:rPr>
          <w:rFonts w:ascii="Source Sans Pro" w:hAnsi="Source Sans Pro" w:cs="Courier New"/>
          <w:i/>
          <w:iCs/>
        </w:rPr>
        <w:t>s</w:t>
      </w:r>
    </w:p>
    <w:p w14:paraId="420A3ECD" w14:textId="48AF1CD7" w:rsidR="00427978" w:rsidRPr="009D38D3" w:rsidRDefault="00002BE0" w:rsidP="00002BE0">
      <w:pPr>
        <w:rPr>
          <w:rFonts w:ascii="Source Sans Pro" w:hAnsi="Source Sans Pro" w:cs="Courier New"/>
          <w:i/>
          <w:iCs/>
        </w:rPr>
      </w:pPr>
      <w:r w:rsidRPr="009D38D3">
        <w:rPr>
          <w:rFonts w:ascii="Source Sans Pro" w:hAnsi="Source Sans Pro" w:cs="Courier New"/>
          <w:i/>
          <w:iCs/>
        </w:rPr>
        <w:t>. gen pca3=-.0692* cooling</w:t>
      </w:r>
      <w:r w:rsidR="003154D6" w:rsidRPr="009D38D3">
        <w:rPr>
          <w:rFonts w:ascii="Source Sans Pro" w:hAnsi="Source Sans Pro" w:cs="Courier New"/>
          <w:i/>
          <w:iCs/>
        </w:rPr>
        <w:t>s</w:t>
      </w:r>
      <w:r w:rsidRPr="009D38D3">
        <w:rPr>
          <w:rFonts w:ascii="Source Sans Pro" w:hAnsi="Source Sans Pro" w:cs="Courier New"/>
          <w:i/>
          <w:iCs/>
        </w:rPr>
        <w:t xml:space="preserve">-.1747* </w:t>
      </w:r>
      <w:r w:rsidR="003154D6" w:rsidRPr="009D38D3">
        <w:rPr>
          <w:rFonts w:ascii="Source Sans Pro" w:hAnsi="Source Sans Pro" w:cs="Courier New"/>
          <w:i/>
          <w:iCs/>
        </w:rPr>
        <w:t>re</w:t>
      </w:r>
      <w:r w:rsidRPr="009D38D3">
        <w:rPr>
          <w:rFonts w:ascii="Source Sans Pro" w:hAnsi="Source Sans Pro" w:cs="Courier New"/>
          <w:i/>
          <w:iCs/>
        </w:rPr>
        <w:t>fridgefreez</w:t>
      </w:r>
      <w:r w:rsidR="003154D6" w:rsidRPr="009D38D3">
        <w:rPr>
          <w:rFonts w:ascii="Source Sans Pro" w:hAnsi="Source Sans Pro" w:cs="Courier New"/>
          <w:i/>
          <w:iCs/>
        </w:rPr>
        <w:t>s</w:t>
      </w:r>
      <w:r w:rsidRPr="009D38D3">
        <w:rPr>
          <w:rFonts w:ascii="Source Sans Pro" w:hAnsi="Source Sans Pro" w:cs="Courier New"/>
          <w:i/>
          <w:iCs/>
        </w:rPr>
        <w:t>-.6770* furnacefan</w:t>
      </w:r>
      <w:r w:rsidR="003154D6" w:rsidRPr="009D38D3">
        <w:rPr>
          <w:rFonts w:ascii="Source Sans Pro" w:hAnsi="Source Sans Pro" w:cs="Courier New"/>
          <w:i/>
          <w:iCs/>
        </w:rPr>
        <w:t>s</w:t>
      </w:r>
      <w:r w:rsidRPr="009D38D3">
        <w:rPr>
          <w:rFonts w:ascii="Source Sans Pro" w:hAnsi="Source Sans Pro" w:cs="Courier New"/>
          <w:i/>
          <w:iCs/>
        </w:rPr>
        <w:t>+.1153* heating</w:t>
      </w:r>
      <w:r w:rsidR="003154D6" w:rsidRPr="009D38D3">
        <w:rPr>
          <w:rFonts w:ascii="Source Sans Pro" w:hAnsi="Source Sans Pro" w:cs="Courier New"/>
          <w:i/>
          <w:iCs/>
        </w:rPr>
        <w:t>s</w:t>
      </w:r>
      <w:r w:rsidRPr="009D38D3">
        <w:rPr>
          <w:rFonts w:ascii="Source Sans Pro" w:hAnsi="Source Sans Pro" w:cs="Courier New"/>
          <w:i/>
          <w:iCs/>
        </w:rPr>
        <w:t>-.2596* lighting</w:t>
      </w:r>
      <w:r w:rsidR="003154D6" w:rsidRPr="009D38D3">
        <w:rPr>
          <w:rFonts w:ascii="Source Sans Pro" w:hAnsi="Source Sans Pro" w:cs="Courier New"/>
          <w:i/>
          <w:iCs/>
        </w:rPr>
        <w:t>s</w:t>
      </w:r>
      <w:r w:rsidRPr="009D38D3">
        <w:rPr>
          <w:rFonts w:ascii="Source Sans Pro" w:hAnsi="Source Sans Pro" w:cs="Courier New"/>
          <w:i/>
          <w:iCs/>
        </w:rPr>
        <w:t>+.1072*misc</w:t>
      </w:r>
      <w:r w:rsidR="003154D6" w:rsidRPr="009D38D3">
        <w:rPr>
          <w:rFonts w:ascii="Source Sans Pro" w:hAnsi="Source Sans Pro" w:cs="Courier New"/>
          <w:i/>
          <w:iCs/>
        </w:rPr>
        <w:t>s</w:t>
      </w:r>
      <w:r w:rsidRPr="009D38D3">
        <w:rPr>
          <w:rFonts w:ascii="Source Sans Pro" w:hAnsi="Source Sans Pro" w:cs="Courier New"/>
          <w:i/>
          <w:iCs/>
        </w:rPr>
        <w:t>+.2821* other</w:t>
      </w:r>
      <w:r w:rsidR="003154D6" w:rsidRPr="009D38D3">
        <w:rPr>
          <w:rFonts w:ascii="Source Sans Pro" w:hAnsi="Source Sans Pro" w:cs="Courier New"/>
          <w:i/>
          <w:iCs/>
        </w:rPr>
        <w:t>s</w:t>
      </w:r>
      <w:r w:rsidRPr="009D38D3">
        <w:rPr>
          <w:rFonts w:ascii="Source Sans Pro" w:hAnsi="Source Sans Pro" w:cs="Courier New"/>
          <w:i/>
          <w:iCs/>
        </w:rPr>
        <w:t>+.1482* poolhottub</w:t>
      </w:r>
      <w:r w:rsidR="003154D6" w:rsidRPr="009D38D3">
        <w:rPr>
          <w:rFonts w:ascii="Source Sans Pro" w:hAnsi="Source Sans Pro" w:cs="Courier New"/>
          <w:i/>
          <w:iCs/>
        </w:rPr>
        <w:t>s</w:t>
      </w:r>
      <w:r w:rsidRPr="009D38D3">
        <w:rPr>
          <w:rFonts w:ascii="Source Sans Pro" w:hAnsi="Source Sans Pro" w:cs="Courier New"/>
          <w:i/>
          <w:iCs/>
        </w:rPr>
        <w:t>+.0331* tvcompoff</w:t>
      </w:r>
      <w:r w:rsidR="003154D6" w:rsidRPr="009D38D3">
        <w:rPr>
          <w:rFonts w:ascii="Source Sans Pro" w:hAnsi="Source Sans Pro" w:cs="Courier New"/>
          <w:i/>
          <w:iCs/>
        </w:rPr>
        <w:t>s</w:t>
      </w:r>
      <w:r w:rsidRPr="009D38D3">
        <w:rPr>
          <w:rFonts w:ascii="Source Sans Pro" w:hAnsi="Source Sans Pro" w:cs="Courier New"/>
          <w:i/>
          <w:iCs/>
        </w:rPr>
        <w:t>+.5451* washdry</w:t>
      </w:r>
      <w:r w:rsidR="003154D6" w:rsidRPr="009D38D3">
        <w:rPr>
          <w:rFonts w:ascii="Source Sans Pro" w:hAnsi="Source Sans Pro" w:cs="Courier New"/>
          <w:i/>
          <w:iCs/>
        </w:rPr>
        <w:t>s</w:t>
      </w:r>
      <w:r w:rsidRPr="009D38D3">
        <w:rPr>
          <w:rFonts w:ascii="Source Sans Pro" w:hAnsi="Source Sans Pro" w:cs="Courier New"/>
          <w:i/>
          <w:iCs/>
        </w:rPr>
        <w:t>+.1205* waterheat</w:t>
      </w:r>
      <w:r w:rsidR="008F2FF0" w:rsidRPr="009D38D3">
        <w:rPr>
          <w:rFonts w:ascii="Source Sans Pro" w:hAnsi="Source Sans Pro" w:cs="Courier New"/>
          <w:i/>
          <w:iCs/>
        </w:rPr>
        <w:t>s</w:t>
      </w:r>
    </w:p>
    <w:p w14:paraId="1CC88DFB" w14:textId="51CD6F34" w:rsidR="00427978" w:rsidRDefault="002F50A2">
      <w:pPr>
        <w:rPr>
          <w:rFonts w:ascii="Arial" w:hAnsi="Arial" w:cs="Arial"/>
        </w:rPr>
      </w:pPr>
      <w:r>
        <w:rPr>
          <w:rFonts w:ascii="Arial" w:hAnsi="Arial" w:cs="Arial"/>
        </w:rPr>
        <w:t xml:space="preserve">We can now use these constructed variables in a regression (with </w:t>
      </w:r>
      <w:r w:rsidR="009048C1">
        <w:rPr>
          <w:rFonts w:ascii="Arial" w:hAnsi="Arial" w:cs="Arial"/>
        </w:rPr>
        <w:t>QFER</w:t>
      </w:r>
      <w:r>
        <w:rPr>
          <w:rFonts w:ascii="Arial" w:hAnsi="Arial" w:cs="Arial"/>
        </w:rPr>
        <w:t xml:space="preserve"> </w:t>
      </w:r>
      <w:r w:rsidR="003154D6">
        <w:rPr>
          <w:rFonts w:ascii="Arial" w:hAnsi="Arial" w:cs="Arial"/>
        </w:rPr>
        <w:t xml:space="preserve">also </w:t>
      </w:r>
      <w:r>
        <w:rPr>
          <w:rFonts w:ascii="Arial" w:hAnsi="Arial" w:cs="Arial"/>
        </w:rPr>
        <w:t xml:space="preserve">in standardized form) to create weights for each end use since we have created orthogonal </w:t>
      </w:r>
      <w:r w:rsidR="00A171C6">
        <w:rPr>
          <w:rFonts w:ascii="Arial" w:hAnsi="Arial" w:cs="Arial"/>
        </w:rPr>
        <w:t xml:space="preserve">explanatory </w:t>
      </w:r>
      <w:r>
        <w:rPr>
          <w:rFonts w:ascii="Arial" w:hAnsi="Arial" w:cs="Arial"/>
        </w:rPr>
        <w:t>values:</w:t>
      </w:r>
    </w:p>
    <w:p w14:paraId="29F0DB09" w14:textId="6A892205" w:rsidR="00C85EEA" w:rsidRDefault="0096375C" w:rsidP="009D38D3">
      <w:pPr>
        <w:jc w:val="center"/>
        <w:rPr>
          <w:rFonts w:ascii="Arial" w:hAnsi="Arial" w:cs="Arial"/>
        </w:rPr>
      </w:pPr>
      <w:r>
        <w:rPr>
          <w:rFonts w:ascii="Arial" w:hAnsi="Arial" w:cs="Arial"/>
        </w:rPr>
        <w:t>Table 4: Correlation Among PCA Constructed Variables</w:t>
      </w:r>
      <w:r w:rsidR="00177B2E">
        <w:rPr>
          <w:rFonts w:ascii="Arial" w:hAnsi="Arial" w:cs="Arial"/>
        </w:rPr>
        <w:t xml:space="preserve"> and Resulting Regression</w:t>
      </w:r>
    </w:p>
    <w:p w14:paraId="4C216CE0" w14:textId="0C86C99A" w:rsidR="002F50A2" w:rsidRDefault="00A171C6" w:rsidP="009D38D3">
      <w:pPr>
        <w:jc w:val="center"/>
        <w:rPr>
          <w:rFonts w:ascii="Arial" w:hAnsi="Arial" w:cs="Arial"/>
        </w:rPr>
      </w:pPr>
      <w:r w:rsidRPr="00A171C6">
        <w:rPr>
          <w:noProof/>
        </w:rPr>
        <w:drawing>
          <wp:inline distT="0" distB="0" distL="0" distR="0" wp14:anchorId="09306CE1" wp14:editId="654697EA">
            <wp:extent cx="3363595" cy="1481667"/>
            <wp:effectExtent l="0" t="0" r="0" b="0"/>
            <wp:docPr id="441764993" name="Picture 5" descr="An image of text output from Stata showing no correlation between the first three components of the PCA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764993" name="Picture 5" descr="An image of text output from Stata showing no correlation between the first three components of the PCA Results."/>
                    <pic:cNvPicPr>
                      <a:picLocks noChangeAspect="1" noChangeArrowheads="1"/>
                    </pic:cNvPicPr>
                  </pic:nvPicPr>
                  <pic:blipFill rotWithShape="1">
                    <a:blip r:embed="rId12">
                      <a:extLst>
                        <a:ext uri="{28A0092B-C50C-407E-A947-70E740481C1C}">
                          <a14:useLocalDpi xmlns:a14="http://schemas.microsoft.com/office/drawing/2010/main" val="0"/>
                        </a:ext>
                      </a:extLst>
                    </a:blip>
                    <a:srcRect r="50427" b="17048"/>
                    <a:stretch>
                      <a:fillRect/>
                    </a:stretch>
                  </pic:blipFill>
                  <pic:spPr bwMode="auto">
                    <a:xfrm>
                      <a:off x="0" y="0"/>
                      <a:ext cx="3363595" cy="1481667"/>
                    </a:xfrm>
                    <a:prstGeom prst="rect">
                      <a:avLst/>
                    </a:prstGeom>
                    <a:noFill/>
                    <a:ln>
                      <a:noFill/>
                    </a:ln>
                    <a:extLst>
                      <a:ext uri="{53640926-AAD7-44D8-BBD7-CCE9431645EC}">
                        <a14:shadowObscured xmlns:a14="http://schemas.microsoft.com/office/drawing/2010/main"/>
                      </a:ext>
                    </a:extLst>
                  </pic:spPr>
                </pic:pic>
              </a:graphicData>
            </a:graphic>
          </wp:inline>
        </w:drawing>
      </w:r>
    </w:p>
    <w:p w14:paraId="2F125034" w14:textId="2C2DBFBB" w:rsidR="009D38D3" w:rsidRDefault="009D38D3" w:rsidP="009D38D3">
      <w:pPr>
        <w:keepNext/>
        <w:jc w:val="center"/>
        <w:rPr>
          <w:rFonts w:ascii="Arial" w:hAnsi="Arial" w:cs="Arial"/>
        </w:rPr>
      </w:pPr>
      <w:r>
        <w:rPr>
          <w:rFonts w:ascii="Arial" w:hAnsi="Arial" w:cs="Arial"/>
        </w:rPr>
        <w:t xml:space="preserve">Table </w:t>
      </w:r>
      <w:r>
        <w:rPr>
          <w:rFonts w:ascii="Arial" w:hAnsi="Arial" w:cs="Arial"/>
        </w:rPr>
        <w:t>5</w:t>
      </w:r>
      <w:r>
        <w:rPr>
          <w:rFonts w:ascii="Arial" w:hAnsi="Arial" w:cs="Arial"/>
        </w:rPr>
        <w:t>: Regression</w:t>
      </w:r>
      <w:r>
        <w:rPr>
          <w:rFonts w:ascii="Arial" w:hAnsi="Arial" w:cs="Arial"/>
        </w:rPr>
        <w:t xml:space="preserve"> of PCA Components</w:t>
      </w:r>
    </w:p>
    <w:p w14:paraId="362C3CB6" w14:textId="3973EB30" w:rsidR="00C85EEA" w:rsidRDefault="00153236">
      <w:pPr>
        <w:rPr>
          <w:rFonts w:ascii="Arial" w:hAnsi="Arial" w:cs="Arial"/>
        </w:rPr>
      </w:pPr>
      <w:r>
        <w:rPr>
          <w:rFonts w:ascii="Arial" w:hAnsi="Arial" w:cs="Arial"/>
          <w:noProof/>
        </w:rPr>
        <w:drawing>
          <wp:inline distT="0" distB="0" distL="0" distR="0" wp14:anchorId="2E966BA6" wp14:editId="7529F270">
            <wp:extent cx="5942330" cy="2641600"/>
            <wp:effectExtent l="0" t="0" r="1270" b="6350"/>
            <wp:docPr id="136011957" name="Picture 10" descr="An image of text output from Stata showing the results of regressing QFER data on the first three components of the PCA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1957" name="Picture 10" descr="An image of text output from Stata showing the results of regressing QFER data on the first three components of the PCA Results."/>
                    <pic:cNvPicPr/>
                  </pic:nvPicPr>
                  <pic:blipFill rotWithShape="1">
                    <a:blip r:embed="rId13">
                      <a:extLst>
                        <a:ext uri="{28A0092B-C50C-407E-A947-70E740481C1C}">
                          <a14:useLocalDpi xmlns:a14="http://schemas.microsoft.com/office/drawing/2010/main" val="0"/>
                        </a:ext>
                      </a:extLst>
                    </a:blip>
                    <a:srcRect t="8101" b="4733"/>
                    <a:stretch>
                      <a:fillRect/>
                    </a:stretch>
                  </pic:blipFill>
                  <pic:spPr bwMode="auto">
                    <a:xfrm>
                      <a:off x="0" y="0"/>
                      <a:ext cx="5942330" cy="2641600"/>
                    </a:xfrm>
                    <a:prstGeom prst="rect">
                      <a:avLst/>
                    </a:prstGeom>
                    <a:ln>
                      <a:noFill/>
                    </a:ln>
                    <a:extLst>
                      <a:ext uri="{53640926-AAD7-44D8-BBD7-CCE9431645EC}">
                        <a14:shadowObscured xmlns:a14="http://schemas.microsoft.com/office/drawing/2010/main"/>
                      </a:ext>
                    </a:extLst>
                  </pic:spPr>
                </pic:pic>
              </a:graphicData>
            </a:graphic>
          </wp:inline>
        </w:drawing>
      </w:r>
    </w:p>
    <w:p w14:paraId="4BF3C4F2" w14:textId="2C4E405F" w:rsidR="00AB6736" w:rsidRDefault="00355937">
      <w:pPr>
        <w:rPr>
          <w:rFonts w:ascii="Arial" w:hAnsi="Arial" w:cs="Arial"/>
        </w:rPr>
      </w:pPr>
      <w:r>
        <w:rPr>
          <w:rFonts w:ascii="Arial" w:hAnsi="Arial" w:cs="Arial"/>
        </w:rPr>
        <w:t xml:space="preserve">Corresponding </w:t>
      </w:r>
      <w:r w:rsidR="00DB65A8">
        <w:rPr>
          <w:rFonts w:ascii="Arial" w:hAnsi="Arial" w:cs="Arial"/>
        </w:rPr>
        <w:t>coefficients, or unadjusted weights,</w:t>
      </w:r>
      <w:r>
        <w:rPr>
          <w:rFonts w:ascii="Arial" w:hAnsi="Arial" w:cs="Arial"/>
        </w:rPr>
        <w:t xml:space="preserve"> for each end use</w:t>
      </w:r>
      <w:r w:rsidR="00AB6736">
        <w:rPr>
          <w:rFonts w:ascii="Arial" w:hAnsi="Arial" w:cs="Arial"/>
        </w:rPr>
        <w:t xml:space="preserve"> are calculated by multiplying the coefficients for </w:t>
      </w:r>
      <w:r w:rsidR="00AB6736" w:rsidRPr="00AB6736">
        <w:rPr>
          <w:rFonts w:ascii="Arial" w:hAnsi="Arial" w:cs="Arial"/>
          <w:i/>
          <w:iCs/>
        </w:rPr>
        <w:t>pca1</w:t>
      </w:r>
      <w:r w:rsidR="00AB6736">
        <w:rPr>
          <w:rFonts w:ascii="Arial" w:hAnsi="Arial" w:cs="Arial"/>
        </w:rPr>
        <w:t xml:space="preserve">, </w:t>
      </w:r>
      <w:r w:rsidR="00AB6736" w:rsidRPr="00AB6736">
        <w:rPr>
          <w:rFonts w:ascii="Arial" w:hAnsi="Arial" w:cs="Arial"/>
          <w:i/>
          <w:iCs/>
        </w:rPr>
        <w:t>pca2</w:t>
      </w:r>
      <w:r w:rsidR="00AB6736">
        <w:rPr>
          <w:rFonts w:ascii="Arial" w:hAnsi="Arial" w:cs="Arial"/>
        </w:rPr>
        <w:t xml:space="preserve">, and </w:t>
      </w:r>
      <w:r w:rsidR="00AB6736" w:rsidRPr="00AB6736">
        <w:rPr>
          <w:rFonts w:ascii="Arial" w:hAnsi="Arial" w:cs="Arial"/>
          <w:i/>
          <w:iCs/>
        </w:rPr>
        <w:t>pca3</w:t>
      </w:r>
      <w:r w:rsidR="00AB6736">
        <w:rPr>
          <w:rFonts w:ascii="Arial" w:hAnsi="Arial" w:cs="Arial"/>
        </w:rPr>
        <w:t xml:space="preserve"> by the </w:t>
      </w:r>
      <w:r w:rsidR="00DB65A8">
        <w:rPr>
          <w:rFonts w:ascii="Arial" w:hAnsi="Arial" w:cs="Arial"/>
        </w:rPr>
        <w:t>corresponding principal component term</w:t>
      </w:r>
      <w:r w:rsidR="00AB6736">
        <w:rPr>
          <w:rFonts w:ascii="Arial" w:hAnsi="Arial" w:cs="Arial"/>
        </w:rPr>
        <w:t xml:space="preserve"> </w:t>
      </w:r>
      <w:r w:rsidR="00DB65A8">
        <w:rPr>
          <w:rFonts w:ascii="Arial" w:hAnsi="Arial" w:cs="Arial"/>
        </w:rPr>
        <w:t>for each end use.</w:t>
      </w:r>
      <w:r w:rsidR="00D9020E">
        <w:rPr>
          <w:rFonts w:ascii="Arial" w:hAnsi="Arial" w:cs="Arial"/>
        </w:rPr>
        <w:t xml:space="preserve"> </w:t>
      </w:r>
      <w:r w:rsidR="00AB6736">
        <w:rPr>
          <w:rFonts w:ascii="Arial" w:hAnsi="Arial" w:cs="Arial"/>
        </w:rPr>
        <w:t xml:space="preserve">For example, the </w:t>
      </w:r>
      <w:r w:rsidR="00DB65A8">
        <w:rPr>
          <w:rFonts w:ascii="Arial" w:hAnsi="Arial" w:cs="Arial"/>
        </w:rPr>
        <w:t>calculated unadjusted weight</w:t>
      </w:r>
      <w:r w:rsidR="00AB6736">
        <w:rPr>
          <w:rFonts w:ascii="Arial" w:hAnsi="Arial" w:cs="Arial"/>
        </w:rPr>
        <w:t xml:space="preserve"> for </w:t>
      </w:r>
      <w:r w:rsidR="00AB6736" w:rsidRPr="00AB6736">
        <w:rPr>
          <w:rFonts w:ascii="Arial" w:hAnsi="Arial" w:cs="Arial"/>
          <w:i/>
          <w:iCs/>
        </w:rPr>
        <w:t>coolings</w:t>
      </w:r>
      <w:r w:rsidR="00AB6736">
        <w:rPr>
          <w:rFonts w:ascii="Arial" w:hAnsi="Arial" w:cs="Arial"/>
        </w:rPr>
        <w:t xml:space="preserve"> is:</w:t>
      </w:r>
    </w:p>
    <w:p w14:paraId="36B60732" w14:textId="47DF2F47" w:rsidR="002F50A2" w:rsidRPr="009D38D3" w:rsidRDefault="00AB6736" w:rsidP="00D9020E">
      <w:pPr>
        <w:jc w:val="center"/>
        <w:rPr>
          <w:rFonts w:ascii="Source Sans Pro" w:hAnsi="Source Sans Pro" w:cs="Courier New"/>
        </w:rPr>
      </w:pPr>
      <w:r w:rsidRPr="009D38D3">
        <w:rPr>
          <w:rFonts w:ascii="Source Sans Pro" w:hAnsi="Source Sans Pro" w:cs="Courier New"/>
          <w:i/>
          <w:iCs/>
        </w:rPr>
        <w:t>0.304</w:t>
      </w:r>
      <w:r w:rsidR="0096284B" w:rsidRPr="009D38D3">
        <w:rPr>
          <w:rFonts w:ascii="Source Sans Pro" w:hAnsi="Source Sans Pro" w:cs="Courier New"/>
          <w:i/>
          <w:iCs/>
        </w:rPr>
        <w:t>1</w:t>
      </w:r>
      <w:r w:rsidRPr="009D38D3">
        <w:rPr>
          <w:rFonts w:ascii="Source Sans Pro" w:hAnsi="Source Sans Pro" w:cs="Courier New"/>
          <w:i/>
          <w:iCs/>
        </w:rPr>
        <w:t>×0.371</w:t>
      </w:r>
      <w:r w:rsidR="0096284B" w:rsidRPr="009D38D3">
        <w:rPr>
          <w:rFonts w:ascii="Source Sans Pro" w:hAnsi="Source Sans Pro" w:cs="Courier New"/>
          <w:i/>
          <w:iCs/>
        </w:rPr>
        <w:t>0</w:t>
      </w:r>
      <w:r w:rsidRPr="009D38D3">
        <w:rPr>
          <w:rFonts w:ascii="Source Sans Pro" w:hAnsi="Source Sans Pro" w:cs="Courier New"/>
          <w:i/>
          <w:iCs/>
        </w:rPr>
        <w:t xml:space="preserve"> + 0.139</w:t>
      </w:r>
      <w:r w:rsidR="0096284B" w:rsidRPr="009D38D3">
        <w:rPr>
          <w:rFonts w:ascii="Source Sans Pro" w:hAnsi="Source Sans Pro" w:cs="Courier New"/>
          <w:i/>
          <w:iCs/>
        </w:rPr>
        <w:t>4</w:t>
      </w:r>
      <w:r w:rsidRPr="009D38D3">
        <w:rPr>
          <w:rFonts w:ascii="Source Sans Pro" w:hAnsi="Source Sans Pro" w:cs="Courier New"/>
          <w:i/>
          <w:iCs/>
        </w:rPr>
        <w:t>×-.036</w:t>
      </w:r>
      <w:r w:rsidR="0096284B" w:rsidRPr="009D38D3">
        <w:rPr>
          <w:rFonts w:ascii="Source Sans Pro" w:hAnsi="Source Sans Pro" w:cs="Courier New"/>
          <w:i/>
          <w:iCs/>
        </w:rPr>
        <w:t>0</w:t>
      </w:r>
      <w:r w:rsidRPr="009D38D3">
        <w:rPr>
          <w:rFonts w:ascii="Source Sans Pro" w:hAnsi="Source Sans Pro" w:cs="Courier New"/>
          <w:i/>
          <w:iCs/>
        </w:rPr>
        <w:t xml:space="preserve"> + -0.13</w:t>
      </w:r>
      <w:r w:rsidR="0096284B" w:rsidRPr="009D38D3">
        <w:rPr>
          <w:rFonts w:ascii="Source Sans Pro" w:hAnsi="Source Sans Pro" w:cs="Courier New"/>
          <w:i/>
          <w:iCs/>
        </w:rPr>
        <w:t>06</w:t>
      </w:r>
      <w:r w:rsidRPr="009D38D3">
        <w:rPr>
          <w:rFonts w:ascii="Source Sans Pro" w:hAnsi="Source Sans Pro" w:cs="Courier New"/>
          <w:i/>
          <w:iCs/>
        </w:rPr>
        <w:t>×</w:t>
      </w:r>
      <w:r w:rsidR="00D9020E" w:rsidRPr="009D38D3">
        <w:rPr>
          <w:rFonts w:ascii="Source Sans Pro" w:hAnsi="Source Sans Pro" w:cs="Courier New"/>
          <w:i/>
          <w:iCs/>
        </w:rPr>
        <w:t>-.0692 = 0.11</w:t>
      </w:r>
      <w:r w:rsidR="00DB65A8" w:rsidRPr="009D38D3">
        <w:rPr>
          <w:rFonts w:ascii="Source Sans Pro" w:hAnsi="Source Sans Pro" w:cs="Courier New"/>
          <w:i/>
          <w:iCs/>
        </w:rPr>
        <w:t>68</w:t>
      </w:r>
      <w:r w:rsidR="00D9020E" w:rsidRPr="009D38D3">
        <w:rPr>
          <w:rFonts w:ascii="Source Sans Pro" w:hAnsi="Source Sans Pro" w:cs="Courier New"/>
        </w:rPr>
        <w:t>.</w:t>
      </w:r>
    </w:p>
    <w:p w14:paraId="1F0B3463" w14:textId="7355E1D5" w:rsidR="00427978" w:rsidRDefault="00D9020E">
      <w:pPr>
        <w:rPr>
          <w:rFonts w:ascii="Arial" w:hAnsi="Arial" w:cs="Arial"/>
        </w:rPr>
      </w:pPr>
      <w:r>
        <w:rPr>
          <w:rFonts w:ascii="Arial" w:hAnsi="Arial" w:cs="Arial"/>
        </w:rPr>
        <w:t xml:space="preserve">Our goal is to develop weights for each end use to apply to the difference between the </w:t>
      </w:r>
      <w:r w:rsidR="009048C1">
        <w:rPr>
          <w:rFonts w:ascii="Arial" w:hAnsi="Arial" w:cs="Arial"/>
        </w:rPr>
        <w:t>econometric</w:t>
      </w:r>
      <w:r>
        <w:rPr>
          <w:rFonts w:ascii="Arial" w:hAnsi="Arial" w:cs="Arial"/>
        </w:rPr>
        <w:t xml:space="preserve"> prediction </w:t>
      </w:r>
      <w:r w:rsidR="009048C1">
        <w:rPr>
          <w:rFonts w:ascii="Arial" w:hAnsi="Arial" w:cs="Arial"/>
        </w:rPr>
        <w:t xml:space="preserve">described below </w:t>
      </w:r>
      <w:r>
        <w:rPr>
          <w:rFonts w:ascii="Arial" w:hAnsi="Arial" w:cs="Arial"/>
        </w:rPr>
        <w:t xml:space="preserve">and the sum of the end use totals </w:t>
      </w:r>
      <w:r w:rsidR="007863DB">
        <w:rPr>
          <w:rFonts w:ascii="Arial" w:hAnsi="Arial" w:cs="Arial"/>
        </w:rPr>
        <w:t xml:space="preserve">from the </w:t>
      </w:r>
      <w:r w:rsidR="00761F6F">
        <w:rPr>
          <w:rFonts w:ascii="Arial" w:hAnsi="Arial" w:cs="Arial"/>
        </w:rPr>
        <w:t>R</w:t>
      </w:r>
      <w:r w:rsidR="007863DB">
        <w:rPr>
          <w:rFonts w:ascii="Arial" w:hAnsi="Arial" w:cs="Arial"/>
        </w:rPr>
        <w:t xml:space="preserve">esidential </w:t>
      </w:r>
      <w:r w:rsidR="00761F6F">
        <w:rPr>
          <w:rFonts w:ascii="Arial" w:hAnsi="Arial" w:cs="Arial"/>
        </w:rPr>
        <w:t>M</w:t>
      </w:r>
      <w:r w:rsidR="007863DB">
        <w:rPr>
          <w:rFonts w:ascii="Arial" w:hAnsi="Arial" w:cs="Arial"/>
        </w:rPr>
        <w:t xml:space="preserve">odel </w:t>
      </w:r>
      <w:r>
        <w:rPr>
          <w:rFonts w:ascii="Arial" w:hAnsi="Arial" w:cs="Arial"/>
        </w:rPr>
        <w:t>by year for each planning area. Therefore</w:t>
      </w:r>
      <w:r w:rsidR="00CB7F3B">
        <w:rPr>
          <w:rFonts w:ascii="Arial" w:hAnsi="Arial" w:cs="Arial"/>
        </w:rPr>
        <w:t>,</w:t>
      </w:r>
      <w:r>
        <w:rPr>
          <w:rFonts w:ascii="Arial" w:hAnsi="Arial" w:cs="Arial"/>
        </w:rPr>
        <w:t xml:space="preserve"> the </w:t>
      </w:r>
      <w:r w:rsidR="004B1A54">
        <w:rPr>
          <w:rFonts w:ascii="Arial" w:hAnsi="Arial" w:cs="Arial"/>
        </w:rPr>
        <w:t xml:space="preserve">preliminary </w:t>
      </w:r>
      <w:r>
        <w:rPr>
          <w:rFonts w:ascii="Arial" w:hAnsi="Arial" w:cs="Arial"/>
        </w:rPr>
        <w:t xml:space="preserve">end-use </w:t>
      </w:r>
      <w:r w:rsidR="004B1A54">
        <w:rPr>
          <w:rFonts w:ascii="Arial" w:hAnsi="Arial" w:cs="Arial"/>
        </w:rPr>
        <w:t>weights</w:t>
      </w:r>
      <w:r>
        <w:rPr>
          <w:rFonts w:ascii="Arial" w:hAnsi="Arial" w:cs="Arial"/>
        </w:rPr>
        <w:t xml:space="preserve"> need to be normalized to one, as shown </w:t>
      </w:r>
      <w:r w:rsidR="00CB7F3B">
        <w:rPr>
          <w:rFonts w:ascii="Arial" w:hAnsi="Arial" w:cs="Arial"/>
        </w:rPr>
        <w:t xml:space="preserve">in the table </w:t>
      </w:r>
      <w:r>
        <w:rPr>
          <w:rFonts w:ascii="Arial" w:hAnsi="Arial" w:cs="Arial"/>
        </w:rPr>
        <w:t>below.</w:t>
      </w:r>
    </w:p>
    <w:p w14:paraId="6781D0A8" w14:textId="37D970B3" w:rsidR="00CB7F3B" w:rsidRDefault="0096375C" w:rsidP="00CB7F3B">
      <w:pPr>
        <w:jc w:val="center"/>
      </w:pPr>
      <w:r>
        <w:rPr>
          <w:rFonts w:ascii="Arial" w:hAnsi="Arial" w:cs="Arial"/>
        </w:rPr>
        <w:t xml:space="preserve">Table </w:t>
      </w:r>
      <w:r w:rsidR="009D38D3">
        <w:rPr>
          <w:rFonts w:ascii="Arial" w:hAnsi="Arial" w:cs="Arial"/>
        </w:rPr>
        <w:t>6</w:t>
      </w:r>
      <w:r>
        <w:rPr>
          <w:rFonts w:ascii="Arial" w:hAnsi="Arial" w:cs="Arial"/>
        </w:rPr>
        <w:t xml:space="preserve">: </w:t>
      </w:r>
      <w:r w:rsidR="00AA45D1">
        <w:rPr>
          <w:rFonts w:ascii="Arial" w:hAnsi="Arial" w:cs="Arial"/>
        </w:rPr>
        <w:t xml:space="preserve">Preliminary </w:t>
      </w:r>
      <w:r w:rsidR="00CB7F3B">
        <w:rPr>
          <w:rFonts w:ascii="Arial" w:hAnsi="Arial" w:cs="Arial"/>
        </w:rPr>
        <w:t xml:space="preserve">PCA </w:t>
      </w:r>
      <w:r w:rsidR="000D4225">
        <w:rPr>
          <w:rFonts w:ascii="Arial" w:hAnsi="Arial" w:cs="Arial"/>
        </w:rPr>
        <w:t>Weights</w:t>
      </w:r>
      <w:r w:rsidR="00CB7F3B">
        <w:rPr>
          <w:rFonts w:ascii="Arial" w:hAnsi="Arial" w:cs="Arial"/>
        </w:rPr>
        <w:t xml:space="preserve"> by End Use</w:t>
      </w:r>
      <w:r w:rsidR="00CB7F3B">
        <w:rPr>
          <w:rFonts w:ascii="Arial" w:hAnsi="Arial" w:cs="Arial"/>
        </w:rPr>
        <w:fldChar w:fldCharType="begin"/>
      </w:r>
      <w:r w:rsidR="00CB7F3B">
        <w:rPr>
          <w:rFonts w:ascii="Arial" w:hAnsi="Arial" w:cs="Arial"/>
        </w:rPr>
        <w:instrText xml:space="preserve"> LINK </w:instrText>
      </w:r>
      <w:r w:rsidR="003E4680">
        <w:rPr>
          <w:rFonts w:ascii="Arial" w:hAnsi="Arial" w:cs="Arial"/>
        </w:rPr>
        <w:instrText xml:space="preserve">Excel.SheetBinaryMacroEnabled.12 C:\\Users\\crkav\\Documents\\Chris\\CEC\\Calibration\\test6.log test6!R34C20:R46C22 </w:instrText>
      </w:r>
      <w:r w:rsidR="00CB7F3B">
        <w:rPr>
          <w:rFonts w:ascii="Arial" w:hAnsi="Arial" w:cs="Arial"/>
        </w:rPr>
        <w:instrText xml:space="preserve">\a \f 5 \h  \* MERGEFORMAT </w:instrText>
      </w:r>
      <w:r w:rsidR="00CB7F3B">
        <w:rPr>
          <w:rFonts w:ascii="Arial" w:hAnsi="Arial" w:cs="Arial"/>
        </w:rPr>
        <w:fldChar w:fldCharType="separate"/>
      </w:r>
    </w:p>
    <w:p w14:paraId="62BF16B2" w14:textId="6D7215B8" w:rsidR="00427978" w:rsidRDefault="00CB7F3B" w:rsidP="007D48CC">
      <w:pPr>
        <w:jc w:val="center"/>
        <w:rPr>
          <w:rFonts w:ascii="Arial" w:hAnsi="Arial" w:cs="Arial"/>
        </w:rPr>
      </w:pPr>
      <w:r>
        <w:rPr>
          <w:rFonts w:ascii="Arial" w:hAnsi="Arial" w:cs="Arial"/>
        </w:rPr>
        <w:fldChar w:fldCharType="end"/>
      </w:r>
      <w:r w:rsidR="007D48CC" w:rsidRPr="007D48CC">
        <w:rPr>
          <w:rFonts w:ascii="Arial" w:hAnsi="Arial" w:cs="Arial"/>
        </w:rPr>
        <w:t xml:space="preserve"> </w:t>
      </w:r>
      <w:r w:rsidR="007D48CC" w:rsidRPr="007D48CC">
        <w:rPr>
          <w:noProof/>
        </w:rPr>
        <w:drawing>
          <wp:inline distT="0" distB="0" distL="0" distR="0" wp14:anchorId="54DFB339" wp14:editId="451824DF">
            <wp:extent cx="2964180" cy="2567940"/>
            <wp:effectExtent l="0" t="0" r="7620" b="3810"/>
            <wp:docPr id="1763655738" name="Picture 11" descr="A table showing the original and normalized weights for the end use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655738" name="Picture 11" descr="A table showing the original and normalized weights for the end use group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4180" cy="2567940"/>
                    </a:xfrm>
                    <a:prstGeom prst="rect">
                      <a:avLst/>
                    </a:prstGeom>
                    <a:noFill/>
                    <a:ln>
                      <a:noFill/>
                    </a:ln>
                  </pic:spPr>
                </pic:pic>
              </a:graphicData>
            </a:graphic>
          </wp:inline>
        </w:drawing>
      </w:r>
    </w:p>
    <w:p w14:paraId="50EE0AE6" w14:textId="77777777" w:rsidR="007D48CC" w:rsidRDefault="007D48CC" w:rsidP="007D48CC">
      <w:pPr>
        <w:jc w:val="center"/>
        <w:rPr>
          <w:rFonts w:ascii="Arial" w:hAnsi="Arial" w:cs="Arial"/>
        </w:rPr>
      </w:pPr>
    </w:p>
    <w:p w14:paraId="24F0F5DC" w14:textId="1434BB59" w:rsidR="004827EB" w:rsidRPr="004827EB" w:rsidRDefault="004827EB">
      <w:pPr>
        <w:rPr>
          <w:rFonts w:ascii="Arial" w:hAnsi="Arial" w:cs="Arial"/>
          <w:sz w:val="28"/>
          <w:szCs w:val="28"/>
        </w:rPr>
      </w:pPr>
      <w:r w:rsidRPr="004827EB">
        <w:rPr>
          <w:rFonts w:ascii="Arial" w:hAnsi="Arial" w:cs="Arial"/>
          <w:sz w:val="28"/>
          <w:szCs w:val="28"/>
        </w:rPr>
        <w:t xml:space="preserve">Step </w:t>
      </w:r>
      <w:r w:rsidR="00457EC8">
        <w:rPr>
          <w:rFonts w:ascii="Arial" w:hAnsi="Arial" w:cs="Arial"/>
          <w:sz w:val="28"/>
          <w:szCs w:val="28"/>
        </w:rPr>
        <w:t>3</w:t>
      </w:r>
      <w:r w:rsidRPr="004827EB">
        <w:rPr>
          <w:rFonts w:ascii="Arial" w:hAnsi="Arial" w:cs="Arial"/>
          <w:sz w:val="28"/>
          <w:szCs w:val="28"/>
        </w:rPr>
        <w:t xml:space="preserve">: </w:t>
      </w:r>
      <w:r w:rsidR="00CE72CC">
        <w:rPr>
          <w:rFonts w:ascii="Arial" w:hAnsi="Arial" w:cs="Arial"/>
          <w:sz w:val="28"/>
          <w:szCs w:val="28"/>
        </w:rPr>
        <w:t>Use PCA Results to Forecast Adjusted Residential Consumption</w:t>
      </w:r>
    </w:p>
    <w:p w14:paraId="19FCB63C" w14:textId="47A9D83D" w:rsidR="00457EC8" w:rsidRDefault="00761F6F">
      <w:pPr>
        <w:rPr>
          <w:rFonts w:ascii="Arial" w:hAnsi="Arial" w:cs="Arial"/>
        </w:rPr>
      </w:pPr>
      <w:r>
        <w:rPr>
          <w:rFonts w:ascii="Arial" w:hAnsi="Arial" w:cs="Arial"/>
        </w:rPr>
        <w:t xml:space="preserve">Next, we need to </w:t>
      </w:r>
      <w:r w:rsidR="00457EC8">
        <w:rPr>
          <w:rFonts w:ascii="Arial" w:hAnsi="Arial" w:cs="Arial"/>
        </w:rPr>
        <w:t xml:space="preserve">develop a forecast for residential consumption upon which to apply to weights from Step 2. We can use the same formulation as shown above for </w:t>
      </w:r>
      <w:r w:rsidR="00457EC8" w:rsidRPr="00457EC8">
        <w:rPr>
          <w:rFonts w:ascii="Arial" w:hAnsi="Arial" w:cs="Arial"/>
          <w:i/>
          <w:iCs/>
        </w:rPr>
        <w:t>pca1</w:t>
      </w:r>
      <w:r w:rsidR="00457EC8">
        <w:rPr>
          <w:rFonts w:ascii="Arial" w:hAnsi="Arial" w:cs="Arial"/>
        </w:rPr>
        <w:t xml:space="preserve">, </w:t>
      </w:r>
      <w:r w:rsidR="00457EC8" w:rsidRPr="00457EC8">
        <w:rPr>
          <w:rFonts w:ascii="Arial" w:hAnsi="Arial" w:cs="Arial"/>
          <w:i/>
          <w:iCs/>
        </w:rPr>
        <w:t>pca2</w:t>
      </w:r>
      <w:r w:rsidR="00457EC8">
        <w:rPr>
          <w:rFonts w:ascii="Arial" w:hAnsi="Arial" w:cs="Arial"/>
        </w:rPr>
        <w:t xml:space="preserve">, and </w:t>
      </w:r>
      <w:r w:rsidR="00457EC8" w:rsidRPr="00457EC8">
        <w:rPr>
          <w:rFonts w:ascii="Arial" w:hAnsi="Arial" w:cs="Arial"/>
          <w:i/>
          <w:iCs/>
        </w:rPr>
        <w:t>pca3</w:t>
      </w:r>
      <w:r w:rsidR="00457EC8">
        <w:rPr>
          <w:rFonts w:ascii="Arial" w:hAnsi="Arial" w:cs="Arial"/>
        </w:rPr>
        <w:t xml:space="preserve"> but substituting the non-standardized </w:t>
      </w:r>
      <w:r w:rsidR="00C56459">
        <w:rPr>
          <w:rFonts w:ascii="Arial" w:hAnsi="Arial" w:cs="Arial"/>
        </w:rPr>
        <w:t xml:space="preserve">(actual) </w:t>
      </w:r>
      <w:r w:rsidR="00457EC8">
        <w:rPr>
          <w:rFonts w:ascii="Arial" w:hAnsi="Arial" w:cs="Arial"/>
        </w:rPr>
        <w:t xml:space="preserve">values of the end uses and then regress QFER residential consumption on these newly created variables. That is, </w:t>
      </w:r>
      <w:r w:rsidR="002B3705">
        <w:rPr>
          <w:rFonts w:ascii="Arial" w:hAnsi="Arial" w:cs="Arial"/>
        </w:rPr>
        <w:t>regress QFER on the following variables (</w:t>
      </w:r>
      <w:r w:rsidR="000C0AC0">
        <w:rPr>
          <w:rFonts w:ascii="Arial" w:hAnsi="Arial" w:cs="Arial"/>
        </w:rPr>
        <w:t>U</w:t>
      </w:r>
      <w:r w:rsidR="00C56459">
        <w:rPr>
          <w:rFonts w:ascii="Arial" w:hAnsi="Arial" w:cs="Arial"/>
        </w:rPr>
        <w:t>sing the STATA command</w:t>
      </w:r>
      <w:r w:rsidR="002B3705">
        <w:rPr>
          <w:rFonts w:ascii="Arial" w:hAnsi="Arial" w:cs="Arial"/>
        </w:rPr>
        <w:t>)</w:t>
      </w:r>
      <w:r w:rsidR="00C56459">
        <w:rPr>
          <w:rFonts w:ascii="Arial" w:hAnsi="Arial" w:cs="Arial"/>
        </w:rPr>
        <w:t>:</w:t>
      </w:r>
    </w:p>
    <w:p w14:paraId="61C95A5F" w14:textId="6E67DC11" w:rsidR="00457EC8" w:rsidRPr="009D38D3" w:rsidRDefault="00457EC8" w:rsidP="00457EC8">
      <w:pPr>
        <w:rPr>
          <w:rFonts w:ascii="Source Sans Pro" w:hAnsi="Source Sans Pro" w:cs="Courier New"/>
          <w:i/>
          <w:iCs/>
        </w:rPr>
      </w:pPr>
      <w:r w:rsidRPr="009D38D3">
        <w:rPr>
          <w:rFonts w:ascii="Source Sans Pro" w:hAnsi="Source Sans Pro" w:cs="Courier New"/>
          <w:i/>
          <w:iCs/>
        </w:rPr>
        <w:t>. gen pca1</w:t>
      </w:r>
      <w:r w:rsidR="00C56459" w:rsidRPr="009D38D3">
        <w:rPr>
          <w:rFonts w:ascii="Source Sans Pro" w:hAnsi="Source Sans Pro" w:cs="Courier New"/>
          <w:i/>
          <w:iCs/>
        </w:rPr>
        <w:t>(ns)</w:t>
      </w:r>
      <w:r w:rsidRPr="009D38D3">
        <w:rPr>
          <w:rFonts w:ascii="Source Sans Pro" w:hAnsi="Source Sans Pro" w:cs="Courier New"/>
          <w:i/>
          <w:iCs/>
        </w:rPr>
        <w:t>=.3710* cooling+.2320* refridgefreez`+.2411* furnacefan+.3712* heating-.3060* lighting+.3614* misc+.3421* other+.2129* poolhottub+.2190* tvcompoff-.2042* washdry+.3693* waterheat</w:t>
      </w:r>
    </w:p>
    <w:p w14:paraId="049CCA61" w14:textId="505EA105" w:rsidR="00457EC8" w:rsidRPr="009D38D3" w:rsidRDefault="00457EC8" w:rsidP="00457EC8">
      <w:pPr>
        <w:rPr>
          <w:rFonts w:ascii="Source Sans Pro" w:hAnsi="Source Sans Pro" w:cs="Courier New"/>
          <w:i/>
          <w:iCs/>
        </w:rPr>
      </w:pPr>
      <w:r w:rsidRPr="009D38D3">
        <w:rPr>
          <w:rFonts w:ascii="Source Sans Pro" w:hAnsi="Source Sans Pro" w:cs="Courier New"/>
          <w:i/>
          <w:iCs/>
        </w:rPr>
        <w:t xml:space="preserve"> . gen pca2</w:t>
      </w:r>
      <w:r w:rsidR="00C56459" w:rsidRPr="009D38D3">
        <w:rPr>
          <w:rFonts w:ascii="Source Sans Pro" w:hAnsi="Source Sans Pro" w:cs="Courier New"/>
          <w:i/>
          <w:iCs/>
        </w:rPr>
        <w:t>(ns)</w:t>
      </w:r>
      <w:r w:rsidRPr="009D38D3">
        <w:rPr>
          <w:rFonts w:ascii="Source Sans Pro" w:hAnsi="Source Sans Pro" w:cs="Courier New"/>
          <w:i/>
          <w:iCs/>
        </w:rPr>
        <w:t>=-.0360* cooling+.4195* refridgefreez+.1258* furnacefan-.1537* heating+.3495* lighting-.2215*misc-.0075* other+.4707* poolhottub+.5* tvcompoff+.3747* washdry-.0023* waterheat</w:t>
      </w:r>
    </w:p>
    <w:p w14:paraId="0E0C92E1" w14:textId="134A7853" w:rsidR="00457EC8" w:rsidRPr="009D38D3" w:rsidRDefault="00457EC8" w:rsidP="00457EC8">
      <w:pPr>
        <w:rPr>
          <w:rFonts w:ascii="Source Sans Pro" w:hAnsi="Source Sans Pro" w:cs="Courier New"/>
          <w:i/>
          <w:iCs/>
        </w:rPr>
      </w:pPr>
      <w:r w:rsidRPr="009D38D3">
        <w:rPr>
          <w:rFonts w:ascii="Source Sans Pro" w:hAnsi="Source Sans Pro" w:cs="Courier New"/>
          <w:i/>
          <w:iCs/>
        </w:rPr>
        <w:t>. gen pca</w:t>
      </w:r>
      <w:r w:rsidR="00321FB5" w:rsidRPr="009D38D3">
        <w:rPr>
          <w:rFonts w:ascii="Source Sans Pro" w:hAnsi="Source Sans Pro" w:cs="Courier New"/>
          <w:i/>
          <w:iCs/>
        </w:rPr>
        <w:t>3</w:t>
      </w:r>
      <w:r w:rsidR="00C56459" w:rsidRPr="009D38D3">
        <w:rPr>
          <w:rFonts w:ascii="Source Sans Pro" w:hAnsi="Source Sans Pro" w:cs="Courier New"/>
          <w:i/>
          <w:iCs/>
        </w:rPr>
        <w:t>(ns)</w:t>
      </w:r>
      <w:r w:rsidRPr="009D38D3">
        <w:rPr>
          <w:rFonts w:ascii="Source Sans Pro" w:hAnsi="Source Sans Pro" w:cs="Courier New"/>
          <w:i/>
          <w:iCs/>
        </w:rPr>
        <w:t>=-.0692* cooling-.1747* refridgefreez-.6770* furnacefan+.1153* heating-.2596* lighting+.1072*misc+.2821* other+.1482* poolhottub+.0331* tvcompof</w:t>
      </w:r>
      <w:r w:rsidR="00C56459" w:rsidRPr="009D38D3">
        <w:rPr>
          <w:rFonts w:ascii="Source Sans Pro" w:hAnsi="Source Sans Pro" w:cs="Courier New"/>
          <w:i/>
          <w:iCs/>
        </w:rPr>
        <w:t>f</w:t>
      </w:r>
      <w:r w:rsidRPr="009D38D3">
        <w:rPr>
          <w:rFonts w:ascii="Source Sans Pro" w:hAnsi="Source Sans Pro" w:cs="Courier New"/>
          <w:i/>
          <w:iCs/>
        </w:rPr>
        <w:t>+.5451* washdry+.1205* waterheat</w:t>
      </w:r>
    </w:p>
    <w:p w14:paraId="70E4811F" w14:textId="7C3266EC" w:rsidR="00457EC8" w:rsidRPr="00C56459" w:rsidRDefault="00C56459">
      <w:pPr>
        <w:rPr>
          <w:rFonts w:ascii="Arial" w:hAnsi="Arial" w:cs="Arial"/>
        </w:rPr>
      </w:pPr>
      <w:r>
        <w:rPr>
          <w:rFonts w:ascii="Arial" w:hAnsi="Arial" w:cs="Arial"/>
        </w:rPr>
        <w:t xml:space="preserve">Here, </w:t>
      </w:r>
      <w:r w:rsidRPr="00C56459">
        <w:rPr>
          <w:rFonts w:ascii="Arial" w:hAnsi="Arial" w:cs="Arial"/>
          <w:i/>
          <w:iCs/>
        </w:rPr>
        <w:t>ns</w:t>
      </w:r>
      <w:r>
        <w:rPr>
          <w:rFonts w:ascii="Arial" w:hAnsi="Arial" w:cs="Arial"/>
        </w:rPr>
        <w:t xml:space="preserve"> denotes the non-standardized version of </w:t>
      </w:r>
      <w:r w:rsidRPr="00457EC8">
        <w:rPr>
          <w:rFonts w:ascii="Arial" w:hAnsi="Arial" w:cs="Arial"/>
          <w:i/>
          <w:iCs/>
        </w:rPr>
        <w:t>pca1</w:t>
      </w:r>
      <w:r>
        <w:rPr>
          <w:rFonts w:ascii="Arial" w:hAnsi="Arial" w:cs="Arial"/>
        </w:rPr>
        <w:t xml:space="preserve">, </w:t>
      </w:r>
      <w:r w:rsidRPr="00457EC8">
        <w:rPr>
          <w:rFonts w:ascii="Arial" w:hAnsi="Arial" w:cs="Arial"/>
          <w:i/>
          <w:iCs/>
        </w:rPr>
        <w:t>pca2</w:t>
      </w:r>
      <w:r>
        <w:rPr>
          <w:rFonts w:ascii="Arial" w:hAnsi="Arial" w:cs="Arial"/>
        </w:rPr>
        <w:t xml:space="preserve">, and </w:t>
      </w:r>
      <w:r w:rsidRPr="00457EC8">
        <w:rPr>
          <w:rFonts w:ascii="Arial" w:hAnsi="Arial" w:cs="Arial"/>
          <w:i/>
          <w:iCs/>
        </w:rPr>
        <w:t>pca3</w:t>
      </w:r>
      <w:r>
        <w:rPr>
          <w:rFonts w:ascii="Arial" w:hAnsi="Arial" w:cs="Arial"/>
        </w:rPr>
        <w:t>.</w:t>
      </w:r>
      <w:r w:rsidR="000C0AC0">
        <w:rPr>
          <w:rStyle w:val="FootnoteReference"/>
          <w:rFonts w:ascii="Arial" w:hAnsi="Arial" w:cs="Arial"/>
        </w:rPr>
        <w:footnoteReference w:id="2"/>
      </w:r>
    </w:p>
    <w:p w14:paraId="2258DBAD" w14:textId="49209E3E" w:rsidR="00457EC8" w:rsidRDefault="00C56459">
      <w:pPr>
        <w:rPr>
          <w:rFonts w:ascii="Arial" w:hAnsi="Arial" w:cs="Arial"/>
        </w:rPr>
      </w:pPr>
      <w:r>
        <w:rPr>
          <w:rFonts w:ascii="Arial" w:hAnsi="Arial" w:cs="Arial"/>
        </w:rPr>
        <w:t xml:space="preserve">Table </w:t>
      </w:r>
      <w:r w:rsidR="00177B2E">
        <w:rPr>
          <w:rFonts w:ascii="Arial" w:hAnsi="Arial" w:cs="Arial"/>
        </w:rPr>
        <w:t>7</w:t>
      </w:r>
      <w:r>
        <w:rPr>
          <w:rFonts w:ascii="Arial" w:hAnsi="Arial" w:cs="Arial"/>
        </w:rPr>
        <w:t xml:space="preserve"> shows the results from this regression for the PG</w:t>
      </w:r>
      <w:r w:rsidR="00327363">
        <w:rPr>
          <w:rFonts w:ascii="Arial" w:hAnsi="Arial" w:cs="Arial"/>
        </w:rPr>
        <w:t>&amp;</w:t>
      </w:r>
      <w:r>
        <w:rPr>
          <w:rFonts w:ascii="Arial" w:hAnsi="Arial" w:cs="Arial"/>
        </w:rPr>
        <w:t xml:space="preserve">E planning area, </w:t>
      </w:r>
      <w:r w:rsidR="00DC0563">
        <w:rPr>
          <w:rFonts w:ascii="Arial" w:hAnsi="Arial" w:cs="Arial"/>
        </w:rPr>
        <w:t>and Figure 1 compares historical QFER residential consumption with the sum of the end uses coming from the Residential Model and the new fitted curve developed from the regression results.</w:t>
      </w:r>
    </w:p>
    <w:p w14:paraId="2B9EE5F4" w14:textId="581C4067" w:rsidR="00457EC8" w:rsidRDefault="0006520B" w:rsidP="009D38D3">
      <w:pPr>
        <w:keepNext/>
        <w:jc w:val="center"/>
        <w:rPr>
          <w:rFonts w:ascii="Arial" w:hAnsi="Arial" w:cs="Arial"/>
        </w:rPr>
      </w:pPr>
      <w:r>
        <w:rPr>
          <w:rFonts w:ascii="Arial" w:hAnsi="Arial" w:cs="Arial"/>
        </w:rPr>
        <w:t>Table</w:t>
      </w:r>
      <w:r w:rsidR="00327363">
        <w:rPr>
          <w:rFonts w:ascii="Arial" w:hAnsi="Arial" w:cs="Arial"/>
        </w:rPr>
        <w:t xml:space="preserve"> </w:t>
      </w:r>
      <w:r w:rsidR="009D38D3">
        <w:rPr>
          <w:rFonts w:ascii="Arial" w:hAnsi="Arial" w:cs="Arial"/>
        </w:rPr>
        <w:t>7</w:t>
      </w:r>
      <w:r w:rsidR="00327363">
        <w:rPr>
          <w:rFonts w:ascii="Arial" w:hAnsi="Arial" w:cs="Arial"/>
        </w:rPr>
        <w:t>: Non-Standardized Version of PCA Regression for PG&amp;E</w:t>
      </w:r>
    </w:p>
    <w:p w14:paraId="7F2839A0" w14:textId="4422D8B4" w:rsidR="00327363" w:rsidRDefault="00F50E25" w:rsidP="00F50E25">
      <w:pPr>
        <w:jc w:val="center"/>
        <w:rPr>
          <w:rFonts w:ascii="Arial" w:hAnsi="Arial" w:cs="Arial"/>
        </w:rPr>
      </w:pPr>
      <w:r>
        <w:rPr>
          <w:rFonts w:ascii="Arial" w:hAnsi="Arial" w:cs="Arial"/>
          <w:noProof/>
        </w:rPr>
        <w:drawing>
          <wp:inline distT="0" distB="0" distL="0" distR="0" wp14:anchorId="471415C1" wp14:editId="1D3E2999">
            <wp:extent cx="5056798" cy="2565400"/>
            <wp:effectExtent l="0" t="0" r="0" b="6350"/>
            <wp:docPr id="506538169" name="Picture 12" descr="An image of text output from Stata showing the results of regressing QFER data on the non-standardized components of the PCA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538169" name="Picture 12" descr="An image of text output from Stata showing the results of regressing QFER data on the non-standardized components of the PCA Results."/>
                    <pic:cNvPicPr/>
                  </pic:nvPicPr>
                  <pic:blipFill>
                    <a:blip r:embed="rId15">
                      <a:extLst>
                        <a:ext uri="{28A0092B-C50C-407E-A947-70E740481C1C}">
                          <a14:useLocalDpi xmlns:a14="http://schemas.microsoft.com/office/drawing/2010/main" val="0"/>
                        </a:ext>
                      </a:extLst>
                    </a:blip>
                    <a:stretch>
                      <a:fillRect/>
                    </a:stretch>
                  </pic:blipFill>
                  <pic:spPr>
                    <a:xfrm>
                      <a:off x="0" y="0"/>
                      <a:ext cx="5060256" cy="2567154"/>
                    </a:xfrm>
                    <a:prstGeom prst="rect">
                      <a:avLst/>
                    </a:prstGeom>
                  </pic:spPr>
                </pic:pic>
              </a:graphicData>
            </a:graphic>
          </wp:inline>
        </w:drawing>
      </w:r>
    </w:p>
    <w:p w14:paraId="3988078A" w14:textId="7AB70CCF" w:rsidR="00457EC8" w:rsidRDefault="009D38D3" w:rsidP="009D38D3">
      <w:pPr>
        <w:keepNext/>
        <w:jc w:val="center"/>
        <w:rPr>
          <w:rFonts w:ascii="Arial" w:hAnsi="Arial" w:cs="Arial"/>
        </w:rPr>
      </w:pPr>
      <w:r>
        <w:rPr>
          <w:rFonts w:ascii="Arial" w:hAnsi="Arial" w:cs="Arial"/>
        </w:rPr>
        <w:t>Figure 1</w:t>
      </w:r>
      <w:r>
        <w:rPr>
          <w:rFonts w:ascii="Arial" w:hAnsi="Arial" w:cs="Arial"/>
        </w:rPr>
        <w:t xml:space="preserve">: Non-Standardized PCA Regression </w:t>
      </w:r>
      <w:r>
        <w:rPr>
          <w:rFonts w:ascii="Arial" w:hAnsi="Arial" w:cs="Arial"/>
        </w:rPr>
        <w:t xml:space="preserve">Results </w:t>
      </w:r>
      <w:r>
        <w:rPr>
          <w:rFonts w:ascii="Arial" w:hAnsi="Arial" w:cs="Arial"/>
        </w:rPr>
        <w:t>for PG&amp;E</w:t>
      </w:r>
    </w:p>
    <w:p w14:paraId="2E78BDBE" w14:textId="4E669864" w:rsidR="00F50E25" w:rsidRDefault="0006520B">
      <w:pPr>
        <w:rPr>
          <w:rFonts w:ascii="Arial" w:hAnsi="Arial" w:cs="Arial"/>
        </w:rPr>
      </w:pPr>
      <w:r>
        <w:rPr>
          <w:rFonts w:ascii="Arial" w:hAnsi="Arial" w:cs="Arial"/>
          <w:noProof/>
        </w:rPr>
        <w:drawing>
          <wp:inline distT="0" distB="0" distL="0" distR="0" wp14:anchorId="0F7DFD24" wp14:editId="67DE119E">
            <wp:extent cx="5943600" cy="3675888"/>
            <wp:effectExtent l="0" t="0" r="0" b="1270"/>
            <wp:docPr id="772541631" name="Picture 14" descr="A line chart comparing historical QFER data, the end use model, and the regression results for electricity consumption in the PG&amp;E planning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541631" name="Picture 14" descr="A line chart comparing historical QFER data, the end use model, and the regression results for electricity consumption in the PG&amp;E planning area."/>
                    <pic:cNvPicPr>
                      <a:picLocks noChangeAspect="1" noChangeArrowheads="1"/>
                    </pic:cNvPicPr>
                  </pic:nvPicPr>
                  <pic:blipFill rotWithShape="1">
                    <a:blip r:embed="rId16">
                      <a:extLst>
                        <a:ext uri="{28A0092B-C50C-407E-A947-70E740481C1C}">
                          <a14:useLocalDpi xmlns:a14="http://schemas.microsoft.com/office/drawing/2010/main" val="0"/>
                        </a:ext>
                      </a:extLst>
                    </a:blip>
                    <a:srcRect l="1955" r="1410"/>
                    <a:stretch>
                      <a:fillRect/>
                    </a:stretch>
                  </pic:blipFill>
                  <pic:spPr bwMode="auto">
                    <a:xfrm>
                      <a:off x="0" y="0"/>
                      <a:ext cx="5943600" cy="3675888"/>
                    </a:xfrm>
                    <a:prstGeom prst="rect">
                      <a:avLst/>
                    </a:prstGeom>
                    <a:noFill/>
                    <a:ln>
                      <a:noFill/>
                    </a:ln>
                    <a:extLst>
                      <a:ext uri="{53640926-AAD7-44D8-BBD7-CCE9431645EC}">
                        <a14:shadowObscured xmlns:a14="http://schemas.microsoft.com/office/drawing/2010/main"/>
                      </a:ext>
                    </a:extLst>
                  </pic:spPr>
                </pic:pic>
              </a:graphicData>
            </a:graphic>
          </wp:inline>
        </w:drawing>
      </w:r>
    </w:p>
    <w:p w14:paraId="3CE353C7" w14:textId="77777777" w:rsidR="00F50E25" w:rsidRDefault="00F50E25">
      <w:pPr>
        <w:rPr>
          <w:rFonts w:ascii="Arial" w:hAnsi="Arial" w:cs="Arial"/>
        </w:rPr>
      </w:pPr>
    </w:p>
    <w:p w14:paraId="255014BB" w14:textId="0111C23B" w:rsidR="00CC1E15" w:rsidRDefault="0006520B">
      <w:pPr>
        <w:rPr>
          <w:rFonts w:ascii="Arial" w:hAnsi="Arial" w:cs="Arial"/>
        </w:rPr>
      </w:pPr>
      <w:r>
        <w:rPr>
          <w:rFonts w:ascii="Arial" w:hAnsi="Arial" w:cs="Arial"/>
        </w:rPr>
        <w:t xml:space="preserve">As </w:t>
      </w:r>
      <w:r w:rsidR="00177B2E">
        <w:rPr>
          <w:rFonts w:ascii="Arial" w:hAnsi="Arial" w:cs="Arial"/>
        </w:rPr>
        <w:t>F</w:t>
      </w:r>
      <w:r>
        <w:rPr>
          <w:rFonts w:ascii="Arial" w:hAnsi="Arial" w:cs="Arial"/>
        </w:rPr>
        <w:t xml:space="preserve">igure </w:t>
      </w:r>
      <w:r w:rsidR="00177B2E">
        <w:rPr>
          <w:rFonts w:ascii="Arial" w:hAnsi="Arial" w:cs="Arial"/>
        </w:rPr>
        <w:t xml:space="preserve">1 </w:t>
      </w:r>
      <w:r>
        <w:rPr>
          <w:rFonts w:ascii="Arial" w:hAnsi="Arial" w:cs="Arial"/>
        </w:rPr>
        <w:t xml:space="preserve">shows, the regression predictions bring us much closer to QFER compared to the Residential Model output. </w:t>
      </w:r>
      <w:r w:rsidR="00AA45D1">
        <w:rPr>
          <w:rFonts w:ascii="Arial" w:hAnsi="Arial" w:cs="Arial"/>
        </w:rPr>
        <w:t>To develop</w:t>
      </w:r>
      <w:r>
        <w:rPr>
          <w:rFonts w:ascii="Arial" w:hAnsi="Arial" w:cs="Arial"/>
        </w:rPr>
        <w:t xml:space="preserve"> the </w:t>
      </w:r>
      <w:r w:rsidR="00AA45D1">
        <w:rPr>
          <w:rFonts w:ascii="Arial" w:hAnsi="Arial" w:cs="Arial"/>
        </w:rPr>
        <w:t xml:space="preserve">final </w:t>
      </w:r>
      <w:r>
        <w:rPr>
          <w:rFonts w:ascii="Arial" w:hAnsi="Arial" w:cs="Arial"/>
        </w:rPr>
        <w:t xml:space="preserve">end-use weights </w:t>
      </w:r>
      <w:r w:rsidR="00AA45D1">
        <w:rPr>
          <w:rFonts w:ascii="Arial" w:hAnsi="Arial" w:cs="Arial"/>
        </w:rPr>
        <w:t xml:space="preserve">for each planning area or forecast zone, we need to account for the relative sizes of the end uses in each region </w:t>
      </w:r>
      <w:r w:rsidR="00C935D0">
        <w:rPr>
          <w:rFonts w:ascii="Arial" w:hAnsi="Arial" w:cs="Arial"/>
        </w:rPr>
        <w:t>(given the preliminary weights were developed using standardized variables</w:t>
      </w:r>
      <w:r w:rsidR="00C935D0">
        <w:rPr>
          <w:rStyle w:val="FootnoteReference"/>
          <w:rFonts w:ascii="Arial" w:hAnsi="Arial" w:cs="Arial"/>
        </w:rPr>
        <w:footnoteReference w:id="3"/>
      </w:r>
      <w:r w:rsidR="00C935D0">
        <w:rPr>
          <w:rFonts w:ascii="Arial" w:hAnsi="Arial" w:cs="Arial"/>
        </w:rPr>
        <w:t xml:space="preserve">) </w:t>
      </w:r>
      <w:r w:rsidR="00AA45D1">
        <w:rPr>
          <w:rFonts w:ascii="Arial" w:hAnsi="Arial" w:cs="Arial"/>
        </w:rPr>
        <w:t xml:space="preserve">by multiplying the preliminary weights by the ratio of the region’s standard deviation of electricity use for each end use divided by the standard deviation of total </w:t>
      </w:r>
      <w:r w:rsidR="00C935D0">
        <w:rPr>
          <w:rFonts w:ascii="Arial" w:hAnsi="Arial" w:cs="Arial"/>
        </w:rPr>
        <w:t xml:space="preserve">regional </w:t>
      </w:r>
      <w:r w:rsidR="00AA45D1">
        <w:rPr>
          <w:rFonts w:ascii="Arial" w:hAnsi="Arial" w:cs="Arial"/>
        </w:rPr>
        <w:t>residential consumption</w:t>
      </w:r>
      <w:r w:rsidR="005D5543">
        <w:rPr>
          <w:rStyle w:val="FootnoteReference"/>
          <w:rFonts w:ascii="Arial" w:hAnsi="Arial" w:cs="Arial"/>
        </w:rPr>
        <w:footnoteReference w:id="4"/>
      </w:r>
      <w:r w:rsidR="00CC1E15">
        <w:rPr>
          <w:rFonts w:ascii="Arial" w:hAnsi="Arial" w:cs="Arial"/>
        </w:rPr>
        <w:t xml:space="preserve"> and then renormalizing the sum to one. Table </w:t>
      </w:r>
      <w:r w:rsidR="00177B2E">
        <w:rPr>
          <w:rFonts w:ascii="Arial" w:hAnsi="Arial" w:cs="Arial"/>
        </w:rPr>
        <w:t>8</w:t>
      </w:r>
      <w:r w:rsidR="00CC1E15">
        <w:rPr>
          <w:rFonts w:ascii="Arial" w:hAnsi="Arial" w:cs="Arial"/>
        </w:rPr>
        <w:t xml:space="preserve"> shows the calculations for </w:t>
      </w:r>
      <w:r w:rsidR="004B1A54">
        <w:rPr>
          <w:rFonts w:ascii="Arial" w:hAnsi="Arial" w:cs="Arial"/>
        </w:rPr>
        <w:t xml:space="preserve">the </w:t>
      </w:r>
      <w:r w:rsidR="00CC1E15">
        <w:rPr>
          <w:rFonts w:ascii="Arial" w:hAnsi="Arial" w:cs="Arial"/>
        </w:rPr>
        <w:t xml:space="preserve">PG&amp;E </w:t>
      </w:r>
      <w:r w:rsidR="004B1A54">
        <w:rPr>
          <w:rFonts w:ascii="Arial" w:hAnsi="Arial" w:cs="Arial"/>
        </w:rPr>
        <w:t xml:space="preserve">planning area </w:t>
      </w:r>
      <w:r w:rsidR="00CC1E15">
        <w:rPr>
          <w:rFonts w:ascii="Arial" w:hAnsi="Arial" w:cs="Arial"/>
        </w:rPr>
        <w:t>to derive the final weights.</w:t>
      </w:r>
    </w:p>
    <w:p w14:paraId="30DD08C5" w14:textId="54D859C2" w:rsidR="00CC1E15" w:rsidRDefault="00EE2455" w:rsidP="000D4225">
      <w:pPr>
        <w:jc w:val="center"/>
        <w:rPr>
          <w:rFonts w:ascii="Arial" w:hAnsi="Arial" w:cs="Arial"/>
        </w:rPr>
      </w:pPr>
      <w:r>
        <w:rPr>
          <w:rFonts w:ascii="Arial" w:hAnsi="Arial" w:cs="Arial"/>
        </w:rPr>
        <w:t xml:space="preserve">Table </w:t>
      </w:r>
      <w:r w:rsidR="00177B2E">
        <w:rPr>
          <w:rFonts w:ascii="Arial" w:hAnsi="Arial" w:cs="Arial"/>
        </w:rPr>
        <w:t>8</w:t>
      </w:r>
      <w:r>
        <w:rPr>
          <w:rFonts w:ascii="Arial" w:hAnsi="Arial" w:cs="Arial"/>
        </w:rPr>
        <w:t xml:space="preserve">: </w:t>
      </w:r>
      <w:r w:rsidR="000D4225">
        <w:rPr>
          <w:rFonts w:ascii="Arial" w:hAnsi="Arial" w:cs="Arial"/>
        </w:rPr>
        <w:t>Final Weights for the PG&amp;E Planning Area</w:t>
      </w:r>
    </w:p>
    <w:p w14:paraId="46D200AE" w14:textId="52B71ECD" w:rsidR="00CC1E15" w:rsidRDefault="00735611" w:rsidP="00735611">
      <w:pPr>
        <w:jc w:val="center"/>
        <w:rPr>
          <w:rFonts w:ascii="Arial" w:hAnsi="Arial" w:cs="Arial"/>
        </w:rPr>
      </w:pPr>
      <w:r w:rsidRPr="00735611">
        <w:rPr>
          <w:noProof/>
        </w:rPr>
        <w:drawing>
          <wp:inline distT="0" distB="0" distL="0" distR="0" wp14:anchorId="16804165" wp14:editId="2E96EDC6">
            <wp:extent cx="4762500" cy="2567940"/>
            <wp:effectExtent l="0" t="0" r="0" b="3810"/>
            <wp:docPr id="835885441" name="Picture 1" descr="A table showing the final normalized weights for the end use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885441" name="Picture 1" descr="A table showing the final normalized weights for the end use group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0" cy="2567940"/>
                    </a:xfrm>
                    <a:prstGeom prst="rect">
                      <a:avLst/>
                    </a:prstGeom>
                    <a:noFill/>
                    <a:ln>
                      <a:noFill/>
                    </a:ln>
                  </pic:spPr>
                </pic:pic>
              </a:graphicData>
            </a:graphic>
          </wp:inline>
        </w:drawing>
      </w:r>
    </w:p>
    <w:p w14:paraId="607E5E45" w14:textId="5AA9207C" w:rsidR="00F50E25" w:rsidRDefault="00AA45D1">
      <w:pPr>
        <w:rPr>
          <w:rFonts w:ascii="Arial" w:hAnsi="Arial" w:cs="Arial"/>
        </w:rPr>
      </w:pPr>
      <w:r>
        <w:rPr>
          <w:rFonts w:ascii="Arial" w:hAnsi="Arial" w:cs="Arial"/>
        </w:rPr>
        <w:t xml:space="preserve"> </w:t>
      </w:r>
    </w:p>
    <w:p w14:paraId="16BB388A" w14:textId="3AC744D8" w:rsidR="00F50E25" w:rsidRDefault="009A1B26">
      <w:pPr>
        <w:rPr>
          <w:rFonts w:ascii="Arial" w:hAnsi="Arial" w:cs="Arial"/>
        </w:rPr>
      </w:pPr>
      <w:r w:rsidRPr="004827EB">
        <w:rPr>
          <w:rFonts w:ascii="Arial" w:hAnsi="Arial" w:cs="Arial"/>
          <w:sz w:val="28"/>
          <w:szCs w:val="28"/>
        </w:rPr>
        <w:t xml:space="preserve">Step </w:t>
      </w:r>
      <w:r>
        <w:rPr>
          <w:rFonts w:ascii="Arial" w:hAnsi="Arial" w:cs="Arial"/>
          <w:sz w:val="28"/>
          <w:szCs w:val="28"/>
        </w:rPr>
        <w:t>4</w:t>
      </w:r>
      <w:r w:rsidRPr="004827EB">
        <w:rPr>
          <w:rFonts w:ascii="Arial" w:hAnsi="Arial" w:cs="Arial"/>
          <w:sz w:val="28"/>
          <w:szCs w:val="28"/>
        </w:rPr>
        <w:t xml:space="preserve">: </w:t>
      </w:r>
      <w:r>
        <w:rPr>
          <w:rFonts w:ascii="Arial" w:hAnsi="Arial" w:cs="Arial"/>
          <w:sz w:val="28"/>
          <w:szCs w:val="28"/>
        </w:rPr>
        <w:t>Adjust End Uses for Improved Backcast</w:t>
      </w:r>
    </w:p>
    <w:p w14:paraId="33AD8FAC" w14:textId="06714E5F" w:rsidR="008A108F" w:rsidRDefault="00D72438" w:rsidP="008A108F">
      <w:pPr>
        <w:rPr>
          <w:rFonts w:ascii="Arial" w:hAnsi="Arial" w:cs="Arial"/>
        </w:rPr>
      </w:pPr>
      <w:r>
        <w:rPr>
          <w:rFonts w:ascii="Arial" w:hAnsi="Arial" w:cs="Arial"/>
        </w:rPr>
        <w:t xml:space="preserve">Table </w:t>
      </w:r>
      <w:r w:rsidR="00177B2E">
        <w:rPr>
          <w:rFonts w:ascii="Arial" w:hAnsi="Arial" w:cs="Arial"/>
        </w:rPr>
        <w:t>9</w:t>
      </w:r>
      <w:r>
        <w:rPr>
          <w:rFonts w:ascii="Arial" w:hAnsi="Arial" w:cs="Arial"/>
        </w:rPr>
        <w:t xml:space="preserve"> shows the differences between the regression predictions for PG&amp;E and the Residential Model output for 2003-202</w:t>
      </w:r>
      <w:r w:rsidR="00CC1E15">
        <w:rPr>
          <w:rFonts w:ascii="Arial" w:hAnsi="Arial" w:cs="Arial"/>
        </w:rPr>
        <w:t>3</w:t>
      </w:r>
      <w:r>
        <w:rPr>
          <w:rFonts w:ascii="Arial" w:hAnsi="Arial" w:cs="Arial"/>
        </w:rPr>
        <w:t>.</w:t>
      </w:r>
      <w:r w:rsidR="008A108F">
        <w:rPr>
          <w:rFonts w:ascii="Arial" w:hAnsi="Arial" w:cs="Arial"/>
        </w:rPr>
        <w:t xml:space="preserve"> End-use totals would then be adjusted in each year by multiplying the appropriate </w:t>
      </w:r>
      <w:r w:rsidR="00CC1E15">
        <w:rPr>
          <w:rFonts w:ascii="Arial" w:hAnsi="Arial" w:cs="Arial"/>
        </w:rPr>
        <w:t xml:space="preserve">final </w:t>
      </w:r>
      <w:r w:rsidR="008A108F">
        <w:rPr>
          <w:rFonts w:ascii="Arial" w:hAnsi="Arial" w:cs="Arial"/>
        </w:rPr>
        <w:t xml:space="preserve">weight by the difference shown in Table </w:t>
      </w:r>
      <w:r w:rsidR="00177B2E">
        <w:rPr>
          <w:rFonts w:ascii="Arial" w:hAnsi="Arial" w:cs="Arial"/>
        </w:rPr>
        <w:t>9</w:t>
      </w:r>
      <w:r w:rsidR="008A108F">
        <w:rPr>
          <w:rFonts w:ascii="Arial" w:hAnsi="Arial" w:cs="Arial"/>
        </w:rPr>
        <w:t xml:space="preserve">. Table </w:t>
      </w:r>
      <w:r w:rsidR="00177B2E">
        <w:rPr>
          <w:rFonts w:ascii="Arial" w:hAnsi="Arial" w:cs="Arial"/>
        </w:rPr>
        <w:t>10</w:t>
      </w:r>
      <w:r w:rsidR="008A108F">
        <w:rPr>
          <w:rFonts w:ascii="Arial" w:hAnsi="Arial" w:cs="Arial"/>
        </w:rPr>
        <w:t xml:space="preserve"> shows the weight applied to the PG&amp;E cooling end use for 2003-2023, and Figure 2 provides a graph of the results.</w:t>
      </w:r>
    </w:p>
    <w:p w14:paraId="4FB3A484" w14:textId="77777777" w:rsidR="00EE2455" w:rsidRDefault="00EE2455" w:rsidP="008A108F">
      <w:pPr>
        <w:rPr>
          <w:rFonts w:ascii="Arial" w:hAnsi="Arial" w:cs="Arial"/>
        </w:rPr>
      </w:pPr>
    </w:p>
    <w:p w14:paraId="671E8B1F" w14:textId="06006ACD" w:rsidR="00AB274D" w:rsidRDefault="00AB274D" w:rsidP="00177B2E">
      <w:pPr>
        <w:keepNext/>
        <w:keepLines/>
        <w:jc w:val="center"/>
        <w:rPr>
          <w:rFonts w:ascii="Arial" w:hAnsi="Arial" w:cs="Arial"/>
        </w:rPr>
      </w:pPr>
      <w:r>
        <w:rPr>
          <w:rFonts w:ascii="Arial" w:hAnsi="Arial" w:cs="Arial"/>
        </w:rPr>
        <w:t xml:space="preserve">Table </w:t>
      </w:r>
      <w:r w:rsidR="00177B2E">
        <w:rPr>
          <w:rFonts w:ascii="Arial" w:hAnsi="Arial" w:cs="Arial"/>
        </w:rPr>
        <w:t>9</w:t>
      </w:r>
      <w:r>
        <w:rPr>
          <w:rFonts w:ascii="Arial" w:hAnsi="Arial" w:cs="Arial"/>
        </w:rPr>
        <w:t xml:space="preserve">: </w:t>
      </w:r>
      <w:r w:rsidR="00D72438">
        <w:rPr>
          <w:rFonts w:ascii="Arial" w:hAnsi="Arial" w:cs="Arial"/>
        </w:rPr>
        <w:t>Regression</w:t>
      </w:r>
      <w:r>
        <w:rPr>
          <w:rFonts w:ascii="Arial" w:hAnsi="Arial" w:cs="Arial"/>
        </w:rPr>
        <w:t xml:space="preserve"> Predictions, Sum of Modeled End Uses</w:t>
      </w:r>
      <w:r w:rsidR="00D72438">
        <w:rPr>
          <w:rFonts w:ascii="Arial" w:hAnsi="Arial" w:cs="Arial"/>
        </w:rPr>
        <w:t xml:space="preserve"> from Residential Model</w:t>
      </w:r>
      <w:r>
        <w:rPr>
          <w:rFonts w:ascii="Arial" w:hAnsi="Arial" w:cs="Arial"/>
        </w:rPr>
        <w:t>, and Differences for PG&amp;E Planning Area (GWh)</w:t>
      </w:r>
    </w:p>
    <w:p w14:paraId="452FF6F7" w14:textId="64BABD68" w:rsidR="00AB274D" w:rsidRDefault="00D72438" w:rsidP="00AB274D">
      <w:pPr>
        <w:jc w:val="center"/>
      </w:pPr>
      <w:r w:rsidRPr="00D72438">
        <w:rPr>
          <w:noProof/>
        </w:rPr>
        <w:drawing>
          <wp:inline distT="0" distB="0" distL="0" distR="0" wp14:anchorId="12DEC91F" wp14:editId="6536F5CD">
            <wp:extent cx="4107180" cy="4030980"/>
            <wp:effectExtent l="0" t="0" r="7620" b="7620"/>
            <wp:docPr id="1426017209" name="Picture 15" descr="A table comparing the end use model and the regression results for electricity consumption in the PG&amp;E planning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17209" name="Picture 15" descr="A table comparing the end use model and the regression results for electricity consumption in the PG&amp;E planning are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07180" cy="4030980"/>
                    </a:xfrm>
                    <a:prstGeom prst="rect">
                      <a:avLst/>
                    </a:prstGeom>
                    <a:noFill/>
                    <a:ln>
                      <a:noFill/>
                    </a:ln>
                  </pic:spPr>
                </pic:pic>
              </a:graphicData>
            </a:graphic>
          </wp:inline>
        </w:drawing>
      </w:r>
    </w:p>
    <w:p w14:paraId="5A7ED2C8" w14:textId="77777777" w:rsidR="00AB274D" w:rsidRDefault="00AB274D" w:rsidP="00AB274D"/>
    <w:p w14:paraId="583595C3" w14:textId="39C40533" w:rsidR="003E4680" w:rsidRDefault="00B5608F" w:rsidP="00177B2E">
      <w:pPr>
        <w:keepNext/>
        <w:jc w:val="center"/>
        <w:rPr>
          <w:rFonts w:ascii="Arial" w:hAnsi="Arial" w:cs="Arial"/>
        </w:rPr>
      </w:pPr>
      <w:r>
        <w:rPr>
          <w:rFonts w:ascii="Arial" w:hAnsi="Arial" w:cs="Arial"/>
        </w:rPr>
        <w:t xml:space="preserve">Table </w:t>
      </w:r>
      <w:r w:rsidR="00177B2E">
        <w:rPr>
          <w:rFonts w:ascii="Arial" w:hAnsi="Arial" w:cs="Arial"/>
        </w:rPr>
        <w:t>10</w:t>
      </w:r>
      <w:r>
        <w:rPr>
          <w:rFonts w:ascii="Arial" w:hAnsi="Arial" w:cs="Arial"/>
        </w:rPr>
        <w:t>: Adjustment to PG&amp;E Cooling End Use (GWh)</w:t>
      </w:r>
    </w:p>
    <w:p w14:paraId="1165842A" w14:textId="6AD05677" w:rsidR="00B5608F" w:rsidRDefault="005D5543" w:rsidP="00713A70">
      <w:pPr>
        <w:jc w:val="center"/>
        <w:rPr>
          <w:rFonts w:ascii="Arial" w:hAnsi="Arial" w:cs="Arial"/>
        </w:rPr>
      </w:pPr>
      <w:r w:rsidRPr="005D5543">
        <w:rPr>
          <w:noProof/>
        </w:rPr>
        <w:drawing>
          <wp:inline distT="0" distB="0" distL="0" distR="0" wp14:anchorId="2EBCA4A0" wp14:editId="18F0CE71">
            <wp:extent cx="4381500" cy="4396740"/>
            <wp:effectExtent l="0" t="0" r="0" b="3810"/>
            <wp:docPr id="960416950" name="Picture 2" descr="A table comparing the end use model and the adjustment for a single end use group (cooling) in the PG&amp;E planning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416950" name="Picture 2" descr="A table comparing the end use model and the adjustment for a single end use group (cooling) in the PG&amp;E planning are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81500" cy="4396740"/>
                    </a:xfrm>
                    <a:prstGeom prst="rect">
                      <a:avLst/>
                    </a:prstGeom>
                    <a:noFill/>
                    <a:ln>
                      <a:noFill/>
                    </a:ln>
                  </pic:spPr>
                </pic:pic>
              </a:graphicData>
            </a:graphic>
          </wp:inline>
        </w:drawing>
      </w:r>
    </w:p>
    <w:p w14:paraId="48DA1B2B" w14:textId="5EBFBE29" w:rsidR="00177B2E" w:rsidRDefault="00177B2E" w:rsidP="00177B2E">
      <w:pPr>
        <w:keepNext/>
        <w:jc w:val="center"/>
        <w:rPr>
          <w:rFonts w:ascii="Arial" w:hAnsi="Arial" w:cs="Arial"/>
        </w:rPr>
      </w:pPr>
      <w:r>
        <w:rPr>
          <w:rFonts w:ascii="Arial" w:hAnsi="Arial" w:cs="Arial"/>
        </w:rPr>
        <w:t xml:space="preserve">Figure </w:t>
      </w:r>
      <w:r>
        <w:rPr>
          <w:rFonts w:ascii="Arial" w:hAnsi="Arial" w:cs="Arial"/>
        </w:rPr>
        <w:t>2</w:t>
      </w:r>
      <w:r>
        <w:rPr>
          <w:rFonts w:ascii="Arial" w:hAnsi="Arial" w:cs="Arial"/>
        </w:rPr>
        <w:t xml:space="preserve">: </w:t>
      </w:r>
      <w:r>
        <w:rPr>
          <w:rFonts w:ascii="Arial" w:hAnsi="Arial" w:cs="Arial"/>
        </w:rPr>
        <w:t>Model Output and Adjusted Cooling End Use, PG&amp;E</w:t>
      </w:r>
    </w:p>
    <w:p w14:paraId="799FC702" w14:textId="11450C9D" w:rsidR="00636405" w:rsidRDefault="004B1A54" w:rsidP="003E4680">
      <w:pPr>
        <w:rPr>
          <w:noProof/>
        </w:rPr>
      </w:pPr>
      <w:r>
        <w:rPr>
          <w:noProof/>
        </w:rPr>
        <w:drawing>
          <wp:inline distT="0" distB="0" distL="0" distR="0" wp14:anchorId="2101964A" wp14:editId="0125120B">
            <wp:extent cx="5943600" cy="2857500"/>
            <wp:effectExtent l="0" t="0" r="0" b="0"/>
            <wp:docPr id="984239709" name="Chart 1" descr="A line chart comparing the end use model and the adjustment for a single end use group (cooling) in the PG&amp;E planning area.">
              <a:extLst xmlns:a="http://schemas.openxmlformats.org/drawingml/2006/main">
                <a:ext uri="{FF2B5EF4-FFF2-40B4-BE49-F238E27FC236}">
                  <a16:creationId xmlns:a16="http://schemas.microsoft.com/office/drawing/2014/main" id="{95E5F1F3-272D-409C-5A92-9B6648FAFF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669C116" w14:textId="31CA4587" w:rsidR="00636405" w:rsidRDefault="00636405" w:rsidP="00636405">
      <w:pPr>
        <w:rPr>
          <w:rFonts w:ascii="Arial" w:hAnsi="Arial" w:cs="Arial"/>
        </w:rPr>
      </w:pPr>
      <w:r w:rsidRPr="004827EB">
        <w:rPr>
          <w:rFonts w:ascii="Arial" w:hAnsi="Arial" w:cs="Arial"/>
          <w:sz w:val="28"/>
          <w:szCs w:val="28"/>
        </w:rPr>
        <w:t xml:space="preserve">Step </w:t>
      </w:r>
      <w:r w:rsidR="000C0AC0">
        <w:rPr>
          <w:rFonts w:ascii="Arial" w:hAnsi="Arial" w:cs="Arial"/>
          <w:sz w:val="28"/>
          <w:szCs w:val="28"/>
        </w:rPr>
        <w:t>5</w:t>
      </w:r>
      <w:r w:rsidRPr="004827EB">
        <w:rPr>
          <w:rFonts w:ascii="Arial" w:hAnsi="Arial" w:cs="Arial"/>
          <w:sz w:val="28"/>
          <w:szCs w:val="28"/>
        </w:rPr>
        <w:t xml:space="preserve">: </w:t>
      </w:r>
      <w:r>
        <w:rPr>
          <w:rFonts w:ascii="Arial" w:hAnsi="Arial" w:cs="Arial"/>
          <w:sz w:val="28"/>
          <w:szCs w:val="28"/>
        </w:rPr>
        <w:t xml:space="preserve">Develop </w:t>
      </w:r>
      <w:r w:rsidR="00A37193">
        <w:rPr>
          <w:rFonts w:ascii="Arial" w:hAnsi="Arial" w:cs="Arial"/>
          <w:sz w:val="28"/>
          <w:szCs w:val="28"/>
        </w:rPr>
        <w:t xml:space="preserve">Adjusted </w:t>
      </w:r>
      <w:r>
        <w:rPr>
          <w:rFonts w:ascii="Arial" w:hAnsi="Arial" w:cs="Arial"/>
          <w:sz w:val="28"/>
          <w:szCs w:val="28"/>
        </w:rPr>
        <w:t xml:space="preserve">Forecast and </w:t>
      </w:r>
      <w:r w:rsidR="00DB26A6">
        <w:rPr>
          <w:rFonts w:ascii="Arial" w:hAnsi="Arial" w:cs="Arial"/>
          <w:sz w:val="28"/>
          <w:szCs w:val="28"/>
        </w:rPr>
        <w:t>Apply End-Use Weights</w:t>
      </w:r>
    </w:p>
    <w:p w14:paraId="69747663" w14:textId="1EBCB502" w:rsidR="00A37193" w:rsidRDefault="00DB26A6" w:rsidP="003E4680">
      <w:pPr>
        <w:rPr>
          <w:rFonts w:ascii="Arial" w:hAnsi="Arial" w:cs="Arial"/>
          <w:noProof/>
        </w:rPr>
      </w:pPr>
      <w:r>
        <w:rPr>
          <w:rFonts w:ascii="Arial" w:hAnsi="Arial" w:cs="Arial"/>
          <w:noProof/>
        </w:rPr>
        <w:t xml:space="preserve">The process for adjusting the forecast </w:t>
      </w:r>
      <w:r w:rsidR="00A37193">
        <w:rPr>
          <w:rFonts w:ascii="Arial" w:hAnsi="Arial" w:cs="Arial"/>
          <w:noProof/>
        </w:rPr>
        <w:t xml:space="preserve">for each planning area </w:t>
      </w:r>
      <w:r>
        <w:rPr>
          <w:rFonts w:ascii="Arial" w:hAnsi="Arial" w:cs="Arial"/>
          <w:noProof/>
        </w:rPr>
        <w:t xml:space="preserve">is similar, with the forecast </w:t>
      </w:r>
      <w:r w:rsidR="00DB65A8">
        <w:rPr>
          <w:rFonts w:ascii="Arial" w:hAnsi="Arial" w:cs="Arial"/>
          <w:noProof/>
        </w:rPr>
        <w:t>equal to the sum of the</w:t>
      </w:r>
      <w:r>
        <w:rPr>
          <w:rFonts w:ascii="Arial" w:hAnsi="Arial" w:cs="Arial"/>
          <w:noProof/>
        </w:rPr>
        <w:t xml:space="preserve"> projected </w:t>
      </w:r>
      <w:r w:rsidR="00A37193">
        <w:rPr>
          <w:rFonts w:ascii="Arial" w:hAnsi="Arial" w:cs="Arial"/>
          <w:noProof/>
        </w:rPr>
        <w:t xml:space="preserve">end-use totals from the Residential Model. Figure 3 shows historical QFER residential consumption for PG&amp;E, Residential Model totals for the historical and forecast period, and an adjusted forecast developed from the results in Table </w:t>
      </w:r>
      <w:r w:rsidR="00E85D46">
        <w:rPr>
          <w:rFonts w:ascii="Arial" w:hAnsi="Arial" w:cs="Arial"/>
          <w:noProof/>
        </w:rPr>
        <w:t>7</w:t>
      </w:r>
      <w:r w:rsidR="00A37193">
        <w:rPr>
          <w:rFonts w:ascii="Arial" w:hAnsi="Arial" w:cs="Arial"/>
          <w:noProof/>
        </w:rPr>
        <w:t>.</w:t>
      </w:r>
    </w:p>
    <w:p w14:paraId="43A5827C" w14:textId="097849AF" w:rsidR="00177B2E" w:rsidRDefault="00177B2E" w:rsidP="00177B2E">
      <w:pPr>
        <w:keepNext/>
        <w:jc w:val="center"/>
        <w:rPr>
          <w:rFonts w:ascii="Arial" w:hAnsi="Arial" w:cs="Arial"/>
        </w:rPr>
      </w:pPr>
      <w:r>
        <w:rPr>
          <w:rFonts w:ascii="Arial" w:hAnsi="Arial" w:cs="Arial"/>
        </w:rPr>
        <w:t xml:space="preserve">Figure </w:t>
      </w:r>
      <w:r>
        <w:rPr>
          <w:rFonts w:ascii="Arial" w:hAnsi="Arial" w:cs="Arial"/>
        </w:rPr>
        <w:t>3</w:t>
      </w:r>
      <w:r>
        <w:rPr>
          <w:rFonts w:ascii="Arial" w:hAnsi="Arial" w:cs="Arial"/>
        </w:rPr>
        <w:t xml:space="preserve">: </w:t>
      </w:r>
      <w:r>
        <w:rPr>
          <w:rFonts w:ascii="Arial" w:hAnsi="Arial" w:cs="Arial"/>
        </w:rPr>
        <w:t>Historical and Projected Residential Consumption, PG&amp;E</w:t>
      </w:r>
    </w:p>
    <w:p w14:paraId="6515C33A" w14:textId="11DAF313" w:rsidR="00A37193" w:rsidRDefault="00A37193" w:rsidP="003E4680">
      <w:pPr>
        <w:rPr>
          <w:rFonts w:ascii="Arial" w:hAnsi="Arial" w:cs="Arial"/>
          <w:noProof/>
        </w:rPr>
      </w:pPr>
      <w:r>
        <w:rPr>
          <w:noProof/>
        </w:rPr>
        <w:drawing>
          <wp:inline distT="0" distB="0" distL="0" distR="0" wp14:anchorId="17ABD52E" wp14:editId="0DC9A1FF">
            <wp:extent cx="5943600" cy="3970020"/>
            <wp:effectExtent l="0" t="0" r="0" b="11430"/>
            <wp:docPr id="1525843025" name="Chart 1" descr="A line chart comparing the QFER historical data, the end use model historical and forecast results and the PCA adjusted historical and forecast results for the PG&amp;E planning area.">
              <a:extLst xmlns:a="http://schemas.openxmlformats.org/drawingml/2006/main">
                <a:ext uri="{FF2B5EF4-FFF2-40B4-BE49-F238E27FC236}">
                  <a16:creationId xmlns:a16="http://schemas.microsoft.com/office/drawing/2014/main" id="{074A466A-9F03-4C0F-3438-ADA30E9BDC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1A5ACA5" w14:textId="59F14FC6" w:rsidR="00A37193" w:rsidRDefault="00431E74" w:rsidP="003E4680">
      <w:pPr>
        <w:rPr>
          <w:rFonts w:ascii="Arial" w:hAnsi="Arial" w:cs="Arial"/>
          <w:noProof/>
        </w:rPr>
      </w:pPr>
      <w:r>
        <w:rPr>
          <w:rFonts w:ascii="Arial" w:hAnsi="Arial" w:cs="Arial"/>
          <w:noProof/>
        </w:rPr>
        <w:t xml:space="preserve">The </w:t>
      </w:r>
      <w:r w:rsidR="00CB279C">
        <w:rPr>
          <w:rFonts w:ascii="Arial" w:hAnsi="Arial" w:cs="Arial"/>
          <w:noProof/>
        </w:rPr>
        <w:t xml:space="preserve">final </w:t>
      </w:r>
      <w:r>
        <w:rPr>
          <w:rFonts w:ascii="Arial" w:hAnsi="Arial" w:cs="Arial"/>
          <w:noProof/>
        </w:rPr>
        <w:t xml:space="preserve">end-use weights from Table </w:t>
      </w:r>
      <w:r w:rsidR="00177B2E">
        <w:rPr>
          <w:rFonts w:ascii="Arial" w:hAnsi="Arial" w:cs="Arial"/>
          <w:noProof/>
        </w:rPr>
        <w:t>8</w:t>
      </w:r>
      <w:r>
        <w:rPr>
          <w:rFonts w:ascii="Arial" w:hAnsi="Arial" w:cs="Arial"/>
          <w:noProof/>
        </w:rPr>
        <w:t xml:space="preserve"> would then be applied to the differences between the forecast Residential Model output and the regression predictions, as </w:t>
      </w:r>
      <w:r w:rsidR="004651CE">
        <w:rPr>
          <w:rFonts w:ascii="Arial" w:hAnsi="Arial" w:cs="Arial"/>
          <w:noProof/>
        </w:rPr>
        <w:t xml:space="preserve">in the historical case </w:t>
      </w:r>
      <w:r>
        <w:rPr>
          <w:rFonts w:ascii="Arial" w:hAnsi="Arial" w:cs="Arial"/>
          <w:noProof/>
        </w:rPr>
        <w:t>above</w:t>
      </w:r>
      <w:r w:rsidR="004651CE">
        <w:rPr>
          <w:rFonts w:ascii="Arial" w:hAnsi="Arial" w:cs="Arial"/>
          <w:noProof/>
        </w:rPr>
        <w:t>.</w:t>
      </w:r>
    </w:p>
    <w:p w14:paraId="0799E107" w14:textId="35807DDF" w:rsidR="00A37193" w:rsidRDefault="00431E74" w:rsidP="003E4680">
      <w:pPr>
        <w:rPr>
          <w:rFonts w:ascii="Arial" w:hAnsi="Arial" w:cs="Arial"/>
          <w:noProof/>
        </w:rPr>
      </w:pPr>
      <w:r>
        <w:rPr>
          <w:rFonts w:ascii="Arial" w:hAnsi="Arial" w:cs="Arial"/>
          <w:noProof/>
        </w:rPr>
        <w:t>Note that this example is illustrative in the sense that the actual application of this method will first require the proper adjustments to the QFER data and the Residential Model output (e.g. EV use, efficien</w:t>
      </w:r>
      <w:r w:rsidR="008311A7">
        <w:rPr>
          <w:rFonts w:ascii="Arial" w:hAnsi="Arial" w:cs="Arial"/>
          <w:noProof/>
        </w:rPr>
        <w:t>cy</w:t>
      </w:r>
      <w:r>
        <w:rPr>
          <w:rFonts w:ascii="Arial" w:hAnsi="Arial" w:cs="Arial"/>
          <w:noProof/>
        </w:rPr>
        <w:t xml:space="preserve"> programs, weather adjustments). Also, the adjusted forecast would still require scaling to the last historical year.</w:t>
      </w:r>
    </w:p>
    <w:sectPr w:rsidR="00A371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29486" w14:textId="77777777" w:rsidR="00E53D53" w:rsidRDefault="00E53D53" w:rsidP="00263B6B">
      <w:pPr>
        <w:spacing w:after="0" w:line="240" w:lineRule="auto"/>
      </w:pPr>
      <w:r>
        <w:separator/>
      </w:r>
    </w:p>
  </w:endnote>
  <w:endnote w:type="continuationSeparator" w:id="0">
    <w:p w14:paraId="1DE4860A" w14:textId="77777777" w:rsidR="00E53D53" w:rsidRDefault="00E53D53" w:rsidP="00263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6A04E" w14:textId="77777777" w:rsidR="00E53D53" w:rsidRDefault="00E53D53" w:rsidP="00263B6B">
      <w:pPr>
        <w:spacing w:after="0" w:line="240" w:lineRule="auto"/>
      </w:pPr>
      <w:r>
        <w:separator/>
      </w:r>
    </w:p>
  </w:footnote>
  <w:footnote w:type="continuationSeparator" w:id="0">
    <w:p w14:paraId="2F1CEA72" w14:textId="77777777" w:rsidR="00E53D53" w:rsidRDefault="00E53D53" w:rsidP="00263B6B">
      <w:pPr>
        <w:spacing w:after="0" w:line="240" w:lineRule="auto"/>
      </w:pPr>
      <w:r>
        <w:continuationSeparator/>
      </w:r>
    </w:p>
  </w:footnote>
  <w:footnote w:id="1">
    <w:p w14:paraId="4E4D3E22" w14:textId="5657D086" w:rsidR="00263B6B" w:rsidRDefault="00263B6B">
      <w:pPr>
        <w:pStyle w:val="FootnoteText"/>
      </w:pPr>
      <w:r>
        <w:rPr>
          <w:rStyle w:val="FootnoteReference"/>
        </w:rPr>
        <w:footnoteRef/>
      </w:r>
      <w:r>
        <w:t xml:space="preserve"> Aggregation to some degree is required since the total number of electric end uses is higher than the number of observations (2003-2023).</w:t>
      </w:r>
    </w:p>
  </w:footnote>
  <w:footnote w:id="2">
    <w:p w14:paraId="34A356CF" w14:textId="2BA3439D" w:rsidR="000C0AC0" w:rsidRDefault="000C0AC0">
      <w:pPr>
        <w:pStyle w:val="FootnoteText"/>
      </w:pPr>
      <w:r>
        <w:rPr>
          <w:rStyle w:val="FootnoteReference"/>
        </w:rPr>
        <w:footnoteRef/>
      </w:r>
      <w:r>
        <w:t xml:space="preserve"> Note that these three variables will not be orthogonal as </w:t>
      </w:r>
      <w:r w:rsidR="008311A7">
        <w:t xml:space="preserve">in </w:t>
      </w:r>
      <w:r>
        <w:t xml:space="preserve">Table 4, but </w:t>
      </w:r>
      <w:r w:rsidR="00730AE2">
        <w:t>are not nearly as correlated as for the end uses as shown in Table 2, thus allowing for a reasonable, coherent forecast as we will see below.</w:t>
      </w:r>
    </w:p>
  </w:footnote>
  <w:footnote w:id="3">
    <w:p w14:paraId="6B485439" w14:textId="0EB38427" w:rsidR="00C935D0" w:rsidRDefault="00C935D0" w:rsidP="00C935D0">
      <w:pPr>
        <w:pStyle w:val="FootnoteText"/>
      </w:pPr>
      <w:r>
        <w:rPr>
          <w:rStyle w:val="FootnoteReference"/>
        </w:rPr>
        <w:footnoteRef/>
      </w:r>
      <w:r>
        <w:t xml:space="preserve"> Without this step, we could end up with negative amounts of </w:t>
      </w:r>
      <w:r w:rsidR="00A218C3">
        <w:t>some</w:t>
      </w:r>
      <w:r>
        <w:t xml:space="preserve"> end use that uses little energy.</w:t>
      </w:r>
    </w:p>
  </w:footnote>
  <w:footnote w:id="4">
    <w:p w14:paraId="68E06B18" w14:textId="77777777" w:rsidR="005D5543" w:rsidRDefault="005D5543" w:rsidP="005D5543">
      <w:pPr>
        <w:pStyle w:val="FootnoteText"/>
      </w:pPr>
      <w:r>
        <w:rPr>
          <w:rStyle w:val="FootnoteReference"/>
        </w:rPr>
        <w:footnoteRef/>
      </w:r>
      <w:r>
        <w:t xml:space="preserve"> This follows because coefficients estimated using standardized variables can be translated to coefficients for unstandardized data by multiplying the former coefficients by the standard deviation of the appropriate variable (unstandardized) divided by the standard deviation of the dependent variable.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B4F01"/>
    <w:multiLevelType w:val="hybridMultilevel"/>
    <w:tmpl w:val="50C8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FE113D"/>
    <w:multiLevelType w:val="hybridMultilevel"/>
    <w:tmpl w:val="446EB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4617632">
    <w:abstractNumId w:val="1"/>
  </w:num>
  <w:num w:numId="2" w16cid:durableId="121465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2C8"/>
    <w:rsid w:val="00002BE0"/>
    <w:rsid w:val="0006520B"/>
    <w:rsid w:val="000864CD"/>
    <w:rsid w:val="000A1F30"/>
    <w:rsid w:val="000C0AC0"/>
    <w:rsid w:val="000C5D81"/>
    <w:rsid w:val="000D4225"/>
    <w:rsid w:val="000E038C"/>
    <w:rsid w:val="00126C9B"/>
    <w:rsid w:val="001354A1"/>
    <w:rsid w:val="00153236"/>
    <w:rsid w:val="00173D61"/>
    <w:rsid w:val="00177B2E"/>
    <w:rsid w:val="00197F3A"/>
    <w:rsid w:val="001C03F5"/>
    <w:rsid w:val="00263B6B"/>
    <w:rsid w:val="002824A0"/>
    <w:rsid w:val="002B1C73"/>
    <w:rsid w:val="002B3705"/>
    <w:rsid w:val="002B73D2"/>
    <w:rsid w:val="002D35F8"/>
    <w:rsid w:val="002F50A2"/>
    <w:rsid w:val="002F71D8"/>
    <w:rsid w:val="003154D6"/>
    <w:rsid w:val="00321FB5"/>
    <w:rsid w:val="0032230A"/>
    <w:rsid w:val="00327363"/>
    <w:rsid w:val="00334E04"/>
    <w:rsid w:val="003476C5"/>
    <w:rsid w:val="00355937"/>
    <w:rsid w:val="003C660F"/>
    <w:rsid w:val="003E4680"/>
    <w:rsid w:val="0042193C"/>
    <w:rsid w:val="00427978"/>
    <w:rsid w:val="00431E74"/>
    <w:rsid w:val="00441255"/>
    <w:rsid w:val="00457EC8"/>
    <w:rsid w:val="004651CE"/>
    <w:rsid w:val="004827EB"/>
    <w:rsid w:val="004B1A54"/>
    <w:rsid w:val="004B4134"/>
    <w:rsid w:val="004F4272"/>
    <w:rsid w:val="00507FD9"/>
    <w:rsid w:val="00533D10"/>
    <w:rsid w:val="005428B7"/>
    <w:rsid w:val="00550BB0"/>
    <w:rsid w:val="005862C8"/>
    <w:rsid w:val="00594536"/>
    <w:rsid w:val="005D5543"/>
    <w:rsid w:val="0060719F"/>
    <w:rsid w:val="00636405"/>
    <w:rsid w:val="006C1A24"/>
    <w:rsid w:val="006D7E77"/>
    <w:rsid w:val="00713A70"/>
    <w:rsid w:val="00716A0F"/>
    <w:rsid w:val="0072171B"/>
    <w:rsid w:val="00730AE2"/>
    <w:rsid w:val="00735611"/>
    <w:rsid w:val="007527E5"/>
    <w:rsid w:val="00761F6F"/>
    <w:rsid w:val="007644D5"/>
    <w:rsid w:val="00782A01"/>
    <w:rsid w:val="007853B0"/>
    <w:rsid w:val="007863DB"/>
    <w:rsid w:val="007A05AC"/>
    <w:rsid w:val="007B0F99"/>
    <w:rsid w:val="007B28C0"/>
    <w:rsid w:val="007C288B"/>
    <w:rsid w:val="007D209F"/>
    <w:rsid w:val="007D48CC"/>
    <w:rsid w:val="007E50A9"/>
    <w:rsid w:val="00802748"/>
    <w:rsid w:val="008311A7"/>
    <w:rsid w:val="00866F66"/>
    <w:rsid w:val="008A108F"/>
    <w:rsid w:val="008C4991"/>
    <w:rsid w:val="008E6980"/>
    <w:rsid w:val="008F2FF0"/>
    <w:rsid w:val="008F6907"/>
    <w:rsid w:val="009048C1"/>
    <w:rsid w:val="00904C6E"/>
    <w:rsid w:val="00913C96"/>
    <w:rsid w:val="0096284B"/>
    <w:rsid w:val="0096375C"/>
    <w:rsid w:val="00967104"/>
    <w:rsid w:val="00971E9B"/>
    <w:rsid w:val="00972E59"/>
    <w:rsid w:val="009748BC"/>
    <w:rsid w:val="0098660B"/>
    <w:rsid w:val="009A1B26"/>
    <w:rsid w:val="009B2652"/>
    <w:rsid w:val="009B7B95"/>
    <w:rsid w:val="009D38D3"/>
    <w:rsid w:val="009E6B05"/>
    <w:rsid w:val="00A171C6"/>
    <w:rsid w:val="00A218C3"/>
    <w:rsid w:val="00A27F77"/>
    <w:rsid w:val="00A37193"/>
    <w:rsid w:val="00A55AE5"/>
    <w:rsid w:val="00A63C4D"/>
    <w:rsid w:val="00A659F8"/>
    <w:rsid w:val="00A70AC7"/>
    <w:rsid w:val="00AA2137"/>
    <w:rsid w:val="00AA27E7"/>
    <w:rsid w:val="00AA45D1"/>
    <w:rsid w:val="00AB0851"/>
    <w:rsid w:val="00AB274D"/>
    <w:rsid w:val="00AB441D"/>
    <w:rsid w:val="00AB6736"/>
    <w:rsid w:val="00B5608F"/>
    <w:rsid w:val="00B60B57"/>
    <w:rsid w:val="00B840BA"/>
    <w:rsid w:val="00C00FBD"/>
    <w:rsid w:val="00C41E35"/>
    <w:rsid w:val="00C56459"/>
    <w:rsid w:val="00C82D28"/>
    <w:rsid w:val="00C8371D"/>
    <w:rsid w:val="00C85EEA"/>
    <w:rsid w:val="00C935D0"/>
    <w:rsid w:val="00CA1AA1"/>
    <w:rsid w:val="00CB279C"/>
    <w:rsid w:val="00CB7F3B"/>
    <w:rsid w:val="00CC0ED8"/>
    <w:rsid w:val="00CC1E15"/>
    <w:rsid w:val="00CD2D04"/>
    <w:rsid w:val="00CE72CC"/>
    <w:rsid w:val="00CF22E7"/>
    <w:rsid w:val="00D028EE"/>
    <w:rsid w:val="00D72438"/>
    <w:rsid w:val="00D9020E"/>
    <w:rsid w:val="00D967B0"/>
    <w:rsid w:val="00DA5170"/>
    <w:rsid w:val="00DB26A6"/>
    <w:rsid w:val="00DB65A8"/>
    <w:rsid w:val="00DC0563"/>
    <w:rsid w:val="00E07D83"/>
    <w:rsid w:val="00E127C2"/>
    <w:rsid w:val="00E130D4"/>
    <w:rsid w:val="00E14E6E"/>
    <w:rsid w:val="00E26105"/>
    <w:rsid w:val="00E53D53"/>
    <w:rsid w:val="00E73648"/>
    <w:rsid w:val="00E85D46"/>
    <w:rsid w:val="00EC4C7A"/>
    <w:rsid w:val="00EE2455"/>
    <w:rsid w:val="00F25135"/>
    <w:rsid w:val="00F36266"/>
    <w:rsid w:val="00F50E25"/>
    <w:rsid w:val="00F73A99"/>
    <w:rsid w:val="00F8017F"/>
    <w:rsid w:val="00F9013B"/>
    <w:rsid w:val="00FA5874"/>
    <w:rsid w:val="00FC4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9ECB"/>
  <w15:chartTrackingRefBased/>
  <w15:docId w15:val="{30646477-F987-4305-9BB2-563665AD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2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62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62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62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62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62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2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2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2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2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62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62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62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62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62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2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2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2C8"/>
    <w:rPr>
      <w:rFonts w:eastAsiaTheme="majorEastAsia" w:cstheme="majorBidi"/>
      <w:color w:val="272727" w:themeColor="text1" w:themeTint="D8"/>
    </w:rPr>
  </w:style>
  <w:style w:type="paragraph" w:styleId="Title">
    <w:name w:val="Title"/>
    <w:basedOn w:val="Normal"/>
    <w:next w:val="Normal"/>
    <w:link w:val="TitleChar"/>
    <w:uiPriority w:val="10"/>
    <w:qFormat/>
    <w:rsid w:val="00586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2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2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2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2C8"/>
    <w:pPr>
      <w:spacing w:before="160"/>
      <w:jc w:val="center"/>
    </w:pPr>
    <w:rPr>
      <w:i/>
      <w:iCs/>
      <w:color w:val="404040" w:themeColor="text1" w:themeTint="BF"/>
    </w:rPr>
  </w:style>
  <w:style w:type="character" w:customStyle="1" w:styleId="QuoteChar">
    <w:name w:val="Quote Char"/>
    <w:basedOn w:val="DefaultParagraphFont"/>
    <w:link w:val="Quote"/>
    <w:uiPriority w:val="29"/>
    <w:rsid w:val="005862C8"/>
    <w:rPr>
      <w:i/>
      <w:iCs/>
      <w:color w:val="404040" w:themeColor="text1" w:themeTint="BF"/>
    </w:rPr>
  </w:style>
  <w:style w:type="paragraph" w:styleId="ListParagraph">
    <w:name w:val="List Paragraph"/>
    <w:basedOn w:val="Normal"/>
    <w:uiPriority w:val="34"/>
    <w:qFormat/>
    <w:rsid w:val="005862C8"/>
    <w:pPr>
      <w:ind w:left="720"/>
      <w:contextualSpacing/>
    </w:pPr>
  </w:style>
  <w:style w:type="character" w:styleId="IntenseEmphasis">
    <w:name w:val="Intense Emphasis"/>
    <w:basedOn w:val="DefaultParagraphFont"/>
    <w:uiPriority w:val="21"/>
    <w:qFormat/>
    <w:rsid w:val="005862C8"/>
    <w:rPr>
      <w:i/>
      <w:iCs/>
      <w:color w:val="2F5496" w:themeColor="accent1" w:themeShade="BF"/>
    </w:rPr>
  </w:style>
  <w:style w:type="paragraph" w:styleId="IntenseQuote">
    <w:name w:val="Intense Quote"/>
    <w:basedOn w:val="Normal"/>
    <w:next w:val="Normal"/>
    <w:link w:val="IntenseQuoteChar"/>
    <w:uiPriority w:val="30"/>
    <w:qFormat/>
    <w:rsid w:val="005862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62C8"/>
    <w:rPr>
      <w:i/>
      <w:iCs/>
      <w:color w:val="2F5496" w:themeColor="accent1" w:themeShade="BF"/>
    </w:rPr>
  </w:style>
  <w:style w:type="character" w:styleId="IntenseReference">
    <w:name w:val="Intense Reference"/>
    <w:basedOn w:val="DefaultParagraphFont"/>
    <w:uiPriority w:val="32"/>
    <w:qFormat/>
    <w:rsid w:val="005862C8"/>
    <w:rPr>
      <w:b/>
      <w:bCs/>
      <w:smallCaps/>
      <w:color w:val="2F5496" w:themeColor="accent1" w:themeShade="BF"/>
      <w:spacing w:val="5"/>
    </w:rPr>
  </w:style>
  <w:style w:type="paragraph" w:styleId="PlainText">
    <w:name w:val="Plain Text"/>
    <w:basedOn w:val="Normal"/>
    <w:link w:val="PlainTextChar"/>
    <w:uiPriority w:val="99"/>
    <w:unhideWhenUsed/>
    <w:rsid w:val="00F2513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25135"/>
    <w:rPr>
      <w:rFonts w:ascii="Consolas" w:hAnsi="Consolas"/>
      <w:sz w:val="21"/>
      <w:szCs w:val="21"/>
    </w:rPr>
  </w:style>
  <w:style w:type="table" w:styleId="TableGrid">
    <w:name w:val="Table Grid"/>
    <w:basedOn w:val="TableNormal"/>
    <w:uiPriority w:val="39"/>
    <w:rsid w:val="00CB7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63B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3B6B"/>
    <w:rPr>
      <w:sz w:val="20"/>
      <w:szCs w:val="20"/>
    </w:rPr>
  </w:style>
  <w:style w:type="character" w:styleId="FootnoteReference">
    <w:name w:val="footnote reference"/>
    <w:basedOn w:val="DefaultParagraphFont"/>
    <w:uiPriority w:val="99"/>
    <w:semiHidden/>
    <w:unhideWhenUsed/>
    <w:rsid w:val="00263B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90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g"/><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crkav\Documents\Chris\CEC\Calibration\All%20PA%20Results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81304260044416"/>
          <c:y val="5.477795275590551E-2"/>
          <c:w val="0.83968268389528211"/>
          <c:h val="0.65659877515310583"/>
        </c:manualLayout>
      </c:layout>
      <c:lineChart>
        <c:grouping val="standard"/>
        <c:varyColors val="0"/>
        <c:ser>
          <c:idx val="0"/>
          <c:order val="0"/>
          <c:tx>
            <c:strRef>
              <c:f>'testcaliblevel-wfc'!$Z$1</c:f>
              <c:strCache>
                <c:ptCount val="1"/>
                <c:pt idx="0">
                  <c:v>From Residential Model</c:v>
                </c:pt>
              </c:strCache>
            </c:strRef>
          </c:tx>
          <c:spPr>
            <a:ln w="28575" cap="rnd">
              <a:solidFill>
                <a:schemeClr val="accent1"/>
              </a:solidFill>
              <a:round/>
            </a:ln>
            <a:effectLst/>
          </c:spPr>
          <c:marker>
            <c:symbol val="none"/>
          </c:marker>
          <c:cat>
            <c:numRef>
              <c:f>'testcaliblevel-wfc'!$Y$2:$Y$22</c:f>
              <c:numCache>
                <c:formatCode>General</c:formatCode>
                <c:ptCount val="21"/>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numCache>
            </c:numRef>
          </c:cat>
          <c:val>
            <c:numRef>
              <c:f>'testcaliblevel-wfc'!$Z$2:$Z$22</c:f>
              <c:numCache>
                <c:formatCode>_(* #,##0_);_(* \(#,##0\);_(* "-"??_);_(@_)</c:formatCode>
                <c:ptCount val="21"/>
                <c:pt idx="0">
                  <c:v>2496.5272420000001</c:v>
                </c:pt>
                <c:pt idx="1">
                  <c:v>2560.6366119999998</c:v>
                </c:pt>
                <c:pt idx="2">
                  <c:v>2623.5077769999998</c:v>
                </c:pt>
                <c:pt idx="3">
                  <c:v>2678.401699</c:v>
                </c:pt>
                <c:pt idx="4">
                  <c:v>2718.4851600000002</c:v>
                </c:pt>
                <c:pt idx="5">
                  <c:v>2745.4084320000002</c:v>
                </c:pt>
                <c:pt idx="6">
                  <c:v>2762.653217</c:v>
                </c:pt>
                <c:pt idx="7">
                  <c:v>2780.971243</c:v>
                </c:pt>
                <c:pt idx="8">
                  <c:v>2791.6919800000001</c:v>
                </c:pt>
                <c:pt idx="9">
                  <c:v>2800.307354</c:v>
                </c:pt>
                <c:pt idx="10">
                  <c:v>2809.9888430000001</c:v>
                </c:pt>
                <c:pt idx="11">
                  <c:v>2819.3834139999999</c:v>
                </c:pt>
                <c:pt idx="12">
                  <c:v>2829.658289</c:v>
                </c:pt>
                <c:pt idx="13">
                  <c:v>2841.610956</c:v>
                </c:pt>
                <c:pt idx="14">
                  <c:v>2854.9769449999999</c:v>
                </c:pt>
                <c:pt idx="15">
                  <c:v>2870.7538840000002</c:v>
                </c:pt>
                <c:pt idx="16">
                  <c:v>2888.8218649999999</c:v>
                </c:pt>
                <c:pt idx="17">
                  <c:v>3310.0444680000001</c:v>
                </c:pt>
                <c:pt idx="18">
                  <c:v>3305.1454079999999</c:v>
                </c:pt>
                <c:pt idx="19">
                  <c:v>3299.4273189999999</c:v>
                </c:pt>
                <c:pt idx="20">
                  <c:v>3293.1154929999998</c:v>
                </c:pt>
              </c:numCache>
            </c:numRef>
          </c:val>
          <c:smooth val="0"/>
          <c:extLst>
            <c:ext xmlns:c16="http://schemas.microsoft.com/office/drawing/2014/chart" uri="{C3380CC4-5D6E-409C-BE32-E72D297353CC}">
              <c16:uniqueId val="{00000000-3F1B-4008-94DA-6FC029738CB7}"/>
            </c:ext>
          </c:extLst>
        </c:ser>
        <c:ser>
          <c:idx val="1"/>
          <c:order val="1"/>
          <c:tx>
            <c:strRef>
              <c:f>'testcaliblevel-wfc'!$AA$1</c:f>
              <c:strCache>
                <c:ptCount val="1"/>
                <c:pt idx="0">
                  <c:v>Adjusted</c:v>
                </c:pt>
              </c:strCache>
            </c:strRef>
          </c:tx>
          <c:spPr>
            <a:ln w="28575" cap="rnd">
              <a:solidFill>
                <a:schemeClr val="accent2"/>
              </a:solidFill>
              <a:round/>
            </a:ln>
            <a:effectLst/>
          </c:spPr>
          <c:marker>
            <c:symbol val="none"/>
          </c:marker>
          <c:cat>
            <c:numRef>
              <c:f>'testcaliblevel-wfc'!$Y$2:$Y$22</c:f>
              <c:numCache>
                <c:formatCode>General</c:formatCode>
                <c:ptCount val="21"/>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numCache>
            </c:numRef>
          </c:cat>
          <c:val>
            <c:numRef>
              <c:f>'testcaliblevel-wfc'!$AA$2:$AA$22</c:f>
              <c:numCache>
                <c:formatCode>_(* #,##0_);_(* \(#,##0\);_(* "-"??_);_(@_)</c:formatCode>
                <c:ptCount val="21"/>
                <c:pt idx="0">
                  <c:v>2589.0489244</c:v>
                </c:pt>
                <c:pt idx="1">
                  <c:v>2646.6997078999998</c:v>
                </c:pt>
                <c:pt idx="2">
                  <c:v>2698.9238329999994</c:v>
                </c:pt>
                <c:pt idx="3">
                  <c:v>2738.7921200999999</c:v>
                </c:pt>
                <c:pt idx="4">
                  <c:v>2768.4575754000002</c:v>
                </c:pt>
                <c:pt idx="5">
                  <c:v>2788.2816769000001</c:v>
                </c:pt>
                <c:pt idx="6">
                  <c:v>2800.9647157999998</c:v>
                </c:pt>
                <c:pt idx="7">
                  <c:v>2806.8579541999998</c:v>
                </c:pt>
                <c:pt idx="8">
                  <c:v>2803.1158551000003</c:v>
                </c:pt>
                <c:pt idx="9">
                  <c:v>2809.9555150000001</c:v>
                </c:pt>
                <c:pt idx="10">
                  <c:v>2801.2244082999996</c:v>
                </c:pt>
                <c:pt idx="11">
                  <c:v>2792.5776427000001</c:v>
                </c:pt>
                <c:pt idx="12">
                  <c:v>2784.156489</c:v>
                </c:pt>
                <c:pt idx="13">
                  <c:v>2776.9789537000001</c:v>
                </c:pt>
                <c:pt idx="14">
                  <c:v>2771.2468967</c:v>
                </c:pt>
                <c:pt idx="15">
                  <c:v>2766.9965615999999</c:v>
                </c:pt>
                <c:pt idx="16">
                  <c:v>2763.9182800999997</c:v>
                </c:pt>
                <c:pt idx="17">
                  <c:v>3231.4917110999995</c:v>
                </c:pt>
                <c:pt idx="18">
                  <c:v>3225.8657661999996</c:v>
                </c:pt>
                <c:pt idx="19">
                  <c:v>3216.5625675000001</c:v>
                </c:pt>
                <c:pt idx="20">
                  <c:v>3206.3970695000003</c:v>
                </c:pt>
              </c:numCache>
            </c:numRef>
          </c:val>
          <c:smooth val="0"/>
          <c:extLst>
            <c:ext xmlns:c16="http://schemas.microsoft.com/office/drawing/2014/chart" uri="{C3380CC4-5D6E-409C-BE32-E72D297353CC}">
              <c16:uniqueId val="{00000001-3F1B-4008-94DA-6FC029738CB7}"/>
            </c:ext>
          </c:extLst>
        </c:ser>
        <c:dLbls>
          <c:showLegendKey val="0"/>
          <c:showVal val="0"/>
          <c:showCatName val="0"/>
          <c:showSerName val="0"/>
          <c:showPercent val="0"/>
          <c:showBubbleSize val="0"/>
        </c:dLbls>
        <c:smooth val="0"/>
        <c:axId val="577982512"/>
        <c:axId val="577982992"/>
      </c:lineChart>
      <c:catAx>
        <c:axId val="577982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77982992"/>
        <c:crosses val="autoZero"/>
        <c:auto val="1"/>
        <c:lblAlgn val="ctr"/>
        <c:lblOffset val="100"/>
        <c:noMultiLvlLbl val="0"/>
      </c:catAx>
      <c:valAx>
        <c:axId val="577982992"/>
        <c:scaling>
          <c:orientation val="minMax"/>
          <c:min val="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a:t>GWh</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77982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7567804024497"/>
          <c:y val="5.1183621241202813E-2"/>
          <c:w val="0.85073894609327683"/>
          <c:h val="0.77822026085510909"/>
        </c:manualLayout>
      </c:layout>
      <c:lineChart>
        <c:grouping val="standard"/>
        <c:varyColors val="0"/>
        <c:ser>
          <c:idx val="0"/>
          <c:order val="0"/>
          <c:tx>
            <c:strRef>
              <c:f>'All PA Results1'!$C$1</c:f>
              <c:strCache>
                <c:ptCount val="1"/>
                <c:pt idx="0">
                  <c:v>QFER</c:v>
                </c:pt>
              </c:strCache>
            </c:strRef>
          </c:tx>
          <c:spPr>
            <a:ln w="28575" cap="rnd">
              <a:solidFill>
                <a:schemeClr val="accent1"/>
              </a:solidFill>
              <a:round/>
            </a:ln>
            <a:effectLst/>
          </c:spPr>
          <c:marker>
            <c:symbol val="none"/>
          </c:marker>
          <c:cat>
            <c:numRef>
              <c:f>'All PA Results1'!$B$2:$B$49</c:f>
              <c:numCache>
                <c:formatCode>General</c:formatCode>
                <c:ptCount val="48"/>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pt idx="22">
                  <c:v>2025</c:v>
                </c:pt>
                <c:pt idx="23">
                  <c:v>2026</c:v>
                </c:pt>
                <c:pt idx="24">
                  <c:v>2027</c:v>
                </c:pt>
                <c:pt idx="25">
                  <c:v>2028</c:v>
                </c:pt>
                <c:pt idx="26">
                  <c:v>2029</c:v>
                </c:pt>
                <c:pt idx="27">
                  <c:v>2030</c:v>
                </c:pt>
                <c:pt idx="28">
                  <c:v>2031</c:v>
                </c:pt>
                <c:pt idx="29">
                  <c:v>2032</c:v>
                </c:pt>
                <c:pt idx="30">
                  <c:v>2033</c:v>
                </c:pt>
                <c:pt idx="31">
                  <c:v>2034</c:v>
                </c:pt>
                <c:pt idx="32">
                  <c:v>2035</c:v>
                </c:pt>
                <c:pt idx="33">
                  <c:v>2036</c:v>
                </c:pt>
                <c:pt idx="34">
                  <c:v>2037</c:v>
                </c:pt>
                <c:pt idx="35">
                  <c:v>2038</c:v>
                </c:pt>
                <c:pt idx="36">
                  <c:v>2039</c:v>
                </c:pt>
                <c:pt idx="37">
                  <c:v>2040</c:v>
                </c:pt>
                <c:pt idx="38">
                  <c:v>2041</c:v>
                </c:pt>
                <c:pt idx="39">
                  <c:v>2042</c:v>
                </c:pt>
                <c:pt idx="40">
                  <c:v>2043</c:v>
                </c:pt>
                <c:pt idx="41">
                  <c:v>2044</c:v>
                </c:pt>
                <c:pt idx="42">
                  <c:v>2045</c:v>
                </c:pt>
                <c:pt idx="43">
                  <c:v>2046</c:v>
                </c:pt>
                <c:pt idx="44">
                  <c:v>2047</c:v>
                </c:pt>
                <c:pt idx="45">
                  <c:v>2048</c:v>
                </c:pt>
                <c:pt idx="46">
                  <c:v>2049</c:v>
                </c:pt>
                <c:pt idx="47">
                  <c:v>2050</c:v>
                </c:pt>
              </c:numCache>
            </c:numRef>
          </c:cat>
          <c:val>
            <c:numRef>
              <c:f>'All PA Results1'!$C$2:$C$49</c:f>
              <c:numCache>
                <c:formatCode>General</c:formatCode>
                <c:ptCount val="48"/>
                <c:pt idx="0">
                  <c:v>29712.706999999999</c:v>
                </c:pt>
                <c:pt idx="1">
                  <c:v>30290.061000000002</c:v>
                </c:pt>
                <c:pt idx="2">
                  <c:v>30887.338</c:v>
                </c:pt>
                <c:pt idx="3">
                  <c:v>32099.471000000001</c:v>
                </c:pt>
                <c:pt idx="4">
                  <c:v>31810.511999999999</c:v>
                </c:pt>
                <c:pt idx="5">
                  <c:v>32205.504000000001</c:v>
                </c:pt>
                <c:pt idx="6">
                  <c:v>32445.557000000001</c:v>
                </c:pt>
                <c:pt idx="7">
                  <c:v>32056.83</c:v>
                </c:pt>
                <c:pt idx="8">
                  <c:v>32234.245999999999</c:v>
                </c:pt>
                <c:pt idx="9">
                  <c:v>32498.537</c:v>
                </c:pt>
                <c:pt idx="10">
                  <c:v>32334.567999999999</c:v>
                </c:pt>
                <c:pt idx="11">
                  <c:v>31547.918000000001</c:v>
                </c:pt>
                <c:pt idx="12">
                  <c:v>31306.241999999998</c:v>
                </c:pt>
                <c:pt idx="13">
                  <c:v>31264.866999999998</c:v>
                </c:pt>
                <c:pt idx="14">
                  <c:v>32357.773000000001</c:v>
                </c:pt>
                <c:pt idx="15">
                  <c:v>31324.061000000002</c:v>
                </c:pt>
                <c:pt idx="16">
                  <c:v>31560.063999999998</c:v>
                </c:pt>
                <c:pt idx="17">
                  <c:v>34673.663999999997</c:v>
                </c:pt>
                <c:pt idx="18">
                  <c:v>33828.788999999997</c:v>
                </c:pt>
                <c:pt idx="19">
                  <c:v>33903.101999999999</c:v>
                </c:pt>
                <c:pt idx="20">
                  <c:v>34248.097999999998</c:v>
                </c:pt>
              </c:numCache>
            </c:numRef>
          </c:val>
          <c:smooth val="0"/>
          <c:extLst>
            <c:ext xmlns:c16="http://schemas.microsoft.com/office/drawing/2014/chart" uri="{C3380CC4-5D6E-409C-BE32-E72D297353CC}">
              <c16:uniqueId val="{00000000-DAA2-4F9B-9AFB-84A9D39FA18C}"/>
            </c:ext>
          </c:extLst>
        </c:ser>
        <c:ser>
          <c:idx val="1"/>
          <c:order val="1"/>
          <c:tx>
            <c:strRef>
              <c:f>'All PA Results1'!$D$1</c:f>
              <c:strCache>
                <c:ptCount val="1"/>
                <c:pt idx="0">
                  <c:v>Residential Model</c:v>
                </c:pt>
              </c:strCache>
            </c:strRef>
          </c:tx>
          <c:spPr>
            <a:ln w="28575" cap="rnd">
              <a:solidFill>
                <a:schemeClr val="accent2"/>
              </a:solidFill>
              <a:round/>
            </a:ln>
            <a:effectLst/>
          </c:spPr>
          <c:marker>
            <c:symbol val="none"/>
          </c:marker>
          <c:cat>
            <c:numRef>
              <c:f>'All PA Results1'!$B$2:$B$49</c:f>
              <c:numCache>
                <c:formatCode>General</c:formatCode>
                <c:ptCount val="48"/>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pt idx="22">
                  <c:v>2025</c:v>
                </c:pt>
                <c:pt idx="23">
                  <c:v>2026</c:v>
                </c:pt>
                <c:pt idx="24">
                  <c:v>2027</c:v>
                </c:pt>
                <c:pt idx="25">
                  <c:v>2028</c:v>
                </c:pt>
                <c:pt idx="26">
                  <c:v>2029</c:v>
                </c:pt>
                <c:pt idx="27">
                  <c:v>2030</c:v>
                </c:pt>
                <c:pt idx="28">
                  <c:v>2031</c:v>
                </c:pt>
                <c:pt idx="29">
                  <c:v>2032</c:v>
                </c:pt>
                <c:pt idx="30">
                  <c:v>2033</c:v>
                </c:pt>
                <c:pt idx="31">
                  <c:v>2034</c:v>
                </c:pt>
                <c:pt idx="32">
                  <c:v>2035</c:v>
                </c:pt>
                <c:pt idx="33">
                  <c:v>2036</c:v>
                </c:pt>
                <c:pt idx="34">
                  <c:v>2037</c:v>
                </c:pt>
                <c:pt idx="35">
                  <c:v>2038</c:v>
                </c:pt>
                <c:pt idx="36">
                  <c:v>2039</c:v>
                </c:pt>
                <c:pt idx="37">
                  <c:v>2040</c:v>
                </c:pt>
                <c:pt idx="38">
                  <c:v>2041</c:v>
                </c:pt>
                <c:pt idx="39">
                  <c:v>2042</c:v>
                </c:pt>
                <c:pt idx="40">
                  <c:v>2043</c:v>
                </c:pt>
                <c:pt idx="41">
                  <c:v>2044</c:v>
                </c:pt>
                <c:pt idx="42">
                  <c:v>2045</c:v>
                </c:pt>
                <c:pt idx="43">
                  <c:v>2046</c:v>
                </c:pt>
                <c:pt idx="44">
                  <c:v>2047</c:v>
                </c:pt>
                <c:pt idx="45">
                  <c:v>2048</c:v>
                </c:pt>
                <c:pt idx="46">
                  <c:v>2049</c:v>
                </c:pt>
                <c:pt idx="47">
                  <c:v>2050</c:v>
                </c:pt>
              </c:numCache>
            </c:numRef>
          </c:cat>
          <c:val>
            <c:numRef>
              <c:f>'All PA Results1'!$D$2:$D$49</c:f>
              <c:numCache>
                <c:formatCode>General</c:formatCode>
                <c:ptCount val="48"/>
                <c:pt idx="0">
                  <c:v>29169.365000000002</c:v>
                </c:pt>
                <c:pt idx="1">
                  <c:v>29719.498</c:v>
                </c:pt>
                <c:pt idx="2">
                  <c:v>30348.578000000001</c:v>
                </c:pt>
                <c:pt idx="3">
                  <c:v>30969.287</c:v>
                </c:pt>
                <c:pt idx="4">
                  <c:v>31471.201000000001</c:v>
                </c:pt>
                <c:pt idx="5">
                  <c:v>31862.315999999999</c:v>
                </c:pt>
                <c:pt idx="6">
                  <c:v>32167.815999999999</c:v>
                </c:pt>
                <c:pt idx="7">
                  <c:v>32209.65</c:v>
                </c:pt>
                <c:pt idx="8">
                  <c:v>32204.748</c:v>
                </c:pt>
                <c:pt idx="9">
                  <c:v>32022.530999999999</c:v>
                </c:pt>
                <c:pt idx="10">
                  <c:v>32065.363000000001</c:v>
                </c:pt>
                <c:pt idx="11">
                  <c:v>32102.388999999999</c:v>
                </c:pt>
                <c:pt idx="12">
                  <c:v>32147.754000000001</c:v>
                </c:pt>
                <c:pt idx="13">
                  <c:v>32200.653999999999</c:v>
                </c:pt>
                <c:pt idx="14">
                  <c:v>32250.148000000001</c:v>
                </c:pt>
                <c:pt idx="15">
                  <c:v>32318.465</c:v>
                </c:pt>
                <c:pt idx="16">
                  <c:v>32405.412</c:v>
                </c:pt>
                <c:pt idx="17">
                  <c:v>35035.898000000001</c:v>
                </c:pt>
                <c:pt idx="18">
                  <c:v>34871.351999999999</c:v>
                </c:pt>
                <c:pt idx="19">
                  <c:v>34730.792999999998</c:v>
                </c:pt>
                <c:pt idx="20">
                  <c:v>34621.995999999999</c:v>
                </c:pt>
                <c:pt idx="21">
                  <c:v>34378.836000000003</c:v>
                </c:pt>
                <c:pt idx="22">
                  <c:v>34156.832000000002</c:v>
                </c:pt>
                <c:pt idx="23">
                  <c:v>33952.375</c:v>
                </c:pt>
                <c:pt idx="24">
                  <c:v>33803.796999999999</c:v>
                </c:pt>
                <c:pt idx="25">
                  <c:v>33832.987999999998</c:v>
                </c:pt>
                <c:pt idx="26">
                  <c:v>33902.332000000002</c:v>
                </c:pt>
                <c:pt idx="27">
                  <c:v>34008.214999999997</c:v>
                </c:pt>
                <c:pt idx="28">
                  <c:v>34120.148000000001</c:v>
                </c:pt>
                <c:pt idx="29">
                  <c:v>34231.101999999999</c:v>
                </c:pt>
                <c:pt idx="30">
                  <c:v>34338.445</c:v>
                </c:pt>
                <c:pt idx="31">
                  <c:v>34440.980000000003</c:v>
                </c:pt>
                <c:pt idx="32">
                  <c:v>34537.813000000002</c:v>
                </c:pt>
                <c:pt idx="33">
                  <c:v>34644.065999999999</c:v>
                </c:pt>
                <c:pt idx="34">
                  <c:v>34759.065999999999</c:v>
                </c:pt>
                <c:pt idx="35">
                  <c:v>34852.398000000001</c:v>
                </c:pt>
                <c:pt idx="36">
                  <c:v>34952.866999999998</c:v>
                </c:pt>
                <c:pt idx="37">
                  <c:v>35059.726999999999</c:v>
                </c:pt>
                <c:pt idx="38">
                  <c:v>35172.722999999998</c:v>
                </c:pt>
                <c:pt idx="39">
                  <c:v>35291.309000000001</c:v>
                </c:pt>
                <c:pt idx="40">
                  <c:v>35414.957000000002</c:v>
                </c:pt>
                <c:pt idx="41">
                  <c:v>35543.300999999999</c:v>
                </c:pt>
                <c:pt idx="42">
                  <c:v>35649.656000000003</c:v>
                </c:pt>
                <c:pt idx="43">
                  <c:v>35759.741999999998</c:v>
                </c:pt>
                <c:pt idx="44">
                  <c:v>35873.379000000001</c:v>
                </c:pt>
                <c:pt idx="45">
                  <c:v>35990.07</c:v>
                </c:pt>
                <c:pt idx="46">
                  <c:v>36109.824000000001</c:v>
                </c:pt>
                <c:pt idx="47">
                  <c:v>36232.292999999998</c:v>
                </c:pt>
              </c:numCache>
            </c:numRef>
          </c:val>
          <c:smooth val="0"/>
          <c:extLst>
            <c:ext xmlns:c16="http://schemas.microsoft.com/office/drawing/2014/chart" uri="{C3380CC4-5D6E-409C-BE32-E72D297353CC}">
              <c16:uniqueId val="{00000001-DAA2-4F9B-9AFB-84A9D39FA18C}"/>
            </c:ext>
          </c:extLst>
        </c:ser>
        <c:ser>
          <c:idx val="2"/>
          <c:order val="2"/>
          <c:tx>
            <c:strRef>
              <c:f>'All PA Results1'!$E$1</c:f>
              <c:strCache>
                <c:ptCount val="1"/>
                <c:pt idx="0">
                  <c:v>Regression Prediction</c:v>
                </c:pt>
              </c:strCache>
            </c:strRef>
          </c:tx>
          <c:spPr>
            <a:ln w="28575" cap="rnd">
              <a:solidFill>
                <a:schemeClr val="accent3"/>
              </a:solidFill>
              <a:round/>
            </a:ln>
            <a:effectLst/>
          </c:spPr>
          <c:marker>
            <c:symbol val="none"/>
          </c:marker>
          <c:cat>
            <c:numRef>
              <c:f>'All PA Results1'!$B$2:$B$49</c:f>
              <c:numCache>
                <c:formatCode>General</c:formatCode>
                <c:ptCount val="48"/>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pt idx="22">
                  <c:v>2025</c:v>
                </c:pt>
                <c:pt idx="23">
                  <c:v>2026</c:v>
                </c:pt>
                <c:pt idx="24">
                  <c:v>2027</c:v>
                </c:pt>
                <c:pt idx="25">
                  <c:v>2028</c:v>
                </c:pt>
                <c:pt idx="26">
                  <c:v>2029</c:v>
                </c:pt>
                <c:pt idx="27">
                  <c:v>2030</c:v>
                </c:pt>
                <c:pt idx="28">
                  <c:v>2031</c:v>
                </c:pt>
                <c:pt idx="29">
                  <c:v>2032</c:v>
                </c:pt>
                <c:pt idx="30">
                  <c:v>2033</c:v>
                </c:pt>
                <c:pt idx="31">
                  <c:v>2034</c:v>
                </c:pt>
                <c:pt idx="32">
                  <c:v>2035</c:v>
                </c:pt>
                <c:pt idx="33">
                  <c:v>2036</c:v>
                </c:pt>
                <c:pt idx="34">
                  <c:v>2037</c:v>
                </c:pt>
                <c:pt idx="35">
                  <c:v>2038</c:v>
                </c:pt>
                <c:pt idx="36">
                  <c:v>2039</c:v>
                </c:pt>
                <c:pt idx="37">
                  <c:v>2040</c:v>
                </c:pt>
                <c:pt idx="38">
                  <c:v>2041</c:v>
                </c:pt>
                <c:pt idx="39">
                  <c:v>2042</c:v>
                </c:pt>
                <c:pt idx="40">
                  <c:v>2043</c:v>
                </c:pt>
                <c:pt idx="41">
                  <c:v>2044</c:v>
                </c:pt>
                <c:pt idx="42">
                  <c:v>2045</c:v>
                </c:pt>
                <c:pt idx="43">
                  <c:v>2046</c:v>
                </c:pt>
                <c:pt idx="44">
                  <c:v>2047</c:v>
                </c:pt>
                <c:pt idx="45">
                  <c:v>2048</c:v>
                </c:pt>
                <c:pt idx="46">
                  <c:v>2049</c:v>
                </c:pt>
                <c:pt idx="47">
                  <c:v>2050</c:v>
                </c:pt>
              </c:numCache>
            </c:numRef>
          </c:cat>
          <c:val>
            <c:numRef>
              <c:f>'All PA Results1'!$E$2:$E$49</c:f>
              <c:numCache>
                <c:formatCode>General</c:formatCode>
                <c:ptCount val="48"/>
                <c:pt idx="0">
                  <c:v>29897.309000000001</c:v>
                </c:pt>
                <c:pt idx="1">
                  <c:v>30396.627</c:v>
                </c:pt>
                <c:pt idx="2">
                  <c:v>30941.937999999998</c:v>
                </c:pt>
                <c:pt idx="3">
                  <c:v>31444.428</c:v>
                </c:pt>
                <c:pt idx="4">
                  <c:v>31864.375</c:v>
                </c:pt>
                <c:pt idx="5">
                  <c:v>32199.634999999998</c:v>
                </c:pt>
                <c:pt idx="6">
                  <c:v>32469.243999999999</c:v>
                </c:pt>
                <c:pt idx="7">
                  <c:v>32413.322</c:v>
                </c:pt>
                <c:pt idx="8">
                  <c:v>32294.629000000001</c:v>
                </c:pt>
                <c:pt idx="9">
                  <c:v>32098.440999999999</c:v>
                </c:pt>
                <c:pt idx="10">
                  <c:v>31996.405999999999</c:v>
                </c:pt>
                <c:pt idx="11">
                  <c:v>31891.486000000001</c:v>
                </c:pt>
                <c:pt idx="12">
                  <c:v>31789.754000000001</c:v>
                </c:pt>
                <c:pt idx="13">
                  <c:v>31692.141</c:v>
                </c:pt>
                <c:pt idx="14">
                  <c:v>31591.375</c:v>
                </c:pt>
                <c:pt idx="15">
                  <c:v>31502.120999999999</c:v>
                </c:pt>
                <c:pt idx="16">
                  <c:v>31422.692999999999</c:v>
                </c:pt>
                <c:pt idx="17">
                  <c:v>34417.858999999997</c:v>
                </c:pt>
                <c:pt idx="18">
                  <c:v>34247.593999999997</c:v>
                </c:pt>
                <c:pt idx="19">
                  <c:v>34078.828000000001</c:v>
                </c:pt>
                <c:pt idx="20">
                  <c:v>33939.711000000003</c:v>
                </c:pt>
                <c:pt idx="21">
                  <c:v>33753.370999999999</c:v>
                </c:pt>
                <c:pt idx="22">
                  <c:v>33388.718999999997</c:v>
                </c:pt>
                <c:pt idx="23">
                  <c:v>33038.620999999999</c:v>
                </c:pt>
                <c:pt idx="24">
                  <c:v>32750.645</c:v>
                </c:pt>
                <c:pt idx="25">
                  <c:v>32777.258000000002</c:v>
                </c:pt>
                <c:pt idx="26">
                  <c:v>32839.934000000001</c:v>
                </c:pt>
                <c:pt idx="27">
                  <c:v>32933.777000000002</c:v>
                </c:pt>
                <c:pt idx="28">
                  <c:v>33028.417999999998</c:v>
                </c:pt>
                <c:pt idx="29">
                  <c:v>33119.875</c:v>
                </c:pt>
                <c:pt idx="30">
                  <c:v>33208.983999999997</c:v>
                </c:pt>
                <c:pt idx="31">
                  <c:v>33294.688000000002</c:v>
                </c:pt>
                <c:pt idx="32">
                  <c:v>33375.684000000001</c:v>
                </c:pt>
                <c:pt idx="33">
                  <c:v>33466.042999999998</c:v>
                </c:pt>
                <c:pt idx="34">
                  <c:v>33565.031000000003</c:v>
                </c:pt>
                <c:pt idx="35">
                  <c:v>33642.648000000001</c:v>
                </c:pt>
                <c:pt idx="36">
                  <c:v>33727.516000000003</c:v>
                </c:pt>
                <c:pt idx="37">
                  <c:v>33819.358999999997</c:v>
                </c:pt>
                <c:pt idx="38">
                  <c:v>33917.241999999998</c:v>
                </c:pt>
                <c:pt idx="39">
                  <c:v>34020.945</c:v>
                </c:pt>
                <c:pt idx="40">
                  <c:v>34130.137000000002</c:v>
                </c:pt>
                <c:pt idx="41">
                  <c:v>34244.421999999999</c:v>
                </c:pt>
                <c:pt idx="42">
                  <c:v>34337.336000000003</c:v>
                </c:pt>
                <c:pt idx="43">
                  <c:v>34434.684000000001</c:v>
                </c:pt>
                <c:pt idx="44">
                  <c:v>34536.078000000001</c:v>
                </c:pt>
                <c:pt idx="45">
                  <c:v>34641.57</c:v>
                </c:pt>
                <c:pt idx="46">
                  <c:v>34750.695</c:v>
                </c:pt>
                <c:pt idx="47">
                  <c:v>34863.413999999997</c:v>
                </c:pt>
              </c:numCache>
            </c:numRef>
          </c:val>
          <c:smooth val="0"/>
          <c:extLst>
            <c:ext xmlns:c16="http://schemas.microsoft.com/office/drawing/2014/chart" uri="{C3380CC4-5D6E-409C-BE32-E72D297353CC}">
              <c16:uniqueId val="{00000002-DAA2-4F9B-9AFB-84A9D39FA18C}"/>
            </c:ext>
          </c:extLst>
        </c:ser>
        <c:dLbls>
          <c:showLegendKey val="0"/>
          <c:showVal val="0"/>
          <c:showCatName val="0"/>
          <c:showSerName val="0"/>
          <c:showPercent val="0"/>
          <c:showBubbleSize val="0"/>
        </c:dLbls>
        <c:smooth val="0"/>
        <c:axId val="1423974336"/>
        <c:axId val="1423994976"/>
      </c:lineChart>
      <c:catAx>
        <c:axId val="1423974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23994976"/>
        <c:crosses val="autoZero"/>
        <c:auto val="1"/>
        <c:lblAlgn val="ctr"/>
        <c:lblOffset val="100"/>
        <c:tickLblSkip val="2"/>
        <c:tickMarkSkip val="2"/>
        <c:noMultiLvlLbl val="0"/>
      </c:catAx>
      <c:valAx>
        <c:axId val="1423994976"/>
        <c:scaling>
          <c:orientation val="minMax"/>
          <c:min val="2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GWh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2397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86616-1EE1-405A-94E6-C35E903A7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11</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Kavalec, Christopher@Energy</dc:creator>
  <cp:keywords/>
  <dc:description/>
  <cp:lastModifiedBy>Cooper, Mathew@Energy</cp:lastModifiedBy>
  <cp:revision>7</cp:revision>
  <cp:lastPrinted>2025-04-25T06:03:00Z</cp:lastPrinted>
  <dcterms:created xsi:type="dcterms:W3CDTF">2025-10-28T23:50:00Z</dcterms:created>
  <dcterms:modified xsi:type="dcterms:W3CDTF">2025-10-29T02:58:00Z</dcterms:modified>
</cp:coreProperties>
</file>