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A937" w14:textId="3C4BA1F1" w:rsidR="00625091" w:rsidRDefault="00625091" w:rsidP="7E00B00A">
      <w:pPr>
        <w:jc w:val="left"/>
      </w:pPr>
      <w:r>
        <w:t>The Project Narrative must respond to each sub-criterion below.</w:t>
      </w:r>
    </w:p>
    <w:p w14:paraId="17852E33" w14:textId="77777777" w:rsidR="00625091" w:rsidRDefault="00625091" w:rsidP="7E00B00A">
      <w:pPr>
        <w:jc w:val="left"/>
      </w:pPr>
    </w:p>
    <w:p w14:paraId="7FB8F015" w14:textId="6D118F12" w:rsidR="00E45742" w:rsidRPr="000460E7" w:rsidRDefault="00E45742" w:rsidP="000460E7">
      <w:pPr>
        <w:pStyle w:val="ListParagraph"/>
        <w:keepNext/>
        <w:numPr>
          <w:ilvl w:val="0"/>
          <w:numId w:val="3"/>
        </w:numPr>
        <w:spacing w:before="120" w:line="259" w:lineRule="auto"/>
        <w:jc w:val="left"/>
        <w:rPr>
          <w:rFonts w:ascii="Tahoma" w:eastAsia="Tahoma" w:hAnsi="Tahoma" w:cs="Tahoma"/>
          <w:b/>
          <w:bCs/>
          <w:color w:val="000000" w:themeColor="text1"/>
        </w:rPr>
      </w:pPr>
      <w:r w:rsidRPr="000460E7">
        <w:rPr>
          <w:rFonts w:ascii="Tahoma" w:eastAsia="Tahoma" w:hAnsi="Tahoma" w:cs="Tahoma"/>
          <w:b/>
          <w:bCs/>
          <w:color w:val="000000" w:themeColor="text1"/>
        </w:rPr>
        <w:t>Technical Merit</w:t>
      </w:r>
    </w:p>
    <w:p w14:paraId="33FB8003" w14:textId="77777777" w:rsidR="008B4D47" w:rsidRPr="002C1625" w:rsidRDefault="008B4D47" w:rsidP="00E9268C">
      <w:pPr>
        <w:numPr>
          <w:ilvl w:val="0"/>
          <w:numId w:val="9"/>
        </w:numPr>
        <w:spacing w:after="120"/>
        <w:jc w:val="left"/>
      </w:pPr>
      <w:r>
        <w:t>The proposed project provides a clear and concise description of the technological, scientific knowledge advancement, and/or innovation that will overcome barriers to achieving the State’s statutory energy goals.</w:t>
      </w:r>
    </w:p>
    <w:p w14:paraId="21F3F620" w14:textId="112197C2" w:rsidR="00964872" w:rsidRDefault="413AF4B7" w:rsidP="00E9268C">
      <w:pPr>
        <w:numPr>
          <w:ilvl w:val="0"/>
          <w:numId w:val="9"/>
        </w:numPr>
        <w:spacing w:after="120"/>
        <w:jc w:val="left"/>
        <w:rPr>
          <w:rFonts w:eastAsia="Arial"/>
        </w:rPr>
      </w:pPr>
      <w:r w:rsidRPr="7E00B00A">
        <w:rPr>
          <w:rFonts w:eastAsia="Arial"/>
        </w:rPr>
        <w:t>Describes at what scale the technology has been successfully demonstrated, including size or capacity, number of previous installations, location and duration, results, etc.</w:t>
      </w:r>
    </w:p>
    <w:p w14:paraId="6CA082A5" w14:textId="4EC8EAF2" w:rsidR="413AF4B7" w:rsidRDefault="6C44F46E" w:rsidP="00E9268C">
      <w:pPr>
        <w:numPr>
          <w:ilvl w:val="0"/>
          <w:numId w:val="9"/>
        </w:numPr>
        <w:spacing w:after="120"/>
        <w:jc w:val="left"/>
        <w:rPr>
          <w:rFonts w:eastAsia="Arial"/>
        </w:rPr>
      </w:pPr>
      <w:r w:rsidRPr="73C683BC">
        <w:rPr>
          <w:rFonts w:eastAsia="Arial"/>
        </w:rPr>
        <w:t>Describes how the proposed project fits the definition of cutting-edge emerging technology that is at a minimum TRL of</w:t>
      </w:r>
      <w:r w:rsidR="5414408D" w:rsidRPr="73C683BC">
        <w:rPr>
          <w:rFonts w:eastAsia="Arial"/>
        </w:rPr>
        <w:t xml:space="preserve"> [</w:t>
      </w:r>
      <w:r w:rsidR="5414408D" w:rsidRPr="73C683BC">
        <w:rPr>
          <w:rFonts w:eastAsia="Arial"/>
          <w:strike/>
        </w:rPr>
        <w:t>7</w:t>
      </w:r>
      <w:r w:rsidR="5414408D" w:rsidRPr="73C683BC">
        <w:rPr>
          <w:rFonts w:eastAsia="Arial"/>
        </w:rPr>
        <w:t>]</w:t>
      </w:r>
      <w:r w:rsidRPr="73C683BC">
        <w:rPr>
          <w:rFonts w:eastAsia="Arial"/>
        </w:rPr>
        <w:t xml:space="preserve"> </w:t>
      </w:r>
      <w:r w:rsidR="2207FD9C" w:rsidRPr="73C683BC">
        <w:rPr>
          <w:rFonts w:eastAsia="Arial"/>
          <w:b/>
          <w:bCs/>
          <w:u w:val="single"/>
        </w:rPr>
        <w:t>6</w:t>
      </w:r>
      <w:r w:rsidRPr="73C683BC">
        <w:rPr>
          <w:rFonts w:eastAsia="Arial"/>
        </w:rPr>
        <w:t xml:space="preserve"> and how it meets the goals described in Section II.B.</w:t>
      </w:r>
    </w:p>
    <w:p w14:paraId="1BCCA15F" w14:textId="18EBF7FB" w:rsidR="413AF4B7" w:rsidRDefault="413AF4B7" w:rsidP="00E9268C">
      <w:pPr>
        <w:numPr>
          <w:ilvl w:val="0"/>
          <w:numId w:val="9"/>
        </w:numPr>
        <w:spacing w:after="120"/>
        <w:jc w:val="left"/>
        <w:rPr>
          <w:rFonts w:eastAsia="Arial"/>
        </w:rPr>
      </w:pPr>
      <w:r w:rsidRPr="7E00B00A">
        <w:rPr>
          <w:rFonts w:eastAsia="Arial"/>
        </w:rPr>
        <w:t>Provides information described in Section II.B</w:t>
      </w:r>
      <w:r w:rsidR="04F404CE" w:rsidRPr="7E00B00A">
        <w:rPr>
          <w:rFonts w:eastAsia="Arial"/>
        </w:rPr>
        <w:t>.</w:t>
      </w:r>
    </w:p>
    <w:p w14:paraId="1465E9DB" w14:textId="5DDDF7D5" w:rsidR="008B4D47" w:rsidRPr="00EA6333" w:rsidRDefault="008B4D47" w:rsidP="7E00B00A">
      <w:pPr>
        <w:jc w:val="left"/>
      </w:pPr>
    </w:p>
    <w:p w14:paraId="24C938A6" w14:textId="77777777" w:rsidR="00E45742" w:rsidRPr="000460E7" w:rsidRDefault="00E45742" w:rsidP="000460E7">
      <w:pPr>
        <w:pStyle w:val="ListParagraph"/>
        <w:keepNext/>
        <w:numPr>
          <w:ilvl w:val="0"/>
          <w:numId w:val="3"/>
        </w:numPr>
        <w:spacing w:before="120" w:line="259" w:lineRule="auto"/>
        <w:jc w:val="left"/>
        <w:rPr>
          <w:rFonts w:ascii="Tahoma" w:eastAsia="Tahoma" w:hAnsi="Tahoma" w:cs="Tahoma"/>
          <w:b/>
          <w:bCs/>
          <w:color w:val="000000" w:themeColor="text1"/>
        </w:rPr>
      </w:pPr>
      <w:r w:rsidRPr="000460E7">
        <w:rPr>
          <w:rFonts w:ascii="Tahoma" w:eastAsia="Tahoma" w:hAnsi="Tahoma" w:cs="Tahoma"/>
          <w:b/>
          <w:bCs/>
          <w:color w:val="000000" w:themeColor="text1"/>
        </w:rPr>
        <w:t>Technical Approach</w:t>
      </w:r>
    </w:p>
    <w:p w14:paraId="4528DB9F" w14:textId="4A33D424" w:rsidR="008B4D47" w:rsidRPr="002C1625" w:rsidRDefault="00F64759" w:rsidP="00E9268C">
      <w:pPr>
        <w:numPr>
          <w:ilvl w:val="0"/>
          <w:numId w:val="10"/>
        </w:numPr>
        <w:spacing w:after="120"/>
        <w:jc w:val="left"/>
      </w:pPr>
      <w:r>
        <w:t>The application</w:t>
      </w:r>
      <w:r w:rsidR="008B4D47">
        <w:t xml:space="preserve"> describes the technique, approach, and methods to be used in performing the work described in the Scope of Work</w:t>
      </w:r>
      <w:r w:rsidR="692B6BF4">
        <w:t xml:space="preserve">, </w:t>
      </w:r>
      <w:r w:rsidR="692B6BF4" w:rsidRPr="7E00B00A">
        <w:rPr>
          <w:rFonts w:eastAsia="Arial"/>
        </w:rPr>
        <w:t>including demonstrated ability to successfully implement the proposed project.</w:t>
      </w:r>
      <w:r w:rsidR="008B4D47">
        <w:t xml:space="preserve"> </w:t>
      </w:r>
    </w:p>
    <w:p w14:paraId="4B7E2D51" w14:textId="77777777" w:rsidR="008B4D47" w:rsidRDefault="008B4D47" w:rsidP="00E9268C">
      <w:pPr>
        <w:numPr>
          <w:ilvl w:val="0"/>
          <w:numId w:val="10"/>
        </w:numPr>
        <w:spacing w:after="120"/>
        <w:jc w:val="left"/>
      </w:pPr>
      <w:r>
        <w:t>The Scope of Work identifies goals, objectives, and deliverables, details the work to be performed, and aligns with the information presented in Project Narrative.</w:t>
      </w:r>
    </w:p>
    <w:p w14:paraId="1246E3B0" w14:textId="424D3135" w:rsidR="4E81BAB8" w:rsidRDefault="4E81BAB8" w:rsidP="00E9268C">
      <w:pPr>
        <w:numPr>
          <w:ilvl w:val="0"/>
          <w:numId w:val="10"/>
        </w:numPr>
        <w:spacing w:after="120"/>
        <w:jc w:val="left"/>
        <w:rPr>
          <w:rFonts w:eastAsia="Arial"/>
        </w:rPr>
      </w:pPr>
      <w:r w:rsidRPr="7E00B00A">
        <w:rPr>
          <w:rFonts w:eastAsia="Arial"/>
        </w:rPr>
        <w:t>The application identifies and discusses factors critical for success, in addition to risks, barriers, and limitations. Provides a plan to address them. Factors critical for success include:</w:t>
      </w:r>
    </w:p>
    <w:p w14:paraId="1356B8AA" w14:textId="661A8FB5" w:rsidR="4E81BAB8" w:rsidRDefault="4E81BAB8" w:rsidP="00E9268C">
      <w:pPr>
        <w:pStyle w:val="ListParagraph"/>
        <w:numPr>
          <w:ilvl w:val="1"/>
          <w:numId w:val="10"/>
        </w:numPr>
        <w:jc w:val="left"/>
        <w:rPr>
          <w:rFonts w:eastAsia="Arial"/>
        </w:rPr>
      </w:pPr>
      <w:r w:rsidRPr="7E00B00A">
        <w:rPr>
          <w:rFonts w:eastAsia="Arial"/>
        </w:rPr>
        <w:t>Risks, barriers, and other limitations, including those related to demonstration site loss and commitment, technology readiness for demonstration, status of existing electrical infrastructure, environmental permitting, CEQA, technology operation and manufacturing scheduling, technology maintenance and support during and after the grant term, and how these will be mitigated to successfully complete the project within the grant term. Discuss any outstanding permitting issues (e.g., local air districts), local community issues, or equipment performance tests to be completed prior to equipment installation at the facility(</w:t>
      </w:r>
      <w:proofErr w:type="spellStart"/>
      <w:r w:rsidRPr="7E00B00A">
        <w:rPr>
          <w:rFonts w:eastAsia="Arial"/>
        </w:rPr>
        <w:t>ies</w:t>
      </w:r>
      <w:proofErr w:type="spellEnd"/>
      <w:r w:rsidRPr="7E00B00A">
        <w:rPr>
          <w:rFonts w:eastAsia="Arial"/>
        </w:rPr>
        <w:t xml:space="preserve">) and how and when these matters will be resolved. </w:t>
      </w:r>
    </w:p>
    <w:p w14:paraId="59C778A2" w14:textId="7590FD80" w:rsidR="4E81BAB8" w:rsidRDefault="4E81BAB8" w:rsidP="00E9268C">
      <w:pPr>
        <w:pStyle w:val="ListParagraph"/>
        <w:numPr>
          <w:ilvl w:val="1"/>
          <w:numId w:val="10"/>
        </w:numPr>
        <w:jc w:val="left"/>
        <w:rPr>
          <w:rFonts w:eastAsia="Arial"/>
        </w:rPr>
      </w:pPr>
      <w:r w:rsidRPr="7E00B00A">
        <w:rPr>
          <w:rFonts w:eastAsia="Arial"/>
        </w:rPr>
        <w:t>How the facility(</w:t>
      </w:r>
      <w:proofErr w:type="spellStart"/>
      <w:r w:rsidRPr="7E00B00A">
        <w:rPr>
          <w:rFonts w:eastAsia="Arial"/>
        </w:rPr>
        <w:t>ies</w:t>
      </w:r>
      <w:proofErr w:type="spellEnd"/>
      <w:r w:rsidRPr="7E00B00A">
        <w:rPr>
          <w:rFonts w:eastAsia="Arial"/>
        </w:rPr>
        <w:t xml:space="preserve">) plans to overcome potential issues with equipment supply chain, installer availability, cost changes, and other impacts. </w:t>
      </w:r>
    </w:p>
    <w:p w14:paraId="740A46CE" w14:textId="5F29B5D3" w:rsidR="00173008" w:rsidRDefault="4E81BAB8" w:rsidP="00E9268C">
      <w:pPr>
        <w:pStyle w:val="ListParagraph"/>
        <w:numPr>
          <w:ilvl w:val="0"/>
          <w:numId w:val="10"/>
        </w:numPr>
        <w:jc w:val="left"/>
        <w:rPr>
          <w:rFonts w:eastAsia="Arial"/>
        </w:rPr>
      </w:pPr>
      <w:r w:rsidRPr="7E00B00A">
        <w:rPr>
          <w:rFonts w:eastAsia="Arial"/>
        </w:rPr>
        <w:t xml:space="preserve">Provides a clear and plausible measurement and verification plan that describes how GHG emission reductions, energy savings, grid support, and other benefits specified in the application will be determined and measured </w:t>
      </w:r>
      <w:r w:rsidR="00D43EC7" w:rsidRPr="009E0560">
        <w:rPr>
          <w:rFonts w:eastAsia="Arial"/>
          <w:b/>
          <w:bCs/>
          <w:u w:val="single"/>
        </w:rPr>
        <w:t>by a third-party</w:t>
      </w:r>
      <w:r w:rsidR="009E0560">
        <w:rPr>
          <w:rFonts w:eastAsia="Arial"/>
        </w:rPr>
        <w:t xml:space="preserve"> </w:t>
      </w:r>
      <w:r w:rsidRPr="7E00B00A">
        <w:rPr>
          <w:rFonts w:eastAsia="Arial"/>
        </w:rPr>
        <w:t xml:space="preserve">as described in Section II.B.3. </w:t>
      </w:r>
    </w:p>
    <w:p w14:paraId="2E86CAE5" w14:textId="0BBBD1F1" w:rsidR="4E81BAB8" w:rsidRDefault="4E81BAB8" w:rsidP="00E9268C">
      <w:pPr>
        <w:pStyle w:val="ListParagraph"/>
        <w:numPr>
          <w:ilvl w:val="0"/>
          <w:numId w:val="10"/>
        </w:numPr>
        <w:jc w:val="left"/>
        <w:rPr>
          <w:rFonts w:eastAsia="Arial"/>
        </w:rPr>
      </w:pPr>
      <w:r w:rsidRPr="7E00B00A">
        <w:rPr>
          <w:rFonts w:eastAsia="Arial"/>
        </w:rPr>
        <w:t>Provides information documenting progress towards achieving compliance with the California Environmental Quality Act (CEQA) by addressing the areas in Section I.I and Section III.C.6.</w:t>
      </w:r>
    </w:p>
    <w:p w14:paraId="650291E5" w14:textId="4D875C06" w:rsidR="00FD4970" w:rsidRDefault="02DF993E" w:rsidP="00E9268C">
      <w:pPr>
        <w:numPr>
          <w:ilvl w:val="0"/>
          <w:numId w:val="10"/>
        </w:numPr>
        <w:spacing w:after="120"/>
        <w:jc w:val="left"/>
        <w:rPr>
          <w:rFonts w:eastAsia="Arial"/>
        </w:rPr>
      </w:pPr>
      <w:r>
        <w:t>Describes the technology transfer plan to assess and advance the commercial viability of the technology</w:t>
      </w:r>
      <w:r w:rsidR="71DE6BA6">
        <w:t xml:space="preserve">, including </w:t>
      </w:r>
      <w:r w:rsidR="71DE6BA6" w:rsidRPr="73C683BC">
        <w:rPr>
          <w:rFonts w:eastAsia="Arial"/>
        </w:rPr>
        <w:t xml:space="preserve">how the proposed project will drive scalability and application of the technology across industrial sectors in California, identifying market </w:t>
      </w:r>
      <w:r w:rsidR="71DE6BA6" w:rsidRPr="73C683BC">
        <w:rPr>
          <w:rFonts w:eastAsia="Arial"/>
        </w:rPr>
        <w:lastRenderedPageBreak/>
        <w:t>segments and including size and penetration or deployment rates, with underlying assumptions.</w:t>
      </w:r>
    </w:p>
    <w:p w14:paraId="5D08570A" w14:textId="77777777" w:rsidR="008B4D47" w:rsidRPr="008B4D47" w:rsidRDefault="008B4D47" w:rsidP="7E00B00A">
      <w:pPr>
        <w:pStyle w:val="ListParagraph"/>
        <w:jc w:val="left"/>
      </w:pPr>
    </w:p>
    <w:p w14:paraId="23FFFFA3" w14:textId="6C783926" w:rsidR="00E45742" w:rsidRPr="000460E7" w:rsidRDefault="00E45742" w:rsidP="000460E7">
      <w:pPr>
        <w:pStyle w:val="ListParagraph"/>
        <w:keepNext/>
        <w:numPr>
          <w:ilvl w:val="0"/>
          <w:numId w:val="3"/>
        </w:numPr>
        <w:spacing w:before="120" w:line="259" w:lineRule="auto"/>
        <w:jc w:val="left"/>
        <w:rPr>
          <w:rFonts w:ascii="Tahoma" w:eastAsia="Tahoma" w:hAnsi="Tahoma" w:cs="Tahoma"/>
          <w:b/>
          <w:bCs/>
          <w:color w:val="000000" w:themeColor="text1"/>
        </w:rPr>
      </w:pPr>
      <w:r w:rsidRPr="000460E7">
        <w:rPr>
          <w:rFonts w:ascii="Tahoma" w:eastAsia="Tahoma" w:hAnsi="Tahoma" w:cs="Tahoma"/>
          <w:b/>
          <w:bCs/>
          <w:color w:val="000000" w:themeColor="text1"/>
        </w:rPr>
        <w:t>Impacts and Benefits</w:t>
      </w:r>
    </w:p>
    <w:p w14:paraId="3407E6A5" w14:textId="4B7EBF22" w:rsidR="7CAB64A5" w:rsidRDefault="7CAB64A5" w:rsidP="00E9268C">
      <w:pPr>
        <w:numPr>
          <w:ilvl w:val="0"/>
          <w:numId w:val="11"/>
        </w:numPr>
        <w:spacing w:after="120"/>
        <w:jc w:val="left"/>
        <w:rPr>
          <w:rFonts w:eastAsia="Arial"/>
        </w:rPr>
      </w:pPr>
      <w:r w:rsidRPr="7E00B00A">
        <w:rPr>
          <w:rFonts w:eastAsia="Arial"/>
        </w:rPr>
        <w:t>Provides justifiable and reasonable quantitative estimates of potential benefits:</w:t>
      </w:r>
    </w:p>
    <w:p w14:paraId="5BBD1D89" w14:textId="6B5EE236" w:rsidR="7CAB64A5" w:rsidRDefault="7CAB64A5" w:rsidP="00E9268C">
      <w:pPr>
        <w:pStyle w:val="ListParagraph"/>
        <w:numPr>
          <w:ilvl w:val="1"/>
          <w:numId w:val="6"/>
        </w:numPr>
        <w:spacing w:after="60"/>
        <w:jc w:val="left"/>
        <w:rPr>
          <w:rFonts w:eastAsia="Arial"/>
        </w:rPr>
      </w:pPr>
      <w:r w:rsidRPr="7E00B00A">
        <w:rPr>
          <w:rFonts w:eastAsia="Arial"/>
        </w:rPr>
        <w:t>Annual GHG emission reductions at the industrial facility(</w:t>
      </w:r>
      <w:proofErr w:type="spellStart"/>
      <w:r w:rsidRPr="7E00B00A">
        <w:rPr>
          <w:rFonts w:eastAsia="Arial"/>
        </w:rPr>
        <w:t>ies</w:t>
      </w:r>
      <w:proofErr w:type="spellEnd"/>
      <w:r w:rsidRPr="7E00B00A">
        <w:rPr>
          <w:rFonts w:eastAsia="Arial"/>
        </w:rPr>
        <w:t>).</w:t>
      </w:r>
    </w:p>
    <w:p w14:paraId="3F025624" w14:textId="2BE7269E" w:rsidR="7CAB64A5" w:rsidRDefault="7CAB64A5" w:rsidP="00E9268C">
      <w:pPr>
        <w:pStyle w:val="ListParagraph"/>
        <w:numPr>
          <w:ilvl w:val="1"/>
          <w:numId w:val="6"/>
        </w:numPr>
        <w:spacing w:after="60"/>
        <w:jc w:val="left"/>
        <w:rPr>
          <w:rFonts w:eastAsia="Arial"/>
        </w:rPr>
      </w:pPr>
      <w:r w:rsidRPr="7E00B00A">
        <w:rPr>
          <w:rFonts w:eastAsia="Arial"/>
        </w:rPr>
        <w:t>Annual electricity reductions (kWh), energy cost reductions, peak load reduction and/or shifting (kW or kWh), infrastructure resiliency, and infrastructure reliability at the industrial facility(</w:t>
      </w:r>
      <w:proofErr w:type="spellStart"/>
      <w:r w:rsidRPr="7E00B00A">
        <w:rPr>
          <w:rFonts w:eastAsia="Arial"/>
        </w:rPr>
        <w:t>ies</w:t>
      </w:r>
      <w:proofErr w:type="spellEnd"/>
      <w:r w:rsidRPr="7E00B00A">
        <w:rPr>
          <w:rFonts w:eastAsia="Arial"/>
        </w:rPr>
        <w:t>). Explain whether there is sufficient electrical capacity to complete the project at the designated site or indicate if it will be expanded.</w:t>
      </w:r>
    </w:p>
    <w:p w14:paraId="313642C7" w14:textId="4847D2FE" w:rsidR="7CAB64A5" w:rsidRDefault="7CAB64A5" w:rsidP="00E9268C">
      <w:pPr>
        <w:pStyle w:val="ListParagraph"/>
        <w:numPr>
          <w:ilvl w:val="1"/>
          <w:numId w:val="6"/>
        </w:numPr>
        <w:spacing w:after="60"/>
        <w:jc w:val="left"/>
        <w:rPr>
          <w:rFonts w:eastAsia="Arial"/>
        </w:rPr>
      </w:pPr>
      <w:r w:rsidRPr="7E00B00A">
        <w:rPr>
          <w:rFonts w:eastAsia="Arial"/>
        </w:rPr>
        <w:t>Other potential benefits for California including additional air emission reductions (</w:t>
      </w:r>
      <w:proofErr w:type="gramStart"/>
      <w:r w:rsidRPr="7E00B00A">
        <w:rPr>
          <w:rFonts w:eastAsia="Arial"/>
        </w:rPr>
        <w:t>e.g.</w:t>
      </w:r>
      <w:proofErr w:type="gramEnd"/>
      <w:r w:rsidRPr="7E00B00A">
        <w:rPr>
          <w:rFonts w:eastAsia="Arial"/>
        </w:rPr>
        <w:t xml:space="preserve"> NOx), water savings, additional cost savings (thermal and Btus), and increased safety, water reduction/reuse. </w:t>
      </w:r>
    </w:p>
    <w:p w14:paraId="3FC42544" w14:textId="56F0D082" w:rsidR="7CAB64A5" w:rsidRDefault="7CAB64A5" w:rsidP="00E9268C">
      <w:pPr>
        <w:pStyle w:val="ListParagraph"/>
        <w:numPr>
          <w:ilvl w:val="0"/>
          <w:numId w:val="11"/>
        </w:numPr>
        <w:spacing w:after="60"/>
        <w:jc w:val="left"/>
        <w:rPr>
          <w:rFonts w:eastAsia="Arial"/>
        </w:rPr>
      </w:pPr>
      <w:r w:rsidRPr="7E00B00A">
        <w:rPr>
          <w:rFonts w:eastAsia="Arial"/>
        </w:rPr>
        <w:t xml:space="preserve">States the timeframe, assumptions with sources, and calculations for the estimated benefits, and explains their reasonableness. Includes baseline or “business as usual” over timeframe. </w:t>
      </w:r>
    </w:p>
    <w:p w14:paraId="405F1AB8" w14:textId="25DB1C92" w:rsidR="7CAB64A5" w:rsidRDefault="7CAB64A5" w:rsidP="00E9268C">
      <w:pPr>
        <w:pStyle w:val="ListParagraph"/>
        <w:numPr>
          <w:ilvl w:val="0"/>
          <w:numId w:val="11"/>
        </w:numPr>
        <w:spacing w:after="60"/>
        <w:jc w:val="left"/>
        <w:rPr>
          <w:rFonts w:eastAsia="Arial"/>
        </w:rPr>
      </w:pPr>
      <w:r w:rsidRPr="7E00B00A">
        <w:rPr>
          <w:rFonts w:eastAsia="Arial"/>
        </w:rPr>
        <w:t xml:space="preserve">Provides cost-benefit analysis comparing CEC funds requested relative to estimated GHG emission reductions and/or load shedding/shifting (e.g., CEC dollars requested/metric ton of GHG emissions reduced). </w:t>
      </w:r>
    </w:p>
    <w:p w14:paraId="72B5EF77" w14:textId="77777777" w:rsidR="008B4D47" w:rsidRDefault="008B4D47" w:rsidP="00E9268C">
      <w:pPr>
        <w:pStyle w:val="ListParagraph"/>
        <w:numPr>
          <w:ilvl w:val="0"/>
          <w:numId w:val="11"/>
        </w:numPr>
        <w:jc w:val="left"/>
      </w:pPr>
      <w:r>
        <w:t>Identifies the expected financial performance (</w:t>
      </w:r>
      <w:proofErr w:type="gramStart"/>
      <w:r>
        <w:t>e.g.</w:t>
      </w:r>
      <w:proofErr w:type="gramEnd"/>
      <w:r>
        <w:t xml:space="preserve"> payback period, ROI) of the demonstration at scale. </w:t>
      </w:r>
    </w:p>
    <w:p w14:paraId="48B0AECD" w14:textId="41AD65CF" w:rsidR="008B4D47" w:rsidRPr="003B49FA" w:rsidRDefault="008B4D47" w:rsidP="00E9268C">
      <w:pPr>
        <w:pStyle w:val="ListParagraph"/>
        <w:numPr>
          <w:ilvl w:val="0"/>
          <w:numId w:val="11"/>
        </w:numPr>
        <w:jc w:val="left"/>
      </w:pPr>
      <w:r w:rsidRPr="003B49FA">
        <w:t xml:space="preserve">Identifies the specific programs </w:t>
      </w:r>
      <w:r w:rsidR="62416D84" w:rsidRPr="003B49FA">
        <w:t xml:space="preserve">that </w:t>
      </w:r>
      <w:r w:rsidRPr="003B49FA">
        <w:t>the technology intends to leverage (</w:t>
      </w:r>
      <w:proofErr w:type="gramStart"/>
      <w:r w:rsidRPr="003B49FA">
        <w:t>e.g.</w:t>
      </w:r>
      <w:proofErr w:type="gramEnd"/>
      <w:r w:rsidRPr="003B49FA">
        <w:t xml:space="preserve"> feed-in tariffs, IOU rebates, demand response, storage procurement) and extent to which technology meets program requirements.</w:t>
      </w:r>
    </w:p>
    <w:p w14:paraId="233B0686" w14:textId="24DAD9C8" w:rsidR="001D13BA" w:rsidRPr="006405B2" w:rsidRDefault="001D13BA" w:rsidP="001D13BA">
      <w:pPr>
        <w:numPr>
          <w:ilvl w:val="0"/>
          <w:numId w:val="11"/>
        </w:numPr>
        <w:spacing w:after="60"/>
        <w:rPr>
          <w:rFonts w:eastAsia="Arial"/>
        </w:rPr>
      </w:pPr>
      <w:r w:rsidRPr="006405B2">
        <w:t>Provides information described in Section II.B</w:t>
      </w:r>
      <w:r w:rsidR="00361CBF">
        <w:t>.</w:t>
      </w:r>
    </w:p>
    <w:p w14:paraId="6D19FCAE" w14:textId="77777777" w:rsidR="008B4D47" w:rsidRPr="00E45742" w:rsidRDefault="008B4D47" w:rsidP="7E00B00A">
      <w:pPr>
        <w:jc w:val="left"/>
      </w:pPr>
    </w:p>
    <w:p w14:paraId="18FF9ED1" w14:textId="77777777" w:rsidR="00E45742" w:rsidRPr="000460E7" w:rsidRDefault="00E45742" w:rsidP="000460E7">
      <w:pPr>
        <w:pStyle w:val="ListParagraph"/>
        <w:keepNext/>
        <w:numPr>
          <w:ilvl w:val="0"/>
          <w:numId w:val="3"/>
        </w:numPr>
        <w:spacing w:before="120" w:line="259" w:lineRule="auto"/>
        <w:jc w:val="left"/>
        <w:rPr>
          <w:rFonts w:ascii="Tahoma" w:eastAsia="Tahoma" w:hAnsi="Tahoma" w:cs="Tahoma"/>
          <w:b/>
          <w:bCs/>
          <w:color w:val="000000" w:themeColor="text1"/>
        </w:rPr>
      </w:pPr>
      <w:r w:rsidRPr="000460E7">
        <w:rPr>
          <w:rFonts w:ascii="Tahoma" w:eastAsia="Tahoma" w:hAnsi="Tahoma" w:cs="Tahoma"/>
          <w:b/>
          <w:bCs/>
          <w:color w:val="000000" w:themeColor="text1"/>
        </w:rPr>
        <w:t>Team Qualifications, Capabilities and Resources</w:t>
      </w:r>
    </w:p>
    <w:p w14:paraId="217C784B" w14:textId="6C737F2C" w:rsidR="00E45742" w:rsidRDefault="45EAC7DF" w:rsidP="7E00B00A">
      <w:pPr>
        <w:spacing w:before="120" w:after="120"/>
        <w:jc w:val="left"/>
        <w:rPr>
          <w:rFonts w:eastAsia="Arial"/>
        </w:rPr>
      </w:pPr>
      <w:r w:rsidRPr="7E00B00A">
        <w:rPr>
          <w:rFonts w:eastAsia="Arial"/>
        </w:rPr>
        <w:t xml:space="preserve">Evaluations of ongoing or previous projects including project performance by applicant and team members will be used in scoring for this criterion. This can include contacting references.  </w:t>
      </w:r>
    </w:p>
    <w:p w14:paraId="3F1F89D9" w14:textId="6FA934F4" w:rsidR="008B4D47" w:rsidRPr="00941FBA" w:rsidRDefault="008B4D47" w:rsidP="00E9268C">
      <w:pPr>
        <w:numPr>
          <w:ilvl w:val="0"/>
          <w:numId w:val="7"/>
        </w:numPr>
        <w:spacing w:after="120"/>
        <w:ind w:left="720"/>
        <w:jc w:val="left"/>
        <w:rPr>
          <w:i/>
          <w:iCs/>
        </w:rPr>
      </w:pPr>
      <w:r>
        <w:t xml:space="preserve">Identifies credentials of </w:t>
      </w:r>
      <w:r w:rsidR="7E2916AC">
        <w:t>prime</w:t>
      </w:r>
      <w:r>
        <w:t xml:space="preserve"> and any sub</w:t>
      </w:r>
      <w:r w:rsidR="1F71DD40">
        <w:t>contractor key</w:t>
      </w:r>
      <w:r>
        <w:t xml:space="preserve"> personnel, including the project manager and principal investigator </w:t>
      </w:r>
      <w:r w:rsidRPr="7E00B00A">
        <w:rPr>
          <w:i/>
          <w:iCs/>
        </w:rPr>
        <w:t>(include this information in</w:t>
      </w:r>
      <w:r w:rsidR="005778AF" w:rsidRPr="7E00B00A">
        <w:rPr>
          <w:i/>
          <w:iCs/>
        </w:rPr>
        <w:t xml:space="preserve"> </w:t>
      </w:r>
      <w:r w:rsidRPr="7E00B00A">
        <w:rPr>
          <w:i/>
          <w:iCs/>
        </w:rPr>
        <w:t>Project Team Form</w:t>
      </w:r>
      <w:r w:rsidR="00913C69" w:rsidRPr="7E00B00A">
        <w:rPr>
          <w:i/>
          <w:iCs/>
        </w:rPr>
        <w:t xml:space="preserve"> Attachment</w:t>
      </w:r>
      <w:r w:rsidRPr="7E00B00A">
        <w:rPr>
          <w:i/>
          <w:iCs/>
        </w:rPr>
        <w:t>).</w:t>
      </w:r>
    </w:p>
    <w:p w14:paraId="37F810F1" w14:textId="2E38376E" w:rsidR="008B4D47" w:rsidRDefault="00FD4970" w:rsidP="00E9268C">
      <w:pPr>
        <w:numPr>
          <w:ilvl w:val="0"/>
          <w:numId w:val="7"/>
        </w:numPr>
        <w:spacing w:after="120"/>
        <w:ind w:left="720"/>
        <w:jc w:val="left"/>
      </w:pPr>
      <w:r>
        <w:t xml:space="preserve">Demonstrates that the project team </w:t>
      </w:r>
      <w:r w:rsidRPr="7E00B00A">
        <w:rPr>
          <w:i/>
          <w:iCs/>
        </w:rPr>
        <w:t>including Community Based Organization</w:t>
      </w:r>
      <w:r w:rsidR="2C370FE8" w:rsidRPr="7E00B00A">
        <w:rPr>
          <w:i/>
          <w:iCs/>
        </w:rPr>
        <w:t>s</w:t>
      </w:r>
      <w:r>
        <w:t xml:space="preserve"> has appropriate qualifications, experience, financial </w:t>
      </w:r>
      <w:proofErr w:type="gramStart"/>
      <w:r>
        <w:t>stability</w:t>
      </w:r>
      <w:proofErr w:type="gramEnd"/>
      <w:r>
        <w:t xml:space="preserve"> and capability to complete the project.</w:t>
      </w:r>
    </w:p>
    <w:p w14:paraId="42AEAF7D" w14:textId="06C66FA4" w:rsidR="008B4D47" w:rsidRDefault="008B4D47" w:rsidP="00E9268C">
      <w:pPr>
        <w:numPr>
          <w:ilvl w:val="0"/>
          <w:numId w:val="7"/>
        </w:numPr>
        <w:spacing w:after="120"/>
        <w:ind w:left="720"/>
        <w:jc w:val="left"/>
      </w:pPr>
      <w:r>
        <w:t>Explains the team structure and how various tasks will be managed and coordinated.</w:t>
      </w:r>
    </w:p>
    <w:p w14:paraId="1DB221DA" w14:textId="6CD6CB26" w:rsidR="00FD4970" w:rsidRPr="00FD4970" w:rsidRDefault="00FD4970" w:rsidP="43D6E376">
      <w:pPr>
        <w:ind w:left="720"/>
        <w:jc w:val="left"/>
        <w:rPr>
          <w:i/>
          <w:iCs/>
        </w:rPr>
      </w:pPr>
      <w:r w:rsidRPr="43D6E376">
        <w:rPr>
          <w:i/>
          <w:iCs/>
        </w:rPr>
        <w:t xml:space="preserve">Include an organization chart </w:t>
      </w:r>
      <w:proofErr w:type="gramStart"/>
      <w:r w:rsidRPr="43D6E376">
        <w:rPr>
          <w:i/>
          <w:iCs/>
        </w:rPr>
        <w:t>similar to</w:t>
      </w:r>
      <w:proofErr w:type="gramEnd"/>
      <w:r w:rsidRPr="43D6E376">
        <w:rPr>
          <w:i/>
          <w:iCs/>
        </w:rPr>
        <w:t xml:space="preserve"> the one below</w:t>
      </w:r>
      <w:r>
        <w:br/>
      </w:r>
    </w:p>
    <w:p w14:paraId="55C96317" w14:textId="77777777" w:rsidR="00FD4970" w:rsidRDefault="00FD4970" w:rsidP="7E00B00A">
      <w:pPr>
        <w:ind w:left="720"/>
        <w:jc w:val="left"/>
      </w:pPr>
      <w:r>
        <w:rPr>
          <w:noProof/>
          <w:color w:val="2B579A"/>
          <w:shd w:val="clear" w:color="auto" w:fill="E6E6E6"/>
        </w:rPr>
        <w:lastRenderedPageBreak/>
        <w:drawing>
          <wp:inline distT="0" distB="0" distL="0" distR="0" wp14:anchorId="402A7619" wp14:editId="710F91F0">
            <wp:extent cx="3574473" cy="2085109"/>
            <wp:effectExtent l="0" t="0" r="26035" b="29845"/>
            <wp:docPr id="1" name="Diagram 1" descr="An example of an organization chart is provided. " title="organization ch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9EB3A5B" w14:textId="200A9B89" w:rsidR="00FD4970" w:rsidRPr="00FD4970" w:rsidRDefault="00B74A9C" w:rsidP="7E00B00A">
      <w:pPr>
        <w:ind w:left="720"/>
        <w:jc w:val="left"/>
        <w:rPr>
          <w:b/>
          <w:bCs/>
        </w:rPr>
      </w:pPr>
      <w:r>
        <w:br/>
      </w:r>
      <w:r w:rsidR="00FD4970" w:rsidRPr="7E00B00A">
        <w:rPr>
          <w:b/>
          <w:bCs/>
        </w:rPr>
        <w:t>Figure X: Organization Chart</w:t>
      </w:r>
    </w:p>
    <w:p w14:paraId="128DBC85" w14:textId="77777777" w:rsidR="00FD4970" w:rsidRPr="00941FBA" w:rsidRDefault="00FD4970" w:rsidP="7E00B00A">
      <w:pPr>
        <w:spacing w:after="120"/>
        <w:ind w:left="720"/>
        <w:jc w:val="left"/>
      </w:pPr>
    </w:p>
    <w:p w14:paraId="428F2241" w14:textId="77777777" w:rsidR="008B4D47" w:rsidRPr="00B73640" w:rsidRDefault="008B4D47" w:rsidP="00E9268C">
      <w:pPr>
        <w:numPr>
          <w:ilvl w:val="0"/>
          <w:numId w:val="7"/>
        </w:numPr>
        <w:spacing w:after="120"/>
        <w:ind w:left="720"/>
        <w:jc w:val="left"/>
      </w:pPr>
      <w:r>
        <w:t>Describes the facilities, infrastructure, and resources available that directly support the project.</w:t>
      </w:r>
    </w:p>
    <w:p w14:paraId="0821FB46" w14:textId="5E2D27A6" w:rsidR="008B4D47" w:rsidRPr="00941FBA" w:rsidRDefault="008B4D47" w:rsidP="00E9268C">
      <w:pPr>
        <w:numPr>
          <w:ilvl w:val="0"/>
          <w:numId w:val="7"/>
        </w:numPr>
        <w:spacing w:after="120"/>
        <w:ind w:left="720"/>
        <w:jc w:val="left"/>
      </w:pPr>
      <w:r>
        <w:t xml:space="preserve">Describes the team’s history of successfully completing projects in the past 10 years including subsequent </w:t>
      </w:r>
      <w:r w:rsidR="4CE49D4F">
        <w:t xml:space="preserve">emerging technology </w:t>
      </w:r>
      <w:r>
        <w:t>deployments and commercialization.</w:t>
      </w:r>
    </w:p>
    <w:p w14:paraId="1F51F4A2" w14:textId="77777777" w:rsidR="00331547" w:rsidRDefault="00331547" w:rsidP="7E00B00A">
      <w:pPr>
        <w:jc w:val="left"/>
      </w:pPr>
    </w:p>
    <w:p w14:paraId="26229D6E" w14:textId="77777777" w:rsidR="00E45742" w:rsidRPr="000460E7" w:rsidRDefault="00E45742" w:rsidP="000460E7">
      <w:pPr>
        <w:pStyle w:val="ListParagraph"/>
        <w:keepNext/>
        <w:numPr>
          <w:ilvl w:val="0"/>
          <w:numId w:val="3"/>
        </w:numPr>
        <w:spacing w:before="120" w:line="259" w:lineRule="auto"/>
        <w:jc w:val="left"/>
        <w:rPr>
          <w:rFonts w:ascii="Tahoma" w:eastAsia="Tahoma" w:hAnsi="Tahoma" w:cs="Tahoma"/>
          <w:b/>
          <w:bCs/>
          <w:color w:val="000000" w:themeColor="text1"/>
        </w:rPr>
      </w:pPr>
      <w:r w:rsidRPr="000460E7">
        <w:rPr>
          <w:rFonts w:ascii="Tahoma" w:eastAsia="Tahoma" w:hAnsi="Tahoma" w:cs="Tahoma"/>
          <w:b/>
          <w:bCs/>
          <w:color w:val="000000" w:themeColor="text1"/>
        </w:rPr>
        <w:t>Budget and Cost Effectiveness</w:t>
      </w:r>
    </w:p>
    <w:p w14:paraId="6F45EA23" w14:textId="2048AE86" w:rsidR="008B4D47" w:rsidRDefault="001F2351" w:rsidP="00E9268C">
      <w:pPr>
        <w:pStyle w:val="ListParagraph"/>
        <w:numPr>
          <w:ilvl w:val="0"/>
          <w:numId w:val="12"/>
        </w:numPr>
        <w:ind w:left="720"/>
        <w:jc w:val="left"/>
        <w:rPr>
          <w:i/>
          <w:iCs/>
        </w:rPr>
      </w:pPr>
      <w:r w:rsidRPr="006405B2">
        <w:t xml:space="preserve">Includes complete budget forms for the applicant and all subrecipients, as described in the </w:t>
      </w:r>
      <w:r w:rsidR="00FE5ED9" w:rsidRPr="43D6E376">
        <w:t xml:space="preserve">Budget </w:t>
      </w:r>
      <w:r w:rsidR="008B4D47" w:rsidRPr="43D6E376">
        <w:t>Attachment</w:t>
      </w:r>
      <w:r w:rsidR="00A56963" w:rsidRPr="43D6E376">
        <w:t>.</w:t>
      </w:r>
      <w:r w:rsidR="008B4D47">
        <w:br/>
      </w:r>
      <w:r w:rsidR="008B4D47">
        <w:br/>
      </w:r>
      <w:r w:rsidR="00A56963" w:rsidRPr="43D6E376">
        <w:rPr>
          <w:i/>
          <w:iCs/>
        </w:rPr>
        <w:t>Provide a budget by tasks, such as:</w:t>
      </w:r>
    </w:p>
    <w:p w14:paraId="7ADB7B83" w14:textId="7700FCF6" w:rsidR="00964872" w:rsidRPr="00701F98" w:rsidRDefault="00964872" w:rsidP="7E00B00A">
      <w:pPr>
        <w:pStyle w:val="ListParagraph"/>
        <w:ind w:left="90"/>
        <w:jc w:val="left"/>
        <w:rPr>
          <w:i/>
          <w:iCs/>
        </w:rPr>
      </w:pPr>
      <w:r w:rsidRPr="7E00B00A">
        <w:rPr>
          <w:b/>
          <w:bCs/>
        </w:rPr>
        <w:t>Table X: Task Budget</w:t>
      </w:r>
    </w:p>
    <w:tbl>
      <w:tblPr>
        <w:tblStyle w:val="TableGrid"/>
        <w:tblW w:w="0" w:type="auto"/>
        <w:tblLook w:val="04A0" w:firstRow="1" w:lastRow="0" w:firstColumn="1" w:lastColumn="0" w:noHBand="0" w:noVBand="1"/>
        <w:tblCaption w:val="Example of task Budget"/>
        <w:tblDescription w:val="Applicant is to provide a budget by tasks. An example is provided. "/>
      </w:tblPr>
      <w:tblGrid>
        <w:gridCol w:w="2695"/>
        <w:gridCol w:w="2250"/>
        <w:gridCol w:w="1890"/>
        <w:gridCol w:w="1795"/>
      </w:tblGrid>
      <w:tr w:rsidR="00A56963" w:rsidRPr="00701F98" w14:paraId="78469F87" w14:textId="77777777" w:rsidTr="7E00B00A">
        <w:trPr>
          <w:tblHeader/>
        </w:trPr>
        <w:tc>
          <w:tcPr>
            <w:tcW w:w="2695" w:type="dxa"/>
            <w:shd w:val="clear" w:color="auto" w:fill="BFBFBF" w:themeFill="background1" w:themeFillShade="BF"/>
          </w:tcPr>
          <w:p w14:paraId="7C7988BD" w14:textId="77777777" w:rsidR="00A56963" w:rsidRPr="00701F98" w:rsidRDefault="00A56963" w:rsidP="43D6E376">
            <w:pPr>
              <w:spacing w:after="120"/>
              <w:jc w:val="center"/>
              <w:rPr>
                <w:b/>
                <w:bCs/>
              </w:rPr>
            </w:pPr>
            <w:r w:rsidRPr="43D6E376">
              <w:rPr>
                <w:b/>
                <w:bCs/>
              </w:rPr>
              <w:t>Task (by major task)</w:t>
            </w:r>
          </w:p>
        </w:tc>
        <w:tc>
          <w:tcPr>
            <w:tcW w:w="2250" w:type="dxa"/>
            <w:shd w:val="clear" w:color="auto" w:fill="BFBFBF" w:themeFill="background1" w:themeFillShade="BF"/>
          </w:tcPr>
          <w:p w14:paraId="5D7FB35E" w14:textId="77777777" w:rsidR="00A56963" w:rsidRPr="00701F98" w:rsidRDefault="00A56963" w:rsidP="43D6E376">
            <w:pPr>
              <w:spacing w:after="120"/>
              <w:jc w:val="center"/>
              <w:rPr>
                <w:b/>
                <w:bCs/>
              </w:rPr>
            </w:pPr>
            <w:r w:rsidRPr="43D6E376">
              <w:rPr>
                <w:b/>
                <w:bCs/>
              </w:rPr>
              <w:t>Energy Commission Funds</w:t>
            </w:r>
          </w:p>
        </w:tc>
        <w:tc>
          <w:tcPr>
            <w:tcW w:w="1890" w:type="dxa"/>
            <w:shd w:val="clear" w:color="auto" w:fill="BFBFBF" w:themeFill="background1" w:themeFillShade="BF"/>
          </w:tcPr>
          <w:p w14:paraId="07110EF8" w14:textId="77777777" w:rsidR="00A56963" w:rsidRPr="00701F98" w:rsidRDefault="00A56963" w:rsidP="43D6E376">
            <w:pPr>
              <w:spacing w:after="120"/>
              <w:jc w:val="center"/>
              <w:rPr>
                <w:b/>
                <w:bCs/>
              </w:rPr>
            </w:pPr>
            <w:r w:rsidRPr="43D6E376">
              <w:rPr>
                <w:b/>
                <w:bCs/>
              </w:rPr>
              <w:t>Match Share</w:t>
            </w:r>
          </w:p>
        </w:tc>
        <w:tc>
          <w:tcPr>
            <w:tcW w:w="1795" w:type="dxa"/>
            <w:shd w:val="clear" w:color="auto" w:fill="BFBFBF" w:themeFill="background1" w:themeFillShade="BF"/>
          </w:tcPr>
          <w:p w14:paraId="3477F033" w14:textId="77777777" w:rsidR="00A56963" w:rsidRPr="00701F98" w:rsidRDefault="00A56963" w:rsidP="43D6E376">
            <w:pPr>
              <w:spacing w:after="120"/>
              <w:jc w:val="center"/>
              <w:rPr>
                <w:b/>
                <w:bCs/>
              </w:rPr>
            </w:pPr>
            <w:r w:rsidRPr="43D6E376">
              <w:rPr>
                <w:b/>
                <w:bCs/>
              </w:rPr>
              <w:t>Total</w:t>
            </w:r>
          </w:p>
        </w:tc>
      </w:tr>
      <w:tr w:rsidR="00A56963" w14:paraId="01A4AAA2" w14:textId="77777777" w:rsidTr="7E00B00A">
        <w:tc>
          <w:tcPr>
            <w:tcW w:w="2695" w:type="dxa"/>
            <w:shd w:val="clear" w:color="auto" w:fill="FFFFFF" w:themeFill="background1"/>
          </w:tcPr>
          <w:p w14:paraId="4862F76D" w14:textId="51385131" w:rsidR="00A56963" w:rsidRPr="00BF0744" w:rsidRDefault="0051436D" w:rsidP="43D6E376">
            <w:pPr>
              <w:spacing w:after="120"/>
              <w:jc w:val="left"/>
              <w:rPr>
                <w:noProof/>
              </w:rPr>
            </w:pPr>
            <w:r w:rsidRPr="00BF0744">
              <w:rPr>
                <w:color w:val="2B579A"/>
                <w:shd w:val="clear" w:color="auto" w:fill="E6E6E6"/>
              </w:rPr>
              <w:fldChar w:fldCharType="begin">
                <w:ffData>
                  <w:name w:val="Text6"/>
                  <w:enabled/>
                  <w:calcOnExit w:val="0"/>
                  <w:statusText w:type="text" w:val="enter task number and name"/>
                  <w:textInput>
                    <w:default w:val="Task 1: General Project Tasks"/>
                  </w:textInput>
                </w:ffData>
              </w:fldChar>
            </w:r>
            <w:bookmarkStart w:id="0" w:name="Text6"/>
            <w:r w:rsidRPr="00BF0744">
              <w:instrText xml:space="preserve"> FORMTEXT </w:instrText>
            </w:r>
            <w:r w:rsidRPr="00BF0744">
              <w:rPr>
                <w:color w:val="2B579A"/>
                <w:shd w:val="clear" w:color="auto" w:fill="E6E6E6"/>
              </w:rPr>
            </w:r>
            <w:r w:rsidRPr="00BF0744">
              <w:rPr>
                <w:color w:val="2B579A"/>
                <w:shd w:val="clear" w:color="auto" w:fill="E6E6E6"/>
              </w:rPr>
              <w:fldChar w:fldCharType="separate"/>
            </w:r>
            <w:r w:rsidRPr="00BF0744">
              <w:rPr>
                <w:noProof/>
              </w:rPr>
              <w:t>Task 1: General Project Tasks</w:t>
            </w:r>
            <w:r w:rsidRPr="00BF0744">
              <w:rPr>
                <w:color w:val="2B579A"/>
                <w:shd w:val="clear" w:color="auto" w:fill="E6E6E6"/>
              </w:rPr>
              <w:fldChar w:fldCharType="end"/>
            </w:r>
            <w:bookmarkEnd w:id="0"/>
          </w:p>
        </w:tc>
        <w:tc>
          <w:tcPr>
            <w:tcW w:w="2250" w:type="dxa"/>
          </w:tcPr>
          <w:p w14:paraId="17BAF454" w14:textId="2644C425" w:rsidR="00A56963" w:rsidRDefault="0051436D" w:rsidP="43D6E376">
            <w:pPr>
              <w:spacing w:after="120"/>
              <w:jc w:val="left"/>
              <w:rPr>
                <w:noProof/>
              </w:rPr>
            </w:pPr>
            <w:r>
              <w:rPr>
                <w:color w:val="2B579A"/>
                <w:shd w:val="clear" w:color="auto" w:fill="E6E6E6"/>
              </w:rPr>
              <w:fldChar w:fldCharType="begin">
                <w:ffData>
                  <w:name w:val="Text7"/>
                  <w:enabled/>
                  <w:calcOnExit w:val="0"/>
                  <w:statusText w:type="text" w:val="enter dollar amount of Energy Commission funds for this task"/>
                  <w:textInput/>
                </w:ffData>
              </w:fldChar>
            </w:r>
            <w:bookmarkStart w:id="1" w:name="Text7"/>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
          </w:p>
        </w:tc>
        <w:tc>
          <w:tcPr>
            <w:tcW w:w="1890" w:type="dxa"/>
          </w:tcPr>
          <w:p w14:paraId="7A3C0B49" w14:textId="47482D26" w:rsidR="00A56963" w:rsidRDefault="0051436D" w:rsidP="43D6E376">
            <w:pPr>
              <w:spacing w:after="120"/>
              <w:jc w:val="left"/>
              <w:rPr>
                <w:noProof/>
              </w:rPr>
            </w:pPr>
            <w:r>
              <w:rPr>
                <w:color w:val="2B579A"/>
                <w:shd w:val="clear" w:color="auto" w:fill="E6E6E6"/>
              </w:rPr>
              <w:fldChar w:fldCharType="begin">
                <w:ffData>
                  <w:name w:val="Text8"/>
                  <w:enabled/>
                  <w:calcOnExit w:val="0"/>
                  <w:statusText w:type="text" w:val="enter match share dollar amount for this task"/>
                  <w:textInput/>
                </w:ffData>
              </w:fldChar>
            </w:r>
            <w:bookmarkStart w:id="2" w:name="Text8"/>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
          </w:p>
        </w:tc>
        <w:tc>
          <w:tcPr>
            <w:tcW w:w="1795" w:type="dxa"/>
          </w:tcPr>
          <w:p w14:paraId="6C89E860" w14:textId="7440D4E2" w:rsidR="00A56963" w:rsidRDefault="0051436D" w:rsidP="43D6E376">
            <w:pPr>
              <w:spacing w:after="120"/>
              <w:jc w:val="left"/>
              <w:rPr>
                <w:noProof/>
              </w:rPr>
            </w:pPr>
            <w:r>
              <w:rPr>
                <w:color w:val="2B579A"/>
                <w:shd w:val="clear" w:color="auto" w:fill="E6E6E6"/>
              </w:rPr>
              <w:fldChar w:fldCharType="begin">
                <w:ffData>
                  <w:name w:val="Text9"/>
                  <w:enabled/>
                  <w:calcOnExit w:val="0"/>
                  <w:statusText w:type="text" w:val="enter total dollar amount for this task (energy commission funds + match share)"/>
                  <w:textInput/>
                </w:ffData>
              </w:fldChar>
            </w:r>
            <w:bookmarkStart w:id="3" w:name="Text9"/>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3"/>
          </w:p>
        </w:tc>
      </w:tr>
      <w:tr w:rsidR="00A56963" w14:paraId="1F7CCAA2" w14:textId="77777777" w:rsidTr="7E00B00A">
        <w:tc>
          <w:tcPr>
            <w:tcW w:w="2695" w:type="dxa"/>
            <w:shd w:val="clear" w:color="auto" w:fill="FFFFFF" w:themeFill="background1"/>
          </w:tcPr>
          <w:p w14:paraId="2532B0CA" w14:textId="69939CFB" w:rsidR="00A56963" w:rsidRPr="00BF0744" w:rsidRDefault="0051436D" w:rsidP="43D6E376">
            <w:pPr>
              <w:spacing w:after="120"/>
              <w:jc w:val="left"/>
              <w:rPr>
                <w:noProof/>
              </w:rPr>
            </w:pPr>
            <w:r w:rsidRPr="00BF0744">
              <w:rPr>
                <w:color w:val="2B579A"/>
                <w:shd w:val="clear" w:color="auto" w:fill="E6E6E6"/>
              </w:rPr>
              <w:fldChar w:fldCharType="begin">
                <w:ffData>
                  <w:name w:val=""/>
                  <w:enabled/>
                  <w:calcOnExit w:val="0"/>
                  <w:statusText w:type="text" w:val="enter task number and name"/>
                  <w:textInput>
                    <w:default w:val="Task 2:"/>
                  </w:textInput>
                </w:ffData>
              </w:fldChar>
            </w:r>
            <w:r w:rsidRPr="00BF0744">
              <w:instrText xml:space="preserve"> FORMTEXT </w:instrText>
            </w:r>
            <w:r w:rsidRPr="00BF0744">
              <w:rPr>
                <w:color w:val="2B579A"/>
                <w:shd w:val="clear" w:color="auto" w:fill="E6E6E6"/>
              </w:rPr>
            </w:r>
            <w:r w:rsidRPr="00BF0744">
              <w:rPr>
                <w:color w:val="2B579A"/>
                <w:shd w:val="clear" w:color="auto" w:fill="E6E6E6"/>
              </w:rPr>
              <w:fldChar w:fldCharType="separate"/>
            </w:r>
            <w:r w:rsidRPr="00BF0744">
              <w:rPr>
                <w:noProof/>
              </w:rPr>
              <w:t>Task 2:</w:t>
            </w:r>
            <w:r w:rsidRPr="00BF0744">
              <w:rPr>
                <w:color w:val="2B579A"/>
                <w:shd w:val="clear" w:color="auto" w:fill="E6E6E6"/>
              </w:rPr>
              <w:fldChar w:fldCharType="end"/>
            </w:r>
          </w:p>
        </w:tc>
        <w:tc>
          <w:tcPr>
            <w:tcW w:w="2250" w:type="dxa"/>
          </w:tcPr>
          <w:p w14:paraId="24B5081B" w14:textId="3270D649" w:rsidR="00A56963" w:rsidRDefault="0051436D" w:rsidP="43D6E376">
            <w:pPr>
              <w:spacing w:after="120"/>
              <w:jc w:val="left"/>
              <w:rPr>
                <w:noProof/>
              </w:rPr>
            </w:pPr>
            <w:r>
              <w:rPr>
                <w:color w:val="2B579A"/>
                <w:shd w:val="clear" w:color="auto" w:fill="E6E6E6"/>
              </w:rPr>
              <w:fldChar w:fldCharType="begin">
                <w:ffData>
                  <w:name w:val="Text7"/>
                  <w:enabled/>
                  <w:calcOnExit w:val="0"/>
                  <w:statusText w:type="text" w:val="enter dollar amount of Energy Commission funds for this task"/>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890" w:type="dxa"/>
          </w:tcPr>
          <w:p w14:paraId="5004C72A" w14:textId="5279B086" w:rsidR="00A56963" w:rsidRDefault="0051436D" w:rsidP="43D6E376">
            <w:pPr>
              <w:spacing w:after="120"/>
              <w:jc w:val="left"/>
              <w:rPr>
                <w:noProof/>
              </w:rPr>
            </w:pPr>
            <w:r>
              <w:rPr>
                <w:color w:val="2B579A"/>
                <w:shd w:val="clear" w:color="auto" w:fill="E6E6E6"/>
              </w:rPr>
              <w:fldChar w:fldCharType="begin">
                <w:ffData>
                  <w:name w:val="Text8"/>
                  <w:enabled/>
                  <w:calcOnExit w:val="0"/>
                  <w:statusText w:type="text" w:val="enter match share dollar amount for this task"/>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795" w:type="dxa"/>
          </w:tcPr>
          <w:p w14:paraId="62598629" w14:textId="64D7838E" w:rsidR="00A56963" w:rsidRDefault="0051436D" w:rsidP="43D6E376">
            <w:pPr>
              <w:spacing w:after="120"/>
              <w:jc w:val="left"/>
              <w:rPr>
                <w:noProof/>
              </w:rPr>
            </w:pPr>
            <w:r>
              <w:rPr>
                <w:color w:val="2B579A"/>
                <w:shd w:val="clear" w:color="auto" w:fill="E6E6E6"/>
              </w:rPr>
              <w:fldChar w:fldCharType="begin">
                <w:ffData>
                  <w:name w:val="Text9"/>
                  <w:enabled/>
                  <w:calcOnExit w:val="0"/>
                  <w:statusText w:type="text" w:val="enter total dollar amount for this task (energy commission funds + match share)"/>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A56963" w14:paraId="0DCC36BA" w14:textId="77777777" w:rsidTr="7E00B00A">
        <w:tc>
          <w:tcPr>
            <w:tcW w:w="2695" w:type="dxa"/>
            <w:shd w:val="clear" w:color="auto" w:fill="FFFFFF" w:themeFill="background1"/>
          </w:tcPr>
          <w:p w14:paraId="1176665F" w14:textId="5235B125" w:rsidR="00A56963" w:rsidRPr="00BF0744" w:rsidRDefault="0051436D" w:rsidP="43D6E376">
            <w:pPr>
              <w:spacing w:after="120"/>
              <w:jc w:val="left"/>
              <w:rPr>
                <w:noProof/>
              </w:rPr>
            </w:pPr>
            <w:r w:rsidRPr="00BF0744">
              <w:rPr>
                <w:color w:val="2B579A"/>
                <w:shd w:val="clear" w:color="auto" w:fill="E6E6E6"/>
              </w:rPr>
              <w:fldChar w:fldCharType="begin">
                <w:ffData>
                  <w:name w:val=""/>
                  <w:enabled/>
                  <w:calcOnExit w:val="0"/>
                  <w:statusText w:type="text" w:val="enter task number and name"/>
                  <w:textInput>
                    <w:default w:val="Task [TBD-1]: Evaluation of Project Benefits"/>
                  </w:textInput>
                </w:ffData>
              </w:fldChar>
            </w:r>
            <w:r w:rsidRPr="00BF0744">
              <w:instrText xml:space="preserve"> FORMTEXT </w:instrText>
            </w:r>
            <w:r w:rsidRPr="00BF0744">
              <w:rPr>
                <w:color w:val="2B579A"/>
                <w:shd w:val="clear" w:color="auto" w:fill="E6E6E6"/>
              </w:rPr>
            </w:r>
            <w:r w:rsidRPr="00BF0744">
              <w:rPr>
                <w:color w:val="2B579A"/>
                <w:shd w:val="clear" w:color="auto" w:fill="E6E6E6"/>
              </w:rPr>
              <w:fldChar w:fldCharType="separate"/>
            </w:r>
            <w:r w:rsidRPr="00BF0744">
              <w:rPr>
                <w:noProof/>
              </w:rPr>
              <w:t>Task [TBD-1]: Evaluation of Project Benefits</w:t>
            </w:r>
            <w:r w:rsidRPr="00BF0744">
              <w:rPr>
                <w:color w:val="2B579A"/>
                <w:shd w:val="clear" w:color="auto" w:fill="E6E6E6"/>
              </w:rPr>
              <w:fldChar w:fldCharType="end"/>
            </w:r>
          </w:p>
        </w:tc>
        <w:tc>
          <w:tcPr>
            <w:tcW w:w="2250" w:type="dxa"/>
          </w:tcPr>
          <w:p w14:paraId="064202DD" w14:textId="094071EA" w:rsidR="00A56963" w:rsidRDefault="0051436D" w:rsidP="43D6E376">
            <w:pPr>
              <w:spacing w:after="120"/>
              <w:jc w:val="left"/>
              <w:rPr>
                <w:noProof/>
              </w:rPr>
            </w:pPr>
            <w:r>
              <w:rPr>
                <w:color w:val="2B579A"/>
                <w:shd w:val="clear" w:color="auto" w:fill="E6E6E6"/>
              </w:rPr>
              <w:fldChar w:fldCharType="begin">
                <w:ffData>
                  <w:name w:val="Text7"/>
                  <w:enabled/>
                  <w:calcOnExit w:val="0"/>
                  <w:statusText w:type="text" w:val="enter dollar amount of Energy Commission funds for this task"/>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890" w:type="dxa"/>
          </w:tcPr>
          <w:p w14:paraId="2D747C2D" w14:textId="2175F54D" w:rsidR="00A56963" w:rsidRDefault="0051436D" w:rsidP="43D6E376">
            <w:pPr>
              <w:spacing w:after="120"/>
              <w:jc w:val="left"/>
              <w:rPr>
                <w:noProof/>
              </w:rPr>
            </w:pPr>
            <w:r>
              <w:rPr>
                <w:color w:val="2B579A"/>
                <w:shd w:val="clear" w:color="auto" w:fill="E6E6E6"/>
              </w:rPr>
              <w:fldChar w:fldCharType="begin">
                <w:ffData>
                  <w:name w:val="Text8"/>
                  <w:enabled/>
                  <w:calcOnExit w:val="0"/>
                  <w:statusText w:type="text" w:val="enter match share dollar amount for this task"/>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795" w:type="dxa"/>
          </w:tcPr>
          <w:p w14:paraId="68CCA469" w14:textId="3ADEC071" w:rsidR="00A56963" w:rsidRDefault="0051436D" w:rsidP="43D6E376">
            <w:pPr>
              <w:spacing w:after="120"/>
              <w:jc w:val="left"/>
              <w:rPr>
                <w:noProof/>
              </w:rPr>
            </w:pPr>
            <w:r>
              <w:rPr>
                <w:color w:val="2B579A"/>
                <w:shd w:val="clear" w:color="auto" w:fill="E6E6E6"/>
              </w:rPr>
              <w:fldChar w:fldCharType="begin">
                <w:ffData>
                  <w:name w:val="Text9"/>
                  <w:enabled/>
                  <w:calcOnExit w:val="0"/>
                  <w:statusText w:type="text" w:val="enter total dollar amount for this task (energy commission funds + match share)"/>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A56963" w14:paraId="19AABB4A" w14:textId="77777777" w:rsidTr="7E00B00A">
        <w:trPr>
          <w:trHeight w:val="300"/>
        </w:trPr>
        <w:tc>
          <w:tcPr>
            <w:tcW w:w="2695" w:type="dxa"/>
            <w:shd w:val="clear" w:color="auto" w:fill="FFFFFF" w:themeFill="background1"/>
          </w:tcPr>
          <w:p w14:paraId="6E5C243B" w14:textId="36E2A1DD" w:rsidR="00A56963" w:rsidRPr="00BF0744" w:rsidRDefault="0051436D" w:rsidP="43D6E376">
            <w:pPr>
              <w:spacing w:after="120"/>
              <w:jc w:val="left"/>
              <w:rPr>
                <w:noProof/>
              </w:rPr>
            </w:pPr>
            <w:r w:rsidRPr="008C4CF7">
              <w:rPr>
                <w:color w:val="2B579A"/>
                <w:shd w:val="clear" w:color="auto" w:fill="E6E6E6"/>
                <w14:shadow w14:blurRad="50800" w14:dist="50800" w14:dir="5400000" w14:sx="0" w14:sy="0" w14:kx="0" w14:ky="0" w14:algn="ctr">
                  <w14:schemeClr w14:val="bg1"/>
                </w14:shadow>
              </w:rPr>
              <w:fldChar w:fldCharType="begin">
                <w:ffData>
                  <w:name w:val=""/>
                  <w:enabled/>
                  <w:calcOnExit w:val="0"/>
                  <w:statusText w:type="text" w:val="enter task number and name"/>
                  <w:textInput>
                    <w:default w:val="Task [TBD-2]: Technology/ Knowledge Transfer Activities *"/>
                  </w:textInput>
                </w:ffData>
              </w:fldChar>
            </w:r>
            <w:r w:rsidRPr="008C4CF7">
              <w:rPr>
                <w14:shadow w14:blurRad="50800" w14:dist="50800" w14:dir="5400000" w14:sx="0" w14:sy="0" w14:kx="0" w14:ky="0" w14:algn="ctr">
                  <w14:schemeClr w14:val="bg1"/>
                </w14:shadow>
              </w:rPr>
              <w:instrText xml:space="preserve"> FORMTEXT </w:instrText>
            </w:r>
            <w:r w:rsidRPr="008C4CF7">
              <w:rPr>
                <w:color w:val="2B579A"/>
                <w:shd w:val="clear" w:color="auto" w:fill="E6E6E6"/>
                <w14:shadow w14:blurRad="50800" w14:dist="50800" w14:dir="5400000" w14:sx="0" w14:sy="0" w14:kx="0" w14:ky="0" w14:algn="ctr">
                  <w14:schemeClr w14:val="bg1"/>
                </w14:shadow>
              </w:rPr>
            </w:r>
            <w:r w:rsidRPr="008C4CF7">
              <w:rPr>
                <w:color w:val="2B579A"/>
                <w:shd w:val="clear" w:color="auto" w:fill="E6E6E6"/>
                <w14:shadow w14:blurRad="50800" w14:dist="50800" w14:dir="5400000" w14:sx="0" w14:sy="0" w14:kx="0" w14:ky="0" w14:algn="ctr">
                  <w14:schemeClr w14:val="bg1"/>
                </w14:shadow>
              </w:rPr>
              <w:fldChar w:fldCharType="separate"/>
            </w:r>
            <w:r w:rsidRPr="008C4CF7">
              <w:rPr>
                <w:noProof/>
                <w14:shadow w14:blurRad="50800" w14:dist="50800" w14:dir="5400000" w14:sx="0" w14:sy="0" w14:kx="0" w14:ky="0" w14:algn="ctr">
                  <w14:schemeClr w14:val="bg1"/>
                </w14:shadow>
              </w:rPr>
              <w:t>Task [TBD-2]: Technology/ Knowledge Transfer Activities *</w:t>
            </w:r>
            <w:r w:rsidRPr="008C4CF7">
              <w:rPr>
                <w:color w:val="2B579A"/>
                <w:shd w:val="clear" w:color="auto" w:fill="E6E6E6"/>
                <w14:shadow w14:blurRad="50800" w14:dist="50800" w14:dir="5400000" w14:sx="0" w14:sy="0" w14:kx="0" w14:ky="0" w14:algn="ctr">
                  <w14:schemeClr w14:val="bg1"/>
                </w14:shadow>
              </w:rPr>
              <w:fldChar w:fldCharType="end"/>
            </w:r>
          </w:p>
        </w:tc>
        <w:tc>
          <w:tcPr>
            <w:tcW w:w="2250" w:type="dxa"/>
          </w:tcPr>
          <w:p w14:paraId="5FE6E125" w14:textId="37DF5BFF" w:rsidR="00A56963" w:rsidRDefault="0051436D" w:rsidP="43D6E376">
            <w:pPr>
              <w:spacing w:after="120"/>
              <w:jc w:val="left"/>
              <w:rPr>
                <w:noProof/>
              </w:rPr>
            </w:pPr>
            <w:r>
              <w:rPr>
                <w:color w:val="2B579A"/>
                <w:shd w:val="clear" w:color="auto" w:fill="E6E6E6"/>
              </w:rPr>
              <w:fldChar w:fldCharType="begin">
                <w:ffData>
                  <w:name w:val="Text7"/>
                  <w:enabled/>
                  <w:calcOnExit w:val="0"/>
                  <w:statusText w:type="text" w:val="enter dollar amount of Energy Commission funds for this task"/>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890" w:type="dxa"/>
          </w:tcPr>
          <w:p w14:paraId="37583011" w14:textId="45503EAC" w:rsidR="00A56963" w:rsidRDefault="0051436D" w:rsidP="43D6E376">
            <w:pPr>
              <w:spacing w:after="120"/>
              <w:jc w:val="left"/>
              <w:rPr>
                <w:noProof/>
              </w:rPr>
            </w:pPr>
            <w:r>
              <w:rPr>
                <w:color w:val="2B579A"/>
                <w:shd w:val="clear" w:color="auto" w:fill="E6E6E6"/>
              </w:rPr>
              <w:fldChar w:fldCharType="begin">
                <w:ffData>
                  <w:name w:val="Text8"/>
                  <w:enabled/>
                  <w:calcOnExit w:val="0"/>
                  <w:statusText w:type="text" w:val="enter match share dollar amount for this task"/>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795" w:type="dxa"/>
          </w:tcPr>
          <w:p w14:paraId="4D38DE08" w14:textId="7B58836C" w:rsidR="00A56963" w:rsidRDefault="0051436D" w:rsidP="43D6E376">
            <w:pPr>
              <w:spacing w:after="120"/>
              <w:jc w:val="left"/>
              <w:rPr>
                <w:noProof/>
              </w:rPr>
            </w:pPr>
            <w:r>
              <w:rPr>
                <w:color w:val="2B579A"/>
                <w:shd w:val="clear" w:color="auto" w:fill="E6E6E6"/>
              </w:rPr>
              <w:fldChar w:fldCharType="begin">
                <w:ffData>
                  <w:name w:val=""/>
                  <w:enabled/>
                  <w:calcOnExit w:val="0"/>
                  <w:statusText w:type="text" w:val="enter total dollar amount for this task (energy commission funds + match share)"/>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bl>
    <w:p w14:paraId="220E95C8" w14:textId="0C044135" w:rsidR="00A56963" w:rsidRPr="00964872" w:rsidRDefault="00A56963" w:rsidP="7E00B00A">
      <w:pPr>
        <w:spacing w:before="120"/>
        <w:ind w:firstLine="720"/>
        <w:jc w:val="left"/>
        <w:rPr>
          <w:b/>
          <w:bCs/>
        </w:rPr>
      </w:pPr>
      <w:r>
        <w:t xml:space="preserve">* </w:t>
      </w:r>
      <w:r w:rsidRPr="7E00B00A">
        <w:rPr>
          <w:b/>
          <w:bCs/>
        </w:rPr>
        <w:t xml:space="preserve">Requires 5% of total </w:t>
      </w:r>
      <w:r w:rsidR="00964872" w:rsidRPr="7E00B00A">
        <w:rPr>
          <w:b/>
          <w:bCs/>
        </w:rPr>
        <w:t xml:space="preserve">CEC </w:t>
      </w:r>
      <w:r w:rsidRPr="7E00B00A">
        <w:rPr>
          <w:b/>
          <w:bCs/>
        </w:rPr>
        <w:t>funds</w:t>
      </w:r>
    </w:p>
    <w:p w14:paraId="683430CE" w14:textId="77777777" w:rsidR="008B4D47" w:rsidRPr="00C31C1D" w:rsidRDefault="008B4D47" w:rsidP="00E9268C">
      <w:pPr>
        <w:numPr>
          <w:ilvl w:val="0"/>
          <w:numId w:val="12"/>
        </w:numPr>
        <w:spacing w:before="120"/>
        <w:jc w:val="left"/>
      </w:pPr>
      <w:r>
        <w:t>Justifies the reasonableness of the requested funds relative to the project goals, objectives, and tasks.</w:t>
      </w:r>
    </w:p>
    <w:p w14:paraId="26500EC9" w14:textId="293DBDDE" w:rsidR="4ACA806F" w:rsidRDefault="4ACA806F" w:rsidP="00E9268C">
      <w:pPr>
        <w:pStyle w:val="ListParagraph"/>
        <w:numPr>
          <w:ilvl w:val="0"/>
          <w:numId w:val="12"/>
        </w:numPr>
        <w:spacing w:before="120"/>
        <w:jc w:val="left"/>
        <w:rPr>
          <w:rFonts w:eastAsia="Arial"/>
        </w:rPr>
      </w:pPr>
      <w:r w:rsidRPr="7E00B00A">
        <w:rPr>
          <w:rFonts w:eastAsia="Arial"/>
        </w:rPr>
        <w:t xml:space="preserve">Justifies the reasonableness of direct and indirect costs, including equipment and material costs, direct labor, fringe benefits, and subrecipients/vendors cost related to </w:t>
      </w:r>
      <w:r w:rsidRPr="7E00B00A">
        <w:rPr>
          <w:rFonts w:eastAsia="Arial"/>
        </w:rPr>
        <w:lastRenderedPageBreak/>
        <w:t>installation, engineering and design, M&amp;V, and community engagement and that these costs are consistent with Section I.D.</w:t>
      </w:r>
    </w:p>
    <w:p w14:paraId="0E90718E" w14:textId="20992922" w:rsidR="4ACA806F" w:rsidRDefault="4ACA806F" w:rsidP="00E9268C">
      <w:pPr>
        <w:pStyle w:val="ListParagraph"/>
        <w:numPr>
          <w:ilvl w:val="0"/>
          <w:numId w:val="12"/>
        </w:numPr>
        <w:spacing w:before="120"/>
        <w:jc w:val="left"/>
        <w:rPr>
          <w:rFonts w:eastAsia="Arial"/>
        </w:rPr>
      </w:pPr>
      <w:r w:rsidRPr="7E00B00A">
        <w:rPr>
          <w:rFonts w:eastAsia="Arial"/>
        </w:rPr>
        <w:t>Justif</w:t>
      </w:r>
      <w:r w:rsidR="000B66F9">
        <w:rPr>
          <w:rFonts w:eastAsia="Arial"/>
        </w:rPr>
        <w:t>ies</w:t>
      </w:r>
      <w:r w:rsidRPr="7E00B00A">
        <w:rPr>
          <w:rFonts w:eastAsia="Arial"/>
        </w:rPr>
        <w:t xml:space="preserve"> the reasonableness of costs covered by match funding and that these costs are consistent with Section I.D. and Section I.K.</w:t>
      </w:r>
    </w:p>
    <w:p w14:paraId="7E2BEA27" w14:textId="0BDCDA93" w:rsidR="7ECA2B48" w:rsidRPr="000460E7" w:rsidRDefault="7ECA2B48" w:rsidP="00B6363D">
      <w:pPr>
        <w:pStyle w:val="ListParagraph"/>
        <w:keepNext/>
        <w:numPr>
          <w:ilvl w:val="0"/>
          <w:numId w:val="3"/>
        </w:numPr>
        <w:spacing w:before="240" w:line="259" w:lineRule="auto"/>
        <w:jc w:val="left"/>
        <w:rPr>
          <w:rFonts w:ascii="Tahoma" w:eastAsia="Tahoma" w:hAnsi="Tahoma" w:cs="Tahoma"/>
          <w:b/>
          <w:bCs/>
          <w:color w:val="000000" w:themeColor="text1"/>
        </w:rPr>
      </w:pPr>
      <w:bookmarkStart w:id="4" w:name="_Int_bfLMyVo6"/>
      <w:r w:rsidRPr="000460E7">
        <w:rPr>
          <w:rFonts w:ascii="Tahoma" w:eastAsia="Tahoma" w:hAnsi="Tahoma" w:cs="Tahoma"/>
          <w:b/>
          <w:bCs/>
          <w:color w:val="000000" w:themeColor="text1"/>
        </w:rPr>
        <w:t>Priority Populations and Community Engagement</w:t>
      </w:r>
      <w:bookmarkEnd w:id="4"/>
    </w:p>
    <w:p w14:paraId="408CB8A1" w14:textId="2ECBD29F" w:rsidR="36D2B2CB" w:rsidRDefault="283B7EFF" w:rsidP="00E9268C">
      <w:pPr>
        <w:pStyle w:val="ListParagraph"/>
        <w:keepNext/>
        <w:numPr>
          <w:ilvl w:val="0"/>
          <w:numId w:val="4"/>
        </w:numPr>
        <w:spacing w:before="120"/>
        <w:jc w:val="left"/>
        <w:rPr>
          <w:rFonts w:eastAsia="Arial"/>
        </w:rPr>
      </w:pPr>
      <w:r w:rsidRPr="73C683BC">
        <w:rPr>
          <w:rFonts w:eastAsia="Arial"/>
        </w:rPr>
        <w:t>Describe</w:t>
      </w:r>
      <w:r w:rsidR="000B66F9">
        <w:rPr>
          <w:rFonts w:eastAsia="Arial"/>
        </w:rPr>
        <w:t>s</w:t>
      </w:r>
      <w:r w:rsidR="6E97B566" w:rsidRPr="73C683BC">
        <w:rPr>
          <w:rFonts w:eastAsia="Arial"/>
        </w:rPr>
        <w:t xml:space="preserve"> how the applicant will provide direct, meaningful, and assured benefits and address important community needs</w:t>
      </w:r>
      <w:r w:rsidR="5D902F58" w:rsidRPr="73C683BC">
        <w:rPr>
          <w:rFonts w:eastAsia="Arial"/>
        </w:rPr>
        <w:t>, including:</w:t>
      </w:r>
    </w:p>
    <w:p w14:paraId="26CBF179" w14:textId="6117BC7A" w:rsidR="36D2B2CB" w:rsidRDefault="3CE60207" w:rsidP="73C683BC">
      <w:pPr>
        <w:pStyle w:val="ListParagraph"/>
        <w:keepNext/>
        <w:numPr>
          <w:ilvl w:val="0"/>
          <w:numId w:val="2"/>
        </w:numPr>
        <w:spacing w:before="120"/>
        <w:jc w:val="left"/>
        <w:rPr>
          <w:rFonts w:eastAsia="Arial"/>
        </w:rPr>
      </w:pPr>
      <w:r w:rsidRPr="73C683BC">
        <w:rPr>
          <w:rFonts w:eastAsia="Arial"/>
        </w:rPr>
        <w:t>Detailed plan</w:t>
      </w:r>
      <w:r w:rsidR="6D6AA727" w:rsidRPr="73C683BC">
        <w:rPr>
          <w:rFonts w:eastAsia="Arial"/>
        </w:rPr>
        <w:t xml:space="preserve"> for direct community engagement and proposed benefits. P</w:t>
      </w:r>
      <w:r w:rsidR="6E97B566" w:rsidRPr="73C683BC">
        <w:rPr>
          <w:rFonts w:eastAsia="Arial"/>
        </w:rPr>
        <w:t xml:space="preserve">roposed benefits must be identified following the steps required in Section II.B.5. </w:t>
      </w:r>
    </w:p>
    <w:p w14:paraId="0AF1FEE4" w14:textId="3F88380F" w:rsidR="36D2B2CB" w:rsidRDefault="660369A0" w:rsidP="73C683BC">
      <w:pPr>
        <w:pStyle w:val="ListParagraph"/>
        <w:keepNext/>
        <w:numPr>
          <w:ilvl w:val="0"/>
          <w:numId w:val="2"/>
        </w:numPr>
        <w:spacing w:before="120"/>
        <w:jc w:val="left"/>
        <w:rPr>
          <w:rFonts w:eastAsia="Arial"/>
        </w:rPr>
      </w:pPr>
      <w:r w:rsidRPr="73C683BC">
        <w:rPr>
          <w:rFonts w:eastAsia="Arial"/>
        </w:rPr>
        <w:t>Letters from CBOs demonstrating</w:t>
      </w:r>
      <w:r w:rsidR="6E97B566" w:rsidRPr="73C683BC">
        <w:rPr>
          <w:rFonts w:eastAsia="Arial"/>
        </w:rPr>
        <w:t xml:space="preserve"> that the project has broad community support as described in Section II.B.5.</w:t>
      </w:r>
    </w:p>
    <w:p w14:paraId="7B9E0FC9" w14:textId="643FE764" w:rsidR="36D2B2CB" w:rsidRDefault="6E97B566" w:rsidP="73C683BC">
      <w:pPr>
        <w:pStyle w:val="ListParagraph"/>
        <w:keepNext/>
        <w:numPr>
          <w:ilvl w:val="0"/>
          <w:numId w:val="2"/>
        </w:numPr>
        <w:spacing w:before="120"/>
        <w:jc w:val="left"/>
        <w:rPr>
          <w:rFonts w:eastAsia="Arial"/>
        </w:rPr>
      </w:pPr>
      <w:r w:rsidRPr="73C683BC">
        <w:rPr>
          <w:rFonts w:eastAsia="Arial"/>
        </w:rPr>
        <w:t>Clear outline of planned approach provided as a Technical Task in the Scope of Work, including checkpoints for accountability to communities throughout the agreement period</w:t>
      </w:r>
      <w:r w:rsidR="3DB0A161" w:rsidRPr="73C683BC">
        <w:rPr>
          <w:rFonts w:eastAsia="Arial"/>
        </w:rPr>
        <w:t>.</w:t>
      </w:r>
    </w:p>
    <w:p w14:paraId="0695F48C" w14:textId="7B9A443D" w:rsidR="06A3E6DD" w:rsidRDefault="28F61D50" w:rsidP="004C3870">
      <w:pPr>
        <w:pStyle w:val="ListParagraph"/>
        <w:keepNext/>
        <w:numPr>
          <w:ilvl w:val="0"/>
          <w:numId w:val="4"/>
        </w:numPr>
        <w:spacing w:before="120"/>
        <w:jc w:val="left"/>
        <w:rPr>
          <w:rFonts w:eastAsia="Arial"/>
        </w:rPr>
      </w:pPr>
      <w:r w:rsidRPr="73C683BC">
        <w:rPr>
          <w:rFonts w:eastAsia="Arial"/>
        </w:rPr>
        <w:t xml:space="preserve">Provides </w:t>
      </w:r>
      <w:r w:rsidR="5859C491" w:rsidRPr="73C683BC">
        <w:rPr>
          <w:rFonts w:eastAsia="Arial"/>
        </w:rPr>
        <w:t>the rest of the</w:t>
      </w:r>
      <w:r w:rsidR="72DE4402" w:rsidRPr="73C683BC">
        <w:rPr>
          <w:rFonts w:eastAsia="Arial"/>
        </w:rPr>
        <w:t xml:space="preserve"> </w:t>
      </w:r>
      <w:r w:rsidRPr="73C683BC">
        <w:rPr>
          <w:rFonts w:eastAsia="Arial"/>
        </w:rPr>
        <w:t>information described in Section II.B</w:t>
      </w:r>
    </w:p>
    <w:p w14:paraId="6D8B37EA" w14:textId="1958853D" w:rsidR="004C3870" w:rsidRPr="000460E7" w:rsidRDefault="004C3870" w:rsidP="004C3870">
      <w:pPr>
        <w:pStyle w:val="ListParagraph"/>
        <w:keepNext/>
        <w:numPr>
          <w:ilvl w:val="0"/>
          <w:numId w:val="4"/>
        </w:numPr>
        <w:spacing w:before="120"/>
        <w:jc w:val="left"/>
        <w:rPr>
          <w:rFonts w:eastAsia="Arial"/>
          <w:b/>
          <w:bCs/>
          <w:u w:val="single"/>
        </w:rPr>
      </w:pPr>
      <w:r w:rsidRPr="000460E7">
        <w:rPr>
          <w:rFonts w:eastAsia="Arial"/>
          <w:b/>
          <w:bCs/>
          <w:u w:val="single"/>
        </w:rPr>
        <w:t xml:space="preserve">Project addresses </w:t>
      </w:r>
      <w:r w:rsidR="000460E7" w:rsidRPr="000460E7">
        <w:rPr>
          <w:rFonts w:eastAsia="Arial"/>
          <w:b/>
          <w:bCs/>
          <w:u w:val="single"/>
        </w:rPr>
        <w:t>the following (up to 5 points possible):</w:t>
      </w:r>
    </w:p>
    <w:p w14:paraId="68A8D658" w14:textId="5A128FC7" w:rsidR="6A75D8BA" w:rsidRDefault="57B4F2F1" w:rsidP="73C683BC">
      <w:pPr>
        <w:pStyle w:val="ListParagraph"/>
        <w:numPr>
          <w:ilvl w:val="0"/>
          <w:numId w:val="1"/>
        </w:numPr>
        <w:rPr>
          <w:rFonts w:eastAsia="Arial"/>
          <w:color w:val="000000" w:themeColor="text1"/>
          <w:szCs w:val="22"/>
        </w:rPr>
      </w:pPr>
      <w:r w:rsidRPr="73C683BC">
        <w:rPr>
          <w:rFonts w:eastAsia="Arial"/>
          <w:b/>
          <w:bCs/>
          <w:color w:val="000000" w:themeColor="text1"/>
          <w:szCs w:val="22"/>
          <w:u w:val="single"/>
        </w:rPr>
        <w:t>Locat</w:t>
      </w:r>
      <w:r w:rsidR="00573F79">
        <w:rPr>
          <w:rFonts w:eastAsia="Arial"/>
          <w:b/>
          <w:bCs/>
          <w:color w:val="000000" w:themeColor="text1"/>
          <w:szCs w:val="22"/>
          <w:u w:val="single"/>
        </w:rPr>
        <w:t>ed</w:t>
      </w:r>
      <w:r w:rsidRPr="73C683BC">
        <w:rPr>
          <w:rFonts w:eastAsia="Arial"/>
          <w:b/>
          <w:bCs/>
          <w:color w:val="000000" w:themeColor="text1"/>
          <w:szCs w:val="22"/>
          <w:u w:val="single"/>
        </w:rPr>
        <w:t xml:space="preserve"> in a disadvantaged or low-income community or in an area out of compliance with the applicable federal Clean Air Act (42 U.S.C. Sec. 7401 et seq.) deadlines in nonattainment areas.  </w:t>
      </w:r>
    </w:p>
    <w:p w14:paraId="2BB89B28" w14:textId="25E492D6" w:rsidR="6A75D8BA" w:rsidRDefault="57B4F2F1" w:rsidP="73C683BC">
      <w:pPr>
        <w:pStyle w:val="ListParagraph"/>
        <w:numPr>
          <w:ilvl w:val="0"/>
          <w:numId w:val="1"/>
        </w:numPr>
        <w:rPr>
          <w:rFonts w:eastAsia="Arial"/>
          <w:color w:val="000000" w:themeColor="text1"/>
          <w:szCs w:val="22"/>
        </w:rPr>
      </w:pPr>
      <w:r w:rsidRPr="73C683BC">
        <w:rPr>
          <w:rFonts w:eastAsia="Arial"/>
          <w:b/>
          <w:bCs/>
          <w:color w:val="000000" w:themeColor="text1"/>
          <w:szCs w:val="22"/>
          <w:u w:val="single"/>
        </w:rPr>
        <w:t>Develo</w:t>
      </w:r>
      <w:r w:rsidR="00573F79">
        <w:rPr>
          <w:rFonts w:eastAsia="Arial"/>
          <w:b/>
          <w:bCs/>
          <w:color w:val="000000" w:themeColor="text1"/>
          <w:szCs w:val="22"/>
          <w:u w:val="single"/>
        </w:rPr>
        <w:t>ps</w:t>
      </w:r>
      <w:r w:rsidRPr="73C683BC">
        <w:rPr>
          <w:rFonts w:eastAsia="Arial"/>
          <w:b/>
          <w:bCs/>
          <w:color w:val="000000" w:themeColor="text1"/>
          <w:szCs w:val="22"/>
          <w:u w:val="single"/>
        </w:rPr>
        <w:t xml:space="preserve"> of a community benefit fund or agreement to pursue a community benefits agreement with the surrounding community and other affected stakeholders.  </w:t>
      </w:r>
    </w:p>
    <w:p w14:paraId="38267607" w14:textId="4C82A0E5" w:rsidR="6A75D8BA" w:rsidRDefault="57B4F2F1" w:rsidP="73C683BC">
      <w:pPr>
        <w:pStyle w:val="ListParagraph"/>
        <w:numPr>
          <w:ilvl w:val="0"/>
          <w:numId w:val="1"/>
        </w:numPr>
        <w:rPr>
          <w:rFonts w:eastAsia="Arial"/>
          <w:color w:val="000000" w:themeColor="text1"/>
          <w:szCs w:val="22"/>
        </w:rPr>
      </w:pPr>
      <w:r w:rsidRPr="73C683BC">
        <w:rPr>
          <w:rFonts w:eastAsia="Arial"/>
          <w:b/>
          <w:bCs/>
          <w:color w:val="000000" w:themeColor="text1"/>
          <w:szCs w:val="22"/>
          <w:u w:val="single"/>
        </w:rPr>
        <w:t>To the greatest extent applicable, create</w:t>
      </w:r>
      <w:r w:rsidR="00BC615F">
        <w:rPr>
          <w:rFonts w:eastAsia="Arial"/>
          <w:b/>
          <w:bCs/>
          <w:color w:val="000000" w:themeColor="text1"/>
          <w:szCs w:val="22"/>
          <w:u w:val="single"/>
        </w:rPr>
        <w:t>s</w:t>
      </w:r>
      <w:r w:rsidRPr="73C683BC">
        <w:rPr>
          <w:rFonts w:eastAsia="Arial"/>
          <w:b/>
          <w:bCs/>
          <w:color w:val="000000" w:themeColor="text1"/>
          <w:szCs w:val="22"/>
          <w:u w:val="single"/>
        </w:rPr>
        <w:t xml:space="preserve"> high road jobs, include</w:t>
      </w:r>
      <w:r w:rsidR="001A31B2">
        <w:rPr>
          <w:rFonts w:eastAsia="Arial"/>
          <w:b/>
          <w:bCs/>
          <w:color w:val="000000" w:themeColor="text1"/>
          <w:szCs w:val="22"/>
          <w:u w:val="single"/>
        </w:rPr>
        <w:t>s</w:t>
      </w:r>
      <w:r w:rsidRPr="73C683BC">
        <w:rPr>
          <w:rFonts w:eastAsia="Arial"/>
          <w:b/>
          <w:bCs/>
          <w:color w:val="000000" w:themeColor="text1"/>
          <w:szCs w:val="22"/>
          <w:u w:val="single"/>
        </w:rPr>
        <w:t xml:space="preserve"> project labor agreements or prevailing wages, and contain</w:t>
      </w:r>
      <w:r w:rsidR="001A31B2">
        <w:rPr>
          <w:rFonts w:eastAsia="Arial"/>
          <w:b/>
          <w:bCs/>
          <w:color w:val="000000" w:themeColor="text1"/>
          <w:szCs w:val="22"/>
          <w:u w:val="single"/>
        </w:rPr>
        <w:t>s</w:t>
      </w:r>
      <w:r w:rsidRPr="73C683BC">
        <w:rPr>
          <w:rFonts w:eastAsia="Arial"/>
          <w:b/>
          <w:bCs/>
          <w:color w:val="000000" w:themeColor="text1"/>
          <w:szCs w:val="22"/>
          <w:u w:val="single"/>
        </w:rPr>
        <w:t xml:space="preserve"> a workforce training component.</w:t>
      </w:r>
    </w:p>
    <w:p w14:paraId="20ACEE6B" w14:textId="70A2872A" w:rsidR="6A75D8BA" w:rsidRDefault="6A75D8BA" w:rsidP="7E00B00A">
      <w:pPr>
        <w:jc w:val="left"/>
        <w:rPr>
          <w:b/>
          <w:bCs/>
        </w:rPr>
      </w:pPr>
    </w:p>
    <w:p w14:paraId="7DF38C58" w14:textId="77777777" w:rsidR="0B4FC9CB" w:rsidRPr="0017139A" w:rsidRDefault="0B4FC9CB" w:rsidP="0017139A">
      <w:pPr>
        <w:pStyle w:val="ListParagraph"/>
        <w:keepNext/>
        <w:numPr>
          <w:ilvl w:val="0"/>
          <w:numId w:val="3"/>
        </w:numPr>
        <w:spacing w:before="120" w:line="259" w:lineRule="auto"/>
        <w:jc w:val="left"/>
        <w:rPr>
          <w:rFonts w:ascii="Tahoma" w:eastAsia="Tahoma" w:hAnsi="Tahoma" w:cs="Tahoma"/>
          <w:b/>
          <w:bCs/>
          <w:color w:val="000000" w:themeColor="text1"/>
        </w:rPr>
      </w:pPr>
      <w:r w:rsidRPr="0017139A">
        <w:rPr>
          <w:rFonts w:ascii="Tahoma" w:eastAsia="Tahoma" w:hAnsi="Tahoma" w:cs="Tahoma"/>
          <w:b/>
          <w:bCs/>
          <w:color w:val="000000" w:themeColor="text1"/>
        </w:rPr>
        <w:t>Funds Spent in California</w:t>
      </w:r>
    </w:p>
    <w:p w14:paraId="24F5022E" w14:textId="5F2EAEC9" w:rsidR="0B4FC9CB" w:rsidRDefault="0B4FC9CB" w:rsidP="7E00B00A">
      <w:pPr>
        <w:ind w:left="360"/>
        <w:jc w:val="left"/>
        <w:rPr>
          <w:highlight w:val="yellow"/>
        </w:rPr>
      </w:pPr>
      <w:r>
        <w:t>This project proposes to spend $_________ of Energy Commission funds in California.</w:t>
      </w:r>
    </w:p>
    <w:p w14:paraId="041812F9" w14:textId="09C948F9" w:rsidR="6A75D8BA" w:rsidRDefault="6A75D8BA" w:rsidP="7E00B00A">
      <w:pPr>
        <w:ind w:left="360"/>
        <w:jc w:val="left"/>
      </w:pPr>
    </w:p>
    <w:p w14:paraId="139646AA" w14:textId="41031925" w:rsidR="091C252F" w:rsidRPr="00D034D8" w:rsidRDefault="091C252F" w:rsidP="00D034D8">
      <w:pPr>
        <w:pStyle w:val="ListParagraph"/>
        <w:keepNext/>
        <w:numPr>
          <w:ilvl w:val="0"/>
          <w:numId w:val="3"/>
        </w:numPr>
        <w:spacing w:before="120" w:line="259" w:lineRule="auto"/>
        <w:jc w:val="left"/>
        <w:rPr>
          <w:rFonts w:ascii="Tahoma" w:eastAsia="Tahoma" w:hAnsi="Tahoma" w:cs="Tahoma"/>
          <w:b/>
          <w:bCs/>
          <w:color w:val="000000" w:themeColor="text1"/>
        </w:rPr>
      </w:pPr>
      <w:r w:rsidRPr="00D034D8">
        <w:rPr>
          <w:rFonts w:ascii="Tahoma" w:eastAsia="Tahoma" w:hAnsi="Tahoma" w:cs="Tahoma"/>
          <w:b/>
          <w:bCs/>
          <w:color w:val="000000" w:themeColor="text1"/>
        </w:rPr>
        <w:t>Electric Grid Benefits</w:t>
      </w:r>
    </w:p>
    <w:p w14:paraId="4E213585" w14:textId="4236410B" w:rsidR="0B4FC9CB" w:rsidRDefault="0B4FC9CB" w:rsidP="7E00B00A">
      <w:pPr>
        <w:spacing w:before="120" w:after="120"/>
        <w:ind w:left="360"/>
        <w:jc w:val="left"/>
        <w:rPr>
          <w:rFonts w:eastAsia="Arial"/>
        </w:rPr>
      </w:pPr>
      <w:r w:rsidRPr="7E00B00A">
        <w:rPr>
          <w:rFonts w:eastAsia="Arial"/>
        </w:rPr>
        <w:t xml:space="preserve">To receive additional points, the proposed project must reduce overall electric usage (kWh) during facility’s utility rate peak periods. These reductions can result from implementing energy efficiency, load management, or electric generation projects. If multiple facilities are bundled under one application, an analysis must be provided for each individual facility. Additionally, explain whether these reductions result from energy efficiency or load flexibility projects. Preference points will be awarded based on the table below using the facility with the highest percentage reduction: </w:t>
      </w:r>
    </w:p>
    <w:p w14:paraId="2ABEEFFC" w14:textId="77B3DF9D" w:rsidR="6A75D8BA" w:rsidRDefault="00000000" w:rsidP="7E00B00A">
      <w:pPr>
        <w:spacing w:before="120" w:after="120"/>
        <w:ind w:left="360"/>
        <w:contextualSpacing/>
        <w:jc w:val="left"/>
      </w:pPr>
      <m:oMathPara>
        <m:oMath>
          <m:f>
            <m:fPr>
              <m:ctrlPr>
                <w:rPr>
                  <w:rFonts w:ascii="Cambria Math" w:hAnsi="Cambria Math"/>
                </w:rPr>
              </m:ctrlPr>
            </m:fPr>
            <m:num>
              <m:d>
                <m:dPr>
                  <m:begChr m:val="["/>
                  <m:endChr m:val="]"/>
                  <m:ctrlPr>
                    <w:rPr>
                      <w:rFonts w:ascii="Cambria Math" w:hAnsi="Cambria Math"/>
                    </w:rPr>
                  </m:ctrlPr>
                </m:dPr>
                <m:e>
                  <m:r>
                    <w:rPr>
                      <w:rFonts w:ascii="Cambria Math" w:hAnsi="Cambria Math"/>
                    </w:rPr>
                    <m:t>Electrical Energy </m:t>
                  </m:r>
                  <m:d>
                    <m:dPr>
                      <m:ctrlPr>
                        <w:rPr>
                          <w:rFonts w:ascii="Cambria Math" w:hAnsi="Cambria Math"/>
                        </w:rPr>
                      </m:ctrlPr>
                    </m:dPr>
                    <m:e>
                      <m:f>
                        <m:fPr>
                          <m:ctrlPr>
                            <w:rPr>
                              <w:rFonts w:ascii="Cambria Math" w:hAnsi="Cambria Math"/>
                            </w:rPr>
                          </m:ctrlPr>
                        </m:fPr>
                        <m:num>
                          <m:r>
                            <w:rPr>
                              <w:rFonts w:ascii="Cambria Math" w:hAnsi="Cambria Math"/>
                            </w:rPr>
                            <m:t>kWh</m:t>
                          </m:r>
                        </m:num>
                        <m:den>
                          <m:r>
                            <w:rPr>
                              <w:rFonts w:ascii="Cambria Math" w:hAnsi="Cambria Math"/>
                            </w:rPr>
                            <m:t>yr</m:t>
                          </m:r>
                        </m:den>
                      </m:f>
                    </m:e>
                  </m:d>
                  <m:r>
                    <w:rPr>
                      <w:rFonts w:ascii="Cambria Math" w:hAnsi="Cambria Math"/>
                    </w:rPr>
                    <m:t>Reduced + Electrical Energy</m:t>
                  </m:r>
                  <m:d>
                    <m:dPr>
                      <m:ctrlPr>
                        <w:rPr>
                          <w:rFonts w:ascii="Cambria Math" w:hAnsi="Cambria Math"/>
                        </w:rPr>
                      </m:ctrlPr>
                    </m:dPr>
                    <m:e>
                      <m:f>
                        <m:fPr>
                          <m:ctrlPr>
                            <w:rPr>
                              <w:rFonts w:ascii="Cambria Math" w:hAnsi="Cambria Math"/>
                            </w:rPr>
                          </m:ctrlPr>
                        </m:fPr>
                        <m:num>
                          <m:r>
                            <w:rPr>
                              <w:rFonts w:ascii="Cambria Math" w:hAnsi="Cambria Math"/>
                            </w:rPr>
                            <m:t>kWh</m:t>
                          </m:r>
                        </m:num>
                        <m:den>
                          <m:r>
                            <w:rPr>
                              <w:rFonts w:ascii="Cambria Math" w:hAnsi="Cambria Math"/>
                            </w:rPr>
                            <m:t>yr</m:t>
                          </m:r>
                        </m:den>
                      </m:f>
                    </m:e>
                  </m:d>
                  <m:r>
                    <w:rPr>
                      <w:rFonts w:ascii="Cambria Math" w:hAnsi="Cambria Math"/>
                    </w:rPr>
                    <m:t>Generated</m:t>
                  </m:r>
                </m:e>
              </m:d>
            </m:num>
            <m:den>
              <m:r>
                <w:rPr>
                  <w:rFonts w:ascii="Cambria Math" w:hAnsi="Cambria Math"/>
                </w:rPr>
                <m:t>Total Facility Energy Usage </m:t>
              </m:r>
              <m:d>
                <m:dPr>
                  <m:ctrlPr>
                    <w:rPr>
                      <w:rFonts w:ascii="Cambria Math" w:hAnsi="Cambria Math"/>
                    </w:rPr>
                  </m:ctrlPr>
                </m:dPr>
                <m:e>
                  <m:f>
                    <m:fPr>
                      <m:ctrlPr>
                        <w:rPr>
                          <w:rFonts w:ascii="Cambria Math" w:hAnsi="Cambria Math"/>
                        </w:rPr>
                      </m:ctrlPr>
                    </m:fPr>
                    <m:num>
                      <m:r>
                        <w:rPr>
                          <w:rFonts w:ascii="Cambria Math" w:hAnsi="Cambria Math"/>
                        </w:rPr>
                        <m:t>kWh</m:t>
                      </m:r>
                    </m:num>
                    <m:den>
                      <m:r>
                        <w:rPr>
                          <w:rFonts w:ascii="Cambria Math" w:hAnsi="Cambria Math"/>
                        </w:rPr>
                        <m:t>yr</m:t>
                      </m:r>
                    </m:den>
                  </m:f>
                </m:e>
              </m:d>
            </m:den>
          </m:f>
          <m:r>
            <w:rPr>
              <w:rFonts w:ascii="Cambria Math" w:hAnsi="Cambria Math"/>
            </w:rPr>
            <m:t>×100</m:t>
          </m:r>
        </m:oMath>
      </m:oMathPara>
    </w:p>
    <w:p w14:paraId="35362F21" w14:textId="20EB0CE1" w:rsidR="6A75D8BA" w:rsidRDefault="6A75D8BA" w:rsidP="7E00B00A">
      <w:pPr>
        <w:spacing w:before="120" w:after="120"/>
        <w:jc w:val="left"/>
        <w:rPr>
          <w:rFonts w:eastAsia="Arial"/>
          <w:color w:val="000000" w:themeColor="text1"/>
        </w:rPr>
      </w:pPr>
    </w:p>
    <w:p w14:paraId="512F2638" w14:textId="0ED9BAB3" w:rsidR="6A75D8BA" w:rsidRDefault="6A75D8BA" w:rsidP="7E00B00A">
      <w:pPr>
        <w:spacing w:before="120" w:after="120"/>
        <w:jc w:val="left"/>
        <w:rPr>
          <w:rFonts w:eastAsia="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5"/>
        <w:gridCol w:w="1875"/>
      </w:tblGrid>
      <w:tr w:rsidR="6A75D8BA" w14:paraId="7BFF853A" w14:textId="77777777" w:rsidTr="7E00B00A">
        <w:trPr>
          <w:trHeight w:val="300"/>
        </w:trPr>
        <w:tc>
          <w:tcPr>
            <w:tcW w:w="3105" w:type="dxa"/>
            <w:tcMar>
              <w:left w:w="105" w:type="dxa"/>
              <w:right w:w="105" w:type="dxa"/>
            </w:tcMar>
          </w:tcPr>
          <w:p w14:paraId="4495AC8E" w14:textId="462EFB55" w:rsidR="6A75D8BA" w:rsidRDefault="6A75D8BA" w:rsidP="43D6E376">
            <w:pPr>
              <w:spacing w:after="120"/>
              <w:rPr>
                <w:rFonts w:eastAsia="Arial"/>
              </w:rPr>
            </w:pPr>
            <w:r w:rsidRPr="43D6E376">
              <w:rPr>
                <w:rFonts w:eastAsia="Arial"/>
              </w:rPr>
              <w:t>Facility Electrical Usage Reduction Percentage During Facility’s Utility Rate Peak Periods</w:t>
            </w:r>
          </w:p>
        </w:tc>
        <w:tc>
          <w:tcPr>
            <w:tcW w:w="1875" w:type="dxa"/>
            <w:tcMar>
              <w:left w:w="105" w:type="dxa"/>
              <w:right w:w="105" w:type="dxa"/>
            </w:tcMar>
          </w:tcPr>
          <w:p w14:paraId="2AEF9165" w14:textId="4C2FF64C" w:rsidR="6A75D8BA" w:rsidRDefault="6A75D8BA" w:rsidP="43D6E376">
            <w:pPr>
              <w:spacing w:after="120"/>
              <w:rPr>
                <w:rFonts w:eastAsia="Arial"/>
              </w:rPr>
            </w:pPr>
            <w:r w:rsidRPr="43D6E376">
              <w:rPr>
                <w:rFonts w:eastAsia="Arial"/>
              </w:rPr>
              <w:t>Percentage of Possible Points (15)</w:t>
            </w:r>
          </w:p>
        </w:tc>
      </w:tr>
      <w:tr w:rsidR="6A75D8BA" w14:paraId="27F4AAC1" w14:textId="77777777" w:rsidTr="7E00B00A">
        <w:trPr>
          <w:trHeight w:val="300"/>
        </w:trPr>
        <w:tc>
          <w:tcPr>
            <w:tcW w:w="3105" w:type="dxa"/>
            <w:tcMar>
              <w:left w:w="105" w:type="dxa"/>
              <w:right w:w="105" w:type="dxa"/>
            </w:tcMar>
          </w:tcPr>
          <w:p w14:paraId="2C3EA24C" w14:textId="2171BACD" w:rsidR="6A75D8BA" w:rsidRDefault="6A75D8BA" w:rsidP="43D6E376">
            <w:pPr>
              <w:spacing w:after="120"/>
              <w:rPr>
                <w:rFonts w:eastAsia="Arial"/>
              </w:rPr>
            </w:pPr>
            <w:r w:rsidRPr="43D6E376">
              <w:rPr>
                <w:rFonts w:eastAsia="Arial"/>
              </w:rPr>
              <w:t>≥15%</w:t>
            </w:r>
          </w:p>
        </w:tc>
        <w:tc>
          <w:tcPr>
            <w:tcW w:w="1875" w:type="dxa"/>
            <w:tcMar>
              <w:left w:w="105" w:type="dxa"/>
              <w:right w:w="105" w:type="dxa"/>
            </w:tcMar>
          </w:tcPr>
          <w:p w14:paraId="072603EB" w14:textId="082A162A" w:rsidR="6A75D8BA" w:rsidRDefault="6A75D8BA" w:rsidP="43D6E376">
            <w:pPr>
              <w:spacing w:after="120"/>
              <w:jc w:val="center"/>
              <w:rPr>
                <w:rFonts w:eastAsia="Arial"/>
              </w:rPr>
            </w:pPr>
            <w:r w:rsidRPr="43D6E376">
              <w:rPr>
                <w:rFonts w:eastAsia="Arial"/>
              </w:rPr>
              <w:t>100%</w:t>
            </w:r>
          </w:p>
        </w:tc>
      </w:tr>
      <w:tr w:rsidR="6A75D8BA" w14:paraId="022B372D" w14:textId="77777777" w:rsidTr="7E00B00A">
        <w:trPr>
          <w:trHeight w:val="300"/>
        </w:trPr>
        <w:tc>
          <w:tcPr>
            <w:tcW w:w="3105" w:type="dxa"/>
            <w:tcMar>
              <w:left w:w="105" w:type="dxa"/>
              <w:right w:w="105" w:type="dxa"/>
            </w:tcMar>
          </w:tcPr>
          <w:p w14:paraId="23BE6CA0" w14:textId="2EB353FD" w:rsidR="6A75D8BA" w:rsidRDefault="6A75D8BA" w:rsidP="43D6E376">
            <w:pPr>
              <w:spacing w:after="120"/>
              <w:rPr>
                <w:rFonts w:eastAsia="Arial"/>
              </w:rPr>
            </w:pPr>
            <w:r w:rsidRPr="43D6E376">
              <w:rPr>
                <w:rFonts w:eastAsia="Arial"/>
              </w:rPr>
              <w:t>≥10% to &lt;15%</w:t>
            </w:r>
          </w:p>
        </w:tc>
        <w:tc>
          <w:tcPr>
            <w:tcW w:w="1875" w:type="dxa"/>
            <w:tcMar>
              <w:left w:w="105" w:type="dxa"/>
              <w:right w:w="105" w:type="dxa"/>
            </w:tcMar>
          </w:tcPr>
          <w:p w14:paraId="073E5568" w14:textId="4FF92215" w:rsidR="6A75D8BA" w:rsidRDefault="6A75D8BA" w:rsidP="43D6E376">
            <w:pPr>
              <w:spacing w:after="120"/>
              <w:jc w:val="center"/>
              <w:rPr>
                <w:rFonts w:eastAsia="Arial"/>
              </w:rPr>
            </w:pPr>
            <w:r w:rsidRPr="43D6E376">
              <w:rPr>
                <w:rFonts w:eastAsia="Arial"/>
              </w:rPr>
              <w:t>80%</w:t>
            </w:r>
          </w:p>
        </w:tc>
      </w:tr>
      <w:tr w:rsidR="6A75D8BA" w14:paraId="613D6707" w14:textId="77777777" w:rsidTr="7E00B00A">
        <w:trPr>
          <w:trHeight w:val="300"/>
        </w:trPr>
        <w:tc>
          <w:tcPr>
            <w:tcW w:w="3105" w:type="dxa"/>
            <w:tcMar>
              <w:left w:w="105" w:type="dxa"/>
              <w:right w:w="105" w:type="dxa"/>
            </w:tcMar>
          </w:tcPr>
          <w:p w14:paraId="1B6A1D45" w14:textId="32AF48A9" w:rsidR="6A75D8BA" w:rsidRDefault="6A75D8BA" w:rsidP="43D6E376">
            <w:pPr>
              <w:spacing w:after="120"/>
              <w:rPr>
                <w:rFonts w:eastAsia="Arial"/>
              </w:rPr>
            </w:pPr>
            <w:r w:rsidRPr="43D6E376">
              <w:rPr>
                <w:rFonts w:eastAsia="Arial"/>
              </w:rPr>
              <w:t>≥5% to &lt;10%</w:t>
            </w:r>
          </w:p>
        </w:tc>
        <w:tc>
          <w:tcPr>
            <w:tcW w:w="1875" w:type="dxa"/>
            <w:tcMar>
              <w:left w:w="105" w:type="dxa"/>
              <w:right w:w="105" w:type="dxa"/>
            </w:tcMar>
          </w:tcPr>
          <w:p w14:paraId="34DCEBFD" w14:textId="34E3BD03" w:rsidR="6A75D8BA" w:rsidRDefault="6A75D8BA" w:rsidP="43D6E376">
            <w:pPr>
              <w:spacing w:after="120"/>
              <w:jc w:val="center"/>
              <w:rPr>
                <w:rFonts w:eastAsia="Arial"/>
              </w:rPr>
            </w:pPr>
            <w:r w:rsidRPr="43D6E376">
              <w:rPr>
                <w:rFonts w:eastAsia="Arial"/>
              </w:rPr>
              <w:t>60%</w:t>
            </w:r>
          </w:p>
        </w:tc>
      </w:tr>
      <w:tr w:rsidR="6A75D8BA" w14:paraId="3BF96EB2" w14:textId="77777777" w:rsidTr="7E00B00A">
        <w:trPr>
          <w:trHeight w:val="300"/>
        </w:trPr>
        <w:tc>
          <w:tcPr>
            <w:tcW w:w="3105" w:type="dxa"/>
            <w:tcMar>
              <w:left w:w="105" w:type="dxa"/>
              <w:right w:w="105" w:type="dxa"/>
            </w:tcMar>
          </w:tcPr>
          <w:p w14:paraId="3B024325" w14:textId="7D469376" w:rsidR="6A75D8BA" w:rsidRDefault="6A75D8BA" w:rsidP="43D6E376">
            <w:pPr>
              <w:spacing w:after="120"/>
              <w:rPr>
                <w:rFonts w:eastAsia="Arial"/>
              </w:rPr>
            </w:pPr>
            <w:r w:rsidRPr="43D6E376">
              <w:rPr>
                <w:rFonts w:eastAsia="Arial"/>
              </w:rPr>
              <w:t>≥1% to &lt;5%</w:t>
            </w:r>
          </w:p>
        </w:tc>
        <w:tc>
          <w:tcPr>
            <w:tcW w:w="1875" w:type="dxa"/>
            <w:tcMar>
              <w:left w:w="105" w:type="dxa"/>
              <w:right w:w="105" w:type="dxa"/>
            </w:tcMar>
          </w:tcPr>
          <w:p w14:paraId="0B690663" w14:textId="7FF34DE0" w:rsidR="6A75D8BA" w:rsidRDefault="6A75D8BA" w:rsidP="43D6E376">
            <w:pPr>
              <w:spacing w:after="120"/>
              <w:jc w:val="center"/>
              <w:rPr>
                <w:rFonts w:eastAsia="Arial"/>
              </w:rPr>
            </w:pPr>
            <w:r w:rsidRPr="43D6E376">
              <w:rPr>
                <w:rFonts w:eastAsia="Arial"/>
              </w:rPr>
              <w:t>40%</w:t>
            </w:r>
          </w:p>
        </w:tc>
      </w:tr>
    </w:tbl>
    <w:p w14:paraId="5CEB261D" w14:textId="2BF45F0E" w:rsidR="6A75D8BA" w:rsidRDefault="6A75D8BA" w:rsidP="7E00B00A">
      <w:pPr>
        <w:spacing w:before="120" w:after="120"/>
        <w:jc w:val="left"/>
        <w:rPr>
          <w:rFonts w:ascii="Segoe UI" w:eastAsia="Segoe UI" w:hAnsi="Segoe UI" w:cs="Segoe UI"/>
        </w:rPr>
      </w:pPr>
    </w:p>
    <w:p w14:paraId="1B6AC2C1" w14:textId="61D4E2E3" w:rsidR="6A75D8BA" w:rsidRPr="00D034D8" w:rsidRDefault="306277BD" w:rsidP="00B6363D">
      <w:pPr>
        <w:pStyle w:val="ListParagraph"/>
        <w:keepNext/>
        <w:numPr>
          <w:ilvl w:val="0"/>
          <w:numId w:val="3"/>
        </w:numPr>
        <w:spacing w:before="120" w:after="0" w:line="259" w:lineRule="auto"/>
        <w:jc w:val="left"/>
        <w:rPr>
          <w:rFonts w:ascii="Tahoma" w:eastAsia="Tahoma" w:hAnsi="Tahoma" w:cs="Tahoma"/>
          <w:b/>
          <w:bCs/>
          <w:color w:val="000000" w:themeColor="text1"/>
        </w:rPr>
      </w:pPr>
      <w:r w:rsidRPr="00D034D8">
        <w:rPr>
          <w:rFonts w:ascii="Tahoma" w:eastAsia="Tahoma" w:hAnsi="Tahoma" w:cs="Tahoma"/>
          <w:b/>
          <w:bCs/>
          <w:color w:val="000000" w:themeColor="text1"/>
        </w:rPr>
        <w:t>Criteria Air Pollutant Reductions</w:t>
      </w:r>
    </w:p>
    <w:p w14:paraId="23EAF820" w14:textId="5AE4472B" w:rsidR="6A75D8BA" w:rsidRPr="00D034D8" w:rsidRDefault="306277BD" w:rsidP="7E00B00A">
      <w:pPr>
        <w:keepNext/>
        <w:spacing w:before="120" w:after="120" w:line="259" w:lineRule="auto"/>
        <w:ind w:left="360"/>
        <w:jc w:val="left"/>
        <w:rPr>
          <w:rFonts w:ascii="Tahoma" w:eastAsia="Tahoma" w:hAnsi="Tahoma" w:cs="Tahoma"/>
          <w:color w:val="000000" w:themeColor="text1"/>
        </w:rPr>
      </w:pPr>
      <w:r w:rsidRPr="00D034D8">
        <w:rPr>
          <w:rFonts w:ascii="Tahoma" w:eastAsia="Tahoma" w:hAnsi="Tahoma" w:cs="Tahoma"/>
          <w:color w:val="000000" w:themeColor="text1"/>
        </w:rPr>
        <w:t>To prioritize deep decarbonization and air quality improvement efforts, applicants who demonstrate considerable reductions to local criteria air pollutants may receive additional points. Criteria air pollutants reductions may be calculated cumulatively to include NOx, SO</w:t>
      </w:r>
      <w:r w:rsidRPr="00D034D8">
        <w:rPr>
          <w:rFonts w:ascii="Tahoma" w:eastAsia="Tahoma" w:hAnsi="Tahoma" w:cs="Tahoma"/>
          <w:color w:val="000000" w:themeColor="text1"/>
          <w:vertAlign w:val="subscript"/>
        </w:rPr>
        <w:t>2</w:t>
      </w:r>
      <w:r w:rsidRPr="00D034D8">
        <w:rPr>
          <w:rFonts w:ascii="Tahoma" w:eastAsia="Tahoma" w:hAnsi="Tahoma" w:cs="Tahoma"/>
          <w:color w:val="000000" w:themeColor="text1"/>
        </w:rPr>
        <w:t xml:space="preserve">, PM 2.5, PM 10.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45"/>
        <w:gridCol w:w="4155"/>
      </w:tblGrid>
      <w:tr w:rsidR="43D6E376" w14:paraId="3683D6E3" w14:textId="77777777" w:rsidTr="7E00B00A">
        <w:trPr>
          <w:trHeight w:val="300"/>
        </w:trPr>
        <w:tc>
          <w:tcPr>
            <w:tcW w:w="3945" w:type="dxa"/>
            <w:tcBorders>
              <w:top w:val="single" w:sz="6" w:space="0" w:color="auto"/>
              <w:left w:val="single" w:sz="6" w:space="0" w:color="auto"/>
            </w:tcBorders>
            <w:tcMar>
              <w:left w:w="90" w:type="dxa"/>
              <w:right w:w="90" w:type="dxa"/>
            </w:tcMar>
          </w:tcPr>
          <w:p w14:paraId="37F5B283" w14:textId="2AA5FC59" w:rsidR="43D6E376" w:rsidRDefault="43D6E376" w:rsidP="43D6E376">
            <w:pPr>
              <w:spacing w:after="120"/>
              <w:rPr>
                <w:rFonts w:ascii="Tahoma" w:eastAsia="Tahoma" w:hAnsi="Tahoma" w:cs="Tahoma"/>
              </w:rPr>
            </w:pPr>
            <w:r w:rsidRPr="43D6E376">
              <w:rPr>
                <w:rFonts w:ascii="Tahoma" w:eastAsia="Tahoma" w:hAnsi="Tahoma" w:cs="Tahoma"/>
              </w:rPr>
              <w:t xml:space="preserve">Facility Local Criteria Air Pollutant Reduction Percentage </w:t>
            </w:r>
          </w:p>
        </w:tc>
        <w:tc>
          <w:tcPr>
            <w:tcW w:w="4155" w:type="dxa"/>
            <w:tcBorders>
              <w:top w:val="single" w:sz="6" w:space="0" w:color="auto"/>
              <w:right w:val="single" w:sz="6" w:space="0" w:color="auto"/>
            </w:tcBorders>
            <w:tcMar>
              <w:left w:w="90" w:type="dxa"/>
              <w:right w:w="90" w:type="dxa"/>
            </w:tcMar>
          </w:tcPr>
          <w:p w14:paraId="521311CB" w14:textId="1F3B4172" w:rsidR="43D6E376" w:rsidRDefault="43D6E376" w:rsidP="43D6E376">
            <w:pPr>
              <w:spacing w:after="120"/>
              <w:rPr>
                <w:rFonts w:ascii="Tahoma" w:eastAsia="Tahoma" w:hAnsi="Tahoma" w:cs="Tahoma"/>
              </w:rPr>
            </w:pPr>
            <w:r w:rsidRPr="43D6E376">
              <w:rPr>
                <w:rFonts w:ascii="Tahoma" w:eastAsia="Tahoma" w:hAnsi="Tahoma" w:cs="Tahoma"/>
              </w:rPr>
              <w:t>Percentage of Possible Points (15)</w:t>
            </w:r>
          </w:p>
        </w:tc>
      </w:tr>
      <w:tr w:rsidR="43D6E376" w14:paraId="7C2AB720" w14:textId="77777777" w:rsidTr="7E00B00A">
        <w:trPr>
          <w:trHeight w:val="300"/>
        </w:trPr>
        <w:tc>
          <w:tcPr>
            <w:tcW w:w="3945" w:type="dxa"/>
            <w:tcBorders>
              <w:left w:val="single" w:sz="6" w:space="0" w:color="auto"/>
            </w:tcBorders>
            <w:tcMar>
              <w:left w:w="90" w:type="dxa"/>
              <w:right w:w="90" w:type="dxa"/>
            </w:tcMar>
          </w:tcPr>
          <w:p w14:paraId="660D630A" w14:textId="1583EFDA" w:rsidR="43D6E376" w:rsidRDefault="43D6E376" w:rsidP="43D6E376">
            <w:pPr>
              <w:spacing w:after="120"/>
              <w:rPr>
                <w:rFonts w:ascii="Tahoma" w:eastAsia="Tahoma" w:hAnsi="Tahoma" w:cs="Tahoma"/>
              </w:rPr>
            </w:pPr>
            <w:r w:rsidRPr="43D6E376">
              <w:rPr>
                <w:rFonts w:ascii="Tahoma" w:eastAsia="Tahoma" w:hAnsi="Tahoma" w:cs="Tahoma"/>
              </w:rPr>
              <w:t>≥75%</w:t>
            </w:r>
          </w:p>
        </w:tc>
        <w:tc>
          <w:tcPr>
            <w:tcW w:w="4155" w:type="dxa"/>
            <w:tcBorders>
              <w:right w:val="single" w:sz="6" w:space="0" w:color="auto"/>
            </w:tcBorders>
            <w:tcMar>
              <w:left w:w="90" w:type="dxa"/>
              <w:right w:w="90" w:type="dxa"/>
            </w:tcMar>
          </w:tcPr>
          <w:p w14:paraId="3E9519D3" w14:textId="749F5340" w:rsidR="43D6E376" w:rsidRDefault="43D6E376" w:rsidP="43D6E376">
            <w:pPr>
              <w:spacing w:after="120"/>
              <w:jc w:val="center"/>
              <w:rPr>
                <w:rFonts w:ascii="Tahoma" w:eastAsia="Tahoma" w:hAnsi="Tahoma" w:cs="Tahoma"/>
              </w:rPr>
            </w:pPr>
            <w:r w:rsidRPr="43D6E376">
              <w:rPr>
                <w:rFonts w:ascii="Tahoma" w:eastAsia="Tahoma" w:hAnsi="Tahoma" w:cs="Tahoma"/>
              </w:rPr>
              <w:t>100%</w:t>
            </w:r>
          </w:p>
        </w:tc>
      </w:tr>
      <w:tr w:rsidR="43D6E376" w14:paraId="20746FD6" w14:textId="77777777" w:rsidTr="7E00B00A">
        <w:trPr>
          <w:trHeight w:val="300"/>
        </w:trPr>
        <w:tc>
          <w:tcPr>
            <w:tcW w:w="3945" w:type="dxa"/>
            <w:tcBorders>
              <w:left w:val="single" w:sz="6" w:space="0" w:color="auto"/>
            </w:tcBorders>
            <w:tcMar>
              <w:left w:w="90" w:type="dxa"/>
              <w:right w:w="90" w:type="dxa"/>
            </w:tcMar>
          </w:tcPr>
          <w:p w14:paraId="1BD1811F" w14:textId="784A32AE" w:rsidR="43D6E376" w:rsidRDefault="43D6E376" w:rsidP="43D6E376">
            <w:pPr>
              <w:spacing w:after="120"/>
              <w:rPr>
                <w:rFonts w:ascii="Tahoma" w:eastAsia="Tahoma" w:hAnsi="Tahoma" w:cs="Tahoma"/>
              </w:rPr>
            </w:pPr>
            <w:r w:rsidRPr="43D6E376">
              <w:rPr>
                <w:rFonts w:ascii="Tahoma" w:eastAsia="Tahoma" w:hAnsi="Tahoma" w:cs="Tahoma"/>
              </w:rPr>
              <w:t>≥45% to &lt;75%</w:t>
            </w:r>
          </w:p>
        </w:tc>
        <w:tc>
          <w:tcPr>
            <w:tcW w:w="4155" w:type="dxa"/>
            <w:tcBorders>
              <w:right w:val="single" w:sz="6" w:space="0" w:color="auto"/>
            </w:tcBorders>
            <w:tcMar>
              <w:left w:w="90" w:type="dxa"/>
              <w:right w:w="90" w:type="dxa"/>
            </w:tcMar>
          </w:tcPr>
          <w:p w14:paraId="15A00569" w14:textId="563E0562" w:rsidR="43D6E376" w:rsidRDefault="43D6E376" w:rsidP="43D6E376">
            <w:pPr>
              <w:spacing w:after="120"/>
              <w:jc w:val="center"/>
              <w:rPr>
                <w:rFonts w:ascii="Tahoma" w:eastAsia="Tahoma" w:hAnsi="Tahoma" w:cs="Tahoma"/>
              </w:rPr>
            </w:pPr>
            <w:r w:rsidRPr="43D6E376">
              <w:rPr>
                <w:rFonts w:ascii="Tahoma" w:eastAsia="Tahoma" w:hAnsi="Tahoma" w:cs="Tahoma"/>
              </w:rPr>
              <w:t>80%</w:t>
            </w:r>
          </w:p>
        </w:tc>
      </w:tr>
      <w:tr w:rsidR="43D6E376" w14:paraId="45795432" w14:textId="77777777" w:rsidTr="7E00B00A">
        <w:trPr>
          <w:trHeight w:val="300"/>
        </w:trPr>
        <w:tc>
          <w:tcPr>
            <w:tcW w:w="3945" w:type="dxa"/>
            <w:tcBorders>
              <w:left w:val="single" w:sz="6" w:space="0" w:color="auto"/>
            </w:tcBorders>
            <w:tcMar>
              <w:left w:w="90" w:type="dxa"/>
              <w:right w:w="90" w:type="dxa"/>
            </w:tcMar>
          </w:tcPr>
          <w:p w14:paraId="1F27DACC" w14:textId="42B45C93" w:rsidR="43D6E376" w:rsidRDefault="43D6E376" w:rsidP="43D6E376">
            <w:pPr>
              <w:spacing w:after="120"/>
              <w:rPr>
                <w:rFonts w:ascii="Tahoma" w:eastAsia="Tahoma" w:hAnsi="Tahoma" w:cs="Tahoma"/>
              </w:rPr>
            </w:pPr>
            <w:r w:rsidRPr="43D6E376">
              <w:rPr>
                <w:rFonts w:ascii="Tahoma" w:eastAsia="Tahoma" w:hAnsi="Tahoma" w:cs="Tahoma"/>
              </w:rPr>
              <w:t>≥15% to &lt;45%</w:t>
            </w:r>
          </w:p>
        </w:tc>
        <w:tc>
          <w:tcPr>
            <w:tcW w:w="4155" w:type="dxa"/>
            <w:tcBorders>
              <w:right w:val="single" w:sz="6" w:space="0" w:color="auto"/>
            </w:tcBorders>
            <w:tcMar>
              <w:left w:w="90" w:type="dxa"/>
              <w:right w:w="90" w:type="dxa"/>
            </w:tcMar>
          </w:tcPr>
          <w:p w14:paraId="0EA7C6C5" w14:textId="2F96DA1C" w:rsidR="43D6E376" w:rsidRDefault="43D6E376" w:rsidP="43D6E376">
            <w:pPr>
              <w:spacing w:after="120"/>
              <w:jc w:val="center"/>
              <w:rPr>
                <w:rFonts w:ascii="Tahoma" w:eastAsia="Tahoma" w:hAnsi="Tahoma" w:cs="Tahoma"/>
              </w:rPr>
            </w:pPr>
            <w:r w:rsidRPr="43D6E376">
              <w:rPr>
                <w:rFonts w:ascii="Tahoma" w:eastAsia="Tahoma" w:hAnsi="Tahoma" w:cs="Tahoma"/>
              </w:rPr>
              <w:t>60%</w:t>
            </w:r>
          </w:p>
        </w:tc>
      </w:tr>
      <w:tr w:rsidR="43D6E376" w14:paraId="45FC1642" w14:textId="77777777" w:rsidTr="7E00B00A">
        <w:trPr>
          <w:trHeight w:val="300"/>
        </w:trPr>
        <w:tc>
          <w:tcPr>
            <w:tcW w:w="3945" w:type="dxa"/>
            <w:tcBorders>
              <w:left w:val="single" w:sz="6" w:space="0" w:color="auto"/>
              <w:bottom w:val="single" w:sz="6" w:space="0" w:color="auto"/>
            </w:tcBorders>
            <w:tcMar>
              <w:left w:w="90" w:type="dxa"/>
              <w:right w:w="90" w:type="dxa"/>
            </w:tcMar>
          </w:tcPr>
          <w:p w14:paraId="0D5CA0C3" w14:textId="462E9E1B" w:rsidR="43D6E376" w:rsidRDefault="43D6E376" w:rsidP="43D6E376">
            <w:pPr>
              <w:spacing w:after="120"/>
              <w:rPr>
                <w:rFonts w:ascii="Tahoma" w:eastAsia="Tahoma" w:hAnsi="Tahoma" w:cs="Tahoma"/>
              </w:rPr>
            </w:pPr>
            <w:r w:rsidRPr="43D6E376">
              <w:rPr>
                <w:rFonts w:ascii="Tahoma" w:eastAsia="Tahoma" w:hAnsi="Tahoma" w:cs="Tahoma"/>
              </w:rPr>
              <w:t>≥10% to &lt;15%</w:t>
            </w:r>
          </w:p>
        </w:tc>
        <w:tc>
          <w:tcPr>
            <w:tcW w:w="4155" w:type="dxa"/>
            <w:tcBorders>
              <w:bottom w:val="single" w:sz="6" w:space="0" w:color="auto"/>
              <w:right w:val="single" w:sz="6" w:space="0" w:color="auto"/>
            </w:tcBorders>
            <w:tcMar>
              <w:left w:w="90" w:type="dxa"/>
              <w:right w:w="90" w:type="dxa"/>
            </w:tcMar>
          </w:tcPr>
          <w:p w14:paraId="5323D09C" w14:textId="509F9603" w:rsidR="43D6E376" w:rsidRDefault="43D6E376" w:rsidP="43D6E376">
            <w:pPr>
              <w:spacing w:after="120"/>
              <w:jc w:val="center"/>
              <w:rPr>
                <w:rFonts w:ascii="Tahoma" w:eastAsia="Tahoma" w:hAnsi="Tahoma" w:cs="Tahoma"/>
              </w:rPr>
            </w:pPr>
            <w:r w:rsidRPr="43D6E376">
              <w:rPr>
                <w:rFonts w:ascii="Tahoma" w:eastAsia="Tahoma" w:hAnsi="Tahoma" w:cs="Tahoma"/>
              </w:rPr>
              <w:t>40%</w:t>
            </w:r>
          </w:p>
        </w:tc>
      </w:tr>
    </w:tbl>
    <w:p w14:paraId="1F4370BA" w14:textId="46D386D1" w:rsidR="6A75D8BA" w:rsidRDefault="6A75D8BA" w:rsidP="7E00B00A">
      <w:pPr>
        <w:keepNext/>
        <w:spacing w:before="120" w:after="120" w:line="259" w:lineRule="auto"/>
        <w:jc w:val="left"/>
      </w:pPr>
    </w:p>
    <w:sectPr w:rsidR="6A75D8BA" w:rsidSect="006F01A3">
      <w:headerReference w:type="default" r:id="rId16"/>
      <w:footerReference w:type="default" r:id="rId17"/>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EEDA7" w14:textId="77777777" w:rsidR="007B6D87" w:rsidRDefault="007B6D87" w:rsidP="008B4D47">
      <w:r>
        <w:separator/>
      </w:r>
    </w:p>
    <w:p w14:paraId="10E00DD1" w14:textId="77777777" w:rsidR="007B6D87" w:rsidRDefault="007B6D87" w:rsidP="008B4D47"/>
  </w:endnote>
  <w:endnote w:type="continuationSeparator" w:id="0">
    <w:p w14:paraId="62DEFE9C" w14:textId="77777777" w:rsidR="007B6D87" w:rsidRDefault="007B6D87" w:rsidP="008B4D47">
      <w:r>
        <w:continuationSeparator/>
      </w:r>
    </w:p>
    <w:p w14:paraId="1FDA8E9A" w14:textId="77777777" w:rsidR="007B6D87" w:rsidRDefault="007B6D87" w:rsidP="008B4D47"/>
  </w:endnote>
  <w:endnote w:type="continuationNotice" w:id="1">
    <w:p w14:paraId="15B6EE2D" w14:textId="77777777" w:rsidR="007B6D87" w:rsidRDefault="007B6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D591" w14:textId="77777777" w:rsidR="001A7A7A" w:rsidRDefault="73C683BC" w:rsidP="00701F98">
    <w:pPr>
      <w:pStyle w:val="Footer"/>
      <w:tabs>
        <w:tab w:val="clear" w:pos="8640"/>
        <w:tab w:val="right" w:pos="9360"/>
      </w:tabs>
    </w:pPr>
    <w:r w:rsidRPr="73C683BC">
      <w:rPr>
        <w:b/>
        <w:bCs/>
        <w:u w:val="single"/>
      </w:rPr>
      <w:t>November 2025</w:t>
    </w:r>
    <w:r w:rsidR="006D2B5B">
      <w:tab/>
    </w:r>
    <w:r>
      <w:t xml:space="preserve">Page </w:t>
    </w:r>
    <w:r w:rsidR="006D2B5B" w:rsidRPr="73C683BC">
      <w:rPr>
        <w:noProof/>
      </w:rPr>
      <w:fldChar w:fldCharType="begin"/>
    </w:r>
    <w:r w:rsidR="006D2B5B">
      <w:instrText xml:space="preserve"> PAGE </w:instrText>
    </w:r>
    <w:r w:rsidR="006D2B5B" w:rsidRPr="73C683BC">
      <w:rPr>
        <w:color w:val="2B579A"/>
      </w:rPr>
      <w:fldChar w:fldCharType="separate"/>
    </w:r>
    <w:r w:rsidRPr="73C683BC">
      <w:rPr>
        <w:noProof/>
      </w:rPr>
      <w:t>2</w:t>
    </w:r>
    <w:r w:rsidR="006D2B5B" w:rsidRPr="73C683BC">
      <w:rPr>
        <w:noProof/>
      </w:rPr>
      <w:fldChar w:fldCharType="end"/>
    </w:r>
    <w:r>
      <w:t xml:space="preserve"> of </w:t>
    </w:r>
    <w:r w:rsidR="006D2B5B" w:rsidRPr="73C683BC">
      <w:rPr>
        <w:noProof/>
      </w:rPr>
      <w:fldChar w:fldCharType="begin"/>
    </w:r>
    <w:r w:rsidR="006D2B5B">
      <w:instrText xml:space="preserve"> NUMPAGES  </w:instrText>
    </w:r>
    <w:r w:rsidR="006D2B5B" w:rsidRPr="73C683BC">
      <w:rPr>
        <w:color w:val="2B579A"/>
      </w:rPr>
      <w:fldChar w:fldCharType="separate"/>
    </w:r>
    <w:r w:rsidRPr="73C683BC">
      <w:rPr>
        <w:noProof/>
      </w:rPr>
      <w:t>6</w:t>
    </w:r>
    <w:r w:rsidR="006D2B5B" w:rsidRPr="73C683BC">
      <w:rPr>
        <w:noProof/>
      </w:rPr>
      <w:fldChar w:fldCharType="end"/>
    </w:r>
    <w:r w:rsidR="006D2B5B">
      <w:tab/>
    </w:r>
  </w:p>
  <w:p w14:paraId="78F1F7C0" w14:textId="2D37C175" w:rsidR="00A84C13" w:rsidRPr="00701F98" w:rsidRDefault="73C683BC" w:rsidP="001A7A7A">
    <w:pPr>
      <w:pStyle w:val="Footer"/>
      <w:tabs>
        <w:tab w:val="clear" w:pos="4320"/>
        <w:tab w:val="clear" w:pos="8640"/>
        <w:tab w:val="right" w:pos="9360"/>
      </w:tabs>
      <w:jc w:val="left"/>
      <w:rPr>
        <w:color w:val="0070C0"/>
      </w:rPr>
    </w:pPr>
    <w:r>
      <w:t>GFO-23-313</w:t>
    </w:r>
    <w:r w:rsidR="003B0617" w:rsidRPr="00AD5F8B">
      <w:rPr>
        <w:b/>
        <w:bCs/>
        <w:u w:val="single"/>
      </w:rPr>
      <w:t>-07</w:t>
    </w:r>
    <w:r w:rsidR="0060708C">
      <w:tab/>
    </w:r>
    <w:r w:rsidR="0060708C" w:rsidRPr="007D2C2A">
      <w:t>INDIGO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38E1" w14:textId="77777777" w:rsidR="007B6D87" w:rsidRDefault="007B6D87" w:rsidP="008B4D47">
      <w:r>
        <w:separator/>
      </w:r>
    </w:p>
    <w:p w14:paraId="271FC35E" w14:textId="77777777" w:rsidR="007B6D87" w:rsidRDefault="007B6D87" w:rsidP="008B4D47"/>
  </w:footnote>
  <w:footnote w:type="continuationSeparator" w:id="0">
    <w:p w14:paraId="167A41D7" w14:textId="77777777" w:rsidR="007B6D87" w:rsidRDefault="007B6D87" w:rsidP="008B4D47">
      <w:r>
        <w:continuationSeparator/>
      </w:r>
    </w:p>
    <w:p w14:paraId="6B3CA414" w14:textId="77777777" w:rsidR="007B6D87" w:rsidRDefault="007B6D87" w:rsidP="008B4D47"/>
  </w:footnote>
  <w:footnote w:type="continuationNotice" w:id="1">
    <w:p w14:paraId="204E98D0" w14:textId="77777777" w:rsidR="007B6D87" w:rsidRDefault="007B6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AC08" w14:textId="5F46129B" w:rsidR="00ED4A22" w:rsidRPr="008B4D47" w:rsidRDefault="00ED4A22" w:rsidP="008B4D47">
    <w:pPr>
      <w:jc w:val="center"/>
      <w:rPr>
        <w:b/>
        <w:sz w:val="26"/>
        <w:szCs w:val="26"/>
      </w:rPr>
    </w:pPr>
    <w:r w:rsidRPr="008B4D47">
      <w:rPr>
        <w:b/>
        <w:sz w:val="26"/>
        <w:szCs w:val="26"/>
      </w:rPr>
      <w:t>A</w:t>
    </w:r>
    <w:r w:rsidR="00193FB4" w:rsidRPr="008B4D47">
      <w:rPr>
        <w:b/>
        <w:sz w:val="26"/>
        <w:szCs w:val="26"/>
      </w:rPr>
      <w:t>TTACHMENT</w:t>
    </w:r>
    <w:r w:rsidRPr="008B4D47">
      <w:rPr>
        <w:b/>
        <w:sz w:val="26"/>
        <w:szCs w:val="26"/>
      </w:rPr>
      <w:t xml:space="preserve"> </w:t>
    </w:r>
    <w:r w:rsidR="00555D26">
      <w:rPr>
        <w:b/>
        <w:sz w:val="26"/>
        <w:szCs w:val="26"/>
      </w:rPr>
      <w:t>0</w:t>
    </w:r>
    <w:r w:rsidR="00EC1876">
      <w:rPr>
        <w:b/>
        <w:sz w:val="26"/>
        <w:szCs w:val="26"/>
      </w:rPr>
      <w:t>2</w:t>
    </w:r>
  </w:p>
  <w:p w14:paraId="2AFD315E" w14:textId="08A59E90" w:rsidR="00A84C13" w:rsidRPr="008B4D47" w:rsidRDefault="00ED4A22" w:rsidP="007A77FC">
    <w:pPr>
      <w:spacing w:after="240"/>
      <w:jc w:val="center"/>
      <w:rPr>
        <w:b/>
        <w:sz w:val="26"/>
        <w:szCs w:val="26"/>
      </w:rPr>
    </w:pPr>
    <w:r w:rsidRPr="008B4D47">
      <w:rPr>
        <w:b/>
        <w:sz w:val="26"/>
        <w:szCs w:val="26"/>
      </w:rPr>
      <w:t>Project Narrative Form</w:t>
    </w:r>
  </w:p>
</w:hdr>
</file>

<file path=word/intelligence2.xml><?xml version="1.0" encoding="utf-8"?>
<int2:intelligence xmlns:int2="http://schemas.microsoft.com/office/intelligence/2020/intelligence" xmlns:oel="http://schemas.microsoft.com/office/2019/extlst">
  <int2:observations>
    <int2:bookmark int2:bookmarkName="_Int_bfLMyVo6" int2:invalidationBookmarkName="" int2:hashCode="lP4obrCVvTD6+O" int2:id="TPl6ZENz">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DFB"/>
    <w:multiLevelType w:val="hybridMultilevel"/>
    <w:tmpl w:val="FFFFFFFF"/>
    <w:lvl w:ilvl="0" w:tplc="32A66D3C">
      <w:start w:val="1"/>
      <w:numFmt w:val="lowerLetter"/>
      <w:lvlText w:val="%1."/>
      <w:lvlJc w:val="left"/>
      <w:pPr>
        <w:ind w:left="720" w:hanging="360"/>
      </w:pPr>
    </w:lvl>
    <w:lvl w:ilvl="1" w:tplc="0F86CF44">
      <w:start w:val="1"/>
      <w:numFmt w:val="lowerLetter"/>
      <w:lvlText w:val="%2."/>
      <w:lvlJc w:val="left"/>
      <w:pPr>
        <w:ind w:left="1440" w:hanging="360"/>
      </w:pPr>
    </w:lvl>
    <w:lvl w:ilvl="2" w:tplc="E1401882">
      <w:start w:val="1"/>
      <w:numFmt w:val="lowerRoman"/>
      <w:lvlText w:val="%3."/>
      <w:lvlJc w:val="right"/>
      <w:pPr>
        <w:ind w:left="2160" w:hanging="180"/>
      </w:pPr>
    </w:lvl>
    <w:lvl w:ilvl="3" w:tplc="B1440CB4">
      <w:start w:val="1"/>
      <w:numFmt w:val="decimal"/>
      <w:lvlText w:val="%4."/>
      <w:lvlJc w:val="left"/>
      <w:pPr>
        <w:ind w:left="2880" w:hanging="360"/>
      </w:pPr>
    </w:lvl>
    <w:lvl w:ilvl="4" w:tplc="96DAC948">
      <w:start w:val="1"/>
      <w:numFmt w:val="lowerLetter"/>
      <w:lvlText w:val="%5."/>
      <w:lvlJc w:val="left"/>
      <w:pPr>
        <w:ind w:left="3600" w:hanging="360"/>
      </w:pPr>
    </w:lvl>
    <w:lvl w:ilvl="5" w:tplc="48E044F4">
      <w:start w:val="1"/>
      <w:numFmt w:val="lowerRoman"/>
      <w:lvlText w:val="%6."/>
      <w:lvlJc w:val="right"/>
      <w:pPr>
        <w:ind w:left="4320" w:hanging="180"/>
      </w:pPr>
    </w:lvl>
    <w:lvl w:ilvl="6" w:tplc="D6D65680">
      <w:start w:val="1"/>
      <w:numFmt w:val="decimal"/>
      <w:lvlText w:val="%7."/>
      <w:lvlJc w:val="left"/>
      <w:pPr>
        <w:ind w:left="5040" w:hanging="360"/>
      </w:pPr>
    </w:lvl>
    <w:lvl w:ilvl="7" w:tplc="CA28DD62">
      <w:start w:val="1"/>
      <w:numFmt w:val="lowerLetter"/>
      <w:lvlText w:val="%8."/>
      <w:lvlJc w:val="left"/>
      <w:pPr>
        <w:ind w:left="5760" w:hanging="360"/>
      </w:pPr>
    </w:lvl>
    <w:lvl w:ilvl="8" w:tplc="B9520210">
      <w:start w:val="1"/>
      <w:numFmt w:val="lowerRoman"/>
      <w:lvlText w:val="%9."/>
      <w:lvlJc w:val="right"/>
      <w:pPr>
        <w:ind w:left="6480" w:hanging="180"/>
      </w:pPr>
    </w:lvl>
  </w:abstractNum>
  <w:abstractNum w:abstractNumId="1" w15:restartNumberingAfterBreak="0">
    <w:nsid w:val="2331371B"/>
    <w:multiLevelType w:val="hybridMultilevel"/>
    <w:tmpl w:val="C66CB500"/>
    <w:lvl w:ilvl="0" w:tplc="FFFFFFFF">
      <w:start w:val="1"/>
      <w:numFmt w:val="lowerLetter"/>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F2D91"/>
    <w:multiLevelType w:val="hybridMultilevel"/>
    <w:tmpl w:val="03EE12D2"/>
    <w:lvl w:ilvl="0" w:tplc="4B461DE8">
      <w:start w:val="1"/>
      <w:numFmt w:val="lowerRoman"/>
      <w:lvlText w:val="%1."/>
      <w:lvlJc w:val="right"/>
      <w:pPr>
        <w:ind w:left="1800" w:hanging="360"/>
      </w:pPr>
    </w:lvl>
    <w:lvl w:ilvl="1" w:tplc="A9721D8C">
      <w:start w:val="1"/>
      <w:numFmt w:val="lowerLetter"/>
      <w:lvlText w:val="%2."/>
      <w:lvlJc w:val="left"/>
      <w:pPr>
        <w:ind w:left="2520" w:hanging="360"/>
      </w:pPr>
    </w:lvl>
    <w:lvl w:ilvl="2" w:tplc="DA70A9EA">
      <w:start w:val="1"/>
      <w:numFmt w:val="lowerRoman"/>
      <w:lvlText w:val="%3."/>
      <w:lvlJc w:val="right"/>
      <w:pPr>
        <w:ind w:left="3240" w:hanging="180"/>
      </w:pPr>
    </w:lvl>
    <w:lvl w:ilvl="3" w:tplc="FCB2CC44">
      <w:start w:val="1"/>
      <w:numFmt w:val="decimal"/>
      <w:lvlText w:val="%4."/>
      <w:lvlJc w:val="left"/>
      <w:pPr>
        <w:ind w:left="3960" w:hanging="360"/>
      </w:pPr>
    </w:lvl>
    <w:lvl w:ilvl="4" w:tplc="FEE8B23C">
      <w:start w:val="1"/>
      <w:numFmt w:val="lowerLetter"/>
      <w:lvlText w:val="%5."/>
      <w:lvlJc w:val="left"/>
      <w:pPr>
        <w:ind w:left="4680" w:hanging="360"/>
      </w:pPr>
    </w:lvl>
    <w:lvl w:ilvl="5" w:tplc="3384C8C4">
      <w:start w:val="1"/>
      <w:numFmt w:val="lowerRoman"/>
      <w:lvlText w:val="%6."/>
      <w:lvlJc w:val="right"/>
      <w:pPr>
        <w:ind w:left="5400" w:hanging="180"/>
      </w:pPr>
    </w:lvl>
    <w:lvl w:ilvl="6" w:tplc="82E0725A">
      <w:start w:val="1"/>
      <w:numFmt w:val="decimal"/>
      <w:lvlText w:val="%7."/>
      <w:lvlJc w:val="left"/>
      <w:pPr>
        <w:ind w:left="6120" w:hanging="360"/>
      </w:pPr>
    </w:lvl>
    <w:lvl w:ilvl="7" w:tplc="5CE29C44">
      <w:start w:val="1"/>
      <w:numFmt w:val="lowerLetter"/>
      <w:lvlText w:val="%8."/>
      <w:lvlJc w:val="left"/>
      <w:pPr>
        <w:ind w:left="6840" w:hanging="360"/>
      </w:pPr>
    </w:lvl>
    <w:lvl w:ilvl="8" w:tplc="6A6899FA">
      <w:start w:val="1"/>
      <w:numFmt w:val="lowerRoman"/>
      <w:lvlText w:val="%9."/>
      <w:lvlJc w:val="right"/>
      <w:pPr>
        <w:ind w:left="7560" w:hanging="180"/>
      </w:pPr>
    </w:lvl>
  </w:abstractNum>
  <w:abstractNum w:abstractNumId="3" w15:restartNumberingAfterBreak="0">
    <w:nsid w:val="329C423C"/>
    <w:multiLevelType w:val="hybridMultilevel"/>
    <w:tmpl w:val="F4B41ED6"/>
    <w:lvl w:ilvl="0" w:tplc="A10CC792">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rPr>
        <w:rFonts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CC4E47"/>
    <w:multiLevelType w:val="hybridMultilevel"/>
    <w:tmpl w:val="6A70A898"/>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514C2"/>
    <w:multiLevelType w:val="hybridMultilevel"/>
    <w:tmpl w:val="F972473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AD4AD"/>
    <w:multiLevelType w:val="hybridMultilevel"/>
    <w:tmpl w:val="86D28A00"/>
    <w:lvl w:ilvl="0" w:tplc="B6E89258">
      <w:start w:val="1"/>
      <w:numFmt w:val="decimal"/>
      <w:lvlText w:val="%1."/>
      <w:lvlJc w:val="left"/>
      <w:pPr>
        <w:ind w:left="720" w:hanging="360"/>
      </w:pPr>
      <w:rPr>
        <w:rFonts w:ascii="Tahoma" w:hAnsi="Tahoma" w:hint="default"/>
      </w:rPr>
    </w:lvl>
    <w:lvl w:ilvl="1" w:tplc="6230531A">
      <w:start w:val="1"/>
      <w:numFmt w:val="lowerLetter"/>
      <w:lvlText w:val="%2."/>
      <w:lvlJc w:val="left"/>
      <w:pPr>
        <w:ind w:left="1440" w:hanging="360"/>
      </w:pPr>
    </w:lvl>
    <w:lvl w:ilvl="2" w:tplc="804686A0">
      <w:start w:val="1"/>
      <w:numFmt w:val="lowerRoman"/>
      <w:lvlText w:val="%3."/>
      <w:lvlJc w:val="right"/>
      <w:pPr>
        <w:ind w:left="2160" w:hanging="180"/>
      </w:pPr>
    </w:lvl>
    <w:lvl w:ilvl="3" w:tplc="06DA5CFC">
      <w:start w:val="1"/>
      <w:numFmt w:val="decimal"/>
      <w:lvlText w:val="%4."/>
      <w:lvlJc w:val="left"/>
      <w:pPr>
        <w:ind w:left="2880" w:hanging="360"/>
      </w:pPr>
    </w:lvl>
    <w:lvl w:ilvl="4" w:tplc="CA7EB700">
      <w:start w:val="1"/>
      <w:numFmt w:val="lowerLetter"/>
      <w:lvlText w:val="%5."/>
      <w:lvlJc w:val="left"/>
      <w:pPr>
        <w:ind w:left="3600" w:hanging="360"/>
      </w:pPr>
    </w:lvl>
    <w:lvl w:ilvl="5" w:tplc="2182CCC4">
      <w:start w:val="1"/>
      <w:numFmt w:val="lowerRoman"/>
      <w:lvlText w:val="%6."/>
      <w:lvlJc w:val="right"/>
      <w:pPr>
        <w:ind w:left="4320" w:hanging="180"/>
      </w:pPr>
    </w:lvl>
    <w:lvl w:ilvl="6" w:tplc="1F323D4E">
      <w:start w:val="1"/>
      <w:numFmt w:val="decimal"/>
      <w:lvlText w:val="%7."/>
      <w:lvlJc w:val="left"/>
      <w:pPr>
        <w:ind w:left="5040" w:hanging="360"/>
      </w:pPr>
    </w:lvl>
    <w:lvl w:ilvl="7" w:tplc="60EA859E">
      <w:start w:val="1"/>
      <w:numFmt w:val="lowerLetter"/>
      <w:lvlText w:val="%8."/>
      <w:lvlJc w:val="left"/>
      <w:pPr>
        <w:ind w:left="5760" w:hanging="360"/>
      </w:pPr>
    </w:lvl>
    <w:lvl w:ilvl="8" w:tplc="6AB639E6">
      <w:start w:val="1"/>
      <w:numFmt w:val="lowerRoman"/>
      <w:lvlText w:val="%9."/>
      <w:lvlJc w:val="right"/>
      <w:pPr>
        <w:ind w:left="6480" w:hanging="180"/>
      </w:pPr>
    </w:lvl>
  </w:abstractNum>
  <w:abstractNum w:abstractNumId="8" w15:restartNumberingAfterBreak="0">
    <w:nsid w:val="65C22E3D"/>
    <w:multiLevelType w:val="hybridMultilevel"/>
    <w:tmpl w:val="C8ACF0B8"/>
    <w:lvl w:ilvl="0" w:tplc="60B8E88A">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720"/>
      </w:pPr>
    </w:lvl>
    <w:lvl w:ilvl="3" w:tplc="65CA4FD8">
      <w:start w:val="1"/>
      <w:numFmt w:val="decimal"/>
      <w:lvlText w:val="%4."/>
      <w:lvlJc w:val="left"/>
      <w:pPr>
        <w:ind w:left="3240" w:hanging="360"/>
      </w:pPr>
    </w:lvl>
    <w:lvl w:ilvl="4" w:tplc="AB2C27F6">
      <w:start w:val="1"/>
      <w:numFmt w:val="lowerLetter"/>
      <w:lvlText w:val="%5."/>
      <w:lvlJc w:val="left"/>
      <w:pPr>
        <w:ind w:left="3960" w:hanging="360"/>
      </w:pPr>
    </w:lvl>
    <w:lvl w:ilvl="5" w:tplc="60ECAC60">
      <w:start w:val="1"/>
      <w:numFmt w:val="lowerRoman"/>
      <w:lvlText w:val="%6."/>
      <w:lvlJc w:val="right"/>
      <w:pPr>
        <w:ind w:left="4680" w:hanging="180"/>
      </w:pPr>
    </w:lvl>
    <w:lvl w:ilvl="6" w:tplc="7ABE5154">
      <w:start w:val="1"/>
      <w:numFmt w:val="decimal"/>
      <w:lvlText w:val="%7."/>
      <w:lvlJc w:val="left"/>
      <w:pPr>
        <w:ind w:left="5400" w:hanging="360"/>
      </w:pPr>
    </w:lvl>
    <w:lvl w:ilvl="7" w:tplc="55E6AE02">
      <w:start w:val="1"/>
      <w:numFmt w:val="lowerLetter"/>
      <w:lvlText w:val="%8."/>
      <w:lvlJc w:val="left"/>
      <w:pPr>
        <w:ind w:left="6120" w:hanging="360"/>
      </w:pPr>
    </w:lvl>
    <w:lvl w:ilvl="8" w:tplc="00228EDC">
      <w:start w:val="1"/>
      <w:numFmt w:val="lowerRoman"/>
      <w:lvlText w:val="%9."/>
      <w:lvlJc w:val="right"/>
      <w:pPr>
        <w:ind w:left="6840" w:hanging="180"/>
      </w:pPr>
    </w:lvl>
  </w:abstractNum>
  <w:abstractNum w:abstractNumId="9" w15:restartNumberingAfterBreak="0">
    <w:nsid w:val="6694018A"/>
    <w:multiLevelType w:val="hybridMultilevel"/>
    <w:tmpl w:val="94643B4E"/>
    <w:lvl w:ilvl="0" w:tplc="FFFFFFFF">
      <w:start w:val="1"/>
      <w:numFmt w:val="lowerLetter"/>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D46816"/>
    <w:multiLevelType w:val="hybridMultilevel"/>
    <w:tmpl w:val="CDFE42A6"/>
    <w:lvl w:ilvl="0" w:tplc="32EACC2E">
      <w:start w:val="1"/>
      <w:numFmt w:val="lowerRoman"/>
      <w:lvlText w:val="%1."/>
      <w:lvlJc w:val="right"/>
      <w:pPr>
        <w:ind w:left="1440" w:hanging="360"/>
      </w:pPr>
    </w:lvl>
    <w:lvl w:ilvl="1" w:tplc="BA96C6A0">
      <w:start w:val="1"/>
      <w:numFmt w:val="lowerLetter"/>
      <w:lvlText w:val="%2."/>
      <w:lvlJc w:val="left"/>
      <w:pPr>
        <w:ind w:left="2160" w:hanging="360"/>
      </w:pPr>
    </w:lvl>
    <w:lvl w:ilvl="2" w:tplc="63A298D2">
      <w:start w:val="1"/>
      <w:numFmt w:val="lowerRoman"/>
      <w:lvlText w:val="%3."/>
      <w:lvlJc w:val="right"/>
      <w:pPr>
        <w:ind w:left="2880" w:hanging="180"/>
      </w:pPr>
    </w:lvl>
    <w:lvl w:ilvl="3" w:tplc="530678C4">
      <w:start w:val="1"/>
      <w:numFmt w:val="decimal"/>
      <w:lvlText w:val="%4."/>
      <w:lvlJc w:val="left"/>
      <w:pPr>
        <w:ind w:left="3600" w:hanging="360"/>
      </w:pPr>
    </w:lvl>
    <w:lvl w:ilvl="4" w:tplc="59045B72">
      <w:start w:val="1"/>
      <w:numFmt w:val="lowerLetter"/>
      <w:lvlText w:val="%5."/>
      <w:lvlJc w:val="left"/>
      <w:pPr>
        <w:ind w:left="4320" w:hanging="360"/>
      </w:pPr>
    </w:lvl>
    <w:lvl w:ilvl="5" w:tplc="BEF2F3E4">
      <w:start w:val="1"/>
      <w:numFmt w:val="lowerRoman"/>
      <w:lvlText w:val="%6."/>
      <w:lvlJc w:val="right"/>
      <w:pPr>
        <w:ind w:left="5040" w:hanging="180"/>
      </w:pPr>
    </w:lvl>
    <w:lvl w:ilvl="6" w:tplc="F1AC0F2E">
      <w:start w:val="1"/>
      <w:numFmt w:val="decimal"/>
      <w:lvlText w:val="%7."/>
      <w:lvlJc w:val="left"/>
      <w:pPr>
        <w:ind w:left="5760" w:hanging="360"/>
      </w:pPr>
    </w:lvl>
    <w:lvl w:ilvl="7" w:tplc="A5CE56C0">
      <w:start w:val="1"/>
      <w:numFmt w:val="lowerLetter"/>
      <w:lvlText w:val="%8."/>
      <w:lvlJc w:val="left"/>
      <w:pPr>
        <w:ind w:left="6480" w:hanging="360"/>
      </w:pPr>
    </w:lvl>
    <w:lvl w:ilvl="8" w:tplc="9AC2A316">
      <w:start w:val="1"/>
      <w:numFmt w:val="lowerRoman"/>
      <w:lvlText w:val="%9."/>
      <w:lvlJc w:val="right"/>
      <w:pPr>
        <w:ind w:left="7200" w:hanging="180"/>
      </w:pPr>
    </w:lvl>
  </w:abstractNum>
  <w:abstractNum w:abstractNumId="11" w15:restartNumberingAfterBreak="0">
    <w:nsid w:val="6D9562DD"/>
    <w:multiLevelType w:val="hybridMultilevel"/>
    <w:tmpl w:val="03FE82C6"/>
    <w:lvl w:ilvl="0" w:tplc="683E69E8">
      <w:start w:val="1"/>
      <w:numFmt w:val="bullet"/>
      <w:lvlText w:val=""/>
      <w:lvlJc w:val="left"/>
      <w:pPr>
        <w:ind w:left="720" w:hanging="360"/>
      </w:pPr>
      <w:rPr>
        <w:rFonts w:ascii="Symbol" w:hAnsi="Symbol" w:hint="default"/>
      </w:rPr>
    </w:lvl>
    <w:lvl w:ilvl="1" w:tplc="621AE540">
      <w:start w:val="1"/>
      <w:numFmt w:val="bullet"/>
      <w:lvlText w:val=""/>
      <w:lvlJc w:val="left"/>
      <w:pPr>
        <w:ind w:left="1440" w:hanging="360"/>
      </w:pPr>
      <w:rPr>
        <w:rFonts w:ascii="Symbol" w:hAnsi="Symbol" w:hint="default"/>
      </w:rPr>
    </w:lvl>
    <w:lvl w:ilvl="2" w:tplc="6AE0A8EA">
      <w:start w:val="1"/>
      <w:numFmt w:val="bullet"/>
      <w:lvlText w:val=""/>
      <w:lvlJc w:val="left"/>
      <w:pPr>
        <w:ind w:left="2160" w:hanging="360"/>
      </w:pPr>
      <w:rPr>
        <w:rFonts w:ascii="Wingdings" w:hAnsi="Wingdings" w:hint="default"/>
      </w:rPr>
    </w:lvl>
    <w:lvl w:ilvl="3" w:tplc="B21C68BA">
      <w:start w:val="1"/>
      <w:numFmt w:val="bullet"/>
      <w:lvlText w:val=""/>
      <w:lvlJc w:val="left"/>
      <w:pPr>
        <w:ind w:left="2880" w:hanging="360"/>
      </w:pPr>
      <w:rPr>
        <w:rFonts w:ascii="Symbol" w:hAnsi="Symbol" w:hint="default"/>
      </w:rPr>
    </w:lvl>
    <w:lvl w:ilvl="4" w:tplc="28E2B3BC">
      <w:start w:val="1"/>
      <w:numFmt w:val="bullet"/>
      <w:lvlText w:val="o"/>
      <w:lvlJc w:val="left"/>
      <w:pPr>
        <w:ind w:left="3600" w:hanging="360"/>
      </w:pPr>
      <w:rPr>
        <w:rFonts w:ascii="Courier New" w:hAnsi="Courier New" w:hint="default"/>
      </w:rPr>
    </w:lvl>
    <w:lvl w:ilvl="5" w:tplc="A6E2D7B6">
      <w:start w:val="1"/>
      <w:numFmt w:val="bullet"/>
      <w:lvlText w:val=""/>
      <w:lvlJc w:val="left"/>
      <w:pPr>
        <w:ind w:left="4320" w:hanging="360"/>
      </w:pPr>
      <w:rPr>
        <w:rFonts w:ascii="Wingdings" w:hAnsi="Wingdings" w:hint="default"/>
      </w:rPr>
    </w:lvl>
    <w:lvl w:ilvl="6" w:tplc="E4CCE2F2">
      <w:start w:val="1"/>
      <w:numFmt w:val="bullet"/>
      <w:lvlText w:val=""/>
      <w:lvlJc w:val="left"/>
      <w:pPr>
        <w:ind w:left="5040" w:hanging="360"/>
      </w:pPr>
      <w:rPr>
        <w:rFonts w:ascii="Symbol" w:hAnsi="Symbol" w:hint="default"/>
      </w:rPr>
    </w:lvl>
    <w:lvl w:ilvl="7" w:tplc="F4E82650">
      <w:start w:val="1"/>
      <w:numFmt w:val="bullet"/>
      <w:lvlText w:val="o"/>
      <w:lvlJc w:val="left"/>
      <w:pPr>
        <w:ind w:left="5760" w:hanging="360"/>
      </w:pPr>
      <w:rPr>
        <w:rFonts w:ascii="Courier New" w:hAnsi="Courier New" w:hint="default"/>
      </w:rPr>
    </w:lvl>
    <w:lvl w:ilvl="8" w:tplc="3B92E2B6">
      <w:start w:val="1"/>
      <w:numFmt w:val="bullet"/>
      <w:lvlText w:val=""/>
      <w:lvlJc w:val="left"/>
      <w:pPr>
        <w:ind w:left="6480" w:hanging="360"/>
      </w:pPr>
      <w:rPr>
        <w:rFonts w:ascii="Wingdings" w:hAnsi="Wingdings" w:hint="default"/>
      </w:rPr>
    </w:lvl>
  </w:abstractNum>
  <w:abstractNum w:abstractNumId="12" w15:restartNumberingAfterBreak="0">
    <w:nsid w:val="6F36415A"/>
    <w:multiLevelType w:val="hybridMultilevel"/>
    <w:tmpl w:val="99FCC44E"/>
    <w:lvl w:ilvl="0" w:tplc="FFFFFFFF">
      <w:start w:val="1"/>
      <w:numFmt w:val="lowerLetter"/>
      <w:lvlText w:val="%1."/>
      <w:lvlJc w:val="left"/>
      <w:pPr>
        <w:ind w:left="720" w:hanging="360"/>
      </w:pPr>
      <w:rPr>
        <w:b w:val="0"/>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01990">
    <w:abstractNumId w:val="2"/>
  </w:num>
  <w:num w:numId="2" w16cid:durableId="409738069">
    <w:abstractNumId w:val="10"/>
  </w:num>
  <w:num w:numId="3" w16cid:durableId="983313230">
    <w:abstractNumId w:val="7"/>
  </w:num>
  <w:num w:numId="4" w16cid:durableId="513224902">
    <w:abstractNumId w:val="0"/>
  </w:num>
  <w:num w:numId="5" w16cid:durableId="780761565">
    <w:abstractNumId w:val="8"/>
  </w:num>
  <w:num w:numId="6" w16cid:durableId="1500539002">
    <w:abstractNumId w:val="11"/>
  </w:num>
  <w:num w:numId="7" w16cid:durableId="1034186731">
    <w:abstractNumId w:val="3"/>
  </w:num>
  <w:num w:numId="8" w16cid:durableId="309360223">
    <w:abstractNumId w:val="5"/>
  </w:num>
  <w:num w:numId="9" w16cid:durableId="2105104982">
    <w:abstractNumId w:val="6"/>
  </w:num>
  <w:num w:numId="10" w16cid:durableId="1395549656">
    <w:abstractNumId w:val="1"/>
  </w:num>
  <w:num w:numId="11" w16cid:durableId="1233588657">
    <w:abstractNumId w:val="12"/>
  </w:num>
  <w:num w:numId="12" w16cid:durableId="809438040">
    <w:abstractNumId w:val="4"/>
  </w:num>
  <w:num w:numId="13" w16cid:durableId="70097845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7E49"/>
    <w:rsid w:val="00010C32"/>
    <w:rsid w:val="0001481B"/>
    <w:rsid w:val="00015079"/>
    <w:rsid w:val="00015FC3"/>
    <w:rsid w:val="00017B31"/>
    <w:rsid w:val="0002180D"/>
    <w:rsid w:val="000221F1"/>
    <w:rsid w:val="00026255"/>
    <w:rsid w:val="00026C30"/>
    <w:rsid w:val="000454A8"/>
    <w:rsid w:val="000460E7"/>
    <w:rsid w:val="00052DA3"/>
    <w:rsid w:val="00054793"/>
    <w:rsid w:val="00056E94"/>
    <w:rsid w:val="00060796"/>
    <w:rsid w:val="000607CF"/>
    <w:rsid w:val="000623A2"/>
    <w:rsid w:val="00065E8D"/>
    <w:rsid w:val="00072C9D"/>
    <w:rsid w:val="0007601D"/>
    <w:rsid w:val="00076425"/>
    <w:rsid w:val="00085FF7"/>
    <w:rsid w:val="0008677D"/>
    <w:rsid w:val="00095DB4"/>
    <w:rsid w:val="000977B6"/>
    <w:rsid w:val="000A612A"/>
    <w:rsid w:val="000A64E1"/>
    <w:rsid w:val="000A6F8F"/>
    <w:rsid w:val="000A7B94"/>
    <w:rsid w:val="000B2279"/>
    <w:rsid w:val="000B3E1D"/>
    <w:rsid w:val="000B63D7"/>
    <w:rsid w:val="000B66F9"/>
    <w:rsid w:val="000C0271"/>
    <w:rsid w:val="000C32EE"/>
    <w:rsid w:val="000C56C2"/>
    <w:rsid w:val="000C6586"/>
    <w:rsid w:val="000C7E71"/>
    <w:rsid w:val="000D0DAA"/>
    <w:rsid w:val="000D302C"/>
    <w:rsid w:val="000D365D"/>
    <w:rsid w:val="000D7152"/>
    <w:rsid w:val="000E089F"/>
    <w:rsid w:val="000F1368"/>
    <w:rsid w:val="000F1EC4"/>
    <w:rsid w:val="000F2CB1"/>
    <w:rsid w:val="000F5A8B"/>
    <w:rsid w:val="000F79EA"/>
    <w:rsid w:val="00101391"/>
    <w:rsid w:val="00103474"/>
    <w:rsid w:val="00105F96"/>
    <w:rsid w:val="001063FA"/>
    <w:rsid w:val="001100FF"/>
    <w:rsid w:val="001121BF"/>
    <w:rsid w:val="00113EE3"/>
    <w:rsid w:val="0011608D"/>
    <w:rsid w:val="00116A89"/>
    <w:rsid w:val="001262A7"/>
    <w:rsid w:val="00127E11"/>
    <w:rsid w:val="00130497"/>
    <w:rsid w:val="001321FC"/>
    <w:rsid w:val="001331CF"/>
    <w:rsid w:val="001339C5"/>
    <w:rsid w:val="00140D95"/>
    <w:rsid w:val="00141F26"/>
    <w:rsid w:val="00143F85"/>
    <w:rsid w:val="00145289"/>
    <w:rsid w:val="00145C63"/>
    <w:rsid w:val="001469E2"/>
    <w:rsid w:val="00152690"/>
    <w:rsid w:val="001600BE"/>
    <w:rsid w:val="0016035D"/>
    <w:rsid w:val="00162600"/>
    <w:rsid w:val="00167948"/>
    <w:rsid w:val="0017004D"/>
    <w:rsid w:val="00170387"/>
    <w:rsid w:val="0017139A"/>
    <w:rsid w:val="00173008"/>
    <w:rsid w:val="00173953"/>
    <w:rsid w:val="0017571F"/>
    <w:rsid w:val="001845A0"/>
    <w:rsid w:val="001851F1"/>
    <w:rsid w:val="00185366"/>
    <w:rsid w:val="00193FB4"/>
    <w:rsid w:val="0019554D"/>
    <w:rsid w:val="001A31B2"/>
    <w:rsid w:val="001A74E6"/>
    <w:rsid w:val="001A7A7A"/>
    <w:rsid w:val="001B0AAA"/>
    <w:rsid w:val="001B1A6E"/>
    <w:rsid w:val="001B1AB5"/>
    <w:rsid w:val="001B1D71"/>
    <w:rsid w:val="001B2D80"/>
    <w:rsid w:val="001B4EAF"/>
    <w:rsid w:val="001B53A2"/>
    <w:rsid w:val="001C0C28"/>
    <w:rsid w:val="001C6351"/>
    <w:rsid w:val="001D13BA"/>
    <w:rsid w:val="001D7089"/>
    <w:rsid w:val="001E5E07"/>
    <w:rsid w:val="001E614D"/>
    <w:rsid w:val="001F08A3"/>
    <w:rsid w:val="001F2351"/>
    <w:rsid w:val="001F7F01"/>
    <w:rsid w:val="00201994"/>
    <w:rsid w:val="00204CBE"/>
    <w:rsid w:val="00215BB4"/>
    <w:rsid w:val="00224E73"/>
    <w:rsid w:val="00227BDA"/>
    <w:rsid w:val="0024459C"/>
    <w:rsid w:val="00246C50"/>
    <w:rsid w:val="00247C30"/>
    <w:rsid w:val="0025061E"/>
    <w:rsid w:val="002545E0"/>
    <w:rsid w:val="00255AC4"/>
    <w:rsid w:val="00255CEF"/>
    <w:rsid w:val="00265185"/>
    <w:rsid w:val="00266A9C"/>
    <w:rsid w:val="0026790F"/>
    <w:rsid w:val="002746E9"/>
    <w:rsid w:val="00281E57"/>
    <w:rsid w:val="0028273B"/>
    <w:rsid w:val="002854DE"/>
    <w:rsid w:val="00285901"/>
    <w:rsid w:val="00290CB0"/>
    <w:rsid w:val="00291A59"/>
    <w:rsid w:val="00292520"/>
    <w:rsid w:val="00297F80"/>
    <w:rsid w:val="002B275D"/>
    <w:rsid w:val="002B2C05"/>
    <w:rsid w:val="002B3957"/>
    <w:rsid w:val="002B73A6"/>
    <w:rsid w:val="002C0C7E"/>
    <w:rsid w:val="002C5C07"/>
    <w:rsid w:val="002C5D5A"/>
    <w:rsid w:val="002D02AF"/>
    <w:rsid w:val="002D28E9"/>
    <w:rsid w:val="002D3BD1"/>
    <w:rsid w:val="002E406E"/>
    <w:rsid w:val="002F21B1"/>
    <w:rsid w:val="002F6EA3"/>
    <w:rsid w:val="00307615"/>
    <w:rsid w:val="00312371"/>
    <w:rsid w:val="003142B2"/>
    <w:rsid w:val="00314F22"/>
    <w:rsid w:val="00331547"/>
    <w:rsid w:val="003346FE"/>
    <w:rsid w:val="00341D4F"/>
    <w:rsid w:val="0034404B"/>
    <w:rsid w:val="00347785"/>
    <w:rsid w:val="0034784D"/>
    <w:rsid w:val="00347F87"/>
    <w:rsid w:val="00352120"/>
    <w:rsid w:val="00352FD4"/>
    <w:rsid w:val="00361CBF"/>
    <w:rsid w:val="00367871"/>
    <w:rsid w:val="00367BAF"/>
    <w:rsid w:val="003760A4"/>
    <w:rsid w:val="00380EC2"/>
    <w:rsid w:val="00382720"/>
    <w:rsid w:val="00383969"/>
    <w:rsid w:val="003842EE"/>
    <w:rsid w:val="00385C2D"/>
    <w:rsid w:val="00390361"/>
    <w:rsid w:val="003946B0"/>
    <w:rsid w:val="00395DDE"/>
    <w:rsid w:val="0039699B"/>
    <w:rsid w:val="003A0D1D"/>
    <w:rsid w:val="003A216E"/>
    <w:rsid w:val="003A3AE5"/>
    <w:rsid w:val="003A7678"/>
    <w:rsid w:val="003B0617"/>
    <w:rsid w:val="003B49FA"/>
    <w:rsid w:val="003B5117"/>
    <w:rsid w:val="003C014C"/>
    <w:rsid w:val="003C7D9E"/>
    <w:rsid w:val="003F45F3"/>
    <w:rsid w:val="003F4ED5"/>
    <w:rsid w:val="003F590C"/>
    <w:rsid w:val="003F6904"/>
    <w:rsid w:val="003F7177"/>
    <w:rsid w:val="004047A7"/>
    <w:rsid w:val="00406019"/>
    <w:rsid w:val="0041277E"/>
    <w:rsid w:val="00413486"/>
    <w:rsid w:val="0041646D"/>
    <w:rsid w:val="004176C0"/>
    <w:rsid w:val="00436FB1"/>
    <w:rsid w:val="004416FF"/>
    <w:rsid w:val="00441756"/>
    <w:rsid w:val="00441BB8"/>
    <w:rsid w:val="0044221E"/>
    <w:rsid w:val="00442588"/>
    <w:rsid w:val="0044373F"/>
    <w:rsid w:val="00444C85"/>
    <w:rsid w:val="0044621B"/>
    <w:rsid w:val="00457861"/>
    <w:rsid w:val="004658B8"/>
    <w:rsid w:val="0047542B"/>
    <w:rsid w:val="004779D5"/>
    <w:rsid w:val="00480324"/>
    <w:rsid w:val="0048038B"/>
    <w:rsid w:val="00485905"/>
    <w:rsid w:val="00486C69"/>
    <w:rsid w:val="00486ED9"/>
    <w:rsid w:val="00487C0F"/>
    <w:rsid w:val="004916A8"/>
    <w:rsid w:val="004922E4"/>
    <w:rsid w:val="0049676E"/>
    <w:rsid w:val="00496963"/>
    <w:rsid w:val="004A18AD"/>
    <w:rsid w:val="004A4E94"/>
    <w:rsid w:val="004A6BEF"/>
    <w:rsid w:val="004B3DAE"/>
    <w:rsid w:val="004B4B6C"/>
    <w:rsid w:val="004B53F8"/>
    <w:rsid w:val="004B6206"/>
    <w:rsid w:val="004C3870"/>
    <w:rsid w:val="004C4E2C"/>
    <w:rsid w:val="004C526B"/>
    <w:rsid w:val="004C6DBA"/>
    <w:rsid w:val="004D2B8C"/>
    <w:rsid w:val="004D35B8"/>
    <w:rsid w:val="004D59CA"/>
    <w:rsid w:val="004D6E92"/>
    <w:rsid w:val="004D77AB"/>
    <w:rsid w:val="004E2549"/>
    <w:rsid w:val="004E5937"/>
    <w:rsid w:val="004E75FD"/>
    <w:rsid w:val="004E798D"/>
    <w:rsid w:val="004F2A23"/>
    <w:rsid w:val="004F3A32"/>
    <w:rsid w:val="004F7AB0"/>
    <w:rsid w:val="0051436D"/>
    <w:rsid w:val="00515DE2"/>
    <w:rsid w:val="00522799"/>
    <w:rsid w:val="005263CC"/>
    <w:rsid w:val="005414C4"/>
    <w:rsid w:val="00542F64"/>
    <w:rsid w:val="0055392C"/>
    <w:rsid w:val="00555D26"/>
    <w:rsid w:val="00556B62"/>
    <w:rsid w:val="00557105"/>
    <w:rsid w:val="00561D29"/>
    <w:rsid w:val="00562327"/>
    <w:rsid w:val="00562474"/>
    <w:rsid w:val="00565391"/>
    <w:rsid w:val="00572153"/>
    <w:rsid w:val="00573F79"/>
    <w:rsid w:val="0057450F"/>
    <w:rsid w:val="0057592B"/>
    <w:rsid w:val="005778AF"/>
    <w:rsid w:val="005826A7"/>
    <w:rsid w:val="00593EC1"/>
    <w:rsid w:val="005A10E6"/>
    <w:rsid w:val="005A6041"/>
    <w:rsid w:val="005A718B"/>
    <w:rsid w:val="005B5BD1"/>
    <w:rsid w:val="005C413A"/>
    <w:rsid w:val="005C5CA2"/>
    <w:rsid w:val="005D4018"/>
    <w:rsid w:val="005D4061"/>
    <w:rsid w:val="005D6685"/>
    <w:rsid w:val="005E0529"/>
    <w:rsid w:val="005E0B16"/>
    <w:rsid w:val="005E3AE3"/>
    <w:rsid w:val="005E5133"/>
    <w:rsid w:val="005F0392"/>
    <w:rsid w:val="005F196A"/>
    <w:rsid w:val="00606873"/>
    <w:rsid w:val="0060708C"/>
    <w:rsid w:val="006105A7"/>
    <w:rsid w:val="006143E0"/>
    <w:rsid w:val="00615B97"/>
    <w:rsid w:val="006224A5"/>
    <w:rsid w:val="0062441C"/>
    <w:rsid w:val="00625091"/>
    <w:rsid w:val="006261BD"/>
    <w:rsid w:val="006305BF"/>
    <w:rsid w:val="00636B5E"/>
    <w:rsid w:val="00640704"/>
    <w:rsid w:val="00641FA8"/>
    <w:rsid w:val="00643E21"/>
    <w:rsid w:val="00644DE6"/>
    <w:rsid w:val="0065323E"/>
    <w:rsid w:val="00653310"/>
    <w:rsid w:val="006624A4"/>
    <w:rsid w:val="00663D53"/>
    <w:rsid w:val="006674B2"/>
    <w:rsid w:val="006729BB"/>
    <w:rsid w:val="00676C2F"/>
    <w:rsid w:val="00677519"/>
    <w:rsid w:val="00677824"/>
    <w:rsid w:val="00681480"/>
    <w:rsid w:val="00683BD3"/>
    <w:rsid w:val="00684F13"/>
    <w:rsid w:val="0068642A"/>
    <w:rsid w:val="00690429"/>
    <w:rsid w:val="006909D7"/>
    <w:rsid w:val="0069191B"/>
    <w:rsid w:val="00692476"/>
    <w:rsid w:val="006A206A"/>
    <w:rsid w:val="006A2861"/>
    <w:rsid w:val="006C190C"/>
    <w:rsid w:val="006C287F"/>
    <w:rsid w:val="006D202F"/>
    <w:rsid w:val="006D2B5B"/>
    <w:rsid w:val="006D4353"/>
    <w:rsid w:val="006D70BB"/>
    <w:rsid w:val="006D7C03"/>
    <w:rsid w:val="006E291E"/>
    <w:rsid w:val="006E43EC"/>
    <w:rsid w:val="006E45BF"/>
    <w:rsid w:val="006E5D57"/>
    <w:rsid w:val="006F01A3"/>
    <w:rsid w:val="006F644B"/>
    <w:rsid w:val="0070026E"/>
    <w:rsid w:val="00701076"/>
    <w:rsid w:val="00701F98"/>
    <w:rsid w:val="00704758"/>
    <w:rsid w:val="007060DA"/>
    <w:rsid w:val="00706B7A"/>
    <w:rsid w:val="00710599"/>
    <w:rsid w:val="00712C9A"/>
    <w:rsid w:val="00717BA2"/>
    <w:rsid w:val="00724837"/>
    <w:rsid w:val="00724F0D"/>
    <w:rsid w:val="00731477"/>
    <w:rsid w:val="00731F72"/>
    <w:rsid w:val="00734F98"/>
    <w:rsid w:val="00735A7C"/>
    <w:rsid w:val="007428F8"/>
    <w:rsid w:val="007433B8"/>
    <w:rsid w:val="007442F2"/>
    <w:rsid w:val="00760F10"/>
    <w:rsid w:val="00761DEB"/>
    <w:rsid w:val="00763039"/>
    <w:rsid w:val="00771474"/>
    <w:rsid w:val="00771F65"/>
    <w:rsid w:val="00773297"/>
    <w:rsid w:val="00773B03"/>
    <w:rsid w:val="00773B0B"/>
    <w:rsid w:val="00775599"/>
    <w:rsid w:val="007835C7"/>
    <w:rsid w:val="00785C13"/>
    <w:rsid w:val="00786487"/>
    <w:rsid w:val="00787CD9"/>
    <w:rsid w:val="0079170D"/>
    <w:rsid w:val="007936A8"/>
    <w:rsid w:val="007963E5"/>
    <w:rsid w:val="007A2660"/>
    <w:rsid w:val="007A334F"/>
    <w:rsid w:val="007A77FC"/>
    <w:rsid w:val="007B1ABC"/>
    <w:rsid w:val="007B30B4"/>
    <w:rsid w:val="007B6D87"/>
    <w:rsid w:val="007C1BC0"/>
    <w:rsid w:val="007C35CB"/>
    <w:rsid w:val="007C4389"/>
    <w:rsid w:val="007E5173"/>
    <w:rsid w:val="007E579D"/>
    <w:rsid w:val="007F07E9"/>
    <w:rsid w:val="007F6CD4"/>
    <w:rsid w:val="008007B1"/>
    <w:rsid w:val="008040BC"/>
    <w:rsid w:val="00806C34"/>
    <w:rsid w:val="008100AA"/>
    <w:rsid w:val="0081112F"/>
    <w:rsid w:val="00812D61"/>
    <w:rsid w:val="008150A3"/>
    <w:rsid w:val="00815EB9"/>
    <w:rsid w:val="00816C7C"/>
    <w:rsid w:val="00820A7E"/>
    <w:rsid w:val="00821490"/>
    <w:rsid w:val="0082261B"/>
    <w:rsid w:val="00831EC9"/>
    <w:rsid w:val="00834712"/>
    <w:rsid w:val="00840916"/>
    <w:rsid w:val="00843427"/>
    <w:rsid w:val="00844B7C"/>
    <w:rsid w:val="0084523A"/>
    <w:rsid w:val="00851A54"/>
    <w:rsid w:val="00855286"/>
    <w:rsid w:val="00856EC6"/>
    <w:rsid w:val="00860AEA"/>
    <w:rsid w:val="00861E5D"/>
    <w:rsid w:val="00862B25"/>
    <w:rsid w:val="00862CC0"/>
    <w:rsid w:val="0086384C"/>
    <w:rsid w:val="00874E29"/>
    <w:rsid w:val="00876F21"/>
    <w:rsid w:val="00880BFE"/>
    <w:rsid w:val="008837A2"/>
    <w:rsid w:val="008837D0"/>
    <w:rsid w:val="008853D3"/>
    <w:rsid w:val="00885B8F"/>
    <w:rsid w:val="008906B8"/>
    <w:rsid w:val="008913A9"/>
    <w:rsid w:val="00893B3B"/>
    <w:rsid w:val="008A0B00"/>
    <w:rsid w:val="008A48F1"/>
    <w:rsid w:val="008B27BE"/>
    <w:rsid w:val="008B28F3"/>
    <w:rsid w:val="008B4D47"/>
    <w:rsid w:val="008B4E29"/>
    <w:rsid w:val="008B7596"/>
    <w:rsid w:val="008C1A9A"/>
    <w:rsid w:val="008C4CF7"/>
    <w:rsid w:val="008C7C7F"/>
    <w:rsid w:val="008D1D09"/>
    <w:rsid w:val="008D3F91"/>
    <w:rsid w:val="008E19AC"/>
    <w:rsid w:val="008E572D"/>
    <w:rsid w:val="008E75CE"/>
    <w:rsid w:val="008F385E"/>
    <w:rsid w:val="008F5B9F"/>
    <w:rsid w:val="008F6D2F"/>
    <w:rsid w:val="008F6EEE"/>
    <w:rsid w:val="008F7085"/>
    <w:rsid w:val="00900C19"/>
    <w:rsid w:val="00901C47"/>
    <w:rsid w:val="0090670D"/>
    <w:rsid w:val="00910392"/>
    <w:rsid w:val="00911479"/>
    <w:rsid w:val="00913C69"/>
    <w:rsid w:val="0091576C"/>
    <w:rsid w:val="00915C43"/>
    <w:rsid w:val="00921664"/>
    <w:rsid w:val="0092268F"/>
    <w:rsid w:val="00923005"/>
    <w:rsid w:val="009234DB"/>
    <w:rsid w:val="0092501E"/>
    <w:rsid w:val="009316C2"/>
    <w:rsid w:val="0093231E"/>
    <w:rsid w:val="00937BF7"/>
    <w:rsid w:val="0094278C"/>
    <w:rsid w:val="00950DDD"/>
    <w:rsid w:val="00956EB4"/>
    <w:rsid w:val="00957A8A"/>
    <w:rsid w:val="00960FC0"/>
    <w:rsid w:val="009613AB"/>
    <w:rsid w:val="00964872"/>
    <w:rsid w:val="0096498A"/>
    <w:rsid w:val="00971DB2"/>
    <w:rsid w:val="00973440"/>
    <w:rsid w:val="0097432A"/>
    <w:rsid w:val="0097518A"/>
    <w:rsid w:val="00982083"/>
    <w:rsid w:val="009904BC"/>
    <w:rsid w:val="009A0CA8"/>
    <w:rsid w:val="009A21C3"/>
    <w:rsid w:val="009A236F"/>
    <w:rsid w:val="009A3A19"/>
    <w:rsid w:val="009A678C"/>
    <w:rsid w:val="009A681A"/>
    <w:rsid w:val="009B0958"/>
    <w:rsid w:val="009B6F3E"/>
    <w:rsid w:val="009C0C10"/>
    <w:rsid w:val="009C0C1C"/>
    <w:rsid w:val="009E0560"/>
    <w:rsid w:val="009E4772"/>
    <w:rsid w:val="009E4F73"/>
    <w:rsid w:val="009E717D"/>
    <w:rsid w:val="009E7E53"/>
    <w:rsid w:val="009F3526"/>
    <w:rsid w:val="00A00996"/>
    <w:rsid w:val="00A04C5A"/>
    <w:rsid w:val="00A05AF9"/>
    <w:rsid w:val="00A2480A"/>
    <w:rsid w:val="00A27648"/>
    <w:rsid w:val="00A33B16"/>
    <w:rsid w:val="00A43E0A"/>
    <w:rsid w:val="00A470CC"/>
    <w:rsid w:val="00A51F74"/>
    <w:rsid w:val="00A54F20"/>
    <w:rsid w:val="00A55D2E"/>
    <w:rsid w:val="00A56963"/>
    <w:rsid w:val="00A575DE"/>
    <w:rsid w:val="00A57D25"/>
    <w:rsid w:val="00A66349"/>
    <w:rsid w:val="00A70285"/>
    <w:rsid w:val="00A71FBE"/>
    <w:rsid w:val="00A73EBE"/>
    <w:rsid w:val="00A74D20"/>
    <w:rsid w:val="00A74E3E"/>
    <w:rsid w:val="00A832AA"/>
    <w:rsid w:val="00A84C13"/>
    <w:rsid w:val="00A84D0E"/>
    <w:rsid w:val="00A85A1A"/>
    <w:rsid w:val="00A86612"/>
    <w:rsid w:val="00A87EFB"/>
    <w:rsid w:val="00A95062"/>
    <w:rsid w:val="00AA0333"/>
    <w:rsid w:val="00AA55F3"/>
    <w:rsid w:val="00AB00C9"/>
    <w:rsid w:val="00AC05F4"/>
    <w:rsid w:val="00AC1EA2"/>
    <w:rsid w:val="00AC5E7A"/>
    <w:rsid w:val="00AD053C"/>
    <w:rsid w:val="00AD29E1"/>
    <w:rsid w:val="00AD431C"/>
    <w:rsid w:val="00AD5F8B"/>
    <w:rsid w:val="00AD6239"/>
    <w:rsid w:val="00AE1FE4"/>
    <w:rsid w:val="00AE2917"/>
    <w:rsid w:val="00AE46DA"/>
    <w:rsid w:val="00AE69EE"/>
    <w:rsid w:val="00AF23C0"/>
    <w:rsid w:val="00AF31D3"/>
    <w:rsid w:val="00AF4941"/>
    <w:rsid w:val="00AF5961"/>
    <w:rsid w:val="00B01EFE"/>
    <w:rsid w:val="00B034E1"/>
    <w:rsid w:val="00B071D7"/>
    <w:rsid w:val="00B07986"/>
    <w:rsid w:val="00B07D42"/>
    <w:rsid w:val="00B12510"/>
    <w:rsid w:val="00B128EC"/>
    <w:rsid w:val="00B12BE0"/>
    <w:rsid w:val="00B13747"/>
    <w:rsid w:val="00B17001"/>
    <w:rsid w:val="00B17A5E"/>
    <w:rsid w:val="00B20A2D"/>
    <w:rsid w:val="00B226C9"/>
    <w:rsid w:val="00B23A4B"/>
    <w:rsid w:val="00B34B75"/>
    <w:rsid w:val="00B436EF"/>
    <w:rsid w:val="00B4504A"/>
    <w:rsid w:val="00B458BE"/>
    <w:rsid w:val="00B47AED"/>
    <w:rsid w:val="00B6363D"/>
    <w:rsid w:val="00B64EA0"/>
    <w:rsid w:val="00B670C5"/>
    <w:rsid w:val="00B70988"/>
    <w:rsid w:val="00B712F4"/>
    <w:rsid w:val="00B74A9C"/>
    <w:rsid w:val="00B75B8E"/>
    <w:rsid w:val="00B76A54"/>
    <w:rsid w:val="00B8231A"/>
    <w:rsid w:val="00B85D26"/>
    <w:rsid w:val="00B87F88"/>
    <w:rsid w:val="00B94D4C"/>
    <w:rsid w:val="00B963F1"/>
    <w:rsid w:val="00BA028C"/>
    <w:rsid w:val="00BA2122"/>
    <w:rsid w:val="00BA2904"/>
    <w:rsid w:val="00BA51E6"/>
    <w:rsid w:val="00BB3C4D"/>
    <w:rsid w:val="00BB6764"/>
    <w:rsid w:val="00BB719F"/>
    <w:rsid w:val="00BB7C72"/>
    <w:rsid w:val="00BC2535"/>
    <w:rsid w:val="00BC615F"/>
    <w:rsid w:val="00BD7F6D"/>
    <w:rsid w:val="00BE4A0C"/>
    <w:rsid w:val="00BE55D6"/>
    <w:rsid w:val="00BE7CD6"/>
    <w:rsid w:val="00BF0036"/>
    <w:rsid w:val="00BF0744"/>
    <w:rsid w:val="00BF1DF4"/>
    <w:rsid w:val="00BF23AD"/>
    <w:rsid w:val="00C02325"/>
    <w:rsid w:val="00C02821"/>
    <w:rsid w:val="00C029E0"/>
    <w:rsid w:val="00C049DB"/>
    <w:rsid w:val="00C063EA"/>
    <w:rsid w:val="00C06BEB"/>
    <w:rsid w:val="00C0783C"/>
    <w:rsid w:val="00C07D9B"/>
    <w:rsid w:val="00C10EB7"/>
    <w:rsid w:val="00C12AB0"/>
    <w:rsid w:val="00C16998"/>
    <w:rsid w:val="00C25361"/>
    <w:rsid w:val="00C26D0A"/>
    <w:rsid w:val="00C41B50"/>
    <w:rsid w:val="00C4363A"/>
    <w:rsid w:val="00C46A48"/>
    <w:rsid w:val="00C508A6"/>
    <w:rsid w:val="00C569FF"/>
    <w:rsid w:val="00C655BE"/>
    <w:rsid w:val="00C70AB5"/>
    <w:rsid w:val="00C77167"/>
    <w:rsid w:val="00C82178"/>
    <w:rsid w:val="00C900CF"/>
    <w:rsid w:val="00C9304A"/>
    <w:rsid w:val="00C93A20"/>
    <w:rsid w:val="00C95A01"/>
    <w:rsid w:val="00CA3965"/>
    <w:rsid w:val="00CA426B"/>
    <w:rsid w:val="00CA4C12"/>
    <w:rsid w:val="00CB35B7"/>
    <w:rsid w:val="00CB634C"/>
    <w:rsid w:val="00CB67F9"/>
    <w:rsid w:val="00CD3171"/>
    <w:rsid w:val="00CE0998"/>
    <w:rsid w:val="00CE2B54"/>
    <w:rsid w:val="00CE4D32"/>
    <w:rsid w:val="00CE62CF"/>
    <w:rsid w:val="00CE6C19"/>
    <w:rsid w:val="00CF137E"/>
    <w:rsid w:val="00CF27EC"/>
    <w:rsid w:val="00CF5FE7"/>
    <w:rsid w:val="00CF6E5A"/>
    <w:rsid w:val="00D02183"/>
    <w:rsid w:val="00D02205"/>
    <w:rsid w:val="00D034D8"/>
    <w:rsid w:val="00D06C78"/>
    <w:rsid w:val="00D15796"/>
    <w:rsid w:val="00D1690A"/>
    <w:rsid w:val="00D16C38"/>
    <w:rsid w:val="00D27C26"/>
    <w:rsid w:val="00D307EC"/>
    <w:rsid w:val="00D329CC"/>
    <w:rsid w:val="00D346F1"/>
    <w:rsid w:val="00D36F9D"/>
    <w:rsid w:val="00D412F7"/>
    <w:rsid w:val="00D42F35"/>
    <w:rsid w:val="00D43602"/>
    <w:rsid w:val="00D43EC7"/>
    <w:rsid w:val="00D45F5F"/>
    <w:rsid w:val="00D500E5"/>
    <w:rsid w:val="00D50DFF"/>
    <w:rsid w:val="00D61E61"/>
    <w:rsid w:val="00D631E2"/>
    <w:rsid w:val="00D63255"/>
    <w:rsid w:val="00D70641"/>
    <w:rsid w:val="00D739A3"/>
    <w:rsid w:val="00D747C8"/>
    <w:rsid w:val="00D81EA4"/>
    <w:rsid w:val="00D83E6F"/>
    <w:rsid w:val="00D8509B"/>
    <w:rsid w:val="00D854F9"/>
    <w:rsid w:val="00D90AA3"/>
    <w:rsid w:val="00D917EE"/>
    <w:rsid w:val="00D91FFB"/>
    <w:rsid w:val="00D929F7"/>
    <w:rsid w:val="00D9517E"/>
    <w:rsid w:val="00D972BE"/>
    <w:rsid w:val="00DA0561"/>
    <w:rsid w:val="00DA66BC"/>
    <w:rsid w:val="00DB57C3"/>
    <w:rsid w:val="00DB6907"/>
    <w:rsid w:val="00DB7353"/>
    <w:rsid w:val="00DB7C8B"/>
    <w:rsid w:val="00DC1AA3"/>
    <w:rsid w:val="00DC4F0F"/>
    <w:rsid w:val="00DC6264"/>
    <w:rsid w:val="00DC64E7"/>
    <w:rsid w:val="00DD1078"/>
    <w:rsid w:val="00DD2400"/>
    <w:rsid w:val="00DD245D"/>
    <w:rsid w:val="00DD2545"/>
    <w:rsid w:val="00DD2834"/>
    <w:rsid w:val="00DE42A0"/>
    <w:rsid w:val="00DF0BF9"/>
    <w:rsid w:val="00DF16B2"/>
    <w:rsid w:val="00DF18ED"/>
    <w:rsid w:val="00DF204C"/>
    <w:rsid w:val="00DF229B"/>
    <w:rsid w:val="00DF6C4B"/>
    <w:rsid w:val="00E1174C"/>
    <w:rsid w:val="00E12F94"/>
    <w:rsid w:val="00E14C68"/>
    <w:rsid w:val="00E16F39"/>
    <w:rsid w:val="00E200E1"/>
    <w:rsid w:val="00E2096D"/>
    <w:rsid w:val="00E22B0A"/>
    <w:rsid w:val="00E22F4D"/>
    <w:rsid w:val="00E2462B"/>
    <w:rsid w:val="00E25635"/>
    <w:rsid w:val="00E25694"/>
    <w:rsid w:val="00E26124"/>
    <w:rsid w:val="00E261F3"/>
    <w:rsid w:val="00E30610"/>
    <w:rsid w:val="00E30E54"/>
    <w:rsid w:val="00E331F4"/>
    <w:rsid w:val="00E35364"/>
    <w:rsid w:val="00E419B8"/>
    <w:rsid w:val="00E42C1D"/>
    <w:rsid w:val="00E454CD"/>
    <w:rsid w:val="00E45742"/>
    <w:rsid w:val="00E527FD"/>
    <w:rsid w:val="00E70BA2"/>
    <w:rsid w:val="00E72D53"/>
    <w:rsid w:val="00E736F8"/>
    <w:rsid w:val="00E760A3"/>
    <w:rsid w:val="00E82B10"/>
    <w:rsid w:val="00E83410"/>
    <w:rsid w:val="00E85119"/>
    <w:rsid w:val="00E920F6"/>
    <w:rsid w:val="00E9268C"/>
    <w:rsid w:val="00E949DD"/>
    <w:rsid w:val="00EA025E"/>
    <w:rsid w:val="00EA0B95"/>
    <w:rsid w:val="00EA1C5E"/>
    <w:rsid w:val="00EA6333"/>
    <w:rsid w:val="00EB4877"/>
    <w:rsid w:val="00EB4F6E"/>
    <w:rsid w:val="00EC1876"/>
    <w:rsid w:val="00EC27FC"/>
    <w:rsid w:val="00EC421C"/>
    <w:rsid w:val="00EC45E7"/>
    <w:rsid w:val="00EC49A5"/>
    <w:rsid w:val="00ED4A22"/>
    <w:rsid w:val="00ED6899"/>
    <w:rsid w:val="00EE1AFE"/>
    <w:rsid w:val="00EE2816"/>
    <w:rsid w:val="00EF1317"/>
    <w:rsid w:val="00EF1C60"/>
    <w:rsid w:val="00EF22FB"/>
    <w:rsid w:val="00EF56E2"/>
    <w:rsid w:val="00F04F5E"/>
    <w:rsid w:val="00F0519A"/>
    <w:rsid w:val="00F05D49"/>
    <w:rsid w:val="00F11BED"/>
    <w:rsid w:val="00F1414D"/>
    <w:rsid w:val="00F15EE2"/>
    <w:rsid w:val="00F2487B"/>
    <w:rsid w:val="00F2733F"/>
    <w:rsid w:val="00F303D9"/>
    <w:rsid w:val="00F322B3"/>
    <w:rsid w:val="00F327C6"/>
    <w:rsid w:val="00F32D93"/>
    <w:rsid w:val="00F42E60"/>
    <w:rsid w:val="00F46D0E"/>
    <w:rsid w:val="00F470A0"/>
    <w:rsid w:val="00F47CD9"/>
    <w:rsid w:val="00F47FED"/>
    <w:rsid w:val="00F500C8"/>
    <w:rsid w:val="00F54F6F"/>
    <w:rsid w:val="00F5780C"/>
    <w:rsid w:val="00F64759"/>
    <w:rsid w:val="00F65F88"/>
    <w:rsid w:val="00F678FA"/>
    <w:rsid w:val="00F7078F"/>
    <w:rsid w:val="00F724DE"/>
    <w:rsid w:val="00F7564E"/>
    <w:rsid w:val="00F75DAB"/>
    <w:rsid w:val="00F76A9E"/>
    <w:rsid w:val="00F814E2"/>
    <w:rsid w:val="00F90600"/>
    <w:rsid w:val="00F909CD"/>
    <w:rsid w:val="00F9309F"/>
    <w:rsid w:val="00FA2DAC"/>
    <w:rsid w:val="00FB400E"/>
    <w:rsid w:val="00FB7DA1"/>
    <w:rsid w:val="00FC0654"/>
    <w:rsid w:val="00FC235F"/>
    <w:rsid w:val="00FC6A9D"/>
    <w:rsid w:val="00FC76EC"/>
    <w:rsid w:val="00FD4970"/>
    <w:rsid w:val="00FD761E"/>
    <w:rsid w:val="00FE0020"/>
    <w:rsid w:val="00FE0C54"/>
    <w:rsid w:val="00FE23D4"/>
    <w:rsid w:val="00FE5C43"/>
    <w:rsid w:val="00FE5ED9"/>
    <w:rsid w:val="00FF3748"/>
    <w:rsid w:val="00FF5FA4"/>
    <w:rsid w:val="00FF62A3"/>
    <w:rsid w:val="00FF743A"/>
    <w:rsid w:val="010841FE"/>
    <w:rsid w:val="02C3AA10"/>
    <w:rsid w:val="02DF993E"/>
    <w:rsid w:val="0415698D"/>
    <w:rsid w:val="0434C4FB"/>
    <w:rsid w:val="04F404CE"/>
    <w:rsid w:val="06A3E6DD"/>
    <w:rsid w:val="06BF7CC7"/>
    <w:rsid w:val="091C252F"/>
    <w:rsid w:val="09C729A5"/>
    <w:rsid w:val="0B4FC9CB"/>
    <w:rsid w:val="0C809149"/>
    <w:rsid w:val="0D8D7FA7"/>
    <w:rsid w:val="0E1C61AA"/>
    <w:rsid w:val="0F295008"/>
    <w:rsid w:val="1154026C"/>
    <w:rsid w:val="12745300"/>
    <w:rsid w:val="13FCC12B"/>
    <w:rsid w:val="15043B4B"/>
    <w:rsid w:val="168B0965"/>
    <w:rsid w:val="1766BC81"/>
    <w:rsid w:val="197F65C4"/>
    <w:rsid w:val="19FCCC99"/>
    <w:rsid w:val="1B0727B4"/>
    <w:rsid w:val="1C5DE830"/>
    <w:rsid w:val="1F64012F"/>
    <w:rsid w:val="1F71DD40"/>
    <w:rsid w:val="2207FD9C"/>
    <w:rsid w:val="26229E55"/>
    <w:rsid w:val="283B7EFF"/>
    <w:rsid w:val="28B40250"/>
    <w:rsid w:val="28F61D50"/>
    <w:rsid w:val="2C370FE8"/>
    <w:rsid w:val="2E941C9B"/>
    <w:rsid w:val="301709D5"/>
    <w:rsid w:val="306277BD"/>
    <w:rsid w:val="32F73101"/>
    <w:rsid w:val="33CBFA6B"/>
    <w:rsid w:val="34EA7AF8"/>
    <w:rsid w:val="34FB874D"/>
    <w:rsid w:val="36D2B2CB"/>
    <w:rsid w:val="37465234"/>
    <w:rsid w:val="3776D162"/>
    <w:rsid w:val="37B3C8F2"/>
    <w:rsid w:val="383AAF6A"/>
    <w:rsid w:val="39BDEC1B"/>
    <w:rsid w:val="3C743931"/>
    <w:rsid w:val="3CE60207"/>
    <w:rsid w:val="3DB0A161"/>
    <w:rsid w:val="409B3C2C"/>
    <w:rsid w:val="413AF4B7"/>
    <w:rsid w:val="42370C8D"/>
    <w:rsid w:val="42FA865D"/>
    <w:rsid w:val="431A9146"/>
    <w:rsid w:val="43B40173"/>
    <w:rsid w:val="43D6E376"/>
    <w:rsid w:val="44589154"/>
    <w:rsid w:val="455DE57D"/>
    <w:rsid w:val="45EAC7DF"/>
    <w:rsid w:val="4632271F"/>
    <w:rsid w:val="46B72809"/>
    <w:rsid w:val="48FADA0F"/>
    <w:rsid w:val="4ACA806F"/>
    <w:rsid w:val="4B59E012"/>
    <w:rsid w:val="4BAEA1CF"/>
    <w:rsid w:val="4BB59336"/>
    <w:rsid w:val="4CE49D4F"/>
    <w:rsid w:val="4D47D3C5"/>
    <w:rsid w:val="4DED802D"/>
    <w:rsid w:val="4E66FD93"/>
    <w:rsid w:val="4E81BAB8"/>
    <w:rsid w:val="4EA91191"/>
    <w:rsid w:val="515ABD55"/>
    <w:rsid w:val="5319ACED"/>
    <w:rsid w:val="53423713"/>
    <w:rsid w:val="5414408D"/>
    <w:rsid w:val="54C69DF5"/>
    <w:rsid w:val="5504229A"/>
    <w:rsid w:val="5724C4C7"/>
    <w:rsid w:val="57B4F2F1"/>
    <w:rsid w:val="5859C491"/>
    <w:rsid w:val="587CBEE1"/>
    <w:rsid w:val="5A188F42"/>
    <w:rsid w:val="5CEF74B7"/>
    <w:rsid w:val="5D05213A"/>
    <w:rsid w:val="5D902F58"/>
    <w:rsid w:val="60D2930C"/>
    <w:rsid w:val="60EEE9F4"/>
    <w:rsid w:val="62416D84"/>
    <w:rsid w:val="62519C86"/>
    <w:rsid w:val="62EB2FE6"/>
    <w:rsid w:val="63207F95"/>
    <w:rsid w:val="660369A0"/>
    <w:rsid w:val="66CF754D"/>
    <w:rsid w:val="686B45AE"/>
    <w:rsid w:val="68F7D076"/>
    <w:rsid w:val="692B6BF4"/>
    <w:rsid w:val="6940B237"/>
    <w:rsid w:val="69470F34"/>
    <w:rsid w:val="6A75D8BA"/>
    <w:rsid w:val="6C44F46E"/>
    <w:rsid w:val="6CC0E733"/>
    <w:rsid w:val="6CD4C516"/>
    <w:rsid w:val="6D326990"/>
    <w:rsid w:val="6D6AA727"/>
    <w:rsid w:val="6DF31E66"/>
    <w:rsid w:val="6E0CCE47"/>
    <w:rsid w:val="6E97B566"/>
    <w:rsid w:val="6F875AF8"/>
    <w:rsid w:val="6FA89EA8"/>
    <w:rsid w:val="70CB8D3A"/>
    <w:rsid w:val="71DE6BA6"/>
    <w:rsid w:val="72D887C3"/>
    <w:rsid w:val="72DE4402"/>
    <w:rsid w:val="73C683BC"/>
    <w:rsid w:val="74745824"/>
    <w:rsid w:val="779CC1E0"/>
    <w:rsid w:val="785B8B83"/>
    <w:rsid w:val="785E51BA"/>
    <w:rsid w:val="7AE3032B"/>
    <w:rsid w:val="7CAB64A5"/>
    <w:rsid w:val="7DF666B2"/>
    <w:rsid w:val="7E00B00A"/>
    <w:rsid w:val="7E046FED"/>
    <w:rsid w:val="7E2916AC"/>
    <w:rsid w:val="7ECA2B48"/>
    <w:rsid w:val="7FBB3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7BCD2836-3820-40A6-8B7C-EC94DE50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rsid w:val="00E45742"/>
    <w:rPr>
      <w:vertAlign w:val="superscript"/>
    </w:rPr>
  </w:style>
  <w:style w:type="paragraph" w:styleId="ListParagraph">
    <w:name w:val="List Paragraph"/>
    <w:basedOn w:val="Normal"/>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8"/>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68109">
      <w:bodyDiv w:val="1"/>
      <w:marLeft w:val="0"/>
      <w:marRight w:val="0"/>
      <w:marTop w:val="0"/>
      <w:marBottom w:val="0"/>
      <w:divBdr>
        <w:top w:val="none" w:sz="0" w:space="0" w:color="auto"/>
        <w:left w:val="none" w:sz="0" w:space="0" w:color="auto"/>
        <w:bottom w:val="none" w:sz="0" w:space="0" w:color="auto"/>
        <w:right w:val="none" w:sz="0" w:space="0" w:color="auto"/>
      </w:divBdr>
      <w:divsChild>
        <w:div w:id="1985616593">
          <w:marLeft w:val="0"/>
          <w:marRight w:val="0"/>
          <w:marTop w:val="0"/>
          <w:marBottom w:val="0"/>
          <w:divBdr>
            <w:top w:val="none" w:sz="0" w:space="0" w:color="auto"/>
            <w:left w:val="none" w:sz="0" w:space="0" w:color="auto"/>
            <w:bottom w:val="none" w:sz="0" w:space="0" w:color="auto"/>
            <w:right w:val="none" w:sz="0" w:space="0" w:color="auto"/>
          </w:divBdr>
        </w:div>
        <w:div w:id="1559432556">
          <w:marLeft w:val="0"/>
          <w:marRight w:val="0"/>
          <w:marTop w:val="0"/>
          <w:marBottom w:val="0"/>
          <w:divBdr>
            <w:top w:val="none" w:sz="0" w:space="0" w:color="auto"/>
            <w:left w:val="none" w:sz="0" w:space="0" w:color="auto"/>
            <w:bottom w:val="none" w:sz="0" w:space="0" w:color="auto"/>
            <w:right w:val="none" w:sz="0" w:space="0" w:color="auto"/>
          </w:divBdr>
        </w:div>
        <w:div w:id="1289051407">
          <w:marLeft w:val="0"/>
          <w:marRight w:val="0"/>
          <w:marTop w:val="0"/>
          <w:marBottom w:val="0"/>
          <w:divBdr>
            <w:top w:val="none" w:sz="0" w:space="0" w:color="auto"/>
            <w:left w:val="none" w:sz="0" w:space="0" w:color="auto"/>
            <w:bottom w:val="none" w:sz="0" w:space="0" w:color="auto"/>
            <w:right w:val="none" w:sz="0" w:space="0" w:color="auto"/>
          </w:divBdr>
        </w:div>
      </w:divsChild>
    </w:div>
    <w:div w:id="672531048">
      <w:bodyDiv w:val="1"/>
      <w:marLeft w:val="0"/>
      <w:marRight w:val="0"/>
      <w:marTop w:val="0"/>
      <w:marBottom w:val="0"/>
      <w:divBdr>
        <w:top w:val="none" w:sz="0" w:space="0" w:color="auto"/>
        <w:left w:val="none" w:sz="0" w:space="0" w:color="auto"/>
        <w:bottom w:val="none" w:sz="0" w:space="0" w:color="auto"/>
        <w:right w:val="none" w:sz="0" w:space="0" w:color="auto"/>
      </w:divBdr>
      <w:divsChild>
        <w:div w:id="1268318413">
          <w:marLeft w:val="0"/>
          <w:marRight w:val="0"/>
          <w:marTop w:val="0"/>
          <w:marBottom w:val="0"/>
          <w:divBdr>
            <w:top w:val="none" w:sz="0" w:space="0" w:color="auto"/>
            <w:left w:val="none" w:sz="0" w:space="0" w:color="auto"/>
            <w:bottom w:val="none" w:sz="0" w:space="0" w:color="auto"/>
            <w:right w:val="none" w:sz="0" w:space="0" w:color="auto"/>
          </w:divBdr>
        </w:div>
        <w:div w:id="1014650870">
          <w:marLeft w:val="0"/>
          <w:marRight w:val="0"/>
          <w:marTop w:val="0"/>
          <w:marBottom w:val="0"/>
          <w:divBdr>
            <w:top w:val="none" w:sz="0" w:space="0" w:color="auto"/>
            <w:left w:val="none" w:sz="0" w:space="0" w:color="auto"/>
            <w:bottom w:val="none" w:sz="0" w:space="0" w:color="auto"/>
            <w:right w:val="none" w:sz="0" w:space="0" w:color="auto"/>
          </w:divBdr>
        </w:div>
        <w:div w:id="486408470">
          <w:marLeft w:val="0"/>
          <w:marRight w:val="0"/>
          <w:marTop w:val="0"/>
          <w:marBottom w:val="0"/>
          <w:divBdr>
            <w:top w:val="none" w:sz="0" w:space="0" w:color="auto"/>
            <w:left w:val="none" w:sz="0" w:space="0" w:color="auto"/>
            <w:bottom w:val="none" w:sz="0" w:space="0" w:color="auto"/>
            <w:right w:val="none" w:sz="0" w:space="0" w:color="auto"/>
          </w:divBdr>
        </w:div>
      </w:divsChild>
    </w:div>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1433940146">
      <w:bodyDiv w:val="1"/>
      <w:marLeft w:val="0"/>
      <w:marRight w:val="0"/>
      <w:marTop w:val="0"/>
      <w:marBottom w:val="0"/>
      <w:divBdr>
        <w:top w:val="none" w:sz="0" w:space="0" w:color="auto"/>
        <w:left w:val="none" w:sz="0" w:space="0" w:color="auto"/>
        <w:bottom w:val="none" w:sz="0" w:space="0" w:color="auto"/>
        <w:right w:val="none" w:sz="0" w:space="0" w:color="auto"/>
      </w:divBdr>
      <w:divsChild>
        <w:div w:id="1059010140">
          <w:marLeft w:val="0"/>
          <w:marRight w:val="0"/>
          <w:marTop w:val="0"/>
          <w:marBottom w:val="0"/>
          <w:divBdr>
            <w:top w:val="none" w:sz="0" w:space="0" w:color="auto"/>
            <w:left w:val="none" w:sz="0" w:space="0" w:color="auto"/>
            <w:bottom w:val="none" w:sz="0" w:space="0" w:color="auto"/>
            <w:right w:val="none" w:sz="0" w:space="0" w:color="auto"/>
          </w:divBdr>
        </w:div>
        <w:div w:id="1249340948">
          <w:marLeft w:val="0"/>
          <w:marRight w:val="0"/>
          <w:marTop w:val="0"/>
          <w:marBottom w:val="0"/>
          <w:divBdr>
            <w:top w:val="none" w:sz="0" w:space="0" w:color="auto"/>
            <w:left w:val="none" w:sz="0" w:space="0" w:color="auto"/>
            <w:bottom w:val="none" w:sz="0" w:space="0" w:color="auto"/>
            <w:right w:val="none" w:sz="0" w:space="0" w:color="auto"/>
          </w:divBdr>
        </w:div>
        <w:div w:id="1105151730">
          <w:marLeft w:val="0"/>
          <w:marRight w:val="0"/>
          <w:marTop w:val="0"/>
          <w:marBottom w:val="0"/>
          <w:divBdr>
            <w:top w:val="none" w:sz="0" w:space="0" w:color="auto"/>
            <w:left w:val="none" w:sz="0" w:space="0" w:color="auto"/>
            <w:bottom w:val="none" w:sz="0" w:space="0" w:color="auto"/>
            <w:right w:val="none" w:sz="0" w:space="0" w:color="auto"/>
          </w:divBdr>
        </w:div>
      </w:divsChild>
    </w:div>
    <w:div w:id="1653674644">
      <w:bodyDiv w:val="1"/>
      <w:marLeft w:val="0"/>
      <w:marRight w:val="0"/>
      <w:marTop w:val="0"/>
      <w:marBottom w:val="0"/>
      <w:divBdr>
        <w:top w:val="none" w:sz="0" w:space="0" w:color="auto"/>
        <w:left w:val="none" w:sz="0" w:space="0" w:color="auto"/>
        <w:bottom w:val="none" w:sz="0" w:space="0" w:color="auto"/>
        <w:right w:val="none" w:sz="0" w:space="0" w:color="auto"/>
      </w:divBdr>
      <w:divsChild>
        <w:div w:id="147329838">
          <w:marLeft w:val="0"/>
          <w:marRight w:val="0"/>
          <w:marTop w:val="0"/>
          <w:marBottom w:val="0"/>
          <w:divBdr>
            <w:top w:val="none" w:sz="0" w:space="0" w:color="auto"/>
            <w:left w:val="none" w:sz="0" w:space="0" w:color="auto"/>
            <w:bottom w:val="none" w:sz="0" w:space="0" w:color="auto"/>
            <w:right w:val="none" w:sz="0" w:space="0" w:color="auto"/>
          </w:divBdr>
        </w:div>
        <w:div w:id="511183794">
          <w:marLeft w:val="0"/>
          <w:marRight w:val="0"/>
          <w:marTop w:val="0"/>
          <w:marBottom w:val="0"/>
          <w:divBdr>
            <w:top w:val="none" w:sz="0" w:space="0" w:color="auto"/>
            <w:left w:val="none" w:sz="0" w:space="0" w:color="auto"/>
            <w:bottom w:val="none" w:sz="0" w:space="0" w:color="auto"/>
            <w:right w:val="none" w:sz="0" w:space="0" w:color="auto"/>
          </w:divBdr>
        </w:div>
        <w:div w:id="1460763859">
          <w:marLeft w:val="0"/>
          <w:marRight w:val="0"/>
          <w:marTop w:val="0"/>
          <w:marBottom w:val="0"/>
          <w:divBdr>
            <w:top w:val="none" w:sz="0" w:space="0" w:color="auto"/>
            <w:left w:val="none" w:sz="0" w:space="0" w:color="auto"/>
            <w:bottom w:val="none" w:sz="0" w:space="0" w:color="auto"/>
            <w:right w:val="none" w:sz="0" w:space="0" w:color="auto"/>
          </w:divBdr>
        </w:div>
      </w:divsChild>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DDB9A-3A36-4D9F-8E6E-595E8CB4A66E}"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US"/>
        </a:p>
      </dgm:t>
    </dgm:pt>
    <dgm:pt modelId="{F09EB483-E6DA-4BDE-A86D-C0522BBDD55B}">
      <dgm:prSet phldrT="[Text]"/>
      <dgm:spPr/>
      <dgm:t>
        <a:bodyPr/>
        <a:lstStyle/>
        <a:p>
          <a:pPr algn="ctr"/>
          <a:r>
            <a:rPr lang="en-US"/>
            <a:t>Applicant Name</a:t>
          </a:r>
        </a:p>
      </dgm:t>
      <dgm:extLst>
        <a:ext uri="{E40237B7-FDA0-4F09-8148-C483321AD2D9}">
          <dgm14:cNvPr xmlns:dgm14="http://schemas.microsoft.com/office/drawing/2010/diagram" id="0" name="" descr="An example of an organization chart is provided. " title="organization chart example"/>
        </a:ext>
      </dgm:extLst>
    </dgm:pt>
    <dgm:pt modelId="{897219B5-2448-40C0-B610-425D0572D5A2}" type="parTrans" cxnId="{582F7D7A-9216-4BA8-A515-AC542321B811}">
      <dgm:prSet/>
      <dgm:spPr/>
      <dgm:t>
        <a:bodyPr/>
        <a:lstStyle/>
        <a:p>
          <a:pPr algn="ctr"/>
          <a:endParaRPr lang="en-US"/>
        </a:p>
      </dgm:t>
    </dgm:pt>
    <dgm:pt modelId="{F5C52F4B-2500-4335-815B-BB29FC6FFEB8}" type="sibTrans" cxnId="{582F7D7A-9216-4BA8-A515-AC542321B811}">
      <dgm:prSet/>
      <dgm:spPr/>
      <dgm:t>
        <a:bodyPr/>
        <a:lstStyle/>
        <a:p>
          <a:pPr algn="ctr"/>
          <a:r>
            <a:rPr lang="en-US"/>
            <a:t>Role</a:t>
          </a:r>
        </a:p>
      </dgm:t>
    </dgm:pt>
    <dgm:pt modelId="{BDB00880-4F1D-467A-B727-36D00E5C405C}" type="asst">
      <dgm:prSet phldrT="[Text]"/>
      <dgm:spPr/>
      <dgm:t>
        <a:bodyPr/>
        <a:lstStyle/>
        <a:p>
          <a:pPr algn="ctr"/>
          <a:r>
            <a:rPr lang="en-US"/>
            <a:t>Subrecipient Name</a:t>
          </a:r>
        </a:p>
      </dgm:t>
    </dgm:pt>
    <dgm:pt modelId="{ADC77B9C-9A9B-41C9-A684-F81AA0D8B42D}" type="parTrans" cxnId="{F69D4626-A62D-4B03-9602-636E515F1CFE}">
      <dgm:prSet/>
      <dgm:spPr/>
      <dgm:t>
        <a:bodyPr/>
        <a:lstStyle/>
        <a:p>
          <a:pPr algn="ctr"/>
          <a:endParaRPr lang="en-US"/>
        </a:p>
      </dgm:t>
    </dgm:pt>
    <dgm:pt modelId="{47279A4F-657B-4F60-8693-96A90D84EB08}" type="sibTrans" cxnId="{F69D4626-A62D-4B03-9602-636E515F1CFE}">
      <dgm:prSet/>
      <dgm:spPr/>
      <dgm:t>
        <a:bodyPr/>
        <a:lstStyle/>
        <a:p>
          <a:pPr algn="ctr"/>
          <a:r>
            <a:rPr lang="en-US"/>
            <a:t>Role</a:t>
          </a:r>
        </a:p>
      </dgm:t>
    </dgm:pt>
    <dgm:pt modelId="{A85378A0-7CEA-45AF-840A-D6EB2C9557AE}">
      <dgm:prSet phldrT="[Text]"/>
      <dgm:spPr/>
      <dgm:t>
        <a:bodyPr/>
        <a:lstStyle/>
        <a:p>
          <a:pPr algn="ctr"/>
          <a:r>
            <a:rPr lang="en-US"/>
            <a:t>Subrecipient Name</a:t>
          </a:r>
        </a:p>
      </dgm:t>
    </dgm:pt>
    <dgm:pt modelId="{A8EA2F64-E19C-45DC-92C6-7B171AF5F822}" type="parTrans" cxnId="{5AEEFFDB-F583-4FCF-A6F5-596C87063444}">
      <dgm:prSet/>
      <dgm:spPr/>
      <dgm:t>
        <a:bodyPr/>
        <a:lstStyle/>
        <a:p>
          <a:pPr algn="ctr"/>
          <a:endParaRPr lang="en-US"/>
        </a:p>
      </dgm:t>
    </dgm:pt>
    <dgm:pt modelId="{E84A8475-289A-41EF-90B5-38C02442DEA0}" type="sibTrans" cxnId="{5AEEFFDB-F583-4FCF-A6F5-596C87063444}">
      <dgm:prSet/>
      <dgm:spPr/>
      <dgm:t>
        <a:bodyPr/>
        <a:lstStyle/>
        <a:p>
          <a:pPr algn="ctr"/>
          <a:r>
            <a:rPr lang="en-US"/>
            <a:t>Role</a:t>
          </a:r>
        </a:p>
      </dgm:t>
    </dgm:pt>
    <dgm:pt modelId="{677A8D75-342F-4F65-8BC1-F235BA13AD78}">
      <dgm:prSet phldrT="[Text]"/>
      <dgm:spPr/>
      <dgm:t>
        <a:bodyPr/>
        <a:lstStyle/>
        <a:p>
          <a:pPr algn="ctr"/>
          <a:r>
            <a:rPr lang="en-US"/>
            <a:t>Subrecipient Name</a:t>
          </a:r>
        </a:p>
      </dgm:t>
    </dgm:pt>
    <dgm:pt modelId="{A8894DFB-3BB2-4FC8-BA8F-80992089E7C4}" type="parTrans" cxnId="{70814C09-7F65-4517-B44B-3AABD8F15BB0}">
      <dgm:prSet/>
      <dgm:spPr/>
      <dgm:t>
        <a:bodyPr/>
        <a:lstStyle/>
        <a:p>
          <a:pPr algn="ctr"/>
          <a:endParaRPr lang="en-US"/>
        </a:p>
      </dgm:t>
    </dgm:pt>
    <dgm:pt modelId="{618B0003-016A-428C-BEE8-62DB061E568C}" type="sibTrans" cxnId="{70814C09-7F65-4517-B44B-3AABD8F15BB0}">
      <dgm:prSet/>
      <dgm:spPr/>
      <dgm:t>
        <a:bodyPr/>
        <a:lstStyle/>
        <a:p>
          <a:pPr algn="ctr"/>
          <a:r>
            <a:rPr lang="en-US"/>
            <a:t>Role</a:t>
          </a:r>
        </a:p>
      </dgm:t>
    </dgm:pt>
    <dgm:pt modelId="{36B92112-7DA7-416D-8A0C-B58927AAE983}">
      <dgm:prSet phldrT="[Text]"/>
      <dgm:spPr/>
      <dgm:t>
        <a:bodyPr/>
        <a:lstStyle/>
        <a:p>
          <a:pPr algn="ctr"/>
          <a:r>
            <a:rPr lang="en-US"/>
            <a:t>Subrecipient Name</a:t>
          </a:r>
        </a:p>
      </dgm:t>
    </dgm:pt>
    <dgm:pt modelId="{4693E466-DFE9-44E7-B622-93889E7EEDBE}" type="parTrans" cxnId="{9DA7E6B5-320D-4736-8C7E-2CBF071C044C}">
      <dgm:prSet/>
      <dgm:spPr/>
      <dgm:t>
        <a:bodyPr/>
        <a:lstStyle/>
        <a:p>
          <a:pPr algn="ctr"/>
          <a:endParaRPr lang="en-US"/>
        </a:p>
      </dgm:t>
    </dgm:pt>
    <dgm:pt modelId="{77B87F17-C3C4-4341-A6A1-B795710D2F49}" type="sibTrans" cxnId="{9DA7E6B5-320D-4736-8C7E-2CBF071C044C}">
      <dgm:prSet/>
      <dgm:spPr/>
      <dgm:t>
        <a:bodyPr/>
        <a:lstStyle/>
        <a:p>
          <a:pPr algn="ctr"/>
          <a:r>
            <a:rPr lang="en-US"/>
            <a:t>Role</a:t>
          </a:r>
        </a:p>
      </dgm:t>
    </dgm:pt>
    <dgm:pt modelId="{C0734AAF-F0C0-49DE-BF87-831F4B4282AD}" type="pres">
      <dgm:prSet presAssocID="{D2DDDB9A-3A36-4D9F-8E6E-595E8CB4A66E}" presName="hierChild1" presStyleCnt="0">
        <dgm:presLayoutVars>
          <dgm:orgChart val="1"/>
          <dgm:chPref val="1"/>
          <dgm:dir/>
          <dgm:animOne val="branch"/>
          <dgm:animLvl val="lvl"/>
          <dgm:resizeHandles/>
        </dgm:presLayoutVars>
      </dgm:prSet>
      <dgm:spPr/>
    </dgm:pt>
    <dgm:pt modelId="{CAA7255E-405A-4900-BC4B-6D2B4AEDE3F0}" type="pres">
      <dgm:prSet presAssocID="{F09EB483-E6DA-4BDE-A86D-C0522BBDD55B}" presName="hierRoot1" presStyleCnt="0">
        <dgm:presLayoutVars>
          <dgm:hierBranch val="init"/>
        </dgm:presLayoutVars>
      </dgm:prSet>
      <dgm:spPr/>
    </dgm:pt>
    <dgm:pt modelId="{EC7597AC-3CC6-4A2B-B961-8ED033A6E00C}" type="pres">
      <dgm:prSet presAssocID="{F09EB483-E6DA-4BDE-A86D-C0522BBDD55B}" presName="rootComposite1" presStyleCnt="0"/>
      <dgm:spPr/>
    </dgm:pt>
    <dgm:pt modelId="{8DA4BF1D-EAF9-431C-853D-FBCDAB6A4D31}" type="pres">
      <dgm:prSet presAssocID="{F09EB483-E6DA-4BDE-A86D-C0522BBDD55B}" presName="rootText1" presStyleLbl="node0" presStyleIdx="0" presStyleCnt="1" custScaleX="129694">
        <dgm:presLayoutVars>
          <dgm:chMax/>
          <dgm:chPref val="3"/>
        </dgm:presLayoutVars>
      </dgm:prSet>
      <dgm:spPr/>
    </dgm:pt>
    <dgm:pt modelId="{3C91D890-4147-47BA-A59F-044FA9A13849}" type="pres">
      <dgm:prSet presAssocID="{F09EB483-E6DA-4BDE-A86D-C0522BBDD55B}" presName="titleText1" presStyleLbl="fgAcc0" presStyleIdx="0" presStyleCnt="1">
        <dgm:presLayoutVars>
          <dgm:chMax val="0"/>
          <dgm:chPref val="0"/>
        </dgm:presLayoutVars>
      </dgm:prSet>
      <dgm:spPr/>
    </dgm:pt>
    <dgm:pt modelId="{ADBD6653-EBBC-4F87-AC70-18BD9652203B}" type="pres">
      <dgm:prSet presAssocID="{F09EB483-E6DA-4BDE-A86D-C0522BBDD55B}" presName="rootConnector1" presStyleLbl="node1" presStyleIdx="0" presStyleCnt="3"/>
      <dgm:spPr/>
    </dgm:pt>
    <dgm:pt modelId="{183658E2-F2B6-437F-93DB-8CE65099AB13}" type="pres">
      <dgm:prSet presAssocID="{F09EB483-E6DA-4BDE-A86D-C0522BBDD55B}" presName="hierChild2" presStyleCnt="0"/>
      <dgm:spPr/>
    </dgm:pt>
    <dgm:pt modelId="{69B954AB-96D2-41B2-B8B2-16CA0A5FE8A3}" type="pres">
      <dgm:prSet presAssocID="{A8EA2F64-E19C-45DC-92C6-7B171AF5F822}" presName="Name37" presStyleLbl="parChTrans1D2" presStyleIdx="0" presStyleCnt="4"/>
      <dgm:spPr/>
    </dgm:pt>
    <dgm:pt modelId="{A91512B1-63F5-41D9-ABE1-10C4F07456FF}" type="pres">
      <dgm:prSet presAssocID="{A85378A0-7CEA-45AF-840A-D6EB2C9557AE}" presName="hierRoot2" presStyleCnt="0">
        <dgm:presLayoutVars>
          <dgm:hierBranch val="init"/>
        </dgm:presLayoutVars>
      </dgm:prSet>
      <dgm:spPr/>
    </dgm:pt>
    <dgm:pt modelId="{4D90C7F5-06EC-4E1E-9FE8-0792ECA241E9}" type="pres">
      <dgm:prSet presAssocID="{A85378A0-7CEA-45AF-840A-D6EB2C9557AE}" presName="rootComposite" presStyleCnt="0"/>
      <dgm:spPr/>
    </dgm:pt>
    <dgm:pt modelId="{71C3D4BC-E80E-406B-B391-DA8C0CD3D8A6}" type="pres">
      <dgm:prSet presAssocID="{A85378A0-7CEA-45AF-840A-D6EB2C9557AE}" presName="rootText" presStyleLbl="node1" presStyleIdx="0" presStyleCnt="3">
        <dgm:presLayoutVars>
          <dgm:chMax/>
          <dgm:chPref val="3"/>
        </dgm:presLayoutVars>
      </dgm:prSet>
      <dgm:spPr/>
    </dgm:pt>
    <dgm:pt modelId="{6591C31E-BE3C-4FA7-B8C9-5D9E10F5310F}" type="pres">
      <dgm:prSet presAssocID="{A85378A0-7CEA-45AF-840A-D6EB2C9557AE}" presName="titleText2" presStyleLbl="fgAcc1" presStyleIdx="0" presStyleCnt="3">
        <dgm:presLayoutVars>
          <dgm:chMax val="0"/>
          <dgm:chPref val="0"/>
        </dgm:presLayoutVars>
      </dgm:prSet>
      <dgm:spPr/>
    </dgm:pt>
    <dgm:pt modelId="{D869D0EE-9428-4FFB-AA8C-57B0EA63E780}" type="pres">
      <dgm:prSet presAssocID="{A85378A0-7CEA-45AF-840A-D6EB2C9557AE}" presName="rootConnector" presStyleLbl="node2" presStyleIdx="0" presStyleCnt="0"/>
      <dgm:spPr/>
    </dgm:pt>
    <dgm:pt modelId="{1570B568-AA48-425D-BCFC-029AFD16102D}" type="pres">
      <dgm:prSet presAssocID="{A85378A0-7CEA-45AF-840A-D6EB2C9557AE}" presName="hierChild4" presStyleCnt="0"/>
      <dgm:spPr/>
    </dgm:pt>
    <dgm:pt modelId="{CB4BE0D5-A535-4D5C-954D-4CADB69F2656}" type="pres">
      <dgm:prSet presAssocID="{A85378A0-7CEA-45AF-840A-D6EB2C9557AE}" presName="hierChild5" presStyleCnt="0"/>
      <dgm:spPr/>
    </dgm:pt>
    <dgm:pt modelId="{76F95A80-7A71-487B-9707-C1AB82DBDD7D}" type="pres">
      <dgm:prSet presAssocID="{A8894DFB-3BB2-4FC8-BA8F-80992089E7C4}" presName="Name37" presStyleLbl="parChTrans1D2" presStyleIdx="1" presStyleCnt="4"/>
      <dgm:spPr/>
    </dgm:pt>
    <dgm:pt modelId="{15B074EB-1878-4152-9637-6A37D1AB57DC}" type="pres">
      <dgm:prSet presAssocID="{677A8D75-342F-4F65-8BC1-F235BA13AD78}" presName="hierRoot2" presStyleCnt="0">
        <dgm:presLayoutVars>
          <dgm:hierBranch val="init"/>
        </dgm:presLayoutVars>
      </dgm:prSet>
      <dgm:spPr/>
    </dgm:pt>
    <dgm:pt modelId="{800A289A-6AA5-46C9-9DFD-66D7484DD6BE}" type="pres">
      <dgm:prSet presAssocID="{677A8D75-342F-4F65-8BC1-F235BA13AD78}" presName="rootComposite" presStyleCnt="0"/>
      <dgm:spPr/>
    </dgm:pt>
    <dgm:pt modelId="{F3C50718-BDB1-4FED-B8EB-749C9F3661FC}" type="pres">
      <dgm:prSet presAssocID="{677A8D75-342F-4F65-8BC1-F235BA13AD78}" presName="rootText" presStyleLbl="node1" presStyleIdx="1" presStyleCnt="3">
        <dgm:presLayoutVars>
          <dgm:chMax/>
          <dgm:chPref val="3"/>
        </dgm:presLayoutVars>
      </dgm:prSet>
      <dgm:spPr/>
    </dgm:pt>
    <dgm:pt modelId="{441DD979-84E4-430E-8AF9-496F99B5A37D}" type="pres">
      <dgm:prSet presAssocID="{677A8D75-342F-4F65-8BC1-F235BA13AD78}" presName="titleText2" presStyleLbl="fgAcc1" presStyleIdx="1" presStyleCnt="3">
        <dgm:presLayoutVars>
          <dgm:chMax val="0"/>
          <dgm:chPref val="0"/>
        </dgm:presLayoutVars>
      </dgm:prSet>
      <dgm:spPr/>
    </dgm:pt>
    <dgm:pt modelId="{1D5D788D-8769-43B7-B6DD-EC291697F98A}" type="pres">
      <dgm:prSet presAssocID="{677A8D75-342F-4F65-8BC1-F235BA13AD78}" presName="rootConnector" presStyleLbl="node2" presStyleIdx="0" presStyleCnt="0"/>
      <dgm:spPr/>
    </dgm:pt>
    <dgm:pt modelId="{319B3610-7255-4F0E-B06F-E3562E7FC0A2}" type="pres">
      <dgm:prSet presAssocID="{677A8D75-342F-4F65-8BC1-F235BA13AD78}" presName="hierChild4" presStyleCnt="0"/>
      <dgm:spPr/>
    </dgm:pt>
    <dgm:pt modelId="{23248BAE-17F7-444E-9C5A-9F0A70E000EF}" type="pres">
      <dgm:prSet presAssocID="{677A8D75-342F-4F65-8BC1-F235BA13AD78}" presName="hierChild5" presStyleCnt="0"/>
      <dgm:spPr/>
    </dgm:pt>
    <dgm:pt modelId="{BA2F980E-EB4A-4567-BA1F-EA48876AD873}" type="pres">
      <dgm:prSet presAssocID="{4693E466-DFE9-44E7-B622-93889E7EEDBE}" presName="Name37" presStyleLbl="parChTrans1D2" presStyleIdx="2" presStyleCnt="4"/>
      <dgm:spPr/>
    </dgm:pt>
    <dgm:pt modelId="{1F89D3B1-FC55-416A-8C4F-3CDA695B0362}" type="pres">
      <dgm:prSet presAssocID="{36B92112-7DA7-416D-8A0C-B58927AAE983}" presName="hierRoot2" presStyleCnt="0">
        <dgm:presLayoutVars>
          <dgm:hierBranch val="init"/>
        </dgm:presLayoutVars>
      </dgm:prSet>
      <dgm:spPr/>
    </dgm:pt>
    <dgm:pt modelId="{3F2B6670-40E7-4168-9D72-3C9D99C1452F}" type="pres">
      <dgm:prSet presAssocID="{36B92112-7DA7-416D-8A0C-B58927AAE983}" presName="rootComposite" presStyleCnt="0"/>
      <dgm:spPr/>
    </dgm:pt>
    <dgm:pt modelId="{76115A83-7B53-425C-9CEA-A3D9ED5685A9}" type="pres">
      <dgm:prSet presAssocID="{36B92112-7DA7-416D-8A0C-B58927AAE983}" presName="rootText" presStyleLbl="node1" presStyleIdx="2" presStyleCnt="3">
        <dgm:presLayoutVars>
          <dgm:chMax/>
          <dgm:chPref val="3"/>
        </dgm:presLayoutVars>
      </dgm:prSet>
      <dgm:spPr/>
    </dgm:pt>
    <dgm:pt modelId="{7A0A9052-92C1-45C1-99F4-56F3C356176F}" type="pres">
      <dgm:prSet presAssocID="{36B92112-7DA7-416D-8A0C-B58927AAE983}" presName="titleText2" presStyleLbl="fgAcc1" presStyleIdx="2" presStyleCnt="3">
        <dgm:presLayoutVars>
          <dgm:chMax val="0"/>
          <dgm:chPref val="0"/>
        </dgm:presLayoutVars>
      </dgm:prSet>
      <dgm:spPr/>
    </dgm:pt>
    <dgm:pt modelId="{D0E48CE1-E576-4F2C-B684-9EF6E60DEE2C}" type="pres">
      <dgm:prSet presAssocID="{36B92112-7DA7-416D-8A0C-B58927AAE983}" presName="rootConnector" presStyleLbl="node2" presStyleIdx="0" presStyleCnt="0"/>
      <dgm:spPr/>
    </dgm:pt>
    <dgm:pt modelId="{C6A0F2D0-E846-48E6-81D9-63372310757E}" type="pres">
      <dgm:prSet presAssocID="{36B92112-7DA7-416D-8A0C-B58927AAE983}" presName="hierChild4" presStyleCnt="0"/>
      <dgm:spPr/>
    </dgm:pt>
    <dgm:pt modelId="{EA963A21-D777-4743-A173-D36CB3C81E45}" type="pres">
      <dgm:prSet presAssocID="{36B92112-7DA7-416D-8A0C-B58927AAE983}" presName="hierChild5" presStyleCnt="0"/>
      <dgm:spPr/>
    </dgm:pt>
    <dgm:pt modelId="{5028BC0C-6FC3-4CAC-A6E1-99E4E5144FBC}" type="pres">
      <dgm:prSet presAssocID="{F09EB483-E6DA-4BDE-A86D-C0522BBDD55B}" presName="hierChild3" presStyleCnt="0"/>
      <dgm:spPr/>
    </dgm:pt>
    <dgm:pt modelId="{B288EC1D-B7CB-409B-9885-483DA5C1F84C}" type="pres">
      <dgm:prSet presAssocID="{ADC77B9C-9A9B-41C9-A684-F81AA0D8B42D}" presName="Name96" presStyleLbl="parChTrans1D2" presStyleIdx="3" presStyleCnt="4"/>
      <dgm:spPr/>
    </dgm:pt>
    <dgm:pt modelId="{CB4677F7-DDA8-455B-8156-F35DD9002061}" type="pres">
      <dgm:prSet presAssocID="{BDB00880-4F1D-467A-B727-36D00E5C405C}" presName="hierRoot3" presStyleCnt="0">
        <dgm:presLayoutVars>
          <dgm:hierBranch val="init"/>
        </dgm:presLayoutVars>
      </dgm:prSet>
      <dgm:spPr/>
    </dgm:pt>
    <dgm:pt modelId="{61A1432C-9D24-4F39-967C-2DBC6FD26CC6}" type="pres">
      <dgm:prSet presAssocID="{BDB00880-4F1D-467A-B727-36D00E5C405C}" presName="rootComposite3" presStyleCnt="0"/>
      <dgm:spPr/>
    </dgm:pt>
    <dgm:pt modelId="{9CA35911-05CA-4007-B474-1396F5D4C30E}" type="pres">
      <dgm:prSet presAssocID="{BDB00880-4F1D-467A-B727-36D00E5C405C}" presName="rootText3" presStyleLbl="asst1" presStyleIdx="0" presStyleCnt="1">
        <dgm:presLayoutVars>
          <dgm:chPref val="3"/>
        </dgm:presLayoutVars>
      </dgm:prSet>
      <dgm:spPr/>
    </dgm:pt>
    <dgm:pt modelId="{E83AE639-436F-424A-A920-6D58CBC89A1F}" type="pres">
      <dgm:prSet presAssocID="{BDB00880-4F1D-467A-B727-36D00E5C405C}" presName="titleText3" presStyleLbl="fgAcc2" presStyleIdx="0" presStyleCnt="1">
        <dgm:presLayoutVars>
          <dgm:chMax val="0"/>
          <dgm:chPref val="0"/>
        </dgm:presLayoutVars>
      </dgm:prSet>
      <dgm:spPr/>
    </dgm:pt>
    <dgm:pt modelId="{6A031F37-18D6-4319-B112-732C6880BF9A}" type="pres">
      <dgm:prSet presAssocID="{BDB00880-4F1D-467A-B727-36D00E5C405C}" presName="rootConnector3" presStyleLbl="asst1" presStyleIdx="0" presStyleCnt="1"/>
      <dgm:spPr/>
    </dgm:pt>
    <dgm:pt modelId="{CF9FC5A4-8079-48EA-8CD8-EBBFAA89A163}" type="pres">
      <dgm:prSet presAssocID="{BDB00880-4F1D-467A-B727-36D00E5C405C}" presName="hierChild6" presStyleCnt="0"/>
      <dgm:spPr/>
    </dgm:pt>
    <dgm:pt modelId="{CC608DD7-8F0E-4BB3-969F-E9932BDD2469}" type="pres">
      <dgm:prSet presAssocID="{BDB00880-4F1D-467A-B727-36D00E5C405C}" presName="hierChild7" presStyleCnt="0"/>
      <dgm:spPr/>
    </dgm:pt>
  </dgm:ptLst>
  <dgm:cxnLst>
    <dgm:cxn modelId="{8A35CD00-A225-45F0-9948-2105DF1F508B}" type="presOf" srcId="{618B0003-016A-428C-BEE8-62DB061E568C}" destId="{441DD979-84E4-430E-8AF9-496F99B5A37D}" srcOrd="0" destOrd="0" presId="urn:microsoft.com/office/officeart/2008/layout/NameandTitleOrganizationalChart"/>
    <dgm:cxn modelId="{70814C09-7F65-4517-B44B-3AABD8F15BB0}" srcId="{F09EB483-E6DA-4BDE-A86D-C0522BBDD55B}" destId="{677A8D75-342F-4F65-8BC1-F235BA13AD78}" srcOrd="2" destOrd="0" parTransId="{A8894DFB-3BB2-4FC8-BA8F-80992089E7C4}" sibTransId="{618B0003-016A-428C-BEE8-62DB061E568C}"/>
    <dgm:cxn modelId="{1CE51A0C-410F-42E5-A42B-13005C7F010E}" type="presOf" srcId="{A8894DFB-3BB2-4FC8-BA8F-80992089E7C4}" destId="{76F95A80-7A71-487B-9707-C1AB82DBDD7D}" srcOrd="0" destOrd="0" presId="urn:microsoft.com/office/officeart/2008/layout/NameandTitleOrganizationalChart"/>
    <dgm:cxn modelId="{721AF80F-77F1-46D8-B9DD-085DFDCAEB5D}" type="presOf" srcId="{F09EB483-E6DA-4BDE-A86D-C0522BBDD55B}" destId="{ADBD6653-EBBC-4F87-AC70-18BD9652203B}" srcOrd="1" destOrd="0" presId="urn:microsoft.com/office/officeart/2008/layout/NameandTitleOrganizationalChart"/>
    <dgm:cxn modelId="{7AB32314-69D3-4E96-9BEF-ECA2477C311D}" type="presOf" srcId="{36B92112-7DA7-416D-8A0C-B58927AAE983}" destId="{76115A83-7B53-425C-9CEA-A3D9ED5685A9}" srcOrd="0" destOrd="0" presId="urn:microsoft.com/office/officeart/2008/layout/NameandTitleOrganizationalChart"/>
    <dgm:cxn modelId="{B5C3931D-1A0F-447D-8849-BF14C5221717}" type="presOf" srcId="{E84A8475-289A-41EF-90B5-38C02442DEA0}" destId="{6591C31E-BE3C-4FA7-B8C9-5D9E10F5310F}" srcOrd="0" destOrd="0" presId="urn:microsoft.com/office/officeart/2008/layout/NameandTitleOrganizationalChart"/>
    <dgm:cxn modelId="{F69D4626-A62D-4B03-9602-636E515F1CFE}" srcId="{F09EB483-E6DA-4BDE-A86D-C0522BBDD55B}" destId="{BDB00880-4F1D-467A-B727-36D00E5C405C}" srcOrd="0" destOrd="0" parTransId="{ADC77B9C-9A9B-41C9-A684-F81AA0D8B42D}" sibTransId="{47279A4F-657B-4F60-8693-96A90D84EB08}"/>
    <dgm:cxn modelId="{26D4052B-8F72-477E-AB19-3B41B436EAA3}" type="presOf" srcId="{BDB00880-4F1D-467A-B727-36D00E5C405C}" destId="{9CA35911-05CA-4007-B474-1396F5D4C30E}" srcOrd="0" destOrd="0" presId="urn:microsoft.com/office/officeart/2008/layout/NameandTitleOrganizationalChart"/>
    <dgm:cxn modelId="{A5442269-39AC-45A2-A280-7DE222C47610}" type="presOf" srcId="{A85378A0-7CEA-45AF-840A-D6EB2C9557AE}" destId="{D869D0EE-9428-4FFB-AA8C-57B0EA63E780}" srcOrd="1" destOrd="0" presId="urn:microsoft.com/office/officeart/2008/layout/NameandTitleOrganizationalChart"/>
    <dgm:cxn modelId="{86DFF14A-7BE8-4B3B-A1A1-C5597B26DED0}" type="presOf" srcId="{677A8D75-342F-4F65-8BC1-F235BA13AD78}" destId="{1D5D788D-8769-43B7-B6DD-EC291697F98A}" srcOrd="1" destOrd="0" presId="urn:microsoft.com/office/officeart/2008/layout/NameandTitleOrganizationalChart"/>
    <dgm:cxn modelId="{55C5CA6D-DB7C-4584-A576-D9A84614D1DC}" type="presOf" srcId="{4693E466-DFE9-44E7-B622-93889E7EEDBE}" destId="{BA2F980E-EB4A-4567-BA1F-EA48876AD873}" srcOrd="0" destOrd="0" presId="urn:microsoft.com/office/officeart/2008/layout/NameandTitleOrganizationalChart"/>
    <dgm:cxn modelId="{DEEBE171-7C9E-4FA0-9212-77B4399EB012}" type="presOf" srcId="{47279A4F-657B-4F60-8693-96A90D84EB08}" destId="{E83AE639-436F-424A-A920-6D58CBC89A1F}" srcOrd="0" destOrd="0" presId="urn:microsoft.com/office/officeart/2008/layout/NameandTitleOrganizationalChart"/>
    <dgm:cxn modelId="{D6A75874-881E-43EF-97B8-90DE31019207}" type="presOf" srcId="{F5C52F4B-2500-4335-815B-BB29FC6FFEB8}" destId="{3C91D890-4147-47BA-A59F-044FA9A13849}" srcOrd="0" destOrd="0" presId="urn:microsoft.com/office/officeart/2008/layout/NameandTitleOrganizationalChart"/>
    <dgm:cxn modelId="{582F7D7A-9216-4BA8-A515-AC542321B811}" srcId="{D2DDDB9A-3A36-4D9F-8E6E-595E8CB4A66E}" destId="{F09EB483-E6DA-4BDE-A86D-C0522BBDD55B}" srcOrd="0" destOrd="0" parTransId="{897219B5-2448-40C0-B610-425D0572D5A2}" sibTransId="{F5C52F4B-2500-4335-815B-BB29FC6FFEB8}"/>
    <dgm:cxn modelId="{FEFFE291-17FD-4D61-8716-0620EAE3AC86}" type="presOf" srcId="{77B87F17-C3C4-4341-A6A1-B795710D2F49}" destId="{7A0A9052-92C1-45C1-99F4-56F3C356176F}" srcOrd="0" destOrd="0" presId="urn:microsoft.com/office/officeart/2008/layout/NameandTitleOrganizationalChart"/>
    <dgm:cxn modelId="{24D57196-6062-4ACC-AED2-224712D31C1D}" type="presOf" srcId="{677A8D75-342F-4F65-8BC1-F235BA13AD78}" destId="{F3C50718-BDB1-4FED-B8EB-749C9F3661FC}" srcOrd="0" destOrd="0" presId="urn:microsoft.com/office/officeart/2008/layout/NameandTitleOrganizationalChart"/>
    <dgm:cxn modelId="{441790A0-2234-4E32-BD64-D4EA2DF16DDD}" type="presOf" srcId="{ADC77B9C-9A9B-41C9-A684-F81AA0D8B42D}" destId="{B288EC1D-B7CB-409B-9885-483DA5C1F84C}" srcOrd="0" destOrd="0" presId="urn:microsoft.com/office/officeart/2008/layout/NameandTitleOrganizationalChart"/>
    <dgm:cxn modelId="{9DA7E6B5-320D-4736-8C7E-2CBF071C044C}" srcId="{F09EB483-E6DA-4BDE-A86D-C0522BBDD55B}" destId="{36B92112-7DA7-416D-8A0C-B58927AAE983}" srcOrd="3" destOrd="0" parTransId="{4693E466-DFE9-44E7-B622-93889E7EEDBE}" sibTransId="{77B87F17-C3C4-4341-A6A1-B795710D2F49}"/>
    <dgm:cxn modelId="{BF2FA1B6-7B04-4372-94AB-80A782F4E8C9}" type="presOf" srcId="{F09EB483-E6DA-4BDE-A86D-C0522BBDD55B}" destId="{8DA4BF1D-EAF9-431C-853D-FBCDAB6A4D31}" srcOrd="0" destOrd="0" presId="urn:microsoft.com/office/officeart/2008/layout/NameandTitleOrganizationalChart"/>
    <dgm:cxn modelId="{2807E0B7-2376-45EC-8691-2AB9B607C688}" type="presOf" srcId="{36B92112-7DA7-416D-8A0C-B58927AAE983}" destId="{D0E48CE1-E576-4F2C-B684-9EF6E60DEE2C}" srcOrd="1" destOrd="0" presId="urn:microsoft.com/office/officeart/2008/layout/NameandTitleOrganizationalChart"/>
    <dgm:cxn modelId="{5AEEFFDB-F583-4FCF-A6F5-596C87063444}" srcId="{F09EB483-E6DA-4BDE-A86D-C0522BBDD55B}" destId="{A85378A0-7CEA-45AF-840A-D6EB2C9557AE}" srcOrd="1" destOrd="0" parTransId="{A8EA2F64-E19C-45DC-92C6-7B171AF5F822}" sibTransId="{E84A8475-289A-41EF-90B5-38C02442DEA0}"/>
    <dgm:cxn modelId="{CD1940DC-E0D7-416A-ACAE-8A28F6CAEC69}" type="presOf" srcId="{BDB00880-4F1D-467A-B727-36D00E5C405C}" destId="{6A031F37-18D6-4319-B112-732C6880BF9A}" srcOrd="1" destOrd="0" presId="urn:microsoft.com/office/officeart/2008/layout/NameandTitleOrganizationalChart"/>
    <dgm:cxn modelId="{8F13A8DE-A513-4EDA-9FEF-89F94EDD231B}" type="presOf" srcId="{A8EA2F64-E19C-45DC-92C6-7B171AF5F822}" destId="{69B954AB-96D2-41B2-B8B2-16CA0A5FE8A3}" srcOrd="0" destOrd="0" presId="urn:microsoft.com/office/officeart/2008/layout/NameandTitleOrganizationalChart"/>
    <dgm:cxn modelId="{10A6C8E3-ABFC-4EE6-9CCF-7BEE47F087C3}" type="presOf" srcId="{D2DDDB9A-3A36-4D9F-8E6E-595E8CB4A66E}" destId="{C0734AAF-F0C0-49DE-BF87-831F4B4282AD}" srcOrd="0" destOrd="0" presId="urn:microsoft.com/office/officeart/2008/layout/NameandTitleOrganizationalChart"/>
    <dgm:cxn modelId="{380996FE-8617-42CA-A30B-EEC1946578AF}" type="presOf" srcId="{A85378A0-7CEA-45AF-840A-D6EB2C9557AE}" destId="{71C3D4BC-E80E-406B-B391-DA8C0CD3D8A6}" srcOrd="0" destOrd="0" presId="urn:microsoft.com/office/officeart/2008/layout/NameandTitleOrganizationalChart"/>
    <dgm:cxn modelId="{35CA1B78-B927-4ED1-8E81-8B324F7145FE}" type="presParOf" srcId="{C0734AAF-F0C0-49DE-BF87-831F4B4282AD}" destId="{CAA7255E-405A-4900-BC4B-6D2B4AEDE3F0}" srcOrd="0" destOrd="0" presId="urn:microsoft.com/office/officeart/2008/layout/NameandTitleOrganizationalChart"/>
    <dgm:cxn modelId="{959B374D-3338-4303-AF84-DA17653E203A}" type="presParOf" srcId="{CAA7255E-405A-4900-BC4B-6D2B4AEDE3F0}" destId="{EC7597AC-3CC6-4A2B-B961-8ED033A6E00C}" srcOrd="0" destOrd="0" presId="urn:microsoft.com/office/officeart/2008/layout/NameandTitleOrganizationalChart"/>
    <dgm:cxn modelId="{8BCD4567-3B34-43DF-A95A-C71E1E5CB545}" type="presParOf" srcId="{EC7597AC-3CC6-4A2B-B961-8ED033A6E00C}" destId="{8DA4BF1D-EAF9-431C-853D-FBCDAB6A4D31}" srcOrd="0" destOrd="0" presId="urn:microsoft.com/office/officeart/2008/layout/NameandTitleOrganizationalChart"/>
    <dgm:cxn modelId="{254266BC-97AD-4A99-A4BF-4121B059E01C}" type="presParOf" srcId="{EC7597AC-3CC6-4A2B-B961-8ED033A6E00C}" destId="{3C91D890-4147-47BA-A59F-044FA9A13849}" srcOrd="1" destOrd="0" presId="urn:microsoft.com/office/officeart/2008/layout/NameandTitleOrganizationalChart"/>
    <dgm:cxn modelId="{91AAE11A-DB17-446D-AE4A-906277DBF0D4}" type="presParOf" srcId="{EC7597AC-3CC6-4A2B-B961-8ED033A6E00C}" destId="{ADBD6653-EBBC-4F87-AC70-18BD9652203B}" srcOrd="2" destOrd="0" presId="urn:microsoft.com/office/officeart/2008/layout/NameandTitleOrganizationalChart"/>
    <dgm:cxn modelId="{ED3BC386-D5B4-4EE7-81D7-18E60593E56B}" type="presParOf" srcId="{CAA7255E-405A-4900-BC4B-6D2B4AEDE3F0}" destId="{183658E2-F2B6-437F-93DB-8CE65099AB13}" srcOrd="1" destOrd="0" presId="urn:microsoft.com/office/officeart/2008/layout/NameandTitleOrganizationalChart"/>
    <dgm:cxn modelId="{5FD242E4-040F-4068-AF4D-FE7BF52C5206}" type="presParOf" srcId="{183658E2-F2B6-437F-93DB-8CE65099AB13}" destId="{69B954AB-96D2-41B2-B8B2-16CA0A5FE8A3}" srcOrd="0" destOrd="0" presId="urn:microsoft.com/office/officeart/2008/layout/NameandTitleOrganizationalChart"/>
    <dgm:cxn modelId="{49454AB7-24C3-4361-8328-20FFED7C196A}" type="presParOf" srcId="{183658E2-F2B6-437F-93DB-8CE65099AB13}" destId="{A91512B1-63F5-41D9-ABE1-10C4F07456FF}" srcOrd="1" destOrd="0" presId="urn:microsoft.com/office/officeart/2008/layout/NameandTitleOrganizationalChart"/>
    <dgm:cxn modelId="{C8030A33-EEB1-4D2F-9CD5-8C510A5DA5AF}" type="presParOf" srcId="{A91512B1-63F5-41D9-ABE1-10C4F07456FF}" destId="{4D90C7F5-06EC-4E1E-9FE8-0792ECA241E9}" srcOrd="0" destOrd="0" presId="urn:microsoft.com/office/officeart/2008/layout/NameandTitleOrganizationalChart"/>
    <dgm:cxn modelId="{1B06AFA2-1696-4AE3-938D-0EC6E64578C9}" type="presParOf" srcId="{4D90C7F5-06EC-4E1E-9FE8-0792ECA241E9}" destId="{71C3D4BC-E80E-406B-B391-DA8C0CD3D8A6}" srcOrd="0" destOrd="0" presId="urn:microsoft.com/office/officeart/2008/layout/NameandTitleOrganizationalChart"/>
    <dgm:cxn modelId="{6FE1C61B-9E1D-4257-BAFC-9C241B2D0346}" type="presParOf" srcId="{4D90C7F5-06EC-4E1E-9FE8-0792ECA241E9}" destId="{6591C31E-BE3C-4FA7-B8C9-5D9E10F5310F}" srcOrd="1" destOrd="0" presId="urn:microsoft.com/office/officeart/2008/layout/NameandTitleOrganizationalChart"/>
    <dgm:cxn modelId="{0639618A-0399-4562-9A5D-237ED47CB11E}" type="presParOf" srcId="{4D90C7F5-06EC-4E1E-9FE8-0792ECA241E9}" destId="{D869D0EE-9428-4FFB-AA8C-57B0EA63E780}" srcOrd="2" destOrd="0" presId="urn:microsoft.com/office/officeart/2008/layout/NameandTitleOrganizationalChart"/>
    <dgm:cxn modelId="{BB48B508-BAB6-4B45-B18A-13A7D4BFD892}" type="presParOf" srcId="{A91512B1-63F5-41D9-ABE1-10C4F07456FF}" destId="{1570B568-AA48-425D-BCFC-029AFD16102D}" srcOrd="1" destOrd="0" presId="urn:microsoft.com/office/officeart/2008/layout/NameandTitleOrganizationalChart"/>
    <dgm:cxn modelId="{87519374-0886-4FF8-8215-C56CF11E45D7}" type="presParOf" srcId="{A91512B1-63F5-41D9-ABE1-10C4F07456FF}" destId="{CB4BE0D5-A535-4D5C-954D-4CADB69F2656}" srcOrd="2" destOrd="0" presId="urn:microsoft.com/office/officeart/2008/layout/NameandTitleOrganizationalChart"/>
    <dgm:cxn modelId="{1EE362A5-783C-4BAC-B134-45B859C121D2}" type="presParOf" srcId="{183658E2-F2B6-437F-93DB-8CE65099AB13}" destId="{76F95A80-7A71-487B-9707-C1AB82DBDD7D}" srcOrd="2" destOrd="0" presId="urn:microsoft.com/office/officeart/2008/layout/NameandTitleOrganizationalChart"/>
    <dgm:cxn modelId="{1C81334F-41AD-4CF0-9808-63FC20A69565}" type="presParOf" srcId="{183658E2-F2B6-437F-93DB-8CE65099AB13}" destId="{15B074EB-1878-4152-9637-6A37D1AB57DC}" srcOrd="3" destOrd="0" presId="urn:microsoft.com/office/officeart/2008/layout/NameandTitleOrganizationalChart"/>
    <dgm:cxn modelId="{C600C580-27C6-41F5-82D8-F1C830727C12}" type="presParOf" srcId="{15B074EB-1878-4152-9637-6A37D1AB57DC}" destId="{800A289A-6AA5-46C9-9DFD-66D7484DD6BE}" srcOrd="0" destOrd="0" presId="urn:microsoft.com/office/officeart/2008/layout/NameandTitleOrganizationalChart"/>
    <dgm:cxn modelId="{2CB24013-624F-45EF-8838-FA67E2F681D4}" type="presParOf" srcId="{800A289A-6AA5-46C9-9DFD-66D7484DD6BE}" destId="{F3C50718-BDB1-4FED-B8EB-749C9F3661FC}" srcOrd="0" destOrd="0" presId="urn:microsoft.com/office/officeart/2008/layout/NameandTitleOrganizationalChart"/>
    <dgm:cxn modelId="{5F92ED1E-FAA1-4061-A916-C8CA3282788D}" type="presParOf" srcId="{800A289A-6AA5-46C9-9DFD-66D7484DD6BE}" destId="{441DD979-84E4-430E-8AF9-496F99B5A37D}" srcOrd="1" destOrd="0" presId="urn:microsoft.com/office/officeart/2008/layout/NameandTitleOrganizationalChart"/>
    <dgm:cxn modelId="{175BF842-FB55-44A7-B64B-C3FBE4145377}" type="presParOf" srcId="{800A289A-6AA5-46C9-9DFD-66D7484DD6BE}" destId="{1D5D788D-8769-43B7-B6DD-EC291697F98A}" srcOrd="2" destOrd="0" presId="urn:microsoft.com/office/officeart/2008/layout/NameandTitleOrganizationalChart"/>
    <dgm:cxn modelId="{B36549ED-4289-41DE-878C-B717266623D4}" type="presParOf" srcId="{15B074EB-1878-4152-9637-6A37D1AB57DC}" destId="{319B3610-7255-4F0E-B06F-E3562E7FC0A2}" srcOrd="1" destOrd="0" presId="urn:microsoft.com/office/officeart/2008/layout/NameandTitleOrganizationalChart"/>
    <dgm:cxn modelId="{2D0D02F9-9019-4102-935B-3D7C90031FB7}" type="presParOf" srcId="{15B074EB-1878-4152-9637-6A37D1AB57DC}" destId="{23248BAE-17F7-444E-9C5A-9F0A70E000EF}" srcOrd="2" destOrd="0" presId="urn:microsoft.com/office/officeart/2008/layout/NameandTitleOrganizationalChart"/>
    <dgm:cxn modelId="{F0A2E86D-94F7-49C7-ACA2-1CD2AE176E4C}" type="presParOf" srcId="{183658E2-F2B6-437F-93DB-8CE65099AB13}" destId="{BA2F980E-EB4A-4567-BA1F-EA48876AD873}" srcOrd="4" destOrd="0" presId="urn:microsoft.com/office/officeart/2008/layout/NameandTitleOrganizationalChart"/>
    <dgm:cxn modelId="{4FD9BBBF-4D4C-4B98-99EA-1D0156D66C30}" type="presParOf" srcId="{183658E2-F2B6-437F-93DB-8CE65099AB13}" destId="{1F89D3B1-FC55-416A-8C4F-3CDA695B0362}" srcOrd="5" destOrd="0" presId="urn:microsoft.com/office/officeart/2008/layout/NameandTitleOrganizationalChart"/>
    <dgm:cxn modelId="{D963456D-E99F-4D50-9C34-A6B4B833954D}" type="presParOf" srcId="{1F89D3B1-FC55-416A-8C4F-3CDA695B0362}" destId="{3F2B6670-40E7-4168-9D72-3C9D99C1452F}" srcOrd="0" destOrd="0" presId="urn:microsoft.com/office/officeart/2008/layout/NameandTitleOrganizationalChart"/>
    <dgm:cxn modelId="{F05FE0AE-A6CA-4DE5-AD17-035A2541459A}" type="presParOf" srcId="{3F2B6670-40E7-4168-9D72-3C9D99C1452F}" destId="{76115A83-7B53-425C-9CEA-A3D9ED5685A9}" srcOrd="0" destOrd="0" presId="urn:microsoft.com/office/officeart/2008/layout/NameandTitleOrganizationalChart"/>
    <dgm:cxn modelId="{7D503D79-B82B-4B3E-A848-ACC8EE8B224C}" type="presParOf" srcId="{3F2B6670-40E7-4168-9D72-3C9D99C1452F}" destId="{7A0A9052-92C1-45C1-99F4-56F3C356176F}" srcOrd="1" destOrd="0" presId="urn:microsoft.com/office/officeart/2008/layout/NameandTitleOrganizationalChart"/>
    <dgm:cxn modelId="{5285E84A-4426-46C6-9F06-86B9CB0BD25A}" type="presParOf" srcId="{3F2B6670-40E7-4168-9D72-3C9D99C1452F}" destId="{D0E48CE1-E576-4F2C-B684-9EF6E60DEE2C}" srcOrd="2" destOrd="0" presId="urn:microsoft.com/office/officeart/2008/layout/NameandTitleOrganizationalChart"/>
    <dgm:cxn modelId="{F3F44665-F894-46A2-B037-FAAD297E03CC}" type="presParOf" srcId="{1F89D3B1-FC55-416A-8C4F-3CDA695B0362}" destId="{C6A0F2D0-E846-48E6-81D9-63372310757E}" srcOrd="1" destOrd="0" presId="urn:microsoft.com/office/officeart/2008/layout/NameandTitleOrganizationalChart"/>
    <dgm:cxn modelId="{F4F9F92D-178D-4318-8ECE-CA1F7FF8E1F8}" type="presParOf" srcId="{1F89D3B1-FC55-416A-8C4F-3CDA695B0362}" destId="{EA963A21-D777-4743-A173-D36CB3C81E45}" srcOrd="2" destOrd="0" presId="urn:microsoft.com/office/officeart/2008/layout/NameandTitleOrganizationalChart"/>
    <dgm:cxn modelId="{5AF003BF-92EC-410A-BD68-57C76F474B9D}" type="presParOf" srcId="{CAA7255E-405A-4900-BC4B-6D2B4AEDE3F0}" destId="{5028BC0C-6FC3-4CAC-A6E1-99E4E5144FBC}" srcOrd="2" destOrd="0" presId="urn:microsoft.com/office/officeart/2008/layout/NameandTitleOrganizationalChart"/>
    <dgm:cxn modelId="{64000BDF-12FF-415C-B5C1-119C2ABEE1C9}" type="presParOf" srcId="{5028BC0C-6FC3-4CAC-A6E1-99E4E5144FBC}" destId="{B288EC1D-B7CB-409B-9885-483DA5C1F84C}" srcOrd="0" destOrd="0" presId="urn:microsoft.com/office/officeart/2008/layout/NameandTitleOrganizationalChart"/>
    <dgm:cxn modelId="{59BFD936-F99B-481F-8F45-74AD995B778C}" type="presParOf" srcId="{5028BC0C-6FC3-4CAC-A6E1-99E4E5144FBC}" destId="{CB4677F7-DDA8-455B-8156-F35DD9002061}" srcOrd="1" destOrd="0" presId="urn:microsoft.com/office/officeart/2008/layout/NameandTitleOrganizationalChart"/>
    <dgm:cxn modelId="{F341FDC5-7139-4AC6-B084-45EAF444EB1E}" type="presParOf" srcId="{CB4677F7-DDA8-455B-8156-F35DD9002061}" destId="{61A1432C-9D24-4F39-967C-2DBC6FD26CC6}" srcOrd="0" destOrd="0" presId="urn:microsoft.com/office/officeart/2008/layout/NameandTitleOrganizationalChart"/>
    <dgm:cxn modelId="{91B6A523-C178-42B4-B306-C9AACCDB9FE5}" type="presParOf" srcId="{61A1432C-9D24-4F39-967C-2DBC6FD26CC6}" destId="{9CA35911-05CA-4007-B474-1396F5D4C30E}" srcOrd="0" destOrd="0" presId="urn:microsoft.com/office/officeart/2008/layout/NameandTitleOrganizationalChart"/>
    <dgm:cxn modelId="{BCBE1D15-0D86-4F38-86AA-7C99FBDEE7A8}" type="presParOf" srcId="{61A1432C-9D24-4F39-967C-2DBC6FD26CC6}" destId="{E83AE639-436F-424A-A920-6D58CBC89A1F}" srcOrd="1" destOrd="0" presId="urn:microsoft.com/office/officeart/2008/layout/NameandTitleOrganizationalChart"/>
    <dgm:cxn modelId="{806C0663-5EBE-4A46-A30E-BF91551EF89C}" type="presParOf" srcId="{61A1432C-9D24-4F39-967C-2DBC6FD26CC6}" destId="{6A031F37-18D6-4319-B112-732C6880BF9A}" srcOrd="2" destOrd="0" presId="urn:microsoft.com/office/officeart/2008/layout/NameandTitleOrganizationalChart"/>
    <dgm:cxn modelId="{F35A2750-C1DD-4A9F-AF0B-32C495068E74}" type="presParOf" srcId="{CB4677F7-DDA8-455B-8156-F35DD9002061}" destId="{CF9FC5A4-8079-48EA-8CD8-EBBFAA89A163}" srcOrd="1" destOrd="0" presId="urn:microsoft.com/office/officeart/2008/layout/NameandTitleOrganizationalChart"/>
    <dgm:cxn modelId="{7F8330C4-086A-4CB4-A6D7-9595952D4409}" type="presParOf" srcId="{CB4677F7-DDA8-455B-8156-F35DD9002061}" destId="{CC608DD7-8F0E-4BB3-969F-E9932BDD2469}"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8EC1D-B7CB-409B-9885-483DA5C1F84C}">
      <dsp:nvSpPr>
        <dsp:cNvPr id="0" name=""/>
        <dsp:cNvSpPr/>
      </dsp:nvSpPr>
      <dsp:spPr>
        <a:xfrm>
          <a:off x="1582703" y="499020"/>
          <a:ext cx="204532" cy="516890"/>
        </a:xfrm>
        <a:custGeom>
          <a:avLst/>
          <a:gdLst/>
          <a:ahLst/>
          <a:cxnLst/>
          <a:rect l="0" t="0" r="0" b="0"/>
          <a:pathLst>
            <a:path>
              <a:moveTo>
                <a:pt x="204532" y="0"/>
              </a:moveTo>
              <a:lnTo>
                <a:pt x="204532" y="516890"/>
              </a:lnTo>
              <a:lnTo>
                <a:pt x="0" y="516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F980E-EB4A-4567-BA1F-EA48876AD873}">
      <dsp:nvSpPr>
        <dsp:cNvPr id="0" name=""/>
        <dsp:cNvSpPr/>
      </dsp:nvSpPr>
      <dsp:spPr>
        <a:xfrm>
          <a:off x="1787236" y="499020"/>
          <a:ext cx="1196406" cy="1033780"/>
        </a:xfrm>
        <a:custGeom>
          <a:avLst/>
          <a:gdLst/>
          <a:ahLst/>
          <a:cxnLst/>
          <a:rect l="0" t="0" r="0" b="0"/>
          <a:pathLst>
            <a:path>
              <a:moveTo>
                <a:pt x="0" y="0"/>
              </a:moveTo>
              <a:lnTo>
                <a:pt x="0" y="921876"/>
              </a:lnTo>
              <a:lnTo>
                <a:pt x="1196406" y="921876"/>
              </a:lnTo>
              <a:lnTo>
                <a:pt x="1196406"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95A80-7A71-487B-9707-C1AB82DBDD7D}">
      <dsp:nvSpPr>
        <dsp:cNvPr id="0" name=""/>
        <dsp:cNvSpPr/>
      </dsp:nvSpPr>
      <dsp:spPr>
        <a:xfrm>
          <a:off x="1695202" y="499020"/>
          <a:ext cx="91440" cy="1033780"/>
        </a:xfrm>
        <a:custGeom>
          <a:avLst/>
          <a:gdLst/>
          <a:ahLst/>
          <a:cxnLst/>
          <a:rect l="0" t="0" r="0" b="0"/>
          <a:pathLst>
            <a:path>
              <a:moveTo>
                <a:pt x="92034" y="0"/>
              </a:moveTo>
              <a:lnTo>
                <a:pt x="92034" y="921876"/>
              </a:lnTo>
              <a:lnTo>
                <a:pt x="45720" y="921876"/>
              </a:lnTo>
              <a:lnTo>
                <a:pt x="4572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954AB-96D2-41B2-B8B2-16CA0A5FE8A3}">
      <dsp:nvSpPr>
        <dsp:cNvPr id="0" name=""/>
        <dsp:cNvSpPr/>
      </dsp:nvSpPr>
      <dsp:spPr>
        <a:xfrm>
          <a:off x="498201" y="499020"/>
          <a:ext cx="1289035" cy="1033780"/>
        </a:xfrm>
        <a:custGeom>
          <a:avLst/>
          <a:gdLst/>
          <a:ahLst/>
          <a:cxnLst/>
          <a:rect l="0" t="0" r="0" b="0"/>
          <a:pathLst>
            <a:path>
              <a:moveTo>
                <a:pt x="1289035" y="0"/>
              </a:moveTo>
              <a:lnTo>
                <a:pt x="1289035" y="921876"/>
              </a:lnTo>
              <a:lnTo>
                <a:pt x="0" y="921876"/>
              </a:lnTo>
              <a:lnTo>
                <a:pt x="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4BF1D-EAF9-431C-853D-FBCDAB6A4D31}">
      <dsp:nvSpPr>
        <dsp:cNvPr id="0" name=""/>
        <dsp:cNvSpPr/>
      </dsp:nvSpPr>
      <dsp:spPr>
        <a:xfrm>
          <a:off x="1186568" y="19431"/>
          <a:ext cx="1201335"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Applicant Name</a:t>
          </a:r>
        </a:p>
      </dsp:txBody>
      <dsp:txXfrm>
        <a:off x="1186568" y="19431"/>
        <a:ext cx="1201335" cy="479588"/>
      </dsp:txXfrm>
    </dsp:sp>
    <dsp:sp modelId="{3C91D890-4147-47BA-A59F-044FA9A13849}">
      <dsp:nvSpPr>
        <dsp:cNvPr id="0" name=""/>
        <dsp:cNvSpPr/>
      </dsp:nvSpPr>
      <dsp:spPr>
        <a:xfrm>
          <a:off x="1509351" y="392445"/>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509351" y="392445"/>
        <a:ext cx="833655" cy="159862"/>
      </dsp:txXfrm>
    </dsp:sp>
    <dsp:sp modelId="{71C3D4BC-E80E-406B-B391-DA8C0CD3D8A6}">
      <dsp:nvSpPr>
        <dsp:cNvPr id="0" name=""/>
        <dsp:cNvSpPr/>
      </dsp:nvSpPr>
      <dsp:spPr>
        <a:xfrm>
          <a:off x="35059"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35059" y="1532800"/>
        <a:ext cx="926284" cy="479588"/>
      </dsp:txXfrm>
    </dsp:sp>
    <dsp:sp modelId="{6591C31E-BE3C-4FA7-B8C9-5D9E10F5310F}">
      <dsp:nvSpPr>
        <dsp:cNvPr id="0" name=""/>
        <dsp:cNvSpPr/>
      </dsp:nvSpPr>
      <dsp:spPr>
        <a:xfrm>
          <a:off x="220316"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20316" y="1905814"/>
        <a:ext cx="833655" cy="159862"/>
      </dsp:txXfrm>
    </dsp:sp>
    <dsp:sp modelId="{F3C50718-BDB1-4FED-B8EB-749C9F3661FC}">
      <dsp:nvSpPr>
        <dsp:cNvPr id="0" name=""/>
        <dsp:cNvSpPr/>
      </dsp:nvSpPr>
      <dsp:spPr>
        <a:xfrm>
          <a:off x="1277780"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1277780" y="1532800"/>
        <a:ext cx="926284" cy="479588"/>
      </dsp:txXfrm>
    </dsp:sp>
    <dsp:sp modelId="{441DD979-84E4-430E-8AF9-496F99B5A37D}">
      <dsp:nvSpPr>
        <dsp:cNvPr id="0" name=""/>
        <dsp:cNvSpPr/>
      </dsp:nvSpPr>
      <dsp:spPr>
        <a:xfrm>
          <a:off x="146303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463037" y="1905814"/>
        <a:ext cx="833655" cy="159862"/>
      </dsp:txXfrm>
    </dsp:sp>
    <dsp:sp modelId="{76115A83-7B53-425C-9CEA-A3D9ED5685A9}">
      <dsp:nvSpPr>
        <dsp:cNvPr id="0" name=""/>
        <dsp:cNvSpPr/>
      </dsp:nvSpPr>
      <dsp:spPr>
        <a:xfrm>
          <a:off x="2520501"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2520501" y="1532800"/>
        <a:ext cx="926284" cy="479588"/>
      </dsp:txXfrm>
    </dsp:sp>
    <dsp:sp modelId="{7A0A9052-92C1-45C1-99F4-56F3C356176F}">
      <dsp:nvSpPr>
        <dsp:cNvPr id="0" name=""/>
        <dsp:cNvSpPr/>
      </dsp:nvSpPr>
      <dsp:spPr>
        <a:xfrm>
          <a:off x="270575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705757" y="1905814"/>
        <a:ext cx="833655" cy="159862"/>
      </dsp:txXfrm>
    </dsp:sp>
    <dsp:sp modelId="{9CA35911-05CA-4007-B474-1396F5D4C30E}">
      <dsp:nvSpPr>
        <dsp:cNvPr id="0" name=""/>
        <dsp:cNvSpPr/>
      </dsp:nvSpPr>
      <dsp:spPr>
        <a:xfrm>
          <a:off x="656419" y="776116"/>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656419" y="776116"/>
        <a:ext cx="926284" cy="479588"/>
      </dsp:txXfrm>
    </dsp:sp>
    <dsp:sp modelId="{E83AE639-436F-424A-A920-6D58CBC89A1F}">
      <dsp:nvSpPr>
        <dsp:cNvPr id="0" name=""/>
        <dsp:cNvSpPr/>
      </dsp:nvSpPr>
      <dsp:spPr>
        <a:xfrm>
          <a:off x="841676" y="1149129"/>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841676" y="1149129"/>
        <a:ext cx="833655" cy="15986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lder" ma:contentTypeID="0x01200010D29604AD6B754B983EAC81D842F07D" ma:contentTypeVersion="0" ma:contentTypeDescription="Create a new folder." ma:contentTypeScope="" ma:versionID="a149192c931e7c8c6e1e7fa758ff1cff">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A8BA8-AB6A-479E-BB1D-76DAC2EF8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C9A0F-6AF0-464E-9604-B65188D1C4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41DE5-E633-491B-A2E8-C6C37CB557A1}">
  <ds:schemaRefs>
    <ds:schemaRef ds:uri="http://schemas.microsoft.com/sharepoint/v3/contenttype/forms"/>
  </ds:schemaRefs>
</ds:datastoreItem>
</file>

<file path=customXml/itemProps4.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CEC94</Template>
  <TotalTime>293</TotalTime>
  <Pages>5</Pages>
  <Words>1423</Words>
  <Characters>8114</Characters>
  <Application>Microsoft Office Word</Application>
  <DocSecurity>0</DocSecurity>
  <Lines>67</Lines>
  <Paragraphs>19</Paragraphs>
  <ScaleCrop>false</ScaleCrop>
  <Company>California Energy Commission</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Krupenich, Ilia@Energy</cp:lastModifiedBy>
  <cp:revision>67</cp:revision>
  <cp:lastPrinted>2014-04-11T22:56:00Z</cp:lastPrinted>
  <dcterms:created xsi:type="dcterms:W3CDTF">2024-03-05T21:48:00Z</dcterms:created>
  <dcterms:modified xsi:type="dcterms:W3CDTF">2025-11-22T06:10:00Z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0x01200010D29604AD6B754B983EAC81D842F07D</vt:lpwstr>
  </property>
  <property fmtid="{D5CDD505-2E9C-101B-9397-08002B2CF9AE}" pid="3" name="Order">
    <vt:r8>361200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_activity">
    <vt:lpwstr>{"FileActivityType":"8","FileActivityTimeStamp":"2024-03-06T18:23:21.197Z","FileActivityUsersOnPage":[{"DisplayName":"DeLaTorre, Patricia@Energy","Id":"patricia.delatorre@energy.ca.gov"}],"FileActivityNavigationId":null}</vt:lpwstr>
  </property>
  <property fmtid="{D5CDD505-2E9C-101B-9397-08002B2CF9AE}" pid="8" name="TriggerFlowInfo">
    <vt:lpwstr/>
  </property>
  <property fmtid="{D5CDD505-2E9C-101B-9397-08002B2CF9AE}" pid="9" name="Branch">
    <vt:lpwstr/>
  </property>
  <property fmtid="{D5CDD505-2E9C-101B-9397-08002B2CF9AE}" pid="10" name="DocumentSetDescription">
    <vt:lpwstr/>
  </property>
  <property fmtid="{D5CDD505-2E9C-101B-9397-08002B2CF9AE}" pid="11" name="xd_ProgID">
    <vt:lpwstr/>
  </property>
  <property fmtid="{D5CDD505-2E9C-101B-9397-08002B2CF9AE}" pid="12" name="TemplateUrl">
    <vt:lpwstr/>
  </property>
  <property fmtid="{D5CDD505-2E9C-101B-9397-08002B2CF9AE}" pid="13" name="Program">
    <vt:lpwstr/>
  </property>
  <property fmtid="{D5CDD505-2E9C-101B-9397-08002B2CF9AE}" pid="14" name="xd_Signature">
    <vt:bool>false</vt:bool>
  </property>
  <property fmtid="{D5CDD505-2E9C-101B-9397-08002B2CF9AE}" pid="15" name="RequestType">
    <vt:lpwstr/>
  </property>
  <property fmtid="{D5CDD505-2E9C-101B-9397-08002B2CF9AE}" pid="16" name="SharedWithUsers">
    <vt:lpwstr/>
  </property>
  <property fmtid="{D5CDD505-2E9C-101B-9397-08002B2CF9AE}" pid="17" name="RoutingStatus">
    <vt:lpwstr/>
  </property>
  <property fmtid="{D5CDD505-2E9C-101B-9397-08002B2CF9AE}" pid="18" name="lcf76f155ced4ddcb4097134ff3c332f">
    <vt:lpwstr/>
  </property>
  <property fmtid="{D5CDD505-2E9C-101B-9397-08002B2CF9AE}" pid="19" name="TaxCatchAll">
    <vt:lpwstr/>
  </property>
</Properties>
</file>