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69C00914" w:rsidR="009E6C35" w:rsidRPr="00F06CED" w:rsidRDefault="00645838" w:rsidP="00B33F69">
      <w:pPr>
        <w:pStyle w:val="paragraph"/>
        <w:ind w:left="4320"/>
        <w:jc w:val="right"/>
        <w:textAlignment w:val="baseline"/>
        <w:rPr>
          <w:rStyle w:val="normaltextrun"/>
          <w:rFonts w:ascii="Tahoma" w:hAnsi="Tahoma" w:cs="Tahoma"/>
        </w:rPr>
      </w:pPr>
      <w:r>
        <w:rPr>
          <w:rStyle w:val="normaltextrun"/>
          <w:rFonts w:ascii="Tahoma" w:hAnsi="Tahoma" w:cs="Tahoma"/>
        </w:rPr>
        <w:t>November</w:t>
      </w:r>
      <w:r w:rsidR="00EA0089" w:rsidRPr="00F06CED">
        <w:rPr>
          <w:rStyle w:val="normaltextrun"/>
          <w:rFonts w:ascii="Tahoma" w:hAnsi="Tahoma" w:cs="Tahoma"/>
        </w:rPr>
        <w:t xml:space="preserve"> </w:t>
      </w:r>
      <w:r w:rsidR="0083472B">
        <w:rPr>
          <w:rStyle w:val="normaltextrun"/>
          <w:rFonts w:ascii="Tahoma" w:hAnsi="Tahoma" w:cs="Tahoma"/>
        </w:rPr>
        <w:t>2</w:t>
      </w:r>
      <w:r w:rsidR="00943094">
        <w:rPr>
          <w:rStyle w:val="normaltextrun"/>
          <w:rFonts w:ascii="Tahoma" w:hAnsi="Tahoma" w:cs="Tahoma"/>
        </w:rPr>
        <w:t>1</w:t>
      </w:r>
      <w:r w:rsidR="005A4142">
        <w:rPr>
          <w:rStyle w:val="normaltextrun"/>
          <w:rFonts w:ascii="Tahoma" w:hAnsi="Tahoma" w:cs="Tahoma"/>
        </w:rPr>
        <w:t>,</w:t>
      </w:r>
      <w:r w:rsidR="0079120A" w:rsidRPr="00F06CED">
        <w:rPr>
          <w:rStyle w:val="normaltextrun"/>
          <w:rFonts w:ascii="Tahoma" w:hAnsi="Tahoma" w:cs="Tahoma"/>
        </w:rPr>
        <w:t xml:space="preserve"> 202</w:t>
      </w:r>
      <w:r w:rsidR="000963E8">
        <w:rPr>
          <w:rStyle w:val="normaltextrun"/>
          <w:rFonts w:ascii="Tahoma" w:hAnsi="Tahoma" w:cs="Tahoma"/>
        </w:rPr>
        <w:t>5</w:t>
      </w:r>
    </w:p>
    <w:p w14:paraId="3049D69B" w14:textId="1805C7E0" w:rsidR="00B1122A" w:rsidRPr="00240545" w:rsidRDefault="00B1122A" w:rsidP="00B1122A">
      <w:pPr>
        <w:jc w:val="center"/>
        <w:rPr>
          <w:rFonts w:ascii="Tahoma" w:hAnsi="Tahoma" w:cs="Tahoma"/>
          <w:b/>
          <w:bCs/>
        </w:rPr>
      </w:pPr>
      <w:r w:rsidRPr="00240545">
        <w:rPr>
          <w:rFonts w:ascii="Tahoma" w:hAnsi="Tahoma" w:cs="Tahoma"/>
          <w:b/>
          <w:bCs/>
        </w:rPr>
        <w:t>GFO-2</w:t>
      </w:r>
      <w:r w:rsidR="3E07790D" w:rsidRPr="00240545">
        <w:rPr>
          <w:rFonts w:ascii="Tahoma" w:hAnsi="Tahoma" w:cs="Tahoma"/>
          <w:b/>
          <w:bCs/>
        </w:rPr>
        <w:t>4</w:t>
      </w:r>
      <w:r w:rsidR="00353981" w:rsidRPr="00240545">
        <w:rPr>
          <w:rFonts w:ascii="Tahoma" w:hAnsi="Tahoma" w:cs="Tahoma"/>
          <w:b/>
          <w:bCs/>
        </w:rPr>
        <w:t>-6</w:t>
      </w:r>
      <w:r w:rsidR="00076083" w:rsidRPr="00240545">
        <w:rPr>
          <w:rFonts w:ascii="Tahoma" w:hAnsi="Tahoma" w:cs="Tahoma"/>
          <w:b/>
          <w:bCs/>
        </w:rPr>
        <w:t>1</w:t>
      </w:r>
      <w:r w:rsidR="00657F71" w:rsidRPr="00240545">
        <w:rPr>
          <w:rFonts w:ascii="Tahoma" w:hAnsi="Tahoma" w:cs="Tahoma"/>
          <w:b/>
          <w:bCs/>
        </w:rPr>
        <w:t>0</w:t>
      </w:r>
    </w:p>
    <w:p w14:paraId="119B227B" w14:textId="77777777" w:rsidR="00AD6D89" w:rsidRPr="00240545" w:rsidRDefault="00AD6D89" w:rsidP="00EA0089">
      <w:pPr>
        <w:jc w:val="center"/>
        <w:rPr>
          <w:rFonts w:ascii="Tahoma" w:eastAsia="Calibri" w:hAnsi="Tahoma" w:cs="Tahoma"/>
          <w:b/>
          <w:color w:val="000000" w:themeColor="text1"/>
        </w:rPr>
      </w:pPr>
      <w:r w:rsidRPr="00240545">
        <w:rPr>
          <w:rFonts w:ascii="Tahoma" w:eastAsia="Calibri" w:hAnsi="Tahoma" w:cs="Tahoma"/>
          <w:b/>
          <w:bCs/>
          <w:color w:val="000000" w:themeColor="text1"/>
        </w:rPr>
        <w:t xml:space="preserve">Medium- and Heavy-Duty Zero-Emission Vehicle Port Infrastructure </w:t>
      </w:r>
    </w:p>
    <w:p w14:paraId="6587D6BB" w14:textId="4F937134" w:rsidR="00B1122A" w:rsidRPr="00240545" w:rsidRDefault="00DF299D" w:rsidP="00B1122A">
      <w:pPr>
        <w:autoSpaceDE w:val="0"/>
        <w:autoSpaceDN w:val="0"/>
        <w:adjustRightInd w:val="0"/>
        <w:jc w:val="center"/>
        <w:rPr>
          <w:rFonts w:ascii="Tahoma" w:eastAsia="Calibri" w:hAnsi="Tahoma" w:cs="Tahoma"/>
          <w:b/>
          <w:bCs/>
          <w:color w:val="000000"/>
        </w:rPr>
      </w:pPr>
      <w:r w:rsidRPr="00240545">
        <w:rPr>
          <w:rFonts w:ascii="Tahoma" w:eastAsia="Calibri" w:hAnsi="Tahoma" w:cs="Tahoma"/>
          <w:b/>
          <w:bCs/>
          <w:color w:val="000000" w:themeColor="text1"/>
          <w:u w:val="single"/>
        </w:rPr>
        <w:t>Updated</w:t>
      </w:r>
      <w:r w:rsidRPr="00240545">
        <w:rPr>
          <w:rFonts w:ascii="Tahoma" w:eastAsia="Calibri" w:hAnsi="Tahoma" w:cs="Tahoma"/>
          <w:b/>
          <w:bCs/>
          <w:color w:val="000000" w:themeColor="text1"/>
        </w:rPr>
        <w:t xml:space="preserve"> </w:t>
      </w:r>
      <w:r w:rsidR="00B1122A" w:rsidRPr="00240545">
        <w:rPr>
          <w:rFonts w:ascii="Tahoma" w:eastAsia="Calibri" w:hAnsi="Tahoma" w:cs="Tahoma"/>
          <w:b/>
          <w:bCs/>
          <w:color w:val="000000" w:themeColor="text1"/>
        </w:rPr>
        <w:t xml:space="preserve">Addendum </w:t>
      </w:r>
      <w:r w:rsidR="008C099F" w:rsidRPr="00240545">
        <w:rPr>
          <w:rFonts w:ascii="Tahoma" w:eastAsia="Calibri" w:hAnsi="Tahoma" w:cs="Tahoma"/>
          <w:b/>
          <w:bCs/>
          <w:color w:val="000000" w:themeColor="text1"/>
        </w:rPr>
        <w:t>0</w:t>
      </w:r>
      <w:r w:rsidR="00BB1390" w:rsidRPr="00240545">
        <w:rPr>
          <w:rFonts w:ascii="Tahoma" w:eastAsia="Calibri" w:hAnsi="Tahoma" w:cs="Tahoma"/>
          <w:b/>
          <w:bCs/>
          <w:color w:val="000000" w:themeColor="text1"/>
        </w:rPr>
        <w:t>6</w:t>
      </w:r>
    </w:p>
    <w:p w14:paraId="363B15A9" w14:textId="77777777" w:rsidR="00B1122A" w:rsidRPr="00240545" w:rsidRDefault="00B1122A" w:rsidP="00B1122A">
      <w:pPr>
        <w:autoSpaceDE w:val="0"/>
        <w:autoSpaceDN w:val="0"/>
        <w:adjustRightInd w:val="0"/>
        <w:jc w:val="center"/>
        <w:rPr>
          <w:rFonts w:ascii="Tahoma" w:eastAsia="Calibri" w:hAnsi="Tahoma" w:cs="Tahoma"/>
          <w:b/>
          <w:bCs/>
          <w:color w:val="000000"/>
        </w:rPr>
      </w:pPr>
    </w:p>
    <w:p w14:paraId="28220DB1" w14:textId="67C021BB" w:rsidR="00FD441B" w:rsidRPr="00240545" w:rsidRDefault="00B1122A" w:rsidP="00B1122A">
      <w:pPr>
        <w:autoSpaceDE w:val="0"/>
        <w:autoSpaceDN w:val="0"/>
        <w:adjustRightInd w:val="0"/>
        <w:rPr>
          <w:rFonts w:ascii="Tahoma" w:eastAsia="Calibri" w:hAnsi="Tahoma" w:cs="Tahoma"/>
          <w:color w:val="000000"/>
        </w:rPr>
      </w:pPr>
      <w:r w:rsidRPr="00240545">
        <w:rPr>
          <w:rFonts w:ascii="Tahoma" w:eastAsia="Calibri" w:hAnsi="Tahoma" w:cs="Tahoma"/>
          <w:color w:val="000000" w:themeColor="text1"/>
        </w:rPr>
        <w:t>The purpose of this addendum is to notify potential applicants of changes that have been made to GFO-2</w:t>
      </w:r>
      <w:r w:rsidR="6BF0E62C" w:rsidRPr="00240545">
        <w:rPr>
          <w:rFonts w:ascii="Tahoma" w:eastAsia="Calibri" w:hAnsi="Tahoma" w:cs="Tahoma"/>
          <w:color w:val="000000" w:themeColor="text1"/>
        </w:rPr>
        <w:t>4</w:t>
      </w:r>
      <w:r w:rsidR="00353981" w:rsidRPr="00240545">
        <w:rPr>
          <w:rFonts w:ascii="Tahoma" w:eastAsia="Calibri" w:hAnsi="Tahoma" w:cs="Tahoma"/>
          <w:color w:val="000000" w:themeColor="text1"/>
        </w:rPr>
        <w:t>-6</w:t>
      </w:r>
      <w:r w:rsidR="00076083" w:rsidRPr="00240545">
        <w:rPr>
          <w:rFonts w:ascii="Tahoma" w:eastAsia="Calibri" w:hAnsi="Tahoma" w:cs="Tahoma"/>
          <w:color w:val="000000" w:themeColor="text1"/>
        </w:rPr>
        <w:t>1</w:t>
      </w:r>
      <w:r w:rsidR="002879B4" w:rsidRPr="00240545">
        <w:rPr>
          <w:rFonts w:ascii="Tahoma" w:eastAsia="Calibri" w:hAnsi="Tahoma" w:cs="Tahoma"/>
          <w:color w:val="000000" w:themeColor="text1"/>
        </w:rPr>
        <w:t>0</w:t>
      </w:r>
      <w:r w:rsidRPr="00240545">
        <w:rPr>
          <w:rFonts w:ascii="Tahoma" w:eastAsia="Calibri" w:hAnsi="Tahoma" w:cs="Tahoma"/>
          <w:color w:val="000000" w:themeColor="text1"/>
        </w:rPr>
        <w:t xml:space="preserve">. </w:t>
      </w:r>
    </w:p>
    <w:p w14:paraId="24A5A8EC" w14:textId="77777777" w:rsidR="00FD441B" w:rsidRPr="00240545" w:rsidRDefault="00FD441B" w:rsidP="00B1122A">
      <w:pPr>
        <w:autoSpaceDE w:val="0"/>
        <w:autoSpaceDN w:val="0"/>
        <w:adjustRightInd w:val="0"/>
        <w:rPr>
          <w:rFonts w:ascii="Tahoma" w:eastAsia="Calibri" w:hAnsi="Tahoma" w:cs="Tahoma"/>
          <w:color w:val="000000"/>
        </w:rPr>
      </w:pPr>
    </w:p>
    <w:p w14:paraId="1DD1E9EF" w14:textId="4FE76032" w:rsidR="00657F71" w:rsidRPr="00240545" w:rsidRDefault="00657F71" w:rsidP="00657F71">
      <w:pPr>
        <w:autoSpaceDE w:val="0"/>
        <w:autoSpaceDN w:val="0"/>
        <w:adjustRightInd w:val="0"/>
        <w:rPr>
          <w:rFonts w:ascii="Tahoma" w:eastAsia="Calibri" w:hAnsi="Tahoma" w:cs="Tahoma"/>
          <w:color w:val="000000"/>
        </w:rPr>
      </w:pPr>
      <w:r w:rsidRPr="00240545">
        <w:rPr>
          <w:rFonts w:ascii="Tahoma" w:eastAsia="Calibri" w:hAnsi="Tahoma" w:cs="Tahoma"/>
          <w:color w:val="000000"/>
        </w:rPr>
        <w:t>The addendum includes revisions to the Solicitation Manual</w:t>
      </w:r>
      <w:r w:rsidR="0010789E" w:rsidRPr="00240545">
        <w:rPr>
          <w:rFonts w:ascii="Tahoma" w:eastAsia="Calibri" w:hAnsi="Tahoma" w:cs="Tahoma"/>
          <w:color w:val="000000"/>
        </w:rPr>
        <w:t xml:space="preserve"> and Attachment 20 – Station Checklist</w:t>
      </w:r>
      <w:r w:rsidRPr="00240545">
        <w:rPr>
          <w:rFonts w:ascii="Tahoma" w:eastAsia="Calibri" w:hAnsi="Tahoma" w:cs="Tahoma"/>
          <w:color w:val="000000"/>
        </w:rPr>
        <w:t xml:space="preserve">. </w:t>
      </w:r>
      <w:r w:rsidR="001F538E" w:rsidRPr="00240545">
        <w:rPr>
          <w:rFonts w:ascii="Tahoma" w:eastAsia="Calibri" w:hAnsi="Tahoma" w:cs="Tahoma"/>
          <w:color w:val="000000"/>
        </w:rPr>
        <w:t xml:space="preserve">The addendum also deletes Attachment 11 – Localized Health Impacts Information. </w:t>
      </w:r>
      <w:r w:rsidRPr="00240545">
        <w:rPr>
          <w:rFonts w:ascii="Tahoma" w:eastAsia="Calibri" w:hAnsi="Tahoma" w:cs="Tahoma"/>
          <w:color w:val="000000"/>
        </w:rPr>
        <w:t xml:space="preserve">Added language appears in </w:t>
      </w:r>
      <w:r w:rsidRPr="00240545">
        <w:rPr>
          <w:rFonts w:ascii="Tahoma" w:eastAsia="Calibri" w:hAnsi="Tahoma" w:cs="Tahoma"/>
          <w:b/>
          <w:bCs/>
          <w:color w:val="000000"/>
          <w:u w:val="single"/>
        </w:rPr>
        <w:t>bold underline</w:t>
      </w:r>
      <w:r w:rsidRPr="00240545">
        <w:rPr>
          <w:rFonts w:ascii="Tahoma" w:eastAsia="Calibri" w:hAnsi="Tahoma" w:cs="Tahoma"/>
          <w:color w:val="000000"/>
        </w:rPr>
        <w:t>, and deleted language appears in [</w:t>
      </w:r>
      <w:r w:rsidRPr="00240545">
        <w:rPr>
          <w:rFonts w:ascii="Tahoma" w:eastAsia="Calibri" w:hAnsi="Tahoma" w:cs="Tahoma"/>
          <w:strike/>
          <w:color w:val="000000"/>
        </w:rPr>
        <w:t>strikethrough</w:t>
      </w:r>
      <w:r w:rsidRPr="00240545">
        <w:rPr>
          <w:rFonts w:ascii="Tahoma" w:eastAsia="Calibri" w:hAnsi="Tahoma" w:cs="Tahoma"/>
          <w:color w:val="000000"/>
        </w:rPr>
        <w:t>] and within square brackets.</w:t>
      </w:r>
    </w:p>
    <w:p w14:paraId="2F24DDCA" w14:textId="77777777" w:rsidR="00115719" w:rsidRPr="00240545" w:rsidRDefault="00115719" w:rsidP="00657F71">
      <w:pPr>
        <w:autoSpaceDE w:val="0"/>
        <w:autoSpaceDN w:val="0"/>
        <w:adjustRightInd w:val="0"/>
        <w:rPr>
          <w:rFonts w:ascii="Tahoma" w:eastAsia="Calibri" w:hAnsi="Tahoma" w:cs="Tahoma"/>
          <w:color w:val="000000"/>
        </w:rPr>
      </w:pPr>
    </w:p>
    <w:p w14:paraId="669264B2" w14:textId="54D52F46" w:rsidR="00115719" w:rsidRPr="00240545" w:rsidRDefault="00AD4A58" w:rsidP="00657F71">
      <w:pPr>
        <w:autoSpaceDE w:val="0"/>
        <w:autoSpaceDN w:val="0"/>
        <w:adjustRightInd w:val="0"/>
        <w:rPr>
          <w:rFonts w:ascii="Tahoma" w:eastAsia="Calibri" w:hAnsi="Tahoma" w:cs="Tahoma"/>
          <w:color w:val="000000"/>
        </w:rPr>
      </w:pPr>
      <w:r w:rsidRPr="00240545">
        <w:rPr>
          <w:rFonts w:ascii="Tahoma" w:eastAsia="Calibri" w:hAnsi="Tahoma" w:cs="Tahoma"/>
          <w:color w:val="000000"/>
        </w:rPr>
        <w:t xml:space="preserve">The addendum also includes an updated question-and-answer set posted on the </w:t>
      </w:r>
      <w:hyperlink r:id="rId11" w:history="1">
        <w:r w:rsidRPr="00240545">
          <w:rPr>
            <w:rStyle w:val="Hyperlink"/>
            <w:rFonts w:ascii="Tahoma" w:eastAsia="Calibri" w:hAnsi="Tahoma" w:cs="Tahoma"/>
          </w:rPr>
          <w:t>CEC’s solicitation information website</w:t>
        </w:r>
      </w:hyperlink>
      <w:r w:rsidRPr="00240545">
        <w:rPr>
          <w:rFonts w:ascii="Tahoma" w:eastAsia="Calibri" w:hAnsi="Tahoma" w:cs="Tahoma"/>
          <w:color w:val="000000"/>
        </w:rPr>
        <w:t xml:space="preserve"> at </w:t>
      </w:r>
      <w:r w:rsidRPr="00240545">
        <w:rPr>
          <w:rStyle w:val="normaltextrun"/>
          <w:rFonts w:ascii="Tahoma" w:hAnsi="Tahoma" w:cs="Tahoma"/>
          <w:color w:val="000000"/>
          <w:shd w:val="clear" w:color="auto" w:fill="FFFFFF"/>
        </w:rPr>
        <w:t>www.energy.ca.gov/funding-opportunities/solicitations.</w:t>
      </w:r>
    </w:p>
    <w:p w14:paraId="75680E49" w14:textId="77777777" w:rsidR="008F4EE9" w:rsidRPr="00240545" w:rsidRDefault="008F4EE9" w:rsidP="0000028A">
      <w:pPr>
        <w:autoSpaceDE w:val="0"/>
        <w:autoSpaceDN w:val="0"/>
        <w:adjustRightInd w:val="0"/>
        <w:rPr>
          <w:rFonts w:ascii="Tahoma" w:eastAsia="Calibri" w:hAnsi="Tahoma" w:cs="Tahoma"/>
          <w:color w:val="000000"/>
        </w:rPr>
      </w:pPr>
    </w:p>
    <w:p w14:paraId="48667D19" w14:textId="1DEF493C" w:rsidR="00292E6D" w:rsidRPr="00240545" w:rsidRDefault="00B1122A" w:rsidP="00AD0BD5">
      <w:pPr>
        <w:keepNext/>
        <w:keepLines/>
        <w:spacing w:after="240"/>
        <w:outlineLvl w:val="1"/>
        <w:rPr>
          <w:rFonts w:ascii="Tahoma" w:hAnsi="Tahoma" w:cs="Tahoma"/>
          <w:b/>
          <w:bCs/>
        </w:rPr>
      </w:pPr>
      <w:r w:rsidRPr="00240545">
        <w:rPr>
          <w:rFonts w:ascii="Tahoma" w:eastAsiaTheme="majorEastAsia" w:hAnsi="Tahoma" w:cs="Tahoma"/>
          <w:b/>
        </w:rPr>
        <w:t>Solicitation Manual</w:t>
      </w:r>
    </w:p>
    <w:p w14:paraId="40796FD5" w14:textId="166A5CCC" w:rsidR="00FC5238" w:rsidRPr="00240545" w:rsidRDefault="00FC5238" w:rsidP="00F97AD7">
      <w:pPr>
        <w:pStyle w:val="Heading2"/>
        <w:keepNext w:val="0"/>
        <w:numPr>
          <w:ilvl w:val="0"/>
          <w:numId w:val="1"/>
        </w:numPr>
        <w:spacing w:before="0" w:after="0"/>
        <w:ind w:left="720" w:hanging="720"/>
        <w:rPr>
          <w:rFonts w:ascii="Tahoma" w:eastAsiaTheme="majorEastAsia" w:hAnsi="Tahoma" w:cs="Tahoma"/>
          <w:bCs/>
          <w:smallCaps w:val="0"/>
          <w:sz w:val="24"/>
          <w:szCs w:val="24"/>
          <w:lang w:val="en-US" w:eastAsia="en-US"/>
        </w:rPr>
      </w:pPr>
      <w:bookmarkStart w:id="0" w:name="_Toc155803478"/>
      <w:r w:rsidRPr="00240545">
        <w:rPr>
          <w:rFonts w:ascii="Tahoma" w:eastAsiaTheme="majorEastAsia" w:hAnsi="Tahoma" w:cs="Tahoma"/>
          <w:bCs/>
          <w:smallCaps w:val="0"/>
          <w:sz w:val="24"/>
          <w:szCs w:val="24"/>
          <w:lang w:val="en-US" w:eastAsia="en-US"/>
        </w:rPr>
        <w:t>Attachments</w:t>
      </w:r>
    </w:p>
    <w:p w14:paraId="05EDA43E" w14:textId="77777777" w:rsidR="00FC5238" w:rsidRPr="00240545" w:rsidRDefault="00FC5238" w:rsidP="00FC5238">
      <w:pPr>
        <w:spacing w:before="120" w:line="259" w:lineRule="auto"/>
        <w:ind w:firstLine="720"/>
        <w:rPr>
          <w:rFonts w:ascii="Tahoma" w:hAnsi="Tahoma" w:cs="Tahoma"/>
        </w:rPr>
      </w:pPr>
      <w:r w:rsidRPr="00240545">
        <w:rPr>
          <w:rFonts w:ascii="Tahoma" w:hAnsi="Tahoma" w:cs="Tahoma"/>
        </w:rPr>
        <w:t>1 - Project Narrative</w:t>
      </w:r>
    </w:p>
    <w:p w14:paraId="08C28869" w14:textId="77777777" w:rsidR="00FC5238" w:rsidRPr="00240545" w:rsidRDefault="00FC5238" w:rsidP="00FC5238">
      <w:pPr>
        <w:ind w:firstLine="720"/>
        <w:rPr>
          <w:rFonts w:ascii="Tahoma" w:hAnsi="Tahoma" w:cs="Tahoma"/>
        </w:rPr>
      </w:pPr>
      <w:r w:rsidRPr="00240545">
        <w:rPr>
          <w:rFonts w:ascii="Tahoma" w:hAnsi="Tahoma" w:cs="Tahoma"/>
        </w:rPr>
        <w:t>2 - Scope of Work Template</w:t>
      </w:r>
    </w:p>
    <w:p w14:paraId="29F7EC3A" w14:textId="77777777" w:rsidR="00FC5238" w:rsidRPr="00240545" w:rsidRDefault="00FC5238" w:rsidP="00FC5238">
      <w:pPr>
        <w:ind w:firstLine="720"/>
        <w:rPr>
          <w:rFonts w:ascii="Tahoma" w:hAnsi="Tahoma" w:cs="Tahoma"/>
        </w:rPr>
      </w:pPr>
      <w:r w:rsidRPr="00240545">
        <w:rPr>
          <w:rFonts w:ascii="Tahoma" w:hAnsi="Tahoma" w:cs="Tahoma"/>
        </w:rPr>
        <w:t>3 - Scope of Work Instructions</w:t>
      </w:r>
    </w:p>
    <w:p w14:paraId="272E3CDF" w14:textId="77777777" w:rsidR="00FC5238" w:rsidRPr="00240545" w:rsidRDefault="00FC5238" w:rsidP="00FC5238">
      <w:pPr>
        <w:ind w:firstLine="720"/>
        <w:rPr>
          <w:rFonts w:ascii="Tahoma" w:hAnsi="Tahoma" w:cs="Tahoma"/>
        </w:rPr>
      </w:pPr>
      <w:r w:rsidRPr="00240545">
        <w:rPr>
          <w:rFonts w:ascii="Tahoma" w:hAnsi="Tahoma" w:cs="Tahoma"/>
        </w:rPr>
        <w:t>4 - Schedule of Products and Due Dates</w:t>
      </w:r>
    </w:p>
    <w:p w14:paraId="33E1FBA6" w14:textId="77777777" w:rsidR="00FC5238" w:rsidRPr="00240545" w:rsidRDefault="00FC5238" w:rsidP="00FC5238">
      <w:pPr>
        <w:ind w:firstLine="720"/>
        <w:rPr>
          <w:rFonts w:ascii="Tahoma" w:hAnsi="Tahoma" w:cs="Tahoma"/>
        </w:rPr>
      </w:pPr>
      <w:r w:rsidRPr="00240545">
        <w:rPr>
          <w:rFonts w:ascii="Tahoma" w:hAnsi="Tahoma" w:cs="Tahoma"/>
        </w:rPr>
        <w:t>5 - Budget Forms</w:t>
      </w:r>
    </w:p>
    <w:p w14:paraId="7F7FD176" w14:textId="77777777" w:rsidR="00FC5238" w:rsidRPr="00240545" w:rsidRDefault="00FC5238" w:rsidP="00FC5238">
      <w:pPr>
        <w:ind w:firstLine="720"/>
        <w:rPr>
          <w:rFonts w:ascii="Tahoma" w:hAnsi="Tahoma" w:cs="Tahoma"/>
        </w:rPr>
      </w:pPr>
      <w:r w:rsidRPr="00240545">
        <w:rPr>
          <w:rFonts w:ascii="Tahoma" w:hAnsi="Tahoma" w:cs="Tahoma"/>
        </w:rPr>
        <w:t>6 - Resumes</w:t>
      </w:r>
    </w:p>
    <w:p w14:paraId="6593AAFA" w14:textId="77777777" w:rsidR="00FC5238" w:rsidRPr="00240545" w:rsidRDefault="00FC5238" w:rsidP="00FC5238">
      <w:pPr>
        <w:ind w:firstLine="720"/>
        <w:rPr>
          <w:rFonts w:ascii="Tahoma" w:hAnsi="Tahoma" w:cs="Tahoma"/>
        </w:rPr>
      </w:pPr>
      <w:r w:rsidRPr="00240545">
        <w:rPr>
          <w:rFonts w:ascii="Tahoma" w:hAnsi="Tahoma" w:cs="Tahoma"/>
        </w:rPr>
        <w:t>7 - Contact List</w:t>
      </w:r>
    </w:p>
    <w:p w14:paraId="6D13369F" w14:textId="77777777" w:rsidR="00FC5238" w:rsidRPr="00240545" w:rsidRDefault="00FC5238" w:rsidP="00FC5238">
      <w:pPr>
        <w:ind w:firstLine="720"/>
        <w:rPr>
          <w:rFonts w:ascii="Tahoma" w:hAnsi="Tahoma" w:cs="Tahoma"/>
        </w:rPr>
      </w:pPr>
      <w:r w:rsidRPr="00240545">
        <w:rPr>
          <w:rFonts w:ascii="Tahoma" w:hAnsi="Tahoma" w:cs="Tahoma"/>
        </w:rPr>
        <w:t>8 - Letters of Commitment</w:t>
      </w:r>
    </w:p>
    <w:p w14:paraId="152370FE" w14:textId="77777777" w:rsidR="00FC5238" w:rsidRPr="00240545" w:rsidRDefault="00FC5238" w:rsidP="00FC5238">
      <w:pPr>
        <w:ind w:firstLine="720"/>
        <w:rPr>
          <w:rFonts w:ascii="Tahoma" w:hAnsi="Tahoma" w:cs="Tahoma"/>
        </w:rPr>
      </w:pPr>
      <w:r w:rsidRPr="00240545">
        <w:rPr>
          <w:rFonts w:ascii="Tahoma" w:hAnsi="Tahoma" w:cs="Tahoma"/>
        </w:rPr>
        <w:t>9 - Letters of Support</w:t>
      </w:r>
    </w:p>
    <w:p w14:paraId="0BB2843D" w14:textId="77777777" w:rsidR="00FC5238" w:rsidRPr="00240545" w:rsidRDefault="00FC5238" w:rsidP="00FC5238">
      <w:pPr>
        <w:ind w:firstLine="720"/>
        <w:rPr>
          <w:rFonts w:ascii="Tahoma" w:hAnsi="Tahoma" w:cs="Tahoma"/>
        </w:rPr>
      </w:pPr>
      <w:r w:rsidRPr="00240545">
        <w:rPr>
          <w:rFonts w:ascii="Tahoma" w:hAnsi="Tahoma" w:cs="Tahoma"/>
        </w:rPr>
        <w:t>10 - California Environmental Quality Act (CEQA) Worksheet</w:t>
      </w:r>
    </w:p>
    <w:p w14:paraId="5A87C1F8" w14:textId="77777777" w:rsidR="00FC5238" w:rsidRPr="00240545" w:rsidRDefault="00FC5238" w:rsidP="00FC5238">
      <w:pPr>
        <w:ind w:firstLine="720"/>
        <w:rPr>
          <w:rFonts w:ascii="Tahoma" w:hAnsi="Tahoma" w:cs="Tahoma"/>
        </w:rPr>
      </w:pPr>
      <w:r w:rsidRPr="00240545">
        <w:rPr>
          <w:rFonts w:ascii="Tahoma" w:hAnsi="Tahoma" w:cs="Tahoma"/>
        </w:rPr>
        <w:t>[</w:t>
      </w:r>
      <w:r w:rsidRPr="00240545">
        <w:rPr>
          <w:rFonts w:ascii="Tahoma" w:hAnsi="Tahoma" w:cs="Tahoma"/>
          <w:strike/>
        </w:rPr>
        <w:t>11 - Localized Health Impacts Information</w:t>
      </w:r>
      <w:r w:rsidRPr="00240545">
        <w:rPr>
          <w:rFonts w:ascii="Tahoma" w:hAnsi="Tahoma" w:cs="Tahoma"/>
        </w:rPr>
        <w:t>]</w:t>
      </w:r>
    </w:p>
    <w:p w14:paraId="25292E92" w14:textId="77777777" w:rsidR="00FC5238" w:rsidRPr="00240545" w:rsidRDefault="00FC5238" w:rsidP="00FC5238">
      <w:pPr>
        <w:ind w:firstLine="720"/>
        <w:rPr>
          <w:rFonts w:ascii="Tahoma" w:hAnsi="Tahoma" w:cs="Tahoma"/>
        </w:rPr>
      </w:pPr>
      <w:r w:rsidRPr="00240545">
        <w:rPr>
          <w:rFonts w:ascii="Tahoma" w:hAnsi="Tahoma" w:cs="Tahoma"/>
        </w:rPr>
        <w:t>12 - Past Performance Reference Form</w:t>
      </w:r>
    </w:p>
    <w:p w14:paraId="2C75D769" w14:textId="03ABA875" w:rsidR="00FC5238" w:rsidRPr="00240545" w:rsidRDefault="00FC5238" w:rsidP="00FC5238">
      <w:pPr>
        <w:pStyle w:val="Heading3"/>
        <w:ind w:left="720"/>
      </w:pPr>
    </w:p>
    <w:p w14:paraId="7440E58C" w14:textId="6C317599" w:rsidR="00BB1390" w:rsidRPr="00240545" w:rsidRDefault="00BB1390" w:rsidP="00F97AD7">
      <w:pPr>
        <w:pStyle w:val="Heading2"/>
        <w:keepNext w:val="0"/>
        <w:numPr>
          <w:ilvl w:val="0"/>
          <w:numId w:val="1"/>
        </w:numPr>
        <w:spacing w:before="0" w:after="0"/>
        <w:ind w:left="720" w:hanging="720"/>
        <w:rPr>
          <w:rFonts w:ascii="Tahoma" w:eastAsiaTheme="majorEastAsia" w:hAnsi="Tahoma" w:cs="Tahoma"/>
          <w:bCs/>
          <w:smallCaps w:val="0"/>
          <w:sz w:val="24"/>
          <w:szCs w:val="24"/>
          <w:lang w:val="en-US" w:eastAsia="en-US"/>
        </w:rPr>
      </w:pPr>
      <w:r w:rsidRPr="00240545">
        <w:rPr>
          <w:rFonts w:ascii="Tahoma" w:eastAsiaTheme="majorEastAsia" w:hAnsi="Tahoma" w:cs="Tahoma"/>
          <w:bCs/>
          <w:smallCaps w:val="0"/>
          <w:sz w:val="24"/>
          <w:szCs w:val="24"/>
          <w:lang w:val="en-US" w:eastAsia="en-US"/>
        </w:rPr>
        <w:t>Section I.D. Key Activities and Dates</w:t>
      </w:r>
    </w:p>
    <w:tbl>
      <w:tblPr>
        <w:tblStyle w:val="TableGrid"/>
        <w:tblpPr w:leftFromText="180" w:rightFromText="180" w:vertAnchor="text" w:horzAnchor="margin" w:tblpXSpec="right" w:tblpY="267"/>
        <w:tblW w:w="90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key activities and dates"/>
        <w:tblDescription w:val="dates of key activities in solicitation"/>
      </w:tblPr>
      <w:tblGrid>
        <w:gridCol w:w="5665"/>
        <w:gridCol w:w="3375"/>
      </w:tblGrid>
      <w:tr w:rsidR="00FC5238" w:rsidRPr="00240545" w14:paraId="21FBC5A1" w14:textId="77777777" w:rsidTr="00FC5238">
        <w:trPr>
          <w:trHeight w:val="251"/>
        </w:trPr>
        <w:tc>
          <w:tcPr>
            <w:tcW w:w="5665" w:type="dxa"/>
            <w:shd w:val="clear" w:color="auto" w:fill="D9D9D9" w:themeFill="background1" w:themeFillShade="D9"/>
            <w:tcMar>
              <w:left w:w="105" w:type="dxa"/>
              <w:right w:w="105" w:type="dxa"/>
            </w:tcMar>
          </w:tcPr>
          <w:p w14:paraId="73A0DAA0" w14:textId="77777777" w:rsidR="00FC5238" w:rsidRPr="00240545" w:rsidRDefault="00FC5238" w:rsidP="00FC5238">
            <w:pPr>
              <w:jc w:val="center"/>
              <w:rPr>
                <w:rFonts w:ascii="Tahoma" w:eastAsia="Tahoma" w:hAnsi="Tahoma" w:cs="Tahoma"/>
              </w:rPr>
            </w:pPr>
            <w:r w:rsidRPr="00240545">
              <w:rPr>
                <w:rFonts w:ascii="Tahoma" w:eastAsia="Tahoma" w:hAnsi="Tahoma" w:cs="Tahoma"/>
                <w:b/>
                <w:bCs/>
              </w:rPr>
              <w:t>ACTIVITY</w:t>
            </w:r>
          </w:p>
        </w:tc>
        <w:tc>
          <w:tcPr>
            <w:tcW w:w="3375" w:type="dxa"/>
            <w:shd w:val="clear" w:color="auto" w:fill="D9D9D9" w:themeFill="background1" w:themeFillShade="D9"/>
            <w:tcMar>
              <w:left w:w="105" w:type="dxa"/>
              <w:right w:w="105" w:type="dxa"/>
            </w:tcMar>
          </w:tcPr>
          <w:p w14:paraId="7CF018FE" w14:textId="77777777" w:rsidR="00FC5238" w:rsidRPr="00240545" w:rsidRDefault="00FC5238" w:rsidP="00FC5238">
            <w:pPr>
              <w:jc w:val="center"/>
              <w:rPr>
                <w:rFonts w:ascii="Tahoma" w:eastAsia="Tahoma" w:hAnsi="Tahoma" w:cs="Tahoma"/>
              </w:rPr>
            </w:pPr>
            <w:r w:rsidRPr="00240545">
              <w:rPr>
                <w:rFonts w:ascii="Tahoma" w:eastAsia="Tahoma" w:hAnsi="Tahoma" w:cs="Tahoma"/>
                <w:b/>
                <w:bCs/>
              </w:rPr>
              <w:t>ACTION DATE</w:t>
            </w:r>
          </w:p>
        </w:tc>
      </w:tr>
      <w:tr w:rsidR="00FC5238" w:rsidRPr="00240545" w14:paraId="1A37F82C" w14:textId="77777777" w:rsidTr="00FC5238">
        <w:trPr>
          <w:trHeight w:val="251"/>
        </w:trPr>
        <w:tc>
          <w:tcPr>
            <w:tcW w:w="5665" w:type="dxa"/>
            <w:tcMar>
              <w:left w:w="105" w:type="dxa"/>
              <w:right w:w="105" w:type="dxa"/>
            </w:tcMar>
          </w:tcPr>
          <w:p w14:paraId="52D986FB" w14:textId="77777777" w:rsidR="00FC5238" w:rsidRPr="00240545" w:rsidRDefault="00FC5238" w:rsidP="00FC5238">
            <w:pPr>
              <w:spacing w:after="60"/>
              <w:rPr>
                <w:rFonts w:ascii="Tahoma" w:eastAsia="Tahoma" w:hAnsi="Tahoma" w:cs="Tahoma"/>
              </w:rPr>
            </w:pPr>
            <w:r w:rsidRPr="00240545">
              <w:rPr>
                <w:rFonts w:ascii="Tahoma" w:eastAsia="Tahoma" w:hAnsi="Tahoma" w:cs="Tahoma"/>
              </w:rPr>
              <w:t>Solicitation Release</w:t>
            </w:r>
          </w:p>
        </w:tc>
        <w:tc>
          <w:tcPr>
            <w:tcW w:w="3375" w:type="dxa"/>
            <w:tcMar>
              <w:left w:w="105" w:type="dxa"/>
              <w:right w:w="105" w:type="dxa"/>
            </w:tcMar>
          </w:tcPr>
          <w:p w14:paraId="7E1C2EAF" w14:textId="77777777" w:rsidR="00FC5238" w:rsidRPr="00240545" w:rsidRDefault="00FC5238" w:rsidP="00FC5238">
            <w:pPr>
              <w:spacing w:after="60"/>
              <w:rPr>
                <w:rFonts w:ascii="Tahoma" w:eastAsia="Tahoma" w:hAnsi="Tahoma" w:cs="Tahoma"/>
              </w:rPr>
            </w:pPr>
            <w:r w:rsidRPr="00240545">
              <w:rPr>
                <w:rFonts w:ascii="Tahoma" w:eastAsia="Tahoma" w:hAnsi="Tahoma" w:cs="Tahoma"/>
              </w:rPr>
              <w:t>March 27, 2025</w:t>
            </w:r>
          </w:p>
        </w:tc>
      </w:tr>
      <w:tr w:rsidR="00FC5238" w:rsidRPr="00240545" w14:paraId="6146E33C" w14:textId="77777777" w:rsidTr="00FC5238">
        <w:trPr>
          <w:trHeight w:val="251"/>
        </w:trPr>
        <w:tc>
          <w:tcPr>
            <w:tcW w:w="5665" w:type="dxa"/>
            <w:tcMar>
              <w:left w:w="105" w:type="dxa"/>
              <w:right w:w="105" w:type="dxa"/>
            </w:tcMar>
          </w:tcPr>
          <w:p w14:paraId="7038688D" w14:textId="77777777" w:rsidR="00FC5238" w:rsidRPr="00240545" w:rsidRDefault="00FC5238" w:rsidP="00FC5238">
            <w:pPr>
              <w:spacing w:after="60"/>
              <w:rPr>
                <w:rFonts w:ascii="Tahoma" w:eastAsia="Tahoma" w:hAnsi="Tahoma" w:cs="Tahoma"/>
              </w:rPr>
            </w:pPr>
            <w:r w:rsidRPr="00240545">
              <w:rPr>
                <w:rFonts w:ascii="Tahoma" w:eastAsia="Tahoma" w:hAnsi="Tahoma" w:cs="Tahoma"/>
              </w:rPr>
              <w:t>Pre-Application Workshop*</w:t>
            </w:r>
          </w:p>
        </w:tc>
        <w:tc>
          <w:tcPr>
            <w:tcW w:w="3375" w:type="dxa"/>
            <w:tcMar>
              <w:left w:w="105" w:type="dxa"/>
              <w:right w:w="105" w:type="dxa"/>
            </w:tcMar>
          </w:tcPr>
          <w:p w14:paraId="3F0FEEBF" w14:textId="77777777" w:rsidR="00FC5238" w:rsidRPr="00240545" w:rsidRDefault="00FC5238" w:rsidP="00FC5238">
            <w:pPr>
              <w:spacing w:after="60"/>
              <w:rPr>
                <w:rFonts w:ascii="Tahoma" w:eastAsia="Tahoma" w:hAnsi="Tahoma" w:cs="Tahoma"/>
              </w:rPr>
            </w:pPr>
            <w:r w:rsidRPr="00240545">
              <w:rPr>
                <w:rFonts w:ascii="Tahoma" w:eastAsia="Tahoma" w:hAnsi="Tahoma" w:cs="Tahoma"/>
              </w:rPr>
              <w:t>April 8, 2025</w:t>
            </w:r>
          </w:p>
        </w:tc>
      </w:tr>
      <w:tr w:rsidR="00FC5238" w:rsidRPr="00240545" w14:paraId="7C91175D" w14:textId="77777777" w:rsidTr="00FC5238">
        <w:trPr>
          <w:trHeight w:val="251"/>
        </w:trPr>
        <w:tc>
          <w:tcPr>
            <w:tcW w:w="5665" w:type="dxa"/>
            <w:tcMar>
              <w:left w:w="105" w:type="dxa"/>
              <w:right w:w="105" w:type="dxa"/>
            </w:tcMar>
          </w:tcPr>
          <w:p w14:paraId="77886A6E" w14:textId="77777777" w:rsidR="00FC5238" w:rsidRPr="00240545" w:rsidRDefault="00FC5238" w:rsidP="00FC5238">
            <w:pPr>
              <w:spacing w:after="60"/>
              <w:rPr>
                <w:rFonts w:ascii="Tahoma" w:eastAsia="Tahoma" w:hAnsi="Tahoma" w:cs="Tahoma"/>
              </w:rPr>
            </w:pPr>
            <w:r w:rsidRPr="00240545">
              <w:rPr>
                <w:rFonts w:ascii="Tahoma" w:eastAsia="Tahoma" w:hAnsi="Tahoma" w:cs="Tahoma"/>
              </w:rPr>
              <w:t xml:space="preserve">Deadline for Written Questions </w:t>
            </w:r>
            <w:r w:rsidRPr="00240545">
              <w:rPr>
                <w:rFonts w:ascii="Tahoma" w:eastAsia="Tahoma" w:hAnsi="Tahoma" w:cs="Tahoma"/>
                <w:b/>
                <w:bCs/>
              </w:rPr>
              <w:t>by 5:00 p.m.</w:t>
            </w:r>
            <w:r w:rsidRPr="00240545">
              <w:rPr>
                <w:rFonts w:ascii="Tahoma" w:eastAsia="Tahoma" w:hAnsi="Tahoma" w:cs="Tahoma"/>
              </w:rPr>
              <w:t>*</w:t>
            </w:r>
          </w:p>
        </w:tc>
        <w:tc>
          <w:tcPr>
            <w:tcW w:w="3375" w:type="dxa"/>
            <w:tcMar>
              <w:left w:w="105" w:type="dxa"/>
              <w:right w:w="105" w:type="dxa"/>
            </w:tcMar>
          </w:tcPr>
          <w:p w14:paraId="476804E8" w14:textId="77777777" w:rsidR="00FC5238" w:rsidRPr="00240545" w:rsidRDefault="00FC5238" w:rsidP="00FC5238">
            <w:pPr>
              <w:spacing w:after="60"/>
              <w:rPr>
                <w:rFonts w:ascii="Tahoma" w:eastAsia="Tahoma" w:hAnsi="Tahoma" w:cs="Tahoma"/>
              </w:rPr>
            </w:pPr>
            <w:r w:rsidRPr="00240545">
              <w:rPr>
                <w:rFonts w:ascii="Tahoma" w:eastAsia="Tahoma" w:hAnsi="Tahoma" w:cs="Tahoma"/>
              </w:rPr>
              <w:t>August 22, 2025</w:t>
            </w:r>
          </w:p>
        </w:tc>
      </w:tr>
      <w:tr w:rsidR="00FC5238" w:rsidRPr="00240545" w14:paraId="6595BC66" w14:textId="77777777" w:rsidTr="00FC5238">
        <w:trPr>
          <w:trHeight w:val="251"/>
        </w:trPr>
        <w:tc>
          <w:tcPr>
            <w:tcW w:w="5665" w:type="dxa"/>
            <w:tcMar>
              <w:left w:w="105" w:type="dxa"/>
              <w:right w:w="105" w:type="dxa"/>
            </w:tcMar>
          </w:tcPr>
          <w:p w14:paraId="653A37E1" w14:textId="77777777" w:rsidR="00FC5238" w:rsidRPr="00240545" w:rsidRDefault="00FC5238" w:rsidP="00FC5238">
            <w:pPr>
              <w:spacing w:after="60"/>
              <w:rPr>
                <w:rFonts w:ascii="Tahoma" w:eastAsia="Tahoma" w:hAnsi="Tahoma" w:cs="Tahoma"/>
              </w:rPr>
            </w:pPr>
            <w:r w:rsidRPr="00240545">
              <w:rPr>
                <w:rFonts w:ascii="Tahoma" w:eastAsia="Tahoma" w:hAnsi="Tahoma" w:cs="Tahoma"/>
              </w:rPr>
              <w:t>Anticipated Distribution of Questions/Answers</w:t>
            </w:r>
          </w:p>
        </w:tc>
        <w:tc>
          <w:tcPr>
            <w:tcW w:w="3375" w:type="dxa"/>
            <w:tcMar>
              <w:left w:w="105" w:type="dxa"/>
              <w:right w:w="105" w:type="dxa"/>
            </w:tcMar>
          </w:tcPr>
          <w:p w14:paraId="057E9E90" w14:textId="6BA23F98" w:rsidR="00FC5238" w:rsidRPr="00240545" w:rsidRDefault="00FC5238" w:rsidP="00FC5238">
            <w:pPr>
              <w:spacing w:after="60"/>
              <w:rPr>
                <w:rFonts w:ascii="Tahoma" w:eastAsia="Tahoma" w:hAnsi="Tahoma" w:cs="Tahoma"/>
                <w:b/>
                <w:bCs/>
                <w:u w:val="single"/>
              </w:rPr>
            </w:pPr>
            <w:r w:rsidRPr="00240545">
              <w:rPr>
                <w:rFonts w:ascii="Tahoma" w:eastAsia="Tahoma" w:hAnsi="Tahoma" w:cs="Tahoma"/>
              </w:rPr>
              <w:t>Week of [</w:t>
            </w:r>
            <w:r w:rsidRPr="00240545">
              <w:rPr>
                <w:rFonts w:ascii="Tahoma" w:eastAsia="Tahoma" w:hAnsi="Tahoma" w:cs="Tahoma"/>
                <w:strike/>
              </w:rPr>
              <w:t>October 13, 2025</w:t>
            </w:r>
            <w:r w:rsidRPr="00240545">
              <w:rPr>
                <w:rFonts w:ascii="Tahoma" w:eastAsia="Tahoma" w:hAnsi="Tahoma" w:cs="Tahoma"/>
              </w:rPr>
              <w:t xml:space="preserve">] </w:t>
            </w:r>
            <w:r w:rsidRPr="00240545">
              <w:rPr>
                <w:rFonts w:ascii="Tahoma" w:eastAsia="Tahoma" w:hAnsi="Tahoma" w:cs="Tahoma"/>
                <w:b/>
                <w:bCs/>
                <w:u w:val="single"/>
              </w:rPr>
              <w:t xml:space="preserve">November </w:t>
            </w:r>
            <w:r w:rsidR="00FA506C" w:rsidRPr="00240545">
              <w:rPr>
                <w:rFonts w:ascii="Tahoma" w:eastAsia="Tahoma" w:hAnsi="Tahoma" w:cs="Tahoma"/>
                <w:b/>
                <w:bCs/>
                <w:u w:val="single"/>
              </w:rPr>
              <w:t>17</w:t>
            </w:r>
            <w:r w:rsidRPr="00240545">
              <w:rPr>
                <w:rFonts w:ascii="Tahoma" w:eastAsia="Tahoma" w:hAnsi="Tahoma" w:cs="Tahoma"/>
                <w:b/>
                <w:bCs/>
                <w:u w:val="single"/>
              </w:rPr>
              <w:t>, 2025</w:t>
            </w:r>
          </w:p>
        </w:tc>
      </w:tr>
      <w:tr w:rsidR="00FC5238" w:rsidRPr="00240545" w14:paraId="7A7E8815" w14:textId="77777777" w:rsidTr="00FC5238">
        <w:trPr>
          <w:trHeight w:val="837"/>
        </w:trPr>
        <w:tc>
          <w:tcPr>
            <w:tcW w:w="5665" w:type="dxa"/>
            <w:tcMar>
              <w:left w:w="105" w:type="dxa"/>
              <w:right w:w="105" w:type="dxa"/>
            </w:tcMar>
          </w:tcPr>
          <w:p w14:paraId="3C6976D6" w14:textId="77777777" w:rsidR="00FC5238" w:rsidRPr="00240545" w:rsidRDefault="00FC5238" w:rsidP="00FC5238">
            <w:pPr>
              <w:spacing w:after="60"/>
              <w:rPr>
                <w:rFonts w:ascii="Tahoma" w:eastAsia="Tahoma" w:hAnsi="Tahoma" w:cs="Tahoma"/>
              </w:rPr>
            </w:pPr>
            <w:r w:rsidRPr="00240545">
              <w:rPr>
                <w:rFonts w:ascii="Tahoma" w:eastAsia="Tahoma" w:hAnsi="Tahoma" w:cs="Tahoma"/>
              </w:rPr>
              <w:lastRenderedPageBreak/>
              <w:t>Support for Application Submission in the Energy Commission Agreement Management System (ECAMS) until 5:00 p.m.</w:t>
            </w:r>
          </w:p>
        </w:tc>
        <w:tc>
          <w:tcPr>
            <w:tcW w:w="3375" w:type="dxa"/>
            <w:tcMar>
              <w:left w:w="105" w:type="dxa"/>
              <w:right w:w="105" w:type="dxa"/>
            </w:tcMar>
          </w:tcPr>
          <w:p w14:paraId="1220AF66" w14:textId="77777777" w:rsidR="00695E96" w:rsidRPr="00240545" w:rsidRDefault="00FC5238" w:rsidP="00FC5238">
            <w:pPr>
              <w:spacing w:after="60"/>
              <w:rPr>
                <w:rFonts w:ascii="Tahoma" w:eastAsia="Tahoma" w:hAnsi="Tahoma" w:cs="Tahoma"/>
                <w:b/>
                <w:bCs/>
              </w:rPr>
            </w:pPr>
            <w:r w:rsidRPr="00240545">
              <w:rPr>
                <w:rFonts w:ascii="Tahoma" w:eastAsia="Tahoma" w:hAnsi="Tahoma" w:cs="Tahoma"/>
                <w:b/>
                <w:bCs/>
              </w:rPr>
              <w:t>Ongoing until [</w:t>
            </w:r>
            <w:r w:rsidRPr="00240545">
              <w:rPr>
                <w:rFonts w:ascii="Tahoma" w:eastAsia="Tahoma" w:hAnsi="Tahoma" w:cs="Tahoma"/>
                <w:strike/>
              </w:rPr>
              <w:t>November 21, 2025</w:t>
            </w:r>
            <w:r w:rsidRPr="00240545">
              <w:rPr>
                <w:rFonts w:ascii="Tahoma" w:eastAsia="Tahoma" w:hAnsi="Tahoma" w:cs="Tahoma"/>
                <w:b/>
                <w:bCs/>
              </w:rPr>
              <w:t xml:space="preserve">] </w:t>
            </w:r>
          </w:p>
          <w:p w14:paraId="3500CB28" w14:textId="75D10A5A" w:rsidR="00FC5238" w:rsidRPr="00240545" w:rsidRDefault="00EB3D63" w:rsidP="00FC5238">
            <w:pPr>
              <w:spacing w:after="60"/>
              <w:rPr>
                <w:rFonts w:ascii="Tahoma" w:eastAsia="Tahoma" w:hAnsi="Tahoma" w:cs="Tahoma"/>
                <w:b/>
                <w:bCs/>
                <w:u w:val="single"/>
              </w:rPr>
            </w:pPr>
            <w:r w:rsidRPr="00240545">
              <w:rPr>
                <w:rFonts w:ascii="Tahoma" w:eastAsia="Tahoma" w:hAnsi="Tahoma" w:cs="Tahoma"/>
                <w:b/>
                <w:bCs/>
                <w:u w:val="single"/>
              </w:rPr>
              <w:t>January 16, 2026</w:t>
            </w:r>
          </w:p>
        </w:tc>
      </w:tr>
      <w:tr w:rsidR="00FC5238" w:rsidRPr="00240545" w14:paraId="376B3ED5" w14:textId="77777777" w:rsidTr="00FC5238">
        <w:trPr>
          <w:trHeight w:val="637"/>
        </w:trPr>
        <w:tc>
          <w:tcPr>
            <w:tcW w:w="5665" w:type="dxa"/>
            <w:tcMar>
              <w:left w:w="105" w:type="dxa"/>
              <w:right w:w="105" w:type="dxa"/>
            </w:tcMar>
          </w:tcPr>
          <w:p w14:paraId="63378390" w14:textId="77777777" w:rsidR="00FC5238" w:rsidRPr="00240545" w:rsidRDefault="00FC5238" w:rsidP="00FC5238">
            <w:pPr>
              <w:spacing w:after="60"/>
              <w:rPr>
                <w:rFonts w:ascii="Tahoma" w:eastAsia="Tahoma" w:hAnsi="Tahoma" w:cs="Tahoma"/>
              </w:rPr>
            </w:pPr>
            <w:r w:rsidRPr="00240545">
              <w:rPr>
                <w:rFonts w:ascii="Tahoma" w:eastAsia="Tahoma" w:hAnsi="Tahoma" w:cs="Tahoma"/>
                <w:b/>
                <w:bCs/>
              </w:rPr>
              <w:t>Deadline to Submit Applications by 11:59 p.m.*</w:t>
            </w:r>
          </w:p>
        </w:tc>
        <w:tc>
          <w:tcPr>
            <w:tcW w:w="3375" w:type="dxa"/>
            <w:tcMar>
              <w:left w:w="105" w:type="dxa"/>
              <w:right w:w="105" w:type="dxa"/>
            </w:tcMar>
          </w:tcPr>
          <w:p w14:paraId="63BF27EB" w14:textId="24EC2141" w:rsidR="00FC5238" w:rsidRPr="00240545" w:rsidRDefault="00FC5238" w:rsidP="00FC5238">
            <w:pPr>
              <w:spacing w:after="60"/>
              <w:rPr>
                <w:rFonts w:ascii="Tahoma" w:eastAsia="Tahoma" w:hAnsi="Tahoma" w:cs="Tahoma"/>
                <w:u w:val="single"/>
              </w:rPr>
            </w:pPr>
            <w:r w:rsidRPr="00240545">
              <w:rPr>
                <w:rFonts w:ascii="Tahoma" w:eastAsia="Tahoma" w:hAnsi="Tahoma" w:cs="Tahoma"/>
                <w:b/>
                <w:bCs/>
              </w:rPr>
              <w:t>[</w:t>
            </w:r>
            <w:r w:rsidRPr="00240545">
              <w:rPr>
                <w:rFonts w:ascii="Tahoma" w:eastAsia="Tahoma" w:hAnsi="Tahoma" w:cs="Tahoma"/>
                <w:strike/>
              </w:rPr>
              <w:t>November 21, 2025</w:t>
            </w:r>
            <w:r w:rsidRPr="00240545">
              <w:rPr>
                <w:rFonts w:ascii="Tahoma" w:eastAsia="Tahoma" w:hAnsi="Tahoma" w:cs="Tahoma"/>
                <w:b/>
                <w:bCs/>
              </w:rPr>
              <w:t xml:space="preserve">] </w:t>
            </w:r>
            <w:r w:rsidR="00EB3D63" w:rsidRPr="00240545">
              <w:rPr>
                <w:rFonts w:ascii="Tahoma" w:eastAsia="Tahoma" w:hAnsi="Tahoma" w:cs="Tahoma"/>
                <w:b/>
                <w:bCs/>
                <w:u w:val="single"/>
              </w:rPr>
              <w:t>January 16, 2026</w:t>
            </w:r>
          </w:p>
        </w:tc>
      </w:tr>
      <w:tr w:rsidR="00FC5238" w:rsidRPr="00240545" w14:paraId="4E408FC0" w14:textId="77777777" w:rsidTr="00FC5238">
        <w:trPr>
          <w:trHeight w:val="624"/>
        </w:trPr>
        <w:tc>
          <w:tcPr>
            <w:tcW w:w="5665" w:type="dxa"/>
            <w:tcMar>
              <w:left w:w="105" w:type="dxa"/>
              <w:right w:w="105" w:type="dxa"/>
            </w:tcMar>
          </w:tcPr>
          <w:p w14:paraId="285650C4" w14:textId="77777777" w:rsidR="00FC5238" w:rsidRPr="00240545" w:rsidRDefault="00FC5238" w:rsidP="00FC5238">
            <w:pPr>
              <w:spacing w:after="60"/>
              <w:rPr>
                <w:rFonts w:ascii="Tahoma" w:eastAsia="Tahoma" w:hAnsi="Tahoma" w:cs="Tahoma"/>
              </w:rPr>
            </w:pPr>
            <w:r w:rsidRPr="00240545">
              <w:rPr>
                <w:rFonts w:ascii="Tahoma" w:eastAsia="Tahoma" w:hAnsi="Tahoma" w:cs="Tahoma"/>
              </w:rPr>
              <w:t xml:space="preserve">Anticipated Notice of Proposed Awards Posting </w:t>
            </w:r>
          </w:p>
        </w:tc>
        <w:tc>
          <w:tcPr>
            <w:tcW w:w="3375" w:type="dxa"/>
            <w:tcMar>
              <w:left w:w="105" w:type="dxa"/>
              <w:right w:w="105" w:type="dxa"/>
            </w:tcMar>
          </w:tcPr>
          <w:p w14:paraId="34993B90" w14:textId="77777777" w:rsidR="00695E96" w:rsidRPr="00240545" w:rsidRDefault="00FC5238" w:rsidP="00FC5238">
            <w:pPr>
              <w:spacing w:after="60"/>
              <w:rPr>
                <w:rFonts w:ascii="Tahoma" w:eastAsia="Tahoma" w:hAnsi="Tahoma" w:cs="Tahoma"/>
              </w:rPr>
            </w:pPr>
            <w:r w:rsidRPr="00240545">
              <w:rPr>
                <w:rFonts w:ascii="Tahoma" w:eastAsia="Tahoma" w:hAnsi="Tahoma" w:cs="Tahoma"/>
              </w:rPr>
              <w:t>Week of [</w:t>
            </w:r>
            <w:r w:rsidRPr="00240545">
              <w:rPr>
                <w:rFonts w:ascii="Tahoma" w:eastAsia="Tahoma" w:hAnsi="Tahoma" w:cs="Tahoma"/>
                <w:strike/>
              </w:rPr>
              <w:t>February</w:t>
            </w:r>
            <w:r w:rsidR="00695E96" w:rsidRPr="00240545">
              <w:rPr>
                <w:rFonts w:ascii="Tahoma" w:eastAsia="Tahoma" w:hAnsi="Tahoma" w:cs="Tahoma"/>
                <w:strike/>
              </w:rPr>
              <w:t xml:space="preserve"> 2</w:t>
            </w:r>
            <w:r w:rsidRPr="00240545">
              <w:rPr>
                <w:rFonts w:ascii="Tahoma" w:eastAsia="Tahoma" w:hAnsi="Tahoma" w:cs="Tahoma"/>
              </w:rPr>
              <w:t xml:space="preserve">] </w:t>
            </w:r>
          </w:p>
          <w:p w14:paraId="12652B73" w14:textId="37B79A6B" w:rsidR="00FC5238" w:rsidRPr="00240545" w:rsidRDefault="00EB3D63" w:rsidP="00FC5238">
            <w:pPr>
              <w:spacing w:after="60"/>
              <w:rPr>
                <w:rFonts w:ascii="Tahoma" w:eastAsia="Tahoma" w:hAnsi="Tahoma" w:cs="Tahoma"/>
                <w:b/>
                <w:bCs/>
                <w:u w:val="single"/>
              </w:rPr>
            </w:pPr>
            <w:r w:rsidRPr="00240545">
              <w:rPr>
                <w:rFonts w:ascii="Tahoma" w:eastAsia="Tahoma" w:hAnsi="Tahoma" w:cs="Tahoma"/>
                <w:b/>
                <w:bCs/>
                <w:u w:val="single"/>
              </w:rPr>
              <w:t>April 6</w:t>
            </w:r>
            <w:r w:rsidR="00FC5238" w:rsidRPr="00240545">
              <w:rPr>
                <w:rFonts w:ascii="Tahoma" w:eastAsia="Tahoma" w:hAnsi="Tahoma" w:cs="Tahoma"/>
              </w:rPr>
              <w:t>, 2026</w:t>
            </w:r>
          </w:p>
        </w:tc>
      </w:tr>
      <w:tr w:rsidR="00FC5238" w:rsidRPr="00240545" w14:paraId="5A1C0EEC" w14:textId="77777777" w:rsidTr="00FC5238">
        <w:trPr>
          <w:trHeight w:val="251"/>
        </w:trPr>
        <w:tc>
          <w:tcPr>
            <w:tcW w:w="5665" w:type="dxa"/>
            <w:tcMar>
              <w:left w:w="105" w:type="dxa"/>
              <w:right w:w="105" w:type="dxa"/>
            </w:tcMar>
          </w:tcPr>
          <w:p w14:paraId="1DD7A2B3" w14:textId="77777777" w:rsidR="00FC5238" w:rsidRPr="00240545" w:rsidRDefault="00FC5238" w:rsidP="00FC5238">
            <w:pPr>
              <w:spacing w:after="60"/>
              <w:rPr>
                <w:rFonts w:ascii="Tahoma" w:eastAsia="Tahoma" w:hAnsi="Tahoma" w:cs="Tahoma"/>
              </w:rPr>
            </w:pPr>
            <w:r w:rsidRPr="00240545">
              <w:rPr>
                <w:rFonts w:ascii="Tahoma" w:eastAsia="Tahoma" w:hAnsi="Tahoma" w:cs="Tahoma"/>
              </w:rPr>
              <w:t xml:space="preserve">Anticipated CEC Business Meeting </w:t>
            </w:r>
          </w:p>
        </w:tc>
        <w:tc>
          <w:tcPr>
            <w:tcW w:w="3375" w:type="dxa"/>
            <w:tcMar>
              <w:left w:w="105" w:type="dxa"/>
              <w:right w:w="105" w:type="dxa"/>
            </w:tcMar>
          </w:tcPr>
          <w:p w14:paraId="748980B8" w14:textId="6C156970" w:rsidR="00FC5238" w:rsidRPr="00240545" w:rsidRDefault="00FC5238" w:rsidP="00FC5238">
            <w:pPr>
              <w:spacing w:after="60"/>
              <w:rPr>
                <w:rFonts w:ascii="Tahoma" w:eastAsia="Tahoma" w:hAnsi="Tahoma" w:cs="Tahoma"/>
              </w:rPr>
            </w:pPr>
            <w:r w:rsidRPr="00240545">
              <w:rPr>
                <w:rFonts w:ascii="Tahoma" w:eastAsia="Tahoma" w:hAnsi="Tahoma" w:cs="Tahoma"/>
              </w:rPr>
              <w:t>[</w:t>
            </w:r>
            <w:r w:rsidRPr="00240545">
              <w:rPr>
                <w:rFonts w:ascii="Tahoma" w:eastAsia="Tahoma" w:hAnsi="Tahoma" w:cs="Tahoma"/>
                <w:strike/>
              </w:rPr>
              <w:t>June</w:t>
            </w:r>
            <w:r w:rsidRPr="00240545">
              <w:rPr>
                <w:rFonts w:ascii="Tahoma" w:eastAsia="Tahoma" w:hAnsi="Tahoma" w:cs="Tahoma"/>
              </w:rPr>
              <w:t xml:space="preserve">] </w:t>
            </w:r>
            <w:r w:rsidR="00EB3D63" w:rsidRPr="00240545">
              <w:rPr>
                <w:rFonts w:ascii="Tahoma" w:eastAsia="Tahoma" w:hAnsi="Tahoma" w:cs="Tahoma"/>
                <w:b/>
                <w:bCs/>
                <w:u w:val="single"/>
              </w:rPr>
              <w:t>August</w:t>
            </w:r>
            <w:r w:rsidR="00EB3D63" w:rsidRPr="00240545">
              <w:rPr>
                <w:rFonts w:ascii="Tahoma" w:eastAsia="Tahoma" w:hAnsi="Tahoma" w:cs="Tahoma"/>
              </w:rPr>
              <w:t xml:space="preserve"> </w:t>
            </w:r>
            <w:r w:rsidRPr="00240545">
              <w:rPr>
                <w:rFonts w:ascii="Tahoma" w:eastAsia="Tahoma" w:hAnsi="Tahoma" w:cs="Tahoma"/>
              </w:rPr>
              <w:t>2026</w:t>
            </w:r>
          </w:p>
        </w:tc>
      </w:tr>
    </w:tbl>
    <w:p w14:paraId="03A88AE1" w14:textId="77777777" w:rsidR="00BB1390" w:rsidRPr="00240545" w:rsidRDefault="00BB1390" w:rsidP="00BB1390">
      <w:pPr>
        <w:pStyle w:val="Heading3"/>
      </w:pPr>
    </w:p>
    <w:p w14:paraId="4A1D3605" w14:textId="77777777" w:rsidR="00BB1390" w:rsidRPr="00240545" w:rsidRDefault="00BB1390" w:rsidP="00BB1390">
      <w:pPr>
        <w:pStyle w:val="Heading3"/>
        <w:ind w:left="720"/>
      </w:pPr>
    </w:p>
    <w:p w14:paraId="7A00F4DD" w14:textId="77777777" w:rsidR="00FC5238" w:rsidRPr="00240545" w:rsidRDefault="00FC5238" w:rsidP="00FC5238"/>
    <w:p w14:paraId="5D8B8EEA" w14:textId="77777777" w:rsidR="00FC5238" w:rsidRPr="00240545" w:rsidRDefault="00FC5238" w:rsidP="00FC5238"/>
    <w:p w14:paraId="08434DC5" w14:textId="77777777" w:rsidR="00FC5238" w:rsidRPr="00240545" w:rsidRDefault="00FC5238" w:rsidP="00FC5238"/>
    <w:p w14:paraId="5E68F7B5" w14:textId="77777777" w:rsidR="00FC5238" w:rsidRPr="00240545" w:rsidRDefault="00FC5238" w:rsidP="00FC5238"/>
    <w:p w14:paraId="1798CDEF" w14:textId="77777777" w:rsidR="00FC5238" w:rsidRPr="00240545" w:rsidRDefault="00FC5238" w:rsidP="00FC5238">
      <w:pPr>
        <w:pStyle w:val="Heading2"/>
        <w:keepNext w:val="0"/>
        <w:spacing w:before="0" w:after="0"/>
        <w:ind w:left="720"/>
        <w:rPr>
          <w:rFonts w:ascii="Tahoma" w:eastAsiaTheme="majorEastAsia" w:hAnsi="Tahoma" w:cs="Tahoma"/>
          <w:bCs/>
          <w:smallCaps w:val="0"/>
          <w:sz w:val="24"/>
          <w:szCs w:val="24"/>
          <w:lang w:val="en-US" w:eastAsia="en-US"/>
        </w:rPr>
      </w:pPr>
    </w:p>
    <w:p w14:paraId="24ADCA43" w14:textId="3BB7DCA7" w:rsidR="00BB1390" w:rsidRPr="00240545" w:rsidRDefault="00BB1390" w:rsidP="00F97AD7">
      <w:pPr>
        <w:pStyle w:val="Heading2"/>
        <w:keepNext w:val="0"/>
        <w:numPr>
          <w:ilvl w:val="0"/>
          <w:numId w:val="1"/>
        </w:numPr>
        <w:spacing w:before="0" w:after="0"/>
        <w:ind w:left="720" w:hanging="720"/>
        <w:rPr>
          <w:rFonts w:ascii="Tahoma" w:eastAsiaTheme="majorEastAsia" w:hAnsi="Tahoma" w:cs="Tahoma"/>
          <w:bCs/>
          <w:smallCaps w:val="0"/>
          <w:sz w:val="24"/>
          <w:szCs w:val="24"/>
          <w:lang w:val="en-US" w:eastAsia="en-US"/>
        </w:rPr>
      </w:pPr>
      <w:r w:rsidRPr="00240545">
        <w:rPr>
          <w:rFonts w:ascii="Tahoma" w:eastAsiaTheme="majorEastAsia" w:hAnsi="Tahoma" w:cs="Tahoma"/>
          <w:bCs/>
          <w:smallCaps w:val="0"/>
          <w:sz w:val="24"/>
          <w:szCs w:val="24"/>
          <w:lang w:val="en-US" w:eastAsia="en-US"/>
        </w:rPr>
        <w:t>Section I.E. How Award Is Determined</w:t>
      </w:r>
    </w:p>
    <w:p w14:paraId="1CB59BC1" w14:textId="77777777" w:rsidR="00BB1390" w:rsidRPr="00240545" w:rsidRDefault="00BB1390" w:rsidP="00BB1390">
      <w:pPr>
        <w:pStyle w:val="Heading3"/>
      </w:pPr>
    </w:p>
    <w:p w14:paraId="5684E1DA" w14:textId="77777777" w:rsidR="00BB1390" w:rsidRPr="00240545" w:rsidRDefault="00BB1390" w:rsidP="00BB1390">
      <w:pPr>
        <w:ind w:left="720"/>
        <w:rPr>
          <w:rFonts w:ascii="Tahoma" w:eastAsia="Times New Roman" w:hAnsi="Tahoma" w:cs="Tahoma"/>
          <w:szCs w:val="22"/>
        </w:rPr>
      </w:pPr>
      <w:r w:rsidRPr="00240545">
        <w:rPr>
          <w:rFonts w:ascii="Tahoma" w:eastAsia="Times New Roman" w:hAnsi="Tahoma" w:cs="Tahoma"/>
        </w:rPr>
        <w:t>[</w:t>
      </w:r>
      <w:r w:rsidRPr="00240545">
        <w:rPr>
          <w:rFonts w:ascii="Tahoma" w:eastAsia="Times New Roman" w:hAnsi="Tahoma" w:cs="Tahoma"/>
          <w:strike/>
        </w:rPr>
        <w:t>Applicants passing administrative and technical screening will compete based on evaluation criteria and will be scored and ranked based on those criteria.  Applications obtaining at least the minimum passing score in each Applicant Group will be recommended for funding as described in Section I.G until all funds available in each Applicant Group are exhausted. If there are insufficient passing applications in either Applicant Group, CEC may shift remaining funds to the other Applicant Group. Unless CEC exercises any of its other rights regarding this solicitation (e.g., to cancel the solicitation or reduce funding), applications obtaining at least the minimum passing score will be recommended for funding in ranked order in each Applicant Group until all funds available under this solicitation are exhausted</w:t>
      </w:r>
      <w:r w:rsidRPr="00240545">
        <w:rPr>
          <w:rFonts w:ascii="Tahoma" w:eastAsia="Times New Roman" w:hAnsi="Tahoma" w:cs="Tahoma"/>
          <w:strike/>
          <w:szCs w:val="22"/>
        </w:rPr>
        <w:t>.</w:t>
      </w:r>
      <w:r w:rsidRPr="00240545">
        <w:rPr>
          <w:rFonts w:ascii="Tahoma" w:eastAsia="Times New Roman" w:hAnsi="Tahoma" w:cs="Tahoma"/>
          <w:szCs w:val="22"/>
        </w:rPr>
        <w:t>]</w:t>
      </w:r>
    </w:p>
    <w:p w14:paraId="57BDA40F" w14:textId="77777777" w:rsidR="007E6D4B" w:rsidRPr="00240545" w:rsidRDefault="007E6D4B" w:rsidP="00BB1390">
      <w:pPr>
        <w:ind w:left="720"/>
        <w:rPr>
          <w:rFonts w:ascii="Tahoma" w:eastAsia="Times New Roman" w:hAnsi="Tahoma" w:cs="Tahoma"/>
          <w:szCs w:val="22"/>
        </w:rPr>
      </w:pPr>
    </w:p>
    <w:p w14:paraId="07AD993B" w14:textId="77777777" w:rsidR="00524520" w:rsidRPr="00240545" w:rsidRDefault="00524520" w:rsidP="00524520">
      <w:pPr>
        <w:ind w:left="720"/>
        <w:rPr>
          <w:rFonts w:ascii="Tahoma" w:hAnsi="Tahoma" w:cs="Tahoma"/>
          <w:b/>
          <w:bCs/>
          <w:u w:val="single"/>
        </w:rPr>
      </w:pPr>
      <w:r w:rsidRPr="00240545">
        <w:rPr>
          <w:rFonts w:ascii="Tahoma" w:hAnsi="Tahoma" w:cs="Tahoma"/>
          <w:b/>
          <w:bCs/>
          <w:u w:val="single"/>
        </w:rPr>
        <w:t>Awards will be determined in the following manner:</w:t>
      </w:r>
    </w:p>
    <w:p w14:paraId="3B7DF4E9" w14:textId="77777777" w:rsidR="00524520" w:rsidRPr="00240545" w:rsidRDefault="00524520" w:rsidP="00524520">
      <w:pPr>
        <w:ind w:left="720"/>
        <w:rPr>
          <w:rFonts w:ascii="Tahoma" w:hAnsi="Tahoma" w:cs="Tahoma"/>
          <w:b/>
          <w:bCs/>
          <w:u w:val="single"/>
        </w:rPr>
      </w:pPr>
    </w:p>
    <w:p w14:paraId="29DC2F1F" w14:textId="77777777" w:rsidR="00524520" w:rsidRPr="00240545" w:rsidRDefault="00524520" w:rsidP="00524520">
      <w:pPr>
        <w:pStyle w:val="ListParagraph"/>
        <w:numPr>
          <w:ilvl w:val="1"/>
          <w:numId w:val="23"/>
        </w:numPr>
        <w:spacing w:after="120"/>
        <w:ind w:hanging="720"/>
        <w:contextualSpacing w:val="0"/>
        <w:rPr>
          <w:rFonts w:ascii="Tahoma" w:hAnsi="Tahoma" w:cs="Tahoma"/>
          <w:b/>
          <w:bCs/>
          <w:u w:val="single"/>
        </w:rPr>
      </w:pPr>
      <w:r w:rsidRPr="00240545">
        <w:rPr>
          <w:rFonts w:ascii="Tahoma" w:hAnsi="Tahoma" w:cs="Tahoma"/>
          <w:b/>
          <w:bCs/>
          <w:u w:val="single"/>
        </w:rPr>
        <w:t>Applications must pass screening.</w:t>
      </w:r>
    </w:p>
    <w:p w14:paraId="7F08850F" w14:textId="77777777" w:rsidR="00524520" w:rsidRPr="00240545" w:rsidRDefault="00524520" w:rsidP="007E6D4B">
      <w:pPr>
        <w:pStyle w:val="ListParagraph"/>
        <w:ind w:left="1440"/>
        <w:rPr>
          <w:rFonts w:ascii="Tahoma" w:hAnsi="Tahoma" w:cs="Tahoma"/>
          <w:b/>
          <w:bCs/>
          <w:u w:val="single"/>
        </w:rPr>
      </w:pPr>
      <w:r w:rsidRPr="00240545">
        <w:rPr>
          <w:rFonts w:ascii="Tahoma" w:hAnsi="Tahoma" w:cs="Tahoma"/>
          <w:b/>
          <w:bCs/>
          <w:u w:val="single"/>
        </w:rPr>
        <w:t>Applications must first pass the administrative screening and technical screening discussed in Section IV.A.1. and IV.A.2. Applicants that pass these screenings will proceed to Technical Evaluation, discussed in Section IV.A.4.</w:t>
      </w:r>
    </w:p>
    <w:p w14:paraId="04E597A0" w14:textId="77777777" w:rsidR="00524520" w:rsidRPr="00240545" w:rsidRDefault="00524520" w:rsidP="00524520">
      <w:pPr>
        <w:pStyle w:val="ListParagraph"/>
        <w:rPr>
          <w:rFonts w:ascii="Tahoma" w:hAnsi="Tahoma" w:cs="Tahoma"/>
          <w:b/>
          <w:bCs/>
          <w:u w:val="single"/>
        </w:rPr>
      </w:pPr>
    </w:p>
    <w:p w14:paraId="76F67C4F" w14:textId="77777777" w:rsidR="00524520" w:rsidRPr="00240545" w:rsidRDefault="00524520" w:rsidP="00524520">
      <w:pPr>
        <w:pStyle w:val="ListParagraph"/>
        <w:numPr>
          <w:ilvl w:val="1"/>
          <w:numId w:val="23"/>
        </w:numPr>
        <w:spacing w:after="120"/>
        <w:ind w:hanging="720"/>
        <w:contextualSpacing w:val="0"/>
        <w:rPr>
          <w:rFonts w:ascii="Tahoma" w:hAnsi="Tahoma" w:cs="Tahoma"/>
          <w:b/>
          <w:bCs/>
          <w:u w:val="single"/>
        </w:rPr>
      </w:pPr>
      <w:r w:rsidRPr="00240545">
        <w:rPr>
          <w:rFonts w:ascii="Tahoma" w:hAnsi="Tahoma" w:cs="Tahoma"/>
          <w:b/>
          <w:bCs/>
          <w:u w:val="single"/>
        </w:rPr>
        <w:t>Applications must achieve at least the minimum score required in Technical Evaluation.</w:t>
      </w:r>
    </w:p>
    <w:p w14:paraId="690BE2D3" w14:textId="7D8E4DDF" w:rsidR="00524520" w:rsidRPr="00240545" w:rsidRDefault="6A7D8B5C" w:rsidP="007E6D4B">
      <w:pPr>
        <w:pStyle w:val="ListParagraph"/>
        <w:ind w:left="1440"/>
        <w:rPr>
          <w:rFonts w:ascii="Tahoma" w:hAnsi="Tahoma" w:cs="Tahoma"/>
          <w:b/>
          <w:bCs/>
          <w:u w:val="single"/>
        </w:rPr>
      </w:pPr>
      <w:r w:rsidRPr="00240545">
        <w:rPr>
          <w:rFonts w:ascii="Tahoma" w:hAnsi="Tahoma" w:cs="Tahoma"/>
          <w:b/>
          <w:bCs/>
          <w:u w:val="single"/>
        </w:rPr>
        <w:t>A</w:t>
      </w:r>
      <w:r w:rsidR="00524520" w:rsidRPr="00240545">
        <w:rPr>
          <w:rFonts w:ascii="Tahoma" w:hAnsi="Tahoma" w:cs="Tahoma"/>
          <w:b/>
          <w:bCs/>
          <w:u w:val="single"/>
        </w:rPr>
        <w:t>pplication</w:t>
      </w:r>
      <w:r w:rsidR="6D13777B" w:rsidRPr="00240545">
        <w:rPr>
          <w:rFonts w:ascii="Tahoma" w:hAnsi="Tahoma" w:cs="Tahoma"/>
          <w:b/>
          <w:bCs/>
          <w:u w:val="single"/>
        </w:rPr>
        <w:t>s</w:t>
      </w:r>
      <w:r w:rsidR="00524520" w:rsidRPr="00240545">
        <w:rPr>
          <w:rFonts w:ascii="Tahoma" w:hAnsi="Tahoma" w:cs="Tahoma"/>
          <w:b/>
          <w:bCs/>
          <w:u w:val="single"/>
        </w:rPr>
        <w:t xml:space="preserve"> will be evaluated separately using the scoring scale shown in Section IV.E. A minimum score of 70 percent is required for the application to be eligible for funding. Also, </w:t>
      </w:r>
      <w:r w:rsidR="00E2373A" w:rsidRPr="00240545">
        <w:rPr>
          <w:rFonts w:ascii="Tahoma" w:hAnsi="Tahoma" w:cs="Tahoma"/>
          <w:b/>
          <w:bCs/>
          <w:u w:val="single"/>
        </w:rPr>
        <w:t>application</w:t>
      </w:r>
      <w:r w:rsidR="6993E727" w:rsidRPr="00240545">
        <w:rPr>
          <w:rFonts w:ascii="Tahoma" w:hAnsi="Tahoma" w:cs="Tahoma"/>
          <w:b/>
          <w:bCs/>
          <w:u w:val="single"/>
        </w:rPr>
        <w:t>s</w:t>
      </w:r>
      <w:r w:rsidR="00E2373A" w:rsidRPr="00240545">
        <w:rPr>
          <w:rFonts w:ascii="Tahoma" w:hAnsi="Tahoma" w:cs="Tahoma"/>
          <w:b/>
          <w:bCs/>
          <w:u w:val="single"/>
        </w:rPr>
        <w:t xml:space="preserve"> </w:t>
      </w:r>
      <w:r w:rsidR="00524520" w:rsidRPr="00240545">
        <w:rPr>
          <w:rFonts w:ascii="Tahoma" w:hAnsi="Tahoma" w:cs="Tahoma"/>
          <w:b/>
          <w:bCs/>
          <w:u w:val="single"/>
        </w:rPr>
        <w:t xml:space="preserve">must receive a minimum score of 70 percent on both Technical Evaluation Criterion </w:t>
      </w:r>
      <w:r w:rsidR="00DC75F3" w:rsidRPr="00240545">
        <w:rPr>
          <w:rFonts w:ascii="Tahoma" w:hAnsi="Tahoma" w:cs="Tahoma"/>
          <w:b/>
          <w:bCs/>
          <w:u w:val="single"/>
        </w:rPr>
        <w:t>1</w:t>
      </w:r>
      <w:r w:rsidR="00524520" w:rsidRPr="00240545">
        <w:rPr>
          <w:rFonts w:ascii="Tahoma" w:hAnsi="Tahoma" w:cs="Tahoma"/>
          <w:b/>
          <w:bCs/>
          <w:u w:val="single"/>
        </w:rPr>
        <w:t xml:space="preserve"> </w:t>
      </w:r>
      <w:r w:rsidR="00546B40" w:rsidRPr="00240545">
        <w:rPr>
          <w:rFonts w:ascii="Tahoma" w:hAnsi="Tahoma" w:cs="Tahoma"/>
          <w:b/>
          <w:bCs/>
          <w:u w:val="single"/>
        </w:rPr>
        <w:t>(</w:t>
      </w:r>
      <w:r w:rsidR="00524520" w:rsidRPr="00240545">
        <w:rPr>
          <w:rFonts w:ascii="Tahoma" w:hAnsi="Tahoma" w:cs="Tahoma"/>
          <w:b/>
          <w:bCs/>
          <w:u w:val="single"/>
        </w:rPr>
        <w:t>Project Readiness/Implementation</w:t>
      </w:r>
      <w:r w:rsidR="00546B40" w:rsidRPr="00240545">
        <w:rPr>
          <w:rFonts w:ascii="Tahoma" w:hAnsi="Tahoma" w:cs="Tahoma"/>
          <w:b/>
          <w:bCs/>
          <w:u w:val="single"/>
        </w:rPr>
        <w:t>)</w:t>
      </w:r>
      <w:r w:rsidR="00524520" w:rsidRPr="00240545">
        <w:rPr>
          <w:rFonts w:ascii="Tahoma" w:hAnsi="Tahoma" w:cs="Tahoma"/>
          <w:b/>
          <w:bCs/>
          <w:u w:val="single"/>
        </w:rPr>
        <w:t xml:space="preserve"> and Technical Evaluation Criterion 3 </w:t>
      </w:r>
      <w:r w:rsidR="00F1700F" w:rsidRPr="00240545">
        <w:rPr>
          <w:rFonts w:ascii="Tahoma" w:hAnsi="Tahoma" w:cs="Tahoma"/>
          <w:b/>
          <w:bCs/>
          <w:u w:val="single"/>
        </w:rPr>
        <w:t>(</w:t>
      </w:r>
      <w:r w:rsidR="00524520" w:rsidRPr="00240545">
        <w:rPr>
          <w:rFonts w:ascii="Tahoma" w:hAnsi="Tahoma" w:cs="Tahoma"/>
          <w:b/>
          <w:bCs/>
          <w:u w:val="single"/>
        </w:rPr>
        <w:t>Project Budget</w:t>
      </w:r>
      <w:r w:rsidR="00E15D51" w:rsidRPr="00240545">
        <w:rPr>
          <w:rFonts w:ascii="Tahoma" w:hAnsi="Tahoma" w:cs="Tahoma"/>
          <w:b/>
          <w:bCs/>
          <w:u w:val="single"/>
        </w:rPr>
        <w:t>)</w:t>
      </w:r>
      <w:r w:rsidR="003F7815" w:rsidRPr="00240545">
        <w:rPr>
          <w:rFonts w:ascii="Tahoma" w:hAnsi="Tahoma" w:cs="Tahoma"/>
          <w:b/>
          <w:bCs/>
          <w:u w:val="single"/>
        </w:rPr>
        <w:t xml:space="preserve"> to be eligible for funding</w:t>
      </w:r>
      <w:r w:rsidR="00524520" w:rsidRPr="00240545">
        <w:rPr>
          <w:rFonts w:ascii="Tahoma" w:hAnsi="Tahoma" w:cs="Tahoma"/>
          <w:b/>
          <w:bCs/>
          <w:u w:val="single"/>
        </w:rPr>
        <w:t xml:space="preserve">. </w:t>
      </w:r>
    </w:p>
    <w:p w14:paraId="4EC19425" w14:textId="77777777" w:rsidR="007E6D4B" w:rsidRPr="00240545" w:rsidRDefault="007E6D4B" w:rsidP="007E6D4B">
      <w:pPr>
        <w:pStyle w:val="ListParagraph"/>
        <w:ind w:left="1440"/>
        <w:rPr>
          <w:rFonts w:ascii="Tahoma" w:hAnsi="Tahoma" w:cs="Tahoma"/>
          <w:b/>
          <w:bCs/>
          <w:u w:val="single"/>
        </w:rPr>
      </w:pPr>
    </w:p>
    <w:p w14:paraId="0809A9DF" w14:textId="574E5022" w:rsidR="00524520" w:rsidRPr="00240545" w:rsidRDefault="00524520" w:rsidP="00524520">
      <w:pPr>
        <w:pStyle w:val="ListParagraph"/>
        <w:numPr>
          <w:ilvl w:val="1"/>
          <w:numId w:val="23"/>
        </w:numPr>
        <w:spacing w:after="120"/>
        <w:ind w:hanging="720"/>
        <w:contextualSpacing w:val="0"/>
        <w:rPr>
          <w:rFonts w:ascii="Tahoma" w:hAnsi="Tahoma" w:cs="Tahoma"/>
          <w:b/>
          <w:bCs/>
          <w:u w:val="single"/>
        </w:rPr>
      </w:pPr>
      <w:r w:rsidRPr="00240545">
        <w:rPr>
          <w:rFonts w:ascii="Tahoma" w:hAnsi="Tahoma" w:cs="Tahoma"/>
          <w:b/>
          <w:bCs/>
          <w:u w:val="single"/>
        </w:rPr>
        <w:t>Applications will be ranked based on Cost Evaluation</w:t>
      </w:r>
      <w:r w:rsidR="003F7815" w:rsidRPr="00240545">
        <w:rPr>
          <w:rFonts w:ascii="Tahoma" w:hAnsi="Tahoma" w:cs="Tahoma"/>
          <w:b/>
          <w:bCs/>
          <w:u w:val="single"/>
        </w:rPr>
        <w:t>.</w:t>
      </w:r>
    </w:p>
    <w:p w14:paraId="75C69518" w14:textId="70B79C5F" w:rsidR="00524520" w:rsidRPr="00240545" w:rsidRDefault="00524520" w:rsidP="00524520">
      <w:pPr>
        <w:ind w:left="1440"/>
        <w:rPr>
          <w:rFonts w:ascii="Tahoma" w:hAnsi="Tahoma" w:cs="Tahoma"/>
          <w:b/>
          <w:bCs/>
          <w:u w:val="single"/>
        </w:rPr>
      </w:pPr>
      <w:r w:rsidRPr="00240545">
        <w:rPr>
          <w:rFonts w:ascii="Tahoma" w:hAnsi="Tahoma" w:cs="Tahoma"/>
          <w:b/>
          <w:bCs/>
          <w:u w:val="single"/>
        </w:rPr>
        <w:t xml:space="preserve">Applications passing Administrative and Technical Screening and scoring at least 70 percent in Technical Evaluation (as described in 1 and 2 above), </w:t>
      </w:r>
      <w:r w:rsidR="007F076C" w:rsidRPr="00240545">
        <w:rPr>
          <w:rFonts w:ascii="Tahoma" w:hAnsi="Tahoma" w:cs="Tahoma"/>
          <w:b/>
          <w:bCs/>
          <w:u w:val="single"/>
        </w:rPr>
        <w:t xml:space="preserve">will advance to Cost Evaluation, </w:t>
      </w:r>
      <w:r w:rsidR="2D23D540" w:rsidRPr="00240545">
        <w:rPr>
          <w:rFonts w:ascii="Tahoma" w:hAnsi="Tahoma" w:cs="Tahoma"/>
          <w:b/>
          <w:bCs/>
          <w:u w:val="single"/>
        </w:rPr>
        <w:t>shown</w:t>
      </w:r>
      <w:r w:rsidR="007F076C" w:rsidRPr="00240545">
        <w:rPr>
          <w:rFonts w:ascii="Tahoma" w:hAnsi="Tahoma" w:cs="Tahoma"/>
          <w:b/>
          <w:bCs/>
          <w:u w:val="single"/>
        </w:rPr>
        <w:t xml:space="preserve"> in Section IV.A.5.</w:t>
      </w:r>
      <w:r w:rsidR="00C85AF4" w:rsidRPr="00240545">
        <w:rPr>
          <w:rFonts w:ascii="Tahoma" w:hAnsi="Tahoma" w:cs="Tahoma"/>
          <w:b/>
          <w:bCs/>
          <w:u w:val="single"/>
        </w:rPr>
        <w:t xml:space="preserve"> </w:t>
      </w:r>
      <w:r w:rsidR="00C85AF4" w:rsidRPr="00240545">
        <w:rPr>
          <w:rFonts w:ascii="Tahoma" w:hAnsi="Tahoma" w:cs="Tahoma"/>
          <w:b/>
          <w:bCs/>
          <w:u w:val="single"/>
        </w:rPr>
        <w:lastRenderedPageBreak/>
        <w:t xml:space="preserve">and </w:t>
      </w:r>
      <w:r w:rsidRPr="00240545">
        <w:rPr>
          <w:rFonts w:ascii="Tahoma" w:hAnsi="Tahoma" w:cs="Tahoma"/>
          <w:b/>
          <w:bCs/>
          <w:u w:val="single"/>
        </w:rPr>
        <w:t>will be ranked within their</w:t>
      </w:r>
      <w:r w:rsidR="422DDA80" w:rsidRPr="00240545">
        <w:rPr>
          <w:rFonts w:ascii="Tahoma" w:hAnsi="Tahoma" w:cs="Tahoma"/>
          <w:b/>
          <w:bCs/>
          <w:u w:val="single"/>
        </w:rPr>
        <w:t xml:space="preserve"> Applicant Group (Small Ports or Large Ports) and</w:t>
      </w:r>
      <w:r w:rsidRPr="00240545">
        <w:rPr>
          <w:rFonts w:ascii="Tahoma" w:hAnsi="Tahoma" w:cs="Tahoma"/>
          <w:b/>
          <w:bCs/>
          <w:u w:val="single"/>
        </w:rPr>
        <w:t xml:space="preserve"> </w:t>
      </w:r>
      <w:r w:rsidR="5BC69A7B" w:rsidRPr="00240545">
        <w:rPr>
          <w:rFonts w:ascii="Tahoma" w:hAnsi="Tahoma" w:cs="Tahoma"/>
          <w:b/>
          <w:bCs/>
          <w:u w:val="single"/>
        </w:rPr>
        <w:t>infrastructure type</w:t>
      </w:r>
      <w:r w:rsidRPr="00240545">
        <w:rPr>
          <w:rFonts w:ascii="Tahoma" w:hAnsi="Tahoma" w:cs="Tahoma"/>
          <w:b/>
          <w:bCs/>
          <w:u w:val="single"/>
        </w:rPr>
        <w:t xml:space="preserve"> (EV </w:t>
      </w:r>
      <w:r w:rsidR="797AB485" w:rsidRPr="00240545">
        <w:rPr>
          <w:rFonts w:ascii="Tahoma" w:hAnsi="Tahoma" w:cs="Tahoma"/>
          <w:b/>
          <w:bCs/>
          <w:u w:val="single"/>
        </w:rPr>
        <w:t xml:space="preserve">charging </w:t>
      </w:r>
      <w:r w:rsidRPr="00240545">
        <w:rPr>
          <w:rFonts w:ascii="Tahoma" w:hAnsi="Tahoma" w:cs="Tahoma"/>
          <w:b/>
          <w:bCs/>
          <w:u w:val="single"/>
        </w:rPr>
        <w:t>or Hydrogen</w:t>
      </w:r>
      <w:r w:rsidR="3D09C124" w:rsidRPr="00240545">
        <w:rPr>
          <w:rFonts w:ascii="Tahoma" w:hAnsi="Tahoma" w:cs="Tahoma"/>
          <w:b/>
          <w:bCs/>
          <w:u w:val="single"/>
        </w:rPr>
        <w:t xml:space="preserve"> refueling</w:t>
      </w:r>
      <w:r w:rsidRPr="00240545">
        <w:rPr>
          <w:rFonts w:ascii="Tahoma" w:hAnsi="Tahoma" w:cs="Tahoma"/>
          <w:b/>
          <w:bCs/>
          <w:u w:val="single"/>
        </w:rPr>
        <w:t>) based on:</w:t>
      </w:r>
    </w:p>
    <w:p w14:paraId="5E52A5B0" w14:textId="6F459A59" w:rsidR="00524520" w:rsidRPr="00240545" w:rsidRDefault="00524520" w:rsidP="00524520">
      <w:pPr>
        <w:pStyle w:val="ListParagraph"/>
        <w:numPr>
          <w:ilvl w:val="1"/>
          <w:numId w:val="24"/>
        </w:numPr>
        <w:spacing w:after="120"/>
        <w:ind w:firstLine="0"/>
        <w:contextualSpacing w:val="0"/>
        <w:rPr>
          <w:rFonts w:ascii="Tahoma" w:hAnsi="Tahoma" w:cs="Tahoma"/>
          <w:b/>
          <w:bCs/>
          <w:u w:val="single"/>
        </w:rPr>
      </w:pPr>
      <w:r w:rsidRPr="00240545">
        <w:rPr>
          <w:rFonts w:ascii="Tahoma" w:hAnsi="Tahoma" w:cs="Tahoma"/>
          <w:b/>
          <w:bCs/>
          <w:u w:val="single"/>
        </w:rPr>
        <w:t xml:space="preserve">Cost per </w:t>
      </w:r>
      <w:r w:rsidR="00AE68C8" w:rsidRPr="00240545">
        <w:rPr>
          <w:rFonts w:ascii="Tahoma" w:hAnsi="Tahoma" w:cs="Tahoma"/>
          <w:b/>
          <w:bCs/>
          <w:u w:val="single"/>
        </w:rPr>
        <w:t>c</w:t>
      </w:r>
      <w:r w:rsidRPr="00240545">
        <w:rPr>
          <w:rFonts w:ascii="Tahoma" w:hAnsi="Tahoma" w:cs="Tahoma"/>
          <w:b/>
          <w:bCs/>
          <w:u w:val="single"/>
        </w:rPr>
        <w:t xml:space="preserve">harging </w:t>
      </w:r>
      <w:r w:rsidR="00AE68C8" w:rsidRPr="00240545">
        <w:rPr>
          <w:rFonts w:ascii="Tahoma" w:hAnsi="Tahoma" w:cs="Tahoma"/>
          <w:b/>
          <w:bCs/>
          <w:u w:val="single"/>
        </w:rPr>
        <w:t>p</w:t>
      </w:r>
      <w:r w:rsidRPr="00240545">
        <w:rPr>
          <w:rFonts w:ascii="Tahoma" w:hAnsi="Tahoma" w:cs="Tahoma"/>
          <w:b/>
          <w:bCs/>
          <w:u w:val="single"/>
        </w:rPr>
        <w:t xml:space="preserve">ort / </w:t>
      </w:r>
      <w:r w:rsidR="00AE68C8" w:rsidRPr="00240545">
        <w:rPr>
          <w:rFonts w:ascii="Tahoma" w:hAnsi="Tahoma" w:cs="Tahoma"/>
          <w:b/>
          <w:bCs/>
          <w:u w:val="single"/>
        </w:rPr>
        <w:t>r</w:t>
      </w:r>
      <w:r w:rsidRPr="00240545">
        <w:rPr>
          <w:rFonts w:ascii="Tahoma" w:hAnsi="Tahoma" w:cs="Tahoma"/>
          <w:b/>
          <w:bCs/>
          <w:u w:val="single"/>
        </w:rPr>
        <w:t xml:space="preserve">efueling </w:t>
      </w:r>
      <w:r w:rsidR="00AE68C8" w:rsidRPr="00240545">
        <w:rPr>
          <w:rFonts w:ascii="Tahoma" w:hAnsi="Tahoma" w:cs="Tahoma"/>
          <w:b/>
          <w:bCs/>
          <w:u w:val="single"/>
        </w:rPr>
        <w:t>p</w:t>
      </w:r>
      <w:r w:rsidRPr="00240545">
        <w:rPr>
          <w:rFonts w:ascii="Tahoma" w:hAnsi="Tahoma" w:cs="Tahoma"/>
          <w:b/>
          <w:bCs/>
          <w:u w:val="single"/>
        </w:rPr>
        <w:t>osition</w:t>
      </w:r>
    </w:p>
    <w:p w14:paraId="23AB4767" w14:textId="7FBDC4E5" w:rsidR="00524520" w:rsidRPr="00240545" w:rsidRDefault="00524520" w:rsidP="00524520">
      <w:pPr>
        <w:pStyle w:val="ListParagraph"/>
        <w:numPr>
          <w:ilvl w:val="1"/>
          <w:numId w:val="24"/>
        </w:numPr>
        <w:spacing w:after="120"/>
        <w:ind w:firstLine="0"/>
        <w:contextualSpacing w:val="0"/>
        <w:rPr>
          <w:rFonts w:ascii="Tahoma" w:hAnsi="Tahoma" w:cs="Tahoma"/>
          <w:b/>
          <w:bCs/>
          <w:u w:val="single"/>
        </w:rPr>
      </w:pPr>
      <w:r w:rsidRPr="00240545">
        <w:rPr>
          <w:rFonts w:ascii="Tahoma" w:hAnsi="Tahoma" w:cs="Tahoma"/>
          <w:b/>
          <w:bCs/>
          <w:u w:val="single"/>
        </w:rPr>
        <w:t xml:space="preserve">Cost per kW (EV) or kg (Hydrogen) of </w:t>
      </w:r>
      <w:r w:rsidR="00AE68C8" w:rsidRPr="00240545">
        <w:rPr>
          <w:rFonts w:ascii="Tahoma" w:hAnsi="Tahoma" w:cs="Tahoma"/>
          <w:b/>
          <w:bCs/>
          <w:u w:val="single"/>
        </w:rPr>
        <w:t>n</w:t>
      </w:r>
      <w:r w:rsidRPr="00240545">
        <w:rPr>
          <w:rFonts w:ascii="Tahoma" w:hAnsi="Tahoma" w:cs="Tahoma"/>
          <w:b/>
          <w:bCs/>
          <w:u w:val="single"/>
        </w:rPr>
        <w:t xml:space="preserve">ew </w:t>
      </w:r>
      <w:r w:rsidR="00AE68C8" w:rsidRPr="00240545">
        <w:rPr>
          <w:rFonts w:ascii="Tahoma" w:hAnsi="Tahoma" w:cs="Tahoma"/>
          <w:b/>
          <w:bCs/>
          <w:u w:val="single"/>
        </w:rPr>
        <w:t>c</w:t>
      </w:r>
      <w:r w:rsidRPr="00240545">
        <w:rPr>
          <w:rFonts w:ascii="Tahoma" w:hAnsi="Tahoma" w:cs="Tahoma"/>
          <w:b/>
          <w:bCs/>
          <w:u w:val="single"/>
        </w:rPr>
        <w:t>apacity</w:t>
      </w:r>
    </w:p>
    <w:p w14:paraId="7CDEF48F" w14:textId="2F954B40" w:rsidR="00524520" w:rsidRPr="00240545" w:rsidRDefault="00471175" w:rsidP="00524520">
      <w:pPr>
        <w:pStyle w:val="ListParagraph"/>
        <w:rPr>
          <w:rFonts w:ascii="Tahoma" w:hAnsi="Tahoma" w:cs="Tahoma"/>
          <w:b/>
          <w:bCs/>
          <w:u w:val="single"/>
        </w:rPr>
      </w:pPr>
      <w:r w:rsidRPr="00240545">
        <w:rPr>
          <w:rFonts w:ascii="Tahoma" w:hAnsi="Tahoma" w:cs="Tahoma"/>
          <w:b/>
          <w:bCs/>
          <w:u w:val="single"/>
        </w:rPr>
        <w:t>Unless the CEC exercises any of its other rights regarding this solicitation (e.g., to cancel the solicitation or reduce funding), each application’s proposed project will be ranked according to its cost per charging port / refueling position and cost per kW (EV) or kg (hydrogen) of new capacity against the other proposed projects in the same “</w:t>
      </w:r>
      <w:r w:rsidR="787D46D9" w:rsidRPr="00240545">
        <w:rPr>
          <w:rFonts w:ascii="Tahoma" w:hAnsi="Tahoma" w:cs="Tahoma"/>
          <w:b/>
          <w:bCs/>
          <w:u w:val="single"/>
        </w:rPr>
        <w:t xml:space="preserve">Applicant </w:t>
      </w:r>
      <w:r w:rsidRPr="00240545">
        <w:rPr>
          <w:rFonts w:ascii="Tahoma" w:hAnsi="Tahoma" w:cs="Tahoma"/>
          <w:b/>
          <w:bCs/>
          <w:u w:val="single"/>
        </w:rPr>
        <w:t>Group” (Small or Large Port) and “</w:t>
      </w:r>
      <w:r w:rsidR="64B40AD5" w:rsidRPr="00240545">
        <w:rPr>
          <w:rFonts w:ascii="Tahoma" w:hAnsi="Tahoma" w:cs="Tahoma"/>
          <w:b/>
          <w:bCs/>
          <w:u w:val="single"/>
        </w:rPr>
        <w:t>infrastructure type</w:t>
      </w:r>
      <w:r w:rsidRPr="00240545">
        <w:rPr>
          <w:rFonts w:ascii="Tahoma" w:hAnsi="Tahoma" w:cs="Tahoma"/>
          <w:b/>
          <w:bCs/>
          <w:u w:val="single"/>
        </w:rPr>
        <w:t xml:space="preserve">” (EV charging or hydrogen refueling). (Terms defined in Section I.G.) </w:t>
      </w:r>
      <w:r w:rsidR="00524520" w:rsidRPr="00240545">
        <w:rPr>
          <w:rFonts w:ascii="Tahoma" w:hAnsi="Tahoma" w:cs="Tahoma"/>
          <w:b/>
          <w:bCs/>
          <w:u w:val="single"/>
        </w:rPr>
        <w:t>The applications with the lowest cost scores based on cost per charging port / refueling position and cost per kW (EV) or kg (hydrogen) of new capacity will receive the highest scores. Final funding recommendations will be made in rank order based on Cost Evaluation scores.</w:t>
      </w:r>
      <w:r w:rsidR="00005B3F" w:rsidRPr="00240545">
        <w:rPr>
          <w:rFonts w:ascii="Tahoma" w:hAnsi="Tahoma" w:cs="Tahoma"/>
          <w:b/>
          <w:bCs/>
          <w:u w:val="single"/>
        </w:rPr>
        <w:t xml:space="preserve"> </w:t>
      </w:r>
    </w:p>
    <w:p w14:paraId="6AD91D67" w14:textId="77777777" w:rsidR="00BB1390" w:rsidRPr="00240545" w:rsidRDefault="00BB1390" w:rsidP="00BB1390">
      <w:pPr>
        <w:ind w:left="720"/>
      </w:pPr>
    </w:p>
    <w:p w14:paraId="0BE025B3" w14:textId="03A1EC25" w:rsidR="00BB1390" w:rsidRPr="00240545" w:rsidRDefault="00BB1390" w:rsidP="00F97AD7">
      <w:pPr>
        <w:pStyle w:val="Heading2"/>
        <w:keepNext w:val="0"/>
        <w:numPr>
          <w:ilvl w:val="0"/>
          <w:numId w:val="1"/>
        </w:numPr>
        <w:spacing w:before="0" w:after="0"/>
        <w:ind w:left="720" w:hanging="720"/>
        <w:rPr>
          <w:rFonts w:ascii="Tahoma" w:eastAsiaTheme="majorEastAsia" w:hAnsi="Tahoma" w:cs="Tahoma"/>
          <w:bCs/>
          <w:smallCaps w:val="0"/>
          <w:sz w:val="24"/>
          <w:szCs w:val="24"/>
          <w:lang w:val="en-US" w:eastAsia="en-US"/>
        </w:rPr>
      </w:pPr>
      <w:r w:rsidRPr="00240545">
        <w:rPr>
          <w:rFonts w:ascii="Tahoma" w:eastAsiaTheme="majorEastAsia" w:hAnsi="Tahoma" w:cs="Tahoma"/>
          <w:bCs/>
          <w:smallCaps w:val="0"/>
          <w:sz w:val="24"/>
          <w:szCs w:val="24"/>
          <w:lang w:val="en-US" w:eastAsia="en-US"/>
        </w:rPr>
        <w:t>Section I.G. Maximum Award Amounts and Minimum Infrastructure Requirements</w:t>
      </w:r>
    </w:p>
    <w:p w14:paraId="77EB4224" w14:textId="77777777" w:rsidR="00BB1390" w:rsidRPr="00240545" w:rsidRDefault="00BB1390" w:rsidP="00BB1390">
      <w:pPr>
        <w:pStyle w:val="Heading3"/>
      </w:pP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2"/>
        <w:gridCol w:w="4868"/>
      </w:tblGrid>
      <w:tr w:rsidR="00BB1390" w:rsidRPr="00240545" w14:paraId="06A5DEB9" w14:textId="77777777">
        <w:trPr>
          <w:trHeight w:val="390"/>
          <w:jc w:val="center"/>
        </w:trPr>
        <w:tc>
          <w:tcPr>
            <w:tcW w:w="449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FD2E3A0" w14:textId="77777777" w:rsidR="00BB1390" w:rsidRPr="00240545" w:rsidRDefault="00BB1390">
            <w:pPr>
              <w:jc w:val="center"/>
              <w:rPr>
                <w:rFonts w:ascii="Tahoma" w:hAnsi="Tahoma" w:cs="Tahoma"/>
                <w:b/>
                <w:bCs/>
              </w:rPr>
            </w:pPr>
            <w:r w:rsidRPr="00240545">
              <w:rPr>
                <w:rFonts w:ascii="Tahoma" w:hAnsi="Tahoma" w:cs="Tahoma"/>
                <w:b/>
                <w:bCs/>
              </w:rPr>
              <w:t>[</w:t>
            </w:r>
            <w:r w:rsidRPr="00240545">
              <w:rPr>
                <w:rFonts w:ascii="Tahoma" w:hAnsi="Tahoma" w:cs="Tahoma"/>
                <w:b/>
                <w:bCs/>
                <w:strike/>
              </w:rPr>
              <w:t>Infrastructure Type</w:t>
            </w:r>
          </w:p>
        </w:tc>
        <w:tc>
          <w:tcPr>
            <w:tcW w:w="486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8733430" w14:textId="77777777" w:rsidR="00BB1390" w:rsidRPr="00240545" w:rsidRDefault="00BB1390">
            <w:pPr>
              <w:jc w:val="center"/>
              <w:rPr>
                <w:rFonts w:ascii="Tahoma" w:hAnsi="Tahoma" w:cs="Tahoma"/>
                <w:b/>
                <w:bCs/>
                <w:strike/>
              </w:rPr>
            </w:pPr>
            <w:r w:rsidRPr="00240545">
              <w:rPr>
                <w:rFonts w:ascii="Tahoma" w:hAnsi="Tahoma" w:cs="Tahoma"/>
                <w:b/>
                <w:bCs/>
                <w:strike/>
              </w:rPr>
              <w:t>Maximum Per Charger Port / Hydrogen Fueling Position Amount*</w:t>
            </w:r>
          </w:p>
        </w:tc>
      </w:tr>
      <w:tr w:rsidR="00BB1390" w:rsidRPr="00240545" w14:paraId="4CFE232D" w14:textId="77777777">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245E050C" w14:textId="77777777" w:rsidR="00BB1390" w:rsidRPr="00240545" w:rsidRDefault="00BB1390">
            <w:pPr>
              <w:jc w:val="center"/>
              <w:rPr>
                <w:rFonts w:ascii="Tahoma" w:hAnsi="Tahoma" w:cs="Tahoma"/>
                <w:strike/>
              </w:rPr>
            </w:pPr>
            <w:r w:rsidRPr="00240545">
              <w:rPr>
                <w:rFonts w:ascii="Tahoma" w:hAnsi="Tahoma" w:cs="Tahoma"/>
                <w:strike/>
              </w:rPr>
              <w:t>60 – 149 kW EV Charging Port</w:t>
            </w:r>
          </w:p>
        </w:tc>
        <w:tc>
          <w:tcPr>
            <w:tcW w:w="4868" w:type="dxa"/>
            <w:tcBorders>
              <w:top w:val="single" w:sz="6" w:space="0" w:color="auto"/>
              <w:left w:val="single" w:sz="6" w:space="0" w:color="auto"/>
              <w:bottom w:val="single" w:sz="6" w:space="0" w:color="auto"/>
              <w:right w:val="single" w:sz="6" w:space="0" w:color="auto"/>
            </w:tcBorders>
            <w:vAlign w:val="center"/>
          </w:tcPr>
          <w:p w14:paraId="45F46CC9" w14:textId="77777777" w:rsidR="00BB1390" w:rsidRPr="00240545" w:rsidRDefault="00BB1390">
            <w:pPr>
              <w:jc w:val="center"/>
              <w:rPr>
                <w:rFonts w:ascii="Tahoma" w:hAnsi="Tahoma" w:cs="Tahoma"/>
                <w:strike/>
              </w:rPr>
            </w:pPr>
            <w:r w:rsidRPr="00240545">
              <w:rPr>
                <w:rFonts w:ascii="Tahoma" w:hAnsi="Tahoma" w:cs="Tahoma"/>
                <w:strike/>
              </w:rPr>
              <w:t>$75,000</w:t>
            </w:r>
          </w:p>
        </w:tc>
      </w:tr>
      <w:tr w:rsidR="00BB1390" w:rsidRPr="00240545" w14:paraId="476A340B" w14:textId="77777777">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4C984C1D" w14:textId="77777777" w:rsidR="00BB1390" w:rsidRPr="00240545" w:rsidRDefault="00BB1390">
            <w:pPr>
              <w:jc w:val="center"/>
              <w:rPr>
                <w:rFonts w:ascii="Tahoma" w:hAnsi="Tahoma" w:cs="Tahoma"/>
                <w:strike/>
              </w:rPr>
            </w:pPr>
            <w:r w:rsidRPr="00240545">
              <w:rPr>
                <w:rFonts w:ascii="Tahoma" w:hAnsi="Tahoma" w:cs="Tahoma"/>
                <w:strike/>
              </w:rPr>
              <w:t>150 – 749 kW EV Charging Port</w:t>
            </w:r>
          </w:p>
        </w:tc>
        <w:tc>
          <w:tcPr>
            <w:tcW w:w="4868" w:type="dxa"/>
            <w:tcBorders>
              <w:top w:val="single" w:sz="6" w:space="0" w:color="auto"/>
              <w:left w:val="single" w:sz="6" w:space="0" w:color="auto"/>
              <w:bottom w:val="single" w:sz="6" w:space="0" w:color="auto"/>
              <w:right w:val="single" w:sz="6" w:space="0" w:color="auto"/>
            </w:tcBorders>
            <w:vAlign w:val="center"/>
          </w:tcPr>
          <w:p w14:paraId="09ACDB6A" w14:textId="77777777" w:rsidR="00BB1390" w:rsidRPr="00240545" w:rsidRDefault="00BB1390">
            <w:pPr>
              <w:jc w:val="center"/>
              <w:rPr>
                <w:rFonts w:ascii="Tahoma" w:hAnsi="Tahoma" w:cs="Tahoma"/>
                <w:strike/>
              </w:rPr>
            </w:pPr>
            <w:r w:rsidRPr="00240545">
              <w:rPr>
                <w:rFonts w:ascii="Tahoma" w:hAnsi="Tahoma" w:cs="Tahoma"/>
                <w:strike/>
              </w:rPr>
              <w:t>$250,000</w:t>
            </w:r>
          </w:p>
        </w:tc>
      </w:tr>
      <w:tr w:rsidR="00BB1390" w:rsidRPr="00240545" w14:paraId="0AC3CD48" w14:textId="77777777">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505B6F39" w14:textId="77777777" w:rsidR="00BB1390" w:rsidRPr="00240545" w:rsidRDefault="00BB1390">
            <w:pPr>
              <w:jc w:val="center"/>
              <w:rPr>
                <w:rFonts w:ascii="Tahoma" w:hAnsi="Tahoma" w:cs="Tahoma"/>
                <w:strike/>
              </w:rPr>
            </w:pPr>
            <w:r w:rsidRPr="00240545">
              <w:rPr>
                <w:rFonts w:ascii="Tahoma" w:hAnsi="Tahoma" w:cs="Tahoma"/>
                <w:strike/>
              </w:rPr>
              <w:t>750+ kW</w:t>
            </w:r>
          </w:p>
        </w:tc>
        <w:tc>
          <w:tcPr>
            <w:tcW w:w="4868" w:type="dxa"/>
            <w:tcBorders>
              <w:top w:val="single" w:sz="6" w:space="0" w:color="auto"/>
              <w:left w:val="single" w:sz="6" w:space="0" w:color="auto"/>
              <w:bottom w:val="single" w:sz="6" w:space="0" w:color="auto"/>
              <w:right w:val="single" w:sz="6" w:space="0" w:color="auto"/>
            </w:tcBorders>
            <w:vAlign w:val="center"/>
          </w:tcPr>
          <w:p w14:paraId="5EC6C6C1" w14:textId="77777777" w:rsidR="00BB1390" w:rsidRPr="00240545" w:rsidRDefault="00BB1390">
            <w:pPr>
              <w:jc w:val="center"/>
              <w:rPr>
                <w:rFonts w:ascii="Tahoma" w:hAnsi="Tahoma" w:cs="Tahoma"/>
                <w:strike/>
              </w:rPr>
            </w:pPr>
            <w:r w:rsidRPr="00240545">
              <w:rPr>
                <w:rFonts w:ascii="Tahoma" w:hAnsi="Tahoma" w:cs="Tahoma"/>
                <w:strike/>
              </w:rPr>
              <w:t>$500,000</w:t>
            </w:r>
          </w:p>
        </w:tc>
      </w:tr>
      <w:tr w:rsidR="00BB1390" w:rsidRPr="00240545" w14:paraId="0D7443E7" w14:textId="77777777">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14A6FD9A" w14:textId="77777777" w:rsidR="00BB1390" w:rsidRPr="00240545" w:rsidRDefault="00BB1390">
            <w:pPr>
              <w:jc w:val="center"/>
              <w:rPr>
                <w:rFonts w:ascii="Tahoma" w:hAnsi="Tahoma" w:cs="Tahoma"/>
                <w:strike/>
              </w:rPr>
            </w:pPr>
            <w:r w:rsidRPr="00240545">
              <w:rPr>
                <w:rFonts w:ascii="Tahoma" w:hAnsi="Tahoma" w:cs="Tahoma"/>
                <w:strike/>
              </w:rPr>
              <w:t>MDHD Hydrogen Fueling Position</w:t>
            </w:r>
          </w:p>
        </w:tc>
        <w:tc>
          <w:tcPr>
            <w:tcW w:w="4868" w:type="dxa"/>
            <w:tcBorders>
              <w:top w:val="single" w:sz="6" w:space="0" w:color="auto"/>
              <w:left w:val="single" w:sz="6" w:space="0" w:color="auto"/>
              <w:bottom w:val="single" w:sz="6" w:space="0" w:color="auto"/>
              <w:right w:val="single" w:sz="6" w:space="0" w:color="auto"/>
            </w:tcBorders>
            <w:vAlign w:val="center"/>
          </w:tcPr>
          <w:p w14:paraId="655BCA7F" w14:textId="77777777" w:rsidR="00BB1390" w:rsidRPr="00240545" w:rsidRDefault="00BB1390">
            <w:pPr>
              <w:jc w:val="center"/>
              <w:rPr>
                <w:rFonts w:ascii="Tahoma" w:hAnsi="Tahoma" w:cs="Tahoma"/>
                <w:strike/>
              </w:rPr>
            </w:pPr>
            <w:r w:rsidRPr="00240545">
              <w:rPr>
                <w:rFonts w:ascii="Tahoma" w:hAnsi="Tahoma" w:cs="Tahoma"/>
                <w:strike/>
              </w:rPr>
              <w:t>$2 million</w:t>
            </w:r>
          </w:p>
        </w:tc>
      </w:tr>
    </w:tbl>
    <w:p w14:paraId="405DBF9F" w14:textId="77777777" w:rsidR="00BB1390" w:rsidRPr="00240545" w:rsidRDefault="00BB1390" w:rsidP="00BB1390">
      <w:pPr>
        <w:rPr>
          <w:rFonts w:ascii="Tahoma" w:hAnsi="Tahoma" w:cs="Tahoma"/>
        </w:rPr>
      </w:pPr>
      <w:r w:rsidRPr="00240545">
        <w:rPr>
          <w:rFonts w:ascii="Tahoma" w:hAnsi="Tahoma" w:cs="Tahoma"/>
          <w:strike/>
        </w:rPr>
        <w:t>*On-site solar/storage equipment is eligible for CEC reimbursement; however, solar/storage funds per port may not exceed 50% of CEC grant funds per port.</w:t>
      </w:r>
      <w:r w:rsidRPr="00240545">
        <w:rPr>
          <w:rFonts w:ascii="Tahoma" w:hAnsi="Tahoma" w:cs="Tahoma"/>
        </w:rPr>
        <w:t>]</w:t>
      </w:r>
    </w:p>
    <w:p w14:paraId="678D1445" w14:textId="77777777" w:rsidR="00BB1390" w:rsidRPr="00240545" w:rsidRDefault="00BB1390" w:rsidP="00BB1390">
      <w:pPr>
        <w:ind w:left="720"/>
        <w:rPr>
          <w:rFonts w:ascii="Tahoma" w:hAnsi="Tahoma" w:cs="Tahoma"/>
          <w:bCs/>
        </w:rPr>
      </w:pPr>
    </w:p>
    <w:p w14:paraId="2A4F8F48" w14:textId="34FAAE11" w:rsidR="00BB1390" w:rsidRPr="00240545" w:rsidRDefault="00BB1390" w:rsidP="00BB1390">
      <w:pPr>
        <w:ind w:left="720"/>
        <w:rPr>
          <w:rFonts w:ascii="Tahoma" w:hAnsi="Tahoma" w:cs="Tahoma"/>
          <w:b/>
          <w:u w:val="single"/>
        </w:rPr>
      </w:pPr>
      <w:r w:rsidRPr="00240545">
        <w:rPr>
          <w:rFonts w:ascii="Tahoma" w:hAnsi="Tahoma" w:cs="Tahoma"/>
          <w:b/>
          <w:u w:val="single"/>
        </w:rPr>
        <w:t>For charging infrastructure projects, there is no maximum award amount per charging port. The cost per charging port includes all CEC reimbursable costs associated with the capital expenditure required for the electric vehicle (EV) charging port. This includes, but is not limited to, administrative, installation, and equipment costs.</w:t>
      </w:r>
    </w:p>
    <w:p w14:paraId="49388C6E" w14:textId="77777777" w:rsidR="00BB1390" w:rsidRPr="00240545" w:rsidRDefault="00BB1390" w:rsidP="00BB1390">
      <w:pPr>
        <w:ind w:left="720"/>
        <w:rPr>
          <w:rFonts w:ascii="Tahoma" w:hAnsi="Tahoma" w:cs="Tahoma"/>
          <w:b/>
          <w:u w:val="single"/>
        </w:rPr>
      </w:pPr>
    </w:p>
    <w:p w14:paraId="1970388C" w14:textId="77777777" w:rsidR="00BB1390" w:rsidRPr="00240545" w:rsidRDefault="00BB1390" w:rsidP="00BB1390">
      <w:pPr>
        <w:ind w:left="720"/>
        <w:rPr>
          <w:rFonts w:ascii="Tahoma" w:hAnsi="Tahoma" w:cs="Tahoma"/>
          <w:b/>
          <w:u w:val="single"/>
        </w:rPr>
      </w:pPr>
      <w:r w:rsidRPr="00240545">
        <w:rPr>
          <w:rFonts w:ascii="Tahoma" w:hAnsi="Tahoma" w:cs="Tahoma"/>
          <w:b/>
          <w:u w:val="single"/>
        </w:rPr>
        <w:t>For hydrogen refueling infrastructure projects, the maximum award amount per hydrogen refueling position is $2 million. The cost per refueling position includes all CEC reimbursable costs associated with the capital expenditure required for the hydrogen refueling position.  This includes, but is not limited to, administrative, installation, and equipment costs.</w:t>
      </w:r>
    </w:p>
    <w:p w14:paraId="01360B82" w14:textId="77777777" w:rsidR="00BB1390" w:rsidRPr="00240545" w:rsidRDefault="00BB1390" w:rsidP="00BB1390">
      <w:pPr>
        <w:ind w:left="720"/>
        <w:rPr>
          <w:rFonts w:ascii="Tahoma" w:hAnsi="Tahoma" w:cs="Tahoma"/>
          <w:b/>
          <w:u w:val="single"/>
        </w:rPr>
      </w:pPr>
    </w:p>
    <w:p w14:paraId="116439FE" w14:textId="77777777" w:rsidR="00BB1390" w:rsidRPr="00240545" w:rsidRDefault="00BB1390" w:rsidP="00BB1390">
      <w:pPr>
        <w:ind w:left="720"/>
        <w:rPr>
          <w:rFonts w:ascii="Tahoma" w:hAnsi="Tahoma" w:cs="Tahoma"/>
          <w:b/>
          <w:u w:val="single"/>
        </w:rPr>
      </w:pPr>
      <w:r w:rsidRPr="00240545">
        <w:rPr>
          <w:rFonts w:ascii="Tahoma" w:hAnsi="Tahoma" w:cs="Tahoma"/>
          <w:b/>
          <w:u w:val="single"/>
        </w:rPr>
        <w:lastRenderedPageBreak/>
        <w:t>Projects will be evaluated on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dollar-per-kW or kg.</w:t>
      </w:r>
    </w:p>
    <w:p w14:paraId="4D118EDB" w14:textId="77777777" w:rsidR="00BB1390" w:rsidRPr="00240545" w:rsidRDefault="00BB1390" w:rsidP="00BB1390">
      <w:pPr>
        <w:ind w:left="720"/>
        <w:rPr>
          <w:rFonts w:ascii="Tahoma" w:hAnsi="Tahoma" w:cs="Tahoma"/>
          <w:b/>
          <w:u w:val="single"/>
        </w:rPr>
      </w:pPr>
    </w:p>
    <w:p w14:paraId="35A234C6" w14:textId="77777777" w:rsidR="00BB1390" w:rsidRPr="00240545" w:rsidRDefault="00BB1390" w:rsidP="00BB1390">
      <w:pPr>
        <w:ind w:left="720"/>
        <w:rPr>
          <w:rFonts w:ascii="Tahoma" w:hAnsi="Tahoma" w:cs="Tahoma"/>
          <w:b/>
          <w:u w:val="single"/>
        </w:rPr>
      </w:pPr>
      <w:r w:rsidRPr="00240545">
        <w:rPr>
          <w:rFonts w:ascii="Tahoma" w:hAnsi="Tahoma" w:cs="Tahoma"/>
          <w:b/>
          <w:u w:val="single"/>
        </w:rPr>
        <w:t>On-site solar/storage equipment is eligible for CEC reimbursement; however, solar/storage funds per port may not exceed 50% of CEC grant funds per port / refueling position. These costs will be included in the calculation of cost per port / refueling position for evaluation purposes.</w:t>
      </w:r>
    </w:p>
    <w:p w14:paraId="0D1B5050" w14:textId="77777777" w:rsidR="004A12B6" w:rsidRPr="00240545" w:rsidRDefault="004A12B6" w:rsidP="00BB1390">
      <w:pPr>
        <w:ind w:left="720"/>
        <w:rPr>
          <w:rFonts w:ascii="Tahoma" w:hAnsi="Tahoma" w:cs="Tahoma"/>
          <w:b/>
          <w:u w:val="single"/>
        </w:rPr>
      </w:pPr>
    </w:p>
    <w:p w14:paraId="42BB144B" w14:textId="5D9A1E59" w:rsidR="004A12B6" w:rsidRPr="00240545" w:rsidRDefault="004A12B6" w:rsidP="00BB1390">
      <w:pPr>
        <w:ind w:left="720"/>
        <w:rPr>
          <w:rFonts w:ascii="Tahoma" w:hAnsi="Tahoma" w:cs="Tahoma"/>
          <w:b/>
          <w:u w:val="single"/>
        </w:rPr>
      </w:pPr>
      <w:r w:rsidRPr="00240545">
        <w:rPr>
          <w:rFonts w:ascii="Tahoma" w:hAnsi="Tahoma" w:cs="Tahoma"/>
          <w:b/>
          <w:u w:val="single"/>
        </w:rPr>
        <w:t xml:space="preserve">If the </w:t>
      </w:r>
      <w:r w:rsidR="00C8435A" w:rsidRPr="00240545">
        <w:rPr>
          <w:rFonts w:ascii="Tahoma" w:hAnsi="Tahoma" w:cs="Tahoma"/>
          <w:b/>
          <w:u w:val="single"/>
        </w:rPr>
        <w:t xml:space="preserve">grant </w:t>
      </w:r>
      <w:r w:rsidRPr="00240545">
        <w:rPr>
          <w:rFonts w:ascii="Tahoma" w:hAnsi="Tahoma" w:cs="Tahoma"/>
          <w:b/>
          <w:u w:val="single"/>
        </w:rPr>
        <w:t xml:space="preserve">Recipient requests changes to the scope of the project during the term of the </w:t>
      </w:r>
      <w:r w:rsidR="00C8435A" w:rsidRPr="00240545">
        <w:rPr>
          <w:rFonts w:ascii="Tahoma" w:hAnsi="Tahoma" w:cs="Tahoma"/>
          <w:b/>
          <w:u w:val="single"/>
        </w:rPr>
        <w:t xml:space="preserve">grant </w:t>
      </w:r>
      <w:r w:rsidRPr="00240545">
        <w:rPr>
          <w:rFonts w:ascii="Tahoma" w:hAnsi="Tahoma" w:cs="Tahoma"/>
          <w:b/>
          <w:u w:val="single"/>
        </w:rPr>
        <w:t>agreement, the CEC reserves the right to decrease the budget accordingly.</w:t>
      </w:r>
    </w:p>
    <w:p w14:paraId="4BC0F77F" w14:textId="77777777" w:rsidR="001947A6" w:rsidRPr="00240545" w:rsidRDefault="001947A6" w:rsidP="00BB1390">
      <w:pPr>
        <w:ind w:left="720"/>
        <w:rPr>
          <w:rFonts w:ascii="Tahoma" w:hAnsi="Tahoma" w:cs="Tahoma"/>
          <w:b/>
          <w:u w:val="single"/>
        </w:rPr>
      </w:pPr>
    </w:p>
    <w:p w14:paraId="1E115155" w14:textId="77777777" w:rsidR="008A5C78" w:rsidRPr="00240545" w:rsidRDefault="008A5C78" w:rsidP="008A5C78">
      <w:pPr>
        <w:ind w:left="720"/>
        <w:rPr>
          <w:rFonts w:ascii="Tahoma" w:hAnsi="Tahoma" w:cs="Tahoma"/>
          <w:bCs/>
        </w:rPr>
      </w:pPr>
      <w:r w:rsidRPr="00240545">
        <w:rPr>
          <w:rFonts w:ascii="Tahoma" w:hAnsi="Tahoma" w:cs="Tahoma"/>
          <w:bCs/>
        </w:rPr>
        <w:t>[</w:t>
      </w:r>
      <w:r w:rsidRPr="00240545">
        <w:rPr>
          <w:rFonts w:ascii="Tahoma" w:hAnsi="Tahoma" w:cs="Tahoma"/>
          <w:bCs/>
          <w:strike/>
        </w:rPr>
        <w:t>For both charging and hydrogen refueling infrastructure, the cost per port or cost per fueling position includes all CEC eligible reimbursable costs associated with capital expenditure required for the charging and refueling station(s).</w:t>
      </w:r>
      <w:r w:rsidRPr="00240545">
        <w:rPr>
          <w:rFonts w:ascii="Tahoma" w:hAnsi="Tahoma" w:cs="Tahoma"/>
          <w:bCs/>
        </w:rPr>
        <w:t>]</w:t>
      </w:r>
    </w:p>
    <w:p w14:paraId="0F347AAA" w14:textId="77777777" w:rsidR="007233BC" w:rsidRPr="00240545" w:rsidRDefault="007233BC" w:rsidP="008A5C78">
      <w:pPr>
        <w:ind w:left="720"/>
        <w:rPr>
          <w:rFonts w:ascii="Tahoma" w:hAnsi="Tahoma" w:cs="Tahoma"/>
          <w:bCs/>
        </w:rPr>
      </w:pPr>
    </w:p>
    <w:p w14:paraId="69450004" w14:textId="40278223" w:rsidR="007233BC" w:rsidRPr="00240545" w:rsidRDefault="007233BC" w:rsidP="007233BC">
      <w:pPr>
        <w:spacing w:line="256" w:lineRule="auto"/>
        <w:ind w:left="720"/>
        <w:rPr>
          <w:rFonts w:ascii="Tahoma" w:hAnsi="Tahoma" w:cs="Tahoma"/>
        </w:rPr>
      </w:pPr>
      <w:r w:rsidRPr="00240545">
        <w:rPr>
          <w:rFonts w:ascii="Tahoma" w:hAnsi="Tahoma" w:cs="Tahoma"/>
        </w:rPr>
        <w:t xml:space="preserve">Of the $60 million available, the CEC will propose an award of up to $10 million to the highest scoring application </w:t>
      </w:r>
      <w:r w:rsidRPr="00240545">
        <w:rPr>
          <w:rFonts w:ascii="Tahoma" w:hAnsi="Tahoma" w:cs="Tahoma"/>
          <w:b/>
          <w:bCs/>
          <w:u w:val="single"/>
        </w:rPr>
        <w:t>in Cost Evaluation</w:t>
      </w:r>
      <w:r w:rsidRPr="00240545">
        <w:rPr>
          <w:rFonts w:ascii="Tahoma" w:hAnsi="Tahoma" w:cs="Tahoma"/>
        </w:rPr>
        <w:t xml:space="preserve"> [</w:t>
      </w:r>
      <w:r w:rsidRPr="00240545">
        <w:rPr>
          <w:rFonts w:ascii="Tahoma" w:hAnsi="Tahoma" w:cs="Tahoma"/>
          <w:strike/>
        </w:rPr>
        <w:t>achieving at least the minimum passing score</w:t>
      </w:r>
      <w:r w:rsidRPr="00240545">
        <w:rPr>
          <w:rFonts w:ascii="Tahoma" w:hAnsi="Tahoma" w:cs="Tahoma"/>
        </w:rPr>
        <w:t xml:space="preserve">] for each infrastructure type regardless of Applicant Group. </w:t>
      </w:r>
      <w:r w:rsidRPr="00240545">
        <w:rPr>
          <w:rFonts w:ascii="Tahoma" w:hAnsi="Tahoma" w:cs="Tahoma"/>
          <w:b/>
          <w:bCs/>
          <w:u w:val="single"/>
        </w:rPr>
        <w:t>See Section I.E. How Award is Determined</w:t>
      </w:r>
      <w:r w:rsidR="007D75E6" w:rsidRPr="00240545">
        <w:rPr>
          <w:rFonts w:ascii="Tahoma" w:hAnsi="Tahoma" w:cs="Tahoma"/>
          <w:b/>
          <w:bCs/>
          <w:u w:val="single"/>
        </w:rPr>
        <w:t>, and Section IV</w:t>
      </w:r>
      <w:r w:rsidR="00154534" w:rsidRPr="00240545">
        <w:rPr>
          <w:rFonts w:ascii="Tahoma" w:hAnsi="Tahoma" w:cs="Tahoma"/>
          <w:b/>
          <w:bCs/>
          <w:u w:val="single"/>
        </w:rPr>
        <w:t xml:space="preserve"> Evaluation Process and Criteria</w:t>
      </w:r>
      <w:r w:rsidRPr="00240545">
        <w:rPr>
          <w:rFonts w:ascii="Tahoma" w:hAnsi="Tahoma" w:cs="Tahoma"/>
          <w:b/>
          <w:bCs/>
          <w:u w:val="single"/>
        </w:rPr>
        <w:t>.</w:t>
      </w:r>
      <w:r w:rsidRPr="00240545">
        <w:rPr>
          <w:rFonts w:ascii="Tahoma" w:hAnsi="Tahoma" w:cs="Tahoma"/>
        </w:rPr>
        <w:t xml:space="preserve"> Once the highest-scoring application </w:t>
      </w:r>
      <w:r w:rsidRPr="00240545">
        <w:rPr>
          <w:rFonts w:ascii="Tahoma" w:hAnsi="Tahoma" w:cs="Tahoma"/>
          <w:b/>
          <w:bCs/>
          <w:u w:val="single"/>
        </w:rPr>
        <w:t>in Cost Evaluation</w:t>
      </w:r>
      <w:r w:rsidRPr="00240545">
        <w:rPr>
          <w:rFonts w:ascii="Tahoma" w:hAnsi="Tahoma" w:cs="Tahoma"/>
        </w:rPr>
        <w:t xml:space="preserve"> [</w:t>
      </w:r>
      <w:r w:rsidRPr="00240545">
        <w:rPr>
          <w:rFonts w:ascii="Tahoma" w:hAnsi="Tahoma" w:cs="Tahoma"/>
          <w:strike/>
        </w:rPr>
        <w:t>achieving at least the minimum passing score</w:t>
      </w:r>
      <w:r w:rsidRPr="00240545">
        <w:rPr>
          <w:rFonts w:ascii="Tahoma" w:hAnsi="Tahoma" w:cs="Tahoma"/>
        </w:rPr>
        <w:t xml:space="preserve">] for each infrastructure type is proposed for funding, the CEC will propose awards to the next highest scoring applications </w:t>
      </w:r>
      <w:r w:rsidRPr="00240545">
        <w:rPr>
          <w:rFonts w:ascii="Tahoma" w:hAnsi="Tahoma" w:cs="Tahoma"/>
          <w:b/>
          <w:bCs/>
          <w:u w:val="single"/>
        </w:rPr>
        <w:t>in Cost Evaluation</w:t>
      </w:r>
      <w:r w:rsidRPr="00240545">
        <w:rPr>
          <w:rFonts w:ascii="Tahoma" w:hAnsi="Tahoma" w:cs="Tahoma"/>
        </w:rPr>
        <w:t xml:space="preserve"> [</w:t>
      </w:r>
      <w:r w:rsidRPr="00240545">
        <w:rPr>
          <w:rFonts w:ascii="Tahoma" w:hAnsi="Tahoma" w:cs="Tahoma"/>
          <w:strike/>
        </w:rPr>
        <w:t>achieving at least the minimum passing score</w:t>
      </w:r>
      <w:r w:rsidRPr="00240545">
        <w:rPr>
          <w:rFonts w:ascii="Tahoma" w:hAnsi="Tahoma" w:cs="Tahoma"/>
        </w:rPr>
        <w:t>], regardless of infrastructure type, by Applicant Group until all funds in each Applicant Group are exhausted. If funding remains available in an Applicant Group, the CEC may move the remaining funds to the other Applicant Group. All applications will be evaluated as described in Section IV Evaluation Process and Criteria</w:t>
      </w:r>
      <w:r w:rsidRPr="00240545">
        <w:rPr>
          <w:rFonts w:ascii="Tahoma" w:hAnsi="Tahoma" w:cs="Tahoma"/>
          <w:b/>
          <w:bCs/>
          <w:u w:val="single"/>
        </w:rPr>
        <w:t xml:space="preserve"> and Section I.E. How Award is Determined</w:t>
      </w:r>
      <w:r w:rsidRPr="00240545">
        <w:rPr>
          <w:rFonts w:ascii="Tahoma" w:hAnsi="Tahoma" w:cs="Tahoma"/>
        </w:rPr>
        <w:t>.</w:t>
      </w:r>
    </w:p>
    <w:p w14:paraId="2ACF5D8F" w14:textId="77777777" w:rsidR="00BB1390" w:rsidRPr="00240545" w:rsidRDefault="00BB1390" w:rsidP="006E329B">
      <w:pPr>
        <w:rPr>
          <w:rFonts w:ascii="Tahoma" w:hAnsi="Tahoma" w:cs="Tahoma"/>
          <w:b/>
          <w:u w:val="single"/>
        </w:rPr>
      </w:pPr>
    </w:p>
    <w:p w14:paraId="261F18F4" w14:textId="77777777" w:rsidR="001E6010" w:rsidRPr="00240545" w:rsidRDefault="009921BE" w:rsidP="00F97AD7">
      <w:pPr>
        <w:pStyle w:val="Heading2"/>
        <w:keepNext w:val="0"/>
        <w:numPr>
          <w:ilvl w:val="0"/>
          <w:numId w:val="1"/>
        </w:numPr>
        <w:spacing w:before="0" w:after="0"/>
        <w:ind w:left="720" w:hanging="720"/>
        <w:rPr>
          <w:rFonts w:ascii="Tahoma" w:eastAsiaTheme="majorEastAsia" w:hAnsi="Tahoma" w:cs="Tahoma"/>
          <w:bCs/>
          <w:smallCaps w:val="0"/>
          <w:sz w:val="24"/>
          <w:szCs w:val="24"/>
          <w:u w:val="single"/>
          <w:lang w:val="en-US" w:eastAsia="en-US"/>
        </w:rPr>
      </w:pPr>
      <w:r w:rsidRPr="00240545">
        <w:rPr>
          <w:rFonts w:ascii="Tahoma" w:eastAsiaTheme="majorEastAsia" w:hAnsi="Tahoma" w:cs="Tahoma"/>
          <w:bCs/>
          <w:smallCaps w:val="0"/>
          <w:sz w:val="24"/>
          <w:szCs w:val="24"/>
          <w:lang w:val="en-US" w:eastAsia="en-US"/>
        </w:rPr>
        <w:t>Section II.A.1. Applicant Requirements </w:t>
      </w:r>
      <w:r w:rsidRPr="00240545">
        <w:rPr>
          <w:rFonts w:ascii="Tahoma" w:eastAsiaTheme="majorEastAsia" w:hAnsi="Tahoma" w:cs="Tahoma"/>
          <w:bCs/>
          <w:smallCaps w:val="0"/>
          <w:sz w:val="24"/>
          <w:szCs w:val="24"/>
          <w:lang w:val="en-US" w:eastAsia="en-US"/>
        </w:rPr>
        <w:br/>
        <w:t> </w:t>
      </w:r>
      <w:r w:rsidRPr="00240545">
        <w:rPr>
          <w:rFonts w:ascii="Tahoma" w:eastAsiaTheme="majorEastAsia" w:hAnsi="Tahoma" w:cs="Tahoma"/>
          <w:bCs/>
          <w:smallCaps w:val="0"/>
          <w:sz w:val="24"/>
          <w:szCs w:val="24"/>
          <w:lang w:val="en-US" w:eastAsia="en-US"/>
        </w:rPr>
        <w:br/>
      </w:r>
      <w:r w:rsidRPr="00240545">
        <w:rPr>
          <w:rFonts w:ascii="Tahoma" w:eastAsiaTheme="majorEastAsia" w:hAnsi="Tahoma" w:cs="Tahoma"/>
          <w:bCs/>
          <w:smallCaps w:val="0"/>
          <w:sz w:val="24"/>
          <w:szCs w:val="24"/>
          <w:u w:val="single"/>
          <w:lang w:val="en-US" w:eastAsia="en-US"/>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sidR="00494E5F" w:rsidRPr="00240545">
        <w:rPr>
          <w:rFonts w:ascii="Tahoma" w:eastAsiaTheme="majorEastAsia" w:hAnsi="Tahoma" w:cs="Tahoma"/>
          <w:bCs/>
          <w:smallCaps w:val="0"/>
          <w:sz w:val="24"/>
          <w:szCs w:val="24"/>
          <w:u w:val="single"/>
          <w:lang w:val="en-US" w:eastAsia="en-US"/>
        </w:rPr>
        <w:t xml:space="preserve"> and</w:t>
      </w:r>
      <w:r w:rsidRPr="00240545">
        <w:rPr>
          <w:rFonts w:ascii="Tahoma" w:eastAsiaTheme="majorEastAsia" w:hAnsi="Tahoma" w:cs="Tahoma"/>
          <w:bCs/>
          <w:smallCaps w:val="0"/>
          <w:sz w:val="24"/>
          <w:szCs w:val="24"/>
          <w:u w:val="single"/>
          <w:lang w:val="en-US" w:eastAsia="en-US"/>
        </w:rPr>
        <w:t xml:space="preserve"> construction has not finished on the project</w:t>
      </w:r>
      <w:r w:rsidR="00D54F80" w:rsidRPr="00240545">
        <w:rPr>
          <w:rFonts w:ascii="Tahoma" w:eastAsiaTheme="majorEastAsia" w:hAnsi="Tahoma" w:cs="Tahoma"/>
          <w:bCs/>
          <w:smallCaps w:val="0"/>
          <w:sz w:val="24"/>
          <w:szCs w:val="24"/>
          <w:u w:val="single"/>
          <w:lang w:val="en-US" w:eastAsia="en-US"/>
        </w:rPr>
        <w:t>;</w:t>
      </w:r>
      <w:r w:rsidRPr="00240545">
        <w:rPr>
          <w:rFonts w:ascii="Tahoma" w:eastAsiaTheme="majorEastAsia" w:hAnsi="Tahoma" w:cs="Tahoma"/>
          <w:bCs/>
          <w:smallCaps w:val="0"/>
          <w:sz w:val="24"/>
          <w:szCs w:val="24"/>
          <w:u w:val="single"/>
          <w:lang w:val="en-US" w:eastAsia="en-US"/>
        </w:rPr>
        <w:t xml:space="preserve"> a request for final </w:t>
      </w:r>
    </w:p>
    <w:p w14:paraId="446D3BBE" w14:textId="120D166B" w:rsidR="009921BE" w:rsidRPr="00240545" w:rsidRDefault="009921BE" w:rsidP="001E6010">
      <w:pPr>
        <w:pStyle w:val="Heading2"/>
        <w:keepNext w:val="0"/>
        <w:spacing w:before="0" w:after="0"/>
        <w:ind w:left="720"/>
        <w:rPr>
          <w:rFonts w:ascii="Tahoma" w:eastAsiaTheme="majorEastAsia" w:hAnsi="Tahoma" w:cs="Tahoma"/>
          <w:bCs/>
          <w:smallCaps w:val="0"/>
          <w:sz w:val="24"/>
          <w:szCs w:val="24"/>
          <w:lang w:val="en-US" w:eastAsia="en-US"/>
        </w:rPr>
      </w:pPr>
      <w:r w:rsidRPr="00240545">
        <w:rPr>
          <w:rFonts w:ascii="Tahoma" w:eastAsiaTheme="majorEastAsia" w:hAnsi="Tahoma" w:cs="Tahoma"/>
          <w:bCs/>
          <w:smallCaps w:val="0"/>
          <w:sz w:val="24"/>
          <w:szCs w:val="24"/>
          <w:u w:val="single"/>
          <w:lang w:val="en-US" w:eastAsia="en-US"/>
        </w:rPr>
        <w:t>reimbursement has not been submitted</w:t>
      </w:r>
      <w:r w:rsidR="00D54F80" w:rsidRPr="00240545">
        <w:rPr>
          <w:rFonts w:ascii="Tahoma" w:eastAsiaTheme="majorEastAsia" w:hAnsi="Tahoma" w:cs="Tahoma"/>
          <w:bCs/>
          <w:smallCaps w:val="0"/>
          <w:sz w:val="24"/>
          <w:szCs w:val="24"/>
          <w:u w:val="single"/>
          <w:lang w:val="en-US" w:eastAsia="en-US"/>
        </w:rPr>
        <w:t xml:space="preserve">; final reimbursement </w:t>
      </w:r>
      <w:r w:rsidR="0044143A" w:rsidRPr="00240545">
        <w:rPr>
          <w:rFonts w:ascii="Tahoma" w:eastAsiaTheme="majorEastAsia" w:hAnsi="Tahoma" w:cs="Tahoma"/>
          <w:bCs/>
          <w:smallCaps w:val="0"/>
          <w:sz w:val="24"/>
          <w:szCs w:val="24"/>
          <w:u w:val="single"/>
          <w:lang w:val="en-US" w:eastAsia="en-US"/>
        </w:rPr>
        <w:t>is pending; or the agreement term has not expired</w:t>
      </w:r>
      <w:r w:rsidRPr="00240545">
        <w:rPr>
          <w:rFonts w:ascii="Tahoma" w:eastAsiaTheme="majorEastAsia" w:hAnsi="Tahoma" w:cs="Tahoma"/>
          <w:bCs/>
          <w:smallCaps w:val="0"/>
          <w:sz w:val="24"/>
          <w:szCs w:val="24"/>
          <w:u w:val="single"/>
          <w:lang w:val="en-US" w:eastAsia="en-US"/>
        </w:rPr>
        <w:t>. The CEC reserves the right to modify this requirement.</w:t>
      </w:r>
      <w:r w:rsidRPr="00240545">
        <w:rPr>
          <w:rFonts w:ascii="Tahoma" w:eastAsiaTheme="majorEastAsia" w:hAnsi="Tahoma" w:cs="Tahoma"/>
          <w:bCs/>
          <w:smallCaps w:val="0"/>
          <w:sz w:val="24"/>
          <w:szCs w:val="24"/>
          <w:u w:val="single"/>
          <w:lang w:val="en-US" w:eastAsia="en-US"/>
        </w:rPr>
        <w:br/>
      </w:r>
    </w:p>
    <w:p w14:paraId="0309A7CC" w14:textId="42A156DD" w:rsidR="0015411D" w:rsidRPr="00240545" w:rsidRDefault="009E4146" w:rsidP="001E1FBB">
      <w:pPr>
        <w:pStyle w:val="Heading2"/>
        <w:numPr>
          <w:ilvl w:val="0"/>
          <w:numId w:val="1"/>
        </w:numPr>
        <w:spacing w:before="0" w:after="0"/>
        <w:ind w:left="720" w:hanging="720"/>
        <w:rPr>
          <w:rFonts w:ascii="Tahoma" w:eastAsiaTheme="majorEastAsia" w:hAnsi="Tahoma" w:cs="Tahoma"/>
          <w:bCs/>
          <w:smallCaps w:val="0"/>
          <w:sz w:val="24"/>
          <w:szCs w:val="24"/>
          <w:lang w:val="en-US" w:eastAsia="en-US"/>
        </w:rPr>
      </w:pPr>
      <w:r w:rsidRPr="00240545">
        <w:rPr>
          <w:rFonts w:ascii="Tahoma" w:eastAsiaTheme="majorEastAsia" w:hAnsi="Tahoma" w:cs="Tahoma"/>
          <w:bCs/>
          <w:smallCaps w:val="0"/>
          <w:sz w:val="24"/>
          <w:szCs w:val="24"/>
          <w:lang w:val="en-US" w:eastAsia="en-US"/>
        </w:rPr>
        <w:lastRenderedPageBreak/>
        <w:t>Section I</w:t>
      </w:r>
      <w:r w:rsidR="005902AE" w:rsidRPr="00240545">
        <w:rPr>
          <w:rFonts w:ascii="Tahoma" w:eastAsiaTheme="majorEastAsia" w:hAnsi="Tahoma" w:cs="Tahoma"/>
          <w:bCs/>
          <w:smallCaps w:val="0"/>
          <w:sz w:val="24"/>
          <w:szCs w:val="24"/>
          <w:lang w:val="en-US" w:eastAsia="en-US"/>
        </w:rPr>
        <w:t>I</w:t>
      </w:r>
      <w:r w:rsidRPr="00240545">
        <w:rPr>
          <w:rFonts w:ascii="Tahoma" w:eastAsiaTheme="majorEastAsia" w:hAnsi="Tahoma" w:cs="Tahoma"/>
          <w:bCs/>
          <w:smallCaps w:val="0"/>
          <w:sz w:val="24"/>
          <w:szCs w:val="24"/>
          <w:lang w:val="en-US" w:eastAsia="en-US"/>
        </w:rPr>
        <w:t>.</w:t>
      </w:r>
      <w:r w:rsidR="005902AE" w:rsidRPr="00240545">
        <w:rPr>
          <w:rFonts w:ascii="Tahoma" w:eastAsiaTheme="majorEastAsia" w:hAnsi="Tahoma" w:cs="Tahoma"/>
          <w:bCs/>
          <w:smallCaps w:val="0"/>
          <w:sz w:val="24"/>
          <w:szCs w:val="24"/>
          <w:lang w:val="en-US" w:eastAsia="en-US"/>
        </w:rPr>
        <w:t>B</w:t>
      </w:r>
      <w:r w:rsidR="00BB1390" w:rsidRPr="00240545">
        <w:rPr>
          <w:rFonts w:ascii="Tahoma" w:eastAsiaTheme="majorEastAsia" w:hAnsi="Tahoma" w:cs="Tahoma"/>
          <w:bCs/>
          <w:smallCaps w:val="0"/>
          <w:sz w:val="24"/>
          <w:szCs w:val="24"/>
          <w:lang w:val="en-US" w:eastAsia="en-US"/>
        </w:rPr>
        <w:t>.</w:t>
      </w:r>
      <w:r w:rsidR="005902AE" w:rsidRPr="00240545">
        <w:rPr>
          <w:rFonts w:ascii="Tahoma" w:eastAsiaTheme="majorEastAsia" w:hAnsi="Tahoma" w:cs="Tahoma"/>
          <w:bCs/>
          <w:smallCaps w:val="0"/>
          <w:sz w:val="24"/>
          <w:szCs w:val="24"/>
          <w:lang w:val="en-US" w:eastAsia="en-US"/>
        </w:rPr>
        <w:t xml:space="preserve"> </w:t>
      </w:r>
      <w:bookmarkEnd w:id="0"/>
      <w:r w:rsidR="00B93AE5" w:rsidRPr="00240545">
        <w:rPr>
          <w:rFonts w:ascii="Tahoma" w:eastAsiaTheme="majorEastAsia" w:hAnsi="Tahoma" w:cs="Tahoma"/>
          <w:bCs/>
          <w:smallCaps w:val="0"/>
          <w:sz w:val="24"/>
          <w:szCs w:val="24"/>
          <w:lang w:val="en-US" w:eastAsia="en-US"/>
        </w:rPr>
        <w:t>Project Requirements</w:t>
      </w:r>
    </w:p>
    <w:p w14:paraId="5B097D4A" w14:textId="77777777" w:rsidR="00AB1EFD" w:rsidRPr="00240545" w:rsidRDefault="00AB1EFD" w:rsidP="00F97AD7">
      <w:pPr>
        <w:pStyle w:val="ListParagraph"/>
        <w:numPr>
          <w:ilvl w:val="0"/>
          <w:numId w:val="7"/>
        </w:numPr>
        <w:spacing w:before="100" w:beforeAutospacing="1" w:after="100" w:afterAutospacing="1"/>
        <w:ind w:left="1440" w:hanging="720"/>
        <w:contextualSpacing w:val="0"/>
        <w:rPr>
          <w:rFonts w:ascii="Tahoma" w:eastAsia="Tahoma" w:hAnsi="Tahoma" w:cs="Tahoma"/>
          <w:b/>
        </w:rPr>
      </w:pPr>
      <w:r w:rsidRPr="00240545">
        <w:rPr>
          <w:rFonts w:ascii="Tahoma" w:eastAsia="Tahoma" w:hAnsi="Tahoma" w:cs="Tahoma"/>
          <w:b/>
        </w:rPr>
        <w:t>Infrastructure Deployment Requirements</w:t>
      </w:r>
    </w:p>
    <w:p w14:paraId="22152B30" w14:textId="77777777" w:rsidR="0000387C" w:rsidRPr="00240545" w:rsidRDefault="0000387C" w:rsidP="00F97AD7">
      <w:pPr>
        <w:pStyle w:val="ListParagraph"/>
        <w:numPr>
          <w:ilvl w:val="1"/>
          <w:numId w:val="2"/>
        </w:numPr>
        <w:spacing w:after="120"/>
        <w:ind w:left="1800"/>
        <w:contextualSpacing w:val="0"/>
        <w:rPr>
          <w:rFonts w:ascii="Tahoma" w:eastAsia="Tahoma" w:hAnsi="Tahoma" w:cs="Tahoma"/>
          <w:color w:val="000000" w:themeColor="text1"/>
        </w:rPr>
      </w:pPr>
      <w:r w:rsidRPr="00240545">
        <w:rPr>
          <w:rFonts w:ascii="Tahoma" w:eastAsia="Tahoma" w:hAnsi="Tahoma" w:cs="Tahoma"/>
          <w:color w:val="000000" w:themeColor="text1"/>
        </w:rPr>
        <w:t>Electric charging infrastructure for MDHD battery electric vehicles (BEVs) and/or port and/or off-road equipment:</w:t>
      </w:r>
    </w:p>
    <w:p w14:paraId="21268F74" w14:textId="77777777" w:rsidR="0000387C" w:rsidRPr="00240545" w:rsidRDefault="0000387C" w:rsidP="00F97AD7">
      <w:pPr>
        <w:pStyle w:val="ListParagraph"/>
        <w:numPr>
          <w:ilvl w:val="0"/>
          <w:numId w:val="5"/>
        </w:numPr>
        <w:spacing w:after="120"/>
        <w:ind w:left="2160"/>
        <w:contextualSpacing w:val="0"/>
        <w:jc w:val="both"/>
        <w:rPr>
          <w:rFonts w:ascii="Tahoma" w:eastAsia="Tahoma" w:hAnsi="Tahoma" w:cs="Tahoma"/>
          <w:bCs/>
        </w:rPr>
      </w:pPr>
      <w:r w:rsidRPr="00240545">
        <w:rPr>
          <w:rFonts w:ascii="Tahoma" w:eastAsia="Tahoma" w:hAnsi="Tahoma" w:cs="Tahoma"/>
          <w:bCs/>
        </w:rPr>
        <w:t>If the electric vehicle charging station will be Private or Shared Access and not 100% Public Access, each charging port must be capable of at least [</w:t>
      </w:r>
      <w:r w:rsidRPr="00240545">
        <w:rPr>
          <w:rFonts w:ascii="Tahoma" w:eastAsia="Tahoma" w:hAnsi="Tahoma" w:cs="Tahoma"/>
          <w:bCs/>
          <w:strike/>
        </w:rPr>
        <w:t>60 kW</w:t>
      </w:r>
      <w:r w:rsidRPr="00240545">
        <w:rPr>
          <w:rFonts w:ascii="Tahoma" w:eastAsia="Tahoma" w:hAnsi="Tahoma" w:cs="Tahoma"/>
          <w:bCs/>
        </w:rPr>
        <w:t xml:space="preserve">] </w:t>
      </w:r>
      <w:r w:rsidRPr="00240545">
        <w:rPr>
          <w:rFonts w:ascii="Tahoma" w:eastAsia="Tahoma" w:hAnsi="Tahoma" w:cs="Tahoma"/>
          <w:b/>
          <w:u w:val="single"/>
        </w:rPr>
        <w:t>Level 2 charging</w:t>
      </w:r>
      <w:r w:rsidRPr="00240545">
        <w:rPr>
          <w:rFonts w:ascii="Tahoma" w:eastAsia="Tahoma" w:hAnsi="Tahoma" w:cs="Tahoma"/>
          <w:bCs/>
        </w:rPr>
        <w:t>.</w:t>
      </w:r>
    </w:p>
    <w:p w14:paraId="5F5A25C3" w14:textId="77777777" w:rsidR="0000387C" w:rsidRPr="00240545" w:rsidRDefault="0000387C" w:rsidP="00F97AD7">
      <w:pPr>
        <w:pStyle w:val="ListParagraph"/>
        <w:numPr>
          <w:ilvl w:val="0"/>
          <w:numId w:val="5"/>
        </w:numPr>
        <w:spacing w:after="120"/>
        <w:ind w:left="2160"/>
        <w:contextualSpacing w:val="0"/>
        <w:rPr>
          <w:rFonts w:ascii="Tahoma" w:eastAsia="Tahoma" w:hAnsi="Tahoma" w:cs="Tahoma"/>
        </w:rPr>
      </w:pPr>
      <w:r w:rsidRPr="00240545">
        <w:rPr>
          <w:rFonts w:ascii="Tahoma" w:eastAsia="Tahoma" w:hAnsi="Tahoma" w:cs="Tahoma"/>
        </w:rPr>
        <w:t xml:space="preserve">If the electric vehicle charging station will be </w:t>
      </w:r>
      <w:r w:rsidRPr="00240545">
        <w:rPr>
          <w:rFonts w:ascii="Tahoma" w:eastAsia="Tahoma" w:hAnsi="Tahoma" w:cs="Tahoma"/>
          <w:bCs/>
        </w:rPr>
        <w:t>100% Public Access</w:t>
      </w:r>
      <w:r w:rsidRPr="00240545">
        <w:rPr>
          <w:rFonts w:ascii="Tahoma" w:eastAsia="Tahoma" w:hAnsi="Tahoma" w:cs="Tahoma"/>
        </w:rPr>
        <w:t>, each charging station port must be capable of providing at least 200 kW. If using automated load management (ALM), which is not a requirement for this solicitation, the following applies:</w:t>
      </w:r>
    </w:p>
    <w:p w14:paraId="206794C4" w14:textId="0A11653D" w:rsidR="0000387C" w:rsidRPr="00240545" w:rsidRDefault="0000387C" w:rsidP="00F97AD7">
      <w:pPr>
        <w:pStyle w:val="ListParagraph"/>
        <w:numPr>
          <w:ilvl w:val="0"/>
          <w:numId w:val="6"/>
        </w:numPr>
        <w:spacing w:after="120"/>
        <w:ind w:left="2520"/>
        <w:contextualSpacing w:val="0"/>
        <w:rPr>
          <w:rFonts w:ascii="Tahoma" w:eastAsia="Tahoma" w:hAnsi="Tahoma" w:cs="Tahoma"/>
        </w:rPr>
      </w:pPr>
      <w:r w:rsidRPr="00240545">
        <w:rPr>
          <w:rFonts w:ascii="Tahoma" w:eastAsia="Tahoma" w:hAnsi="Tahoma" w:cs="Tahoma"/>
        </w:rPr>
        <w:t>Each port would need to be capable of simultaneously delivering at least 150 kW when all ports are in use.</w:t>
      </w:r>
      <w:r w:rsidR="004B2309" w:rsidRPr="00240545">
        <w:rPr>
          <w:rFonts w:ascii="Tahoma" w:eastAsia="Tahoma" w:hAnsi="Tahoma" w:cs="Tahoma"/>
          <w:vertAlign w:val="superscript"/>
        </w:rPr>
        <w:t>1</w:t>
      </w:r>
    </w:p>
    <w:p w14:paraId="22276370" w14:textId="65CBC53B" w:rsidR="00AB1EFD" w:rsidRPr="00240545" w:rsidRDefault="00AB1EFD" w:rsidP="00F97AD7">
      <w:pPr>
        <w:pStyle w:val="ListParagraph"/>
        <w:numPr>
          <w:ilvl w:val="1"/>
          <w:numId w:val="2"/>
        </w:numPr>
        <w:spacing w:after="120"/>
        <w:ind w:left="1800"/>
        <w:contextualSpacing w:val="0"/>
        <w:rPr>
          <w:rFonts w:ascii="Tahoma" w:eastAsia="Tahoma" w:hAnsi="Tahoma" w:cs="Tahoma"/>
          <w:color w:val="000000" w:themeColor="text1"/>
        </w:rPr>
      </w:pPr>
      <w:r w:rsidRPr="00240545">
        <w:rPr>
          <w:rFonts w:ascii="Tahoma" w:eastAsia="Tahoma" w:hAnsi="Tahoma" w:cs="Tahoma"/>
          <w:color w:val="000000" w:themeColor="text1"/>
        </w:rPr>
        <w:t xml:space="preserve">Hydrogen refueling infrastructure for MDHD fuel cell electric vehicles (FCEVs) and/or port or off-road equipment: </w:t>
      </w:r>
    </w:p>
    <w:p w14:paraId="5C1E758F" w14:textId="2D1478CE" w:rsidR="00AB1EFD" w:rsidRPr="00240545" w:rsidRDefault="00AB1EFD" w:rsidP="00F97AD7">
      <w:pPr>
        <w:pStyle w:val="ListParagraph"/>
        <w:numPr>
          <w:ilvl w:val="0"/>
          <w:numId w:val="5"/>
        </w:numPr>
        <w:spacing w:after="120"/>
        <w:ind w:left="2160"/>
        <w:contextualSpacing w:val="0"/>
        <w:rPr>
          <w:rFonts w:ascii="Tahoma" w:eastAsia="Tahoma" w:hAnsi="Tahoma" w:cs="Tahoma"/>
          <w:strike/>
        </w:rPr>
      </w:pPr>
      <w:r w:rsidRPr="00240545">
        <w:rPr>
          <w:rFonts w:ascii="Tahoma" w:eastAsia="Tahoma" w:hAnsi="Tahoma" w:cs="Tahoma"/>
          <w:bCs/>
        </w:rPr>
        <w:t xml:space="preserve">A </w:t>
      </w:r>
      <w:r w:rsidRPr="00240545">
        <w:rPr>
          <w:rFonts w:ascii="Tahoma" w:eastAsia="Tahoma" w:hAnsi="Tahoma" w:cs="Tahoma"/>
        </w:rPr>
        <w:t>minimum of 2 heavy-duty hydrogen dispensing positions for refueling must be included in the proposed project. [</w:t>
      </w:r>
      <w:r w:rsidRPr="00240545">
        <w:rPr>
          <w:rFonts w:ascii="Tahoma" w:eastAsia="Tahoma" w:hAnsi="Tahoma" w:cs="Tahoma"/>
          <w:strike/>
        </w:rPr>
        <w:t xml:space="preserve">At least 1 of the positions must dispense at 700-bar.  </w:t>
      </w:r>
    </w:p>
    <w:p w14:paraId="1790DFCB" w14:textId="77777777" w:rsidR="00AB1EFD" w:rsidRPr="00240545" w:rsidRDefault="00AB1EFD" w:rsidP="00F97AD7">
      <w:pPr>
        <w:pStyle w:val="ListParagraph"/>
        <w:numPr>
          <w:ilvl w:val="0"/>
          <w:numId w:val="5"/>
        </w:numPr>
        <w:spacing w:after="120"/>
        <w:ind w:left="2160"/>
        <w:contextualSpacing w:val="0"/>
        <w:rPr>
          <w:rFonts w:ascii="Tahoma" w:eastAsia="Tahoma" w:hAnsi="Tahoma" w:cs="Tahoma"/>
          <w:strike/>
        </w:rPr>
      </w:pPr>
      <w:r w:rsidRPr="00240545">
        <w:rPr>
          <w:rFonts w:ascii="Tahoma" w:eastAsia="Tahoma" w:hAnsi="Tahoma" w:cs="Tahoma"/>
          <w:strike/>
        </w:rPr>
        <w:t>Hydrogen refueling position(s) must be capable of simultaneous refueling.</w:t>
      </w:r>
      <w:r w:rsidRPr="00240545">
        <w:rPr>
          <w:rFonts w:ascii="Tahoma" w:eastAsia="Tahoma" w:hAnsi="Tahoma" w:cs="Tahoma"/>
        </w:rPr>
        <w:t>]</w:t>
      </w:r>
    </w:p>
    <w:p w14:paraId="2BE6375A" w14:textId="77777777" w:rsidR="00AB1EFD" w:rsidRPr="00240545" w:rsidRDefault="00AB1EFD" w:rsidP="00F97AD7">
      <w:pPr>
        <w:pStyle w:val="ListParagraph"/>
        <w:numPr>
          <w:ilvl w:val="0"/>
          <w:numId w:val="5"/>
        </w:numPr>
        <w:spacing w:after="120"/>
        <w:ind w:left="2160"/>
        <w:rPr>
          <w:rFonts w:ascii="Tahoma" w:eastAsia="Tahoma" w:hAnsi="Tahoma" w:cs="Tahoma"/>
        </w:rPr>
      </w:pPr>
      <w:r w:rsidRPr="00240545">
        <w:rPr>
          <w:rFonts w:ascii="Tahoma" w:eastAsia="Tahoma" w:hAnsi="Tahoma" w:cs="Tahoma"/>
          <w:b/>
          <w:bCs/>
          <w:u w:val="single"/>
        </w:rPr>
        <w:t xml:space="preserve">If more than one heavy-duty hydrogen dispensing position is situated within the same physical footprint or fueling area, the following requirements apply: </w:t>
      </w:r>
    </w:p>
    <w:p w14:paraId="39E651E9" w14:textId="58C4451A" w:rsidR="00AB1EFD" w:rsidRPr="00240545" w:rsidRDefault="2FCA575B" w:rsidP="00F97AD7">
      <w:pPr>
        <w:pStyle w:val="ListParagraph"/>
        <w:numPr>
          <w:ilvl w:val="2"/>
          <w:numId w:val="5"/>
        </w:numPr>
        <w:spacing w:after="120"/>
        <w:rPr>
          <w:rFonts w:ascii="Tahoma" w:eastAsia="Tahoma" w:hAnsi="Tahoma" w:cs="Tahoma"/>
          <w:b/>
          <w:bCs/>
          <w:u w:val="single"/>
        </w:rPr>
      </w:pPr>
      <w:r w:rsidRPr="00240545">
        <w:rPr>
          <w:rFonts w:ascii="Tahoma" w:eastAsia="Tahoma" w:hAnsi="Tahoma" w:cs="Tahoma"/>
          <w:b/>
          <w:bCs/>
          <w:u w:val="single"/>
        </w:rPr>
        <w:t xml:space="preserve">At least two dispensing positions capable of simultaneous refueling must be included. </w:t>
      </w:r>
    </w:p>
    <w:p w14:paraId="53E125CB" w14:textId="77777777" w:rsidR="00AB1EFD" w:rsidRPr="00240545" w:rsidRDefault="00AB1EFD" w:rsidP="00F97AD7">
      <w:pPr>
        <w:pStyle w:val="ListParagraph"/>
        <w:numPr>
          <w:ilvl w:val="2"/>
          <w:numId w:val="5"/>
        </w:numPr>
        <w:spacing w:after="120"/>
        <w:contextualSpacing w:val="0"/>
        <w:rPr>
          <w:rFonts w:ascii="Tahoma" w:eastAsia="Tahoma" w:hAnsi="Tahoma" w:cs="Tahoma"/>
          <w:b/>
          <w:bCs/>
          <w:u w:val="single"/>
        </w:rPr>
      </w:pPr>
      <w:r w:rsidRPr="00240545">
        <w:rPr>
          <w:rFonts w:ascii="Tahoma" w:eastAsia="Tahoma" w:hAnsi="Tahoma" w:cs="Tahoma"/>
          <w:b/>
          <w:bCs/>
          <w:u w:val="single"/>
        </w:rPr>
        <w:t>At least one of these positions must be capable of dispensing at 700-bar pressure.</w:t>
      </w:r>
    </w:p>
    <w:p w14:paraId="54DCC217" w14:textId="1E0AE92B" w:rsidR="005F79FD" w:rsidRPr="00240545" w:rsidRDefault="005F79FD" w:rsidP="00BB1390">
      <w:pPr>
        <w:ind w:left="720"/>
        <w:rPr>
          <w:rFonts w:ascii="Tahoma" w:hAnsi="Tahoma" w:cs="Tahoma"/>
        </w:rPr>
      </w:pPr>
    </w:p>
    <w:p w14:paraId="2B2EE420" w14:textId="77777777" w:rsidR="00BB1390" w:rsidRPr="00240545" w:rsidRDefault="00BB1390" w:rsidP="00BB1390">
      <w:pPr>
        <w:pStyle w:val="ListParagraph"/>
        <w:rPr>
          <w:rFonts w:ascii="Tahoma" w:hAnsi="Tahoma" w:cs="Tahoma"/>
          <w:b/>
          <w:bCs/>
        </w:rPr>
      </w:pPr>
      <w:r w:rsidRPr="00240545">
        <w:rPr>
          <w:rFonts w:ascii="Tahoma" w:hAnsi="Tahoma" w:cs="Tahoma"/>
        </w:rPr>
        <w:t>4.</w:t>
      </w:r>
      <w:r w:rsidRPr="00240545">
        <w:rPr>
          <w:rFonts w:ascii="Tahoma" w:hAnsi="Tahoma" w:cs="Tahoma"/>
        </w:rPr>
        <w:tab/>
      </w:r>
      <w:r w:rsidRPr="00240545">
        <w:rPr>
          <w:rFonts w:ascii="Tahoma" w:hAnsi="Tahoma" w:cs="Tahoma"/>
          <w:b/>
          <w:bCs/>
        </w:rPr>
        <w:t>Vehicle Deployment Requirements</w:t>
      </w:r>
    </w:p>
    <w:p w14:paraId="7615133D" w14:textId="77777777" w:rsidR="0048166C" w:rsidRPr="00240545" w:rsidRDefault="00BB1390" w:rsidP="0048166C">
      <w:pPr>
        <w:pStyle w:val="ListParagraph"/>
        <w:rPr>
          <w:rFonts w:ascii="Tahoma" w:hAnsi="Tahoma" w:cs="Tahoma"/>
          <w:b/>
          <w:bCs/>
        </w:rPr>
      </w:pPr>
      <w:r w:rsidRPr="00240545">
        <w:rPr>
          <w:rFonts w:ascii="Tahoma" w:hAnsi="Tahoma" w:cs="Tahoma"/>
          <w:b/>
          <w:bCs/>
        </w:rPr>
        <w:tab/>
      </w:r>
    </w:p>
    <w:p w14:paraId="0BA4CEBE" w14:textId="234DADE6" w:rsidR="0048166C" w:rsidRPr="00240545" w:rsidRDefault="0048166C" w:rsidP="0048166C">
      <w:pPr>
        <w:pStyle w:val="ListParagraph"/>
        <w:ind w:left="1440"/>
        <w:rPr>
          <w:rFonts w:ascii="Tahoma" w:eastAsia="Tahoma" w:hAnsi="Tahoma" w:cs="Tahoma"/>
          <w:bCs/>
        </w:rPr>
      </w:pPr>
      <w:r w:rsidRPr="00240545">
        <w:rPr>
          <w:rFonts w:ascii="Tahoma" w:eastAsia="Tahoma" w:hAnsi="Tahoma" w:cs="Tahoma"/>
          <w:bCs/>
        </w:rPr>
        <w:t>If proposing a Private Access or Shared Access infrastructure project, the fleet that is being supported must commit to supporting:</w:t>
      </w:r>
    </w:p>
    <w:p w14:paraId="4C9BF709" w14:textId="77777777" w:rsidR="0048166C" w:rsidRPr="00240545" w:rsidRDefault="0048166C" w:rsidP="00F97AD7">
      <w:pPr>
        <w:pStyle w:val="ListParagraph"/>
        <w:numPr>
          <w:ilvl w:val="1"/>
          <w:numId w:val="2"/>
        </w:numPr>
        <w:spacing w:before="100" w:beforeAutospacing="1" w:after="100" w:afterAutospacing="1"/>
        <w:ind w:left="1800"/>
        <w:contextualSpacing w:val="0"/>
        <w:rPr>
          <w:rFonts w:ascii="Tahoma" w:eastAsia="Tahoma" w:hAnsi="Tahoma" w:cs="Tahoma"/>
          <w:bCs/>
          <w:color w:val="000000" w:themeColor="text1"/>
        </w:rPr>
      </w:pPr>
      <w:r w:rsidRPr="00240545">
        <w:rPr>
          <w:rFonts w:ascii="Tahoma" w:eastAsia="Tahoma" w:hAnsi="Tahoma" w:cs="Tahoma"/>
          <w:bCs/>
          <w:color w:val="000000" w:themeColor="text1"/>
        </w:rPr>
        <w:t>At least two MDHD EVs per Level 2 [</w:t>
      </w:r>
      <w:r w:rsidRPr="00240545">
        <w:rPr>
          <w:rFonts w:ascii="Tahoma" w:eastAsia="Tahoma" w:hAnsi="Tahoma" w:cs="Tahoma"/>
          <w:bCs/>
          <w:strike/>
          <w:color w:val="000000" w:themeColor="text1"/>
        </w:rPr>
        <w:t>charger</w:t>
      </w:r>
      <w:r w:rsidRPr="00240545">
        <w:rPr>
          <w:rFonts w:ascii="Tahoma" w:eastAsia="Tahoma" w:hAnsi="Tahoma" w:cs="Tahoma"/>
          <w:bCs/>
          <w:color w:val="000000" w:themeColor="text1"/>
        </w:rPr>
        <w:t xml:space="preserve">] </w:t>
      </w:r>
      <w:r w:rsidRPr="00240545">
        <w:rPr>
          <w:rFonts w:ascii="Tahoma" w:eastAsia="Tahoma" w:hAnsi="Tahoma" w:cs="Tahoma"/>
          <w:b/>
          <w:color w:val="000000" w:themeColor="text1"/>
          <w:u w:val="single"/>
        </w:rPr>
        <w:t xml:space="preserve">charging port </w:t>
      </w:r>
      <w:r w:rsidRPr="00240545">
        <w:rPr>
          <w:rFonts w:ascii="Tahoma" w:eastAsia="Tahoma" w:hAnsi="Tahoma" w:cs="Tahoma"/>
          <w:bCs/>
          <w:color w:val="000000" w:themeColor="text1"/>
        </w:rPr>
        <w:t>proposed for CEC funding;</w:t>
      </w:r>
    </w:p>
    <w:p w14:paraId="1660EDF6" w14:textId="77777777" w:rsidR="0048166C" w:rsidRPr="00240545" w:rsidRDefault="0048166C" w:rsidP="00F97AD7">
      <w:pPr>
        <w:pStyle w:val="ListParagraph"/>
        <w:numPr>
          <w:ilvl w:val="1"/>
          <w:numId w:val="2"/>
        </w:numPr>
        <w:spacing w:before="100" w:beforeAutospacing="1" w:after="100" w:afterAutospacing="1"/>
        <w:ind w:left="1800"/>
        <w:contextualSpacing w:val="0"/>
        <w:rPr>
          <w:rFonts w:ascii="Tahoma" w:eastAsia="Tahoma" w:hAnsi="Tahoma" w:cs="Tahoma"/>
          <w:bCs/>
          <w:color w:val="000000" w:themeColor="text1"/>
        </w:rPr>
      </w:pPr>
      <w:r w:rsidRPr="00240545">
        <w:rPr>
          <w:rFonts w:ascii="Tahoma" w:eastAsia="Tahoma" w:hAnsi="Tahoma" w:cs="Tahoma"/>
          <w:bCs/>
          <w:color w:val="000000" w:themeColor="text1"/>
        </w:rPr>
        <w:t>At least three MDHD EVs per DC fast [</w:t>
      </w:r>
      <w:r w:rsidRPr="00240545">
        <w:rPr>
          <w:rFonts w:ascii="Tahoma" w:eastAsia="Tahoma" w:hAnsi="Tahoma" w:cs="Tahoma"/>
          <w:bCs/>
          <w:strike/>
          <w:color w:val="000000" w:themeColor="text1"/>
        </w:rPr>
        <w:t>charger</w:t>
      </w:r>
      <w:r w:rsidRPr="00240545">
        <w:rPr>
          <w:rFonts w:ascii="Tahoma" w:eastAsia="Tahoma" w:hAnsi="Tahoma" w:cs="Tahoma"/>
          <w:bCs/>
          <w:color w:val="000000" w:themeColor="text1"/>
        </w:rPr>
        <w:t xml:space="preserve">] </w:t>
      </w:r>
      <w:r w:rsidRPr="00240545">
        <w:rPr>
          <w:rFonts w:ascii="Tahoma" w:eastAsia="Tahoma" w:hAnsi="Tahoma" w:cs="Tahoma"/>
          <w:b/>
          <w:color w:val="000000" w:themeColor="text1"/>
          <w:u w:val="single"/>
        </w:rPr>
        <w:t xml:space="preserve">charging port </w:t>
      </w:r>
      <w:r w:rsidRPr="00240545">
        <w:rPr>
          <w:rFonts w:ascii="Tahoma" w:eastAsia="Tahoma" w:hAnsi="Tahoma" w:cs="Tahoma"/>
          <w:bCs/>
          <w:color w:val="000000" w:themeColor="text1"/>
        </w:rPr>
        <w:t>proposed for CEC funding; [</w:t>
      </w:r>
      <w:r w:rsidRPr="00240545">
        <w:rPr>
          <w:rFonts w:ascii="Tahoma" w:eastAsia="Tahoma" w:hAnsi="Tahoma" w:cs="Tahoma"/>
          <w:bCs/>
          <w:strike/>
          <w:color w:val="000000" w:themeColor="text1"/>
        </w:rPr>
        <w:t>or</w:t>
      </w:r>
      <w:r w:rsidRPr="00240545">
        <w:rPr>
          <w:rFonts w:ascii="Tahoma" w:eastAsia="Tahoma" w:hAnsi="Tahoma" w:cs="Tahoma"/>
          <w:bCs/>
          <w:color w:val="000000" w:themeColor="text1"/>
        </w:rPr>
        <w:t>]</w:t>
      </w:r>
    </w:p>
    <w:p w14:paraId="1F95BA1B" w14:textId="77777777" w:rsidR="0048166C" w:rsidRPr="00240545" w:rsidRDefault="0048166C" w:rsidP="00F97AD7">
      <w:pPr>
        <w:pStyle w:val="ListParagraph"/>
        <w:numPr>
          <w:ilvl w:val="1"/>
          <w:numId w:val="2"/>
        </w:numPr>
        <w:spacing w:before="100" w:beforeAutospacing="1" w:after="100" w:afterAutospacing="1"/>
        <w:ind w:left="1800"/>
        <w:contextualSpacing w:val="0"/>
        <w:rPr>
          <w:rFonts w:ascii="Tahoma" w:eastAsia="Tahoma" w:hAnsi="Tahoma" w:cs="Tahoma"/>
          <w:bCs/>
          <w:color w:val="000000" w:themeColor="text1"/>
        </w:rPr>
      </w:pPr>
      <w:r w:rsidRPr="00240545">
        <w:rPr>
          <w:rFonts w:ascii="Tahoma" w:eastAsia="Tahoma" w:hAnsi="Tahoma" w:cs="Tahoma"/>
          <w:bCs/>
          <w:color w:val="000000" w:themeColor="text1"/>
        </w:rPr>
        <w:t>At least 30 MDHD FCEVs per every two hydrogen fueling positions proposed for CEC funding[</w:t>
      </w:r>
      <w:r w:rsidRPr="00240545">
        <w:rPr>
          <w:rFonts w:ascii="Tahoma" w:eastAsia="Tahoma" w:hAnsi="Tahoma" w:cs="Tahoma"/>
          <w:bCs/>
          <w:strike/>
          <w:color w:val="000000" w:themeColor="text1"/>
        </w:rPr>
        <w:t>.</w:t>
      </w:r>
      <w:r w:rsidRPr="00240545">
        <w:rPr>
          <w:rFonts w:ascii="Tahoma" w:eastAsia="Tahoma" w:hAnsi="Tahoma" w:cs="Tahoma"/>
          <w:bCs/>
          <w:color w:val="000000" w:themeColor="text1"/>
        </w:rPr>
        <w:t>]</w:t>
      </w:r>
      <w:r w:rsidRPr="00240545">
        <w:rPr>
          <w:rFonts w:ascii="Tahoma" w:eastAsia="Tahoma" w:hAnsi="Tahoma" w:cs="Tahoma"/>
          <w:b/>
          <w:color w:val="000000" w:themeColor="text1"/>
          <w:u w:val="single"/>
        </w:rPr>
        <w:t>; or</w:t>
      </w:r>
    </w:p>
    <w:p w14:paraId="4E115914" w14:textId="77777777" w:rsidR="0048166C" w:rsidRPr="00240545" w:rsidRDefault="0048166C" w:rsidP="00F97AD7">
      <w:pPr>
        <w:pStyle w:val="ListParagraph"/>
        <w:numPr>
          <w:ilvl w:val="1"/>
          <w:numId w:val="2"/>
        </w:numPr>
        <w:spacing w:before="100" w:beforeAutospacing="1" w:after="100" w:afterAutospacing="1"/>
        <w:ind w:left="1800"/>
        <w:contextualSpacing w:val="0"/>
        <w:rPr>
          <w:rFonts w:ascii="Tahoma" w:eastAsia="Tahoma" w:hAnsi="Tahoma" w:cs="Tahoma"/>
          <w:bCs/>
          <w:color w:val="000000" w:themeColor="text1"/>
        </w:rPr>
      </w:pPr>
      <w:r w:rsidRPr="00240545">
        <w:rPr>
          <w:rFonts w:ascii="Tahoma" w:eastAsia="Tahoma" w:hAnsi="Tahoma" w:cs="Tahoma"/>
          <w:b/>
          <w:color w:val="000000" w:themeColor="text1"/>
          <w:u w:val="single"/>
        </w:rPr>
        <w:lastRenderedPageBreak/>
        <w:t>At least one specialty vehicle, off-road equipment/vehicle, or non-road vehicle per EV charging port or hydrogen fueling position proposed for CEC funding.</w:t>
      </w:r>
    </w:p>
    <w:p w14:paraId="0A9321BF" w14:textId="77777777" w:rsidR="0048166C" w:rsidRPr="00240545" w:rsidRDefault="0048166C" w:rsidP="0048166C">
      <w:pPr>
        <w:spacing w:before="100" w:beforeAutospacing="1" w:after="100" w:afterAutospacing="1"/>
        <w:ind w:left="1440"/>
        <w:rPr>
          <w:rFonts w:ascii="Tahoma" w:eastAsia="Yu Gothic" w:hAnsi="Tahoma" w:cs="Tahoma"/>
          <w:bCs/>
          <w:szCs w:val="22"/>
          <w:lang w:eastAsia="ja-JP"/>
        </w:rPr>
      </w:pPr>
      <w:r w:rsidRPr="00240545">
        <w:rPr>
          <w:rFonts w:ascii="Tahoma" w:eastAsia="Yu Gothic" w:hAnsi="Tahoma" w:cs="Tahoma"/>
          <w:bCs/>
          <w:szCs w:val="22"/>
          <w:lang w:eastAsia="ja-JP"/>
        </w:rPr>
        <w:t>The vehicles being supported must either be new vehicles being procured or existing vehicles that were not able to be used due to a lack of infrastructure. New vehicles procured as part of a resulting grant agreement may be eligible for match funding. Existing vehicles are not eligible for reimbursement or match funding.</w:t>
      </w:r>
    </w:p>
    <w:p w14:paraId="498248D2" w14:textId="77777777" w:rsidR="0048166C" w:rsidRPr="00240545" w:rsidRDefault="0048166C" w:rsidP="0048166C">
      <w:pPr>
        <w:spacing w:before="100" w:beforeAutospacing="1" w:after="100" w:afterAutospacing="1"/>
        <w:ind w:left="1440"/>
        <w:rPr>
          <w:rFonts w:ascii="Tahoma" w:eastAsia="Yu Gothic" w:hAnsi="Tahoma" w:cs="Tahoma"/>
          <w:bCs/>
          <w:szCs w:val="22"/>
          <w:lang w:eastAsia="ja-JP"/>
        </w:rPr>
      </w:pPr>
      <w:r w:rsidRPr="00240545">
        <w:rPr>
          <w:rFonts w:ascii="Tahoma" w:eastAsia="Yu Gothic" w:hAnsi="Tahoma" w:cs="Tahoma"/>
          <w:bCs/>
          <w:szCs w:val="22"/>
          <w:lang w:eastAsia="ja-JP"/>
        </w:rPr>
        <w:t>If proposing a Shared Access infrastructure project, the application must demonstrate that at least two fleets are being supported by the proposed infrastructure and the cumulative vehicles supported meet the minimum commitment numbers listed above. The vehicles being supported must either be new vehicles being procured or existing vehicles that were not able to be used due to a lack of infrastructure.</w:t>
      </w:r>
    </w:p>
    <w:p w14:paraId="26306F1E" w14:textId="77777777" w:rsidR="0048166C" w:rsidRPr="00240545" w:rsidRDefault="0048166C" w:rsidP="0048166C">
      <w:pPr>
        <w:spacing w:before="100" w:beforeAutospacing="1" w:after="100" w:afterAutospacing="1"/>
        <w:ind w:left="1440"/>
        <w:rPr>
          <w:rFonts w:ascii="Tahoma" w:eastAsia="Yu Gothic" w:hAnsi="Tahoma" w:cs="Tahoma"/>
          <w:bCs/>
          <w:szCs w:val="22"/>
          <w:lang w:eastAsia="ja-JP"/>
        </w:rPr>
      </w:pPr>
      <w:r w:rsidRPr="00240545">
        <w:rPr>
          <w:rFonts w:ascii="Tahoma" w:eastAsia="Yu Gothic" w:hAnsi="Tahoma" w:cs="Tahoma"/>
          <w:bCs/>
          <w:szCs w:val="22"/>
          <w:lang w:eastAsia="ja-JP"/>
        </w:rPr>
        <w:t xml:space="preserve">Public Access infrastructure projects are not required to meet the vehicle deployment requirements; however, applications will be scored on the degree to which proposed projects maximize vehicle deployment and market growth. </w:t>
      </w:r>
    </w:p>
    <w:p w14:paraId="2B2388AC" w14:textId="77777777" w:rsidR="0048166C" w:rsidRPr="00240545" w:rsidRDefault="0048166C" w:rsidP="0048166C">
      <w:pPr>
        <w:spacing w:before="100" w:beforeAutospacing="1" w:after="100" w:afterAutospacing="1"/>
        <w:ind w:left="1440"/>
        <w:rPr>
          <w:rFonts w:ascii="Tahoma" w:eastAsia="Yu Gothic" w:hAnsi="Tahoma" w:cs="Tahoma"/>
          <w:bCs/>
          <w:szCs w:val="22"/>
          <w:lang w:eastAsia="ja-JP"/>
        </w:rPr>
      </w:pPr>
      <w:r w:rsidRPr="00240545">
        <w:rPr>
          <w:rFonts w:ascii="Tahoma" w:eastAsia="Yu Gothic" w:hAnsi="Tahoma" w:cs="Tahoma"/>
          <w:bCs/>
          <w:szCs w:val="22"/>
          <w:lang w:eastAsia="ja-JP"/>
        </w:rPr>
        <w:t>If a project is a combination of Public and Shared/Private Access infrastructure, then the portion of the infrastructure with Shared/Private Access must meet the vehicle deployment and/or number of fleets supported requirements.</w:t>
      </w:r>
    </w:p>
    <w:p w14:paraId="0D3EFFDC" w14:textId="77777777" w:rsidR="0048166C" w:rsidRPr="00240545" w:rsidRDefault="0048166C" w:rsidP="0048166C">
      <w:pPr>
        <w:spacing w:before="100" w:beforeAutospacing="1" w:after="100" w:afterAutospacing="1"/>
        <w:ind w:left="1440"/>
        <w:rPr>
          <w:rFonts w:ascii="Tahoma" w:eastAsia="Tahoma" w:hAnsi="Tahoma" w:cs="Tahoma"/>
          <w:bCs/>
        </w:rPr>
      </w:pPr>
      <w:r w:rsidRPr="00240545">
        <w:rPr>
          <w:rFonts w:ascii="Tahoma" w:eastAsia="Yu Gothic" w:hAnsi="Tahoma" w:cs="Tahoma"/>
          <w:bCs/>
          <w:szCs w:val="22"/>
          <w:lang w:eastAsia="ja-JP"/>
        </w:rPr>
        <w:t xml:space="preserve">To </w:t>
      </w:r>
      <w:r w:rsidRPr="00240545">
        <w:rPr>
          <w:rFonts w:ascii="Tahoma" w:eastAsia="Tahoma" w:hAnsi="Tahoma" w:cs="Tahoma"/>
          <w:bCs/>
        </w:rPr>
        <w:t xml:space="preserve">ensure that the infrastructure funded under this solicitation will be utilized, Applicants of Private or Shared access infrastructure projects must submit a Letter(s) of Intent to Place a Purchase Order (Attachment 21) per fleet with their application, with the exception of applicants using existing vehicles. The letter(s) must specify the type(s) and number(s) of ZEVs to be procured and justify the need for the proposed infrastructure. </w:t>
      </w:r>
    </w:p>
    <w:p w14:paraId="44EA5870" w14:textId="77777777" w:rsidR="0048166C" w:rsidRPr="00240545" w:rsidRDefault="0048166C" w:rsidP="0048166C">
      <w:pPr>
        <w:spacing w:before="100" w:beforeAutospacing="1" w:after="100" w:afterAutospacing="1"/>
        <w:ind w:left="1440"/>
        <w:rPr>
          <w:rFonts w:ascii="Tahoma" w:eastAsia="Tahoma" w:hAnsi="Tahoma" w:cs="Tahoma"/>
          <w:bCs/>
        </w:rPr>
      </w:pPr>
      <w:bookmarkStart w:id="1" w:name="_Hlk212023935"/>
      <w:r w:rsidRPr="00240545">
        <w:rPr>
          <w:rFonts w:ascii="Tahoma" w:eastAsia="Tahoma" w:hAnsi="Tahoma" w:cs="Tahoma"/>
          <w:bCs/>
        </w:rPr>
        <w:t>If an Applicant cannot place a purchase order within three (3) months of agreement execution, the CEC reserves the right, in addition to any other rights it has, to cancel the award and offer funding to the next highest scored eligible Applicant in the same Funding Category on the NOPA list. While the purchase order must be placed within three months of agreement execution, there is not a firm requirement by when the vehicles must be delivered. Infrastructure lead times or vehicle production lead [</w:t>
      </w:r>
      <w:r w:rsidRPr="00240545">
        <w:rPr>
          <w:rFonts w:ascii="Tahoma" w:eastAsia="Tahoma" w:hAnsi="Tahoma" w:cs="Tahoma"/>
          <w:bCs/>
          <w:strike/>
        </w:rPr>
        <w:t>teams</w:t>
      </w:r>
      <w:r w:rsidRPr="00240545">
        <w:rPr>
          <w:rFonts w:ascii="Tahoma" w:eastAsia="Tahoma" w:hAnsi="Tahoma" w:cs="Tahoma"/>
          <w:bCs/>
        </w:rPr>
        <w:t xml:space="preserve">] </w:t>
      </w:r>
      <w:r w:rsidRPr="00240545">
        <w:rPr>
          <w:rFonts w:ascii="Tahoma" w:eastAsia="Tahoma" w:hAnsi="Tahoma" w:cs="Tahoma"/>
          <w:b/>
          <w:u w:val="single"/>
        </w:rPr>
        <w:t xml:space="preserve">times </w:t>
      </w:r>
      <w:r w:rsidRPr="00240545">
        <w:rPr>
          <w:rFonts w:ascii="Tahoma" w:eastAsia="Tahoma" w:hAnsi="Tahoma" w:cs="Tahoma"/>
          <w:bCs/>
        </w:rPr>
        <w:t xml:space="preserve">may vary and the fleet operator may need to ensure alignment of those. However, the vehicle orders must take place and vehicles </w:t>
      </w:r>
      <w:r w:rsidRPr="00240545">
        <w:rPr>
          <w:rFonts w:ascii="Tahoma" w:eastAsia="Tahoma" w:hAnsi="Tahoma" w:cs="Tahoma"/>
          <w:b/>
          <w:u w:val="single"/>
        </w:rPr>
        <w:t xml:space="preserve">must be </w:t>
      </w:r>
      <w:r w:rsidRPr="00240545">
        <w:rPr>
          <w:rFonts w:ascii="Tahoma" w:eastAsia="Tahoma" w:hAnsi="Tahoma" w:cs="Tahoma"/>
          <w:bCs/>
        </w:rPr>
        <w:t>delivered by the time the infrastructure becomes energized and operational. Costs for vehicles are not reimbursable; however, they may be used towards match.</w:t>
      </w:r>
    </w:p>
    <w:bookmarkEnd w:id="1"/>
    <w:p w14:paraId="6D4F9F65" w14:textId="77777777" w:rsidR="0048166C" w:rsidRPr="00240545" w:rsidRDefault="0048166C" w:rsidP="0048166C">
      <w:pPr>
        <w:spacing w:before="100" w:beforeAutospacing="1" w:after="100" w:afterAutospacing="1"/>
        <w:ind w:left="1440"/>
        <w:rPr>
          <w:rFonts w:ascii="Tahoma" w:eastAsia="Tahoma" w:hAnsi="Tahoma" w:cs="Tahoma"/>
          <w:bCs/>
        </w:rPr>
      </w:pPr>
      <w:r w:rsidRPr="00240545">
        <w:rPr>
          <w:rFonts w:ascii="Tahoma" w:eastAsia="Tahoma" w:hAnsi="Tahoma" w:cs="Tahoma"/>
          <w:bCs/>
        </w:rPr>
        <w:lastRenderedPageBreak/>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 (Attachment 21).</w:t>
      </w:r>
    </w:p>
    <w:p w14:paraId="22A2D650" w14:textId="77777777" w:rsidR="0048166C" w:rsidRPr="00240545" w:rsidRDefault="0048166C" w:rsidP="0048166C">
      <w:pPr>
        <w:spacing w:before="100" w:beforeAutospacing="1" w:after="100" w:afterAutospacing="1"/>
        <w:ind w:left="1440"/>
        <w:rPr>
          <w:rFonts w:ascii="Tahoma" w:eastAsia="Tahoma" w:hAnsi="Tahoma" w:cs="Tahoma"/>
          <w:bCs/>
        </w:rPr>
      </w:pPr>
      <w:r w:rsidRPr="00240545">
        <w:rPr>
          <w:rFonts w:ascii="Tahoma" w:eastAsia="Tahoma" w:hAnsi="Tahoma" w:cs="Tahoma"/>
          <w:bCs/>
        </w:rPr>
        <w:t>All applications, regardless of access-type, must demonstrate how the proposed project will maximize zero-emission vehicle deployment, including descriptions of fleet commitments and strategies the Applicant will take to maximize market growth.</w:t>
      </w:r>
    </w:p>
    <w:p w14:paraId="5C046ED6" w14:textId="77777777" w:rsidR="0048166C" w:rsidRPr="00240545" w:rsidRDefault="0048166C" w:rsidP="0048166C">
      <w:pPr>
        <w:spacing w:before="100" w:beforeAutospacing="1" w:after="100" w:afterAutospacing="1"/>
        <w:ind w:left="1440"/>
        <w:rPr>
          <w:rFonts w:ascii="Tahoma" w:eastAsia="Tahoma" w:hAnsi="Tahoma" w:cs="Tahoma"/>
          <w:bCs/>
        </w:rPr>
      </w:pPr>
      <w:r w:rsidRPr="00240545">
        <w:rPr>
          <w:rFonts w:ascii="Tahoma" w:eastAsia="Tahoma" w:hAnsi="Tahoma" w:cs="Tahoma"/>
          <w:bCs/>
        </w:rPr>
        <w:t>If the proposed project is Private or Shared Access, applications must also provide the following information regarding the fleet(s) being supported by the proposed infrastructure in the Project Narrative (Attachment 1):</w:t>
      </w:r>
    </w:p>
    <w:p w14:paraId="311CF54A" w14:textId="77777777" w:rsidR="0048166C" w:rsidRPr="00240545" w:rsidRDefault="0048166C" w:rsidP="00F97AD7">
      <w:pPr>
        <w:pStyle w:val="ListParagraph"/>
        <w:numPr>
          <w:ilvl w:val="1"/>
          <w:numId w:val="2"/>
        </w:numPr>
        <w:spacing w:before="100" w:beforeAutospacing="1" w:after="100" w:afterAutospacing="1"/>
        <w:ind w:left="1800"/>
        <w:contextualSpacing w:val="0"/>
        <w:rPr>
          <w:rFonts w:ascii="Tahoma" w:eastAsia="Tahoma" w:hAnsi="Tahoma" w:cs="Tahoma"/>
          <w:bCs/>
          <w:color w:val="000000" w:themeColor="text1"/>
        </w:rPr>
      </w:pPr>
      <w:r w:rsidRPr="00240545">
        <w:rPr>
          <w:rFonts w:ascii="Tahoma" w:eastAsia="Tahoma" w:hAnsi="Tahoma" w:cs="Tahoma"/>
          <w:bCs/>
          <w:color w:val="000000" w:themeColor="text1"/>
        </w:rPr>
        <w:t>Quantity and type of all vehicles in the current fleet (including vehicle size/class, fuel type, and quantity).</w:t>
      </w:r>
    </w:p>
    <w:p w14:paraId="3EFAE0CA" w14:textId="77777777" w:rsidR="0048166C" w:rsidRPr="00240545" w:rsidRDefault="0048166C" w:rsidP="00F97AD7">
      <w:pPr>
        <w:pStyle w:val="ListParagraph"/>
        <w:numPr>
          <w:ilvl w:val="1"/>
          <w:numId w:val="2"/>
        </w:numPr>
        <w:spacing w:before="100" w:beforeAutospacing="1" w:after="100" w:afterAutospacing="1"/>
        <w:ind w:left="1800"/>
        <w:contextualSpacing w:val="0"/>
        <w:rPr>
          <w:rFonts w:ascii="Tahoma" w:eastAsia="Tahoma" w:hAnsi="Tahoma" w:cs="Tahoma"/>
          <w:bCs/>
          <w:color w:val="000000" w:themeColor="text1"/>
        </w:rPr>
      </w:pPr>
      <w:r w:rsidRPr="00240545">
        <w:rPr>
          <w:rFonts w:ascii="Tahoma" w:eastAsia="Tahoma" w:hAnsi="Tahoma" w:cs="Tahoma"/>
          <w:bCs/>
          <w:color w:val="000000" w:themeColor="text1"/>
        </w:rPr>
        <w:t>Operations and average daily vehicle-miles-traveled (VMT) for each vehicle</w:t>
      </w:r>
      <w:r w:rsidRPr="00240545">
        <w:rPr>
          <w:rFonts w:ascii="Tahoma" w:eastAsia="Tahoma" w:hAnsi="Tahoma" w:cs="Tahoma"/>
          <w:b/>
          <w:color w:val="000000" w:themeColor="text1"/>
          <w:u w:val="single"/>
        </w:rPr>
        <w:t>, or operations and average daily engine hours for specialty, off-road, or non-road applications</w:t>
      </w:r>
      <w:r w:rsidRPr="00240545">
        <w:rPr>
          <w:rFonts w:ascii="Tahoma" w:eastAsia="Tahoma" w:hAnsi="Tahoma" w:cs="Tahoma"/>
          <w:bCs/>
          <w:color w:val="000000" w:themeColor="text1"/>
        </w:rPr>
        <w:t>.</w:t>
      </w:r>
    </w:p>
    <w:p w14:paraId="398E751B" w14:textId="77777777" w:rsidR="0048166C" w:rsidRPr="00240545" w:rsidRDefault="0048166C" w:rsidP="00F97AD7">
      <w:pPr>
        <w:pStyle w:val="ListParagraph"/>
        <w:numPr>
          <w:ilvl w:val="1"/>
          <w:numId w:val="2"/>
        </w:numPr>
        <w:spacing w:before="100" w:beforeAutospacing="1" w:after="100" w:afterAutospacing="1"/>
        <w:ind w:left="1800"/>
        <w:contextualSpacing w:val="0"/>
        <w:rPr>
          <w:rFonts w:ascii="Tahoma" w:eastAsia="Tahoma" w:hAnsi="Tahoma" w:cs="Tahoma"/>
          <w:bCs/>
          <w:color w:val="000000" w:themeColor="text1"/>
        </w:rPr>
      </w:pPr>
      <w:r w:rsidRPr="00240545">
        <w:rPr>
          <w:rFonts w:ascii="Tahoma" w:eastAsia="Tahoma" w:hAnsi="Tahoma" w:cs="Tahoma"/>
          <w:bCs/>
          <w:color w:val="000000" w:themeColor="text1"/>
        </w:rPr>
        <w:t>Quantity and timeline of how many of the fleet’s vehicles will be converted to zero-emission.</w:t>
      </w:r>
    </w:p>
    <w:p w14:paraId="59367A23" w14:textId="7D1F3164" w:rsidR="00BB1390" w:rsidRPr="00240545" w:rsidRDefault="0048166C" w:rsidP="00F97AD7">
      <w:pPr>
        <w:pStyle w:val="ListParagraph"/>
        <w:numPr>
          <w:ilvl w:val="1"/>
          <w:numId w:val="2"/>
        </w:numPr>
        <w:spacing w:before="100" w:beforeAutospacing="1" w:after="100" w:afterAutospacing="1"/>
        <w:ind w:left="1800"/>
        <w:contextualSpacing w:val="0"/>
        <w:rPr>
          <w:rFonts w:ascii="Tahoma" w:eastAsia="Tahoma" w:hAnsi="Tahoma" w:cs="Tahoma"/>
          <w:bCs/>
          <w:color w:val="000000" w:themeColor="text1"/>
        </w:rPr>
      </w:pPr>
      <w:r w:rsidRPr="00240545">
        <w:rPr>
          <w:rFonts w:ascii="Tahoma" w:eastAsia="Tahoma" w:hAnsi="Tahoma" w:cs="Tahoma"/>
          <w:bCs/>
          <w:color w:val="000000" w:themeColor="text1"/>
        </w:rPr>
        <w:t>Number of miles that will be converted from fossil-fuel-VMT to zero-emission-VMT</w:t>
      </w:r>
      <w:r w:rsidRPr="00240545">
        <w:rPr>
          <w:rFonts w:ascii="Tahoma" w:eastAsia="Tahoma" w:hAnsi="Tahoma" w:cs="Tahoma"/>
          <w:b/>
          <w:color w:val="000000" w:themeColor="text1"/>
          <w:u w:val="single"/>
        </w:rPr>
        <w:t>, or number of engine hours and fuel volume to be replaced by zero-emission alternatives for specialty, off-road, or non-road applications</w:t>
      </w:r>
      <w:r w:rsidRPr="00240545">
        <w:rPr>
          <w:rFonts w:ascii="Tahoma" w:eastAsia="Tahoma" w:hAnsi="Tahoma" w:cs="Tahoma"/>
          <w:bCs/>
          <w:color w:val="000000" w:themeColor="text1"/>
        </w:rPr>
        <w:t>.</w:t>
      </w:r>
    </w:p>
    <w:p w14:paraId="3FA3EA80" w14:textId="2076F3CD" w:rsidR="007C5817" w:rsidRPr="00240545" w:rsidRDefault="00E0772C" w:rsidP="00F97AD7">
      <w:pPr>
        <w:pStyle w:val="ListParagraph"/>
        <w:numPr>
          <w:ilvl w:val="0"/>
          <w:numId w:val="1"/>
        </w:numPr>
        <w:rPr>
          <w:rFonts w:ascii="Tahoma" w:hAnsi="Tahoma" w:cs="Tahoma"/>
          <w:b/>
          <w:bCs/>
        </w:rPr>
      </w:pPr>
      <w:r w:rsidRPr="00240545">
        <w:rPr>
          <w:rFonts w:ascii="Tahoma" w:hAnsi="Tahoma" w:cs="Tahoma"/>
          <w:b/>
          <w:bCs/>
        </w:rPr>
        <w:t>Section II.C.</w:t>
      </w:r>
      <w:r w:rsidR="00D87A89" w:rsidRPr="00240545">
        <w:rPr>
          <w:rFonts w:ascii="Tahoma" w:hAnsi="Tahoma" w:cs="Tahoma"/>
          <w:b/>
          <w:bCs/>
        </w:rPr>
        <w:t xml:space="preserve"> Minimum Technical Requirements For Electric Vehicle Charging Stations</w:t>
      </w:r>
    </w:p>
    <w:p w14:paraId="15D1D824" w14:textId="77777777" w:rsidR="00482201" w:rsidRPr="00240545" w:rsidRDefault="00482201" w:rsidP="00482201">
      <w:pPr>
        <w:pStyle w:val="NormalWeb"/>
        <w:ind w:left="720"/>
        <w:rPr>
          <w:rFonts w:ascii="Tahoma" w:hAnsi="Tahoma" w:cs="Tahoma"/>
        </w:rPr>
      </w:pPr>
      <w:r w:rsidRPr="00240545">
        <w:rPr>
          <w:rFonts w:ascii="Tahoma" w:hAnsi="Tahoma" w:cs="Tahoma"/>
          <w:lang w:eastAsia="x-none"/>
        </w:rPr>
        <w:t>All of the following Minimum Technical Requirements for Electric Vehicle Charging Stations shall be met at the exact station address approved by the CEC.</w:t>
      </w:r>
    </w:p>
    <w:p w14:paraId="2E5D9C65" w14:textId="77777777" w:rsidR="00482201" w:rsidRPr="00240545" w:rsidRDefault="00482201" w:rsidP="00482201">
      <w:pPr>
        <w:pStyle w:val="ListParagraph"/>
        <w:numPr>
          <w:ilvl w:val="0"/>
          <w:numId w:val="28"/>
        </w:numPr>
        <w:spacing w:before="100" w:after="100"/>
        <w:ind w:hanging="720"/>
        <w:contextualSpacing w:val="0"/>
        <w:rPr>
          <w:rFonts w:ascii="Tahoma" w:hAnsi="Tahoma" w:cs="Tahoma"/>
        </w:rPr>
      </w:pPr>
      <w:r w:rsidRPr="00240545">
        <w:rPr>
          <w:rFonts w:ascii="Tahoma" w:hAnsi="Tahoma" w:cs="Tahoma"/>
        </w:rPr>
        <w:t xml:space="preserve">The Energy Infrastructure Incentives for Zero-Emission Commercial Vehicles (EnergIIZE) program is an incentive program funded by the CEC and administered by CALSTART. The charging station equipment funded under this solicitation must conform with equipment detailed in the </w:t>
      </w:r>
      <w:hyperlink r:id="rId12" w:history="1">
        <w:r w:rsidRPr="00240545">
          <w:rPr>
            <w:rStyle w:val="Hyperlink"/>
            <w:rFonts w:ascii="Tahoma" w:hAnsi="Tahoma" w:cs="Tahoma"/>
          </w:rPr>
          <w:t>EnergIIZE Eligible Electric Technology Catalog</w:t>
        </w:r>
      </w:hyperlink>
      <w:r w:rsidRPr="00240545">
        <w:rPr>
          <w:rFonts w:ascii="Tahoma" w:hAnsi="Tahoma" w:cs="Tahoma"/>
        </w:rPr>
        <w:t xml:space="preserve"> which can be found at </w:t>
      </w:r>
      <w:hyperlink r:id="rId13" w:history="1">
        <w:r w:rsidRPr="00240545">
          <w:rPr>
            <w:rStyle w:val="Hyperlink"/>
            <w:rFonts w:ascii="Tahoma" w:hAnsi="Tahoma" w:cs="Tahoma"/>
            <w:lang w:eastAsia="x-none"/>
          </w:rPr>
          <w:t>https://www.energiize.org/infrastructure?section=infrastructure.more-details.technology</w:t>
        </w:r>
      </w:hyperlink>
      <w:r w:rsidRPr="00240545">
        <w:rPr>
          <w:rFonts w:ascii="Tahoma" w:hAnsi="Tahoma" w:cs="Tahoma"/>
        </w:rPr>
        <w:t>.</w:t>
      </w:r>
    </w:p>
    <w:p w14:paraId="584594D3" w14:textId="77777777" w:rsidR="00482201" w:rsidRPr="00240545" w:rsidRDefault="00482201" w:rsidP="00482201">
      <w:pPr>
        <w:pStyle w:val="ListParagraph"/>
        <w:numPr>
          <w:ilvl w:val="0"/>
          <w:numId w:val="28"/>
        </w:numPr>
        <w:spacing w:before="100" w:after="100"/>
        <w:ind w:hanging="720"/>
        <w:contextualSpacing w:val="0"/>
        <w:rPr>
          <w:rFonts w:ascii="Tahoma" w:hAnsi="Tahoma" w:cs="Tahoma"/>
        </w:rPr>
      </w:pPr>
      <w:r w:rsidRPr="00240545">
        <w:rPr>
          <w:rFonts w:ascii="Tahoma" w:hAnsi="Tahoma" w:cs="Tahoma"/>
        </w:rPr>
        <w:t>Each charging station port must be capable of providing at least [</w:t>
      </w:r>
      <w:r w:rsidRPr="00240545">
        <w:rPr>
          <w:rFonts w:ascii="Tahoma" w:hAnsi="Tahoma" w:cs="Tahoma"/>
          <w:bCs/>
          <w:strike/>
        </w:rPr>
        <w:t>60 kW</w:t>
      </w:r>
      <w:r w:rsidRPr="00240545">
        <w:rPr>
          <w:rFonts w:ascii="Tahoma" w:hAnsi="Tahoma" w:cs="Tahoma"/>
          <w:bCs/>
        </w:rPr>
        <w:t xml:space="preserve">] </w:t>
      </w:r>
      <w:r w:rsidRPr="00240545">
        <w:rPr>
          <w:rFonts w:ascii="Tahoma" w:hAnsi="Tahoma" w:cs="Tahoma"/>
          <w:b/>
          <w:u w:val="single"/>
        </w:rPr>
        <w:t>Level 2 charging</w:t>
      </w:r>
      <w:r w:rsidRPr="00240545">
        <w:rPr>
          <w:rFonts w:ascii="Tahoma" w:hAnsi="Tahoma" w:cs="Tahoma"/>
        </w:rPr>
        <w:t xml:space="preserve">. </w:t>
      </w:r>
    </w:p>
    <w:p w14:paraId="32AA8D68" w14:textId="77777777" w:rsidR="0077421B" w:rsidRPr="00240545" w:rsidRDefault="0077421B" w:rsidP="0077421B">
      <w:pPr>
        <w:numPr>
          <w:ilvl w:val="0"/>
          <w:numId w:val="28"/>
        </w:numPr>
        <w:spacing w:before="100" w:after="100"/>
        <w:ind w:hanging="720"/>
        <w:rPr>
          <w:rFonts w:ascii="Tahoma" w:eastAsia="Times New Roman" w:hAnsi="Tahoma" w:cs="Tahoma"/>
          <w:sz w:val="22"/>
          <w:szCs w:val="20"/>
        </w:rPr>
      </w:pPr>
      <w:r w:rsidRPr="00240545">
        <w:rPr>
          <w:rFonts w:ascii="Tahoma" w:eastAsia="Times New Roman" w:hAnsi="Tahoma" w:cs="Tahoma"/>
          <w:bCs/>
        </w:rPr>
        <w:t>For Public Access charging stations:</w:t>
      </w:r>
    </w:p>
    <w:p w14:paraId="53FF9883" w14:textId="77777777" w:rsidR="0077421B" w:rsidRPr="00240545" w:rsidRDefault="0077421B" w:rsidP="0077421B">
      <w:pPr>
        <w:numPr>
          <w:ilvl w:val="1"/>
          <w:numId w:val="36"/>
        </w:numPr>
        <w:spacing w:before="100" w:after="100"/>
        <w:ind w:left="1800"/>
        <w:rPr>
          <w:rFonts w:ascii="Tahoma" w:eastAsia="Times New Roman" w:hAnsi="Tahoma" w:cs="Tahoma"/>
        </w:rPr>
      </w:pPr>
      <w:r w:rsidRPr="00240545">
        <w:rPr>
          <w:rFonts w:ascii="Tahoma" w:eastAsia="Times New Roman" w:hAnsi="Tahoma" w:cs="Tahoma"/>
        </w:rPr>
        <w:lastRenderedPageBreak/>
        <w:t xml:space="preserve">Each charging station port must be capable of providing at least 200 kW. If automated load management (ALM) is being utilized, each charging station port must be capable of simultaneously providing at least 150 kW when all ports are in use. </w:t>
      </w:r>
    </w:p>
    <w:p w14:paraId="0F8AA93E" w14:textId="77777777" w:rsidR="0077421B" w:rsidRPr="00240545" w:rsidRDefault="0077421B" w:rsidP="0077421B">
      <w:pPr>
        <w:numPr>
          <w:ilvl w:val="1"/>
          <w:numId w:val="36"/>
        </w:numPr>
        <w:spacing w:before="100" w:after="100"/>
        <w:ind w:left="1800"/>
        <w:rPr>
          <w:rFonts w:ascii="Tahoma" w:eastAsia="Times New Roman" w:hAnsi="Tahoma" w:cs="Tahoma"/>
          <w:sz w:val="22"/>
          <w:szCs w:val="20"/>
        </w:rPr>
      </w:pPr>
      <w:r w:rsidRPr="00240545">
        <w:rPr>
          <w:rFonts w:ascii="Tahoma" w:eastAsia="Times New Roman" w:hAnsi="Tahoma" w:cs="Tahoma"/>
        </w:rPr>
        <w:t>Each charging port must support output voltages between 250 volts DC and 920 volts DC. </w:t>
      </w:r>
    </w:p>
    <w:p w14:paraId="558B6638" w14:textId="77777777" w:rsidR="0077421B" w:rsidRPr="00240545" w:rsidRDefault="0077421B" w:rsidP="0077421B">
      <w:pPr>
        <w:numPr>
          <w:ilvl w:val="1"/>
          <w:numId w:val="36"/>
        </w:numPr>
        <w:spacing w:before="100" w:after="100"/>
        <w:ind w:left="1800"/>
        <w:rPr>
          <w:rFonts w:ascii="Tahoma" w:eastAsia="Times New Roman" w:hAnsi="Tahoma" w:cs="Tahoma"/>
        </w:rPr>
      </w:pPr>
      <w:r w:rsidRPr="00240545">
        <w:rPr>
          <w:rFonts w:ascii="Tahoma" w:eastAsia="Times New Roman" w:hAnsi="Tahoma" w:cs="Tahoma"/>
        </w:rPr>
        <w:t xml:space="preserve">Each charging port must have at least one permanently attached </w:t>
      </w:r>
      <w:r w:rsidRPr="00240545">
        <w:rPr>
          <w:rFonts w:ascii="Tahoma" w:eastAsia="Times New Roman" w:hAnsi="Tahoma" w:cs="Tahoma"/>
          <w:b/>
          <w:bCs/>
          <w:u w:val="single"/>
        </w:rPr>
        <w:t xml:space="preserve">SAE J1772 </w:t>
      </w:r>
      <w:r w:rsidRPr="00240545">
        <w:rPr>
          <w:rFonts w:ascii="Tahoma" w:eastAsia="Times New Roman" w:hAnsi="Tahoma" w:cs="Tahoma"/>
        </w:rPr>
        <w:t xml:space="preserve">CCS </w:t>
      </w:r>
      <w:r w:rsidRPr="00240545">
        <w:rPr>
          <w:rFonts w:ascii="Tahoma" w:eastAsia="Times New Roman" w:hAnsi="Tahoma" w:cs="Tahoma"/>
          <w:b/>
          <w:bCs/>
          <w:u w:val="single"/>
        </w:rPr>
        <w:t xml:space="preserve">or SAE J3271 MCS </w:t>
      </w:r>
      <w:r w:rsidRPr="00240545">
        <w:rPr>
          <w:rFonts w:ascii="Tahoma" w:eastAsia="Times New Roman" w:hAnsi="Tahoma" w:cs="Tahoma"/>
        </w:rPr>
        <w:t>connector. Additional connector types [</w:t>
      </w:r>
      <w:r w:rsidRPr="00240545">
        <w:rPr>
          <w:rFonts w:ascii="Tahoma" w:eastAsia="Times New Roman" w:hAnsi="Tahoma" w:cs="Tahoma"/>
          <w:strike/>
        </w:rPr>
        <w:t>such as SAE J3400 or Megawatt Charging System (MCS)</w:t>
      </w:r>
      <w:r w:rsidRPr="00240545">
        <w:rPr>
          <w:rFonts w:ascii="Tahoma" w:eastAsia="Times New Roman" w:hAnsi="Tahoma" w:cs="Tahoma"/>
        </w:rPr>
        <w:t>] are allowed [</w:t>
      </w:r>
      <w:r w:rsidRPr="00240545">
        <w:rPr>
          <w:rFonts w:ascii="Tahoma" w:eastAsia="Times New Roman" w:hAnsi="Tahoma" w:cs="Tahoma"/>
          <w:strike/>
        </w:rPr>
        <w:t>to be installed</w:t>
      </w:r>
      <w:r w:rsidRPr="00240545">
        <w:rPr>
          <w:rFonts w:ascii="Tahoma" w:eastAsia="Times New Roman" w:hAnsi="Tahoma" w:cs="Tahoma"/>
        </w:rPr>
        <w:t>] if the previous requirement is [</w:t>
      </w:r>
      <w:r w:rsidRPr="00240545">
        <w:rPr>
          <w:rFonts w:ascii="Tahoma" w:eastAsia="Times New Roman" w:hAnsi="Tahoma" w:cs="Tahoma"/>
          <w:strike/>
        </w:rPr>
        <w:t>still</w:t>
      </w:r>
      <w:r w:rsidRPr="00240545">
        <w:rPr>
          <w:rFonts w:ascii="Tahoma" w:eastAsia="Times New Roman" w:hAnsi="Tahoma" w:cs="Tahoma"/>
        </w:rPr>
        <w:t>] met.</w:t>
      </w:r>
    </w:p>
    <w:p w14:paraId="5FDD631C" w14:textId="77777777" w:rsidR="0077421B" w:rsidRPr="00240545" w:rsidRDefault="0077421B" w:rsidP="0077421B">
      <w:pPr>
        <w:numPr>
          <w:ilvl w:val="3"/>
          <w:numId w:val="36"/>
        </w:numPr>
        <w:spacing w:before="100" w:after="100"/>
        <w:ind w:left="2160"/>
        <w:rPr>
          <w:rFonts w:ascii="Tahoma" w:eastAsia="Times New Roman" w:hAnsi="Tahoma" w:cs="Tahoma"/>
        </w:rPr>
      </w:pPr>
      <w:r w:rsidRPr="00240545">
        <w:rPr>
          <w:rFonts w:ascii="Tahoma" w:eastAsia="Times New Roman" w:hAnsi="Tahoma" w:cs="Tahoma"/>
          <w:lang w:eastAsia="x-none"/>
        </w:rPr>
        <w:t>All charging ports must be capable of 375 Amps. </w:t>
      </w:r>
    </w:p>
    <w:p w14:paraId="4B30112C" w14:textId="77777777" w:rsidR="0077421B" w:rsidRPr="00240545" w:rsidRDefault="0077421B" w:rsidP="0077421B">
      <w:pPr>
        <w:numPr>
          <w:ilvl w:val="1"/>
          <w:numId w:val="36"/>
        </w:numPr>
        <w:spacing w:before="100" w:beforeAutospacing="1" w:after="100" w:afterAutospacing="1"/>
        <w:ind w:left="1800"/>
        <w:rPr>
          <w:rFonts w:ascii="Tahoma" w:eastAsia="Times New Roman" w:hAnsi="Tahoma" w:cs="Tahoma"/>
        </w:rPr>
      </w:pPr>
      <w:r w:rsidRPr="00240545">
        <w:rPr>
          <w:rFonts w:ascii="Tahoma" w:eastAsia="Times New Roman" w:hAnsi="Tahoma" w:cs="Tahoma"/>
          <w:lang w:eastAsia="x-none"/>
        </w:rPr>
        <w:t>The charging stations are strongly encouraged to have 480 V 3-phase power available and adequate transformer capacity to serve the DCFCs.</w:t>
      </w:r>
    </w:p>
    <w:p w14:paraId="0E0FA353" w14:textId="77777777" w:rsidR="0077421B" w:rsidRPr="00240545" w:rsidRDefault="0077421B" w:rsidP="0077421B">
      <w:pPr>
        <w:numPr>
          <w:ilvl w:val="1"/>
          <w:numId w:val="36"/>
        </w:numPr>
        <w:spacing w:before="100" w:beforeAutospacing="1" w:after="100" w:afterAutospacing="1"/>
        <w:ind w:left="1800"/>
        <w:rPr>
          <w:rFonts w:ascii="Tahoma" w:eastAsia="Times New Roman" w:hAnsi="Tahoma" w:cs="Tahoma"/>
        </w:rPr>
      </w:pPr>
      <w:r w:rsidRPr="00240545">
        <w:rPr>
          <w:rFonts w:ascii="Tahoma" w:eastAsia="Times New Roman" w:hAnsi="Tahoma" w:cs="Tahoma"/>
          <w:lang w:eastAsia="x-none"/>
        </w:rPr>
        <w:t>All station conduit runs installed must be sized to provide at least 350 kW. </w:t>
      </w:r>
    </w:p>
    <w:p w14:paraId="08F94E91" w14:textId="77777777" w:rsidR="0077421B" w:rsidRPr="00240545" w:rsidRDefault="0077421B" w:rsidP="00FC1770">
      <w:pPr>
        <w:numPr>
          <w:ilvl w:val="0"/>
          <w:numId w:val="28"/>
        </w:numPr>
        <w:spacing w:before="100" w:beforeAutospacing="1" w:after="120"/>
        <w:ind w:hanging="720"/>
        <w:rPr>
          <w:rFonts w:ascii="Tahoma" w:eastAsia="Times New Roman" w:hAnsi="Tahoma" w:cs="Tahoma"/>
        </w:rPr>
      </w:pPr>
      <w:r w:rsidRPr="00240545">
        <w:rPr>
          <w:rFonts w:ascii="Tahoma" w:eastAsia="Times New Roman" w:hAnsi="Tahoma" w:cs="Tahoma"/>
          <w:lang w:eastAsia="x-none"/>
        </w:rPr>
        <w:t xml:space="preserve">The charging port must be Energy Star certified and listed on the </w:t>
      </w:r>
      <w:hyperlink r:id="rId14">
        <w:r w:rsidRPr="00240545">
          <w:rPr>
            <w:rFonts w:ascii="Tahoma" w:eastAsia="Times New Roman" w:hAnsi="Tahoma" w:cs="Tahoma"/>
            <w:color w:val="0000FF"/>
            <w:u w:val="single"/>
            <w:lang w:eastAsia="x-none"/>
          </w:rPr>
          <w:t>Energy Star Product Finder Page</w:t>
        </w:r>
      </w:hyperlink>
      <w:r w:rsidRPr="00240545">
        <w:rPr>
          <w:rFonts w:ascii="Tahoma" w:eastAsia="Times New Roman" w:hAnsi="Tahoma" w:cs="Tahoma"/>
          <w:lang w:eastAsia="x-none"/>
        </w:rPr>
        <w:t>. They do not have to be certified at the time of submitting the proposal but must be certified prior to submitting an invoice that seeks repayment for the chargers. Chargers over 350 kW are not required to be Energy Star certified.  </w:t>
      </w:r>
    </w:p>
    <w:p w14:paraId="5F47D8FB" w14:textId="77777777" w:rsidR="0077421B" w:rsidRPr="00240545" w:rsidRDefault="0077421B" w:rsidP="00FC1770">
      <w:pPr>
        <w:numPr>
          <w:ilvl w:val="0"/>
          <w:numId w:val="28"/>
        </w:numPr>
        <w:spacing w:before="100" w:beforeAutospacing="1" w:after="120"/>
        <w:ind w:hanging="720"/>
        <w:rPr>
          <w:rFonts w:ascii="Tahoma" w:eastAsia="Times New Roman" w:hAnsi="Tahoma" w:cs="Tahoma"/>
        </w:rPr>
      </w:pPr>
      <w:r w:rsidRPr="00240545">
        <w:rPr>
          <w:rFonts w:ascii="Tahoma" w:eastAsia="Times New Roman" w:hAnsi="Tahoma" w:cs="Tahoma"/>
          <w:lang w:eastAsia="x-none"/>
        </w:rPr>
        <w:t>The charging port must conform to ISO 15118-3, and hardware must be capable of implementing ISO 15118-2</w:t>
      </w:r>
      <w:r w:rsidRPr="00240545">
        <w:rPr>
          <w:rFonts w:ascii="Tahoma" w:eastAsia="Times New Roman" w:hAnsi="Tahoma" w:cs="Tahoma"/>
          <w:b/>
          <w:bCs/>
          <w:u w:val="single"/>
          <w:lang w:eastAsia="x-none"/>
        </w:rPr>
        <w:t xml:space="preserve"> or 15118-20</w:t>
      </w:r>
      <w:r w:rsidRPr="00240545">
        <w:rPr>
          <w:rFonts w:ascii="Tahoma" w:eastAsia="Times New Roman" w:hAnsi="Tahoma" w:cs="Tahoma"/>
          <w:lang w:eastAsia="x-none"/>
        </w:rPr>
        <w:t>. </w:t>
      </w:r>
    </w:p>
    <w:p w14:paraId="5B1D9FE1" w14:textId="3DC7A994" w:rsidR="00D87A89" w:rsidRPr="00240545" w:rsidRDefault="0077421B" w:rsidP="00312DF8">
      <w:pPr>
        <w:numPr>
          <w:ilvl w:val="0"/>
          <w:numId w:val="28"/>
        </w:numPr>
        <w:spacing w:before="100" w:beforeAutospacing="1" w:after="100" w:afterAutospacing="1"/>
        <w:ind w:hanging="720"/>
        <w:rPr>
          <w:rFonts w:ascii="Tahoma" w:eastAsia="Times New Roman" w:hAnsi="Tahoma" w:cs="Tahoma"/>
        </w:rPr>
      </w:pPr>
      <w:r w:rsidRPr="00240545">
        <w:rPr>
          <w:rFonts w:ascii="Tahoma" w:eastAsia="Times New Roman" w:hAnsi="Tahoma" w:cs="Tahoma"/>
          <w:b/>
          <w:bCs/>
          <w:u w:val="single"/>
          <w:lang w:eastAsia="x-none"/>
        </w:rPr>
        <w:t>The data link for ISO 15118 communication must conform with an existing or under-development ISO 15118 physical layer, such as ISO 15118-3 or ISO 15118-10.</w:t>
      </w:r>
      <w:r w:rsidRPr="00240545">
        <w:rPr>
          <w:rFonts w:ascii="Tahoma" w:eastAsia="Times New Roman" w:hAnsi="Tahoma" w:cs="Tahoma"/>
          <w:lang w:eastAsia="x-none"/>
        </w:rPr>
        <w:t xml:space="preserve"> [</w:t>
      </w:r>
      <w:r w:rsidRPr="00240545">
        <w:rPr>
          <w:rFonts w:ascii="Tahoma" w:eastAsia="Times New Roman" w:hAnsi="Tahoma" w:cs="Tahoma"/>
          <w:strike/>
          <w:lang w:eastAsia="x-none"/>
        </w:rPr>
        <w:t>Conformance testing for charger software and hardware should follow ISO 15118-4 and 15118-5, respectively</w:t>
      </w:r>
      <w:r w:rsidRPr="00240545">
        <w:rPr>
          <w:rFonts w:ascii="Tahoma" w:eastAsia="Times New Roman" w:hAnsi="Tahoma" w:cs="Tahoma"/>
          <w:lang w:eastAsia="x-none"/>
        </w:rPr>
        <w:t>.]</w:t>
      </w:r>
    </w:p>
    <w:p w14:paraId="03744D0F" w14:textId="79B21386" w:rsidR="00C73D9D" w:rsidRPr="00240545" w:rsidRDefault="00B63452" w:rsidP="00F97AD7">
      <w:pPr>
        <w:pStyle w:val="ListParagraph"/>
        <w:numPr>
          <w:ilvl w:val="0"/>
          <w:numId w:val="1"/>
        </w:numPr>
        <w:rPr>
          <w:rFonts w:ascii="Tahoma" w:hAnsi="Tahoma" w:cs="Tahoma"/>
          <w:b/>
          <w:bCs/>
        </w:rPr>
      </w:pPr>
      <w:r w:rsidRPr="00240545">
        <w:rPr>
          <w:rFonts w:ascii="Tahoma" w:hAnsi="Tahoma" w:cs="Tahoma"/>
          <w:b/>
          <w:bCs/>
        </w:rPr>
        <w:t>Section II.E</w:t>
      </w:r>
      <w:r w:rsidR="00BB1390" w:rsidRPr="00240545">
        <w:rPr>
          <w:rFonts w:ascii="Tahoma" w:hAnsi="Tahoma" w:cs="Tahoma"/>
          <w:b/>
          <w:bCs/>
        </w:rPr>
        <w:t>.</w:t>
      </w:r>
      <w:r w:rsidRPr="00240545">
        <w:rPr>
          <w:rFonts w:ascii="Tahoma" w:hAnsi="Tahoma" w:cs="Tahoma"/>
          <w:b/>
          <w:bCs/>
        </w:rPr>
        <w:t xml:space="preserve"> Eligible Project Costs</w:t>
      </w:r>
    </w:p>
    <w:p w14:paraId="192953F8" w14:textId="48FC20E3" w:rsidR="00B63452" w:rsidRPr="00240545" w:rsidRDefault="00B63452" w:rsidP="00B63452">
      <w:pPr>
        <w:pStyle w:val="ListParagraph"/>
        <w:ind w:left="360"/>
        <w:rPr>
          <w:rFonts w:ascii="Tahoma" w:hAnsi="Tahoma" w:cs="Tahoma"/>
          <w:b/>
          <w:bCs/>
        </w:rPr>
      </w:pPr>
    </w:p>
    <w:p w14:paraId="1916792A" w14:textId="77777777" w:rsidR="00B63452" w:rsidRPr="00240545" w:rsidRDefault="00B63452" w:rsidP="00F97AD7">
      <w:pPr>
        <w:numPr>
          <w:ilvl w:val="0"/>
          <w:numId w:val="8"/>
        </w:numPr>
        <w:rPr>
          <w:rFonts w:ascii="Tahoma" w:hAnsi="Tahoma" w:cs="Tahoma"/>
        </w:rPr>
      </w:pPr>
      <w:bookmarkStart w:id="2" w:name="_Hlk177453757"/>
      <w:r w:rsidRPr="00240545">
        <w:rPr>
          <w:rFonts w:ascii="Tahoma" w:hAnsi="Tahoma" w:cs="Tahoma"/>
        </w:rPr>
        <w:t>For Electric Vehicle Charging Infrastructure (CEC reimbursement or match share):</w:t>
      </w:r>
    </w:p>
    <w:bookmarkEnd w:id="2"/>
    <w:p w14:paraId="0E330A84" w14:textId="77777777" w:rsidR="00B63452" w:rsidRPr="00240545" w:rsidRDefault="00B63452" w:rsidP="00B63452">
      <w:pPr>
        <w:ind w:left="1080" w:hanging="360"/>
        <w:rPr>
          <w:rFonts w:ascii="Tahoma" w:hAnsi="Tahoma" w:cs="Tahoma"/>
        </w:rPr>
      </w:pPr>
    </w:p>
    <w:p w14:paraId="57271DA7"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t>Electric vehicle supply equipment (EVSE)</w:t>
      </w:r>
    </w:p>
    <w:p w14:paraId="12A9763F"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t>Transformers</w:t>
      </w:r>
    </w:p>
    <w:p w14:paraId="0A2A1BEB"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t>Electric panels</w:t>
      </w:r>
    </w:p>
    <w:p w14:paraId="0C7DAF5C"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t>Conduit</w:t>
      </w:r>
    </w:p>
    <w:p w14:paraId="4CBD1D9C"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t>Wiring</w:t>
      </w:r>
    </w:p>
    <w:p w14:paraId="0E25C490"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t>Meters</w:t>
      </w:r>
    </w:p>
    <w:p w14:paraId="59F28873"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t>Installation costs</w:t>
      </w:r>
    </w:p>
    <w:p w14:paraId="48699033"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t>Point of Sale Systems</w:t>
      </w:r>
    </w:p>
    <w:p w14:paraId="14CDC800"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t>Demand management equipment</w:t>
      </w:r>
    </w:p>
    <w:p w14:paraId="357E68D0"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t xml:space="preserve">Planning and engineering design </w:t>
      </w:r>
    </w:p>
    <w:p w14:paraId="4D87D1F9"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lastRenderedPageBreak/>
        <w:t>Commissioning</w:t>
      </w:r>
    </w:p>
    <w:p w14:paraId="6E8F1233" w14:textId="77777777" w:rsidR="00B63452" w:rsidRPr="00240545" w:rsidRDefault="00B63452" w:rsidP="00F97AD7">
      <w:pPr>
        <w:numPr>
          <w:ilvl w:val="2"/>
          <w:numId w:val="9"/>
        </w:numPr>
        <w:spacing w:after="60"/>
        <w:ind w:left="1440"/>
        <w:rPr>
          <w:rFonts w:ascii="Tahoma" w:hAnsi="Tahoma" w:cs="Tahoma"/>
        </w:rPr>
      </w:pPr>
      <w:r w:rsidRPr="00240545">
        <w:rPr>
          <w:rFonts w:ascii="Tahoma" w:hAnsi="Tahoma" w:cs="Tahoma"/>
        </w:rPr>
        <w:t>Utility service upgrades</w:t>
      </w:r>
    </w:p>
    <w:p w14:paraId="0CC5D6AD" w14:textId="77777777" w:rsidR="00BB1390" w:rsidRPr="00240545" w:rsidRDefault="00BB1390" w:rsidP="00F97AD7">
      <w:pPr>
        <w:numPr>
          <w:ilvl w:val="2"/>
          <w:numId w:val="9"/>
        </w:numPr>
        <w:spacing w:after="60"/>
        <w:ind w:left="1440"/>
        <w:rPr>
          <w:rFonts w:ascii="Tahoma" w:hAnsi="Tahoma" w:cs="Tahoma"/>
          <w:bCs/>
        </w:rPr>
      </w:pPr>
      <w:r w:rsidRPr="00240545">
        <w:rPr>
          <w:rFonts w:ascii="Tahoma" w:hAnsi="Tahoma" w:cs="Tahoma"/>
          <w:bCs/>
        </w:rPr>
        <w:t>Commercially available energy storage and renewable distributed energy resources (DER) such as photovoltaic solar panels separately metered for electric charging. Eligible reimbursable costs for commercially available energy storage and renewable DERs may not exceed 50% of CEC grant funds per port/refueling position. For example, if proposing four 750 kW[</w:t>
      </w:r>
      <w:r w:rsidRPr="00240545">
        <w:rPr>
          <w:rFonts w:ascii="Tahoma" w:hAnsi="Tahoma" w:cs="Tahoma"/>
          <w:bCs/>
          <w:strike/>
        </w:rPr>
        <w:t>h</w:t>
      </w:r>
      <w:r w:rsidRPr="00240545">
        <w:rPr>
          <w:rFonts w:ascii="Tahoma" w:hAnsi="Tahoma" w:cs="Tahoma"/>
          <w:bCs/>
        </w:rPr>
        <w:t>] charging ports at $500,000 each, reimbursable costs for energy storage and renewable DERs may not exceed $1 million (50% of $500,000 times four)</w:t>
      </w:r>
    </w:p>
    <w:p w14:paraId="1CC97195" w14:textId="42D27963" w:rsidR="00BB1390" w:rsidRPr="00240545" w:rsidRDefault="00BB1390" w:rsidP="00F97AD7">
      <w:pPr>
        <w:numPr>
          <w:ilvl w:val="2"/>
          <w:numId w:val="9"/>
        </w:numPr>
        <w:spacing w:after="60"/>
        <w:ind w:left="1440"/>
        <w:rPr>
          <w:rFonts w:ascii="Tahoma" w:hAnsi="Tahoma" w:cs="Tahoma"/>
        </w:rPr>
      </w:pPr>
      <w:r w:rsidRPr="00240545">
        <w:rPr>
          <w:rFonts w:ascii="Tahoma" w:hAnsi="Tahoma" w:cs="Tahoma"/>
        </w:rPr>
        <w:t>Project management[</w:t>
      </w:r>
      <w:r w:rsidRPr="00240545">
        <w:rPr>
          <w:rFonts w:ascii="Tahoma" w:hAnsi="Tahoma" w:cs="Tahoma"/>
          <w:strike/>
          <w:vertAlign w:val="superscript"/>
        </w:rPr>
        <w:t>3</w:t>
      </w:r>
      <w:r w:rsidRPr="00240545">
        <w:rPr>
          <w:rFonts w:ascii="Tahoma" w:hAnsi="Tahoma" w:cs="Tahoma"/>
        </w:rPr>
        <w:t>]</w:t>
      </w:r>
    </w:p>
    <w:p w14:paraId="77172696" w14:textId="2F6BBFCC" w:rsidR="00BB1390" w:rsidRPr="00240545" w:rsidRDefault="00BB1390" w:rsidP="00F97AD7">
      <w:pPr>
        <w:numPr>
          <w:ilvl w:val="2"/>
          <w:numId w:val="9"/>
        </w:numPr>
        <w:spacing w:after="60"/>
        <w:ind w:left="1440"/>
        <w:rPr>
          <w:rFonts w:ascii="Tahoma" w:hAnsi="Tahoma" w:cs="Tahoma"/>
        </w:rPr>
      </w:pPr>
      <w:r w:rsidRPr="00240545">
        <w:rPr>
          <w:rFonts w:ascii="Tahoma" w:hAnsi="Tahoma" w:cs="Tahoma"/>
        </w:rPr>
        <w:t>Electric vehicle charging infrastructure workforce development and training[</w:t>
      </w:r>
      <w:r w:rsidRPr="00240545">
        <w:rPr>
          <w:rFonts w:ascii="Tahoma" w:hAnsi="Tahoma" w:cs="Tahoma"/>
          <w:strike/>
          <w:vertAlign w:val="superscript"/>
        </w:rPr>
        <w:t>4</w:t>
      </w:r>
      <w:r w:rsidRPr="00240545">
        <w:rPr>
          <w:rFonts w:ascii="Tahoma" w:hAnsi="Tahoma" w:cs="Tahoma"/>
        </w:rPr>
        <w:t>]</w:t>
      </w:r>
    </w:p>
    <w:p w14:paraId="4E3030F1" w14:textId="327848D7" w:rsidR="00BB1390" w:rsidRPr="00240545" w:rsidRDefault="00BB1390" w:rsidP="00F97AD7">
      <w:pPr>
        <w:numPr>
          <w:ilvl w:val="2"/>
          <w:numId w:val="9"/>
        </w:numPr>
        <w:spacing w:after="60"/>
        <w:ind w:left="1440"/>
        <w:rPr>
          <w:rFonts w:ascii="Tahoma" w:hAnsi="Tahoma" w:cs="Tahoma"/>
        </w:rPr>
      </w:pPr>
      <w:r w:rsidRPr="00240545">
        <w:rPr>
          <w:rFonts w:ascii="Tahoma" w:hAnsi="Tahoma" w:cs="Tahoma"/>
        </w:rPr>
        <w:t>Engagement and outreach[</w:t>
      </w:r>
      <w:r w:rsidRPr="00240545">
        <w:rPr>
          <w:rFonts w:ascii="Tahoma" w:hAnsi="Tahoma" w:cs="Tahoma"/>
          <w:strike/>
          <w:vertAlign w:val="superscript"/>
        </w:rPr>
        <w:t>5</w:t>
      </w:r>
      <w:r w:rsidRPr="00240545">
        <w:rPr>
          <w:rFonts w:ascii="Tahoma" w:hAnsi="Tahoma" w:cs="Tahoma"/>
        </w:rPr>
        <w:t>]</w:t>
      </w:r>
    </w:p>
    <w:p w14:paraId="29D26F7C" w14:textId="77777777" w:rsidR="00BB1390" w:rsidRPr="00240545" w:rsidRDefault="00BB1390" w:rsidP="00BB1390">
      <w:pPr>
        <w:ind w:left="1080"/>
        <w:rPr>
          <w:rFonts w:ascii="Tahoma" w:hAnsi="Tahoma" w:cs="Tahoma"/>
        </w:rPr>
      </w:pPr>
    </w:p>
    <w:p w14:paraId="090BAB09" w14:textId="77777777" w:rsidR="00BB1390" w:rsidRPr="00240545" w:rsidRDefault="00BB1390" w:rsidP="00F97AD7">
      <w:pPr>
        <w:numPr>
          <w:ilvl w:val="0"/>
          <w:numId w:val="8"/>
        </w:numPr>
        <w:rPr>
          <w:rFonts w:ascii="Tahoma" w:hAnsi="Tahoma" w:cs="Tahoma"/>
        </w:rPr>
      </w:pPr>
      <w:bookmarkStart w:id="3" w:name="_Hlk177453922"/>
      <w:r w:rsidRPr="00240545">
        <w:rPr>
          <w:rFonts w:ascii="Tahoma" w:hAnsi="Tahoma" w:cs="Tahoma"/>
        </w:rPr>
        <w:t>For Hydrogen Refueling Infrastructure (CEC reimbursement or match share):</w:t>
      </w:r>
    </w:p>
    <w:bookmarkEnd w:id="3"/>
    <w:p w14:paraId="1FAD3A95" w14:textId="77777777" w:rsidR="00BB1390" w:rsidRPr="00240545" w:rsidRDefault="00BB1390" w:rsidP="00BB1390">
      <w:pPr>
        <w:ind w:left="1080"/>
        <w:rPr>
          <w:rFonts w:ascii="Tahoma" w:hAnsi="Tahoma" w:cs="Tahoma"/>
        </w:rPr>
      </w:pPr>
    </w:p>
    <w:p w14:paraId="53AD3673"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Compressors</w:t>
      </w:r>
    </w:p>
    <w:p w14:paraId="370ECF31"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Cryogenic pumps</w:t>
      </w:r>
    </w:p>
    <w:p w14:paraId="4E2F567A"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Dispenser with hose and nozzles</w:t>
      </w:r>
    </w:p>
    <w:p w14:paraId="091571B2"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 xml:space="preserve">High pressure hydrogen storage tubes </w:t>
      </w:r>
    </w:p>
    <w:p w14:paraId="16B7784F"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Liquid hydrogen storage tanks/cryogenic tanks</w:t>
      </w:r>
    </w:p>
    <w:p w14:paraId="178F1C7C"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 xml:space="preserve">Shipping </w:t>
      </w:r>
    </w:p>
    <w:p w14:paraId="684473D9"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Installation costs</w:t>
      </w:r>
    </w:p>
    <w:p w14:paraId="251D2B84"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Point of Sale Systems</w:t>
      </w:r>
    </w:p>
    <w:p w14:paraId="6B1B3F11"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Planning and engineering design</w:t>
      </w:r>
    </w:p>
    <w:p w14:paraId="0F4F6065"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Commissioning</w:t>
      </w:r>
    </w:p>
    <w:p w14:paraId="7331C7D9"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w:t>
      </w:r>
      <w:r w:rsidRPr="00240545">
        <w:rPr>
          <w:rFonts w:ascii="Tahoma" w:hAnsi="Tahoma" w:cs="Tahoma"/>
          <w:strike/>
        </w:rPr>
        <w:t>Servicing</w:t>
      </w:r>
      <w:r w:rsidRPr="00240545">
        <w:rPr>
          <w:rFonts w:ascii="Tahoma" w:hAnsi="Tahoma" w:cs="Tahoma"/>
        </w:rPr>
        <w:t>]</w:t>
      </w:r>
    </w:p>
    <w:p w14:paraId="57CCC2C5" w14:textId="77777777" w:rsidR="00BB1390" w:rsidRPr="00240545" w:rsidRDefault="00BB1390" w:rsidP="00F97AD7">
      <w:pPr>
        <w:numPr>
          <w:ilvl w:val="2"/>
          <w:numId w:val="9"/>
        </w:numPr>
        <w:spacing w:after="60"/>
        <w:ind w:left="1440"/>
        <w:rPr>
          <w:rFonts w:ascii="Tahoma" w:hAnsi="Tahoma" w:cs="Tahoma"/>
          <w:bCs/>
        </w:rPr>
      </w:pPr>
      <w:r w:rsidRPr="00240545">
        <w:rPr>
          <w:rFonts w:ascii="Tahoma" w:hAnsi="Tahoma" w:cs="Tahoma"/>
          <w:bCs/>
        </w:rPr>
        <w:t>Commercially available energy storage and renewable distributed energy resources (DER such as photovoltaic solar panels separately metered for hydrogen refueling. Eligible reimbursable costs for commercially available energy storage and renewable DERs may not exceed 50% of CEC grant funds per port/refueling position. For example, if proposing two refueling positions at $2,000,000, reimbursable costs for energy storage and renewable DERs, may not exceed $1 million (50% of $2,000,000)</w:t>
      </w:r>
    </w:p>
    <w:p w14:paraId="6558F1FB" w14:textId="50B1AA75"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Project management[</w:t>
      </w:r>
      <w:r w:rsidRPr="00240545">
        <w:rPr>
          <w:rFonts w:ascii="Tahoma" w:hAnsi="Tahoma" w:cs="Tahoma"/>
          <w:strike/>
          <w:vertAlign w:val="superscript"/>
        </w:rPr>
        <w:t>6</w:t>
      </w:r>
      <w:r w:rsidRPr="00240545">
        <w:rPr>
          <w:rFonts w:ascii="Tahoma" w:hAnsi="Tahoma" w:cs="Tahoma"/>
        </w:rPr>
        <w:t xml:space="preserve">] </w:t>
      </w:r>
    </w:p>
    <w:p w14:paraId="20481209" w14:textId="5300BD8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Hydrogen refueling infrastructure workforce development and training[</w:t>
      </w:r>
      <w:r w:rsidRPr="00240545">
        <w:rPr>
          <w:rFonts w:ascii="Tahoma" w:hAnsi="Tahoma" w:cs="Tahoma"/>
          <w:strike/>
          <w:vertAlign w:val="superscript"/>
        </w:rPr>
        <w:t>7</w:t>
      </w:r>
      <w:r w:rsidRPr="00240545">
        <w:rPr>
          <w:rFonts w:ascii="Tahoma" w:hAnsi="Tahoma" w:cs="Tahoma"/>
        </w:rPr>
        <w:t xml:space="preserve">] </w:t>
      </w:r>
    </w:p>
    <w:p w14:paraId="07E8B3AC" w14:textId="1C6494F4"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Engagement and outreach[</w:t>
      </w:r>
      <w:r w:rsidRPr="00240545">
        <w:rPr>
          <w:rFonts w:ascii="Tahoma" w:hAnsi="Tahoma" w:cs="Tahoma"/>
          <w:strike/>
          <w:vertAlign w:val="superscript"/>
        </w:rPr>
        <w:t>8</w:t>
      </w:r>
      <w:r w:rsidRPr="00240545">
        <w:rPr>
          <w:rFonts w:ascii="Tahoma" w:hAnsi="Tahoma" w:cs="Tahoma"/>
        </w:rPr>
        <w:t xml:space="preserve">] </w:t>
      </w:r>
    </w:p>
    <w:p w14:paraId="0E14467C" w14:textId="33382772" w:rsidR="00BB1390" w:rsidRPr="00240545" w:rsidRDefault="00BB1390" w:rsidP="00BB1390">
      <w:pPr>
        <w:ind w:left="1080"/>
        <w:textAlignment w:val="baseline"/>
        <w:rPr>
          <w:rFonts w:ascii="Tahoma" w:hAnsi="Tahoma" w:cs="Tahoma"/>
          <w:b/>
          <w:bCs/>
          <w:u w:val="single"/>
        </w:rPr>
      </w:pPr>
      <w:r w:rsidRPr="00240545">
        <w:rPr>
          <w:rFonts w:ascii="Tahoma" w:eastAsia="Tahoma" w:hAnsi="Tahoma" w:cs="Tahoma"/>
        </w:rPr>
        <w:t xml:space="preserve">Applicants can review the EnergIIZE Commercial Vehicles </w:t>
      </w:r>
      <w:hyperlink r:id="rId15" w:history="1">
        <w:r w:rsidRPr="00240545">
          <w:rPr>
            <w:rStyle w:val="Hyperlink"/>
            <w:rFonts w:ascii="Tahoma" w:eastAsia="Tahoma" w:hAnsi="Tahoma" w:cs="Tahoma"/>
          </w:rPr>
          <w:t>Technology Catalog</w:t>
        </w:r>
      </w:hyperlink>
      <w:r w:rsidRPr="00240545">
        <w:rPr>
          <w:rFonts w:ascii="Tahoma" w:eastAsia="Tahoma" w:hAnsi="Tahoma" w:cs="Tahoma"/>
        </w:rPr>
        <w:t xml:space="preserve"> for a list of commercially-available electric vehicle charging infrastructure technologies that qualify as eligible costs, found at </w:t>
      </w:r>
      <w:r w:rsidRPr="00240545">
        <w:rPr>
          <w:rFonts w:ascii="Tahoma" w:eastAsia="Tahoma" w:hAnsi="Tahoma" w:cs="Tahoma"/>
        </w:rPr>
        <w:lastRenderedPageBreak/>
        <w:t>https://www.energiize.org/infrastructure?section=infrastructure.more-details.technology.</w:t>
      </w:r>
    </w:p>
    <w:p w14:paraId="3AE0C941" w14:textId="77777777" w:rsidR="00BB1390" w:rsidRPr="00240545" w:rsidRDefault="00BB1390" w:rsidP="00BB1390">
      <w:pPr>
        <w:ind w:left="1080"/>
        <w:rPr>
          <w:rFonts w:ascii="Tahoma" w:hAnsi="Tahoma" w:cs="Tahoma"/>
        </w:rPr>
      </w:pPr>
    </w:p>
    <w:p w14:paraId="5C95A405" w14:textId="77777777" w:rsidR="00BB1390" w:rsidRPr="00240545" w:rsidRDefault="00BB1390" w:rsidP="00BB1390">
      <w:pPr>
        <w:ind w:left="1080"/>
        <w:rPr>
          <w:rFonts w:ascii="Tahoma" w:hAnsi="Tahoma" w:cs="Tahoma"/>
        </w:rPr>
      </w:pPr>
      <w:r w:rsidRPr="00240545">
        <w:rPr>
          <w:rFonts w:ascii="Tahoma" w:hAnsi="Tahoma" w:cs="Tahoma"/>
        </w:rPr>
        <w:t xml:space="preserve">The following are </w:t>
      </w:r>
      <w:r w:rsidRPr="00240545">
        <w:rPr>
          <w:rFonts w:ascii="Tahoma" w:hAnsi="Tahoma" w:cs="Tahoma"/>
          <w:b/>
          <w:bCs/>
        </w:rPr>
        <w:t>not eligible</w:t>
      </w:r>
      <w:r w:rsidRPr="00240545">
        <w:rPr>
          <w:rFonts w:ascii="Tahoma" w:hAnsi="Tahoma" w:cs="Tahoma"/>
        </w:rPr>
        <w:t xml:space="preserve"> for CEC reimbursement but may be included as an Applicant’s match share.</w:t>
      </w:r>
    </w:p>
    <w:p w14:paraId="73C232BF" w14:textId="77777777" w:rsidR="00BB1390" w:rsidRPr="00240545" w:rsidRDefault="00BB1390" w:rsidP="00BB1390">
      <w:pPr>
        <w:ind w:left="1080"/>
        <w:rPr>
          <w:rFonts w:ascii="Tahoma" w:hAnsi="Tahoma" w:cs="Tahoma"/>
        </w:rPr>
      </w:pPr>
    </w:p>
    <w:p w14:paraId="7C21CEE8"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 xml:space="preserve">Level 2 or greater chargers for light-duty electric vehicle charging </w:t>
      </w:r>
    </w:p>
    <w:p w14:paraId="380B8E7F"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 xml:space="preserve">Light-duty H70 dispensers for passenger FCEVs </w:t>
      </w:r>
    </w:p>
    <w:p w14:paraId="2E666D7D"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 xml:space="preserve">Renewable hydrogen production equipment </w:t>
      </w:r>
    </w:p>
    <w:p w14:paraId="2A831599"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 xml:space="preserve">Warranties for term of the agreement </w:t>
      </w:r>
    </w:p>
    <w:p w14:paraId="01E06979"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b/>
          <w:bCs/>
          <w:u w:val="single"/>
        </w:rPr>
        <w:t>Servicing</w:t>
      </w:r>
    </w:p>
    <w:p w14:paraId="193B0719"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 xml:space="preserve">Equipment maintenance for term of the agreement </w:t>
      </w:r>
    </w:p>
    <w:p w14:paraId="088C1025"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Network agreement with network provider</w:t>
      </w:r>
    </w:p>
    <w:p w14:paraId="00541F8E" w14:textId="1320BADB"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Stub-outs and make-ready</w:t>
      </w:r>
      <w:r w:rsidR="00B6077F" w:rsidRPr="00240545">
        <w:rPr>
          <w:rFonts w:ascii="Tahoma" w:hAnsi="Tahoma" w:cs="Tahoma"/>
          <w:vertAlign w:val="superscript"/>
        </w:rPr>
        <w:t>9</w:t>
      </w:r>
      <w:r w:rsidRPr="00240545">
        <w:rPr>
          <w:rFonts w:ascii="Tahoma" w:hAnsi="Tahoma" w:cs="Tahoma"/>
        </w:rPr>
        <w:t xml:space="preserve"> equipment</w:t>
      </w:r>
    </w:p>
    <w:p w14:paraId="364B4255"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Signage</w:t>
      </w:r>
    </w:p>
    <w:p w14:paraId="003C961E"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Tests for regulatory compliance</w:t>
      </w:r>
    </w:p>
    <w:p w14:paraId="2F57B997"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Permitting, insurance, land purchases, and land leases</w:t>
      </w:r>
    </w:p>
    <w:p w14:paraId="5377B4A4" w14:textId="77777777" w:rsidR="00BB1390" w:rsidRPr="00240545" w:rsidRDefault="00BB1390" w:rsidP="00F97AD7">
      <w:pPr>
        <w:numPr>
          <w:ilvl w:val="2"/>
          <w:numId w:val="11"/>
        </w:numPr>
        <w:spacing w:after="60"/>
        <w:ind w:left="1440"/>
        <w:rPr>
          <w:rFonts w:ascii="Tahoma" w:hAnsi="Tahoma" w:cs="Tahoma"/>
        </w:rPr>
      </w:pPr>
      <w:r w:rsidRPr="00240545">
        <w:rPr>
          <w:rFonts w:ascii="Tahoma" w:hAnsi="Tahoma" w:cs="Tahoma"/>
        </w:rPr>
        <w:t xml:space="preserve">Security fencing and other security measures  </w:t>
      </w:r>
    </w:p>
    <w:p w14:paraId="45A1492E" w14:textId="77777777" w:rsidR="00BB1390" w:rsidRPr="00240545" w:rsidRDefault="00BB1390" w:rsidP="00BB1390">
      <w:pPr>
        <w:spacing w:after="60"/>
        <w:rPr>
          <w:rFonts w:ascii="Tahoma" w:hAnsi="Tahoma" w:cs="Tahoma"/>
        </w:rPr>
      </w:pPr>
    </w:p>
    <w:p w14:paraId="531AF33C" w14:textId="5F8AD4BB" w:rsidR="003545F2" w:rsidRPr="00240545" w:rsidRDefault="003545F2" w:rsidP="00BB1390">
      <w:pPr>
        <w:spacing w:after="60"/>
        <w:rPr>
          <w:rFonts w:ascii="Tahoma" w:hAnsi="Tahoma" w:cs="Tahoma"/>
        </w:rPr>
      </w:pPr>
      <w:r w:rsidRPr="00240545">
        <w:rPr>
          <w:rFonts w:ascii="Tahoma" w:hAnsi="Tahoma" w:cs="Tahoma"/>
          <w:noProof/>
        </w:rPr>
        <w:drawing>
          <wp:inline distT="0" distB="0" distL="0" distR="0" wp14:anchorId="6C0FF2D5" wp14:editId="5303BD1B">
            <wp:extent cx="6245352" cy="1179576"/>
            <wp:effectExtent l="0" t="0" r="3175" b="1905"/>
            <wp:docPr id="1889903526" name="Picture 1" descr="Graphic shows deletion of footnotes 3-5 on page 34 of the GFO manual addendum 6 (updated) related to maximum combined total eligible reimbursable costs of 7.5% for project management, engagement and outreach, and electric vehicle workforce development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03526" name="Picture 1" descr="Graphic shows deletion of footnotes 3-5 on page 34 of the GFO manual addendum 6 (updated) related to maximum combined total eligible reimbursable costs of 7.5% for project management, engagement and outreach, and electric vehicle workforce development training."/>
                    <pic:cNvPicPr/>
                  </pic:nvPicPr>
                  <pic:blipFill>
                    <a:blip r:embed="rId16"/>
                    <a:stretch>
                      <a:fillRect/>
                    </a:stretch>
                  </pic:blipFill>
                  <pic:spPr>
                    <a:xfrm>
                      <a:off x="0" y="0"/>
                      <a:ext cx="6245352" cy="1179576"/>
                    </a:xfrm>
                    <a:prstGeom prst="rect">
                      <a:avLst/>
                    </a:prstGeom>
                  </pic:spPr>
                </pic:pic>
              </a:graphicData>
            </a:graphic>
          </wp:inline>
        </w:drawing>
      </w:r>
    </w:p>
    <w:p w14:paraId="4C417068" w14:textId="58F8BDA8" w:rsidR="003545F2" w:rsidRPr="00240545" w:rsidRDefault="00752501" w:rsidP="00B60B07">
      <w:pPr>
        <w:spacing w:after="60"/>
        <w:ind w:firstLine="720"/>
        <w:rPr>
          <w:rFonts w:ascii="Tahoma" w:hAnsi="Tahoma" w:cs="Tahoma"/>
          <w:sz w:val="20"/>
          <w:szCs w:val="20"/>
        </w:rPr>
      </w:pPr>
      <w:r w:rsidRPr="00240545">
        <w:rPr>
          <w:rFonts w:ascii="Tahoma" w:hAnsi="Tahoma" w:cs="Tahoma"/>
          <w:sz w:val="20"/>
          <w:szCs w:val="20"/>
        </w:rPr>
        <w:t>Footnotes stricken as shown on page 33 of GFO-24-610 Addendum_06_updated</w:t>
      </w:r>
    </w:p>
    <w:p w14:paraId="6A3DBCDD" w14:textId="5BD50D7F" w:rsidR="003545F2" w:rsidRPr="00240545" w:rsidRDefault="000D3ED0" w:rsidP="00BB1390">
      <w:pPr>
        <w:spacing w:after="60"/>
        <w:rPr>
          <w:rFonts w:ascii="Tahoma" w:hAnsi="Tahoma" w:cs="Tahoma"/>
        </w:rPr>
      </w:pPr>
      <w:r w:rsidRPr="00240545">
        <w:rPr>
          <w:rFonts w:ascii="Tahoma" w:hAnsi="Tahoma" w:cs="Tahoma"/>
          <w:noProof/>
        </w:rPr>
        <w:drawing>
          <wp:inline distT="0" distB="0" distL="0" distR="0" wp14:anchorId="049CC768" wp14:editId="18E1FA9C">
            <wp:extent cx="6287135" cy="1238250"/>
            <wp:effectExtent l="0" t="0" r="0" b="0"/>
            <wp:docPr id="1136535516" name="Picture 1" descr="Graphic shows deletion of footnotes 6-8 on page 34 of the GFO manual addendum 6 (updated) related to maximum combined total eligible reimbursable costs of 7.5% for project management, engagement and outreach, and electric vehicle workforce development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35516" name="Picture 1" descr="Graphic shows deletion of footnotes 6-8 on page 34 of the GFO manual addendum 6 (updated) related to maximum combined total eligible reimbursable costs of 7.5% for project management, engagement and outreach, and electric vehicle workforce development trai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7135" cy="1238250"/>
                    </a:xfrm>
                    <a:prstGeom prst="rect">
                      <a:avLst/>
                    </a:prstGeom>
                    <a:noFill/>
                  </pic:spPr>
                </pic:pic>
              </a:graphicData>
            </a:graphic>
          </wp:inline>
        </w:drawing>
      </w:r>
    </w:p>
    <w:p w14:paraId="15C3FAAC" w14:textId="7E60BA28" w:rsidR="00B60B07" w:rsidRPr="00240545" w:rsidRDefault="0006607F" w:rsidP="00B60B07">
      <w:pPr>
        <w:spacing w:after="60"/>
        <w:ind w:firstLine="720"/>
        <w:rPr>
          <w:rFonts w:ascii="Tahoma" w:hAnsi="Tahoma" w:cs="Tahoma"/>
          <w:sz w:val="20"/>
          <w:szCs w:val="20"/>
        </w:rPr>
      </w:pPr>
      <w:commentRangeStart w:id="4"/>
      <w:commentRangeStart w:id="5"/>
      <w:commentRangeStart w:id="6"/>
      <w:commentRangeStart w:id="7"/>
      <w:commentRangeEnd w:id="4"/>
      <w:r w:rsidRPr="00240545">
        <w:rPr>
          <w:rStyle w:val="CommentReference"/>
          <w:rFonts w:ascii="Arial" w:eastAsia="Times New Roman" w:hAnsi="Arial" w:cs="Arial"/>
          <w:szCs w:val="20"/>
        </w:rPr>
        <w:commentReference w:id="4"/>
      </w:r>
      <w:commentRangeEnd w:id="5"/>
      <w:commentRangeEnd w:id="6"/>
      <w:r w:rsidR="007F255F" w:rsidRPr="00240545">
        <w:rPr>
          <w:rStyle w:val="CommentReference"/>
          <w:rFonts w:ascii="Arial" w:eastAsia="Times New Roman" w:hAnsi="Arial" w:cs="Arial"/>
          <w:szCs w:val="20"/>
        </w:rPr>
        <w:commentReference w:id="5"/>
      </w:r>
      <w:r w:rsidR="00280DD4" w:rsidRPr="00240545">
        <w:rPr>
          <w:rStyle w:val="CommentReference"/>
          <w:rFonts w:ascii="Arial" w:eastAsia="Times New Roman" w:hAnsi="Arial" w:cs="Arial"/>
          <w:szCs w:val="20"/>
        </w:rPr>
        <w:commentReference w:id="6"/>
      </w:r>
      <w:commentRangeEnd w:id="7"/>
      <w:r w:rsidR="00904BDF" w:rsidRPr="00240545">
        <w:rPr>
          <w:rStyle w:val="CommentReference"/>
          <w:rFonts w:ascii="Arial" w:eastAsia="Times New Roman" w:hAnsi="Arial" w:cs="Arial"/>
          <w:szCs w:val="20"/>
        </w:rPr>
        <w:commentReference w:id="7"/>
      </w:r>
      <w:r w:rsidR="00B60B07" w:rsidRPr="00240545">
        <w:rPr>
          <w:rFonts w:ascii="Tahoma" w:hAnsi="Tahoma" w:cs="Tahoma"/>
          <w:sz w:val="20"/>
          <w:szCs w:val="20"/>
        </w:rPr>
        <w:t xml:space="preserve"> Footnotes stricken as shown on page 34 of GFO-24-610 Addendum_06_updated</w:t>
      </w:r>
    </w:p>
    <w:p w14:paraId="27718CD7" w14:textId="1A744CC9" w:rsidR="00FC5238" w:rsidRPr="00240545" w:rsidRDefault="00FC5238" w:rsidP="00FC5238">
      <w:pPr>
        <w:spacing w:after="60"/>
        <w:ind w:firstLine="360"/>
        <w:rPr>
          <w:rFonts w:ascii="Tahoma" w:hAnsi="Tahoma" w:cs="Tahoma"/>
        </w:rPr>
      </w:pPr>
    </w:p>
    <w:p w14:paraId="16371C51" w14:textId="11DF4B59" w:rsidR="00BB1390" w:rsidRPr="00240545" w:rsidRDefault="00BB1390" w:rsidP="00BB1390">
      <w:pPr>
        <w:spacing w:after="60"/>
        <w:ind w:left="1440"/>
        <w:rPr>
          <w:rFonts w:ascii="Tahoma" w:hAnsi="Tahoma" w:cs="Tahoma"/>
        </w:rPr>
      </w:pPr>
    </w:p>
    <w:p w14:paraId="2E20590B" w14:textId="77777777" w:rsidR="002779E7" w:rsidRPr="00240545" w:rsidRDefault="002779E7">
      <w:pPr>
        <w:rPr>
          <w:rFonts w:ascii="Tahoma" w:hAnsi="Tahoma" w:cs="Tahoma"/>
          <w:b/>
          <w:bCs/>
        </w:rPr>
      </w:pPr>
      <w:bookmarkStart w:id="13" w:name="_Hlk212029639"/>
      <w:r w:rsidRPr="00240545">
        <w:rPr>
          <w:rFonts w:ascii="Tahoma" w:hAnsi="Tahoma" w:cs="Tahoma"/>
          <w:b/>
          <w:bCs/>
        </w:rPr>
        <w:br w:type="page"/>
      </w:r>
    </w:p>
    <w:p w14:paraId="3F6F219D" w14:textId="77AC7563" w:rsidR="00B63452" w:rsidRPr="00240545" w:rsidRDefault="00BB1390" w:rsidP="00F97AD7">
      <w:pPr>
        <w:pStyle w:val="ListParagraph"/>
        <w:numPr>
          <w:ilvl w:val="0"/>
          <w:numId w:val="1"/>
        </w:numPr>
        <w:rPr>
          <w:rFonts w:ascii="Tahoma" w:hAnsi="Tahoma" w:cs="Tahoma"/>
          <w:b/>
          <w:bCs/>
        </w:rPr>
      </w:pPr>
      <w:r w:rsidRPr="00240545">
        <w:rPr>
          <w:rFonts w:ascii="Tahoma" w:hAnsi="Tahoma" w:cs="Tahoma"/>
          <w:b/>
          <w:bCs/>
        </w:rPr>
        <w:lastRenderedPageBreak/>
        <w:t>Section III.D. Application Content</w:t>
      </w:r>
    </w:p>
    <w:tbl>
      <w:tblPr>
        <w:tblStyle w:val="TableGrid"/>
        <w:tblpPr w:leftFromText="180" w:rightFromText="180" w:vertAnchor="text" w:horzAnchor="margin" w:tblpXSpec="right" w:tblpY="20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5035"/>
        <w:gridCol w:w="4325"/>
      </w:tblGrid>
      <w:tr w:rsidR="00FC5238" w:rsidRPr="00240545" w14:paraId="101F6D7B" w14:textId="77777777" w:rsidTr="006E329B">
        <w:trPr>
          <w:trHeight w:val="281"/>
        </w:trPr>
        <w:tc>
          <w:tcPr>
            <w:tcW w:w="5035" w:type="dxa"/>
            <w:shd w:val="clear" w:color="auto" w:fill="D9D9D9" w:themeFill="background1" w:themeFillShade="D9"/>
          </w:tcPr>
          <w:bookmarkEnd w:id="13"/>
          <w:p w14:paraId="10F887FE" w14:textId="77777777" w:rsidR="00FC5238" w:rsidRPr="00240545" w:rsidRDefault="00FC5238" w:rsidP="00FC5238">
            <w:pPr>
              <w:jc w:val="center"/>
              <w:rPr>
                <w:rFonts w:ascii="Tahoma" w:hAnsi="Tahoma" w:cs="Tahoma"/>
                <w:b/>
              </w:rPr>
            </w:pPr>
            <w:r w:rsidRPr="00240545">
              <w:rPr>
                <w:rFonts w:ascii="Tahoma" w:hAnsi="Tahoma" w:cs="Tahoma"/>
                <w:b/>
              </w:rPr>
              <w:t>Item</w:t>
            </w:r>
          </w:p>
        </w:tc>
        <w:tc>
          <w:tcPr>
            <w:tcW w:w="4325" w:type="dxa"/>
            <w:shd w:val="clear" w:color="auto" w:fill="D9D9D9" w:themeFill="background1" w:themeFillShade="D9"/>
          </w:tcPr>
          <w:p w14:paraId="2985E142" w14:textId="77777777" w:rsidR="00FC5238" w:rsidRPr="00240545" w:rsidRDefault="00FC5238" w:rsidP="00FC5238">
            <w:pPr>
              <w:jc w:val="center"/>
              <w:rPr>
                <w:rFonts w:ascii="Tahoma" w:hAnsi="Tahoma" w:cs="Tahoma"/>
                <w:b/>
                <w:bCs/>
              </w:rPr>
            </w:pPr>
            <w:r w:rsidRPr="00240545">
              <w:rPr>
                <w:rFonts w:ascii="Tahoma" w:hAnsi="Tahoma" w:cs="Tahoma"/>
                <w:b/>
                <w:bCs/>
              </w:rPr>
              <w:t xml:space="preserve">Attachment Number </w:t>
            </w:r>
          </w:p>
        </w:tc>
      </w:tr>
      <w:tr w:rsidR="00FC5238" w:rsidRPr="00240545" w14:paraId="79F12596" w14:textId="77777777" w:rsidTr="006E329B">
        <w:trPr>
          <w:trHeight w:val="281"/>
        </w:trPr>
        <w:tc>
          <w:tcPr>
            <w:tcW w:w="5035" w:type="dxa"/>
          </w:tcPr>
          <w:p w14:paraId="20B7CC9F" w14:textId="77777777" w:rsidR="00FC5238" w:rsidRPr="00240545" w:rsidRDefault="00FC5238" w:rsidP="00FC5238">
            <w:pPr>
              <w:rPr>
                <w:rFonts w:ascii="Tahoma" w:hAnsi="Tahoma" w:cs="Tahoma"/>
              </w:rPr>
            </w:pPr>
            <w:r w:rsidRPr="00240545">
              <w:rPr>
                <w:rFonts w:ascii="Tahoma" w:hAnsi="Tahoma" w:cs="Tahoma"/>
              </w:rPr>
              <w:t>Project Narrative</w:t>
            </w:r>
          </w:p>
        </w:tc>
        <w:tc>
          <w:tcPr>
            <w:tcW w:w="4325" w:type="dxa"/>
          </w:tcPr>
          <w:p w14:paraId="4631A76F" w14:textId="77777777" w:rsidR="00FC5238" w:rsidRPr="00240545" w:rsidRDefault="00FC5238" w:rsidP="00FC5238">
            <w:pPr>
              <w:rPr>
                <w:rFonts w:ascii="Tahoma" w:hAnsi="Tahoma" w:cs="Tahoma"/>
              </w:rPr>
            </w:pPr>
            <w:r w:rsidRPr="00240545">
              <w:rPr>
                <w:rFonts w:ascii="Tahoma" w:hAnsi="Tahoma" w:cs="Tahoma"/>
              </w:rPr>
              <w:t>Attachment 1</w:t>
            </w:r>
          </w:p>
        </w:tc>
      </w:tr>
      <w:tr w:rsidR="00FC5238" w:rsidRPr="00240545" w14:paraId="18DA1B09" w14:textId="77777777" w:rsidTr="006E329B">
        <w:trPr>
          <w:trHeight w:val="281"/>
        </w:trPr>
        <w:tc>
          <w:tcPr>
            <w:tcW w:w="5035" w:type="dxa"/>
          </w:tcPr>
          <w:p w14:paraId="333BEAA6" w14:textId="77777777" w:rsidR="00FC5238" w:rsidRPr="00240545" w:rsidRDefault="00FC5238" w:rsidP="00FC5238">
            <w:pPr>
              <w:rPr>
                <w:rFonts w:ascii="Tahoma" w:hAnsi="Tahoma" w:cs="Tahoma"/>
              </w:rPr>
            </w:pPr>
            <w:r w:rsidRPr="00240545">
              <w:rPr>
                <w:rFonts w:ascii="Tahoma" w:hAnsi="Tahoma" w:cs="Tahoma"/>
              </w:rPr>
              <w:t>Scope of Work</w:t>
            </w:r>
          </w:p>
        </w:tc>
        <w:tc>
          <w:tcPr>
            <w:tcW w:w="4325" w:type="dxa"/>
          </w:tcPr>
          <w:p w14:paraId="1CA59F39" w14:textId="77777777" w:rsidR="00FC5238" w:rsidRPr="00240545" w:rsidRDefault="00FC5238" w:rsidP="00FC5238">
            <w:pPr>
              <w:rPr>
                <w:rFonts w:ascii="Tahoma" w:hAnsi="Tahoma" w:cs="Tahoma"/>
              </w:rPr>
            </w:pPr>
            <w:r w:rsidRPr="00240545">
              <w:rPr>
                <w:rFonts w:ascii="Tahoma" w:hAnsi="Tahoma" w:cs="Tahoma"/>
              </w:rPr>
              <w:t>Attachment 2</w:t>
            </w:r>
          </w:p>
        </w:tc>
      </w:tr>
      <w:tr w:rsidR="00FC5238" w:rsidRPr="00240545" w14:paraId="42F10F7A" w14:textId="77777777" w:rsidTr="006E329B">
        <w:trPr>
          <w:trHeight w:val="290"/>
        </w:trPr>
        <w:tc>
          <w:tcPr>
            <w:tcW w:w="5035" w:type="dxa"/>
          </w:tcPr>
          <w:p w14:paraId="024BED22" w14:textId="77777777" w:rsidR="00FC5238" w:rsidRPr="00240545" w:rsidRDefault="00FC5238" w:rsidP="00FC5238">
            <w:pPr>
              <w:rPr>
                <w:rFonts w:ascii="Tahoma" w:hAnsi="Tahoma" w:cs="Tahoma"/>
              </w:rPr>
            </w:pPr>
            <w:r w:rsidRPr="00240545">
              <w:rPr>
                <w:rFonts w:ascii="Tahoma" w:hAnsi="Tahoma" w:cs="Tahoma"/>
              </w:rPr>
              <w:t>Schedule of Products and Due Dates</w:t>
            </w:r>
          </w:p>
        </w:tc>
        <w:tc>
          <w:tcPr>
            <w:tcW w:w="4325" w:type="dxa"/>
          </w:tcPr>
          <w:p w14:paraId="35D4E20E" w14:textId="77777777" w:rsidR="00FC5238" w:rsidRPr="00240545" w:rsidRDefault="00FC5238" w:rsidP="00FC5238">
            <w:pPr>
              <w:rPr>
                <w:rFonts w:ascii="Tahoma" w:hAnsi="Tahoma" w:cs="Tahoma"/>
              </w:rPr>
            </w:pPr>
            <w:r w:rsidRPr="00240545">
              <w:rPr>
                <w:rFonts w:ascii="Tahoma" w:hAnsi="Tahoma" w:cs="Tahoma"/>
              </w:rPr>
              <w:t>Attachment 4</w:t>
            </w:r>
          </w:p>
        </w:tc>
      </w:tr>
      <w:tr w:rsidR="00FC5238" w:rsidRPr="00240545" w14:paraId="68E6478E" w14:textId="77777777" w:rsidTr="006E329B">
        <w:tc>
          <w:tcPr>
            <w:tcW w:w="5035" w:type="dxa"/>
          </w:tcPr>
          <w:p w14:paraId="34EB8460" w14:textId="77777777" w:rsidR="00FC5238" w:rsidRPr="00240545" w:rsidRDefault="00FC5238" w:rsidP="00FC5238">
            <w:pPr>
              <w:rPr>
                <w:rFonts w:ascii="Tahoma" w:hAnsi="Tahoma" w:cs="Tahoma"/>
              </w:rPr>
            </w:pPr>
            <w:r w:rsidRPr="00240545">
              <w:rPr>
                <w:rFonts w:ascii="Tahoma" w:hAnsi="Tahoma" w:cs="Tahoma"/>
              </w:rPr>
              <w:t>Budget Forms</w:t>
            </w:r>
          </w:p>
        </w:tc>
        <w:tc>
          <w:tcPr>
            <w:tcW w:w="4325" w:type="dxa"/>
          </w:tcPr>
          <w:p w14:paraId="4A423489" w14:textId="77777777" w:rsidR="00FC5238" w:rsidRPr="00240545" w:rsidRDefault="00FC5238" w:rsidP="00FC5238">
            <w:pPr>
              <w:rPr>
                <w:rFonts w:ascii="Tahoma" w:hAnsi="Tahoma" w:cs="Tahoma"/>
              </w:rPr>
            </w:pPr>
            <w:r w:rsidRPr="00240545">
              <w:rPr>
                <w:rFonts w:ascii="Tahoma" w:hAnsi="Tahoma" w:cs="Tahoma"/>
              </w:rPr>
              <w:t>Attachment 5</w:t>
            </w:r>
          </w:p>
        </w:tc>
      </w:tr>
      <w:tr w:rsidR="00FC5238" w:rsidRPr="00240545" w14:paraId="4E629CEB" w14:textId="77777777" w:rsidTr="006E329B">
        <w:trPr>
          <w:trHeight w:val="290"/>
        </w:trPr>
        <w:tc>
          <w:tcPr>
            <w:tcW w:w="5035" w:type="dxa"/>
          </w:tcPr>
          <w:p w14:paraId="6553FFFB" w14:textId="77777777" w:rsidR="00FC5238" w:rsidRPr="00240545" w:rsidRDefault="00FC5238" w:rsidP="00FC5238">
            <w:pPr>
              <w:rPr>
                <w:rFonts w:ascii="Tahoma" w:hAnsi="Tahoma" w:cs="Tahoma"/>
              </w:rPr>
            </w:pPr>
            <w:r w:rsidRPr="00240545">
              <w:rPr>
                <w:rFonts w:ascii="Tahoma" w:hAnsi="Tahoma" w:cs="Tahoma"/>
              </w:rPr>
              <w:t>Resumes</w:t>
            </w:r>
          </w:p>
        </w:tc>
        <w:tc>
          <w:tcPr>
            <w:tcW w:w="4325" w:type="dxa"/>
          </w:tcPr>
          <w:p w14:paraId="62902183" w14:textId="77777777" w:rsidR="00FC5238" w:rsidRPr="00240545" w:rsidRDefault="00FC5238" w:rsidP="00FC5238">
            <w:pPr>
              <w:rPr>
                <w:rFonts w:ascii="Tahoma" w:hAnsi="Tahoma" w:cs="Tahoma"/>
              </w:rPr>
            </w:pPr>
            <w:r w:rsidRPr="00240545">
              <w:rPr>
                <w:rFonts w:ascii="Tahoma" w:hAnsi="Tahoma" w:cs="Tahoma"/>
              </w:rPr>
              <w:t>Attachment 6</w:t>
            </w:r>
          </w:p>
        </w:tc>
      </w:tr>
      <w:tr w:rsidR="00FC5238" w:rsidRPr="00240545" w14:paraId="7D06187E" w14:textId="77777777" w:rsidTr="006E329B">
        <w:trPr>
          <w:trHeight w:val="300"/>
        </w:trPr>
        <w:tc>
          <w:tcPr>
            <w:tcW w:w="5035" w:type="dxa"/>
          </w:tcPr>
          <w:p w14:paraId="382AC6A7" w14:textId="77777777" w:rsidR="00FC5238" w:rsidRPr="00240545" w:rsidRDefault="00FC5238" w:rsidP="00FC5238">
            <w:pPr>
              <w:rPr>
                <w:rFonts w:ascii="Tahoma" w:hAnsi="Tahoma" w:cs="Tahoma"/>
              </w:rPr>
            </w:pPr>
            <w:r w:rsidRPr="00240545">
              <w:rPr>
                <w:rFonts w:ascii="Tahoma" w:hAnsi="Tahoma" w:cs="Tahoma"/>
              </w:rPr>
              <w:t>Contact List</w:t>
            </w:r>
          </w:p>
        </w:tc>
        <w:tc>
          <w:tcPr>
            <w:tcW w:w="4325" w:type="dxa"/>
          </w:tcPr>
          <w:p w14:paraId="5C13C1FE" w14:textId="77777777" w:rsidR="00FC5238" w:rsidRPr="00240545" w:rsidRDefault="00FC5238" w:rsidP="00FC5238">
            <w:pPr>
              <w:rPr>
                <w:rFonts w:ascii="Tahoma" w:hAnsi="Tahoma" w:cs="Tahoma"/>
              </w:rPr>
            </w:pPr>
            <w:r w:rsidRPr="00240545">
              <w:rPr>
                <w:rFonts w:ascii="Tahoma" w:hAnsi="Tahoma" w:cs="Tahoma"/>
              </w:rPr>
              <w:t>Attachment 7</w:t>
            </w:r>
          </w:p>
        </w:tc>
      </w:tr>
      <w:tr w:rsidR="00FC5238" w:rsidRPr="00240545" w14:paraId="32EF7607" w14:textId="77777777" w:rsidTr="006E329B">
        <w:tc>
          <w:tcPr>
            <w:tcW w:w="5035" w:type="dxa"/>
          </w:tcPr>
          <w:p w14:paraId="6DE69733" w14:textId="77777777" w:rsidR="00FC5238" w:rsidRPr="00240545" w:rsidRDefault="00FC5238" w:rsidP="00FC5238">
            <w:pPr>
              <w:rPr>
                <w:rFonts w:ascii="Tahoma" w:hAnsi="Tahoma" w:cs="Tahoma"/>
              </w:rPr>
            </w:pPr>
            <w:r w:rsidRPr="00240545">
              <w:rPr>
                <w:rFonts w:ascii="Tahoma" w:hAnsi="Tahoma" w:cs="Tahoma"/>
              </w:rPr>
              <w:t xml:space="preserve">Letters of Commitment </w:t>
            </w:r>
          </w:p>
        </w:tc>
        <w:tc>
          <w:tcPr>
            <w:tcW w:w="4325" w:type="dxa"/>
          </w:tcPr>
          <w:p w14:paraId="4243826D" w14:textId="77777777" w:rsidR="00FC5238" w:rsidRPr="00240545" w:rsidRDefault="00FC5238" w:rsidP="00FC5238">
            <w:pPr>
              <w:spacing w:line="259" w:lineRule="auto"/>
              <w:rPr>
                <w:rFonts w:ascii="Tahoma" w:hAnsi="Tahoma" w:cs="Tahoma"/>
              </w:rPr>
            </w:pPr>
            <w:r w:rsidRPr="00240545">
              <w:rPr>
                <w:rFonts w:ascii="Tahoma" w:hAnsi="Tahoma" w:cs="Tahoma"/>
              </w:rPr>
              <w:t>Attachment 8</w:t>
            </w:r>
          </w:p>
        </w:tc>
      </w:tr>
      <w:tr w:rsidR="00FC5238" w:rsidRPr="00240545" w14:paraId="309E6CDB" w14:textId="77777777" w:rsidTr="006E329B">
        <w:tc>
          <w:tcPr>
            <w:tcW w:w="5035" w:type="dxa"/>
          </w:tcPr>
          <w:p w14:paraId="278FA9A2" w14:textId="77777777" w:rsidR="00FC5238" w:rsidRPr="00240545" w:rsidRDefault="00FC5238" w:rsidP="00FC5238">
            <w:pPr>
              <w:rPr>
                <w:rFonts w:ascii="Tahoma" w:hAnsi="Tahoma" w:cs="Tahoma"/>
              </w:rPr>
            </w:pPr>
            <w:r w:rsidRPr="00240545">
              <w:rPr>
                <w:rFonts w:ascii="Tahoma" w:hAnsi="Tahoma" w:cs="Tahoma"/>
              </w:rPr>
              <w:t xml:space="preserve">Letters of Support (optional) </w:t>
            </w:r>
          </w:p>
        </w:tc>
        <w:tc>
          <w:tcPr>
            <w:tcW w:w="4325" w:type="dxa"/>
          </w:tcPr>
          <w:p w14:paraId="4D6B8371" w14:textId="77777777" w:rsidR="00FC5238" w:rsidRPr="00240545" w:rsidRDefault="00FC5238" w:rsidP="00FC5238">
            <w:pPr>
              <w:rPr>
                <w:rFonts w:ascii="Tahoma" w:hAnsi="Tahoma" w:cs="Tahoma"/>
              </w:rPr>
            </w:pPr>
            <w:r w:rsidRPr="00240545">
              <w:rPr>
                <w:rFonts w:ascii="Tahoma" w:hAnsi="Tahoma" w:cs="Tahoma"/>
              </w:rPr>
              <w:t>Attachment 9</w:t>
            </w:r>
          </w:p>
        </w:tc>
      </w:tr>
      <w:tr w:rsidR="00FC5238" w:rsidRPr="00240545" w14:paraId="77AD6E21" w14:textId="77777777" w:rsidTr="006E329B">
        <w:tc>
          <w:tcPr>
            <w:tcW w:w="5035" w:type="dxa"/>
          </w:tcPr>
          <w:p w14:paraId="48C2C920" w14:textId="77777777" w:rsidR="00FC5238" w:rsidRPr="00240545" w:rsidRDefault="00FC5238" w:rsidP="00FC5238">
            <w:pPr>
              <w:rPr>
                <w:rFonts w:ascii="Tahoma" w:hAnsi="Tahoma" w:cs="Tahoma"/>
              </w:rPr>
            </w:pPr>
            <w:r w:rsidRPr="00240545">
              <w:rPr>
                <w:rFonts w:ascii="Tahoma" w:hAnsi="Tahoma" w:cs="Tahoma"/>
              </w:rPr>
              <w:t>CEQA Worksheet</w:t>
            </w:r>
          </w:p>
        </w:tc>
        <w:tc>
          <w:tcPr>
            <w:tcW w:w="4325" w:type="dxa"/>
          </w:tcPr>
          <w:p w14:paraId="73AAB9F9" w14:textId="77777777" w:rsidR="00FC5238" w:rsidRPr="00240545" w:rsidRDefault="00FC5238" w:rsidP="00FC5238">
            <w:pPr>
              <w:rPr>
                <w:rFonts w:ascii="Tahoma" w:hAnsi="Tahoma" w:cs="Tahoma"/>
              </w:rPr>
            </w:pPr>
            <w:r w:rsidRPr="00240545">
              <w:rPr>
                <w:rFonts w:ascii="Tahoma" w:hAnsi="Tahoma" w:cs="Tahoma"/>
              </w:rPr>
              <w:t>Attachment 10</w:t>
            </w:r>
          </w:p>
        </w:tc>
      </w:tr>
      <w:tr w:rsidR="00FC5238" w:rsidRPr="00240545" w14:paraId="35F6C9FF" w14:textId="77777777" w:rsidTr="006E329B">
        <w:tc>
          <w:tcPr>
            <w:tcW w:w="5035" w:type="dxa"/>
          </w:tcPr>
          <w:p w14:paraId="5366DEC0" w14:textId="77777777" w:rsidR="00FC5238" w:rsidRPr="00240545" w:rsidRDefault="00FC5238" w:rsidP="00FC5238">
            <w:pPr>
              <w:rPr>
                <w:rFonts w:ascii="Tahoma" w:hAnsi="Tahoma" w:cs="Tahoma"/>
              </w:rPr>
            </w:pPr>
            <w:r w:rsidRPr="00240545">
              <w:rPr>
                <w:rFonts w:ascii="Tahoma" w:hAnsi="Tahoma" w:cs="Tahoma"/>
              </w:rPr>
              <w:t>[</w:t>
            </w:r>
            <w:r w:rsidRPr="00240545">
              <w:rPr>
                <w:rFonts w:ascii="Tahoma" w:hAnsi="Tahoma" w:cs="Tahoma"/>
                <w:strike/>
              </w:rPr>
              <w:t>Localized Health Impacts Information Form</w:t>
            </w:r>
            <w:r w:rsidRPr="00240545">
              <w:rPr>
                <w:rFonts w:ascii="Tahoma" w:hAnsi="Tahoma" w:cs="Tahoma"/>
              </w:rPr>
              <w:t>]</w:t>
            </w:r>
          </w:p>
        </w:tc>
        <w:tc>
          <w:tcPr>
            <w:tcW w:w="4325" w:type="dxa"/>
          </w:tcPr>
          <w:p w14:paraId="2C7C41D8" w14:textId="77777777" w:rsidR="00FC5238" w:rsidRPr="00240545" w:rsidRDefault="00FC5238" w:rsidP="00FC5238">
            <w:pPr>
              <w:rPr>
                <w:rFonts w:ascii="Tahoma" w:hAnsi="Tahoma" w:cs="Tahoma"/>
              </w:rPr>
            </w:pPr>
            <w:r w:rsidRPr="00240545">
              <w:rPr>
                <w:rFonts w:ascii="Tahoma" w:hAnsi="Tahoma" w:cs="Tahoma"/>
              </w:rPr>
              <w:t>[</w:t>
            </w:r>
            <w:r w:rsidRPr="00240545">
              <w:rPr>
                <w:rFonts w:ascii="Tahoma" w:hAnsi="Tahoma" w:cs="Tahoma"/>
                <w:strike/>
              </w:rPr>
              <w:t>Attachment 11</w:t>
            </w:r>
            <w:r w:rsidRPr="00240545">
              <w:rPr>
                <w:rFonts w:ascii="Tahoma" w:hAnsi="Tahoma" w:cs="Tahoma"/>
              </w:rPr>
              <w:t>]</w:t>
            </w:r>
          </w:p>
        </w:tc>
      </w:tr>
      <w:tr w:rsidR="00FC5238" w:rsidRPr="00240545" w14:paraId="4CBECF86" w14:textId="77777777" w:rsidTr="006E329B">
        <w:tc>
          <w:tcPr>
            <w:tcW w:w="5035" w:type="dxa"/>
          </w:tcPr>
          <w:p w14:paraId="57AFFCE6" w14:textId="77777777" w:rsidR="00FC5238" w:rsidRPr="00240545" w:rsidRDefault="00FC5238" w:rsidP="00FC5238">
            <w:pPr>
              <w:rPr>
                <w:rFonts w:ascii="Tahoma" w:hAnsi="Tahoma" w:cs="Tahoma"/>
              </w:rPr>
            </w:pPr>
            <w:r w:rsidRPr="00240545">
              <w:rPr>
                <w:rFonts w:ascii="Tahoma" w:hAnsi="Tahoma" w:cs="Tahoma"/>
              </w:rPr>
              <w:t>Past Performance Reference Form(s)</w:t>
            </w:r>
          </w:p>
        </w:tc>
        <w:tc>
          <w:tcPr>
            <w:tcW w:w="4325" w:type="dxa"/>
          </w:tcPr>
          <w:p w14:paraId="1585E56A" w14:textId="77777777" w:rsidR="00FC5238" w:rsidRPr="00240545" w:rsidRDefault="00FC5238" w:rsidP="00FC5238">
            <w:pPr>
              <w:rPr>
                <w:rFonts w:ascii="Tahoma" w:hAnsi="Tahoma" w:cs="Tahoma"/>
              </w:rPr>
            </w:pPr>
            <w:r w:rsidRPr="00240545">
              <w:rPr>
                <w:rFonts w:ascii="Tahoma" w:hAnsi="Tahoma" w:cs="Tahoma"/>
              </w:rPr>
              <w:t>Attachment 12</w:t>
            </w:r>
          </w:p>
        </w:tc>
      </w:tr>
      <w:tr w:rsidR="00FC5238" w:rsidRPr="00240545" w14:paraId="2B0BB5A4" w14:textId="77777777" w:rsidTr="006E329B">
        <w:tc>
          <w:tcPr>
            <w:tcW w:w="5035" w:type="dxa"/>
          </w:tcPr>
          <w:p w14:paraId="4F2C347A" w14:textId="77777777" w:rsidR="00FC5238" w:rsidRPr="00240545" w:rsidRDefault="00FC5238" w:rsidP="00FC5238">
            <w:pPr>
              <w:rPr>
                <w:rFonts w:ascii="Tahoma" w:hAnsi="Tahoma" w:cs="Tahoma"/>
              </w:rPr>
            </w:pPr>
            <w:r w:rsidRPr="00240545">
              <w:rPr>
                <w:rFonts w:ascii="Tahoma" w:hAnsi="Tahoma" w:cs="Tahoma"/>
              </w:rPr>
              <w:t>Applicant Declaration</w:t>
            </w:r>
          </w:p>
        </w:tc>
        <w:tc>
          <w:tcPr>
            <w:tcW w:w="4325" w:type="dxa"/>
          </w:tcPr>
          <w:p w14:paraId="6DE5FC44" w14:textId="77777777" w:rsidR="00FC5238" w:rsidRPr="00240545" w:rsidRDefault="00FC5238" w:rsidP="00FC5238">
            <w:pPr>
              <w:rPr>
                <w:rFonts w:ascii="Tahoma" w:hAnsi="Tahoma" w:cs="Tahoma"/>
              </w:rPr>
            </w:pPr>
            <w:r w:rsidRPr="00240545">
              <w:rPr>
                <w:rFonts w:ascii="Tahoma" w:hAnsi="Tahoma" w:cs="Tahoma"/>
              </w:rPr>
              <w:t>Attachment 13</w:t>
            </w:r>
          </w:p>
        </w:tc>
      </w:tr>
      <w:tr w:rsidR="00FC5238" w:rsidRPr="00240545" w14:paraId="08D79C66" w14:textId="77777777" w:rsidTr="006E329B">
        <w:trPr>
          <w:trHeight w:val="300"/>
        </w:trPr>
        <w:tc>
          <w:tcPr>
            <w:tcW w:w="5035" w:type="dxa"/>
          </w:tcPr>
          <w:p w14:paraId="7B440EA5" w14:textId="77777777" w:rsidR="00FC5238" w:rsidRPr="00240545" w:rsidDel="00CC12B2" w:rsidRDefault="00FC5238" w:rsidP="00FC5238">
            <w:pPr>
              <w:rPr>
                <w:rFonts w:ascii="Tahoma" w:hAnsi="Tahoma" w:cs="Tahoma"/>
              </w:rPr>
            </w:pPr>
            <w:r w:rsidRPr="00240545">
              <w:rPr>
                <w:rFonts w:ascii="Tahoma" w:hAnsi="Tahoma" w:cs="Tahoma"/>
              </w:rPr>
              <w:t>Letter of Confirmation from Utility</w:t>
            </w:r>
          </w:p>
        </w:tc>
        <w:tc>
          <w:tcPr>
            <w:tcW w:w="4325" w:type="dxa"/>
          </w:tcPr>
          <w:p w14:paraId="7CF2C760" w14:textId="77777777" w:rsidR="00FC5238" w:rsidRPr="00240545" w:rsidRDefault="00FC5238" w:rsidP="00FC5238">
            <w:pPr>
              <w:rPr>
                <w:rFonts w:ascii="Tahoma" w:hAnsi="Tahoma" w:cs="Tahoma"/>
              </w:rPr>
            </w:pPr>
            <w:r w:rsidRPr="00240545">
              <w:rPr>
                <w:rFonts w:ascii="Tahoma" w:hAnsi="Tahoma" w:cs="Tahoma"/>
              </w:rPr>
              <w:t>Attachment 14</w:t>
            </w:r>
          </w:p>
        </w:tc>
      </w:tr>
      <w:tr w:rsidR="00FC5238" w:rsidRPr="00240545" w14:paraId="50CBBC07" w14:textId="77777777" w:rsidTr="006E329B">
        <w:trPr>
          <w:trHeight w:val="281"/>
        </w:trPr>
        <w:tc>
          <w:tcPr>
            <w:tcW w:w="5035" w:type="dxa"/>
          </w:tcPr>
          <w:p w14:paraId="5297A588" w14:textId="77777777" w:rsidR="00FC5238" w:rsidRPr="00240545" w:rsidRDefault="00FC5238" w:rsidP="00FC5238">
            <w:pPr>
              <w:rPr>
                <w:rFonts w:ascii="Tahoma" w:hAnsi="Tahoma" w:cs="Tahoma"/>
              </w:rPr>
            </w:pPr>
            <w:r w:rsidRPr="00240545">
              <w:rPr>
                <w:rFonts w:ascii="Tahoma" w:hAnsi="Tahoma" w:cs="Tahoma"/>
              </w:rPr>
              <w:t>Application Form</w:t>
            </w:r>
          </w:p>
        </w:tc>
        <w:tc>
          <w:tcPr>
            <w:tcW w:w="4325" w:type="dxa"/>
          </w:tcPr>
          <w:p w14:paraId="1EB64041" w14:textId="77777777" w:rsidR="00FC5238" w:rsidRPr="00240545" w:rsidRDefault="00FC5238" w:rsidP="00FC5238">
            <w:pPr>
              <w:rPr>
                <w:rFonts w:ascii="Tahoma" w:hAnsi="Tahoma" w:cs="Tahoma"/>
              </w:rPr>
            </w:pPr>
            <w:r w:rsidRPr="00240545">
              <w:rPr>
                <w:rFonts w:ascii="Tahoma" w:hAnsi="Tahoma" w:cs="Tahoma"/>
              </w:rPr>
              <w:t>Attachment 15</w:t>
            </w:r>
          </w:p>
        </w:tc>
      </w:tr>
      <w:tr w:rsidR="00FC5238" w:rsidRPr="00240545" w14:paraId="77FC66A6" w14:textId="77777777" w:rsidTr="006E329B">
        <w:trPr>
          <w:trHeight w:val="281"/>
        </w:trPr>
        <w:tc>
          <w:tcPr>
            <w:tcW w:w="5035" w:type="dxa"/>
          </w:tcPr>
          <w:p w14:paraId="32F93E26" w14:textId="77777777" w:rsidR="00FC5238" w:rsidRPr="00240545" w:rsidRDefault="00FC5238" w:rsidP="00FC5238">
            <w:pPr>
              <w:rPr>
                <w:rFonts w:ascii="Tahoma" w:hAnsi="Tahoma" w:cs="Tahoma"/>
              </w:rPr>
            </w:pPr>
            <w:r w:rsidRPr="00240545">
              <w:rPr>
                <w:rFonts w:ascii="Tahoma" w:hAnsi="Tahoma" w:cs="Tahoma"/>
              </w:rPr>
              <w:t>Evaluation Criteria for Priority Populations</w:t>
            </w:r>
          </w:p>
        </w:tc>
        <w:tc>
          <w:tcPr>
            <w:tcW w:w="4325" w:type="dxa"/>
          </w:tcPr>
          <w:p w14:paraId="1ED1F6F9" w14:textId="77777777" w:rsidR="00FC5238" w:rsidRPr="00240545" w:rsidRDefault="00FC5238" w:rsidP="00FC5238">
            <w:pPr>
              <w:rPr>
                <w:rFonts w:ascii="Tahoma" w:hAnsi="Tahoma" w:cs="Tahoma"/>
              </w:rPr>
            </w:pPr>
            <w:r w:rsidRPr="00240545">
              <w:rPr>
                <w:rFonts w:ascii="Tahoma" w:hAnsi="Tahoma" w:cs="Tahoma"/>
              </w:rPr>
              <w:t>Attachment 17</w:t>
            </w:r>
          </w:p>
        </w:tc>
      </w:tr>
      <w:tr w:rsidR="00FC5238" w:rsidRPr="00240545" w14:paraId="166579EA" w14:textId="77777777" w:rsidTr="006E329B">
        <w:trPr>
          <w:trHeight w:val="281"/>
        </w:trPr>
        <w:tc>
          <w:tcPr>
            <w:tcW w:w="5035" w:type="dxa"/>
          </w:tcPr>
          <w:p w14:paraId="28FAF75A" w14:textId="77777777" w:rsidR="00FC5238" w:rsidRPr="00240545" w:rsidRDefault="00FC5238" w:rsidP="00FC5238">
            <w:pPr>
              <w:rPr>
                <w:rFonts w:ascii="Tahoma" w:hAnsi="Tahoma" w:cs="Tahoma"/>
              </w:rPr>
            </w:pPr>
            <w:r w:rsidRPr="00240545">
              <w:rPr>
                <w:rFonts w:ascii="Tahoma" w:hAnsi="Tahoma" w:cs="Tahoma"/>
                <w:bCs/>
              </w:rPr>
              <w:t>Letter of Intent to Place a Purchase Order</w:t>
            </w:r>
          </w:p>
        </w:tc>
        <w:tc>
          <w:tcPr>
            <w:tcW w:w="4325" w:type="dxa"/>
          </w:tcPr>
          <w:p w14:paraId="3EEFF3B7" w14:textId="77777777" w:rsidR="00FC5238" w:rsidRPr="00240545" w:rsidRDefault="00FC5238" w:rsidP="00FC5238">
            <w:pPr>
              <w:rPr>
                <w:rFonts w:ascii="Tahoma" w:hAnsi="Tahoma" w:cs="Tahoma"/>
              </w:rPr>
            </w:pPr>
            <w:r w:rsidRPr="00240545">
              <w:rPr>
                <w:rFonts w:ascii="Tahoma" w:hAnsi="Tahoma" w:cs="Tahoma"/>
                <w:bCs/>
              </w:rPr>
              <w:t>Attachment 21</w:t>
            </w:r>
          </w:p>
        </w:tc>
      </w:tr>
    </w:tbl>
    <w:p w14:paraId="33ED5878" w14:textId="77777777" w:rsidR="00BB1390" w:rsidRPr="00240545" w:rsidRDefault="00BB1390" w:rsidP="00BB1390">
      <w:pPr>
        <w:pStyle w:val="ListParagraph"/>
        <w:ind w:left="360"/>
        <w:rPr>
          <w:rFonts w:ascii="Tahoma" w:hAnsi="Tahoma" w:cs="Tahoma"/>
          <w:b/>
          <w:bCs/>
        </w:rPr>
      </w:pPr>
    </w:p>
    <w:p w14:paraId="62238860" w14:textId="77777777" w:rsidR="00BB1390" w:rsidRPr="00240545" w:rsidRDefault="00BB1390" w:rsidP="00BB1390">
      <w:pPr>
        <w:pStyle w:val="ListParagraph"/>
        <w:ind w:left="360"/>
        <w:rPr>
          <w:rFonts w:ascii="Tahoma" w:hAnsi="Tahoma" w:cs="Tahoma"/>
          <w:b/>
          <w:bCs/>
        </w:rPr>
      </w:pPr>
    </w:p>
    <w:p w14:paraId="5DD6EA93" w14:textId="77777777" w:rsidR="00FC5238" w:rsidRPr="00240545" w:rsidRDefault="00FC5238" w:rsidP="00BB1390">
      <w:pPr>
        <w:pStyle w:val="ListParagraph"/>
        <w:ind w:left="360"/>
        <w:rPr>
          <w:rFonts w:ascii="Tahoma" w:hAnsi="Tahoma" w:cs="Tahoma"/>
          <w:b/>
          <w:bCs/>
        </w:rPr>
      </w:pPr>
    </w:p>
    <w:p w14:paraId="4F2C0AE1" w14:textId="77777777" w:rsidR="00FC5238" w:rsidRPr="00240545" w:rsidRDefault="00FC5238" w:rsidP="00BB1390">
      <w:pPr>
        <w:pStyle w:val="ListParagraph"/>
        <w:ind w:left="360"/>
        <w:rPr>
          <w:rFonts w:ascii="Tahoma" w:hAnsi="Tahoma" w:cs="Tahoma"/>
          <w:b/>
          <w:bCs/>
        </w:rPr>
      </w:pPr>
    </w:p>
    <w:p w14:paraId="072D8A94" w14:textId="77777777" w:rsidR="00FC5238" w:rsidRPr="00240545" w:rsidRDefault="00FC5238" w:rsidP="00BB1390">
      <w:pPr>
        <w:pStyle w:val="ListParagraph"/>
        <w:ind w:left="360"/>
        <w:rPr>
          <w:rFonts w:ascii="Tahoma" w:hAnsi="Tahoma" w:cs="Tahoma"/>
          <w:b/>
          <w:bCs/>
        </w:rPr>
      </w:pPr>
    </w:p>
    <w:p w14:paraId="5E3DD700" w14:textId="77777777" w:rsidR="00FC5238" w:rsidRPr="00240545" w:rsidRDefault="00FC5238" w:rsidP="00BB1390">
      <w:pPr>
        <w:pStyle w:val="ListParagraph"/>
        <w:ind w:left="360"/>
        <w:rPr>
          <w:rFonts w:ascii="Tahoma" w:hAnsi="Tahoma" w:cs="Tahoma"/>
          <w:b/>
          <w:bCs/>
        </w:rPr>
      </w:pPr>
    </w:p>
    <w:p w14:paraId="699E0803" w14:textId="77777777" w:rsidR="00FC5238" w:rsidRPr="00240545" w:rsidRDefault="00FC5238" w:rsidP="00BB1390">
      <w:pPr>
        <w:pStyle w:val="ListParagraph"/>
        <w:ind w:left="360"/>
        <w:rPr>
          <w:rFonts w:ascii="Tahoma" w:hAnsi="Tahoma" w:cs="Tahoma"/>
          <w:b/>
          <w:bCs/>
        </w:rPr>
      </w:pPr>
    </w:p>
    <w:p w14:paraId="7CDB7701" w14:textId="77777777" w:rsidR="00FC5238" w:rsidRPr="00240545" w:rsidRDefault="00FC5238" w:rsidP="00BB1390">
      <w:pPr>
        <w:pStyle w:val="ListParagraph"/>
        <w:ind w:left="360"/>
        <w:rPr>
          <w:rFonts w:ascii="Tahoma" w:hAnsi="Tahoma" w:cs="Tahoma"/>
          <w:b/>
          <w:bCs/>
        </w:rPr>
      </w:pPr>
    </w:p>
    <w:p w14:paraId="39BBD4CE" w14:textId="77777777" w:rsidR="00FC5238" w:rsidRPr="00240545" w:rsidRDefault="00FC5238" w:rsidP="00BB1390">
      <w:pPr>
        <w:pStyle w:val="ListParagraph"/>
        <w:ind w:left="360"/>
        <w:rPr>
          <w:rFonts w:ascii="Tahoma" w:hAnsi="Tahoma" w:cs="Tahoma"/>
          <w:b/>
          <w:bCs/>
        </w:rPr>
      </w:pPr>
    </w:p>
    <w:p w14:paraId="212B437B" w14:textId="77777777" w:rsidR="00FC5238" w:rsidRPr="00240545" w:rsidRDefault="00FC5238" w:rsidP="00BB1390">
      <w:pPr>
        <w:pStyle w:val="ListParagraph"/>
        <w:ind w:left="360"/>
        <w:rPr>
          <w:rFonts w:ascii="Tahoma" w:hAnsi="Tahoma" w:cs="Tahoma"/>
          <w:b/>
          <w:bCs/>
        </w:rPr>
      </w:pPr>
    </w:p>
    <w:p w14:paraId="11047BB8" w14:textId="77777777" w:rsidR="00FC5238" w:rsidRPr="00240545" w:rsidRDefault="00FC5238" w:rsidP="00BB1390">
      <w:pPr>
        <w:pStyle w:val="ListParagraph"/>
        <w:ind w:left="360"/>
        <w:rPr>
          <w:rFonts w:ascii="Tahoma" w:hAnsi="Tahoma" w:cs="Tahoma"/>
          <w:b/>
          <w:bCs/>
        </w:rPr>
      </w:pPr>
    </w:p>
    <w:p w14:paraId="64D68C6C" w14:textId="77777777" w:rsidR="00FC5238" w:rsidRPr="00240545" w:rsidRDefault="00FC5238" w:rsidP="00BB1390">
      <w:pPr>
        <w:pStyle w:val="ListParagraph"/>
        <w:ind w:left="360"/>
        <w:rPr>
          <w:rFonts w:ascii="Tahoma" w:hAnsi="Tahoma" w:cs="Tahoma"/>
          <w:b/>
          <w:bCs/>
        </w:rPr>
      </w:pPr>
    </w:p>
    <w:p w14:paraId="1E0CC3C7" w14:textId="77777777" w:rsidR="00FC5238" w:rsidRPr="00240545" w:rsidRDefault="00FC5238" w:rsidP="00153538">
      <w:pPr>
        <w:rPr>
          <w:rFonts w:ascii="Tahoma" w:hAnsi="Tahoma" w:cs="Tahoma"/>
          <w:b/>
          <w:bCs/>
        </w:rPr>
      </w:pPr>
    </w:p>
    <w:p w14:paraId="735C8DB2" w14:textId="77777777" w:rsidR="00230F3F" w:rsidRPr="00240545" w:rsidRDefault="00230F3F" w:rsidP="00230F3F">
      <w:pPr>
        <w:pStyle w:val="ListParagraph"/>
        <w:ind w:left="1080"/>
        <w:rPr>
          <w:rFonts w:ascii="Tahoma" w:hAnsi="Tahoma" w:cs="Tahoma"/>
        </w:rPr>
      </w:pPr>
    </w:p>
    <w:p w14:paraId="7763DED5" w14:textId="21988615" w:rsidR="00BB1390" w:rsidRPr="00240545" w:rsidRDefault="00BB1390" w:rsidP="008714CF">
      <w:pPr>
        <w:pStyle w:val="ListParagraph"/>
        <w:numPr>
          <w:ilvl w:val="0"/>
          <w:numId w:val="34"/>
        </w:numPr>
        <w:rPr>
          <w:rFonts w:ascii="Tahoma" w:hAnsi="Tahoma" w:cs="Tahoma"/>
        </w:rPr>
      </w:pPr>
      <w:r w:rsidRPr="00240545">
        <w:rPr>
          <w:rFonts w:ascii="Tahoma" w:hAnsi="Tahoma" w:cs="Tahoma"/>
          <w:b/>
          <w:bCs/>
        </w:rPr>
        <w:t>Project Narrative (Attachment 1</w:t>
      </w:r>
      <w:r w:rsidR="7975C02C" w:rsidRPr="00240545">
        <w:rPr>
          <w:rFonts w:ascii="Tahoma" w:hAnsi="Tahoma" w:cs="Tahoma"/>
          <w:b/>
          <w:bCs/>
        </w:rPr>
        <w:t>)</w:t>
      </w:r>
    </w:p>
    <w:p w14:paraId="1FCACB85" w14:textId="77777777" w:rsidR="003A2935" w:rsidRPr="00240545" w:rsidRDefault="003A2935" w:rsidP="00D140E8">
      <w:pPr>
        <w:numPr>
          <w:ilvl w:val="0"/>
          <w:numId w:val="12"/>
        </w:numPr>
        <w:spacing w:before="100" w:beforeAutospacing="1" w:after="100" w:afterAutospacing="1"/>
        <w:rPr>
          <w:rFonts w:ascii="Tahoma" w:eastAsia="Times New Roman" w:hAnsi="Tahoma" w:cs="Tahoma"/>
        </w:rPr>
      </w:pPr>
      <w:r w:rsidRPr="00240545">
        <w:rPr>
          <w:rFonts w:ascii="Tahoma" w:eastAsia="Times New Roman" w:hAnsi="Tahoma" w:cs="Tahoma"/>
          <w:b/>
        </w:rPr>
        <w:t>Project Readiness/Implementation</w:t>
      </w:r>
    </w:p>
    <w:p w14:paraId="41EE61C4" w14:textId="77777777" w:rsidR="003A2935" w:rsidRPr="00240545" w:rsidRDefault="003A2935" w:rsidP="00F97AD7">
      <w:pPr>
        <w:numPr>
          <w:ilvl w:val="0"/>
          <w:numId w:val="21"/>
        </w:numPr>
        <w:spacing w:after="240"/>
        <w:ind w:left="1980"/>
        <w:textAlignment w:val="baseline"/>
        <w:rPr>
          <w:rFonts w:ascii="Tahoma" w:eastAsia="Times New Roman" w:hAnsi="Tahoma" w:cs="Tahoma"/>
        </w:rPr>
      </w:pPr>
      <w:r w:rsidRPr="00240545">
        <w:rPr>
          <w:rFonts w:ascii="Tahoma" w:eastAsia="Times New Roman" w:hAnsi="Tahoma" w:cs="Tahoma"/>
        </w:rPr>
        <w:t xml:space="preserve">Demonstrate how the proposed project will maximize zero-emission vehicle deployment. Demonstrate how the project will reach broader markets, including whether the project will support shared fleets or infrastructure serving multiple fleet operators. Describe fleet commitments, if applicable, or what strategies the Applicant will take to maximize market growth. </w:t>
      </w:r>
    </w:p>
    <w:p w14:paraId="71297BBC" w14:textId="77777777" w:rsidR="003A2935" w:rsidRPr="00240545" w:rsidRDefault="003A2935" w:rsidP="003A2935">
      <w:pPr>
        <w:spacing w:after="240"/>
        <w:ind w:left="1980"/>
        <w:textAlignment w:val="baseline"/>
        <w:rPr>
          <w:rFonts w:ascii="Tahoma" w:eastAsia="Times New Roman" w:hAnsi="Tahoma" w:cs="Tahoma"/>
        </w:rPr>
      </w:pPr>
      <w:r w:rsidRPr="00240545">
        <w:rPr>
          <w:rFonts w:ascii="Tahoma" w:eastAsia="Times New Roman" w:hAnsi="Tahoma" w:cs="Tahoma"/>
        </w:rPr>
        <w:t>If the proposed project is Private or Shared Access, also describe vehicle deployment for the proposed project, including:</w:t>
      </w:r>
    </w:p>
    <w:p w14:paraId="5F7CCBD6" w14:textId="77777777" w:rsidR="003A2935" w:rsidRPr="00240545" w:rsidRDefault="003A2935" w:rsidP="00F97AD7">
      <w:pPr>
        <w:numPr>
          <w:ilvl w:val="0"/>
          <w:numId w:val="22"/>
        </w:numPr>
        <w:tabs>
          <w:tab w:val="num" w:pos="0"/>
        </w:tabs>
        <w:spacing w:after="240"/>
        <w:ind w:left="2340"/>
        <w:textAlignment w:val="baseline"/>
        <w:rPr>
          <w:rFonts w:ascii="Tahoma" w:eastAsia="Times New Roman" w:hAnsi="Tahoma" w:cs="Tahoma"/>
          <w:bCs/>
        </w:rPr>
      </w:pPr>
      <w:r w:rsidRPr="00240545">
        <w:rPr>
          <w:rFonts w:ascii="Tahoma" w:eastAsia="Times New Roman" w:hAnsi="Tahoma" w:cs="Tahoma"/>
          <w:bCs/>
        </w:rPr>
        <w:t xml:space="preserve">Quantity and type of all vehicles in the current fleet (including vehicle size/class, fuel type, and quantity). </w:t>
      </w:r>
    </w:p>
    <w:p w14:paraId="51A4CA5A" w14:textId="77777777" w:rsidR="003A2935" w:rsidRPr="00240545" w:rsidRDefault="003A2935" w:rsidP="00F97AD7">
      <w:pPr>
        <w:numPr>
          <w:ilvl w:val="0"/>
          <w:numId w:val="22"/>
        </w:numPr>
        <w:tabs>
          <w:tab w:val="num" w:pos="0"/>
        </w:tabs>
        <w:spacing w:after="240"/>
        <w:ind w:left="2340"/>
        <w:textAlignment w:val="baseline"/>
        <w:rPr>
          <w:rFonts w:ascii="Tahoma" w:eastAsia="Times New Roman" w:hAnsi="Tahoma" w:cs="Tahoma"/>
          <w:bCs/>
        </w:rPr>
      </w:pPr>
      <w:r w:rsidRPr="00240545">
        <w:rPr>
          <w:rFonts w:ascii="Tahoma" w:eastAsia="Times New Roman" w:hAnsi="Tahoma" w:cs="Tahoma"/>
          <w:bCs/>
        </w:rPr>
        <w:t>Operations and average daily vehicle-miles-traveled (VMT) for each vehicle</w:t>
      </w:r>
      <w:r w:rsidRPr="00240545">
        <w:rPr>
          <w:rFonts w:ascii="Tahoma" w:eastAsia="Times New Roman" w:hAnsi="Tahoma" w:cs="Tahoma"/>
          <w:b/>
          <w:u w:val="single"/>
        </w:rPr>
        <w:t>, or operations and average daily engine hours for specialty, off-road, or non-road applications</w:t>
      </w:r>
      <w:r w:rsidRPr="00240545">
        <w:rPr>
          <w:rFonts w:ascii="Tahoma" w:eastAsia="Times New Roman" w:hAnsi="Tahoma" w:cs="Tahoma"/>
          <w:bCs/>
        </w:rPr>
        <w:t>. Provide assumptions and calculations.</w:t>
      </w:r>
    </w:p>
    <w:p w14:paraId="39F3B0F8" w14:textId="77777777" w:rsidR="003A2935" w:rsidRPr="00240545" w:rsidRDefault="003A2935" w:rsidP="00F97AD7">
      <w:pPr>
        <w:numPr>
          <w:ilvl w:val="0"/>
          <w:numId w:val="22"/>
        </w:numPr>
        <w:tabs>
          <w:tab w:val="num" w:pos="0"/>
        </w:tabs>
        <w:spacing w:after="240"/>
        <w:ind w:left="2340"/>
        <w:textAlignment w:val="baseline"/>
        <w:rPr>
          <w:rFonts w:ascii="Tahoma" w:eastAsia="Times New Roman" w:hAnsi="Tahoma" w:cs="Tahoma"/>
          <w:bCs/>
        </w:rPr>
      </w:pPr>
      <w:r w:rsidRPr="00240545">
        <w:rPr>
          <w:rFonts w:ascii="Tahoma" w:eastAsia="Times New Roman" w:hAnsi="Tahoma" w:cs="Tahoma"/>
          <w:bCs/>
        </w:rPr>
        <w:t>Quantity and timeline of how many of the fleet’s vehicles will be converted to zero-emission. Provide assumptions and calculations.</w:t>
      </w:r>
    </w:p>
    <w:p w14:paraId="54D8DE81" w14:textId="77777777" w:rsidR="003A2935" w:rsidRPr="00240545" w:rsidRDefault="003A2935" w:rsidP="00AE74CA">
      <w:pPr>
        <w:numPr>
          <w:ilvl w:val="0"/>
          <w:numId w:val="22"/>
        </w:numPr>
        <w:tabs>
          <w:tab w:val="num" w:pos="0"/>
        </w:tabs>
        <w:spacing w:after="240"/>
        <w:ind w:left="2347"/>
        <w:textAlignment w:val="baseline"/>
        <w:rPr>
          <w:rFonts w:ascii="Tahoma" w:eastAsia="Times New Roman" w:hAnsi="Tahoma" w:cs="Tahoma"/>
          <w:bCs/>
        </w:rPr>
      </w:pPr>
      <w:r w:rsidRPr="00240545">
        <w:rPr>
          <w:rFonts w:ascii="Tahoma" w:eastAsia="Times New Roman" w:hAnsi="Tahoma" w:cs="Tahoma"/>
          <w:bCs/>
        </w:rPr>
        <w:lastRenderedPageBreak/>
        <w:t>Number of miles that will be converted from fossil-fuel-VMT to zero-emission-VMT</w:t>
      </w:r>
      <w:r w:rsidRPr="00240545">
        <w:rPr>
          <w:rFonts w:ascii="Tahoma" w:eastAsia="Times New Roman" w:hAnsi="Tahoma" w:cs="Tahoma"/>
          <w:b/>
          <w:u w:val="single"/>
        </w:rPr>
        <w:t>, or number of engine hours and fuel volume to be replaced by zero-emission alternatives for specialty, off-road, or non-road applications</w:t>
      </w:r>
      <w:r w:rsidRPr="00240545">
        <w:rPr>
          <w:rFonts w:ascii="Tahoma" w:eastAsia="Times New Roman" w:hAnsi="Tahoma" w:cs="Tahoma"/>
          <w:bCs/>
        </w:rPr>
        <w:t>. Provide assumptions and calculations.</w:t>
      </w:r>
    </w:p>
    <w:p w14:paraId="1756D354" w14:textId="77777777" w:rsidR="00BB1390" w:rsidRPr="00240545" w:rsidRDefault="00BB1390" w:rsidP="00F97AD7">
      <w:pPr>
        <w:numPr>
          <w:ilvl w:val="0"/>
          <w:numId w:val="14"/>
        </w:numPr>
        <w:spacing w:before="100" w:beforeAutospacing="1" w:after="100" w:afterAutospacing="1"/>
        <w:rPr>
          <w:rFonts w:ascii="Arial" w:eastAsia="Times New Roman" w:hAnsi="Arial" w:cs="Arial"/>
          <w:b/>
        </w:rPr>
      </w:pPr>
      <w:r w:rsidRPr="00240545">
        <w:rPr>
          <w:rFonts w:ascii="Tahoma" w:eastAsia="Times New Roman" w:hAnsi="Tahoma" w:cs="Tahoma"/>
          <w:b/>
        </w:rPr>
        <w:t>Project Budget</w:t>
      </w:r>
    </w:p>
    <w:p w14:paraId="78F5EF0A" w14:textId="77777777" w:rsidR="00BB1390" w:rsidRPr="00240545" w:rsidRDefault="00BB1390" w:rsidP="00F97AD7">
      <w:pPr>
        <w:numPr>
          <w:ilvl w:val="0"/>
          <w:numId w:val="13"/>
        </w:numPr>
        <w:spacing w:after="120"/>
        <w:rPr>
          <w:rFonts w:ascii="Tahoma" w:eastAsia="Times New Roman" w:hAnsi="Tahoma" w:cs="Tahoma"/>
        </w:rPr>
      </w:pPr>
      <w:r w:rsidRPr="00240545">
        <w:rPr>
          <w:rFonts w:ascii="Tahoma" w:eastAsia="Times New Roman" w:hAnsi="Tahoma" w:cs="Tahoma"/>
        </w:rPr>
        <w:t>Explain how the proposed budget is justifiable and reasonable relative to the project goals, objectives, and tasks defined in the scope of work.</w:t>
      </w:r>
    </w:p>
    <w:p w14:paraId="0DE05550" w14:textId="227174E3" w:rsidR="00BB1390" w:rsidRPr="00240545" w:rsidRDefault="00BB1390" w:rsidP="00F97AD7">
      <w:pPr>
        <w:numPr>
          <w:ilvl w:val="0"/>
          <w:numId w:val="13"/>
        </w:numPr>
        <w:spacing w:after="120"/>
        <w:rPr>
          <w:rFonts w:ascii="Tahoma" w:eastAsia="Times New Roman" w:hAnsi="Tahoma" w:cs="Tahoma"/>
          <w:b/>
          <w:bCs/>
          <w:u w:val="single"/>
        </w:rPr>
      </w:pPr>
      <w:r w:rsidRPr="00240545">
        <w:rPr>
          <w:rFonts w:ascii="Tahoma" w:eastAsia="Times New Roman" w:hAnsi="Tahoma" w:cs="Tahoma"/>
          <w:b/>
          <w:bCs/>
          <w:u w:val="single"/>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0EE0B72F" w14:textId="61645945" w:rsidR="00754468" w:rsidRPr="00240545" w:rsidRDefault="00BB1390" w:rsidP="00754468">
      <w:pPr>
        <w:numPr>
          <w:ilvl w:val="0"/>
          <w:numId w:val="13"/>
        </w:numPr>
        <w:spacing w:before="100" w:beforeAutospacing="1" w:after="120" w:afterAutospacing="1"/>
        <w:ind w:left="1980" w:hanging="450"/>
        <w:textAlignment w:val="baseline"/>
        <w:rPr>
          <w:rFonts w:ascii="Tahoma" w:eastAsia="Yu Mincho" w:hAnsi="Tahoma" w:cs="Tahoma"/>
        </w:rPr>
      </w:pPr>
      <w:r w:rsidRPr="00240545">
        <w:rPr>
          <w:rFonts w:ascii="Tahoma" w:eastAsia="Times New Roman" w:hAnsi="Tahoma" w:cs="Tahoma"/>
        </w:rPr>
        <w:t>[</w:t>
      </w:r>
      <w:r w:rsidRPr="00240545">
        <w:rPr>
          <w:rFonts w:ascii="Tahoma" w:eastAsia="Times New Roman" w:hAnsi="Tahoma" w:cs="Tahoma"/>
          <w:strike/>
        </w:rPr>
        <w:t>Discuss how the amount of CEC funding per port/refueling position is minimized and justified for the proposed infrastructure power level/refueling capacity</w:t>
      </w:r>
      <w:r w:rsidRPr="00240545">
        <w:rPr>
          <w:rFonts w:ascii="Tahoma" w:eastAsia="Times New Roman" w:hAnsi="Tahoma" w:cs="Tahoma"/>
        </w:rPr>
        <w:t>.]</w:t>
      </w:r>
      <w:r w:rsidRPr="00240545">
        <w:rPr>
          <w:rFonts w:ascii="Tahoma" w:eastAsia="Times New Roman" w:hAnsi="Tahoma" w:cs="Tahoma"/>
          <w:b/>
          <w:bCs/>
          <w:u w:val="single"/>
        </w:rPr>
        <w:t xml:space="preserve"> Explain how the proposed budget supports: a high quantity of charging ports or refueling positions, and a high aggregate new charging or refueling capacity (measured in kW or kg). Describe how the budget enables broad infrastructure impact within the funding constraints.</w:t>
      </w:r>
    </w:p>
    <w:p w14:paraId="4651466F" w14:textId="77777777" w:rsidR="00754468" w:rsidRPr="00240545" w:rsidRDefault="00754468" w:rsidP="00754468">
      <w:pPr>
        <w:pStyle w:val="paragraph"/>
        <w:numPr>
          <w:ilvl w:val="0"/>
          <w:numId w:val="13"/>
        </w:numPr>
        <w:textAlignment w:val="baseline"/>
        <w:rPr>
          <w:rStyle w:val="normaltextrun"/>
          <w:rFonts w:ascii="Tahoma" w:hAnsi="Tahoma" w:cs="Tahoma"/>
        </w:rPr>
      </w:pPr>
      <w:r w:rsidRPr="00240545">
        <w:rPr>
          <w:rStyle w:val="normaltextrun"/>
          <w:rFonts w:ascii="Tahoma" w:hAnsi="Tahoma" w:cs="Tahoma"/>
        </w:rPr>
        <w:t xml:space="preserve">Describe how the project will minimize costs. Describe how administrative and overhead expenses are minimized. </w:t>
      </w:r>
    </w:p>
    <w:p w14:paraId="5E2C09D2" w14:textId="77777777" w:rsidR="00754468" w:rsidRPr="00240545" w:rsidRDefault="00754468" w:rsidP="00754468">
      <w:pPr>
        <w:pStyle w:val="paragraph"/>
        <w:numPr>
          <w:ilvl w:val="0"/>
          <w:numId w:val="13"/>
        </w:numPr>
        <w:textAlignment w:val="baseline"/>
        <w:rPr>
          <w:rStyle w:val="normaltextrun"/>
          <w:rFonts w:ascii="Tahoma" w:hAnsi="Tahoma" w:cs="Tahoma"/>
        </w:rPr>
      </w:pPr>
      <w:r w:rsidRPr="00240545">
        <w:rPr>
          <w:rStyle w:val="normaltextrun"/>
          <w:rFonts w:ascii="Tahoma" w:hAnsi="Tahoma" w:cs="Tahoma"/>
        </w:rPr>
        <w:t>[</w:t>
      </w:r>
      <w:r w:rsidRPr="00240545">
        <w:rPr>
          <w:rStyle w:val="normaltextrun"/>
          <w:rFonts w:ascii="Tahoma" w:hAnsi="Tahoma" w:cs="Tahoma"/>
          <w:strike/>
        </w:rPr>
        <w:t>Calculate and show the CEC reimbursable cost per charger or hydrogen refueling dispenser and cost per dispensed kilowatt-hour or kilogram. Document your assumptions.</w:t>
      </w:r>
      <w:r w:rsidRPr="00240545">
        <w:rPr>
          <w:rStyle w:val="normaltextrun"/>
          <w:rFonts w:ascii="Tahoma" w:hAnsi="Tahoma" w:cs="Tahoma"/>
        </w:rPr>
        <w:t>]</w:t>
      </w:r>
    </w:p>
    <w:p w14:paraId="1B34B9EF" w14:textId="77777777" w:rsidR="002F762B" w:rsidRPr="00240545" w:rsidRDefault="00754468" w:rsidP="002F762B">
      <w:pPr>
        <w:pStyle w:val="paragraph"/>
        <w:numPr>
          <w:ilvl w:val="0"/>
          <w:numId w:val="13"/>
        </w:numPr>
        <w:textAlignment w:val="baseline"/>
        <w:rPr>
          <w:rStyle w:val="normaltextrun"/>
          <w:rFonts w:ascii="Tahoma" w:hAnsi="Tahoma" w:cs="Tahoma"/>
        </w:rPr>
      </w:pPr>
      <w:r w:rsidRPr="00240545">
        <w:rPr>
          <w:rStyle w:val="normaltextrun"/>
          <w:rFonts w:ascii="Tahoma" w:hAnsi="Tahoma" w:cs="Tahoma"/>
        </w:rPr>
        <w:t>[</w:t>
      </w:r>
      <w:bookmarkStart w:id="14" w:name="_Hlk211952992"/>
      <w:r w:rsidRPr="00240545">
        <w:rPr>
          <w:rStyle w:val="normaltextrun"/>
          <w:rFonts w:ascii="Tahoma" w:hAnsi="Tahoma" w:cs="Tahoma"/>
          <w:strike/>
        </w:rPr>
        <w:t>Discuss how the proposed project cost effectively reduces greenhouse gas (GHG) emissions. Calculate dollars of CEC funding divided by the amount of GHGs reduced annually.</w:t>
      </w:r>
      <w:bookmarkEnd w:id="14"/>
      <w:r w:rsidRPr="00240545">
        <w:rPr>
          <w:rStyle w:val="normaltextrun"/>
          <w:rFonts w:ascii="Tahoma" w:hAnsi="Tahoma" w:cs="Tahoma"/>
        </w:rPr>
        <w:t xml:space="preserve">]   </w:t>
      </w:r>
    </w:p>
    <w:p w14:paraId="75060545" w14:textId="77777777" w:rsidR="002F762B" w:rsidRPr="00240545" w:rsidRDefault="002F762B" w:rsidP="002F762B">
      <w:pPr>
        <w:pStyle w:val="paragraph"/>
        <w:numPr>
          <w:ilvl w:val="0"/>
          <w:numId w:val="13"/>
        </w:numPr>
        <w:textAlignment w:val="baseline"/>
        <w:rPr>
          <w:rStyle w:val="normaltextrun"/>
          <w:rFonts w:ascii="Tahoma" w:hAnsi="Tahoma" w:cs="Tahoma"/>
        </w:rPr>
      </w:pPr>
      <w:r w:rsidRPr="00240545">
        <w:rPr>
          <w:rStyle w:val="normaltextrun"/>
          <w:rFonts w:ascii="Tahoma" w:hAnsi="Tahoma" w:cs="Tahoma"/>
        </w:rPr>
        <w:t xml:space="preserve">Describe match funding sources and commitments supported by verifiable documentation (attach letter(s) of commitment separately) and how these funds will lead to project success. Explain how CEC funds requested compared to match provided maximizes the use of public funds. </w:t>
      </w:r>
    </w:p>
    <w:p w14:paraId="780CB8E3" w14:textId="1F11480E" w:rsidR="002F762B" w:rsidRPr="00240545" w:rsidRDefault="002F762B" w:rsidP="006E329B">
      <w:pPr>
        <w:pStyle w:val="paragraph"/>
        <w:numPr>
          <w:ilvl w:val="0"/>
          <w:numId w:val="13"/>
        </w:numPr>
        <w:textAlignment w:val="baseline"/>
        <w:rPr>
          <w:rFonts w:ascii="Tahoma" w:hAnsi="Tahoma" w:cs="Tahoma"/>
        </w:rPr>
      </w:pPr>
      <w:r w:rsidRPr="00240545">
        <w:rPr>
          <w:rStyle w:val="normaltextrun"/>
          <w:rFonts w:ascii="Tahoma" w:hAnsi="Tahoma" w:cs="Tahoma"/>
        </w:rPr>
        <w:t>Include rationale as to why state funds are necessary for the proposed project and identify why the proposed use of state funds is crucial to project success.</w:t>
      </w:r>
    </w:p>
    <w:p w14:paraId="5B75F028" w14:textId="77777777" w:rsidR="00BB1390" w:rsidRPr="00240545" w:rsidRDefault="00BB1390" w:rsidP="00F97AD7">
      <w:pPr>
        <w:numPr>
          <w:ilvl w:val="0"/>
          <w:numId w:val="14"/>
        </w:numPr>
        <w:spacing w:before="100" w:beforeAutospacing="1" w:after="100" w:afterAutospacing="1"/>
        <w:rPr>
          <w:rFonts w:ascii="Tahoma" w:eastAsia="Times New Roman" w:hAnsi="Tahoma" w:cs="Tahoma"/>
          <w:b/>
        </w:rPr>
      </w:pPr>
      <w:r w:rsidRPr="00240545">
        <w:rPr>
          <w:rFonts w:ascii="Tahoma" w:eastAsia="Times New Roman" w:hAnsi="Tahoma" w:cs="Tahoma"/>
          <w:b/>
        </w:rPr>
        <w:t>Economic, Social, and Environmental Benefits</w:t>
      </w:r>
    </w:p>
    <w:p w14:paraId="568B2631" w14:textId="77777777" w:rsidR="00BB1390" w:rsidRPr="00240545" w:rsidRDefault="00BB1390" w:rsidP="00F97AD7">
      <w:pPr>
        <w:numPr>
          <w:ilvl w:val="0"/>
          <w:numId w:val="15"/>
        </w:numPr>
        <w:spacing w:before="100" w:beforeAutospacing="1" w:after="100" w:afterAutospacing="1"/>
        <w:textAlignment w:val="baseline"/>
        <w:rPr>
          <w:rFonts w:ascii="Tahoma" w:eastAsia="Times New Roman" w:hAnsi="Tahoma" w:cs="Tahoma"/>
        </w:rPr>
      </w:pPr>
      <w:r w:rsidRPr="00240545">
        <w:rPr>
          <w:rFonts w:ascii="Tahoma" w:eastAsia="Times New Roman" w:hAnsi="Tahoma" w:cs="Tahoma"/>
        </w:rPr>
        <w:t xml:space="preserve">Describe how the proposed project will support the larger economic and reduced emission goals of the port and compliance with state regulations. </w:t>
      </w:r>
    </w:p>
    <w:p w14:paraId="334502B7" w14:textId="77777777" w:rsidR="00BB1390" w:rsidRPr="00240545" w:rsidRDefault="00BB1390" w:rsidP="00F97AD7">
      <w:pPr>
        <w:numPr>
          <w:ilvl w:val="0"/>
          <w:numId w:val="15"/>
        </w:numPr>
        <w:spacing w:before="100" w:beforeAutospacing="1" w:after="100" w:afterAutospacing="1"/>
        <w:textAlignment w:val="baseline"/>
        <w:rPr>
          <w:rFonts w:ascii="Tahoma" w:eastAsia="Times New Roman" w:hAnsi="Tahoma" w:cs="Tahoma"/>
        </w:rPr>
      </w:pPr>
      <w:r w:rsidRPr="00240545">
        <w:rPr>
          <w:rFonts w:ascii="Tahoma" w:eastAsia="Times New Roman" w:hAnsi="Tahoma" w:cs="Tahoma"/>
        </w:rPr>
        <w:lastRenderedPageBreak/>
        <w:t>Provide the total weight of CO2 displaced in metric tons resulting from the proposed project on an annual basis and substantiate calculations.</w:t>
      </w:r>
    </w:p>
    <w:p w14:paraId="7985E2F2" w14:textId="77777777" w:rsidR="00BB1390" w:rsidRPr="00240545" w:rsidRDefault="00BB1390" w:rsidP="00F97AD7">
      <w:pPr>
        <w:numPr>
          <w:ilvl w:val="0"/>
          <w:numId w:val="15"/>
        </w:numPr>
        <w:spacing w:before="100" w:beforeAutospacing="1" w:after="100" w:afterAutospacing="1"/>
        <w:rPr>
          <w:rFonts w:ascii="Tahoma" w:eastAsia="Times New Roman" w:hAnsi="Tahoma" w:cs="Tahoma"/>
        </w:rPr>
      </w:pPr>
      <w:r w:rsidRPr="00240545">
        <w:rPr>
          <w:rFonts w:ascii="Tahoma" w:eastAsia="Times New Roman" w:hAnsi="Tahoma" w:cs="Tahoma"/>
          <w:bCs/>
          <w:color w:val="000000"/>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The CARB </w:t>
      </w:r>
      <w:hyperlink r:id="rId22" w:history="1">
        <w:r w:rsidRPr="00240545">
          <w:rPr>
            <w:rFonts w:ascii="Tahoma" w:eastAsia="Times New Roman" w:hAnsi="Tahoma" w:cs="Tahoma"/>
            <w:bCs/>
            <w:color w:val="0000CC"/>
            <w:u w:val="single"/>
          </w:rPr>
          <w:t>calculation methodology guidance</w:t>
        </w:r>
      </w:hyperlink>
      <w:r w:rsidRPr="00240545">
        <w:rPr>
          <w:rFonts w:ascii="Tahoma" w:eastAsia="Times New Roman" w:hAnsi="Tahoma" w:cs="Tahoma"/>
          <w:bCs/>
          <w:color w:val="000000"/>
        </w:rPr>
        <w:t xml:space="preserve"> is available at: </w:t>
      </w:r>
      <w:hyperlink r:id="rId23" w:history="1">
        <w:r w:rsidRPr="00240545">
          <w:rPr>
            <w:rFonts w:ascii="Tahoma" w:eastAsia="Times New Roman" w:hAnsi="Tahoma" w:cs="Tahoma"/>
            <w:bCs/>
            <w:color w:val="0000CC"/>
            <w:u w:val="single"/>
          </w:rPr>
          <w:t>https://ww2.arb.ca.gov/our-work/programs/low-carbon-fuel-standard/lcfs-guidance-documents-user-guides-and-faqs</w:t>
        </w:r>
      </w:hyperlink>
      <w:r w:rsidRPr="00240545">
        <w:rPr>
          <w:rFonts w:ascii="Tahoma" w:eastAsia="Times New Roman" w:hAnsi="Tahoma" w:cs="Tahoma"/>
          <w:bCs/>
          <w:color w:val="000000"/>
          <w:u w:val="single"/>
        </w:rPr>
        <w:t>.</w:t>
      </w:r>
    </w:p>
    <w:p w14:paraId="20604E29" w14:textId="77777777" w:rsidR="00BB1390" w:rsidRPr="00240545" w:rsidRDefault="00BB1390" w:rsidP="00F97AD7">
      <w:pPr>
        <w:numPr>
          <w:ilvl w:val="4"/>
          <w:numId w:val="16"/>
        </w:numPr>
        <w:autoSpaceDE w:val="0"/>
        <w:autoSpaceDN w:val="0"/>
        <w:adjustRightInd w:val="0"/>
        <w:spacing w:before="100" w:beforeAutospacing="1" w:after="100" w:afterAutospacing="1"/>
        <w:ind w:left="2160"/>
        <w:rPr>
          <w:rFonts w:ascii="Tahoma" w:eastAsia="Times New Roman" w:hAnsi="Tahoma" w:cs="Tahoma"/>
          <w:color w:val="000000"/>
        </w:rPr>
      </w:pPr>
      <w:r w:rsidRPr="00240545">
        <w:rPr>
          <w:rFonts w:ascii="Tahoma" w:eastAsia="Times New Roman" w:hAnsi="Tahoma" w:cs="Tahoma"/>
          <w:bCs/>
          <w:color w:val="000000"/>
        </w:rPr>
        <w:t>If the carbon intensity pathway of the proposed project has already been calculated through CARB’s LCFS process, Applicant must so state and provide the carbon intensity of the project’s fuel and the pathway identifier(s) from the Low Carbon Fuel Standard</w:t>
      </w:r>
      <w:r w:rsidRPr="00240545">
        <w:rPr>
          <w:rFonts w:ascii="Tahoma" w:eastAsia="Times New Roman" w:hAnsi="Tahoma" w:cs="Tahoma"/>
          <w:bCs/>
          <w:color w:val="000000"/>
          <w:u w:val="single"/>
        </w:rPr>
        <w:t xml:space="preserve"> </w:t>
      </w:r>
      <w:hyperlink r:id="rId24" w:history="1">
        <w:r w:rsidRPr="00240545">
          <w:rPr>
            <w:rFonts w:ascii="Tahoma" w:eastAsia="Times New Roman" w:hAnsi="Tahoma" w:cs="Tahoma"/>
            <w:bCs/>
            <w:color w:val="0000CC"/>
            <w:u w:val="single"/>
          </w:rPr>
          <w:t>Reporting Tool and Credit Bank &amp; Transfer System</w:t>
        </w:r>
      </w:hyperlink>
      <w:r w:rsidRPr="00240545">
        <w:rPr>
          <w:rFonts w:ascii="Tahoma" w:eastAsia="Times New Roman" w:hAnsi="Tahoma" w:cs="Tahoma"/>
          <w:bCs/>
          <w:color w:val="000000"/>
          <w:u w:val="single"/>
        </w:rPr>
        <w:t xml:space="preserve"> (LRT-CBTS) (</w:t>
      </w:r>
      <w:hyperlink r:id="rId25" w:history="1">
        <w:r w:rsidRPr="00240545">
          <w:rPr>
            <w:rFonts w:ascii="Tahoma" w:eastAsia="Times New Roman" w:hAnsi="Tahoma" w:cs="Tahoma"/>
            <w:bCs/>
            <w:color w:val="0000CC"/>
            <w:u w:val="single"/>
          </w:rPr>
          <w:t>https://ssl.arb.ca.gov/lcfsrt/Login.aspx</w:t>
        </w:r>
      </w:hyperlink>
      <w:r w:rsidRPr="00240545">
        <w:rPr>
          <w:rFonts w:ascii="Tahoma" w:eastAsia="Times New Roman" w:hAnsi="Tahoma" w:cs="Tahoma"/>
          <w:bCs/>
          <w:color w:val="000000"/>
        </w:rPr>
        <w:t xml:space="preserve">), in lieu of the </w:t>
      </w:r>
      <w:r w:rsidRPr="00240545">
        <w:rPr>
          <w:rFonts w:ascii="Tahoma" w:eastAsia="Times New Roman" w:hAnsi="Tahoma" w:cs="Tahoma"/>
          <w:color w:val="000000"/>
        </w:rPr>
        <w:t>above.</w:t>
      </w:r>
    </w:p>
    <w:p w14:paraId="29A33245" w14:textId="77777777" w:rsidR="00BB1390" w:rsidRPr="00240545" w:rsidRDefault="00BB1390" w:rsidP="00F97AD7">
      <w:pPr>
        <w:numPr>
          <w:ilvl w:val="4"/>
          <w:numId w:val="16"/>
        </w:numPr>
        <w:autoSpaceDE w:val="0"/>
        <w:autoSpaceDN w:val="0"/>
        <w:adjustRightInd w:val="0"/>
        <w:spacing w:before="100" w:beforeAutospacing="1" w:after="100" w:afterAutospacing="1"/>
        <w:ind w:left="2160"/>
        <w:rPr>
          <w:rFonts w:ascii="Tahoma" w:eastAsia="Times New Roman" w:hAnsi="Tahoma" w:cs="Tahoma"/>
          <w:color w:val="000000"/>
        </w:rPr>
      </w:pPr>
      <w:r w:rsidRPr="00240545">
        <w:rPr>
          <w:rFonts w:ascii="Tahoma" w:eastAsia="Times New Roman" w:hAnsi="Tahoma" w:cs="Tahoma"/>
          <w:color w:val="000000"/>
        </w:rPr>
        <w:t>For hydrogen projects, calculate and present the carbon intensity of the hydrogen fuel to be dispensed at the proposed station(s), measured well-to-gate, consistent with the clean hydrogen federal tax credit created by Section 45V of Title 26 of the United States Code.</w:t>
      </w:r>
    </w:p>
    <w:p w14:paraId="74CC3D75" w14:textId="77777777" w:rsidR="00BB1390" w:rsidRPr="00240545" w:rsidRDefault="00BB1390" w:rsidP="00D140E8">
      <w:pPr>
        <w:numPr>
          <w:ilvl w:val="0"/>
          <w:numId w:val="15"/>
        </w:numPr>
        <w:autoSpaceDE w:val="0"/>
        <w:autoSpaceDN w:val="0"/>
        <w:adjustRightInd w:val="0"/>
        <w:spacing w:before="100" w:beforeAutospacing="1" w:after="100" w:afterAutospacing="1"/>
        <w:rPr>
          <w:rFonts w:ascii="Tahoma" w:eastAsia="Times New Roman" w:hAnsi="Tahoma" w:cs="Tahoma"/>
          <w:color w:val="000000"/>
        </w:rPr>
      </w:pPr>
      <w:r w:rsidRPr="00240545">
        <w:rPr>
          <w:rFonts w:ascii="Tahoma" w:eastAsia="Times New Roman" w:hAnsi="Tahoma" w:cs="Tahoma"/>
          <w:color w:val="000000"/>
        </w:rPr>
        <w:t>[</w:t>
      </w:r>
      <w:r w:rsidRPr="00240545">
        <w:rPr>
          <w:rFonts w:ascii="Tahoma" w:eastAsia="Times New Roman" w:hAnsi="Tahoma" w:cs="Tahoma"/>
          <w:strike/>
          <w:color w:val="000000"/>
        </w:rPr>
        <w:t>Provide the estimated</w:t>
      </w:r>
      <w:r w:rsidRPr="00240545">
        <w:rPr>
          <w:rFonts w:ascii="Tahoma" w:eastAsia="Times New Roman" w:hAnsi="Tahoma" w:cs="Tahoma"/>
          <w:color w:val="000000"/>
        </w:rPr>
        <w:t>]</w:t>
      </w:r>
      <w:r w:rsidRPr="00240545">
        <w:rPr>
          <w:rFonts w:ascii="Tahoma" w:eastAsia="Times New Roman" w:hAnsi="Tahoma" w:cs="Tahoma"/>
          <w:b/>
          <w:bCs/>
          <w:color w:val="000000"/>
          <w:u w:val="single"/>
        </w:rPr>
        <w:t xml:space="preserve"> Describe the expected</w:t>
      </w:r>
      <w:r w:rsidRPr="00240545">
        <w:rPr>
          <w:rFonts w:ascii="Tahoma" w:eastAsia="Times New Roman" w:hAnsi="Tahoma" w:cs="Tahoma"/>
          <w:color w:val="000000"/>
        </w:rPr>
        <w:t xml:space="preserve"> utilization [</w:t>
      </w:r>
      <w:r w:rsidRPr="00240545">
        <w:rPr>
          <w:rFonts w:ascii="Tahoma" w:eastAsia="Times New Roman" w:hAnsi="Tahoma" w:cs="Tahoma"/>
          <w:strike/>
          <w:color w:val="000000"/>
        </w:rPr>
        <w:t>rates</w:t>
      </w:r>
      <w:r w:rsidRPr="00240545">
        <w:rPr>
          <w:rFonts w:ascii="Tahoma" w:eastAsia="Times New Roman" w:hAnsi="Tahoma" w:cs="Tahoma"/>
          <w:color w:val="000000"/>
        </w:rPr>
        <w:t>]</w:t>
      </w:r>
      <w:r w:rsidRPr="00240545">
        <w:rPr>
          <w:rFonts w:ascii="Tahoma" w:eastAsia="Times New Roman" w:hAnsi="Tahoma" w:cs="Tahoma"/>
          <w:b/>
          <w:bCs/>
          <w:color w:val="000000"/>
          <w:u w:val="single"/>
        </w:rPr>
        <w:t xml:space="preserve"> levels </w:t>
      </w:r>
      <w:r w:rsidRPr="00240545">
        <w:rPr>
          <w:rFonts w:ascii="Tahoma" w:eastAsia="Times New Roman" w:hAnsi="Tahoma" w:cs="Tahoma"/>
          <w:color w:val="000000"/>
        </w:rPr>
        <w:t xml:space="preserve">of </w:t>
      </w:r>
      <w:r w:rsidRPr="00240545">
        <w:rPr>
          <w:rFonts w:ascii="Tahoma" w:eastAsia="Times New Roman" w:hAnsi="Tahoma" w:cs="Tahoma"/>
          <w:b/>
          <w:bCs/>
          <w:color w:val="000000"/>
          <w:u w:val="single"/>
        </w:rPr>
        <w:t xml:space="preserve">the </w:t>
      </w:r>
      <w:r w:rsidRPr="00240545">
        <w:rPr>
          <w:rFonts w:ascii="Tahoma" w:eastAsia="Times New Roman" w:hAnsi="Tahoma" w:cs="Tahoma"/>
          <w:color w:val="000000"/>
        </w:rPr>
        <w:t>infrastructure [</w:t>
      </w:r>
      <w:r w:rsidRPr="00240545">
        <w:rPr>
          <w:rFonts w:ascii="Tahoma" w:eastAsia="Times New Roman" w:hAnsi="Tahoma" w:cs="Tahoma"/>
          <w:strike/>
          <w:color w:val="000000"/>
        </w:rPr>
        <w:t>on a daily and annual basis</w:t>
      </w:r>
      <w:r w:rsidRPr="00240545">
        <w:rPr>
          <w:rFonts w:ascii="Tahoma" w:eastAsia="Times New Roman" w:hAnsi="Tahoma" w:cs="Tahoma"/>
          <w:color w:val="000000"/>
        </w:rPr>
        <w:t xml:space="preserve">] and </w:t>
      </w:r>
      <w:r w:rsidRPr="00240545">
        <w:rPr>
          <w:rFonts w:ascii="Tahoma" w:eastAsia="Times New Roman" w:hAnsi="Tahoma" w:cs="Tahoma"/>
          <w:b/>
          <w:bCs/>
          <w:color w:val="000000"/>
          <w:u w:val="single"/>
        </w:rPr>
        <w:t xml:space="preserve">include justification to </w:t>
      </w:r>
      <w:r w:rsidRPr="00240545">
        <w:rPr>
          <w:rFonts w:ascii="Tahoma" w:eastAsia="Times New Roman" w:hAnsi="Tahoma" w:cs="Tahoma"/>
          <w:color w:val="000000"/>
        </w:rPr>
        <w:t>substantiate [</w:t>
      </w:r>
      <w:r w:rsidRPr="00240545">
        <w:rPr>
          <w:rFonts w:ascii="Tahoma" w:eastAsia="Times New Roman" w:hAnsi="Tahoma" w:cs="Tahoma"/>
          <w:strike/>
          <w:color w:val="000000"/>
        </w:rPr>
        <w:t>calculations</w:t>
      </w:r>
      <w:r w:rsidRPr="00240545">
        <w:rPr>
          <w:rFonts w:ascii="Tahoma" w:eastAsia="Times New Roman" w:hAnsi="Tahoma" w:cs="Tahoma"/>
          <w:color w:val="000000"/>
        </w:rPr>
        <w:t>]</w:t>
      </w:r>
      <w:r w:rsidRPr="00240545">
        <w:rPr>
          <w:rFonts w:ascii="Tahoma" w:eastAsia="Times New Roman" w:hAnsi="Tahoma" w:cs="Tahoma"/>
          <w:b/>
          <w:bCs/>
          <w:color w:val="000000"/>
          <w:u w:val="single"/>
        </w:rPr>
        <w:t xml:space="preserve"> the expected utilization</w:t>
      </w:r>
      <w:r w:rsidRPr="00240545">
        <w:rPr>
          <w:rFonts w:ascii="Tahoma" w:eastAsia="Times New Roman" w:hAnsi="Tahoma" w:cs="Tahoma"/>
          <w:color w:val="000000"/>
        </w:rPr>
        <w:t xml:space="preserve">. </w:t>
      </w:r>
      <w:r w:rsidRPr="00240545">
        <w:rPr>
          <w:rFonts w:ascii="Tahoma" w:eastAsia="Times New Roman" w:hAnsi="Tahoma" w:cs="Tahoma"/>
          <w:b/>
          <w:bCs/>
          <w:color w:val="000000"/>
          <w:u w:val="single"/>
        </w:rPr>
        <w:t>To the extent necessary, provide a year-over-year increase in utilization if higher utilization is anticipated in future years. For hydrogen projects, include information and substantiation on the source of hydrogen, such as renewable hydrogen.</w:t>
      </w:r>
      <w:r w:rsidRPr="00240545">
        <w:rPr>
          <w:rFonts w:ascii="Tahoma" w:eastAsia="Times New Roman" w:hAnsi="Tahoma" w:cs="Tahoma"/>
          <w:color w:val="000000"/>
        </w:rPr>
        <w:t xml:space="preserve"> [</w:t>
      </w:r>
      <w:r w:rsidRPr="00240545">
        <w:rPr>
          <w:rFonts w:ascii="Tahoma" w:eastAsia="Times New Roman" w:hAnsi="Tahoma" w:cs="Tahoma"/>
          <w:strike/>
          <w:color w:val="000000"/>
        </w:rPr>
        <w:t>Assumptions and calculations should include number of ZEVs utilizing infrastructure per day, average charging time, and average power utilized per sessions. For hydrogen refueling stations, provide average refueling time for an average fill.</w:t>
      </w:r>
      <w:r w:rsidRPr="00240545">
        <w:rPr>
          <w:rFonts w:ascii="Tahoma" w:eastAsia="Times New Roman" w:hAnsi="Tahoma" w:cs="Tahoma"/>
          <w:color w:val="000000"/>
        </w:rPr>
        <w:t xml:space="preserve">] </w:t>
      </w:r>
    </w:p>
    <w:p w14:paraId="5A5E9AC7" w14:textId="77777777" w:rsidR="00BB1390" w:rsidRPr="00240545" w:rsidRDefault="00BB1390" w:rsidP="00B60F8C">
      <w:pPr>
        <w:numPr>
          <w:ilvl w:val="0"/>
          <w:numId w:val="15"/>
        </w:numPr>
        <w:autoSpaceDE w:val="0"/>
        <w:autoSpaceDN w:val="0"/>
        <w:adjustRightInd w:val="0"/>
        <w:spacing w:before="100" w:beforeAutospacing="1" w:after="240"/>
        <w:ind w:left="1886"/>
        <w:rPr>
          <w:rFonts w:ascii="Tahoma" w:eastAsia="Times New Roman" w:hAnsi="Tahoma" w:cs="Tahoma"/>
          <w:color w:val="000000"/>
        </w:rPr>
      </w:pPr>
      <w:r w:rsidRPr="00240545">
        <w:rPr>
          <w:rFonts w:ascii="Tahoma" w:eastAsia="Times New Roman" w:hAnsi="Tahoma" w:cs="Tahoma"/>
          <w:color w:val="000000"/>
        </w:rPr>
        <w:t>If located in a community with a priority population, describe how the proposed project will provide direct, meaningful and assured benefits to priority populations and if the project will displace current sources of emissions. Describe how benefits to these communities will be evaluated. (NOTE: at least</w:t>
      </w:r>
      <w:r w:rsidRPr="00240545">
        <w:rPr>
          <w:rFonts w:ascii="Tahoma" w:eastAsia="Times New Roman" w:hAnsi="Tahoma" w:cs="Tahoma"/>
          <w:bCs/>
          <w:color w:val="000000"/>
        </w:rPr>
        <w:t xml:space="preserve"> </w:t>
      </w:r>
      <w:r w:rsidRPr="00240545">
        <w:rPr>
          <w:rFonts w:ascii="Tahoma" w:eastAsia="Times New Roman" w:hAnsi="Tahoma" w:cs="Tahoma"/>
          <w:color w:val="000000"/>
        </w:rPr>
        <w:t xml:space="preserve">50% of </w:t>
      </w:r>
      <w:r w:rsidRPr="00240545">
        <w:rPr>
          <w:rFonts w:ascii="Tahoma" w:eastAsia="Times New Roman" w:hAnsi="Tahoma" w:cs="Tahoma"/>
          <w:bCs/>
          <w:color w:val="000000"/>
        </w:rPr>
        <w:t>the locations in the application</w:t>
      </w:r>
      <w:r w:rsidRPr="00240545">
        <w:rPr>
          <w:rFonts w:ascii="Tahoma" w:eastAsia="Times New Roman" w:hAnsi="Tahoma" w:cs="Tahoma"/>
          <w:color w:val="000000"/>
        </w:rPr>
        <w:t xml:space="preserve"> shall directly benefit or serve residents of low-income communities and disadvantaged communities</w:t>
      </w:r>
      <w:r w:rsidRPr="00240545">
        <w:rPr>
          <w:rFonts w:ascii="Tahoma" w:eastAsia="Times New Roman" w:hAnsi="Tahoma" w:cs="Tahoma"/>
        </w:rPr>
        <w:t xml:space="preserve"> with the map provided at Priority Populations — California Climate Investments </w:t>
      </w:r>
      <w:hyperlink r:id="rId26" w:history="1">
        <w:r w:rsidRPr="00240545">
          <w:rPr>
            <w:rFonts w:ascii="Tahoma" w:eastAsia="Times New Roman" w:hAnsi="Tahoma" w:cs="Tahoma"/>
            <w:color w:val="0000FF"/>
            <w:u w:val="single"/>
          </w:rPr>
          <w:t>https://www.caclimateinvestments.ca.gov/priority-populations. Refer to Section II.B.3</w:t>
        </w:r>
      </w:hyperlink>
      <w:r w:rsidRPr="00240545">
        <w:rPr>
          <w:rFonts w:ascii="Tahoma" w:eastAsia="Times New Roman" w:hAnsi="Tahoma" w:cs="Tahoma"/>
        </w:rPr>
        <w:t>.</w:t>
      </w:r>
      <w:r w:rsidRPr="00240545">
        <w:rPr>
          <w:rFonts w:ascii="Tahoma" w:eastAsia="Times New Roman" w:hAnsi="Tahoma" w:cs="Tahoma"/>
          <w:color w:val="000000"/>
        </w:rPr>
        <w:t>)</w:t>
      </w:r>
    </w:p>
    <w:p w14:paraId="7A64A612" w14:textId="77777777" w:rsidR="00BB1390" w:rsidRPr="00240545" w:rsidRDefault="00BB1390" w:rsidP="00F97AD7">
      <w:pPr>
        <w:numPr>
          <w:ilvl w:val="0"/>
          <w:numId w:val="15"/>
        </w:numPr>
        <w:autoSpaceDE w:val="0"/>
        <w:autoSpaceDN w:val="0"/>
        <w:adjustRightInd w:val="0"/>
        <w:spacing w:before="100" w:beforeAutospacing="1" w:after="100" w:afterAutospacing="1"/>
        <w:rPr>
          <w:rFonts w:ascii="Tahoma" w:eastAsia="Times New Roman" w:hAnsi="Tahoma" w:cs="Tahoma"/>
          <w:color w:val="000000"/>
        </w:rPr>
      </w:pPr>
      <w:r w:rsidRPr="00240545">
        <w:rPr>
          <w:rFonts w:ascii="Arial" w:eastAsia="Times New Roman" w:hAnsi="Arial" w:cs="Arial"/>
          <w:color w:val="000000"/>
        </w:rPr>
        <w:t>Describe how the proposed infrastructure for the proposed project will incorporate a plan for resiliency in order to carry out the goals of the project during an emergency.</w:t>
      </w:r>
    </w:p>
    <w:p w14:paraId="02440252" w14:textId="77777777" w:rsidR="00BB1390" w:rsidRPr="00240545" w:rsidRDefault="00BB1390" w:rsidP="00D140E8">
      <w:pPr>
        <w:pStyle w:val="ListParagraph"/>
        <w:numPr>
          <w:ilvl w:val="0"/>
          <w:numId w:val="35"/>
        </w:numPr>
        <w:autoSpaceDE w:val="0"/>
        <w:autoSpaceDN w:val="0"/>
        <w:adjustRightInd w:val="0"/>
        <w:spacing w:before="100" w:beforeAutospacing="1" w:after="120"/>
        <w:ind w:left="2160"/>
        <w:rPr>
          <w:rFonts w:ascii="Tahoma" w:eastAsia="Times New Roman" w:hAnsi="Tahoma" w:cs="Tahoma"/>
          <w:strike/>
          <w:color w:val="000000"/>
        </w:rPr>
      </w:pPr>
      <w:r w:rsidRPr="00240545">
        <w:rPr>
          <w:rFonts w:ascii="Tahoma" w:eastAsia="Times New Roman" w:hAnsi="Tahoma" w:cs="Tahoma"/>
          <w:color w:val="000000"/>
        </w:rPr>
        <w:lastRenderedPageBreak/>
        <w:t>[</w:t>
      </w:r>
      <w:r w:rsidRPr="00240545">
        <w:rPr>
          <w:rFonts w:ascii="Tahoma" w:eastAsia="Times New Roman" w:hAnsi="Tahoma" w:cs="Tahoma"/>
          <w:strike/>
          <w:color w:val="000000"/>
        </w:rPr>
        <w:t>Describe how the proposed project will engage regional community-based organizations, community leaders, and potentially affected local residents in the planning process and education on the benefits of ZEV transportation</w:t>
      </w:r>
      <w:r w:rsidRPr="00240545">
        <w:rPr>
          <w:rFonts w:ascii="Tahoma" w:eastAsia="Times New Roman" w:hAnsi="Tahoma" w:cs="Tahoma"/>
          <w:color w:val="000000"/>
        </w:rPr>
        <w:t>.</w:t>
      </w:r>
      <w:r w:rsidRPr="00240545">
        <w:rPr>
          <w:rFonts w:ascii="Tahoma" w:eastAsia="Times New Roman" w:hAnsi="Tahoma" w:cs="Tahoma"/>
          <w:strike/>
          <w:color w:val="000000"/>
        </w:rPr>
        <w:t> </w:t>
      </w:r>
    </w:p>
    <w:p w14:paraId="0619A7FC" w14:textId="77777777" w:rsidR="00BB1390" w:rsidRPr="00240545" w:rsidRDefault="00BB1390" w:rsidP="001B73B9">
      <w:pPr>
        <w:numPr>
          <w:ilvl w:val="4"/>
          <w:numId w:val="16"/>
        </w:numPr>
        <w:autoSpaceDE w:val="0"/>
        <w:autoSpaceDN w:val="0"/>
        <w:adjustRightInd w:val="0"/>
        <w:spacing w:after="120"/>
        <w:ind w:left="2160"/>
        <w:rPr>
          <w:rFonts w:ascii="Tahoma" w:eastAsia="Times New Roman" w:hAnsi="Tahoma" w:cs="Tahoma"/>
          <w:color w:val="000000"/>
        </w:rPr>
      </w:pPr>
      <w:r w:rsidRPr="00240545">
        <w:rPr>
          <w:rFonts w:ascii="Tahoma" w:eastAsia="Times New Roman" w:hAnsi="Tahoma" w:cs="Tahoma"/>
          <w:strike/>
          <w:color w:val="000000"/>
        </w:rPr>
        <w:t>Describe how the proposed project will expand certified businesses and California supply chains for California-based businesses, result in high-quality jobs in terms of compensation, duration, and related project payroll, and increase state and local tax revenues.</w:t>
      </w:r>
      <w:r w:rsidRPr="00240545">
        <w:rPr>
          <w:rFonts w:ascii="Tahoma" w:eastAsia="Times New Roman" w:hAnsi="Tahoma" w:cs="Tahoma"/>
          <w:color w:val="000000"/>
        </w:rPr>
        <w:t xml:space="preserve">] </w:t>
      </w:r>
    </w:p>
    <w:p w14:paraId="214E17C3" w14:textId="77777777" w:rsidR="00BB1390" w:rsidRPr="00240545" w:rsidRDefault="00BB1390" w:rsidP="00F97AD7">
      <w:pPr>
        <w:numPr>
          <w:ilvl w:val="0"/>
          <w:numId w:val="15"/>
        </w:numPr>
        <w:autoSpaceDE w:val="0"/>
        <w:autoSpaceDN w:val="0"/>
        <w:adjustRightInd w:val="0"/>
        <w:spacing w:before="100" w:beforeAutospacing="1" w:after="100" w:afterAutospacing="1"/>
        <w:rPr>
          <w:rFonts w:ascii="Tahoma" w:eastAsia="Times New Roman" w:hAnsi="Tahoma" w:cs="Tahoma"/>
          <w:color w:val="000000"/>
        </w:rPr>
      </w:pPr>
      <w:r w:rsidRPr="00240545">
        <w:rPr>
          <w:rFonts w:ascii="Tahoma" w:eastAsia="Times New Roman" w:hAnsi="Tahoma" w:cs="Tahoma"/>
          <w:b/>
          <w:bCs/>
          <w:u w:val="single"/>
        </w:rPr>
        <w:t>Discuss how the proposed project cost effectively reduces greenhouse gas (GHG) emissions. Calculate dollars of CEC funding divided by the amount of GHGs reduced annually.</w:t>
      </w:r>
    </w:p>
    <w:p w14:paraId="1427BB5F" w14:textId="34F0DFD9" w:rsidR="00D35C1F" w:rsidRPr="00240545" w:rsidRDefault="00D35C1F" w:rsidP="00BB1390">
      <w:pPr>
        <w:ind w:left="720"/>
        <w:rPr>
          <w:rFonts w:ascii="Tahoma" w:hAnsi="Tahoma" w:cs="Tahoma"/>
          <w:b/>
          <w:bCs/>
        </w:rPr>
      </w:pPr>
      <w:r w:rsidRPr="00240545">
        <w:rPr>
          <w:rFonts w:ascii="Tahoma" w:hAnsi="Tahoma" w:cs="Tahoma"/>
        </w:rPr>
        <w:t xml:space="preserve">10. </w:t>
      </w:r>
      <w:r w:rsidRPr="00240545">
        <w:rPr>
          <w:rFonts w:ascii="Tahoma" w:hAnsi="Tahoma" w:cs="Tahoma"/>
          <w:b/>
          <w:bCs/>
        </w:rPr>
        <w:t>CEQA Worksheet (Attachment 10)</w:t>
      </w:r>
    </w:p>
    <w:p w14:paraId="148825A8" w14:textId="28285D6F" w:rsidR="00D35C1F" w:rsidRPr="00240545" w:rsidRDefault="00A63B7A" w:rsidP="00A63B7A">
      <w:pPr>
        <w:autoSpaceDE w:val="0"/>
        <w:autoSpaceDN w:val="0"/>
        <w:adjustRightInd w:val="0"/>
        <w:spacing w:before="120" w:after="100" w:afterAutospacing="1"/>
        <w:ind w:left="1080"/>
        <w:rPr>
          <w:rFonts w:ascii="Tahoma" w:hAnsi="Tahoma" w:cs="Tahoma"/>
        </w:rPr>
      </w:pPr>
      <w:r w:rsidRPr="00240545">
        <w:rPr>
          <w:rFonts w:ascii="Tahoma" w:hAnsi="Tahoma" w:cs="Tahoma"/>
        </w:rPr>
        <w:t xml:space="preserve">a. </w:t>
      </w:r>
      <w:r w:rsidRPr="00240545">
        <w:rPr>
          <w:rFonts w:ascii="Tahoma" w:hAnsi="Tahoma" w:cs="Tahoma"/>
          <w:b/>
          <w:bCs/>
        </w:rPr>
        <w:t>Additional Requirements</w:t>
      </w:r>
    </w:p>
    <w:p w14:paraId="1C2BBC41" w14:textId="65142DD2" w:rsidR="008378D0" w:rsidRPr="00240545" w:rsidRDefault="00E46403" w:rsidP="001B73B9">
      <w:pPr>
        <w:pStyle w:val="ListParagraph"/>
        <w:numPr>
          <w:ilvl w:val="0"/>
          <w:numId w:val="33"/>
        </w:numPr>
        <w:spacing w:before="120" w:after="120"/>
        <w:ind w:left="1800"/>
        <w:rPr>
          <w:rFonts w:ascii="Tahoma" w:eastAsia="Arial" w:hAnsi="Tahoma" w:cs="Tahoma"/>
          <w:color w:val="000000" w:themeColor="text1"/>
        </w:rPr>
      </w:pPr>
      <w:r w:rsidRPr="00240545">
        <w:rPr>
          <w:rFonts w:ascii="Tahoma" w:hAnsi="Tahoma" w:cs="Tahoma"/>
          <w:b/>
          <w:bCs/>
        </w:rPr>
        <w:t>Time is of the essence.</w:t>
      </w:r>
      <w:r w:rsidR="008378D0" w:rsidRPr="00240545">
        <w:rPr>
          <w:rFonts w:ascii="Tahoma" w:eastAsia="Arial" w:hAnsi="Tahoma" w:cs="Tahoma"/>
          <w:color w:val="000000" w:themeColor="text1"/>
        </w:rPr>
        <w:t xml:space="preserve"> Funds available under this solicitation have encumbrance deadlines and the CEC must approve proposed awards at a business meeting (usually held monthly) prior to those deadlines, in order to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 Projects recommended for funding must complete the CEQA process within 6 months of the release date of the NOPA. The CEC reserves the right to cancel proposed awards that do not meet this CEQA compliance deadline and recommend funding for the next, </w:t>
      </w:r>
      <w:proofErr w:type="gramStart"/>
      <w:r w:rsidR="008378D0" w:rsidRPr="00240545">
        <w:rPr>
          <w:rFonts w:ascii="Tahoma" w:eastAsia="Arial" w:hAnsi="Tahoma" w:cs="Tahoma"/>
          <w:color w:val="000000" w:themeColor="text1"/>
        </w:rPr>
        <w:t>highest-scoring</w:t>
      </w:r>
      <w:proofErr w:type="gramEnd"/>
      <w:r w:rsidR="008378D0" w:rsidRPr="00240545">
        <w:rPr>
          <w:rFonts w:ascii="Tahoma" w:eastAsia="Arial" w:hAnsi="Tahoma" w:cs="Tahoma"/>
          <w:color w:val="000000" w:themeColor="text1"/>
        </w:rPr>
        <w:t xml:space="preserve"> passing proposal </w:t>
      </w:r>
      <w:r w:rsidR="004B60BD" w:rsidRPr="00240545">
        <w:rPr>
          <w:rFonts w:ascii="Tahoma" w:eastAsia="Arial" w:hAnsi="Tahoma" w:cs="Tahoma"/>
          <w:b/>
          <w:color w:val="000000" w:themeColor="text1"/>
          <w:u w:val="single"/>
        </w:rPr>
        <w:t xml:space="preserve">based on the </w:t>
      </w:r>
      <w:r w:rsidR="008245BF" w:rsidRPr="00240545">
        <w:rPr>
          <w:rFonts w:ascii="Tahoma" w:eastAsia="Arial" w:hAnsi="Tahoma" w:cs="Tahoma"/>
          <w:color w:val="000000" w:themeColor="text1"/>
        </w:rPr>
        <w:t>[</w:t>
      </w:r>
      <w:r w:rsidR="008378D0" w:rsidRPr="00240545">
        <w:rPr>
          <w:rFonts w:ascii="Tahoma" w:eastAsia="Arial" w:hAnsi="Tahoma" w:cs="Tahoma"/>
          <w:strike/>
          <w:color w:val="000000" w:themeColor="text1"/>
        </w:rPr>
        <w:t>submitted under this solicitation</w:t>
      </w:r>
      <w:r w:rsidR="008245BF" w:rsidRPr="00240545">
        <w:rPr>
          <w:rFonts w:ascii="Tahoma" w:eastAsia="Arial" w:hAnsi="Tahoma" w:cs="Tahoma"/>
          <w:color w:val="000000" w:themeColor="text1"/>
        </w:rPr>
        <w:t>]</w:t>
      </w:r>
      <w:r w:rsidR="008378D0" w:rsidRPr="00240545">
        <w:rPr>
          <w:rFonts w:ascii="Tahoma" w:eastAsia="Arial" w:hAnsi="Tahoma" w:cs="Tahoma"/>
          <w:b/>
          <w:color w:val="000000" w:themeColor="text1"/>
          <w:u w:val="single"/>
        </w:rPr>
        <w:t xml:space="preserve"> </w:t>
      </w:r>
      <w:r w:rsidR="004B60BD" w:rsidRPr="00240545">
        <w:rPr>
          <w:rFonts w:ascii="Tahoma" w:eastAsia="Arial" w:hAnsi="Tahoma" w:cs="Tahoma"/>
          <w:b/>
          <w:color w:val="000000" w:themeColor="text1"/>
          <w:u w:val="single"/>
        </w:rPr>
        <w:t xml:space="preserve">evaluation </w:t>
      </w:r>
      <w:r w:rsidR="008378D0" w:rsidRPr="00240545">
        <w:rPr>
          <w:rFonts w:ascii="Tahoma" w:eastAsia="Arial" w:hAnsi="Tahoma" w:cs="Tahoma"/>
          <w:b/>
          <w:bCs/>
          <w:color w:val="000000" w:themeColor="text1"/>
          <w:u w:val="single"/>
        </w:rPr>
        <w:t>process discussed in Section I.</w:t>
      </w:r>
      <w:r w:rsidR="0059504B" w:rsidRPr="00240545">
        <w:rPr>
          <w:rFonts w:ascii="Tahoma" w:eastAsia="Arial" w:hAnsi="Tahoma" w:cs="Tahoma"/>
          <w:b/>
          <w:bCs/>
          <w:color w:val="000000" w:themeColor="text1"/>
          <w:u w:val="single"/>
        </w:rPr>
        <w:t>E</w:t>
      </w:r>
      <w:r w:rsidR="008378D0" w:rsidRPr="00240545">
        <w:rPr>
          <w:rFonts w:ascii="Tahoma" w:eastAsia="Arial" w:hAnsi="Tahoma" w:cs="Tahoma"/>
          <w:b/>
          <w:bCs/>
          <w:color w:val="000000" w:themeColor="text1"/>
          <w:u w:val="single"/>
        </w:rPr>
        <w:t>. How Award is Determined</w:t>
      </w:r>
      <w:r w:rsidR="008378D0" w:rsidRPr="00240545">
        <w:rPr>
          <w:rFonts w:ascii="Tahoma" w:eastAsia="Arial" w:hAnsi="Tahoma" w:cs="Tahoma"/>
          <w:color w:val="000000" w:themeColor="text1"/>
        </w:rPr>
        <w:t>.</w:t>
      </w:r>
    </w:p>
    <w:p w14:paraId="46726C07" w14:textId="77777777" w:rsidR="001B73B9" w:rsidRPr="00240545" w:rsidRDefault="001B73B9" w:rsidP="001B73B9">
      <w:pPr>
        <w:pStyle w:val="ListParagraph"/>
        <w:spacing w:after="120"/>
        <w:ind w:left="1800"/>
        <w:rPr>
          <w:rFonts w:ascii="Tahoma" w:eastAsia="Arial" w:hAnsi="Tahoma" w:cs="Tahoma"/>
          <w:color w:val="000000" w:themeColor="text1"/>
          <w:sz w:val="12"/>
          <w:szCs w:val="12"/>
        </w:rPr>
      </w:pPr>
    </w:p>
    <w:p w14:paraId="1F6A0EE8" w14:textId="3EBB106F" w:rsidR="00E46403" w:rsidRPr="00240545" w:rsidRDefault="008378D0" w:rsidP="001B73B9">
      <w:pPr>
        <w:pStyle w:val="ListParagraph"/>
        <w:numPr>
          <w:ilvl w:val="0"/>
          <w:numId w:val="31"/>
        </w:numPr>
        <w:autoSpaceDE w:val="0"/>
        <w:autoSpaceDN w:val="0"/>
        <w:adjustRightInd w:val="0"/>
        <w:spacing w:before="120" w:after="120"/>
        <w:rPr>
          <w:rFonts w:ascii="Tahoma" w:hAnsi="Tahoma" w:cs="Tahoma"/>
          <w:b/>
          <w:bCs/>
        </w:rPr>
      </w:pPr>
      <w:r w:rsidRPr="00240545">
        <w:rPr>
          <w:rFonts w:ascii="Tahoma" w:eastAsia="Arial" w:hAnsi="Tahoma" w:cs="Tahoma"/>
          <w:b/>
          <w:bCs/>
          <w:color w:val="000000" w:themeColor="text1"/>
        </w:rPr>
        <w:t>Reservation of right to cancel proposed award.</w:t>
      </w:r>
      <w:r w:rsidRPr="00240545">
        <w:rPr>
          <w:rFonts w:ascii="Tahoma" w:eastAsia="Arial" w:hAnsi="Tahoma" w:cs="Tahoma"/>
          <w:color w:val="000000" w:themeColor="text1"/>
        </w:rPr>
        <w:t xml:space="preserve">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w:t>
      </w:r>
      <w:r w:rsidR="00E306EA" w:rsidRPr="00240545">
        <w:rPr>
          <w:rFonts w:ascii="Tahoma" w:eastAsia="Arial" w:hAnsi="Tahoma" w:cs="Tahoma"/>
          <w:color w:val="000000" w:themeColor="text1"/>
        </w:rPr>
        <w:t>[</w:t>
      </w:r>
      <w:r w:rsidRPr="00240545">
        <w:rPr>
          <w:rFonts w:ascii="Tahoma" w:eastAsia="Arial" w:hAnsi="Tahoma" w:cs="Tahoma"/>
          <w:strike/>
          <w:color w:val="000000" w:themeColor="text1"/>
        </w:rPr>
        <w:t>Applicant</w:t>
      </w:r>
      <w:r w:rsidR="00E306EA" w:rsidRPr="00240545">
        <w:rPr>
          <w:rFonts w:ascii="Tahoma" w:eastAsia="Arial" w:hAnsi="Tahoma" w:cs="Tahoma"/>
          <w:color w:val="000000" w:themeColor="text1"/>
        </w:rPr>
        <w:t>]</w:t>
      </w:r>
      <w:r w:rsidRPr="00240545">
        <w:rPr>
          <w:rFonts w:ascii="Tahoma" w:eastAsia="Arial" w:hAnsi="Tahoma" w:cs="Tahoma"/>
          <w:color w:val="000000" w:themeColor="text1"/>
        </w:rPr>
        <w:t xml:space="preserve"> </w:t>
      </w:r>
      <w:r w:rsidR="00E306EA" w:rsidRPr="00240545">
        <w:rPr>
          <w:rFonts w:ascii="Tahoma" w:eastAsia="Arial" w:hAnsi="Tahoma" w:cs="Tahoma"/>
          <w:b/>
          <w:bCs/>
          <w:color w:val="000000" w:themeColor="text1"/>
          <w:u w:val="single"/>
        </w:rPr>
        <w:t xml:space="preserve">proposal </w:t>
      </w:r>
      <w:r w:rsidR="002072A3" w:rsidRPr="00240545">
        <w:rPr>
          <w:rFonts w:ascii="Tahoma" w:eastAsia="Arial" w:hAnsi="Tahoma" w:cs="Tahoma"/>
          <w:b/>
          <w:bCs/>
          <w:color w:val="000000" w:themeColor="text1"/>
          <w:u w:val="single"/>
        </w:rPr>
        <w:t xml:space="preserve">based on </w:t>
      </w:r>
      <w:r w:rsidR="002072A3" w:rsidRPr="00240545">
        <w:rPr>
          <w:rFonts w:ascii="Tahoma" w:eastAsia="Arial" w:hAnsi="Tahoma" w:cs="Tahoma"/>
          <w:b/>
          <w:bCs/>
          <w:color w:val="000000" w:themeColor="text1"/>
          <w:u w:val="single"/>
        </w:rPr>
        <w:lastRenderedPageBreak/>
        <w:t xml:space="preserve">the </w:t>
      </w:r>
      <w:r w:rsidR="00525A48" w:rsidRPr="00240545">
        <w:rPr>
          <w:rFonts w:ascii="Tahoma" w:eastAsia="Arial" w:hAnsi="Tahoma" w:cs="Tahoma"/>
          <w:b/>
          <w:bCs/>
          <w:color w:val="000000" w:themeColor="text1"/>
          <w:u w:val="single"/>
        </w:rPr>
        <w:t>evaluation process discussed in Section I.E. How Award is Determined</w:t>
      </w:r>
      <w:r w:rsidR="002A2D2F" w:rsidRPr="00240545">
        <w:rPr>
          <w:rFonts w:ascii="Tahoma" w:eastAsia="Arial" w:hAnsi="Tahoma" w:cs="Tahoma"/>
          <w:color w:val="000000" w:themeColor="text1"/>
        </w:rPr>
        <w:t xml:space="preserve"> [</w:t>
      </w:r>
      <w:r w:rsidRPr="00240545">
        <w:rPr>
          <w:rFonts w:ascii="Tahoma" w:eastAsia="Arial" w:hAnsi="Tahoma" w:cs="Tahoma"/>
          <w:strike/>
          <w:color w:val="000000" w:themeColor="text1"/>
        </w:rPr>
        <w:t xml:space="preserve">in the same Applicant Group, if any, or the CEC may shift </w:t>
      </w:r>
      <w:r w:rsidRPr="00240545">
        <w:rPr>
          <w:rFonts w:ascii="Tahoma" w:hAnsi="Tahoma" w:cs="Tahoma"/>
          <w:strike/>
        </w:rPr>
        <w:t>funds to the other Applicant Group</w:t>
      </w:r>
      <w:r w:rsidR="002A2D2F" w:rsidRPr="00240545">
        <w:rPr>
          <w:rFonts w:ascii="Tahoma" w:hAnsi="Tahoma" w:cs="Tahoma"/>
        </w:rPr>
        <w:t>]</w:t>
      </w:r>
      <w:r w:rsidRPr="00240545">
        <w:rPr>
          <w:rFonts w:ascii="Tahoma" w:hAnsi="Tahoma" w:cs="Tahoma"/>
        </w:rPr>
        <w:t xml:space="preserve">, </w:t>
      </w:r>
      <w:r w:rsidRPr="00240545">
        <w:rPr>
          <w:rFonts w:ascii="Tahoma" w:eastAsia="Arial" w:hAnsi="Tahoma" w:cs="Tahoma"/>
          <w:color w:val="000000" w:themeColor="text1"/>
        </w:rPr>
        <w:t xml:space="preserve">regardless of the originally proposed Applicant’s diligence in submitting information and materials for CEQA review. </w:t>
      </w:r>
    </w:p>
    <w:p w14:paraId="3568E4C5" w14:textId="77777777" w:rsidR="00D35C1F" w:rsidRPr="00240545" w:rsidRDefault="00D35C1F" w:rsidP="00BB1390">
      <w:pPr>
        <w:ind w:left="720"/>
        <w:rPr>
          <w:rFonts w:ascii="Tahoma" w:hAnsi="Tahoma" w:cs="Tahoma"/>
        </w:rPr>
      </w:pPr>
    </w:p>
    <w:p w14:paraId="48E8C0A8" w14:textId="21D56F9E" w:rsidR="00BB1390" w:rsidRPr="00240545" w:rsidRDefault="00BB1390" w:rsidP="00BB1390">
      <w:pPr>
        <w:ind w:left="720"/>
        <w:rPr>
          <w:rFonts w:ascii="Tahoma" w:hAnsi="Tahoma" w:cs="Tahoma"/>
          <w:strike/>
        </w:rPr>
      </w:pPr>
      <w:r w:rsidRPr="00240545">
        <w:rPr>
          <w:rFonts w:ascii="Tahoma" w:hAnsi="Tahoma" w:cs="Tahoma"/>
          <w:strike/>
        </w:rPr>
        <w:t>11</w:t>
      </w:r>
      <w:r w:rsidRPr="00240545">
        <w:rPr>
          <w:rFonts w:ascii="Tahoma" w:hAnsi="Tahoma" w:cs="Tahoma"/>
        </w:rPr>
        <w:t>. [</w:t>
      </w:r>
      <w:r w:rsidRPr="00240545">
        <w:rPr>
          <w:rFonts w:ascii="Tahoma" w:hAnsi="Tahoma" w:cs="Tahoma"/>
          <w:b/>
          <w:bCs/>
          <w:strike/>
        </w:rPr>
        <w:t>Localized Health Impacts Information Form (Attachment 11)</w:t>
      </w:r>
    </w:p>
    <w:p w14:paraId="440F22BC" w14:textId="2433D243" w:rsidR="00BB1390" w:rsidRPr="00240545" w:rsidRDefault="00BB1390" w:rsidP="00BB1390">
      <w:pPr>
        <w:autoSpaceDE w:val="0"/>
        <w:autoSpaceDN w:val="0"/>
        <w:adjustRightInd w:val="0"/>
        <w:spacing w:before="120" w:after="100" w:afterAutospacing="1"/>
        <w:ind w:left="1080"/>
        <w:rPr>
          <w:rFonts w:ascii="Tahoma" w:eastAsia="Times New Roman" w:hAnsi="Tahoma" w:cs="Tahoma"/>
          <w:color w:val="000000"/>
        </w:rPr>
      </w:pPr>
      <w:r w:rsidRPr="00240545">
        <w:rPr>
          <w:rFonts w:ascii="Tahoma" w:eastAsia="Times New Roman" w:hAnsi="Tahoma" w:cs="Tahoma"/>
          <w:strike/>
          <w:color w:val="000000"/>
        </w:rPr>
        <w:t>Applicants must complete and submit a Localized Health Impacts Information Form. CEC requires this information to assist in developing and publishing a localized health impact report.</w:t>
      </w:r>
      <w:r w:rsidRPr="00240545">
        <w:rPr>
          <w:rFonts w:ascii="Tahoma" w:eastAsia="Times New Roman" w:hAnsi="Tahoma" w:cs="Tahoma"/>
          <w:color w:val="000000"/>
        </w:rPr>
        <w:t>]</w:t>
      </w:r>
    </w:p>
    <w:p w14:paraId="42F60D72" w14:textId="5A436DCF" w:rsidR="00B875EF" w:rsidRPr="00240545" w:rsidRDefault="00B875EF" w:rsidP="00B875EF">
      <w:pPr>
        <w:pStyle w:val="ListParagraph"/>
        <w:numPr>
          <w:ilvl w:val="1"/>
          <w:numId w:val="22"/>
        </w:numPr>
        <w:autoSpaceDE w:val="0"/>
        <w:autoSpaceDN w:val="0"/>
        <w:adjustRightInd w:val="0"/>
        <w:spacing w:before="120" w:after="100" w:afterAutospacing="1"/>
        <w:ind w:left="1170" w:hanging="450"/>
        <w:rPr>
          <w:rFonts w:ascii="Tahoma" w:eastAsia="Times New Roman" w:hAnsi="Tahoma" w:cs="Tahoma"/>
          <w:color w:val="000000"/>
        </w:rPr>
      </w:pPr>
      <w:r w:rsidRPr="00240545">
        <w:rPr>
          <w:rFonts w:ascii="Tahoma" w:eastAsia="Times New Roman" w:hAnsi="Tahoma" w:cs="Tahoma"/>
          <w:b/>
          <w:bCs/>
          <w:color w:val="000000"/>
        </w:rPr>
        <w:t>Letter of Intent to Place a Purchase Order (Attachment 21)</w:t>
      </w:r>
      <w:r w:rsidRPr="00240545">
        <w:rPr>
          <w:rFonts w:ascii="Tahoma" w:eastAsia="Times New Roman" w:hAnsi="Tahoma" w:cs="Tahoma"/>
          <w:color w:val="000000"/>
        </w:rPr>
        <w:t> </w:t>
      </w:r>
    </w:p>
    <w:p w14:paraId="444A687F" w14:textId="647DED7C" w:rsidR="00B875EF" w:rsidRPr="00240545" w:rsidRDefault="00B875EF" w:rsidP="00B875EF">
      <w:pPr>
        <w:autoSpaceDE w:val="0"/>
        <w:autoSpaceDN w:val="0"/>
        <w:adjustRightInd w:val="0"/>
        <w:spacing w:before="120" w:after="100" w:afterAutospacing="1"/>
        <w:ind w:left="1080"/>
        <w:rPr>
          <w:rFonts w:ascii="Tahoma" w:eastAsia="Times New Roman" w:hAnsi="Tahoma" w:cs="Tahoma"/>
          <w:color w:val="000000"/>
        </w:rPr>
      </w:pPr>
      <w:r w:rsidRPr="00240545">
        <w:rPr>
          <w:rFonts w:ascii="Tahoma" w:eastAsia="Times New Roman" w:hAnsi="Tahoma" w:cs="Tahoma"/>
          <w:color w:val="000000"/>
        </w:rPr>
        <w:t>While the purchase order must be placed within three months of agreement execution, there is not a firm requirement by when the vehicles must be delivered. Infrastructure lead times or vehicle production lead [</w:t>
      </w:r>
      <w:r w:rsidRPr="00240545">
        <w:rPr>
          <w:rFonts w:ascii="Tahoma" w:eastAsia="Times New Roman" w:hAnsi="Tahoma" w:cs="Tahoma"/>
          <w:strike/>
          <w:color w:val="000000"/>
        </w:rPr>
        <w:t>teams</w:t>
      </w:r>
      <w:r w:rsidRPr="00240545">
        <w:rPr>
          <w:rFonts w:ascii="Tahoma" w:eastAsia="Times New Roman" w:hAnsi="Tahoma" w:cs="Tahoma"/>
          <w:color w:val="000000"/>
        </w:rPr>
        <w:t xml:space="preserve">] </w:t>
      </w:r>
      <w:r w:rsidRPr="00240545">
        <w:rPr>
          <w:rFonts w:ascii="Tahoma" w:eastAsia="Times New Roman" w:hAnsi="Tahoma" w:cs="Tahoma"/>
          <w:b/>
          <w:bCs/>
          <w:color w:val="000000"/>
          <w:u w:val="single"/>
        </w:rPr>
        <w:t xml:space="preserve">times </w:t>
      </w:r>
      <w:r w:rsidRPr="00240545">
        <w:rPr>
          <w:rFonts w:ascii="Tahoma" w:eastAsia="Times New Roman" w:hAnsi="Tahoma" w:cs="Tahoma"/>
          <w:color w:val="000000"/>
        </w:rPr>
        <w:t xml:space="preserve">may </w:t>
      </w:r>
      <w:proofErr w:type="gramStart"/>
      <w:r w:rsidRPr="00240545">
        <w:rPr>
          <w:rFonts w:ascii="Tahoma" w:eastAsia="Times New Roman" w:hAnsi="Tahoma" w:cs="Tahoma"/>
          <w:color w:val="000000"/>
        </w:rPr>
        <w:t>vary</w:t>
      </w:r>
      <w:proofErr w:type="gramEnd"/>
      <w:r w:rsidRPr="00240545">
        <w:rPr>
          <w:rFonts w:ascii="Tahoma" w:eastAsia="Times New Roman" w:hAnsi="Tahoma" w:cs="Tahoma"/>
          <w:color w:val="000000"/>
        </w:rPr>
        <w:t xml:space="preserve"> and the fleet operator </w:t>
      </w:r>
      <w:proofErr w:type="gramStart"/>
      <w:r w:rsidRPr="00240545">
        <w:rPr>
          <w:rFonts w:ascii="Tahoma" w:eastAsia="Times New Roman" w:hAnsi="Tahoma" w:cs="Tahoma"/>
          <w:color w:val="000000"/>
        </w:rPr>
        <w:t>may need to</w:t>
      </w:r>
      <w:proofErr w:type="gramEnd"/>
      <w:r w:rsidRPr="00240545">
        <w:rPr>
          <w:rFonts w:ascii="Tahoma" w:eastAsia="Times New Roman" w:hAnsi="Tahoma" w:cs="Tahoma"/>
          <w:color w:val="000000"/>
        </w:rPr>
        <w:t xml:space="preserve"> ensure alignment of those. However, the vehicle orders must take place and vehicles </w:t>
      </w:r>
      <w:r w:rsidRPr="00240545">
        <w:rPr>
          <w:rFonts w:ascii="Tahoma" w:eastAsia="Times New Roman" w:hAnsi="Tahoma" w:cs="Tahoma"/>
          <w:b/>
          <w:bCs/>
          <w:color w:val="000000"/>
          <w:u w:val="single"/>
        </w:rPr>
        <w:t xml:space="preserve">must be </w:t>
      </w:r>
      <w:r w:rsidRPr="00240545">
        <w:rPr>
          <w:rFonts w:ascii="Tahoma" w:eastAsia="Times New Roman" w:hAnsi="Tahoma" w:cs="Tahoma"/>
          <w:color w:val="000000"/>
        </w:rPr>
        <w:t>delivered by the time the infrastructure becomes energized and operational.  </w:t>
      </w:r>
    </w:p>
    <w:p w14:paraId="305EE9DC" w14:textId="3A717998" w:rsidR="00BB1390" w:rsidRPr="00240545" w:rsidRDefault="00BB1390" w:rsidP="00F97AD7">
      <w:pPr>
        <w:pStyle w:val="ListParagraph"/>
        <w:numPr>
          <w:ilvl w:val="0"/>
          <w:numId w:val="1"/>
        </w:numPr>
        <w:rPr>
          <w:rFonts w:ascii="Tahoma" w:hAnsi="Tahoma" w:cs="Tahoma"/>
          <w:b/>
          <w:bCs/>
        </w:rPr>
      </w:pPr>
      <w:r w:rsidRPr="00240545">
        <w:rPr>
          <w:rFonts w:ascii="Tahoma" w:hAnsi="Tahoma" w:cs="Tahoma"/>
          <w:b/>
          <w:bCs/>
        </w:rPr>
        <w:t>Section IV.A. Application Evaluation</w:t>
      </w:r>
    </w:p>
    <w:p w14:paraId="36097869" w14:textId="77777777" w:rsidR="00BB1390" w:rsidRPr="00240545" w:rsidRDefault="00BB1390" w:rsidP="00BB1390">
      <w:pPr>
        <w:pStyle w:val="ListParagraph"/>
        <w:ind w:left="360"/>
        <w:rPr>
          <w:rFonts w:ascii="Tahoma" w:hAnsi="Tahoma" w:cs="Tahoma"/>
          <w:b/>
          <w:bCs/>
        </w:rPr>
      </w:pPr>
    </w:p>
    <w:p w14:paraId="79D15E2E" w14:textId="77777777" w:rsidR="00BB1390" w:rsidRPr="00240545" w:rsidRDefault="00BB1390" w:rsidP="00F97AD7">
      <w:pPr>
        <w:numPr>
          <w:ilvl w:val="0"/>
          <w:numId w:val="17"/>
        </w:numPr>
        <w:spacing w:after="120"/>
        <w:rPr>
          <w:rFonts w:ascii="Tahoma" w:eastAsia="Times New Roman" w:hAnsi="Tahoma" w:cs="Tahoma"/>
          <w:b/>
        </w:rPr>
      </w:pPr>
      <w:r w:rsidRPr="00240545">
        <w:rPr>
          <w:rFonts w:ascii="Tahoma" w:eastAsia="Times New Roman" w:hAnsi="Tahoma" w:cs="Tahoma"/>
          <w:b/>
        </w:rPr>
        <w:t>Technical Evaluation</w:t>
      </w:r>
    </w:p>
    <w:p w14:paraId="7016F9D4" w14:textId="77777777" w:rsidR="00BB1390" w:rsidRPr="00240545" w:rsidRDefault="00BB1390" w:rsidP="00BB1390">
      <w:pPr>
        <w:ind w:left="1080"/>
        <w:rPr>
          <w:rFonts w:ascii="Tahoma" w:eastAsia="Times New Roman" w:hAnsi="Tahoma" w:cs="Tahoma"/>
        </w:rPr>
      </w:pPr>
      <w:r w:rsidRPr="00240545">
        <w:rPr>
          <w:rFonts w:ascii="Tahoma" w:eastAsia="Times New Roman" w:hAnsi="Tahoma" w:cs="Tahoma"/>
        </w:rPr>
        <w:t>Applications passing all screening criteria will be submitted to the Evaluation Committee to review and score based on the Evaluation Criteria using the Scoring Scale described below.</w:t>
      </w:r>
    </w:p>
    <w:p w14:paraId="3C7B223E" w14:textId="77777777" w:rsidR="00BB1390" w:rsidRPr="00240545" w:rsidRDefault="00BB1390" w:rsidP="00BB1390">
      <w:pPr>
        <w:ind w:left="1080"/>
        <w:rPr>
          <w:rFonts w:ascii="Tahoma" w:eastAsia="Times New Roman" w:hAnsi="Tahoma" w:cs="Tahoma"/>
        </w:rPr>
      </w:pPr>
    </w:p>
    <w:p w14:paraId="5ADD7179" w14:textId="77777777" w:rsidR="00BB1390" w:rsidRPr="00240545" w:rsidRDefault="00BB1390" w:rsidP="00BB1390">
      <w:pPr>
        <w:ind w:left="1080"/>
        <w:rPr>
          <w:rFonts w:ascii="Tahoma" w:eastAsia="Times New Roman" w:hAnsi="Tahoma" w:cs="Tahoma"/>
        </w:rPr>
      </w:pPr>
      <w:r w:rsidRPr="00240545">
        <w:rPr>
          <w:rFonts w:ascii="Tahoma" w:eastAsia="Times New Roman" w:hAnsi="Tahoma" w:cs="Tahoma"/>
        </w:rPr>
        <w:t>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answering clarifying questions.</w:t>
      </w:r>
    </w:p>
    <w:p w14:paraId="7C571DB3" w14:textId="77777777" w:rsidR="00BB1390" w:rsidRPr="00240545" w:rsidRDefault="00BB1390" w:rsidP="00BB1390">
      <w:pPr>
        <w:ind w:left="1080"/>
        <w:rPr>
          <w:rFonts w:ascii="Tahoma" w:eastAsia="Times New Roman" w:hAnsi="Tahoma" w:cs="Tahoma"/>
        </w:rPr>
      </w:pPr>
    </w:p>
    <w:p w14:paraId="351B47B3" w14:textId="78367C10" w:rsidR="00BB1390" w:rsidRPr="00240545" w:rsidRDefault="00BB1390" w:rsidP="00BB1390">
      <w:pPr>
        <w:ind w:left="1080"/>
        <w:rPr>
          <w:rFonts w:ascii="Tahoma" w:eastAsia="Times New Roman" w:hAnsi="Tahoma" w:cs="Tahoma"/>
        </w:rPr>
      </w:pPr>
      <w:r w:rsidRPr="00240545">
        <w:rPr>
          <w:rFonts w:ascii="Tahoma" w:eastAsia="Times New Roman" w:hAnsi="Tahoma" w:cs="Tahoma"/>
        </w:rPr>
        <w:t>The total score for each application will be the average of the combined scores of all Evaluation Committee members. A minimum score of 70 percent is required for the application to be eligible [</w:t>
      </w:r>
      <w:r w:rsidRPr="00240545">
        <w:rPr>
          <w:rFonts w:ascii="Tahoma" w:eastAsia="Times New Roman" w:hAnsi="Tahoma" w:cs="Tahoma"/>
          <w:strike/>
        </w:rPr>
        <w:t>for funding</w:t>
      </w:r>
      <w:r w:rsidRPr="00240545">
        <w:rPr>
          <w:rFonts w:ascii="Tahoma" w:eastAsia="Times New Roman" w:hAnsi="Tahoma" w:cs="Tahoma"/>
        </w:rPr>
        <w:t>]</w:t>
      </w:r>
      <w:r w:rsidRPr="00240545">
        <w:rPr>
          <w:rFonts w:ascii="Tahoma" w:eastAsia="Times New Roman" w:hAnsi="Tahoma" w:cs="Tahoma"/>
          <w:b/>
          <w:bCs/>
          <w:u w:val="single"/>
        </w:rPr>
        <w:t xml:space="preserve"> to advance to Cost Evaluation</w:t>
      </w:r>
      <w:r w:rsidRPr="00240545">
        <w:rPr>
          <w:rFonts w:ascii="Tahoma" w:eastAsia="Times New Roman" w:hAnsi="Tahoma" w:cs="Tahoma"/>
        </w:rPr>
        <w:t>.</w:t>
      </w:r>
      <w:r w:rsidR="007B5FA4" w:rsidRPr="00240545">
        <w:rPr>
          <w:rFonts w:ascii="Tahoma" w:eastAsia="Times New Roman" w:hAnsi="Tahoma" w:cs="Tahoma"/>
        </w:rPr>
        <w:t xml:space="preserve"> </w:t>
      </w:r>
      <w:r w:rsidR="007B5FA4" w:rsidRPr="00240545">
        <w:rPr>
          <w:rFonts w:ascii="Tahoma" w:eastAsia="Times New Roman" w:hAnsi="Tahoma" w:cs="Tahoma"/>
          <w:b/>
          <w:bCs/>
          <w:u w:val="single"/>
        </w:rPr>
        <w:t>In addition, a minimum score of 70 percent is required on both</w:t>
      </w:r>
      <w:r w:rsidR="007B5FA4" w:rsidRPr="00240545">
        <w:rPr>
          <w:rFonts w:ascii="Tahoma" w:eastAsia="Times New Roman" w:hAnsi="Tahoma" w:cs="Tahoma"/>
        </w:rPr>
        <w:t xml:space="preserve"> </w:t>
      </w:r>
      <w:r w:rsidR="00A97695" w:rsidRPr="00240545">
        <w:rPr>
          <w:rFonts w:ascii="Tahoma" w:hAnsi="Tahoma" w:cs="Tahoma"/>
          <w:b/>
          <w:bCs/>
          <w:u w:val="single"/>
        </w:rPr>
        <w:t>Technical Evaluation Criterion 1, Project Readiness/Implementation, and Technical Evaluation Criterion 3, Project Budget</w:t>
      </w:r>
      <w:r w:rsidR="008B73B0" w:rsidRPr="00240545">
        <w:rPr>
          <w:rFonts w:ascii="Tahoma" w:hAnsi="Tahoma" w:cs="Tahoma"/>
          <w:b/>
          <w:bCs/>
          <w:u w:val="single"/>
        </w:rPr>
        <w:t>, to advance to Cost Evaluation.</w:t>
      </w:r>
    </w:p>
    <w:p w14:paraId="729A789D" w14:textId="77777777" w:rsidR="00BB1390" w:rsidRPr="00240545" w:rsidRDefault="00BB1390" w:rsidP="00BB1390">
      <w:pPr>
        <w:ind w:left="1080"/>
        <w:rPr>
          <w:rFonts w:ascii="Tahoma" w:eastAsia="Times New Roman" w:hAnsi="Tahoma" w:cs="Tahoma"/>
        </w:rPr>
      </w:pPr>
    </w:p>
    <w:p w14:paraId="2B121007" w14:textId="77777777" w:rsidR="00BB1390" w:rsidRPr="00240545" w:rsidRDefault="00BB1390" w:rsidP="00BB1390">
      <w:pPr>
        <w:ind w:left="1080"/>
        <w:rPr>
          <w:rFonts w:ascii="Tahoma" w:eastAsia="Times New Roman" w:hAnsi="Tahoma" w:cs="Tahoma"/>
          <w:b/>
          <w:bCs/>
          <w:u w:val="single"/>
        </w:rPr>
      </w:pPr>
      <w:r w:rsidRPr="00240545">
        <w:rPr>
          <w:rFonts w:ascii="Tahoma" w:eastAsia="Times New Roman" w:hAnsi="Tahoma" w:cs="Tahoma"/>
        </w:rPr>
        <w:t>[</w:t>
      </w:r>
      <w:r w:rsidRPr="00240545">
        <w:rPr>
          <w:rFonts w:ascii="Tahoma" w:eastAsia="Times New Roman" w:hAnsi="Tahoma" w:cs="Tahoma"/>
          <w:strike/>
        </w:rPr>
        <w:t>CEC will recommend awards to applications obtaining at least the minimum passing score in each Applicant Group (see Section I.G.) in ranked order until all funds available in each Applicant Group are exhausted.</w:t>
      </w:r>
      <w:r w:rsidRPr="00240545">
        <w:rPr>
          <w:rFonts w:ascii="Tahoma" w:eastAsia="Times New Roman" w:hAnsi="Tahoma" w:cs="Tahoma"/>
        </w:rPr>
        <w:t xml:space="preserve">] </w:t>
      </w:r>
    </w:p>
    <w:p w14:paraId="6EFDB315" w14:textId="77777777" w:rsidR="00BB1390" w:rsidRPr="00240545" w:rsidRDefault="00BB1390" w:rsidP="00127154">
      <w:pPr>
        <w:keepNext/>
        <w:numPr>
          <w:ilvl w:val="0"/>
          <w:numId w:val="17"/>
        </w:numPr>
        <w:spacing w:after="120"/>
        <w:rPr>
          <w:rFonts w:ascii="Tahoma" w:eastAsia="Times New Roman" w:hAnsi="Tahoma" w:cs="Tahoma"/>
          <w:b/>
          <w:bCs/>
          <w:u w:val="single"/>
        </w:rPr>
      </w:pPr>
      <w:r w:rsidRPr="00240545">
        <w:rPr>
          <w:rFonts w:ascii="Tahoma" w:eastAsia="Times New Roman" w:hAnsi="Tahoma" w:cs="Tahoma"/>
          <w:b/>
          <w:bCs/>
          <w:u w:val="single"/>
        </w:rPr>
        <w:lastRenderedPageBreak/>
        <w:t>Cost Evaluation</w:t>
      </w:r>
    </w:p>
    <w:p w14:paraId="15CC24F7" w14:textId="165B5B07" w:rsidR="00BB1390" w:rsidRPr="00240545" w:rsidRDefault="00BB1390" w:rsidP="00BB1390">
      <w:pPr>
        <w:ind w:left="1080"/>
        <w:rPr>
          <w:rFonts w:ascii="Tahoma" w:eastAsia="Times New Roman" w:hAnsi="Tahoma" w:cs="Tahoma"/>
          <w:b/>
          <w:bCs/>
          <w:u w:val="single"/>
        </w:rPr>
      </w:pPr>
      <w:r w:rsidRPr="00240545">
        <w:rPr>
          <w:rFonts w:ascii="Tahoma" w:eastAsia="Times New Roman" w:hAnsi="Tahoma" w:cs="Tahoma"/>
          <w:b/>
          <w:bCs/>
          <w:u w:val="single"/>
        </w:rPr>
        <w:t xml:space="preserve">All applications that receive a minimum passing score of 70 percent or higher in the Technical Evaluation portion of scoring </w:t>
      </w:r>
      <w:r w:rsidR="00374193" w:rsidRPr="00240545">
        <w:rPr>
          <w:rFonts w:ascii="Tahoma" w:eastAsia="Times New Roman" w:hAnsi="Tahoma" w:cs="Tahoma"/>
          <w:b/>
          <w:bCs/>
          <w:u w:val="single"/>
        </w:rPr>
        <w:t>(both overall and for Technical Evaluation Criterion</w:t>
      </w:r>
      <w:r w:rsidR="00AB5980" w:rsidRPr="00240545">
        <w:rPr>
          <w:rFonts w:ascii="Tahoma" w:eastAsia="Times New Roman" w:hAnsi="Tahoma" w:cs="Tahoma"/>
          <w:b/>
          <w:bCs/>
          <w:u w:val="single"/>
        </w:rPr>
        <w:t xml:space="preserve"> 1 and 3 individually) as described in previous sections </w:t>
      </w:r>
      <w:r w:rsidRPr="00240545">
        <w:rPr>
          <w:rFonts w:ascii="Tahoma" w:eastAsia="Times New Roman" w:hAnsi="Tahoma" w:cs="Tahoma"/>
          <w:b/>
          <w:bCs/>
          <w:u w:val="single"/>
        </w:rPr>
        <w:t xml:space="preserve">will advance to Cost Evaluation. Advancement to Cost Evaluation signifies that the project meets the minimum threshold for funding eligibility. The Evaluation Committee will then apply a cost-efficiency ranking system to prioritize projects based on their proposed use of CEC funds. </w:t>
      </w:r>
    </w:p>
    <w:p w14:paraId="53B2E6C7" w14:textId="77777777" w:rsidR="00BB1390" w:rsidRPr="00240545" w:rsidRDefault="00BB1390" w:rsidP="00BB1390">
      <w:pPr>
        <w:rPr>
          <w:rFonts w:ascii="Tahoma" w:eastAsia="Times New Roman" w:hAnsi="Tahoma" w:cs="Tahoma"/>
          <w:b/>
          <w:bCs/>
          <w:u w:val="single"/>
        </w:rPr>
      </w:pPr>
    </w:p>
    <w:p w14:paraId="114C5256" w14:textId="15B8F393" w:rsidR="00BB1390" w:rsidRPr="00240545" w:rsidRDefault="00BB1390" w:rsidP="00BB1390">
      <w:pPr>
        <w:ind w:left="1080"/>
        <w:rPr>
          <w:rFonts w:ascii="Tahoma" w:eastAsia="Times New Roman" w:hAnsi="Tahoma" w:cs="Tahoma"/>
          <w:b/>
          <w:bCs/>
          <w:u w:val="single"/>
        </w:rPr>
      </w:pPr>
      <w:r w:rsidRPr="00240545">
        <w:rPr>
          <w:rFonts w:ascii="Tahoma" w:eastAsia="Times New Roman" w:hAnsi="Tahoma" w:cs="Tahoma"/>
          <w:b/>
          <w:bCs/>
          <w:u w:val="single"/>
        </w:rPr>
        <w:t xml:space="preserve">Projects will be ranked within their </w:t>
      </w:r>
      <w:r w:rsidR="00043161" w:rsidRPr="00240545">
        <w:rPr>
          <w:rFonts w:ascii="Tahoma" w:eastAsia="Times New Roman" w:hAnsi="Tahoma" w:cs="Tahoma"/>
          <w:b/>
          <w:bCs/>
          <w:u w:val="single"/>
        </w:rPr>
        <w:t xml:space="preserve">Applicant Group </w:t>
      </w:r>
      <w:r w:rsidR="53A74ED9" w:rsidRPr="00240545">
        <w:rPr>
          <w:rFonts w:ascii="Tahoma" w:eastAsia="Times New Roman" w:hAnsi="Tahoma" w:cs="Tahoma"/>
          <w:b/>
          <w:bCs/>
          <w:u w:val="single"/>
        </w:rPr>
        <w:t xml:space="preserve">(Small Ports or Large Ports) </w:t>
      </w:r>
      <w:r w:rsidR="00043161" w:rsidRPr="00240545">
        <w:rPr>
          <w:rFonts w:ascii="Tahoma" w:eastAsia="Times New Roman" w:hAnsi="Tahoma" w:cs="Tahoma"/>
          <w:b/>
          <w:bCs/>
          <w:u w:val="single"/>
        </w:rPr>
        <w:t xml:space="preserve">and </w:t>
      </w:r>
      <w:r w:rsidR="3E8754AC" w:rsidRPr="00240545">
        <w:rPr>
          <w:rFonts w:ascii="Tahoma" w:eastAsia="Times New Roman" w:hAnsi="Tahoma" w:cs="Tahoma"/>
          <w:b/>
          <w:bCs/>
          <w:u w:val="single"/>
        </w:rPr>
        <w:t>infrastructure type</w:t>
      </w:r>
      <w:r w:rsidRPr="00240545">
        <w:rPr>
          <w:rFonts w:ascii="Tahoma" w:eastAsia="Times New Roman" w:hAnsi="Tahoma" w:cs="Tahoma"/>
          <w:b/>
          <w:bCs/>
          <w:u w:val="single"/>
        </w:rPr>
        <w:t xml:space="preserve"> (EV</w:t>
      </w:r>
      <w:r w:rsidR="0069385B" w:rsidRPr="00240545">
        <w:rPr>
          <w:rFonts w:ascii="Tahoma" w:eastAsia="Times New Roman" w:hAnsi="Tahoma" w:cs="Tahoma"/>
          <w:b/>
          <w:bCs/>
          <w:u w:val="single"/>
        </w:rPr>
        <w:t xml:space="preserve"> charging</w:t>
      </w:r>
      <w:r w:rsidRPr="00240545">
        <w:rPr>
          <w:rFonts w:ascii="Tahoma" w:eastAsia="Times New Roman" w:hAnsi="Tahoma" w:cs="Tahoma"/>
          <w:b/>
          <w:bCs/>
          <w:u w:val="single"/>
        </w:rPr>
        <w:t xml:space="preserve"> or hydrogen</w:t>
      </w:r>
      <w:r w:rsidR="0069385B" w:rsidRPr="00240545">
        <w:rPr>
          <w:rFonts w:ascii="Tahoma" w:eastAsia="Times New Roman" w:hAnsi="Tahoma" w:cs="Tahoma"/>
          <w:b/>
          <w:bCs/>
          <w:u w:val="single"/>
        </w:rPr>
        <w:t xml:space="preserve"> refueling</w:t>
      </w:r>
      <w:r w:rsidRPr="00240545">
        <w:rPr>
          <w:rFonts w:ascii="Tahoma" w:eastAsia="Times New Roman" w:hAnsi="Tahoma" w:cs="Tahoma"/>
          <w:b/>
          <w:bCs/>
          <w:u w:val="single"/>
        </w:rPr>
        <w:t>) and scored based on two cost metrics for up to 100 points:</w:t>
      </w:r>
    </w:p>
    <w:p w14:paraId="37FF7241" w14:textId="3FDC3EBA" w:rsidR="00BB1390" w:rsidRPr="00240545" w:rsidRDefault="00BB1390" w:rsidP="00F97AD7">
      <w:pPr>
        <w:numPr>
          <w:ilvl w:val="0"/>
          <w:numId w:val="18"/>
        </w:numPr>
        <w:spacing w:after="120"/>
        <w:rPr>
          <w:rFonts w:ascii="Tahoma" w:eastAsia="Times New Roman" w:hAnsi="Tahoma" w:cs="Tahoma"/>
          <w:b/>
          <w:bCs/>
          <w:u w:val="single"/>
        </w:rPr>
      </w:pPr>
      <w:r w:rsidRPr="00240545">
        <w:rPr>
          <w:rFonts w:ascii="Tahoma" w:eastAsia="Times New Roman" w:hAnsi="Tahoma" w:cs="Tahoma"/>
          <w:b/>
          <w:bCs/>
          <w:u w:val="single"/>
        </w:rPr>
        <w:t xml:space="preserve">Cost per </w:t>
      </w:r>
      <w:r w:rsidR="00D039B3" w:rsidRPr="00240545">
        <w:rPr>
          <w:rFonts w:ascii="Tahoma" w:eastAsia="Times New Roman" w:hAnsi="Tahoma" w:cs="Tahoma"/>
          <w:b/>
          <w:bCs/>
          <w:u w:val="single"/>
        </w:rPr>
        <w:t>c</w:t>
      </w:r>
      <w:r w:rsidRPr="00240545">
        <w:rPr>
          <w:rFonts w:ascii="Tahoma" w:eastAsia="Times New Roman" w:hAnsi="Tahoma" w:cs="Tahoma"/>
          <w:b/>
          <w:bCs/>
          <w:u w:val="single"/>
        </w:rPr>
        <w:t xml:space="preserve">harging </w:t>
      </w:r>
      <w:r w:rsidR="00D039B3" w:rsidRPr="00240545">
        <w:rPr>
          <w:rFonts w:ascii="Tahoma" w:eastAsia="Times New Roman" w:hAnsi="Tahoma" w:cs="Tahoma"/>
          <w:b/>
          <w:bCs/>
          <w:u w:val="single"/>
        </w:rPr>
        <w:t>p</w:t>
      </w:r>
      <w:r w:rsidRPr="00240545">
        <w:rPr>
          <w:rFonts w:ascii="Tahoma" w:eastAsia="Times New Roman" w:hAnsi="Tahoma" w:cs="Tahoma"/>
          <w:b/>
          <w:bCs/>
          <w:u w:val="single"/>
        </w:rPr>
        <w:t xml:space="preserve">ort / </w:t>
      </w:r>
      <w:r w:rsidR="00D039B3" w:rsidRPr="00240545">
        <w:rPr>
          <w:rFonts w:ascii="Tahoma" w:eastAsia="Times New Roman" w:hAnsi="Tahoma" w:cs="Tahoma"/>
          <w:b/>
          <w:bCs/>
          <w:u w:val="single"/>
        </w:rPr>
        <w:t>r</w:t>
      </w:r>
      <w:r w:rsidRPr="00240545">
        <w:rPr>
          <w:rFonts w:ascii="Tahoma" w:eastAsia="Times New Roman" w:hAnsi="Tahoma" w:cs="Tahoma"/>
          <w:b/>
          <w:bCs/>
          <w:u w:val="single"/>
        </w:rPr>
        <w:t xml:space="preserve">efueling </w:t>
      </w:r>
      <w:r w:rsidR="00D039B3" w:rsidRPr="00240545">
        <w:rPr>
          <w:rFonts w:ascii="Tahoma" w:eastAsia="Times New Roman" w:hAnsi="Tahoma" w:cs="Tahoma"/>
          <w:b/>
          <w:bCs/>
          <w:u w:val="single"/>
        </w:rPr>
        <w:t>p</w:t>
      </w:r>
      <w:r w:rsidRPr="00240545">
        <w:rPr>
          <w:rFonts w:ascii="Tahoma" w:eastAsia="Times New Roman" w:hAnsi="Tahoma" w:cs="Tahoma"/>
          <w:b/>
          <w:bCs/>
          <w:u w:val="single"/>
        </w:rPr>
        <w:t>osition (up to 50 points)</w:t>
      </w:r>
    </w:p>
    <w:p w14:paraId="5DCEE640" w14:textId="35F394AB" w:rsidR="00BB1390" w:rsidRPr="00240545" w:rsidRDefault="00BB1390" w:rsidP="00F97AD7">
      <w:pPr>
        <w:numPr>
          <w:ilvl w:val="1"/>
          <w:numId w:val="18"/>
        </w:numPr>
        <w:spacing w:after="120"/>
        <w:rPr>
          <w:rFonts w:ascii="Tahoma" w:eastAsia="Times New Roman" w:hAnsi="Tahoma" w:cs="Tahoma"/>
          <w:b/>
          <w:bCs/>
          <w:u w:val="single"/>
        </w:rPr>
      </w:pPr>
      <w:r w:rsidRPr="00240545">
        <w:rPr>
          <w:rFonts w:ascii="Tahoma" w:eastAsia="Times New Roman" w:hAnsi="Tahoma" w:cs="Tahoma"/>
          <w:b/>
          <w:bCs/>
          <w:u w:val="single"/>
        </w:rPr>
        <w:t xml:space="preserve">Cost per </w:t>
      </w:r>
      <w:r w:rsidR="000F2987" w:rsidRPr="00240545">
        <w:rPr>
          <w:rFonts w:ascii="Tahoma" w:eastAsia="Times New Roman" w:hAnsi="Tahoma" w:cs="Tahoma"/>
          <w:b/>
          <w:bCs/>
          <w:u w:val="single"/>
        </w:rPr>
        <w:t>c</w:t>
      </w:r>
      <w:r w:rsidRPr="00240545">
        <w:rPr>
          <w:rFonts w:ascii="Tahoma" w:eastAsia="Times New Roman" w:hAnsi="Tahoma" w:cs="Tahoma"/>
          <w:b/>
          <w:bCs/>
          <w:u w:val="single"/>
        </w:rPr>
        <w:t xml:space="preserve">harging </w:t>
      </w:r>
      <w:r w:rsidR="000F2987" w:rsidRPr="00240545">
        <w:rPr>
          <w:rFonts w:ascii="Tahoma" w:eastAsia="Times New Roman" w:hAnsi="Tahoma" w:cs="Tahoma"/>
          <w:b/>
          <w:bCs/>
          <w:u w:val="single"/>
        </w:rPr>
        <w:t>p</w:t>
      </w:r>
      <w:r w:rsidRPr="00240545">
        <w:rPr>
          <w:rFonts w:ascii="Tahoma" w:eastAsia="Times New Roman" w:hAnsi="Tahoma" w:cs="Tahoma"/>
          <w:b/>
          <w:bCs/>
          <w:u w:val="single"/>
        </w:rPr>
        <w:t xml:space="preserve">ort / </w:t>
      </w:r>
      <w:r w:rsidR="000F2987" w:rsidRPr="00240545">
        <w:rPr>
          <w:rFonts w:ascii="Tahoma" w:eastAsia="Times New Roman" w:hAnsi="Tahoma" w:cs="Tahoma"/>
          <w:b/>
          <w:bCs/>
          <w:u w:val="single"/>
        </w:rPr>
        <w:t>r</w:t>
      </w:r>
      <w:r w:rsidRPr="00240545">
        <w:rPr>
          <w:rFonts w:ascii="Tahoma" w:eastAsia="Times New Roman" w:hAnsi="Tahoma" w:cs="Tahoma"/>
          <w:b/>
          <w:bCs/>
          <w:u w:val="single"/>
        </w:rPr>
        <w:t xml:space="preserve">efueling </w:t>
      </w:r>
      <w:r w:rsidR="000F2987" w:rsidRPr="00240545">
        <w:rPr>
          <w:rFonts w:ascii="Tahoma" w:eastAsia="Times New Roman" w:hAnsi="Tahoma" w:cs="Tahoma"/>
          <w:b/>
          <w:bCs/>
          <w:u w:val="single"/>
        </w:rPr>
        <w:t>p</w:t>
      </w:r>
      <w:r w:rsidRPr="00240545">
        <w:rPr>
          <w:rFonts w:ascii="Tahoma" w:eastAsia="Times New Roman" w:hAnsi="Tahoma" w:cs="Tahoma"/>
          <w:b/>
          <w:bCs/>
          <w:u w:val="single"/>
        </w:rPr>
        <w:t xml:space="preserve">osition is calculated by dividing the total CEC dollars requested by the number of ports / positions </w:t>
      </w:r>
    </w:p>
    <w:p w14:paraId="65641FC1" w14:textId="19BDDA25" w:rsidR="00BB1390" w:rsidRPr="00240545" w:rsidRDefault="00BB1390" w:rsidP="00F97AD7">
      <w:pPr>
        <w:numPr>
          <w:ilvl w:val="0"/>
          <w:numId w:val="18"/>
        </w:numPr>
        <w:spacing w:after="120"/>
        <w:rPr>
          <w:rFonts w:ascii="Tahoma" w:eastAsia="Times New Roman" w:hAnsi="Tahoma" w:cs="Tahoma"/>
          <w:b/>
          <w:bCs/>
          <w:u w:val="single"/>
        </w:rPr>
      </w:pPr>
      <w:r w:rsidRPr="00240545">
        <w:rPr>
          <w:rFonts w:ascii="Tahoma" w:eastAsia="Times New Roman" w:hAnsi="Tahoma" w:cs="Tahoma"/>
          <w:b/>
          <w:bCs/>
          <w:u w:val="single"/>
        </w:rPr>
        <w:t>Cost per kW (</w:t>
      </w:r>
      <w:r w:rsidR="000F2987" w:rsidRPr="00240545">
        <w:rPr>
          <w:rFonts w:ascii="Tahoma" w:eastAsia="Times New Roman" w:hAnsi="Tahoma" w:cs="Tahoma"/>
          <w:b/>
          <w:bCs/>
          <w:u w:val="single"/>
        </w:rPr>
        <w:t>e</w:t>
      </w:r>
      <w:r w:rsidRPr="00240545">
        <w:rPr>
          <w:rFonts w:ascii="Tahoma" w:eastAsia="Times New Roman" w:hAnsi="Tahoma" w:cs="Tahoma"/>
          <w:b/>
          <w:bCs/>
          <w:u w:val="single"/>
        </w:rPr>
        <w:t>lectric) or kg (</w:t>
      </w:r>
      <w:r w:rsidR="000F2987" w:rsidRPr="00240545">
        <w:rPr>
          <w:rFonts w:ascii="Tahoma" w:eastAsia="Times New Roman" w:hAnsi="Tahoma" w:cs="Tahoma"/>
          <w:b/>
          <w:bCs/>
          <w:u w:val="single"/>
        </w:rPr>
        <w:t>h</w:t>
      </w:r>
      <w:r w:rsidRPr="00240545">
        <w:rPr>
          <w:rFonts w:ascii="Tahoma" w:eastAsia="Times New Roman" w:hAnsi="Tahoma" w:cs="Tahoma"/>
          <w:b/>
          <w:bCs/>
          <w:u w:val="single"/>
        </w:rPr>
        <w:t xml:space="preserve">ydrogen) of </w:t>
      </w:r>
      <w:r w:rsidR="000F2987" w:rsidRPr="00240545">
        <w:rPr>
          <w:rFonts w:ascii="Tahoma" w:eastAsia="Times New Roman" w:hAnsi="Tahoma" w:cs="Tahoma"/>
          <w:b/>
          <w:bCs/>
          <w:u w:val="single"/>
        </w:rPr>
        <w:t>n</w:t>
      </w:r>
      <w:r w:rsidRPr="00240545">
        <w:rPr>
          <w:rFonts w:ascii="Tahoma" w:eastAsia="Times New Roman" w:hAnsi="Tahoma" w:cs="Tahoma"/>
          <w:b/>
          <w:bCs/>
          <w:u w:val="single"/>
        </w:rPr>
        <w:t xml:space="preserve">ew </w:t>
      </w:r>
      <w:r w:rsidR="000F2987" w:rsidRPr="00240545">
        <w:rPr>
          <w:rFonts w:ascii="Tahoma" w:eastAsia="Times New Roman" w:hAnsi="Tahoma" w:cs="Tahoma"/>
          <w:b/>
          <w:bCs/>
          <w:u w:val="single"/>
        </w:rPr>
        <w:t>c</w:t>
      </w:r>
      <w:r w:rsidRPr="00240545">
        <w:rPr>
          <w:rFonts w:ascii="Tahoma" w:eastAsia="Times New Roman" w:hAnsi="Tahoma" w:cs="Tahoma"/>
          <w:b/>
          <w:bCs/>
          <w:u w:val="single"/>
        </w:rPr>
        <w:t>apacity (up to 50 points)</w:t>
      </w:r>
    </w:p>
    <w:p w14:paraId="4D232EA4" w14:textId="77777777" w:rsidR="00BB1390" w:rsidRPr="00240545" w:rsidRDefault="00BB1390" w:rsidP="00F97AD7">
      <w:pPr>
        <w:numPr>
          <w:ilvl w:val="1"/>
          <w:numId w:val="18"/>
        </w:numPr>
        <w:spacing w:after="120"/>
        <w:rPr>
          <w:rFonts w:ascii="Tahoma" w:eastAsia="Times New Roman" w:hAnsi="Tahoma" w:cs="Tahoma"/>
          <w:b/>
          <w:bCs/>
          <w:u w:val="single"/>
        </w:rPr>
      </w:pPr>
      <w:r w:rsidRPr="00240545">
        <w:rPr>
          <w:rFonts w:ascii="Tahoma" w:eastAsia="Times New Roman" w:hAnsi="Tahoma" w:cs="Tahoma"/>
          <w:b/>
          <w:bCs/>
          <w:u w:val="single"/>
        </w:rPr>
        <w:t xml:space="preserve">Cost per kW / kg is calculated by dividing the total CEC dollars requested by the total new capacity </w:t>
      </w:r>
    </w:p>
    <w:p w14:paraId="59C12943" w14:textId="77777777" w:rsidR="00BB1390" w:rsidRPr="00240545" w:rsidRDefault="00BB1390" w:rsidP="00BB1390">
      <w:pPr>
        <w:rPr>
          <w:rFonts w:ascii="Tahoma" w:eastAsia="Times New Roman" w:hAnsi="Tahoma" w:cs="Tahoma"/>
          <w:b/>
          <w:bCs/>
          <w:u w:val="single"/>
        </w:rPr>
      </w:pPr>
    </w:p>
    <w:p w14:paraId="6258C774" w14:textId="77777777" w:rsidR="00BB1390" w:rsidRPr="00240545" w:rsidRDefault="00BB1390" w:rsidP="00BB1390">
      <w:pPr>
        <w:ind w:left="720" w:firstLine="720"/>
        <w:rPr>
          <w:rFonts w:ascii="Tahoma" w:eastAsia="Times New Roman" w:hAnsi="Tahoma" w:cs="Tahoma"/>
          <w:b/>
          <w:bCs/>
          <w:u w:val="single"/>
        </w:rPr>
      </w:pPr>
      <w:r w:rsidRPr="00240545">
        <w:rPr>
          <w:rFonts w:ascii="Tahoma" w:eastAsia="Times New Roman" w:hAnsi="Tahoma" w:cs="Tahoma"/>
          <w:b/>
          <w:bCs/>
          <w:u w:val="single"/>
        </w:rPr>
        <w:t>For each metric:</w:t>
      </w:r>
    </w:p>
    <w:p w14:paraId="02E89E5C" w14:textId="77777777" w:rsidR="00BB1390" w:rsidRPr="00240545" w:rsidRDefault="00BB1390" w:rsidP="00F97AD7">
      <w:pPr>
        <w:numPr>
          <w:ilvl w:val="0"/>
          <w:numId w:val="19"/>
        </w:numPr>
        <w:spacing w:after="120"/>
        <w:rPr>
          <w:rFonts w:ascii="Tahoma" w:eastAsia="Times New Roman" w:hAnsi="Tahoma" w:cs="Tahoma"/>
          <w:b/>
          <w:bCs/>
          <w:u w:val="single"/>
        </w:rPr>
      </w:pPr>
      <w:r w:rsidRPr="00240545">
        <w:rPr>
          <w:rFonts w:ascii="Tahoma" w:eastAsia="Times New Roman" w:hAnsi="Tahoma" w:cs="Tahoma"/>
          <w:b/>
          <w:bCs/>
          <w:u w:val="single"/>
        </w:rPr>
        <w:t>Projects will be ranked from lowest to highest cost.</w:t>
      </w:r>
    </w:p>
    <w:p w14:paraId="310FF482" w14:textId="618D1DC6" w:rsidR="00BB1390" w:rsidRPr="00240545" w:rsidRDefault="00BB1390" w:rsidP="00F97AD7">
      <w:pPr>
        <w:numPr>
          <w:ilvl w:val="0"/>
          <w:numId w:val="19"/>
        </w:numPr>
        <w:spacing w:after="120"/>
        <w:rPr>
          <w:rFonts w:ascii="Tahoma" w:eastAsia="Times New Roman" w:hAnsi="Tahoma" w:cs="Tahoma"/>
          <w:b/>
          <w:bCs/>
          <w:u w:val="single"/>
        </w:rPr>
      </w:pPr>
      <w:r w:rsidRPr="00240545">
        <w:rPr>
          <w:rFonts w:ascii="Tahoma" w:eastAsia="Times New Roman" w:hAnsi="Tahoma" w:cs="Tahoma"/>
          <w:b/>
          <w:bCs/>
          <w:u w:val="single"/>
        </w:rPr>
        <w:t xml:space="preserve">The project with the lowest cost </w:t>
      </w:r>
      <w:r w:rsidR="7DD7C3E6" w:rsidRPr="00240545">
        <w:rPr>
          <w:rFonts w:ascii="Tahoma" w:eastAsia="Times New Roman" w:hAnsi="Tahoma" w:cs="Tahoma"/>
          <w:b/>
          <w:bCs/>
          <w:u w:val="single"/>
        </w:rPr>
        <w:t xml:space="preserve">per charging port / refueling position and the lowest per kW / kg </w:t>
      </w:r>
      <w:r w:rsidRPr="00240545">
        <w:rPr>
          <w:rFonts w:ascii="Tahoma" w:eastAsia="Times New Roman" w:hAnsi="Tahoma" w:cs="Tahoma"/>
          <w:b/>
          <w:bCs/>
          <w:u w:val="single"/>
        </w:rPr>
        <w:t>will receive the maximum score of 50 points</w:t>
      </w:r>
      <w:r w:rsidR="4C529120" w:rsidRPr="00240545">
        <w:rPr>
          <w:rFonts w:ascii="Tahoma" w:eastAsia="Times New Roman" w:hAnsi="Tahoma" w:cs="Tahoma"/>
          <w:b/>
          <w:bCs/>
          <w:u w:val="single"/>
        </w:rPr>
        <w:t xml:space="preserve"> each</w:t>
      </w:r>
      <w:r w:rsidRPr="00240545">
        <w:rPr>
          <w:rFonts w:ascii="Tahoma" w:eastAsia="Times New Roman" w:hAnsi="Tahoma" w:cs="Tahoma"/>
          <w:b/>
          <w:bCs/>
          <w:u w:val="single"/>
        </w:rPr>
        <w:t>.</w:t>
      </w:r>
    </w:p>
    <w:p w14:paraId="4C23E4D6" w14:textId="77777777" w:rsidR="00BB1390" w:rsidRPr="00240545" w:rsidRDefault="00BB1390" w:rsidP="00F97AD7">
      <w:pPr>
        <w:numPr>
          <w:ilvl w:val="0"/>
          <w:numId w:val="19"/>
        </w:numPr>
        <w:spacing w:after="120"/>
        <w:rPr>
          <w:rFonts w:ascii="Tahoma" w:eastAsia="Times New Roman" w:hAnsi="Tahoma" w:cs="Tahoma"/>
          <w:b/>
          <w:bCs/>
          <w:u w:val="single"/>
        </w:rPr>
      </w:pPr>
      <w:r w:rsidRPr="00240545">
        <w:rPr>
          <w:rFonts w:ascii="Tahoma" w:eastAsia="Times New Roman" w:hAnsi="Tahoma" w:cs="Tahoma"/>
          <w:b/>
          <w:bCs/>
          <w:u w:val="single"/>
        </w:rPr>
        <w:t>Subsequent projects will receive decreasing scores in 5-point increments (e.g., 45, 40, 35, etc.), based on their relative cost position in the ranking.</w:t>
      </w:r>
    </w:p>
    <w:p w14:paraId="180ECCC5" w14:textId="77777777" w:rsidR="00BB1390" w:rsidRPr="00240545" w:rsidRDefault="00BB1390" w:rsidP="00F97AD7">
      <w:pPr>
        <w:numPr>
          <w:ilvl w:val="0"/>
          <w:numId w:val="19"/>
        </w:numPr>
        <w:spacing w:after="120"/>
        <w:rPr>
          <w:rFonts w:ascii="Tahoma" w:eastAsia="Times New Roman" w:hAnsi="Tahoma" w:cs="Tahoma"/>
          <w:b/>
          <w:bCs/>
          <w:u w:val="single"/>
        </w:rPr>
      </w:pPr>
      <w:r w:rsidRPr="00240545">
        <w:rPr>
          <w:rFonts w:ascii="Tahoma" w:eastAsia="Times New Roman" w:hAnsi="Tahoma" w:cs="Tahoma"/>
          <w:b/>
          <w:bCs/>
          <w:u w:val="single"/>
        </w:rPr>
        <w:t>If multiple projects share the same cost value, they will receive the same score, and the next score will be skipped accordingly.</w:t>
      </w:r>
    </w:p>
    <w:p w14:paraId="0AD2720B" w14:textId="77777777" w:rsidR="00BB1390" w:rsidRPr="00240545" w:rsidRDefault="00BB1390" w:rsidP="00F97AD7">
      <w:pPr>
        <w:numPr>
          <w:ilvl w:val="0"/>
          <w:numId w:val="19"/>
        </w:numPr>
        <w:spacing w:after="120"/>
        <w:rPr>
          <w:rFonts w:ascii="Tahoma" w:eastAsia="Times New Roman" w:hAnsi="Tahoma" w:cs="Tahoma"/>
          <w:b/>
          <w:u w:val="single"/>
        </w:rPr>
      </w:pPr>
      <w:r w:rsidRPr="00240545">
        <w:rPr>
          <w:rFonts w:ascii="Tahoma" w:eastAsia="Times New Roman" w:hAnsi="Tahoma" w:cs="Tahoma"/>
          <w:b/>
          <w:bCs/>
          <w:u w:val="single"/>
        </w:rPr>
        <w:t>The final score for each project will be calculated by summing the scores from both cost metrics.</w:t>
      </w:r>
      <w:r w:rsidRPr="00240545">
        <w:rPr>
          <w:rFonts w:ascii="Tahoma" w:eastAsia="Times New Roman" w:hAnsi="Tahoma" w:cs="Tahoma"/>
          <w:b/>
          <w:bCs/>
          <w:u w:val="single"/>
        </w:rPr>
        <w:br/>
      </w:r>
    </w:p>
    <w:p w14:paraId="1D86B4C3" w14:textId="77777777" w:rsidR="00610D86" w:rsidRPr="00240545" w:rsidRDefault="00610D86">
      <w:pPr>
        <w:rPr>
          <w:rFonts w:ascii="Tahoma" w:hAnsi="Tahoma" w:cs="Tahoma"/>
          <w:b/>
          <w:bCs/>
        </w:rPr>
      </w:pPr>
      <w:r w:rsidRPr="00240545">
        <w:rPr>
          <w:rFonts w:ascii="Tahoma" w:hAnsi="Tahoma" w:cs="Tahoma"/>
          <w:b/>
          <w:bCs/>
        </w:rPr>
        <w:br w:type="page"/>
      </w:r>
    </w:p>
    <w:p w14:paraId="4D445F16" w14:textId="0C39B94F" w:rsidR="00BB1390" w:rsidRPr="00240545" w:rsidRDefault="00BB1390" w:rsidP="00F97AD7">
      <w:pPr>
        <w:pStyle w:val="ListParagraph"/>
        <w:numPr>
          <w:ilvl w:val="0"/>
          <w:numId w:val="1"/>
        </w:numPr>
        <w:rPr>
          <w:rFonts w:ascii="Tahoma" w:hAnsi="Tahoma" w:cs="Tahoma"/>
          <w:b/>
          <w:bCs/>
        </w:rPr>
      </w:pPr>
      <w:r w:rsidRPr="00240545">
        <w:rPr>
          <w:rFonts w:ascii="Tahoma" w:hAnsi="Tahoma" w:cs="Tahoma"/>
          <w:b/>
          <w:bCs/>
        </w:rPr>
        <w:lastRenderedPageBreak/>
        <w:t>Section IV.E. Evaluation Criteria</w:t>
      </w:r>
    </w:p>
    <w:p w14:paraId="46F05974" w14:textId="77777777" w:rsidR="00BB1390" w:rsidRPr="00240545" w:rsidRDefault="00BB1390" w:rsidP="00BB1390">
      <w:pPr>
        <w:pStyle w:val="ListParagraph"/>
        <w:ind w:left="360"/>
        <w:rPr>
          <w:rFonts w:ascii="Tahoma" w:hAnsi="Tahoma" w:cs="Tahoma"/>
          <w:b/>
          <w:bCs/>
        </w:rPr>
      </w:pPr>
    </w:p>
    <w:tbl>
      <w:tblPr>
        <w:tblStyle w:val="TableGrid"/>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0"/>
        <w:gridCol w:w="1940"/>
      </w:tblGrid>
      <w:tr w:rsidR="00BB1390" w:rsidRPr="00240545" w14:paraId="6FC2C54B" w14:textId="77777777" w:rsidTr="00753035">
        <w:tc>
          <w:tcPr>
            <w:tcW w:w="7410" w:type="dxa"/>
            <w:shd w:val="clear" w:color="auto" w:fill="D9D9D9" w:themeFill="background1" w:themeFillShade="D9"/>
          </w:tcPr>
          <w:p w14:paraId="23F82851" w14:textId="77777777" w:rsidR="00BB1390" w:rsidRPr="00240545" w:rsidRDefault="00BB1390">
            <w:pPr>
              <w:ind w:left="720"/>
              <w:jc w:val="center"/>
              <w:rPr>
                <w:rFonts w:ascii="Tahoma" w:hAnsi="Tahoma" w:cs="Tahoma"/>
                <w:b/>
              </w:rPr>
            </w:pPr>
            <w:r w:rsidRPr="00240545">
              <w:rPr>
                <w:rFonts w:ascii="Tahoma" w:hAnsi="Tahoma" w:cs="Tahoma"/>
                <w:b/>
              </w:rPr>
              <w:t>Criterion</w:t>
            </w:r>
          </w:p>
        </w:tc>
        <w:tc>
          <w:tcPr>
            <w:tcW w:w="1940" w:type="dxa"/>
            <w:shd w:val="clear" w:color="auto" w:fill="D9D9D9" w:themeFill="background1" w:themeFillShade="D9"/>
          </w:tcPr>
          <w:p w14:paraId="022F6859" w14:textId="77777777" w:rsidR="00BB1390" w:rsidRPr="00240545" w:rsidRDefault="00BB1390">
            <w:pPr>
              <w:jc w:val="center"/>
              <w:rPr>
                <w:rFonts w:ascii="Tahoma" w:hAnsi="Tahoma" w:cs="Tahoma"/>
              </w:rPr>
            </w:pPr>
            <w:r w:rsidRPr="00240545">
              <w:rPr>
                <w:rFonts w:ascii="Tahoma" w:hAnsi="Tahoma" w:cs="Tahoma"/>
                <w:b/>
              </w:rPr>
              <w:t>Possible Points</w:t>
            </w:r>
          </w:p>
        </w:tc>
      </w:tr>
      <w:tr w:rsidR="00BB1390" w:rsidRPr="00240545" w14:paraId="348CEE2B" w14:textId="77777777" w:rsidTr="00753035">
        <w:trPr>
          <w:trHeight w:val="3304"/>
        </w:trPr>
        <w:tc>
          <w:tcPr>
            <w:tcW w:w="7410" w:type="dxa"/>
          </w:tcPr>
          <w:p w14:paraId="1E17B979" w14:textId="77777777" w:rsidR="00BB1390" w:rsidRPr="00240545" w:rsidRDefault="00BB1390" w:rsidP="00F97AD7">
            <w:pPr>
              <w:numPr>
                <w:ilvl w:val="6"/>
                <w:numId w:val="20"/>
              </w:numPr>
              <w:ind w:left="720" w:hanging="720"/>
              <w:rPr>
                <w:rFonts w:ascii="Tahoma" w:hAnsi="Tahoma" w:cs="Tahoma"/>
                <w:b/>
              </w:rPr>
            </w:pPr>
            <w:r w:rsidRPr="00240545">
              <w:rPr>
                <w:rFonts w:ascii="Tahoma" w:hAnsi="Tahoma" w:cs="Tahoma"/>
                <w:b/>
              </w:rPr>
              <w:t>Project Readiness/Implementation</w:t>
            </w:r>
          </w:p>
          <w:p w14:paraId="0F331EAB" w14:textId="77777777" w:rsidR="00BB1390" w:rsidRPr="00240545" w:rsidRDefault="00BB1390">
            <w:pPr>
              <w:rPr>
                <w:rFonts w:ascii="Tahoma" w:hAnsi="Tahoma" w:cs="Tahoma"/>
              </w:rPr>
            </w:pPr>
            <w:r w:rsidRPr="00240545">
              <w:rPr>
                <w:rFonts w:ascii="Tahoma" w:hAnsi="Tahoma" w:cs="Tahoma"/>
              </w:rPr>
              <w:t>Applications will be evaluated on the degree to which:</w:t>
            </w:r>
          </w:p>
          <w:p w14:paraId="372C3314" w14:textId="77777777" w:rsidR="00BB1390" w:rsidRPr="00240545" w:rsidRDefault="00BB1390" w:rsidP="00F97AD7">
            <w:pPr>
              <w:numPr>
                <w:ilvl w:val="0"/>
                <w:numId w:val="4"/>
              </w:numPr>
              <w:spacing w:after="60"/>
              <w:rPr>
                <w:rFonts w:ascii="Tahoma" w:hAnsi="Tahoma" w:cs="Tahoma"/>
              </w:rPr>
            </w:pPr>
            <w:r w:rsidRPr="00240545">
              <w:rPr>
                <w:rFonts w:ascii="Tahoma" w:hAnsi="Tahoma" w:cs="Tahoma"/>
                <w:bCs/>
              </w:rPr>
              <w:t>The proposed project maximizes vehicle deployment.</w:t>
            </w:r>
          </w:p>
          <w:p w14:paraId="35B05F82" w14:textId="77777777" w:rsidR="00BB1390" w:rsidRPr="00240545" w:rsidRDefault="00BB1390" w:rsidP="00F97AD7">
            <w:pPr>
              <w:numPr>
                <w:ilvl w:val="0"/>
                <w:numId w:val="4"/>
              </w:numPr>
              <w:spacing w:after="60"/>
              <w:rPr>
                <w:rFonts w:ascii="Tahoma" w:hAnsi="Tahoma" w:cs="Tahoma"/>
              </w:rPr>
            </w:pPr>
            <w:r w:rsidRPr="00240545">
              <w:rPr>
                <w:rFonts w:ascii="Tahoma" w:hAnsi="Tahoma" w:cs="Tahoma"/>
              </w:rPr>
              <w:t>Site control is secured</w:t>
            </w:r>
            <w:r w:rsidRPr="00240545">
              <w:rPr>
                <w:rFonts w:ascii="Tahoma" w:hAnsi="Tahoma" w:cs="Tahoma"/>
                <w:bCs/>
              </w:rPr>
              <w:t>, viable back-up sites are identified, and a sufficient plan for managing site or site host changes is provided</w:t>
            </w:r>
            <w:r w:rsidRPr="00240545">
              <w:rPr>
                <w:rFonts w:ascii="Tahoma" w:hAnsi="Tahoma" w:cs="Tahoma"/>
              </w:rPr>
              <w:t>.</w:t>
            </w:r>
          </w:p>
          <w:p w14:paraId="4A4CBE84" w14:textId="77777777" w:rsidR="00BB1390" w:rsidRPr="00240545" w:rsidRDefault="00BB1390" w:rsidP="00F97AD7">
            <w:pPr>
              <w:numPr>
                <w:ilvl w:val="0"/>
                <w:numId w:val="4"/>
              </w:numPr>
              <w:spacing w:after="60"/>
              <w:rPr>
                <w:rFonts w:ascii="Tahoma" w:hAnsi="Tahoma" w:cs="Tahoma"/>
              </w:rPr>
            </w:pPr>
            <w:r w:rsidRPr="00240545">
              <w:rPr>
                <w:rFonts w:ascii="Tahoma" w:hAnsi="Tahoma" w:cs="Tahoma"/>
              </w:rPr>
              <w:t>The proposed project has achieved compliance under CEQA.</w:t>
            </w:r>
          </w:p>
          <w:p w14:paraId="7D35A1F2" w14:textId="77777777" w:rsidR="00BB1390" w:rsidRPr="00240545" w:rsidRDefault="00BB1390" w:rsidP="00F97AD7">
            <w:pPr>
              <w:numPr>
                <w:ilvl w:val="0"/>
                <w:numId w:val="4"/>
              </w:numPr>
              <w:spacing w:after="60"/>
              <w:rPr>
                <w:rFonts w:ascii="Tahoma" w:hAnsi="Tahoma" w:cs="Tahoma"/>
              </w:rPr>
            </w:pPr>
            <w:r w:rsidRPr="00240545">
              <w:rPr>
                <w:rFonts w:ascii="Tahoma" w:hAnsi="Tahoma" w:cs="Tahoma"/>
              </w:rPr>
              <w:t>Required permitting for the proposed project has been completed.</w:t>
            </w:r>
          </w:p>
          <w:p w14:paraId="0D92B282" w14:textId="77777777" w:rsidR="00BB1390" w:rsidRPr="00240545" w:rsidRDefault="00BB1390" w:rsidP="00F97AD7">
            <w:pPr>
              <w:numPr>
                <w:ilvl w:val="0"/>
                <w:numId w:val="4"/>
              </w:numPr>
              <w:spacing w:after="60"/>
              <w:rPr>
                <w:rFonts w:ascii="Tahoma" w:hAnsi="Tahoma" w:cs="Tahoma"/>
              </w:rPr>
            </w:pPr>
            <w:r w:rsidRPr="00240545">
              <w:rPr>
                <w:rFonts w:ascii="Tahoma" w:hAnsi="Tahoma" w:cs="Tahoma"/>
              </w:rPr>
              <w:t>Coordination with the respective utility provider for utility connection demonstrates accelerated timeline to energize the sites.</w:t>
            </w:r>
          </w:p>
          <w:p w14:paraId="4FD6E6CA" w14:textId="77777777" w:rsidR="00BB1390" w:rsidRPr="00240545" w:rsidRDefault="00BB1390" w:rsidP="00F97AD7">
            <w:pPr>
              <w:pStyle w:val="ListParagraph"/>
              <w:numPr>
                <w:ilvl w:val="0"/>
                <w:numId w:val="4"/>
              </w:numPr>
              <w:spacing w:after="60"/>
              <w:contextualSpacing w:val="0"/>
              <w:rPr>
                <w:rFonts w:ascii="Tahoma" w:hAnsi="Tahoma" w:cs="Tahoma"/>
              </w:rPr>
            </w:pPr>
            <w:r w:rsidRPr="00240545">
              <w:rPr>
                <w:rFonts w:ascii="Tahoma" w:hAnsi="Tahoma" w:cs="Tahoma"/>
              </w:rPr>
              <w:t xml:space="preserve">The equipment to be deployed meets the Charger Port/Hydrogen Refueling Dispenser Minimums and accelerates project timelines. </w:t>
            </w:r>
          </w:p>
          <w:p w14:paraId="0260AAC1" w14:textId="77777777" w:rsidR="00BB1390" w:rsidRPr="00240545" w:rsidRDefault="00BB1390" w:rsidP="00F97AD7">
            <w:pPr>
              <w:numPr>
                <w:ilvl w:val="0"/>
                <w:numId w:val="4"/>
              </w:numPr>
              <w:spacing w:after="60"/>
              <w:rPr>
                <w:rFonts w:ascii="Tahoma" w:hAnsi="Tahoma" w:cs="Tahoma"/>
              </w:rPr>
            </w:pPr>
            <w:r w:rsidRPr="00240545">
              <w:rPr>
                <w:rFonts w:ascii="Tahoma" w:hAnsi="Tahoma" w:cs="Tahoma"/>
              </w:rPr>
              <w:t>The infrastructure to be deployed is appropriate for the project’s vehicle population and leads to successful deployment of zero-emission MDHD vehicles.</w:t>
            </w:r>
          </w:p>
          <w:p w14:paraId="518359A5" w14:textId="77777777" w:rsidR="00BB1390" w:rsidRPr="00240545" w:rsidRDefault="00BB1390" w:rsidP="00F97AD7">
            <w:pPr>
              <w:numPr>
                <w:ilvl w:val="0"/>
                <w:numId w:val="4"/>
              </w:numPr>
              <w:spacing w:after="60"/>
              <w:rPr>
                <w:rFonts w:ascii="Tahoma" w:hAnsi="Tahoma" w:cs="Tahoma"/>
              </w:rPr>
            </w:pPr>
            <w:r w:rsidRPr="00240545">
              <w:rPr>
                <w:rFonts w:ascii="Tahoma" w:hAnsi="Tahoma" w:cs="Tahoma"/>
              </w:rPr>
              <w:t>A clear and realistic timeline is provided for the acquisition or retrofitting of MDHD ZEVs. Strategies to expedite the vehicle acquisition or retrofitting process are identified.</w:t>
            </w:r>
          </w:p>
          <w:p w14:paraId="3712FD3D" w14:textId="77777777" w:rsidR="00BB1390" w:rsidRPr="00240545" w:rsidRDefault="00BB1390" w:rsidP="00F97AD7">
            <w:pPr>
              <w:numPr>
                <w:ilvl w:val="0"/>
                <w:numId w:val="4"/>
              </w:numPr>
              <w:tabs>
                <w:tab w:val="num" w:pos="1425"/>
              </w:tabs>
              <w:spacing w:after="60"/>
              <w:textAlignment w:val="baseline"/>
              <w:rPr>
                <w:rFonts w:ascii="Tahoma" w:hAnsi="Tahoma" w:cs="Tahoma"/>
              </w:rPr>
            </w:pPr>
            <w:r w:rsidRPr="00240545">
              <w:rPr>
                <w:rFonts w:ascii="Tahoma" w:hAnsi="Tahoma" w:cs="Tahoma"/>
              </w:rPr>
              <w:t>A clear and feasible timeline is provided for obtaining chargers and/or hydrogen refueling dispensers, and/or other necessary equipment. Strategies are identified to expedite the procurement and installation process.</w:t>
            </w:r>
          </w:p>
          <w:p w14:paraId="6E89E606" w14:textId="77777777" w:rsidR="00BB1390" w:rsidRPr="00240545" w:rsidRDefault="00BB1390" w:rsidP="00F97AD7">
            <w:pPr>
              <w:numPr>
                <w:ilvl w:val="0"/>
                <w:numId w:val="4"/>
              </w:numPr>
              <w:tabs>
                <w:tab w:val="num" w:pos="1425"/>
              </w:tabs>
              <w:spacing w:after="60"/>
              <w:textAlignment w:val="baseline"/>
              <w:rPr>
                <w:rFonts w:ascii="Tahoma" w:hAnsi="Tahoma" w:cs="Tahoma"/>
              </w:rPr>
            </w:pPr>
            <w:r w:rsidRPr="00240545">
              <w:rPr>
                <w:rFonts w:ascii="Tahoma" w:hAnsi="Tahoma" w:cs="Tahoma"/>
              </w:rPr>
              <w:t>A clear and realistic timeline is provided for the installation and commissioning of chargers and/or hydrogen refueling dispensers.</w:t>
            </w:r>
          </w:p>
          <w:p w14:paraId="3B4A5E5B" w14:textId="77777777" w:rsidR="00BB1390" w:rsidRPr="00240545" w:rsidRDefault="00BB1390" w:rsidP="00F97AD7">
            <w:pPr>
              <w:numPr>
                <w:ilvl w:val="0"/>
                <w:numId w:val="4"/>
              </w:numPr>
              <w:tabs>
                <w:tab w:val="num" w:pos="1425"/>
              </w:tabs>
              <w:spacing w:after="60"/>
              <w:textAlignment w:val="baseline"/>
              <w:rPr>
                <w:rFonts w:ascii="Tahoma" w:hAnsi="Tahoma" w:cs="Tahoma"/>
              </w:rPr>
            </w:pPr>
            <w:r w:rsidRPr="00240545">
              <w:rPr>
                <w:rFonts w:ascii="Tahoma" w:hAnsi="Tahoma" w:cs="Tahoma"/>
              </w:rPr>
              <w:t>Equipment manufacturers, connector/refueling standards, fuel delivery methods (for hydrogen projects), security measures, and safety standards are appropriate for the proposed project and lead to successful deployment of zero-emission MDHD vehicles.</w:t>
            </w:r>
          </w:p>
          <w:p w14:paraId="2F128B5F" w14:textId="77777777" w:rsidR="00BB1390" w:rsidRPr="00240545" w:rsidRDefault="00BB1390" w:rsidP="00F97AD7">
            <w:pPr>
              <w:numPr>
                <w:ilvl w:val="0"/>
                <w:numId w:val="4"/>
              </w:numPr>
              <w:tabs>
                <w:tab w:val="num" w:pos="1425"/>
              </w:tabs>
              <w:spacing w:after="60"/>
              <w:textAlignment w:val="baseline"/>
              <w:rPr>
                <w:rFonts w:ascii="Tahoma" w:hAnsi="Tahoma" w:cs="Tahoma"/>
              </w:rPr>
            </w:pPr>
            <w:r w:rsidRPr="00240545">
              <w:rPr>
                <w:rFonts w:ascii="Tahoma" w:hAnsi="Tahoma" w:cs="Tahoma"/>
              </w:rPr>
              <w:t>The project will effectively deploy renewable DERs and/or renewable energy generation equipment to accelerate timelines. A clear plan is provided for the use, management, and long-term commitment to zero-emission and/or renewable fuel equipment beyond project completion.</w:t>
            </w:r>
          </w:p>
          <w:p w14:paraId="75798BD5" w14:textId="77777777" w:rsidR="00BB1390" w:rsidRPr="00240545" w:rsidRDefault="00BB1390" w:rsidP="00F97AD7">
            <w:pPr>
              <w:numPr>
                <w:ilvl w:val="0"/>
                <w:numId w:val="4"/>
              </w:numPr>
              <w:tabs>
                <w:tab w:val="num" w:pos="1425"/>
              </w:tabs>
              <w:spacing w:after="60"/>
              <w:textAlignment w:val="baseline"/>
              <w:rPr>
                <w:rFonts w:ascii="Tahoma" w:hAnsi="Tahoma" w:cs="Tahoma"/>
              </w:rPr>
            </w:pPr>
            <w:r w:rsidRPr="00240545">
              <w:rPr>
                <w:rFonts w:ascii="Tahoma" w:hAnsi="Tahoma" w:cs="Tahoma"/>
              </w:rPr>
              <w:lastRenderedPageBreak/>
              <w:t>If solar or storage equipment is included in the project, proposed project describes how the equipment to be deployed will lower the cost of electricity for charging or hydrogen fuel for customers.</w:t>
            </w:r>
          </w:p>
          <w:p w14:paraId="52F65FCA" w14:textId="77777777" w:rsidR="00BB1390" w:rsidRPr="00240545" w:rsidRDefault="00BB1390" w:rsidP="00F97AD7">
            <w:pPr>
              <w:numPr>
                <w:ilvl w:val="0"/>
                <w:numId w:val="4"/>
              </w:numPr>
              <w:tabs>
                <w:tab w:val="num" w:pos="1425"/>
              </w:tabs>
              <w:spacing w:after="60"/>
              <w:textAlignment w:val="baseline"/>
              <w:rPr>
                <w:rFonts w:ascii="Tahoma" w:hAnsi="Tahoma" w:cs="Tahoma"/>
              </w:rPr>
            </w:pPr>
            <w:r w:rsidRPr="00240545">
              <w:rPr>
                <w:rFonts w:ascii="Tahoma" w:hAnsi="Tahoma" w:cs="Tahoma"/>
              </w:rPr>
              <w:t>The tasks in the Scope of Work contribute to the successful and timely completion of the proposed project.</w:t>
            </w:r>
          </w:p>
          <w:p w14:paraId="50C5BA7F" w14:textId="77777777" w:rsidR="00BB1390" w:rsidRPr="00240545" w:rsidRDefault="00BB1390" w:rsidP="00F97AD7">
            <w:pPr>
              <w:numPr>
                <w:ilvl w:val="0"/>
                <w:numId w:val="4"/>
              </w:numPr>
              <w:tabs>
                <w:tab w:val="num" w:pos="1425"/>
              </w:tabs>
              <w:spacing w:after="60"/>
              <w:textAlignment w:val="baseline"/>
              <w:rPr>
                <w:rFonts w:ascii="Tahoma" w:hAnsi="Tahoma" w:cs="Tahoma"/>
              </w:rPr>
            </w:pPr>
            <w:r w:rsidRPr="00240545">
              <w:rPr>
                <w:rFonts w:ascii="Tahoma" w:hAnsi="Tahoma" w:cs="Tahoma"/>
              </w:rPr>
              <w:t>Planned community outreach is appropriate and comprehensive and contributes to the overall success of the proposed project.</w:t>
            </w:r>
          </w:p>
          <w:p w14:paraId="4C908C7A" w14:textId="77777777" w:rsidR="00BB1390" w:rsidRPr="00240545" w:rsidRDefault="00BB1390" w:rsidP="00F97AD7">
            <w:pPr>
              <w:numPr>
                <w:ilvl w:val="0"/>
                <w:numId w:val="4"/>
              </w:numPr>
              <w:tabs>
                <w:tab w:val="num" w:pos="1425"/>
              </w:tabs>
              <w:spacing w:after="60"/>
              <w:textAlignment w:val="baseline"/>
              <w:rPr>
                <w:rFonts w:ascii="Tahoma" w:hAnsi="Tahoma" w:cs="Tahoma"/>
              </w:rPr>
            </w:pPr>
            <w:r w:rsidRPr="00240545">
              <w:rPr>
                <w:rFonts w:ascii="Tahoma" w:hAnsi="Tahoma" w:cs="Tahoma"/>
              </w:rPr>
              <w:t>Major risks and barriers to successful project completion are identified and mitigated. </w:t>
            </w:r>
          </w:p>
          <w:p w14:paraId="606A0533" w14:textId="77777777" w:rsidR="00BB1390" w:rsidRPr="00240545" w:rsidRDefault="00BB1390" w:rsidP="00F97AD7">
            <w:pPr>
              <w:numPr>
                <w:ilvl w:val="0"/>
                <w:numId w:val="4"/>
              </w:numPr>
              <w:tabs>
                <w:tab w:val="num" w:pos="1425"/>
              </w:tabs>
              <w:spacing w:after="60"/>
              <w:textAlignment w:val="baseline"/>
              <w:rPr>
                <w:rFonts w:ascii="Tahoma" w:hAnsi="Tahoma" w:cs="Tahoma"/>
              </w:rPr>
            </w:pPr>
            <w:r w:rsidRPr="00240545">
              <w:rPr>
                <w:rFonts w:ascii="Tahoma" w:hAnsi="Tahoma" w:cs="Tahoma"/>
              </w:rPr>
              <w:t>The retail price of fuel and/or the cost of charging will be minimized.</w:t>
            </w:r>
          </w:p>
          <w:p w14:paraId="352341CA" w14:textId="46579E16" w:rsidR="00BB1390" w:rsidRPr="00240545" w:rsidRDefault="00BB1390" w:rsidP="00610D86">
            <w:pPr>
              <w:spacing w:before="120"/>
              <w:textAlignment w:val="baseline"/>
              <w:rPr>
                <w:rFonts w:ascii="Tahoma" w:hAnsi="Tahoma" w:cs="Tahoma"/>
              </w:rPr>
            </w:pPr>
            <w:r w:rsidRPr="00240545">
              <w:rPr>
                <w:rFonts w:ascii="Tahoma" w:hAnsi="Tahoma" w:cs="Tahoma"/>
                <w:b/>
                <w:bCs/>
              </w:rPr>
              <w:t xml:space="preserve">NOTE: Project Readiness </w:t>
            </w:r>
            <w:r w:rsidRPr="00240545">
              <w:rPr>
                <w:rFonts w:ascii="Tahoma" w:hAnsi="Tahoma" w:cs="Tahoma"/>
                <w:b/>
                <w:bCs/>
                <w:u w:val="single"/>
              </w:rPr>
              <w:t>must</w:t>
            </w:r>
            <w:r w:rsidRPr="00240545">
              <w:rPr>
                <w:rFonts w:ascii="Tahoma" w:hAnsi="Tahoma" w:cs="Tahoma"/>
                <w:b/>
                <w:bCs/>
              </w:rPr>
              <w:t xml:space="preserve"> obtain a minimum passing score of [</w:t>
            </w:r>
            <w:r w:rsidRPr="00240545">
              <w:rPr>
                <w:rFonts w:ascii="Tahoma" w:hAnsi="Tahoma" w:cs="Tahoma"/>
                <w:b/>
                <w:bCs/>
                <w:strike/>
              </w:rPr>
              <w:t>24.5</w:t>
            </w:r>
            <w:r w:rsidRPr="00240545">
              <w:rPr>
                <w:rFonts w:ascii="Tahoma" w:hAnsi="Tahoma" w:cs="Tahoma"/>
                <w:b/>
                <w:bCs/>
              </w:rPr>
              <w:t>]</w:t>
            </w:r>
            <w:r w:rsidRPr="00240545">
              <w:rPr>
                <w:rFonts w:ascii="Tahoma" w:hAnsi="Tahoma" w:cs="Tahoma"/>
                <w:b/>
                <w:bCs/>
                <w:u w:val="single"/>
              </w:rPr>
              <w:t xml:space="preserve"> 21</w:t>
            </w:r>
            <w:r w:rsidRPr="00240545">
              <w:rPr>
                <w:rFonts w:ascii="Tahoma" w:hAnsi="Tahoma" w:cs="Tahoma"/>
                <w:b/>
                <w:bCs/>
              </w:rPr>
              <w:t xml:space="preserve"> points (70% percent) within this evaluation criterion to be eligible for funding.</w:t>
            </w:r>
          </w:p>
        </w:tc>
        <w:tc>
          <w:tcPr>
            <w:tcW w:w="1940" w:type="dxa"/>
          </w:tcPr>
          <w:p w14:paraId="249FAD77" w14:textId="77777777" w:rsidR="00BB1390" w:rsidRPr="00240545" w:rsidRDefault="00BB1390">
            <w:pPr>
              <w:jc w:val="center"/>
              <w:rPr>
                <w:rFonts w:ascii="Tahoma" w:hAnsi="Tahoma" w:cs="Tahoma"/>
              </w:rPr>
            </w:pPr>
          </w:p>
          <w:p w14:paraId="1CCE61DC" w14:textId="77777777" w:rsidR="00BB1390" w:rsidRPr="00240545" w:rsidRDefault="00BB1390">
            <w:pPr>
              <w:jc w:val="center"/>
              <w:rPr>
                <w:rFonts w:ascii="Tahoma" w:hAnsi="Tahoma" w:cs="Tahoma"/>
                <w:strike/>
                <w:u w:val="single"/>
              </w:rPr>
            </w:pPr>
            <w:r w:rsidRPr="00240545">
              <w:rPr>
                <w:rFonts w:ascii="Tahoma" w:hAnsi="Tahoma" w:cs="Tahoma"/>
                <w:b/>
                <w:bCs/>
              </w:rPr>
              <w:t>[</w:t>
            </w:r>
            <w:r w:rsidRPr="00240545">
              <w:rPr>
                <w:rFonts w:ascii="Tahoma" w:hAnsi="Tahoma" w:cs="Tahoma"/>
                <w:b/>
                <w:bCs/>
                <w:strike/>
              </w:rPr>
              <w:t>35</w:t>
            </w:r>
            <w:r w:rsidRPr="00240545">
              <w:rPr>
                <w:rFonts w:ascii="Tahoma" w:hAnsi="Tahoma" w:cs="Tahoma"/>
                <w:b/>
                <w:bCs/>
              </w:rPr>
              <w:t xml:space="preserve">] </w:t>
            </w:r>
            <w:r w:rsidRPr="00240545">
              <w:rPr>
                <w:rFonts w:ascii="Tahoma" w:hAnsi="Tahoma" w:cs="Tahoma"/>
                <w:b/>
                <w:bCs/>
                <w:u w:val="single"/>
              </w:rPr>
              <w:t>30</w:t>
            </w:r>
          </w:p>
        </w:tc>
      </w:tr>
    </w:tbl>
    <w:p w14:paraId="5E8C78AB" w14:textId="77777777" w:rsidR="00753035" w:rsidRDefault="00753035"/>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0"/>
        <w:gridCol w:w="1940"/>
      </w:tblGrid>
      <w:tr w:rsidR="008204DB" w:rsidRPr="00240545" w14:paraId="5CC2B251" w14:textId="77777777">
        <w:tc>
          <w:tcPr>
            <w:tcW w:w="7410" w:type="dxa"/>
            <w:tcBorders>
              <w:top w:val="single" w:sz="4" w:space="0" w:color="auto"/>
              <w:left w:val="single" w:sz="4" w:space="0" w:color="auto"/>
              <w:bottom w:val="single" w:sz="4" w:space="0" w:color="auto"/>
              <w:right w:val="single" w:sz="4" w:space="0" w:color="auto"/>
            </w:tcBorders>
          </w:tcPr>
          <w:p w14:paraId="3AE6E2C5" w14:textId="77777777" w:rsidR="00BB1390" w:rsidRPr="00240545" w:rsidRDefault="00BB1390" w:rsidP="009236B1">
            <w:pPr>
              <w:keepNext/>
              <w:rPr>
                <w:rFonts w:ascii="Tahoma" w:hAnsi="Tahoma" w:cs="Tahoma"/>
                <w:b/>
              </w:rPr>
            </w:pPr>
            <w:r w:rsidRPr="00240545">
              <w:rPr>
                <w:rFonts w:ascii="Tahoma" w:hAnsi="Tahoma" w:cs="Tahoma"/>
                <w:b/>
              </w:rPr>
              <w:lastRenderedPageBreak/>
              <w:t>3.       Project Budget</w:t>
            </w:r>
          </w:p>
          <w:p w14:paraId="469660C1" w14:textId="77777777" w:rsidR="00BB1390" w:rsidRPr="00240545" w:rsidRDefault="00BB1390" w:rsidP="009236B1">
            <w:pPr>
              <w:keepNext/>
              <w:rPr>
                <w:rFonts w:ascii="Tahoma" w:hAnsi="Tahoma" w:cs="Tahoma"/>
              </w:rPr>
            </w:pPr>
            <w:r w:rsidRPr="00240545">
              <w:rPr>
                <w:rFonts w:ascii="Tahoma" w:hAnsi="Tahoma" w:cs="Tahoma"/>
              </w:rPr>
              <w:t>Applications will be evaluated on the degree to which:</w:t>
            </w:r>
          </w:p>
          <w:p w14:paraId="120AB278" w14:textId="77777777" w:rsidR="00BB1390" w:rsidRPr="00240545" w:rsidRDefault="00BB1390" w:rsidP="009236B1">
            <w:pPr>
              <w:keepNext/>
              <w:numPr>
                <w:ilvl w:val="0"/>
                <w:numId w:val="37"/>
              </w:numPr>
              <w:spacing w:after="60"/>
              <w:rPr>
                <w:rFonts w:ascii="Tahoma" w:hAnsi="Tahoma" w:cs="Tahoma"/>
              </w:rPr>
            </w:pPr>
            <w:r w:rsidRPr="00240545">
              <w:rPr>
                <w:rFonts w:ascii="Tahoma" w:hAnsi="Tahoma" w:cs="Tahoma"/>
              </w:rPr>
              <w:t xml:space="preserve">The proposed budget is justifiable and reasonable relative to the project goals, objectives, and tasks defined in the scope of work. </w:t>
            </w:r>
          </w:p>
          <w:p w14:paraId="3F6D5DB7" w14:textId="77777777" w:rsidR="00BB1390" w:rsidRPr="00240545" w:rsidRDefault="00BB1390" w:rsidP="009236B1">
            <w:pPr>
              <w:keepNext/>
              <w:numPr>
                <w:ilvl w:val="0"/>
                <w:numId w:val="37"/>
              </w:numPr>
              <w:spacing w:after="60" w:line="256" w:lineRule="auto"/>
              <w:rPr>
                <w:rFonts w:ascii="Tahoma" w:hAnsi="Tahoma" w:cs="Tahoma"/>
              </w:rPr>
            </w:pPr>
            <w:r w:rsidRPr="00240545">
              <w:rPr>
                <w:rFonts w:ascii="Tahoma" w:hAnsi="Tahoma" w:cs="Tahoma"/>
              </w:rPr>
              <w:t>[</w:t>
            </w:r>
            <w:r w:rsidRPr="00240545">
              <w:rPr>
                <w:rFonts w:ascii="Tahoma" w:hAnsi="Tahoma" w:cs="Tahoma"/>
                <w:strike/>
              </w:rPr>
              <w:t xml:space="preserve">The amount of </w:t>
            </w:r>
            <w:r w:rsidRPr="00240545">
              <w:rPr>
                <w:rStyle w:val="normaltextrun"/>
                <w:rFonts w:ascii="Tahoma" w:hAnsi="Tahoma" w:cs="Tahoma"/>
                <w:strike/>
              </w:rPr>
              <w:t>CEC</w:t>
            </w:r>
            <w:r w:rsidRPr="00240545" w:rsidDel="00E768E3">
              <w:rPr>
                <w:rStyle w:val="normaltextrun"/>
                <w:rFonts w:ascii="Tahoma" w:hAnsi="Tahoma" w:cs="Tahoma"/>
                <w:strike/>
              </w:rPr>
              <w:t xml:space="preserve"> </w:t>
            </w:r>
            <w:r w:rsidRPr="00240545">
              <w:rPr>
                <w:rStyle w:val="normaltextrun"/>
                <w:rFonts w:ascii="Tahoma" w:hAnsi="Tahoma" w:cs="Tahoma"/>
                <w:strike/>
              </w:rPr>
              <w:t>funding per port/refueling position is minimized and justified for the proposed infrastructure power level/refueling capacity.</w:t>
            </w:r>
            <w:r w:rsidRPr="00240545">
              <w:rPr>
                <w:rStyle w:val="normaltextrun"/>
                <w:rFonts w:ascii="Tahoma" w:hAnsi="Tahoma" w:cs="Tahoma"/>
              </w:rPr>
              <w:t xml:space="preserve">] </w:t>
            </w:r>
          </w:p>
          <w:p w14:paraId="61B11131" w14:textId="77777777" w:rsidR="00BB1390" w:rsidRPr="00240545" w:rsidRDefault="00BB1390" w:rsidP="009236B1">
            <w:pPr>
              <w:keepNext/>
              <w:numPr>
                <w:ilvl w:val="0"/>
                <w:numId w:val="37"/>
              </w:numPr>
              <w:spacing w:after="60"/>
              <w:rPr>
                <w:rFonts w:ascii="Tahoma" w:hAnsi="Tahoma" w:cs="Tahoma"/>
              </w:rPr>
            </w:pPr>
            <w:r w:rsidRPr="00240545">
              <w:rPr>
                <w:rFonts w:ascii="Tahoma" w:hAnsi="Tahoma" w:cs="Tahoma"/>
              </w:rPr>
              <w:t>Administrative and overhead expenses are minimized.</w:t>
            </w:r>
          </w:p>
          <w:p w14:paraId="60ED6B3A" w14:textId="77777777" w:rsidR="00BB1390" w:rsidRPr="00240545" w:rsidRDefault="00BB1390" w:rsidP="009236B1">
            <w:pPr>
              <w:keepNext/>
              <w:numPr>
                <w:ilvl w:val="0"/>
                <w:numId w:val="37"/>
              </w:numPr>
              <w:textAlignment w:val="baseline"/>
              <w:rPr>
                <w:rFonts w:ascii="Tahoma" w:hAnsi="Tahoma" w:cs="Tahoma"/>
              </w:rPr>
            </w:pPr>
            <w:r w:rsidRPr="00240545">
              <w:rPr>
                <w:rFonts w:ascii="Tahoma" w:hAnsi="Tahoma" w:cs="Tahoma"/>
              </w:rPr>
              <w:t>[</w:t>
            </w:r>
            <w:r w:rsidRPr="00240545">
              <w:rPr>
                <w:rFonts w:ascii="Tahoma" w:hAnsi="Tahoma" w:cs="Tahoma"/>
                <w:strike/>
              </w:rPr>
              <w:t>The proposed project cost effectively deploys ZEV infrastructure</w:t>
            </w:r>
            <w:r w:rsidRPr="00240545">
              <w:rPr>
                <w:rFonts w:ascii="Tahoma" w:hAnsi="Tahoma" w:cs="Tahoma"/>
              </w:rPr>
              <w:t>.]</w:t>
            </w:r>
          </w:p>
          <w:p w14:paraId="0F377587" w14:textId="77777777" w:rsidR="00BB1390" w:rsidRPr="00240545" w:rsidRDefault="00BB1390" w:rsidP="009236B1">
            <w:pPr>
              <w:keepNext/>
              <w:numPr>
                <w:ilvl w:val="0"/>
                <w:numId w:val="37"/>
              </w:numPr>
              <w:spacing w:after="60"/>
              <w:rPr>
                <w:rFonts w:ascii="Tahoma" w:hAnsi="Tahoma" w:cs="Tahoma"/>
                <w:b/>
                <w:bCs/>
                <w:u w:val="single"/>
              </w:rPr>
            </w:pPr>
            <w:r w:rsidRPr="00240545">
              <w:rPr>
                <w:rFonts w:ascii="Tahoma" w:hAnsi="Tahoma" w:cs="Tahoma"/>
                <w:b/>
                <w:bCs/>
                <w:u w:val="single"/>
              </w:rPr>
              <w:t>The proposed budget maximizes the quantity of proposed charging ports / refueling positions.</w:t>
            </w:r>
          </w:p>
          <w:p w14:paraId="5DA46D45" w14:textId="77777777" w:rsidR="00BB1390" w:rsidRPr="00240545" w:rsidRDefault="00BB1390" w:rsidP="009236B1">
            <w:pPr>
              <w:keepNext/>
              <w:numPr>
                <w:ilvl w:val="0"/>
                <w:numId w:val="37"/>
              </w:numPr>
              <w:spacing w:after="60"/>
              <w:rPr>
                <w:rFonts w:ascii="Tahoma" w:hAnsi="Tahoma" w:cs="Tahoma"/>
                <w:b/>
                <w:bCs/>
                <w:u w:val="single"/>
              </w:rPr>
            </w:pPr>
            <w:r w:rsidRPr="00240545">
              <w:rPr>
                <w:rFonts w:ascii="Tahoma" w:hAnsi="Tahoma" w:cs="Tahoma"/>
                <w:b/>
                <w:bCs/>
                <w:u w:val="single"/>
              </w:rPr>
              <w:t xml:space="preserve">The proposed budget maximizes aggregate new charging capacity (kW) / refueling capacity (kg) across all charging ports / refueling positions. </w:t>
            </w:r>
          </w:p>
          <w:p w14:paraId="0800D6DF" w14:textId="77777777" w:rsidR="00BB1390" w:rsidRPr="00240545" w:rsidRDefault="00BB1390" w:rsidP="009236B1">
            <w:pPr>
              <w:keepNext/>
              <w:numPr>
                <w:ilvl w:val="0"/>
                <w:numId w:val="37"/>
              </w:numPr>
              <w:spacing w:after="60"/>
              <w:rPr>
                <w:rFonts w:ascii="Tahoma" w:hAnsi="Tahoma" w:cs="Tahoma"/>
                <w:b/>
                <w:bCs/>
                <w:u w:val="single"/>
              </w:rPr>
            </w:pPr>
            <w:r w:rsidRPr="00240545">
              <w:rPr>
                <w:rFonts w:ascii="Tahoma" w:hAnsi="Tahoma" w:cs="Tahoma"/>
                <w:b/>
                <w:bCs/>
                <w:u w:val="single"/>
              </w:rPr>
              <w:t>The proposed budget minimizes (1) the cost per port / refueling position and (2) cost per kW / kg requested in CEC funding.</w:t>
            </w:r>
          </w:p>
          <w:p w14:paraId="233FE495" w14:textId="77777777" w:rsidR="00BB1390" w:rsidRPr="00240545" w:rsidRDefault="0092142D" w:rsidP="009236B1">
            <w:pPr>
              <w:keepNext/>
              <w:numPr>
                <w:ilvl w:val="0"/>
                <w:numId w:val="37"/>
              </w:numPr>
              <w:spacing w:after="60"/>
              <w:rPr>
                <w:rFonts w:ascii="Tahoma" w:hAnsi="Tahoma" w:cs="Tahoma"/>
              </w:rPr>
            </w:pPr>
            <w:r w:rsidRPr="00240545">
              <w:rPr>
                <w:rFonts w:ascii="Tahoma" w:hAnsi="Tahoma" w:cs="Tahoma"/>
              </w:rPr>
              <w:t>[</w:t>
            </w:r>
            <w:r w:rsidR="00BB1390" w:rsidRPr="00240545">
              <w:rPr>
                <w:rFonts w:ascii="Tahoma" w:hAnsi="Tahoma" w:cs="Tahoma"/>
                <w:strike/>
              </w:rPr>
              <w:t>The proposed project cost effectively reduces GHG emissions.</w:t>
            </w:r>
            <w:r w:rsidRPr="00240545">
              <w:rPr>
                <w:rFonts w:ascii="Tahoma" w:hAnsi="Tahoma" w:cs="Tahoma"/>
              </w:rPr>
              <w:t>]</w:t>
            </w:r>
            <w:r w:rsidR="00BB1390" w:rsidRPr="00240545">
              <w:rPr>
                <w:rFonts w:ascii="Tahoma" w:hAnsi="Tahoma" w:cs="Tahoma"/>
              </w:rPr>
              <w:t xml:space="preserve"> </w:t>
            </w:r>
          </w:p>
          <w:p w14:paraId="6530EB1D" w14:textId="77777777" w:rsidR="00BB1390" w:rsidRPr="00240545" w:rsidRDefault="00BB1390" w:rsidP="009236B1">
            <w:pPr>
              <w:keepNext/>
              <w:numPr>
                <w:ilvl w:val="0"/>
                <w:numId w:val="37"/>
              </w:numPr>
              <w:spacing w:after="60"/>
              <w:rPr>
                <w:rFonts w:ascii="Tahoma" w:hAnsi="Tahoma" w:cs="Tahoma"/>
              </w:rPr>
            </w:pPr>
            <w:r w:rsidRPr="00240545">
              <w:rPr>
                <w:rFonts w:ascii="Tahoma" w:hAnsi="Tahoma" w:cs="Tahoma"/>
              </w:rPr>
              <w:t>The proposed match funding commitments are documented and verifiable. </w:t>
            </w:r>
          </w:p>
          <w:p w14:paraId="20B8A036" w14:textId="77777777" w:rsidR="00BB1390" w:rsidRPr="00240545" w:rsidRDefault="00BB1390" w:rsidP="009236B1">
            <w:pPr>
              <w:keepNext/>
              <w:numPr>
                <w:ilvl w:val="0"/>
                <w:numId w:val="37"/>
              </w:numPr>
              <w:spacing w:after="60"/>
              <w:rPr>
                <w:rFonts w:ascii="Tahoma" w:hAnsi="Tahoma" w:cs="Tahoma"/>
              </w:rPr>
            </w:pPr>
            <w:r w:rsidRPr="00240545">
              <w:rPr>
                <w:rFonts w:ascii="Tahoma" w:hAnsi="Tahoma" w:cs="Tahoma"/>
              </w:rPr>
              <w:t>The Applicant demonstrates the need for state funding for the proposed project.  </w:t>
            </w:r>
          </w:p>
          <w:p w14:paraId="1901166B" w14:textId="690CCAAB" w:rsidR="00BB1390" w:rsidRPr="00240545" w:rsidRDefault="00BB1390" w:rsidP="009236B1">
            <w:pPr>
              <w:keepNext/>
              <w:spacing w:before="120"/>
              <w:textAlignment w:val="baseline"/>
              <w:rPr>
                <w:rFonts w:ascii="Tahoma" w:hAnsi="Tahoma" w:cs="Tahoma"/>
                <w:b/>
                <w:u w:val="single"/>
              </w:rPr>
            </w:pPr>
            <w:r w:rsidRPr="00240545">
              <w:rPr>
                <w:rFonts w:ascii="Tahoma" w:hAnsi="Tahoma" w:cs="Tahoma"/>
                <w:b/>
                <w:bCs/>
                <w:u w:val="single"/>
              </w:rPr>
              <w:t xml:space="preserve">NOTE: Project Budget must obtain a minimum passing score of 21 points (70% percent) within this evaluation </w:t>
            </w:r>
            <w:proofErr w:type="gramStart"/>
            <w:r w:rsidRPr="00240545">
              <w:rPr>
                <w:rFonts w:ascii="Tahoma" w:hAnsi="Tahoma" w:cs="Tahoma"/>
                <w:b/>
                <w:bCs/>
                <w:u w:val="single"/>
              </w:rPr>
              <w:t>criterion</w:t>
            </w:r>
            <w:proofErr w:type="gramEnd"/>
            <w:r w:rsidRPr="00240545">
              <w:rPr>
                <w:rFonts w:ascii="Tahoma" w:hAnsi="Tahoma" w:cs="Tahoma"/>
                <w:b/>
                <w:bCs/>
                <w:u w:val="single"/>
              </w:rPr>
              <w:t xml:space="preserve"> to be eligible for funding.</w:t>
            </w:r>
          </w:p>
        </w:tc>
        <w:tc>
          <w:tcPr>
            <w:tcW w:w="1940" w:type="dxa"/>
            <w:tcBorders>
              <w:top w:val="single" w:sz="4" w:space="0" w:color="auto"/>
              <w:left w:val="single" w:sz="4" w:space="0" w:color="auto"/>
              <w:bottom w:val="single" w:sz="4" w:space="0" w:color="auto"/>
              <w:right w:val="single" w:sz="4" w:space="0" w:color="auto"/>
            </w:tcBorders>
          </w:tcPr>
          <w:p w14:paraId="0A811AA0" w14:textId="77777777" w:rsidR="008204DB" w:rsidRPr="00240545" w:rsidRDefault="008204DB" w:rsidP="009236B1">
            <w:pPr>
              <w:keepNext/>
              <w:jc w:val="center"/>
              <w:rPr>
                <w:rFonts w:ascii="Tahoma" w:hAnsi="Tahoma" w:cs="Tahoma"/>
              </w:rPr>
            </w:pPr>
          </w:p>
          <w:p w14:paraId="124E3136" w14:textId="15E73149" w:rsidR="008204DB" w:rsidRPr="00240545" w:rsidRDefault="008204DB" w:rsidP="009236B1">
            <w:pPr>
              <w:keepNext/>
              <w:ind w:left="-143"/>
              <w:jc w:val="center"/>
              <w:rPr>
                <w:rFonts w:ascii="Tahoma" w:hAnsi="Tahoma" w:cs="Tahoma"/>
              </w:rPr>
            </w:pPr>
            <w:r w:rsidRPr="00240545">
              <w:rPr>
                <w:rFonts w:ascii="Tahoma" w:hAnsi="Tahoma" w:cs="Tahoma"/>
                <w:b/>
                <w:bCs/>
              </w:rPr>
              <w:t>[</w:t>
            </w:r>
            <w:r w:rsidRPr="00240545">
              <w:rPr>
                <w:rFonts w:ascii="Tahoma" w:hAnsi="Tahoma" w:cs="Tahoma"/>
                <w:b/>
                <w:bCs/>
                <w:strike/>
              </w:rPr>
              <w:t>20</w:t>
            </w:r>
            <w:r w:rsidRPr="00240545">
              <w:rPr>
                <w:rFonts w:ascii="Tahoma" w:hAnsi="Tahoma" w:cs="Tahoma"/>
                <w:b/>
                <w:bCs/>
              </w:rPr>
              <w:t xml:space="preserve">] </w:t>
            </w:r>
            <w:r w:rsidRPr="00240545">
              <w:rPr>
                <w:rFonts w:ascii="Tahoma" w:hAnsi="Tahoma" w:cs="Tahoma"/>
                <w:b/>
                <w:bCs/>
                <w:u w:val="single"/>
              </w:rPr>
              <w:t>30</w:t>
            </w:r>
          </w:p>
        </w:tc>
      </w:tr>
      <w:tr w:rsidR="00BB1390" w:rsidRPr="00240545" w14:paraId="7CF95490" w14:textId="77777777" w:rsidTr="00610D86">
        <w:tc>
          <w:tcPr>
            <w:tcW w:w="7410" w:type="dxa"/>
          </w:tcPr>
          <w:p w14:paraId="7243D773" w14:textId="35063F1A" w:rsidR="00BB1390" w:rsidRPr="00240545" w:rsidRDefault="00BB1390" w:rsidP="00510D01">
            <w:pPr>
              <w:rPr>
                <w:rFonts w:ascii="Tahoma" w:hAnsi="Tahoma" w:cs="Tahoma"/>
                <w:b/>
              </w:rPr>
            </w:pPr>
            <w:r w:rsidRPr="00240545">
              <w:rPr>
                <w:rFonts w:ascii="Tahoma" w:hAnsi="Tahoma" w:cs="Tahoma"/>
                <w:b/>
              </w:rPr>
              <w:t>4.       Economic, Social, and Environmental Benefits</w:t>
            </w:r>
          </w:p>
          <w:p w14:paraId="0B147574" w14:textId="77777777" w:rsidR="00BB1390" w:rsidRPr="00240545" w:rsidRDefault="00BB1390" w:rsidP="00510D01">
            <w:pPr>
              <w:rPr>
                <w:rFonts w:ascii="Tahoma" w:hAnsi="Tahoma" w:cs="Tahoma"/>
              </w:rPr>
            </w:pPr>
            <w:r w:rsidRPr="00240545">
              <w:rPr>
                <w:rFonts w:ascii="Tahoma" w:hAnsi="Tahoma" w:cs="Tahoma"/>
              </w:rPr>
              <w:t>Applications will be evaluated on the degree to which:</w:t>
            </w:r>
          </w:p>
          <w:p w14:paraId="2AEA9B0A" w14:textId="77777777" w:rsidR="00BB1390" w:rsidRPr="00240545" w:rsidRDefault="00BB1390" w:rsidP="00510D01">
            <w:pPr>
              <w:numPr>
                <w:ilvl w:val="0"/>
                <w:numId w:val="4"/>
              </w:numPr>
              <w:spacing w:after="60"/>
              <w:rPr>
                <w:rFonts w:ascii="Tahoma" w:hAnsi="Tahoma" w:cs="Tahoma"/>
              </w:rPr>
            </w:pPr>
            <w:r w:rsidRPr="00240545">
              <w:rPr>
                <w:rFonts w:ascii="Tahoma" w:hAnsi="Tahoma" w:cs="Tahoma"/>
              </w:rPr>
              <w:t>The proposed project supports the larger economic and reduced emission goals of the port and compliance with state regulations.</w:t>
            </w:r>
          </w:p>
          <w:p w14:paraId="054A9572" w14:textId="77777777" w:rsidR="00BB1390" w:rsidRPr="00240545" w:rsidRDefault="00BB1390" w:rsidP="00510D01">
            <w:pPr>
              <w:numPr>
                <w:ilvl w:val="0"/>
                <w:numId w:val="4"/>
              </w:numPr>
              <w:spacing w:after="60"/>
              <w:rPr>
                <w:rFonts w:ascii="Tahoma" w:hAnsi="Tahoma" w:cs="Tahoma"/>
              </w:rPr>
            </w:pPr>
            <w:r w:rsidRPr="00240545">
              <w:rPr>
                <w:rFonts w:ascii="Tahoma" w:hAnsi="Tahoma" w:cs="Tahoma"/>
              </w:rPr>
              <w:t>The proposed project reduces carbon intensity relative to the relevant fossil fuel baseline as measured in gCO2e/MJ.</w:t>
            </w:r>
          </w:p>
          <w:p w14:paraId="1953DC7B" w14:textId="77777777" w:rsidR="00BB1390" w:rsidRPr="00240545" w:rsidRDefault="00BB1390" w:rsidP="00510D01">
            <w:pPr>
              <w:pStyle w:val="ListParagraph"/>
              <w:numPr>
                <w:ilvl w:val="0"/>
                <w:numId w:val="4"/>
              </w:numPr>
              <w:spacing w:after="120"/>
              <w:contextualSpacing w:val="0"/>
              <w:rPr>
                <w:rFonts w:ascii="Tahoma" w:hAnsi="Tahoma" w:cs="Tahoma"/>
              </w:rPr>
            </w:pPr>
            <w:r w:rsidRPr="00240545">
              <w:rPr>
                <w:rFonts w:ascii="Tahoma" w:hAnsi="Tahoma" w:cs="Tahoma"/>
              </w:rPr>
              <w:t>The infrastructure installed under the proposed project will be utilized by MDHD vehicles. [</w:t>
            </w:r>
            <w:r w:rsidRPr="00240545">
              <w:rPr>
                <w:rFonts w:ascii="Tahoma" w:hAnsi="Tahoma" w:cs="Tahoma"/>
                <w:strike/>
              </w:rPr>
              <w:t xml:space="preserve">Estimated utilization rates are </w:t>
            </w:r>
            <w:proofErr w:type="gramStart"/>
            <w:r w:rsidRPr="00240545">
              <w:rPr>
                <w:rFonts w:ascii="Tahoma" w:hAnsi="Tahoma" w:cs="Tahoma"/>
                <w:strike/>
              </w:rPr>
              <w:t>provided</w:t>
            </w:r>
            <w:proofErr w:type="gramEnd"/>
            <w:r w:rsidRPr="00240545">
              <w:rPr>
                <w:rFonts w:ascii="Tahoma" w:hAnsi="Tahoma" w:cs="Tahoma"/>
                <w:strike/>
              </w:rPr>
              <w:t xml:space="preserve"> and calculations are substantiated.</w:t>
            </w:r>
            <w:r w:rsidRPr="00240545">
              <w:rPr>
                <w:rFonts w:ascii="Tahoma" w:hAnsi="Tahoma" w:cs="Tahoma"/>
              </w:rPr>
              <w:t>]</w:t>
            </w:r>
          </w:p>
          <w:p w14:paraId="413E18A6" w14:textId="77777777" w:rsidR="00BB1390" w:rsidRPr="00240545" w:rsidRDefault="00BB1390" w:rsidP="00510D01">
            <w:pPr>
              <w:numPr>
                <w:ilvl w:val="0"/>
                <w:numId w:val="4"/>
              </w:numPr>
              <w:spacing w:after="60"/>
              <w:rPr>
                <w:rFonts w:ascii="Tahoma" w:hAnsi="Tahoma" w:cs="Tahoma"/>
                <w:b/>
                <w:bCs/>
                <w:u w:val="single"/>
              </w:rPr>
            </w:pPr>
            <w:r w:rsidRPr="00240545">
              <w:rPr>
                <w:rFonts w:ascii="Tahoma" w:hAnsi="Tahoma" w:cs="Tahoma"/>
                <w:b/>
                <w:bCs/>
                <w:u w:val="single"/>
              </w:rPr>
              <w:t xml:space="preserve">There is a clear and well-substantiated description of expected infrastructure utilization, including </w:t>
            </w:r>
            <w:r w:rsidRPr="00240545">
              <w:rPr>
                <w:rFonts w:ascii="Tahoma" w:hAnsi="Tahoma" w:cs="Tahoma"/>
                <w:b/>
                <w:bCs/>
                <w:u w:val="single"/>
              </w:rPr>
              <w:lastRenderedPageBreak/>
              <w:t xml:space="preserve">projected usage levels and supporting data or rationale. </w:t>
            </w:r>
          </w:p>
          <w:p w14:paraId="06447A77" w14:textId="77777777" w:rsidR="00BB1390" w:rsidRPr="00240545" w:rsidRDefault="00BB1390" w:rsidP="00510D01">
            <w:pPr>
              <w:numPr>
                <w:ilvl w:val="0"/>
                <w:numId w:val="4"/>
              </w:numPr>
              <w:spacing w:after="60"/>
              <w:rPr>
                <w:rFonts w:ascii="Tahoma" w:hAnsi="Tahoma" w:cs="Tahoma"/>
                <w:b/>
                <w:bCs/>
                <w:u w:val="single"/>
              </w:rPr>
            </w:pPr>
            <w:r w:rsidRPr="00240545">
              <w:rPr>
                <w:rFonts w:ascii="Tahoma" w:hAnsi="Tahoma" w:cs="Tahoma"/>
                <w:b/>
                <w:bCs/>
                <w:u w:val="single"/>
              </w:rPr>
              <w:t>The proposed project demonstrates realistic and credible year-over-year growth in utilization, where applicable, with a clear explanation of the factors driving increased demand over time.</w:t>
            </w:r>
          </w:p>
          <w:p w14:paraId="0C1AD8C3" w14:textId="77777777" w:rsidR="00BB1390" w:rsidRPr="00240545" w:rsidRDefault="00BB1390" w:rsidP="00510D01">
            <w:pPr>
              <w:numPr>
                <w:ilvl w:val="0"/>
                <w:numId w:val="4"/>
              </w:numPr>
              <w:spacing w:after="60"/>
              <w:rPr>
                <w:rFonts w:ascii="Tahoma" w:hAnsi="Tahoma" w:cs="Tahoma"/>
              </w:rPr>
            </w:pPr>
            <w:r w:rsidRPr="00240545">
              <w:rPr>
                <w:rFonts w:ascii="Tahoma" w:hAnsi="Tahoma" w:cs="Tahoma"/>
              </w:rPr>
              <w:t>The proposed project provides air quality benefits, as well as health and safety, access, education, financial benefits, economic development, and consumer protection to California’s priority populations or adjacent communities. (NOTE: at least 50% of the locations in the application shall directly benefit or serve residents of low-income communities and disadvantaged communities with the map provided at Priority Populations — California Climate Investments https://www.caclimateinvestments.ca.gov/priority-populations. Refer to Section II.B.3.)</w:t>
            </w:r>
          </w:p>
          <w:p w14:paraId="7CFA66C9" w14:textId="77777777" w:rsidR="00BB1390" w:rsidRPr="00240545" w:rsidRDefault="00BB1390" w:rsidP="00510D01">
            <w:pPr>
              <w:pStyle w:val="ListParagraph"/>
              <w:numPr>
                <w:ilvl w:val="0"/>
                <w:numId w:val="4"/>
              </w:numPr>
              <w:spacing w:after="120"/>
              <w:contextualSpacing w:val="0"/>
              <w:rPr>
                <w:rFonts w:ascii="Tahoma" w:hAnsi="Tahoma" w:cs="Tahoma"/>
              </w:rPr>
            </w:pPr>
            <w:r w:rsidRPr="00240545">
              <w:rPr>
                <w:rFonts w:ascii="Tahoma" w:hAnsi="Tahoma" w:cs="Tahoma"/>
              </w:rPr>
              <w:t>The proposed project [</w:t>
            </w:r>
            <w:r w:rsidRPr="00240545">
              <w:rPr>
                <w:rFonts w:ascii="Tahoma" w:hAnsi="Tahoma" w:cs="Tahoma"/>
                <w:strike/>
              </w:rPr>
              <w:t>addresses</w:t>
            </w:r>
            <w:r w:rsidRPr="00240545">
              <w:rPr>
                <w:rFonts w:ascii="Tahoma" w:hAnsi="Tahoma" w:cs="Tahoma"/>
              </w:rPr>
              <w:t>]</w:t>
            </w:r>
            <w:r w:rsidRPr="00240545">
              <w:rPr>
                <w:rFonts w:ascii="Tahoma" w:hAnsi="Tahoma" w:cs="Tahoma"/>
                <w:b/>
                <w:bCs/>
                <w:u w:val="single"/>
              </w:rPr>
              <w:t xml:space="preserve"> incorporates</w:t>
            </w:r>
            <w:r w:rsidRPr="00240545">
              <w:rPr>
                <w:rFonts w:ascii="Tahoma" w:hAnsi="Tahoma" w:cs="Tahoma"/>
              </w:rPr>
              <w:t xml:space="preserve"> resiliency </w:t>
            </w:r>
            <w:r w:rsidRPr="00240545">
              <w:rPr>
                <w:rFonts w:ascii="Tahoma" w:hAnsi="Tahoma" w:cs="Tahoma"/>
                <w:b/>
                <w:bCs/>
                <w:u w:val="single"/>
              </w:rPr>
              <w:t>measures, ensuring the goals of the project will continue to be</w:t>
            </w:r>
            <w:r w:rsidRPr="00240545">
              <w:rPr>
                <w:rFonts w:ascii="Tahoma" w:hAnsi="Tahoma" w:cs="Tahoma"/>
              </w:rPr>
              <w:t xml:space="preserve"> [</w:t>
            </w:r>
            <w:r w:rsidRPr="00240545">
              <w:rPr>
                <w:rFonts w:ascii="Tahoma" w:hAnsi="Tahoma" w:cs="Tahoma"/>
                <w:strike/>
              </w:rPr>
              <w:t>in order to carry out the goals of the project</w:t>
            </w:r>
            <w:r w:rsidRPr="00240545">
              <w:rPr>
                <w:rFonts w:ascii="Tahoma" w:hAnsi="Tahoma" w:cs="Tahoma"/>
              </w:rPr>
              <w:t>]</w:t>
            </w:r>
            <w:r w:rsidRPr="00240545">
              <w:rPr>
                <w:rFonts w:ascii="Tahoma" w:hAnsi="Tahoma" w:cs="Tahoma"/>
                <w:b/>
                <w:bCs/>
                <w:u w:val="single"/>
              </w:rPr>
              <w:t xml:space="preserve"> carried out</w:t>
            </w:r>
            <w:r w:rsidRPr="00240545">
              <w:rPr>
                <w:rFonts w:ascii="Tahoma" w:hAnsi="Tahoma" w:cs="Tahoma"/>
              </w:rPr>
              <w:t xml:space="preserve"> during an emergency.</w:t>
            </w:r>
          </w:p>
          <w:p w14:paraId="2D4624D5" w14:textId="77777777" w:rsidR="00BB1390" w:rsidRPr="00240545" w:rsidRDefault="00BB1390" w:rsidP="00510D01">
            <w:pPr>
              <w:pStyle w:val="ListParagraph"/>
              <w:numPr>
                <w:ilvl w:val="0"/>
                <w:numId w:val="4"/>
              </w:numPr>
              <w:spacing w:after="120"/>
              <w:contextualSpacing w:val="0"/>
              <w:rPr>
                <w:rFonts w:ascii="Tahoma" w:hAnsi="Tahoma" w:cs="Tahoma"/>
              </w:rPr>
            </w:pPr>
            <w:r w:rsidRPr="00240545">
              <w:rPr>
                <w:rFonts w:ascii="Tahoma" w:hAnsi="Tahoma" w:cs="Tahoma"/>
              </w:rPr>
              <w:t>[</w:t>
            </w:r>
            <w:r w:rsidRPr="00240545">
              <w:rPr>
                <w:rFonts w:ascii="Tahoma" w:hAnsi="Tahoma" w:cs="Tahoma"/>
                <w:strike/>
              </w:rPr>
              <w:t>The proposed project engages regional community-based organizations, community leaders, and potentially affected local residents in the planning process and education on the benefits of ZEV transportation.</w:t>
            </w:r>
            <w:r w:rsidRPr="00240545">
              <w:rPr>
                <w:rFonts w:ascii="Tahoma" w:hAnsi="Tahoma" w:cs="Tahoma"/>
              </w:rPr>
              <w:t>]</w:t>
            </w:r>
          </w:p>
          <w:p w14:paraId="76FFC3EF" w14:textId="77777777" w:rsidR="00BB1390" w:rsidRPr="00240545" w:rsidRDefault="00BB1390" w:rsidP="00510D01">
            <w:pPr>
              <w:pStyle w:val="ListParagraph"/>
              <w:numPr>
                <w:ilvl w:val="0"/>
                <w:numId w:val="4"/>
              </w:numPr>
              <w:spacing w:after="120"/>
              <w:contextualSpacing w:val="0"/>
              <w:rPr>
                <w:rFonts w:ascii="Arial" w:hAnsi="Arial" w:cs="Arial"/>
                <w:sz w:val="22"/>
                <w:szCs w:val="20"/>
              </w:rPr>
            </w:pPr>
            <w:r w:rsidRPr="00240545">
              <w:rPr>
                <w:rFonts w:ascii="Tahoma" w:hAnsi="Tahoma" w:cs="Tahoma"/>
              </w:rPr>
              <w:t>[</w:t>
            </w:r>
            <w:r w:rsidRPr="00240545">
              <w:rPr>
                <w:rFonts w:ascii="Tahoma" w:hAnsi="Tahoma" w:cs="Tahoma"/>
                <w:strike/>
              </w:rPr>
              <w:t>The proposed project expands certified businesses and California supply chains for California-based businesses, result in high-quality jobs in terms of compensation, duration, and related project payroll, and increase state and local tax revenues.</w:t>
            </w:r>
            <w:r w:rsidRPr="00240545">
              <w:rPr>
                <w:rFonts w:ascii="Tahoma" w:hAnsi="Tahoma" w:cs="Tahoma"/>
              </w:rPr>
              <w:t>]</w:t>
            </w:r>
          </w:p>
          <w:p w14:paraId="4D0CAFBE" w14:textId="77777777" w:rsidR="00BB1390" w:rsidRPr="00240545" w:rsidRDefault="00BB1390" w:rsidP="00510D01">
            <w:pPr>
              <w:numPr>
                <w:ilvl w:val="0"/>
                <w:numId w:val="4"/>
              </w:numPr>
              <w:spacing w:after="60"/>
              <w:rPr>
                <w:rFonts w:ascii="Tahoma" w:hAnsi="Tahoma" w:cs="Tahoma"/>
                <w:b/>
                <w:bCs/>
                <w:u w:val="single"/>
              </w:rPr>
            </w:pPr>
            <w:r w:rsidRPr="00240545">
              <w:rPr>
                <w:rFonts w:ascii="Tahoma" w:hAnsi="Tahoma" w:cs="Tahoma"/>
                <w:b/>
                <w:bCs/>
                <w:u w:val="single"/>
              </w:rPr>
              <w:t>For hydrogen projects, the proposed project substantiates the use of renewable hydrogen, aligning with environmental and sustainability goals.</w:t>
            </w:r>
          </w:p>
          <w:p w14:paraId="7ABEF90A" w14:textId="63BC8565" w:rsidR="00BB1390" w:rsidRPr="00240545" w:rsidRDefault="00BB1390" w:rsidP="00510D01">
            <w:pPr>
              <w:pStyle w:val="ListParagraph"/>
              <w:numPr>
                <w:ilvl w:val="0"/>
                <w:numId w:val="4"/>
              </w:numPr>
              <w:spacing w:after="120"/>
              <w:rPr>
                <w:rFonts w:ascii="Tahoma" w:hAnsi="Tahoma" w:cs="Tahoma"/>
              </w:rPr>
            </w:pPr>
            <w:r w:rsidRPr="00240545">
              <w:rPr>
                <w:rFonts w:ascii="Tahoma" w:hAnsi="Tahoma" w:cs="Tahoma"/>
              </w:rPr>
              <w:t xml:space="preserve">The proposed project </w:t>
            </w:r>
            <w:r w:rsidRPr="00240545">
              <w:rPr>
                <w:rFonts w:ascii="Tahoma" w:hAnsi="Tahoma" w:cs="Tahoma"/>
                <w:b/>
                <w:bCs/>
                <w:u w:val="single"/>
              </w:rPr>
              <w:t xml:space="preserve">cost effectively </w:t>
            </w:r>
            <w:r w:rsidRPr="00240545">
              <w:rPr>
                <w:rFonts w:ascii="Tahoma" w:hAnsi="Tahoma" w:cs="Tahoma"/>
              </w:rPr>
              <w:t xml:space="preserve">reduces total GHG emissions </w:t>
            </w:r>
            <w:r w:rsidR="56E10AF0" w:rsidRPr="00240545">
              <w:rPr>
                <w:rFonts w:ascii="Tahoma" w:hAnsi="Tahoma" w:cs="Tahoma"/>
              </w:rPr>
              <w:t>[</w:t>
            </w:r>
            <w:r w:rsidRPr="00240545">
              <w:rPr>
                <w:rFonts w:ascii="Tahoma" w:hAnsi="Tahoma" w:cs="Tahoma"/>
                <w:strike/>
              </w:rPr>
              <w:t>(metric tons)</w:t>
            </w:r>
            <w:r w:rsidR="416D0A88" w:rsidRPr="00240545">
              <w:rPr>
                <w:rFonts w:ascii="Tahoma" w:hAnsi="Tahoma" w:cs="Tahoma"/>
              </w:rPr>
              <w:t>]</w:t>
            </w:r>
            <w:r w:rsidRPr="00240545">
              <w:rPr>
                <w:rFonts w:ascii="Tahoma" w:hAnsi="Tahoma" w:cs="Tahoma"/>
              </w:rPr>
              <w:t>.</w:t>
            </w:r>
          </w:p>
        </w:tc>
        <w:tc>
          <w:tcPr>
            <w:tcW w:w="1940" w:type="dxa"/>
          </w:tcPr>
          <w:p w14:paraId="0B64FFDA" w14:textId="77777777" w:rsidR="00BB1390" w:rsidRPr="00240545" w:rsidRDefault="00BB1390" w:rsidP="00510D01">
            <w:pPr>
              <w:jc w:val="center"/>
              <w:rPr>
                <w:rFonts w:ascii="Tahoma" w:hAnsi="Tahoma" w:cs="Tahoma"/>
              </w:rPr>
            </w:pPr>
          </w:p>
          <w:p w14:paraId="3CB8148E" w14:textId="77777777" w:rsidR="00BB1390" w:rsidRPr="00240545" w:rsidRDefault="00BB1390" w:rsidP="00510D01">
            <w:pPr>
              <w:jc w:val="center"/>
              <w:rPr>
                <w:rFonts w:ascii="Tahoma" w:hAnsi="Tahoma" w:cs="Tahoma"/>
              </w:rPr>
            </w:pPr>
            <w:r w:rsidRPr="00240545">
              <w:rPr>
                <w:rFonts w:ascii="Tahoma" w:hAnsi="Tahoma" w:cs="Tahoma"/>
                <w:b/>
                <w:bCs/>
              </w:rPr>
              <w:t>[</w:t>
            </w:r>
            <w:r w:rsidRPr="00240545">
              <w:rPr>
                <w:rFonts w:ascii="Tahoma" w:hAnsi="Tahoma" w:cs="Tahoma"/>
                <w:b/>
                <w:bCs/>
                <w:strike/>
              </w:rPr>
              <w:t>25</w:t>
            </w:r>
            <w:r w:rsidRPr="00240545">
              <w:rPr>
                <w:rFonts w:ascii="Tahoma" w:hAnsi="Tahoma" w:cs="Tahoma"/>
                <w:b/>
                <w:bCs/>
              </w:rPr>
              <w:t xml:space="preserve">] </w:t>
            </w:r>
            <w:r w:rsidRPr="00240545">
              <w:rPr>
                <w:rFonts w:ascii="Tahoma" w:hAnsi="Tahoma" w:cs="Tahoma"/>
                <w:b/>
                <w:bCs/>
                <w:u w:val="single"/>
              </w:rPr>
              <w:t>20</w:t>
            </w:r>
          </w:p>
        </w:tc>
      </w:tr>
    </w:tbl>
    <w:p w14:paraId="4FD56D3E" w14:textId="77777777" w:rsidR="00C76455" w:rsidRPr="00240545" w:rsidRDefault="00C76455" w:rsidP="00C76455">
      <w:pPr>
        <w:rPr>
          <w:rFonts w:ascii="Tahoma" w:hAnsi="Tahoma" w:cs="Tahoma"/>
          <w:b/>
          <w:bCs/>
        </w:rPr>
      </w:pPr>
    </w:p>
    <w:p w14:paraId="0048DE50" w14:textId="0E674F95" w:rsidR="00736675" w:rsidRPr="00240545" w:rsidRDefault="00C76455" w:rsidP="00F97AD7">
      <w:pPr>
        <w:pStyle w:val="ListParagraph"/>
        <w:numPr>
          <w:ilvl w:val="0"/>
          <w:numId w:val="1"/>
        </w:numPr>
        <w:rPr>
          <w:rFonts w:ascii="Tahoma" w:hAnsi="Tahoma" w:cs="Tahoma"/>
          <w:b/>
          <w:bCs/>
        </w:rPr>
      </w:pPr>
      <w:r w:rsidRPr="00240545">
        <w:rPr>
          <w:rFonts w:ascii="Tahoma" w:hAnsi="Tahoma" w:cs="Tahoma"/>
          <w:b/>
          <w:bCs/>
        </w:rPr>
        <w:t xml:space="preserve">Section </w:t>
      </w:r>
      <w:r w:rsidR="00736675" w:rsidRPr="00240545">
        <w:rPr>
          <w:rFonts w:ascii="Tahoma" w:hAnsi="Tahoma" w:cs="Tahoma"/>
          <w:b/>
          <w:bCs/>
        </w:rPr>
        <w:t xml:space="preserve">IV.F. </w:t>
      </w:r>
      <w:r w:rsidR="008A153C" w:rsidRPr="00240545">
        <w:rPr>
          <w:rFonts w:ascii="Tahoma" w:hAnsi="Tahoma" w:cs="Tahoma"/>
          <w:b/>
          <w:bCs/>
        </w:rPr>
        <w:t>Tie Breakers</w:t>
      </w:r>
    </w:p>
    <w:p w14:paraId="16AAAEB2" w14:textId="77777777" w:rsidR="005079CE" w:rsidRPr="00240545" w:rsidRDefault="005079CE" w:rsidP="005079CE">
      <w:pPr>
        <w:pStyle w:val="ListParagraph"/>
        <w:suppressAutoHyphens/>
        <w:rPr>
          <w:rFonts w:ascii="Tahoma" w:hAnsi="Tahoma" w:cs="Tahoma"/>
        </w:rPr>
      </w:pPr>
    </w:p>
    <w:p w14:paraId="74B18109" w14:textId="03714C2C" w:rsidR="005079CE" w:rsidRPr="00240545" w:rsidRDefault="005079CE" w:rsidP="005079CE">
      <w:pPr>
        <w:pStyle w:val="ListParagraph"/>
        <w:suppressAutoHyphens/>
        <w:rPr>
          <w:rFonts w:ascii="Tahoma" w:hAnsi="Tahoma" w:cs="Tahoma"/>
        </w:rPr>
      </w:pPr>
      <w:r w:rsidRPr="00240545">
        <w:rPr>
          <w:rFonts w:ascii="Tahoma" w:hAnsi="Tahoma" w:cs="Tahoma"/>
        </w:rPr>
        <w:t>If the</w:t>
      </w:r>
      <w:r w:rsidR="0091762F" w:rsidRPr="00240545">
        <w:rPr>
          <w:rFonts w:ascii="Tahoma" w:hAnsi="Tahoma" w:cs="Tahoma"/>
        </w:rPr>
        <w:t xml:space="preserve"> </w:t>
      </w:r>
      <w:r w:rsidR="0091762F" w:rsidRPr="00240545">
        <w:rPr>
          <w:rFonts w:ascii="Tahoma" w:hAnsi="Tahoma" w:cs="Tahoma"/>
          <w:b/>
          <w:bCs/>
          <w:u w:val="single"/>
        </w:rPr>
        <w:t>final Cost Evaluation</w:t>
      </w:r>
      <w:r w:rsidRPr="00240545">
        <w:rPr>
          <w:rFonts w:ascii="Tahoma" w:hAnsi="Tahoma" w:cs="Tahoma"/>
        </w:rPr>
        <w:t xml:space="preserve"> score for two or more applications are tied, the application with a higher score in the [</w:t>
      </w:r>
      <w:r w:rsidRPr="00240545">
        <w:rPr>
          <w:rFonts w:ascii="Tahoma" w:hAnsi="Tahoma" w:cs="Tahoma"/>
          <w:strike/>
        </w:rPr>
        <w:t>Project Readiness</w:t>
      </w:r>
      <w:r w:rsidRPr="00240545">
        <w:rPr>
          <w:rFonts w:ascii="Tahoma" w:hAnsi="Tahoma" w:cs="Tahoma"/>
          <w:bCs/>
          <w:strike/>
        </w:rPr>
        <w:t>/Implementation</w:t>
      </w:r>
      <w:r w:rsidRPr="00240545">
        <w:rPr>
          <w:rFonts w:ascii="Tahoma" w:hAnsi="Tahoma" w:cs="Tahoma"/>
          <w:strike/>
        </w:rPr>
        <w:t xml:space="preserve"> criterion</w:t>
      </w:r>
      <w:r w:rsidRPr="00240545">
        <w:rPr>
          <w:rFonts w:ascii="Tahoma" w:hAnsi="Tahoma" w:cs="Tahoma"/>
        </w:rPr>
        <w:t xml:space="preserve">] </w:t>
      </w:r>
      <w:r w:rsidRPr="00240545">
        <w:rPr>
          <w:rFonts w:ascii="Tahoma" w:hAnsi="Tahoma" w:cs="Tahoma"/>
          <w:b/>
          <w:bCs/>
          <w:u w:val="single"/>
        </w:rPr>
        <w:t>Technical Evaluation</w:t>
      </w:r>
      <w:r w:rsidRPr="00240545">
        <w:rPr>
          <w:rFonts w:ascii="Tahoma" w:hAnsi="Tahoma" w:cs="Tahoma"/>
        </w:rPr>
        <w:t xml:space="preserve"> will be ranked higher. </w:t>
      </w:r>
      <w:r w:rsidR="006E7766" w:rsidRPr="00240545">
        <w:rPr>
          <w:rFonts w:ascii="Tahoma" w:hAnsi="Tahoma" w:cs="Tahoma"/>
          <w:b/>
          <w:bCs/>
          <w:u w:val="single"/>
        </w:rPr>
        <w:t xml:space="preserve">If still tied, the application with a </w:t>
      </w:r>
      <w:r w:rsidR="006E7766" w:rsidRPr="00240545">
        <w:rPr>
          <w:rFonts w:ascii="Tahoma" w:hAnsi="Tahoma" w:cs="Tahoma"/>
          <w:b/>
          <w:bCs/>
          <w:u w:val="single"/>
        </w:rPr>
        <w:lastRenderedPageBreak/>
        <w:t>higher score in the Project Readiness criterion will be ranked higher.</w:t>
      </w:r>
      <w:r w:rsidR="006E7766" w:rsidRPr="00240545">
        <w:rPr>
          <w:rFonts w:ascii="Tahoma" w:hAnsi="Tahoma" w:cs="Tahoma"/>
        </w:rPr>
        <w:t xml:space="preserve"> </w:t>
      </w:r>
      <w:r w:rsidRPr="00240545">
        <w:rPr>
          <w:rFonts w:ascii="Tahoma" w:hAnsi="Tahoma" w:cs="Tahoma"/>
        </w:rPr>
        <w:t>If still tied, an objective tiebreaker (such as a random drawing) will be utilized.</w:t>
      </w:r>
    </w:p>
    <w:p w14:paraId="39A62869" w14:textId="77777777" w:rsidR="00F25122" w:rsidRPr="00240545" w:rsidRDefault="00F25122" w:rsidP="00F25122">
      <w:pPr>
        <w:rPr>
          <w:rFonts w:ascii="Tahoma" w:hAnsi="Tahoma" w:cs="Tahoma"/>
          <w:b/>
          <w:bCs/>
        </w:rPr>
      </w:pPr>
    </w:p>
    <w:p w14:paraId="3003E4C2" w14:textId="76A077B2" w:rsidR="0059504B" w:rsidRPr="00240545" w:rsidRDefault="0059504B" w:rsidP="0059504B">
      <w:pPr>
        <w:pStyle w:val="ListParagraph"/>
        <w:numPr>
          <w:ilvl w:val="0"/>
          <w:numId w:val="1"/>
        </w:numPr>
        <w:rPr>
          <w:rFonts w:ascii="Tahoma" w:hAnsi="Tahoma" w:cs="Tahoma"/>
          <w:b/>
          <w:bCs/>
        </w:rPr>
      </w:pPr>
      <w:r w:rsidRPr="00240545">
        <w:rPr>
          <w:rFonts w:ascii="Tahoma" w:hAnsi="Tahoma" w:cs="Tahoma"/>
          <w:b/>
          <w:bCs/>
        </w:rPr>
        <w:t>Section V.K. Agreement Requirements</w:t>
      </w:r>
    </w:p>
    <w:p w14:paraId="45850748" w14:textId="77777777" w:rsidR="00F14AA9" w:rsidRPr="00240545" w:rsidRDefault="00F14AA9" w:rsidP="006E329B">
      <w:pPr>
        <w:pStyle w:val="ListParagraph"/>
        <w:ind w:left="360"/>
        <w:rPr>
          <w:rFonts w:ascii="Tahoma" w:hAnsi="Tahoma" w:cs="Tahoma"/>
          <w:b/>
          <w:bCs/>
        </w:rPr>
      </w:pPr>
    </w:p>
    <w:p w14:paraId="02996020" w14:textId="77777777" w:rsidR="00F14AA9" w:rsidRPr="00240545" w:rsidRDefault="00F14AA9" w:rsidP="006E329B">
      <w:pPr>
        <w:pStyle w:val="ListParagraph"/>
        <w:suppressAutoHyphens/>
        <w:rPr>
          <w:rFonts w:ascii="Tahoma" w:hAnsi="Tahoma" w:cs="Tahoma"/>
        </w:rPr>
      </w:pPr>
      <w:r w:rsidRPr="00240545">
        <w:rPr>
          <w:rFonts w:ascii="Tahoma" w:hAnsi="Tahoma" w:cs="Tahoma"/>
        </w:rPr>
        <w:t xml:space="preserve">The content of this solicitation shall be incorporated by reference into the final agreement. See the standard terms and conditions on the </w:t>
      </w:r>
      <w:hyperlink r:id="rId27" w:history="1">
        <w:r w:rsidRPr="00240545">
          <w:rPr>
            <w:rStyle w:val="Hyperlink"/>
            <w:rFonts w:ascii="Tahoma" w:hAnsi="Tahoma" w:cs="Tahoma"/>
            <w:color w:val="0000CC"/>
          </w:rPr>
          <w:t>CEC Funding Resources</w:t>
        </w:r>
      </w:hyperlink>
      <w:r w:rsidRPr="00240545">
        <w:rPr>
          <w:rFonts w:ascii="Tahoma" w:hAnsi="Tahoma" w:cs="Tahoma"/>
        </w:rPr>
        <w:t xml:space="preserve"> page at: https://www.energy.ca.gov/funding-opportunities/funding-resources. This information is also in Section II.A.2.</w:t>
      </w:r>
    </w:p>
    <w:p w14:paraId="51096937" w14:textId="77777777" w:rsidR="00F14AA9" w:rsidRPr="00240545" w:rsidRDefault="00F14AA9" w:rsidP="006E329B">
      <w:pPr>
        <w:pStyle w:val="ListParagraph"/>
        <w:ind w:left="360"/>
        <w:rPr>
          <w:rFonts w:ascii="Tahoma" w:hAnsi="Tahoma" w:cs="Tahoma"/>
        </w:rPr>
      </w:pPr>
    </w:p>
    <w:p w14:paraId="711648A8" w14:textId="1825614D" w:rsidR="00F14AA9" w:rsidRPr="00240545" w:rsidRDefault="00F14AA9" w:rsidP="006E329B">
      <w:pPr>
        <w:pStyle w:val="ListParagraph"/>
        <w:suppressAutoHyphens/>
        <w:rPr>
          <w:rFonts w:ascii="Tahoma" w:hAnsi="Tahoma" w:cs="Tahoma"/>
        </w:rPr>
      </w:pPr>
      <w:r w:rsidRPr="00240545">
        <w:rPr>
          <w:rFonts w:ascii="Tahoma" w:hAnsi="Tahoma" w:cs="Tahoma"/>
        </w:rPr>
        <w:t>CEC reserves the right to negotiate with Applicants to modify the project scope, the level of funding, or both. If CEC is unable to successfully negotiate and execute a funding agreement with an Applicant, CEC, at its sole discretion, reserves the right to cancel the pending award and fund the next highest ranked eligible project</w:t>
      </w:r>
      <w:r w:rsidR="00057790" w:rsidRPr="00240545">
        <w:rPr>
          <w:rFonts w:ascii="Tahoma" w:hAnsi="Tahoma" w:cs="Tahoma"/>
        </w:rPr>
        <w:t xml:space="preserve"> </w:t>
      </w:r>
      <w:r w:rsidR="00057790" w:rsidRPr="00240545">
        <w:rPr>
          <w:rFonts w:ascii="Tahoma" w:hAnsi="Tahoma" w:cs="Tahoma"/>
          <w:b/>
          <w:bCs/>
          <w:u w:val="single"/>
        </w:rPr>
        <w:t>based on the evaluation process discussed in Section I.E. How A</w:t>
      </w:r>
      <w:r w:rsidR="001F6E29" w:rsidRPr="00240545">
        <w:rPr>
          <w:rFonts w:ascii="Tahoma" w:hAnsi="Tahoma" w:cs="Tahoma"/>
          <w:b/>
          <w:bCs/>
          <w:u w:val="single"/>
        </w:rPr>
        <w:t>ward is Determined.</w:t>
      </w:r>
      <w:r w:rsidRPr="00240545">
        <w:rPr>
          <w:rFonts w:ascii="Tahoma" w:hAnsi="Tahoma" w:cs="Tahoma"/>
        </w:rPr>
        <w:t xml:space="preserve"> </w:t>
      </w:r>
      <w:r w:rsidR="001F6E29" w:rsidRPr="00240545">
        <w:rPr>
          <w:rFonts w:ascii="Tahoma" w:hAnsi="Tahoma" w:cs="Tahoma"/>
        </w:rPr>
        <w:t>[</w:t>
      </w:r>
      <w:r w:rsidRPr="00240545">
        <w:rPr>
          <w:rFonts w:ascii="Tahoma" w:hAnsi="Tahoma" w:cs="Tahoma"/>
          <w:strike/>
        </w:rPr>
        <w:t>in the same Applicant Group. The CEC may shift remaining funds to the other Applicant Group if funding remains available.</w:t>
      </w:r>
      <w:r w:rsidR="001F6E29" w:rsidRPr="00240545">
        <w:rPr>
          <w:rFonts w:ascii="Tahoma" w:hAnsi="Tahoma" w:cs="Tahoma"/>
        </w:rPr>
        <w:t>]</w:t>
      </w:r>
      <w:r w:rsidRPr="00240545">
        <w:rPr>
          <w:rFonts w:ascii="Tahoma" w:hAnsi="Tahoma" w:cs="Tahoma"/>
        </w:rPr>
        <w:t xml:space="preserve"> </w:t>
      </w:r>
    </w:p>
    <w:p w14:paraId="471CB5AE" w14:textId="77777777" w:rsidR="00AE0E4F" w:rsidRPr="00240545" w:rsidRDefault="00AE0E4F" w:rsidP="00F06D62">
      <w:pPr>
        <w:pStyle w:val="ListParagraph"/>
        <w:ind w:left="360"/>
        <w:rPr>
          <w:rFonts w:ascii="Tahoma" w:hAnsi="Tahoma" w:cs="Tahoma"/>
          <w:b/>
          <w:bCs/>
        </w:rPr>
      </w:pPr>
    </w:p>
    <w:p w14:paraId="7868641C" w14:textId="77777777" w:rsidR="0059504B" w:rsidRPr="00240545" w:rsidRDefault="0059504B" w:rsidP="009867F7">
      <w:pPr>
        <w:rPr>
          <w:rFonts w:ascii="Tahoma" w:hAnsi="Tahoma" w:cs="Tahoma"/>
          <w:b/>
          <w:bCs/>
        </w:rPr>
      </w:pPr>
    </w:p>
    <w:p w14:paraId="1005DFF5" w14:textId="77777777" w:rsidR="001B73B9" w:rsidRPr="00240545" w:rsidRDefault="001B73B9">
      <w:pPr>
        <w:rPr>
          <w:rFonts w:ascii="Tahoma" w:hAnsi="Tahoma" w:cs="Tahoma"/>
          <w:b/>
          <w:bCs/>
        </w:rPr>
      </w:pPr>
      <w:r w:rsidRPr="00240545">
        <w:rPr>
          <w:rFonts w:ascii="Tahoma" w:hAnsi="Tahoma" w:cs="Tahoma"/>
          <w:b/>
          <w:bCs/>
        </w:rPr>
        <w:br w:type="page"/>
      </w:r>
    </w:p>
    <w:p w14:paraId="7E432AE7" w14:textId="43E7005E" w:rsidR="009B2698" w:rsidRPr="00240545" w:rsidRDefault="009B2698" w:rsidP="009867F7">
      <w:pPr>
        <w:rPr>
          <w:rFonts w:ascii="Tahoma" w:hAnsi="Tahoma" w:cs="Tahoma"/>
          <w:b/>
          <w:bCs/>
        </w:rPr>
      </w:pPr>
      <w:r w:rsidRPr="00240545">
        <w:rPr>
          <w:rFonts w:ascii="Tahoma" w:hAnsi="Tahoma" w:cs="Tahoma"/>
          <w:b/>
          <w:bCs/>
        </w:rPr>
        <w:lastRenderedPageBreak/>
        <w:t>Station Checklist (Attachment 20)</w:t>
      </w:r>
    </w:p>
    <w:p w14:paraId="5F89BF33" w14:textId="77777777" w:rsidR="009867F7" w:rsidRPr="00240545" w:rsidRDefault="009867F7" w:rsidP="759C6F97">
      <w:pPr>
        <w:pStyle w:val="Heading2"/>
        <w:keepNext w:val="0"/>
        <w:spacing w:before="0" w:after="0"/>
        <w:ind w:left="360"/>
        <w:rPr>
          <w:rFonts w:ascii="Tahoma" w:hAnsi="Tahoma" w:cs="Tahoma"/>
          <w:b w:val="0"/>
        </w:rPr>
      </w:pPr>
    </w:p>
    <w:p w14:paraId="32D50009" w14:textId="2E84DC55" w:rsidR="009867F7" w:rsidRPr="00240545" w:rsidRDefault="00E67CB4" w:rsidP="009867F7">
      <w:pPr>
        <w:rPr>
          <w:rFonts w:ascii="Tahoma" w:hAnsi="Tahoma" w:cs="Tahoma"/>
          <w:b/>
          <w:bCs/>
        </w:rPr>
      </w:pPr>
      <w:r w:rsidRPr="00240545">
        <w:rPr>
          <w:rFonts w:ascii="Tahoma" w:hAnsi="Tahoma" w:cs="Tahoma"/>
          <w:b/>
          <w:bCs/>
          <w:noProof/>
        </w:rPr>
        <w:drawing>
          <wp:inline distT="0" distB="0" distL="0" distR="0" wp14:anchorId="16BB81D2" wp14:editId="1613C846">
            <wp:extent cx="6130456" cy="2549063"/>
            <wp:effectExtent l="0" t="0" r="3175" b="0"/>
            <wp:docPr id="464954065" name="Picture 1" descr="Graphic showing the change of text in the Station Checklist (Attachment 20). &#10;&#10;The new language in the checklist reads as follows: &#10;Each charging station port must be capable of providing:&#10;First bullet point: At least Level 2 charging if the EV charging station is Private or Shared Access and not 100% Public Access&#10;Second bullet point: At least 200 kW if the EV charging station will be 100% Public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54065" name="Picture 1" descr="Graphic showing the change of text in the Station Checklist (Attachment 20). &#10;&#10;The new language in the checklist reads as follows: &#10;Each charging station port must be capable of providing:&#10;First bullet point: At least Level 2 charging if the EV charging station is Private or Shared Access and not 100% Public Access&#10;Second bullet point: At least 200 kW if the EV charging station will be 100% Public Access."/>
                    <pic:cNvPicPr/>
                  </pic:nvPicPr>
                  <pic:blipFill>
                    <a:blip r:embed="rId28"/>
                    <a:stretch>
                      <a:fillRect/>
                    </a:stretch>
                  </pic:blipFill>
                  <pic:spPr>
                    <a:xfrm>
                      <a:off x="0" y="0"/>
                      <a:ext cx="6130456" cy="2549063"/>
                    </a:xfrm>
                    <a:prstGeom prst="rect">
                      <a:avLst/>
                    </a:prstGeom>
                  </pic:spPr>
                </pic:pic>
              </a:graphicData>
            </a:graphic>
          </wp:inline>
        </w:drawing>
      </w:r>
    </w:p>
    <w:p w14:paraId="650305E7" w14:textId="77777777" w:rsidR="00BB1390" w:rsidRPr="00240545" w:rsidRDefault="00BB1390" w:rsidP="00BB1390">
      <w:pPr>
        <w:rPr>
          <w:rFonts w:ascii="Tahoma" w:hAnsi="Tahoma" w:cs="Tahoma"/>
          <w:b/>
          <w:bCs/>
        </w:rPr>
      </w:pPr>
    </w:p>
    <w:p w14:paraId="79DB4D8F" w14:textId="4BE54605" w:rsidR="00AD0BD5" w:rsidRPr="00240545" w:rsidRDefault="00315239" w:rsidP="00AD0BD5">
      <w:pPr>
        <w:rPr>
          <w:rFonts w:ascii="Tahoma" w:hAnsi="Tahoma" w:cs="Tahoma"/>
          <w:b/>
          <w:bCs/>
        </w:rPr>
      </w:pPr>
      <w:r w:rsidRPr="00240545">
        <w:rPr>
          <w:rFonts w:ascii="Tahoma" w:hAnsi="Tahoma" w:cs="Tahoma"/>
          <w:b/>
          <w:bCs/>
        </w:rPr>
        <w:t>Natalie Johnson</w:t>
      </w:r>
    </w:p>
    <w:p w14:paraId="7BE46C3E" w14:textId="1B2B8157" w:rsidR="00CA59EA" w:rsidRPr="00F06CED" w:rsidRDefault="00AD0BD5" w:rsidP="00AD0BD5">
      <w:pPr>
        <w:rPr>
          <w:rFonts w:ascii="Tahoma" w:hAnsi="Tahoma" w:cs="Tahoma"/>
          <w:b/>
          <w:bCs/>
        </w:rPr>
      </w:pPr>
      <w:r w:rsidRPr="00240545">
        <w:rPr>
          <w:rFonts w:ascii="Tahoma" w:hAnsi="Tahoma" w:cs="Tahoma"/>
          <w:b/>
          <w:bCs/>
        </w:rPr>
        <w:t>Commission Agreement Officer</w:t>
      </w:r>
    </w:p>
    <w:sectPr w:rsidR="00CA59EA" w:rsidRPr="00F06CED" w:rsidSect="00610D86">
      <w:headerReference w:type="default" r:id="rId29"/>
      <w:footerReference w:type="default" r:id="rId30"/>
      <w:headerReference w:type="first" r:id="rId31"/>
      <w:footerReference w:type="first" r:id="rId32"/>
      <w:pgSz w:w="12240" w:h="15840"/>
      <w:pgMar w:top="1440" w:right="1080" w:bottom="1260" w:left="1080" w:header="36" w:footer="2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ong, Chester@Energy" w:date="2025-11-20T10:06:00Z" w:initials="CH">
    <w:p w14:paraId="7237A8D6" w14:textId="77777777" w:rsidR="0006607F" w:rsidRDefault="0006607F" w:rsidP="0006607F">
      <w:pPr>
        <w:pStyle w:val="CommentText"/>
      </w:pPr>
      <w:r>
        <w:rPr>
          <w:rStyle w:val="CommentReference"/>
        </w:rPr>
        <w:annotationRef/>
      </w:r>
      <w:r>
        <w:fldChar w:fldCharType="begin"/>
      </w:r>
      <w:r>
        <w:instrText>HYPERLINK "mailto:Kathryn.Reid@energy.ca.gov"</w:instrText>
      </w:r>
      <w:bookmarkStart w:id="8" w:name="_@_1FDEE1E3B68344F1A725C36107ED2DF0Z"/>
      <w:r>
        <w:fldChar w:fldCharType="separate"/>
      </w:r>
      <w:bookmarkEnd w:id="8"/>
      <w:r w:rsidRPr="0006607F">
        <w:rPr>
          <w:rStyle w:val="Mention"/>
          <w:noProof/>
        </w:rPr>
        <w:t>@Reid, Kathryn@Energy</w:t>
      </w:r>
      <w:r>
        <w:fldChar w:fldCharType="end"/>
      </w:r>
      <w:r>
        <w:t xml:space="preserve"> Kathryn, Please address the accessibility issues in this cover.  Please do another check to see and address the issues.  Thank you, Chester</w:t>
      </w:r>
    </w:p>
  </w:comment>
  <w:comment w:id="5" w:author="Reid, Kathryn@Energy" w:date="2025-11-20T10:55:00Z" w:initials="KR">
    <w:p w14:paraId="5773D288" w14:textId="0819D129" w:rsidR="007F255F" w:rsidRDefault="007F255F" w:rsidP="007F255F">
      <w:pPr>
        <w:pStyle w:val="CommentText"/>
      </w:pPr>
      <w:r>
        <w:rPr>
          <w:rStyle w:val="CommentReference"/>
        </w:rPr>
        <w:annotationRef/>
      </w:r>
      <w:r>
        <w:fldChar w:fldCharType="begin"/>
      </w:r>
      <w:r>
        <w:instrText>HYPERLINK "mailto:Chester.Hong@energy.ca.gov"</w:instrText>
      </w:r>
      <w:bookmarkStart w:id="9" w:name="_@_6968DFB932B64EB8A409DB76827F9EC9Z"/>
      <w:r>
        <w:fldChar w:fldCharType="separate"/>
      </w:r>
      <w:bookmarkEnd w:id="9"/>
      <w:r w:rsidRPr="007F255F">
        <w:rPr>
          <w:rStyle w:val="Mention"/>
          <w:noProof/>
        </w:rPr>
        <w:t>@Hong, Chester@Energy</w:t>
      </w:r>
      <w:r>
        <w:fldChar w:fldCharType="end"/>
      </w:r>
      <w:r>
        <w:t xml:space="preserve"> </w:t>
      </w:r>
      <w:r>
        <w:fldChar w:fldCharType="begin"/>
      </w:r>
      <w:r>
        <w:instrText>HYPERLINK "mailto:Phil.Dyer@energy.ca.gov"</w:instrText>
      </w:r>
      <w:bookmarkStart w:id="10" w:name="_@_B5BB3C6FFC5147169E8B8705B97BC523Z"/>
      <w:r>
        <w:fldChar w:fldCharType="separate"/>
      </w:r>
      <w:bookmarkEnd w:id="10"/>
      <w:r w:rsidRPr="007F255F">
        <w:rPr>
          <w:rStyle w:val="Mention"/>
          <w:noProof/>
        </w:rPr>
        <w:t>@Dyer, Phil@Energy</w:t>
      </w:r>
      <w:r>
        <w:fldChar w:fldCharType="end"/>
      </w:r>
      <w:r>
        <w:t xml:space="preserve"> Removed the big, all inclusive graphic and inserted 2 new ones corresponding to the way they are shown in the Addendum 6 (updated) manual on pages 33 and 34.</w:t>
      </w:r>
    </w:p>
  </w:comment>
  <w:comment w:id="6" w:author="Dyer, Phil@Energy" w:date="2025-11-20T09:41:00Z" w:initials="PD">
    <w:p w14:paraId="5C55155F" w14:textId="77777777" w:rsidR="00280DD4" w:rsidRDefault="00280DD4" w:rsidP="00280DD4">
      <w:pPr>
        <w:pStyle w:val="CommentText"/>
      </w:pPr>
      <w:r>
        <w:rPr>
          <w:rStyle w:val="CommentReference"/>
        </w:rPr>
        <w:annotationRef/>
      </w:r>
      <w:r>
        <w:fldChar w:fldCharType="begin"/>
      </w:r>
      <w:r>
        <w:instrText>HYPERLINK "mailto:Chester.Hong@energy.ca.gov"</w:instrText>
      </w:r>
      <w:bookmarkStart w:id="11" w:name="_@_4F0D482246CA449F943B392F7793433BZ"/>
      <w:r>
        <w:fldChar w:fldCharType="separate"/>
      </w:r>
      <w:bookmarkEnd w:id="11"/>
      <w:r w:rsidRPr="00280DD4">
        <w:rPr>
          <w:rStyle w:val="Mention"/>
          <w:noProof/>
        </w:rPr>
        <w:t>@Hong, Chester@Energy</w:t>
      </w:r>
      <w:r>
        <w:fldChar w:fldCharType="end"/>
      </w:r>
      <w:r>
        <w:t xml:space="preserve"> - This set of footers is duplicative. Please ask the CAM to fix.</w:t>
      </w:r>
    </w:p>
  </w:comment>
  <w:comment w:id="7" w:author="Hong, Chester@Energy" w:date="2025-11-20T09:51:00Z" w:initials="CH">
    <w:p w14:paraId="4721D2A0" w14:textId="77777777" w:rsidR="00904BDF" w:rsidRDefault="00904BDF" w:rsidP="00904BDF">
      <w:pPr>
        <w:pStyle w:val="CommentText"/>
      </w:pPr>
      <w:r>
        <w:rPr>
          <w:rStyle w:val="CommentReference"/>
        </w:rPr>
        <w:annotationRef/>
      </w:r>
      <w:r>
        <w:fldChar w:fldCharType="begin"/>
      </w:r>
      <w:r>
        <w:instrText>HYPERLINK "mailto:Kathryn.Reid@energy.ca.gov"</w:instrText>
      </w:r>
      <w:bookmarkStart w:id="12" w:name="_@_981EBA9680A24E468E096C88118417E0Z"/>
      <w:r>
        <w:fldChar w:fldCharType="separate"/>
      </w:r>
      <w:bookmarkEnd w:id="12"/>
      <w:r w:rsidRPr="00904BDF">
        <w:rPr>
          <w:rStyle w:val="Mention"/>
          <w:noProof/>
        </w:rPr>
        <w:t>@Reid, Kathryn@Energy</w:t>
      </w:r>
      <w:r>
        <w:fldChar w:fldCharType="end"/>
      </w:r>
      <w:r>
        <w:t xml:space="preserve"> Hi katherine!  Please address the duplicative footer.  Thank you, Chester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37A8D6" w15:done="0"/>
  <w15:commentEx w15:paraId="5773D288" w15:paraIdParent="7237A8D6" w15:done="0"/>
  <w15:commentEx w15:paraId="5C55155F" w15:done="0"/>
  <w15:commentEx w15:paraId="4721D2A0" w15:paraIdParent="5C5515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6945F4" w16cex:dateUtc="2025-11-20T18:55:00Z"/>
  <w16cex:commentExtensible w16cex:durableId="2CC97503" w16cex:dateUtc="2025-11-20T17:41:00Z"/>
  <w16cex:commentExtensible w16cex:durableId="2CC97502" w16cex:dateUtc="2025-11-20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37A8D6" w16cid:durableId="7237A8D6"/>
  <w16cid:commentId w16cid:paraId="5773D288" w16cid:durableId="796945F4"/>
  <w16cid:commentId w16cid:paraId="5C55155F" w16cid:durableId="2CC97503"/>
  <w16cid:commentId w16cid:paraId="4721D2A0" w16cid:durableId="2CC975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1A7D" w14:textId="77777777" w:rsidR="00D36449" w:rsidRDefault="00D36449" w:rsidP="00F86D2B">
      <w:r>
        <w:separator/>
      </w:r>
    </w:p>
  </w:endnote>
  <w:endnote w:type="continuationSeparator" w:id="0">
    <w:p w14:paraId="14D263B8" w14:textId="77777777" w:rsidR="00D36449" w:rsidRDefault="00D36449" w:rsidP="00F86D2B">
      <w:r>
        <w:continuationSeparator/>
      </w:r>
    </w:p>
  </w:endnote>
  <w:endnote w:type="continuationNotice" w:id="1">
    <w:p w14:paraId="7DEF12BD" w14:textId="77777777" w:rsidR="00D36449" w:rsidRDefault="00D36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F736" w14:textId="77777777" w:rsidR="00912F9B" w:rsidRPr="00912F9B" w:rsidRDefault="00912F9B">
    <w:pPr>
      <w:pStyle w:val="Footer"/>
      <w:jc w:val="center"/>
      <w:rPr>
        <w:rFonts w:ascii="Arial" w:hAnsi="Arial" w:cs="Arial"/>
        <w:sz w:val="22"/>
        <w:szCs w:val="22"/>
      </w:rPr>
    </w:pPr>
    <w:r w:rsidRPr="00912F9B">
      <w:rPr>
        <w:rFonts w:ascii="Arial" w:hAnsi="Arial" w:cs="Arial"/>
        <w:sz w:val="22"/>
        <w:szCs w:val="22"/>
      </w:rPr>
      <w:t xml:space="preserve">Page </w:t>
    </w:r>
    <w:r w:rsidRPr="00912F9B">
      <w:rPr>
        <w:rFonts w:ascii="Arial" w:hAnsi="Arial" w:cs="Arial"/>
        <w:sz w:val="22"/>
        <w:szCs w:val="22"/>
      </w:rPr>
      <w:fldChar w:fldCharType="begin"/>
    </w:r>
    <w:r w:rsidRPr="00912F9B">
      <w:rPr>
        <w:rFonts w:ascii="Arial" w:hAnsi="Arial" w:cs="Arial"/>
        <w:sz w:val="22"/>
        <w:szCs w:val="22"/>
      </w:rPr>
      <w:instrText xml:space="preserve"> PAGE  \* Arabic  \* MERGEFORMAT </w:instrText>
    </w:r>
    <w:r w:rsidRPr="00912F9B">
      <w:rPr>
        <w:rFonts w:ascii="Arial" w:hAnsi="Arial" w:cs="Arial"/>
        <w:sz w:val="22"/>
        <w:szCs w:val="22"/>
      </w:rPr>
      <w:fldChar w:fldCharType="separate"/>
    </w:r>
    <w:r w:rsidRPr="00912F9B">
      <w:rPr>
        <w:rFonts w:ascii="Arial" w:hAnsi="Arial" w:cs="Arial"/>
        <w:noProof/>
        <w:sz w:val="22"/>
        <w:szCs w:val="22"/>
      </w:rPr>
      <w:t>2</w:t>
    </w:r>
    <w:r w:rsidRPr="00912F9B">
      <w:rPr>
        <w:rFonts w:ascii="Arial" w:hAnsi="Arial" w:cs="Arial"/>
        <w:sz w:val="22"/>
        <w:szCs w:val="22"/>
      </w:rPr>
      <w:fldChar w:fldCharType="end"/>
    </w:r>
    <w:r w:rsidRPr="00912F9B">
      <w:rPr>
        <w:rFonts w:ascii="Arial" w:hAnsi="Arial" w:cs="Arial"/>
        <w:sz w:val="22"/>
        <w:szCs w:val="22"/>
      </w:rPr>
      <w:t xml:space="preserve"> of </w:t>
    </w:r>
    <w:r w:rsidRPr="00912F9B">
      <w:rPr>
        <w:rFonts w:ascii="Arial" w:hAnsi="Arial" w:cs="Arial"/>
        <w:sz w:val="22"/>
        <w:szCs w:val="22"/>
      </w:rPr>
      <w:fldChar w:fldCharType="begin"/>
    </w:r>
    <w:r w:rsidRPr="00912F9B">
      <w:rPr>
        <w:rFonts w:ascii="Arial" w:hAnsi="Arial" w:cs="Arial"/>
        <w:sz w:val="22"/>
        <w:szCs w:val="22"/>
      </w:rPr>
      <w:instrText xml:space="preserve"> NUMPAGES  \* Arabic  \* MERGEFORMAT </w:instrText>
    </w:r>
    <w:r w:rsidRPr="00912F9B">
      <w:rPr>
        <w:rFonts w:ascii="Arial" w:hAnsi="Arial" w:cs="Arial"/>
        <w:sz w:val="22"/>
        <w:szCs w:val="22"/>
      </w:rPr>
      <w:fldChar w:fldCharType="separate"/>
    </w:r>
    <w:r w:rsidRPr="00912F9B">
      <w:rPr>
        <w:rFonts w:ascii="Arial" w:hAnsi="Arial" w:cs="Arial"/>
        <w:noProof/>
        <w:sz w:val="22"/>
        <w:szCs w:val="22"/>
      </w:rPr>
      <w:t>2</w:t>
    </w:r>
    <w:r w:rsidRPr="00912F9B">
      <w:rPr>
        <w:rFonts w:ascii="Arial" w:hAnsi="Arial" w:cs="Arial"/>
        <w:sz w:val="22"/>
        <w:szCs w:val="22"/>
      </w:rPr>
      <w:fldChar w:fldCharType="end"/>
    </w:r>
  </w:p>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438982263" name="Picture 1438982263"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9A77" w14:textId="77777777" w:rsidR="00D36449" w:rsidRDefault="00D36449" w:rsidP="00F86D2B">
      <w:r>
        <w:separator/>
      </w:r>
    </w:p>
  </w:footnote>
  <w:footnote w:type="continuationSeparator" w:id="0">
    <w:p w14:paraId="4C8C1F28" w14:textId="77777777" w:rsidR="00D36449" w:rsidRDefault="00D36449" w:rsidP="00F86D2B">
      <w:r>
        <w:continuationSeparator/>
      </w:r>
    </w:p>
  </w:footnote>
  <w:footnote w:type="continuationNotice" w:id="1">
    <w:p w14:paraId="6D775FD3" w14:textId="77777777" w:rsidR="00D36449" w:rsidRDefault="00D36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861F45">
    <w:pPr>
      <w:pStyle w:val="Header"/>
      <w:ind w:hanging="1080"/>
      <w:jc w:val="center"/>
    </w:pPr>
    <w:r>
      <w:rPr>
        <w:noProof/>
      </w:rPr>
      <w:drawing>
        <wp:inline distT="0" distB="0" distL="0" distR="0" wp14:anchorId="59ACF5EB" wp14:editId="18EE85DE">
          <wp:extent cx="7858125" cy="977900"/>
          <wp:effectExtent l="0" t="0" r="9525" b="0"/>
          <wp:docPr id="334649924" name="Picture 334649924"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858125" cy="9779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544"/>
    <w:multiLevelType w:val="multilevel"/>
    <w:tmpl w:val="85B04D06"/>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55" w:hanging="375"/>
      </w:pPr>
      <w:rPr>
        <w:rFonts w:hint="default"/>
        <w:b w:val="0"/>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906F9"/>
    <w:multiLevelType w:val="hybridMultilevel"/>
    <w:tmpl w:val="D04A58A2"/>
    <w:lvl w:ilvl="0" w:tplc="D930BB82">
      <w:start w:val="1"/>
      <w:numFmt w:val="bullet"/>
      <w:lvlText w:val="o"/>
      <w:lvlJc w:val="left"/>
      <w:pPr>
        <w:ind w:left="1440" w:hanging="360"/>
      </w:pPr>
      <w:rPr>
        <w:rFonts w:ascii="Courier New" w:hAnsi="Courier New" w:cs="Courier New" w:hint="default"/>
        <w:strike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B81DFD"/>
    <w:multiLevelType w:val="hybridMultilevel"/>
    <w:tmpl w:val="3A10F418"/>
    <w:lvl w:ilvl="0" w:tplc="811A501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35661"/>
    <w:multiLevelType w:val="hybridMultilevel"/>
    <w:tmpl w:val="1A1AB260"/>
    <w:lvl w:ilvl="0" w:tplc="0409001B">
      <w:start w:val="1"/>
      <w:numFmt w:val="lowerRoman"/>
      <w:lvlText w:val="%1."/>
      <w:lvlJc w:val="righ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4" w15:restartNumberingAfterBreak="0">
    <w:nsid w:val="0DC15383"/>
    <w:multiLevelType w:val="multilevel"/>
    <w:tmpl w:val="C784C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6B1C"/>
    <w:multiLevelType w:val="hybridMultilevel"/>
    <w:tmpl w:val="DC902E60"/>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E5285"/>
    <w:multiLevelType w:val="hybridMultilevel"/>
    <w:tmpl w:val="BB02BE7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E1588620">
      <w:start w:val="1"/>
      <w:numFmt w:val="bullet"/>
      <w:pStyle w:val="List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843236"/>
    <w:multiLevelType w:val="hybridMultilevel"/>
    <w:tmpl w:val="1A1AB260"/>
    <w:lvl w:ilvl="0" w:tplc="FFFFFFFF">
      <w:start w:val="1"/>
      <w:numFmt w:val="lowerRoman"/>
      <w:lvlText w:val="%1."/>
      <w:lvlJc w:val="righ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9"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 w15:restartNumberingAfterBreak="0">
    <w:nsid w:val="290C6A16"/>
    <w:multiLevelType w:val="hybridMultilevel"/>
    <w:tmpl w:val="5A084E46"/>
    <w:lvl w:ilvl="0" w:tplc="7E14508C">
      <w:start w:val="3"/>
      <w:numFmt w:val="decimal"/>
      <w:lvlText w:val="%1."/>
      <w:lvlJc w:val="left"/>
      <w:pPr>
        <w:ind w:left="360" w:hanging="360"/>
      </w:pPr>
      <w:rPr>
        <w:rFonts w:ascii="Tahoma" w:hAnsi="Tahoma" w:cs="Tahoma"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67882"/>
    <w:multiLevelType w:val="hybridMultilevel"/>
    <w:tmpl w:val="E74CD7D8"/>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732E70"/>
    <w:multiLevelType w:val="multilevel"/>
    <w:tmpl w:val="6FA0D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61C1D"/>
    <w:multiLevelType w:val="multilevel"/>
    <w:tmpl w:val="6BFE4BD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008CD"/>
    <w:multiLevelType w:val="hybridMultilevel"/>
    <w:tmpl w:val="C13A4854"/>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8"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19"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71703E"/>
    <w:multiLevelType w:val="hybridMultilevel"/>
    <w:tmpl w:val="035E99FA"/>
    <w:lvl w:ilvl="0" w:tplc="3DB0D1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190325"/>
    <w:multiLevelType w:val="hybridMultilevel"/>
    <w:tmpl w:val="954298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47C6933"/>
    <w:multiLevelType w:val="hybridMultilevel"/>
    <w:tmpl w:val="E74CD7D8"/>
    <w:lvl w:ilvl="0" w:tplc="FFFFFFFF">
      <w:start w:val="1"/>
      <w:numFmt w:val="decimal"/>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7482DDE"/>
    <w:multiLevelType w:val="multilevel"/>
    <w:tmpl w:val="A6FA51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20212E"/>
    <w:multiLevelType w:val="multilevel"/>
    <w:tmpl w:val="089801C8"/>
    <w:lvl w:ilvl="0">
      <w:start w:val="4"/>
      <w:numFmt w:val="decimal"/>
      <w:lvlText w:val="%1."/>
      <w:lvlJc w:val="left"/>
      <w:pPr>
        <w:ind w:left="1080" w:hanging="360"/>
      </w:pPr>
      <w:rPr>
        <w:rFonts w:hint="default"/>
        <w:b w:val="0"/>
        <w:bCs w:val="0"/>
        <w:strike w:val="0"/>
        <w:u w:val="none"/>
      </w:rPr>
    </w:lvl>
    <w:lvl w:ilvl="1">
      <w:start w:val="1"/>
      <w:numFmt w:val="decimal"/>
      <w:lvlText w:val="%2."/>
      <w:lvlJc w:val="left"/>
      <w:pPr>
        <w:ind w:left="1440" w:hanging="360"/>
      </w:pPr>
      <w:rPr>
        <w:rFonts w:hint="default"/>
        <w:b w:val="0"/>
      </w:rPr>
    </w:lvl>
    <w:lvl w:ilvl="2">
      <w:start w:val="1"/>
      <w:numFmt w:val="lowerLetter"/>
      <w:lvlText w:val="%3."/>
      <w:lvlJc w:val="righ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64B7011B"/>
    <w:multiLevelType w:val="hybridMultilevel"/>
    <w:tmpl w:val="93E65368"/>
    <w:lvl w:ilvl="0" w:tplc="E098B442">
      <w:start w:val="1"/>
      <w:numFmt w:val="lowerRoman"/>
      <w:lvlText w:val="%1."/>
      <w:lvlJc w:val="righ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29" w15:restartNumberingAfterBreak="0">
    <w:nsid w:val="6575769C"/>
    <w:multiLevelType w:val="hybridMultilevel"/>
    <w:tmpl w:val="C058A2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0563CA"/>
    <w:multiLevelType w:val="multilevel"/>
    <w:tmpl w:val="93EAF090"/>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9496551"/>
    <w:multiLevelType w:val="hybridMultilevel"/>
    <w:tmpl w:val="51E8B6F2"/>
    <w:lvl w:ilvl="0" w:tplc="3B544F6C">
      <w:start w:val="3"/>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F317C7"/>
    <w:multiLevelType w:val="hybridMultilevel"/>
    <w:tmpl w:val="1A1AB260"/>
    <w:lvl w:ilvl="0" w:tplc="FFFFFFFF">
      <w:start w:val="1"/>
      <w:numFmt w:val="lowerRoman"/>
      <w:lvlText w:val="%1."/>
      <w:lvlJc w:val="righ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33" w15:restartNumberingAfterBreak="0">
    <w:nsid w:val="6D9A03D4"/>
    <w:multiLevelType w:val="multilevel"/>
    <w:tmpl w:val="18584B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67104"/>
    <w:multiLevelType w:val="hybridMultilevel"/>
    <w:tmpl w:val="9E747404"/>
    <w:lvl w:ilvl="0" w:tplc="5DBC8A7E">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1E1DF3"/>
    <w:multiLevelType w:val="multilevel"/>
    <w:tmpl w:val="422C200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642884978">
    <w:abstractNumId w:val="20"/>
  </w:num>
  <w:num w:numId="2" w16cid:durableId="621424096">
    <w:abstractNumId w:val="6"/>
  </w:num>
  <w:num w:numId="3" w16cid:durableId="149292626">
    <w:abstractNumId w:val="7"/>
  </w:num>
  <w:num w:numId="4" w16cid:durableId="850022999">
    <w:abstractNumId w:val="16"/>
  </w:num>
  <w:num w:numId="5" w16cid:durableId="185604631">
    <w:abstractNumId w:val="1"/>
  </w:num>
  <w:num w:numId="6" w16cid:durableId="618217416">
    <w:abstractNumId w:val="5"/>
  </w:num>
  <w:num w:numId="7" w16cid:durableId="1108768526">
    <w:abstractNumId w:val="11"/>
  </w:num>
  <w:num w:numId="8" w16cid:durableId="1715545950">
    <w:abstractNumId w:val="22"/>
  </w:num>
  <w:num w:numId="9" w16cid:durableId="444816536">
    <w:abstractNumId w:val="33"/>
  </w:num>
  <w:num w:numId="10" w16cid:durableId="236937149">
    <w:abstractNumId w:val="34"/>
  </w:num>
  <w:num w:numId="11" w16cid:durableId="1036080101">
    <w:abstractNumId w:val="14"/>
  </w:num>
  <w:num w:numId="12" w16cid:durableId="1148785204">
    <w:abstractNumId w:val="13"/>
  </w:num>
  <w:num w:numId="13" w16cid:durableId="88086484">
    <w:abstractNumId w:val="3"/>
  </w:num>
  <w:num w:numId="14" w16cid:durableId="491338374">
    <w:abstractNumId w:val="31"/>
  </w:num>
  <w:num w:numId="15" w16cid:durableId="692607915">
    <w:abstractNumId w:val="28"/>
  </w:num>
  <w:num w:numId="16" w16cid:durableId="2133086525">
    <w:abstractNumId w:val="29"/>
  </w:num>
  <w:num w:numId="17" w16cid:durableId="133103624">
    <w:abstractNumId w:val="27"/>
  </w:num>
  <w:num w:numId="18" w16cid:durableId="1518347694">
    <w:abstractNumId w:val="35"/>
  </w:num>
  <w:num w:numId="19" w16cid:durableId="785272863">
    <w:abstractNumId w:val="15"/>
  </w:num>
  <w:num w:numId="20" w16cid:durableId="2781295">
    <w:abstractNumId w:val="30"/>
  </w:num>
  <w:num w:numId="21" w16cid:durableId="834995770">
    <w:abstractNumId w:val="10"/>
  </w:num>
  <w:num w:numId="22" w16cid:durableId="1672103642">
    <w:abstractNumId w:val="0"/>
  </w:num>
  <w:num w:numId="23" w16cid:durableId="1432624357">
    <w:abstractNumId w:val="4"/>
  </w:num>
  <w:num w:numId="24" w16cid:durableId="1875381983">
    <w:abstractNumId w:val="19"/>
  </w:num>
  <w:num w:numId="25" w16cid:durableId="1015618106">
    <w:abstractNumId w:val="25"/>
  </w:num>
  <w:num w:numId="26" w16cid:durableId="294137752">
    <w:abstractNumId w:val="24"/>
  </w:num>
  <w:num w:numId="27" w16cid:durableId="1545292044">
    <w:abstractNumId w:val="12"/>
  </w:num>
  <w:num w:numId="28" w16cid:durableId="1643149288">
    <w:abstractNumId w:val="21"/>
  </w:num>
  <w:num w:numId="29" w16cid:durableId="2096319266">
    <w:abstractNumId w:val="8"/>
  </w:num>
  <w:num w:numId="30" w16cid:durableId="1703936145">
    <w:abstractNumId w:val="32"/>
  </w:num>
  <w:num w:numId="31" w16cid:durableId="51539063">
    <w:abstractNumId w:val="23"/>
  </w:num>
  <w:num w:numId="32" w16cid:durableId="940066995">
    <w:abstractNumId w:val="9"/>
  </w:num>
  <w:num w:numId="33" w16cid:durableId="1738287604">
    <w:abstractNumId w:val="18"/>
  </w:num>
  <w:num w:numId="34" w16cid:durableId="948971198">
    <w:abstractNumId w:val="2"/>
  </w:num>
  <w:num w:numId="35" w16cid:durableId="1550536176">
    <w:abstractNumId w:val="17"/>
  </w:num>
  <w:num w:numId="36" w16cid:durableId="338965589">
    <w:abstractNumId w:val="26"/>
  </w:num>
  <w:num w:numId="37" w16cid:durableId="1760102914">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 Chester@Energy">
    <w15:presenceInfo w15:providerId="AD" w15:userId="S::Chester.Hong@energy.ca.gov::a1c33bab-f97f-40ab-9049-24551552f9da"/>
  </w15:person>
  <w15:person w15:author="Reid, Kathryn@Energy">
    <w15:presenceInfo w15:providerId="AD" w15:userId="S::Kathryn.Reid@energy.ca.gov::4f37dc49-0d40-4de1-a53d-81e1dd7275fb"/>
  </w15:person>
  <w15:person w15:author="Dyer, Phil@Energy">
    <w15:presenceInfo w15:providerId="AD" w15:userId="S::Phil.Dyer@energy.ca.gov::c3140ef9-26fe-488b-b82d-f8dfab8b56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87C"/>
    <w:rsid w:val="00003CFA"/>
    <w:rsid w:val="00005B3F"/>
    <w:rsid w:val="00005C19"/>
    <w:rsid w:val="00005D84"/>
    <w:rsid w:val="00005DA1"/>
    <w:rsid w:val="000063B5"/>
    <w:rsid w:val="00006CBE"/>
    <w:rsid w:val="000073B8"/>
    <w:rsid w:val="00007C86"/>
    <w:rsid w:val="00013BAA"/>
    <w:rsid w:val="00013BB8"/>
    <w:rsid w:val="0001408A"/>
    <w:rsid w:val="00015969"/>
    <w:rsid w:val="000172D2"/>
    <w:rsid w:val="000174DD"/>
    <w:rsid w:val="00017C73"/>
    <w:rsid w:val="00020457"/>
    <w:rsid w:val="0002369F"/>
    <w:rsid w:val="000236E7"/>
    <w:rsid w:val="00024043"/>
    <w:rsid w:val="00027125"/>
    <w:rsid w:val="000322F0"/>
    <w:rsid w:val="00033827"/>
    <w:rsid w:val="00035D03"/>
    <w:rsid w:val="00035DE2"/>
    <w:rsid w:val="00037A4B"/>
    <w:rsid w:val="00037F66"/>
    <w:rsid w:val="00043161"/>
    <w:rsid w:val="00043A8C"/>
    <w:rsid w:val="000442AD"/>
    <w:rsid w:val="00046233"/>
    <w:rsid w:val="0004705B"/>
    <w:rsid w:val="0004705D"/>
    <w:rsid w:val="000510AC"/>
    <w:rsid w:val="00053E9D"/>
    <w:rsid w:val="000557AC"/>
    <w:rsid w:val="00057790"/>
    <w:rsid w:val="00057AB2"/>
    <w:rsid w:val="00060591"/>
    <w:rsid w:val="00060A6F"/>
    <w:rsid w:val="000611BE"/>
    <w:rsid w:val="0006304D"/>
    <w:rsid w:val="0006377F"/>
    <w:rsid w:val="00063941"/>
    <w:rsid w:val="00063B9D"/>
    <w:rsid w:val="000653A6"/>
    <w:rsid w:val="0006607F"/>
    <w:rsid w:val="00066161"/>
    <w:rsid w:val="00067503"/>
    <w:rsid w:val="000677AE"/>
    <w:rsid w:val="0007042E"/>
    <w:rsid w:val="000705C3"/>
    <w:rsid w:val="00071316"/>
    <w:rsid w:val="00071594"/>
    <w:rsid w:val="000728DA"/>
    <w:rsid w:val="00074E58"/>
    <w:rsid w:val="0007511E"/>
    <w:rsid w:val="00076083"/>
    <w:rsid w:val="00080F09"/>
    <w:rsid w:val="00081766"/>
    <w:rsid w:val="00081864"/>
    <w:rsid w:val="00081D41"/>
    <w:rsid w:val="00082D36"/>
    <w:rsid w:val="00084005"/>
    <w:rsid w:val="0009064B"/>
    <w:rsid w:val="000909F6"/>
    <w:rsid w:val="00090FB3"/>
    <w:rsid w:val="00091227"/>
    <w:rsid w:val="000922CE"/>
    <w:rsid w:val="00092DF0"/>
    <w:rsid w:val="00093184"/>
    <w:rsid w:val="000963E8"/>
    <w:rsid w:val="0009684A"/>
    <w:rsid w:val="00096A8B"/>
    <w:rsid w:val="0009741A"/>
    <w:rsid w:val="00097BFF"/>
    <w:rsid w:val="000A0842"/>
    <w:rsid w:val="000A0FA4"/>
    <w:rsid w:val="000A133D"/>
    <w:rsid w:val="000A2B9D"/>
    <w:rsid w:val="000A560E"/>
    <w:rsid w:val="000A6CE7"/>
    <w:rsid w:val="000B06C0"/>
    <w:rsid w:val="000B2DF5"/>
    <w:rsid w:val="000B39C3"/>
    <w:rsid w:val="000B3A58"/>
    <w:rsid w:val="000B6ADA"/>
    <w:rsid w:val="000B71AD"/>
    <w:rsid w:val="000C16AE"/>
    <w:rsid w:val="000C2B73"/>
    <w:rsid w:val="000C62BD"/>
    <w:rsid w:val="000C69AF"/>
    <w:rsid w:val="000D29EF"/>
    <w:rsid w:val="000D3ED0"/>
    <w:rsid w:val="000D4A7B"/>
    <w:rsid w:val="000D53E1"/>
    <w:rsid w:val="000D5907"/>
    <w:rsid w:val="000D6791"/>
    <w:rsid w:val="000D79C3"/>
    <w:rsid w:val="000E01FA"/>
    <w:rsid w:val="000E0A56"/>
    <w:rsid w:val="000E31D6"/>
    <w:rsid w:val="000E3877"/>
    <w:rsid w:val="000E433B"/>
    <w:rsid w:val="000E6CD9"/>
    <w:rsid w:val="000E774F"/>
    <w:rsid w:val="000F05A3"/>
    <w:rsid w:val="000F0D5B"/>
    <w:rsid w:val="000F1C71"/>
    <w:rsid w:val="000F2987"/>
    <w:rsid w:val="000F3E5F"/>
    <w:rsid w:val="000F43E8"/>
    <w:rsid w:val="000F57C6"/>
    <w:rsid w:val="000F5BE1"/>
    <w:rsid w:val="000F7242"/>
    <w:rsid w:val="00103791"/>
    <w:rsid w:val="00103C24"/>
    <w:rsid w:val="00104045"/>
    <w:rsid w:val="00106742"/>
    <w:rsid w:val="00106C10"/>
    <w:rsid w:val="0010789E"/>
    <w:rsid w:val="00113B54"/>
    <w:rsid w:val="001151E5"/>
    <w:rsid w:val="00115719"/>
    <w:rsid w:val="00117CB8"/>
    <w:rsid w:val="00121689"/>
    <w:rsid w:val="00122045"/>
    <w:rsid w:val="00123E80"/>
    <w:rsid w:val="0012428F"/>
    <w:rsid w:val="00124FD9"/>
    <w:rsid w:val="0012509D"/>
    <w:rsid w:val="00126094"/>
    <w:rsid w:val="0012609B"/>
    <w:rsid w:val="001261BE"/>
    <w:rsid w:val="00127154"/>
    <w:rsid w:val="0013208E"/>
    <w:rsid w:val="001335F8"/>
    <w:rsid w:val="0013506C"/>
    <w:rsid w:val="00135B57"/>
    <w:rsid w:val="00140123"/>
    <w:rsid w:val="0014043C"/>
    <w:rsid w:val="00142AD3"/>
    <w:rsid w:val="001448B6"/>
    <w:rsid w:val="001449AA"/>
    <w:rsid w:val="001457B1"/>
    <w:rsid w:val="00146C62"/>
    <w:rsid w:val="0014731B"/>
    <w:rsid w:val="001477A0"/>
    <w:rsid w:val="00150A06"/>
    <w:rsid w:val="00152610"/>
    <w:rsid w:val="00153538"/>
    <w:rsid w:val="0015411D"/>
    <w:rsid w:val="00154534"/>
    <w:rsid w:val="001564A1"/>
    <w:rsid w:val="00157F88"/>
    <w:rsid w:val="00160236"/>
    <w:rsid w:val="0016033C"/>
    <w:rsid w:val="00160C0C"/>
    <w:rsid w:val="001625B4"/>
    <w:rsid w:val="00162611"/>
    <w:rsid w:val="00163485"/>
    <w:rsid w:val="00163D87"/>
    <w:rsid w:val="00164745"/>
    <w:rsid w:val="001665C7"/>
    <w:rsid w:val="00166C1D"/>
    <w:rsid w:val="00167654"/>
    <w:rsid w:val="001700F5"/>
    <w:rsid w:val="001716C3"/>
    <w:rsid w:val="00172D22"/>
    <w:rsid w:val="00174A2D"/>
    <w:rsid w:val="00174E34"/>
    <w:rsid w:val="001760FE"/>
    <w:rsid w:val="00176A45"/>
    <w:rsid w:val="00183BEA"/>
    <w:rsid w:val="00185E8D"/>
    <w:rsid w:val="00187140"/>
    <w:rsid w:val="001872DC"/>
    <w:rsid w:val="00187DED"/>
    <w:rsid w:val="00187E1A"/>
    <w:rsid w:val="00190B05"/>
    <w:rsid w:val="00192A55"/>
    <w:rsid w:val="00193972"/>
    <w:rsid w:val="0019407E"/>
    <w:rsid w:val="001947A6"/>
    <w:rsid w:val="001957D0"/>
    <w:rsid w:val="00196F52"/>
    <w:rsid w:val="00197C74"/>
    <w:rsid w:val="001A2082"/>
    <w:rsid w:val="001A5040"/>
    <w:rsid w:val="001A54AE"/>
    <w:rsid w:val="001A5B69"/>
    <w:rsid w:val="001A7FEC"/>
    <w:rsid w:val="001B0F25"/>
    <w:rsid w:val="001B1AB3"/>
    <w:rsid w:val="001B2889"/>
    <w:rsid w:val="001B2C37"/>
    <w:rsid w:val="001B2D6F"/>
    <w:rsid w:val="001B68A8"/>
    <w:rsid w:val="001B73B9"/>
    <w:rsid w:val="001C2D6E"/>
    <w:rsid w:val="001C3201"/>
    <w:rsid w:val="001C3CDA"/>
    <w:rsid w:val="001C4256"/>
    <w:rsid w:val="001C4AE1"/>
    <w:rsid w:val="001C5631"/>
    <w:rsid w:val="001C605E"/>
    <w:rsid w:val="001C6A3B"/>
    <w:rsid w:val="001D1B05"/>
    <w:rsid w:val="001D1BAA"/>
    <w:rsid w:val="001D48CF"/>
    <w:rsid w:val="001D6C4D"/>
    <w:rsid w:val="001D6CF5"/>
    <w:rsid w:val="001E1FBB"/>
    <w:rsid w:val="001E4F81"/>
    <w:rsid w:val="001E6010"/>
    <w:rsid w:val="001E73D1"/>
    <w:rsid w:val="001F0E43"/>
    <w:rsid w:val="001F110E"/>
    <w:rsid w:val="001F1FC1"/>
    <w:rsid w:val="001F2329"/>
    <w:rsid w:val="001F2C82"/>
    <w:rsid w:val="001F2E2E"/>
    <w:rsid w:val="001F3152"/>
    <w:rsid w:val="001F478B"/>
    <w:rsid w:val="001F5214"/>
    <w:rsid w:val="001F538E"/>
    <w:rsid w:val="001F62F3"/>
    <w:rsid w:val="001F6300"/>
    <w:rsid w:val="001F6E29"/>
    <w:rsid w:val="001F7316"/>
    <w:rsid w:val="002003EA"/>
    <w:rsid w:val="00203587"/>
    <w:rsid w:val="00204718"/>
    <w:rsid w:val="00204A1F"/>
    <w:rsid w:val="00205292"/>
    <w:rsid w:val="0020542A"/>
    <w:rsid w:val="00205D2C"/>
    <w:rsid w:val="00205D3F"/>
    <w:rsid w:val="0020648F"/>
    <w:rsid w:val="00206D7E"/>
    <w:rsid w:val="002072A3"/>
    <w:rsid w:val="00210F3E"/>
    <w:rsid w:val="002121E7"/>
    <w:rsid w:val="00212EB4"/>
    <w:rsid w:val="002137AE"/>
    <w:rsid w:val="002168C6"/>
    <w:rsid w:val="00216A85"/>
    <w:rsid w:val="00221879"/>
    <w:rsid w:val="00221C82"/>
    <w:rsid w:val="002222FB"/>
    <w:rsid w:val="00227C4F"/>
    <w:rsid w:val="00230F3F"/>
    <w:rsid w:val="00235167"/>
    <w:rsid w:val="00240545"/>
    <w:rsid w:val="00242B10"/>
    <w:rsid w:val="00242C93"/>
    <w:rsid w:val="00242D2C"/>
    <w:rsid w:val="002512E1"/>
    <w:rsid w:val="00252EA8"/>
    <w:rsid w:val="00255BCA"/>
    <w:rsid w:val="00256C04"/>
    <w:rsid w:val="002572D4"/>
    <w:rsid w:val="002577F3"/>
    <w:rsid w:val="00261A28"/>
    <w:rsid w:val="00262018"/>
    <w:rsid w:val="00262D0D"/>
    <w:rsid w:val="002636E7"/>
    <w:rsid w:val="0026385E"/>
    <w:rsid w:val="00264AA6"/>
    <w:rsid w:val="00264EA1"/>
    <w:rsid w:val="002652F2"/>
    <w:rsid w:val="00266739"/>
    <w:rsid w:val="002670B3"/>
    <w:rsid w:val="0026739C"/>
    <w:rsid w:val="002747CF"/>
    <w:rsid w:val="00274C4C"/>
    <w:rsid w:val="0027534D"/>
    <w:rsid w:val="002779E7"/>
    <w:rsid w:val="00280DD4"/>
    <w:rsid w:val="00281BB0"/>
    <w:rsid w:val="002829DB"/>
    <w:rsid w:val="002879B4"/>
    <w:rsid w:val="00292E6D"/>
    <w:rsid w:val="00292F10"/>
    <w:rsid w:val="00293842"/>
    <w:rsid w:val="00294C1C"/>
    <w:rsid w:val="002977F8"/>
    <w:rsid w:val="002A2C80"/>
    <w:rsid w:val="002A2D2F"/>
    <w:rsid w:val="002A312D"/>
    <w:rsid w:val="002A5E85"/>
    <w:rsid w:val="002A5F7A"/>
    <w:rsid w:val="002A6474"/>
    <w:rsid w:val="002B34B4"/>
    <w:rsid w:val="002B3C69"/>
    <w:rsid w:val="002B3D9A"/>
    <w:rsid w:val="002B4FE5"/>
    <w:rsid w:val="002B6615"/>
    <w:rsid w:val="002C3A9E"/>
    <w:rsid w:val="002C6259"/>
    <w:rsid w:val="002D0ACB"/>
    <w:rsid w:val="002D11A5"/>
    <w:rsid w:val="002D321B"/>
    <w:rsid w:val="002D3F4D"/>
    <w:rsid w:val="002D506D"/>
    <w:rsid w:val="002D5865"/>
    <w:rsid w:val="002D74C3"/>
    <w:rsid w:val="002E0B33"/>
    <w:rsid w:val="002E1315"/>
    <w:rsid w:val="002E34FB"/>
    <w:rsid w:val="002E6E83"/>
    <w:rsid w:val="002E73E6"/>
    <w:rsid w:val="002E7618"/>
    <w:rsid w:val="002F199E"/>
    <w:rsid w:val="002F2B94"/>
    <w:rsid w:val="002F3357"/>
    <w:rsid w:val="002F418C"/>
    <w:rsid w:val="002F5FD8"/>
    <w:rsid w:val="002F762B"/>
    <w:rsid w:val="00300FB1"/>
    <w:rsid w:val="00303130"/>
    <w:rsid w:val="0030369D"/>
    <w:rsid w:val="00303E07"/>
    <w:rsid w:val="0030410C"/>
    <w:rsid w:val="00304FAE"/>
    <w:rsid w:val="00305227"/>
    <w:rsid w:val="0030692B"/>
    <w:rsid w:val="00306AA9"/>
    <w:rsid w:val="00306C82"/>
    <w:rsid w:val="003077B7"/>
    <w:rsid w:val="00310A92"/>
    <w:rsid w:val="00311031"/>
    <w:rsid w:val="00311FCA"/>
    <w:rsid w:val="0031263D"/>
    <w:rsid w:val="00312DF8"/>
    <w:rsid w:val="00313A53"/>
    <w:rsid w:val="00313B02"/>
    <w:rsid w:val="003142CC"/>
    <w:rsid w:val="00315239"/>
    <w:rsid w:val="0031556C"/>
    <w:rsid w:val="00315EC9"/>
    <w:rsid w:val="003172B7"/>
    <w:rsid w:val="00320AD2"/>
    <w:rsid w:val="00321832"/>
    <w:rsid w:val="003273DD"/>
    <w:rsid w:val="00331BA0"/>
    <w:rsid w:val="00332A3E"/>
    <w:rsid w:val="00332E6B"/>
    <w:rsid w:val="00333768"/>
    <w:rsid w:val="00335863"/>
    <w:rsid w:val="00337025"/>
    <w:rsid w:val="003371D0"/>
    <w:rsid w:val="00340ABF"/>
    <w:rsid w:val="00344417"/>
    <w:rsid w:val="003468DD"/>
    <w:rsid w:val="00346B06"/>
    <w:rsid w:val="00350E38"/>
    <w:rsid w:val="003526C5"/>
    <w:rsid w:val="00352EF2"/>
    <w:rsid w:val="003535B9"/>
    <w:rsid w:val="00353981"/>
    <w:rsid w:val="00354008"/>
    <w:rsid w:val="003545F2"/>
    <w:rsid w:val="00355865"/>
    <w:rsid w:val="00355CE1"/>
    <w:rsid w:val="003562B0"/>
    <w:rsid w:val="00356F9C"/>
    <w:rsid w:val="00360BE0"/>
    <w:rsid w:val="00360D89"/>
    <w:rsid w:val="00360ED1"/>
    <w:rsid w:val="00361C33"/>
    <w:rsid w:val="00366760"/>
    <w:rsid w:val="0037114C"/>
    <w:rsid w:val="003714BA"/>
    <w:rsid w:val="003729D0"/>
    <w:rsid w:val="00373169"/>
    <w:rsid w:val="00374193"/>
    <w:rsid w:val="00375727"/>
    <w:rsid w:val="00375A65"/>
    <w:rsid w:val="00375F4A"/>
    <w:rsid w:val="0037614B"/>
    <w:rsid w:val="00376F8E"/>
    <w:rsid w:val="00377E7A"/>
    <w:rsid w:val="0038025A"/>
    <w:rsid w:val="00380C4A"/>
    <w:rsid w:val="0038240B"/>
    <w:rsid w:val="00382D10"/>
    <w:rsid w:val="003846F5"/>
    <w:rsid w:val="00387642"/>
    <w:rsid w:val="00391FC2"/>
    <w:rsid w:val="00392F2E"/>
    <w:rsid w:val="003938F1"/>
    <w:rsid w:val="00396780"/>
    <w:rsid w:val="00397367"/>
    <w:rsid w:val="003A14C0"/>
    <w:rsid w:val="003A1602"/>
    <w:rsid w:val="003A2935"/>
    <w:rsid w:val="003A3A36"/>
    <w:rsid w:val="003A4749"/>
    <w:rsid w:val="003A605D"/>
    <w:rsid w:val="003A685E"/>
    <w:rsid w:val="003B0CF8"/>
    <w:rsid w:val="003B149F"/>
    <w:rsid w:val="003B1946"/>
    <w:rsid w:val="003B2535"/>
    <w:rsid w:val="003B2D4A"/>
    <w:rsid w:val="003B39C4"/>
    <w:rsid w:val="003B4C06"/>
    <w:rsid w:val="003B787B"/>
    <w:rsid w:val="003C0B8E"/>
    <w:rsid w:val="003C19A2"/>
    <w:rsid w:val="003C36DE"/>
    <w:rsid w:val="003C47B8"/>
    <w:rsid w:val="003C487D"/>
    <w:rsid w:val="003C55A4"/>
    <w:rsid w:val="003C746B"/>
    <w:rsid w:val="003C7B84"/>
    <w:rsid w:val="003D0C68"/>
    <w:rsid w:val="003D1623"/>
    <w:rsid w:val="003D21A6"/>
    <w:rsid w:val="003D575C"/>
    <w:rsid w:val="003D5F92"/>
    <w:rsid w:val="003D6B2D"/>
    <w:rsid w:val="003D738A"/>
    <w:rsid w:val="003E05A6"/>
    <w:rsid w:val="003E0914"/>
    <w:rsid w:val="003E0AD6"/>
    <w:rsid w:val="003E0D2D"/>
    <w:rsid w:val="003E2378"/>
    <w:rsid w:val="003E25E0"/>
    <w:rsid w:val="003E3CF9"/>
    <w:rsid w:val="003E404D"/>
    <w:rsid w:val="003E404F"/>
    <w:rsid w:val="003E7824"/>
    <w:rsid w:val="003F0F25"/>
    <w:rsid w:val="003F1FDC"/>
    <w:rsid w:val="003F3137"/>
    <w:rsid w:val="003F3ABD"/>
    <w:rsid w:val="003F3B07"/>
    <w:rsid w:val="003F3D3C"/>
    <w:rsid w:val="003F62A8"/>
    <w:rsid w:val="003F6DB4"/>
    <w:rsid w:val="003F6FD8"/>
    <w:rsid w:val="003F7815"/>
    <w:rsid w:val="00400838"/>
    <w:rsid w:val="00403DAB"/>
    <w:rsid w:val="00405296"/>
    <w:rsid w:val="00406238"/>
    <w:rsid w:val="004076CF"/>
    <w:rsid w:val="004104AF"/>
    <w:rsid w:val="00410AC7"/>
    <w:rsid w:val="004140C9"/>
    <w:rsid w:val="004143B6"/>
    <w:rsid w:val="00415DE9"/>
    <w:rsid w:val="00416069"/>
    <w:rsid w:val="00416213"/>
    <w:rsid w:val="00416ABE"/>
    <w:rsid w:val="0041712F"/>
    <w:rsid w:val="004276CE"/>
    <w:rsid w:val="00427DF2"/>
    <w:rsid w:val="00430859"/>
    <w:rsid w:val="004318AF"/>
    <w:rsid w:val="00432FB1"/>
    <w:rsid w:val="00433228"/>
    <w:rsid w:val="00434A01"/>
    <w:rsid w:val="00435278"/>
    <w:rsid w:val="00436340"/>
    <w:rsid w:val="004379A5"/>
    <w:rsid w:val="00437D5F"/>
    <w:rsid w:val="0044143A"/>
    <w:rsid w:val="00445151"/>
    <w:rsid w:val="00445F8E"/>
    <w:rsid w:val="004504D5"/>
    <w:rsid w:val="00451977"/>
    <w:rsid w:val="0045422C"/>
    <w:rsid w:val="00455271"/>
    <w:rsid w:val="00455907"/>
    <w:rsid w:val="00455EAE"/>
    <w:rsid w:val="00456FB3"/>
    <w:rsid w:val="0045786A"/>
    <w:rsid w:val="0046003A"/>
    <w:rsid w:val="00463011"/>
    <w:rsid w:val="00463B37"/>
    <w:rsid w:val="004640A8"/>
    <w:rsid w:val="004701D0"/>
    <w:rsid w:val="00470EF0"/>
    <w:rsid w:val="00471175"/>
    <w:rsid w:val="00471C5A"/>
    <w:rsid w:val="004725AD"/>
    <w:rsid w:val="00472C70"/>
    <w:rsid w:val="00474F40"/>
    <w:rsid w:val="00475B35"/>
    <w:rsid w:val="004772EB"/>
    <w:rsid w:val="0048166C"/>
    <w:rsid w:val="0048178F"/>
    <w:rsid w:val="00481B8A"/>
    <w:rsid w:val="00482201"/>
    <w:rsid w:val="00483F19"/>
    <w:rsid w:val="00483F3B"/>
    <w:rsid w:val="004848CD"/>
    <w:rsid w:val="00484E6A"/>
    <w:rsid w:val="0048657F"/>
    <w:rsid w:val="00491630"/>
    <w:rsid w:val="00493781"/>
    <w:rsid w:val="0049454E"/>
    <w:rsid w:val="00494E5F"/>
    <w:rsid w:val="00495D9E"/>
    <w:rsid w:val="00496116"/>
    <w:rsid w:val="004965B0"/>
    <w:rsid w:val="00496C9D"/>
    <w:rsid w:val="0049713B"/>
    <w:rsid w:val="004977A8"/>
    <w:rsid w:val="004A0E02"/>
    <w:rsid w:val="004A106F"/>
    <w:rsid w:val="004A12B6"/>
    <w:rsid w:val="004A1AAA"/>
    <w:rsid w:val="004A316B"/>
    <w:rsid w:val="004A3C3C"/>
    <w:rsid w:val="004A3FE3"/>
    <w:rsid w:val="004A45E3"/>
    <w:rsid w:val="004A46DF"/>
    <w:rsid w:val="004A4BE6"/>
    <w:rsid w:val="004A4C18"/>
    <w:rsid w:val="004A69AA"/>
    <w:rsid w:val="004B2309"/>
    <w:rsid w:val="004B2C25"/>
    <w:rsid w:val="004B3A63"/>
    <w:rsid w:val="004B5391"/>
    <w:rsid w:val="004B60BD"/>
    <w:rsid w:val="004B6FA0"/>
    <w:rsid w:val="004C27EC"/>
    <w:rsid w:val="004C2F0F"/>
    <w:rsid w:val="004C666C"/>
    <w:rsid w:val="004D0158"/>
    <w:rsid w:val="004D128F"/>
    <w:rsid w:val="004D5823"/>
    <w:rsid w:val="004D62C6"/>
    <w:rsid w:val="004D6455"/>
    <w:rsid w:val="004D78B8"/>
    <w:rsid w:val="004D7A62"/>
    <w:rsid w:val="004E0805"/>
    <w:rsid w:val="004E1EA3"/>
    <w:rsid w:val="004E45E3"/>
    <w:rsid w:val="004E64D2"/>
    <w:rsid w:val="004E72B5"/>
    <w:rsid w:val="004EEFCF"/>
    <w:rsid w:val="004F0C72"/>
    <w:rsid w:val="004F14FE"/>
    <w:rsid w:val="004F1541"/>
    <w:rsid w:val="004F2BCA"/>
    <w:rsid w:val="004F4701"/>
    <w:rsid w:val="004F477F"/>
    <w:rsid w:val="004F5603"/>
    <w:rsid w:val="004F76BA"/>
    <w:rsid w:val="00500234"/>
    <w:rsid w:val="0050279B"/>
    <w:rsid w:val="00503C6B"/>
    <w:rsid w:val="00505C2A"/>
    <w:rsid w:val="00505F62"/>
    <w:rsid w:val="0050729E"/>
    <w:rsid w:val="005079CE"/>
    <w:rsid w:val="005100D5"/>
    <w:rsid w:val="00510D01"/>
    <w:rsid w:val="00511D19"/>
    <w:rsid w:val="00511F4E"/>
    <w:rsid w:val="00512A41"/>
    <w:rsid w:val="00512EFD"/>
    <w:rsid w:val="00513978"/>
    <w:rsid w:val="00513B5B"/>
    <w:rsid w:val="00514143"/>
    <w:rsid w:val="00515618"/>
    <w:rsid w:val="00515927"/>
    <w:rsid w:val="00515A05"/>
    <w:rsid w:val="005201E6"/>
    <w:rsid w:val="00521E29"/>
    <w:rsid w:val="00524520"/>
    <w:rsid w:val="00524EA9"/>
    <w:rsid w:val="00525A48"/>
    <w:rsid w:val="00525E2C"/>
    <w:rsid w:val="00527817"/>
    <w:rsid w:val="005307F4"/>
    <w:rsid w:val="00530F97"/>
    <w:rsid w:val="00532B97"/>
    <w:rsid w:val="00534797"/>
    <w:rsid w:val="0053616E"/>
    <w:rsid w:val="00536616"/>
    <w:rsid w:val="0054094D"/>
    <w:rsid w:val="00541330"/>
    <w:rsid w:val="00541DB3"/>
    <w:rsid w:val="005427D3"/>
    <w:rsid w:val="00544461"/>
    <w:rsid w:val="00544845"/>
    <w:rsid w:val="005454B5"/>
    <w:rsid w:val="00545635"/>
    <w:rsid w:val="00546140"/>
    <w:rsid w:val="00546779"/>
    <w:rsid w:val="00546B40"/>
    <w:rsid w:val="00547FB1"/>
    <w:rsid w:val="005504D3"/>
    <w:rsid w:val="00551452"/>
    <w:rsid w:val="005525E9"/>
    <w:rsid w:val="00552BB9"/>
    <w:rsid w:val="00554816"/>
    <w:rsid w:val="00554BDB"/>
    <w:rsid w:val="00554C47"/>
    <w:rsid w:val="00555607"/>
    <w:rsid w:val="00555FC3"/>
    <w:rsid w:val="005561A1"/>
    <w:rsid w:val="005568CA"/>
    <w:rsid w:val="0055692E"/>
    <w:rsid w:val="005573C8"/>
    <w:rsid w:val="00557984"/>
    <w:rsid w:val="005608A7"/>
    <w:rsid w:val="00561990"/>
    <w:rsid w:val="005631B1"/>
    <w:rsid w:val="00566D9C"/>
    <w:rsid w:val="0057155B"/>
    <w:rsid w:val="00572577"/>
    <w:rsid w:val="00572614"/>
    <w:rsid w:val="00573655"/>
    <w:rsid w:val="005738B6"/>
    <w:rsid w:val="0057562D"/>
    <w:rsid w:val="005762CA"/>
    <w:rsid w:val="00577D95"/>
    <w:rsid w:val="00580EDD"/>
    <w:rsid w:val="0058138E"/>
    <w:rsid w:val="005826B3"/>
    <w:rsid w:val="0058395D"/>
    <w:rsid w:val="00584EF6"/>
    <w:rsid w:val="0058670A"/>
    <w:rsid w:val="005879A0"/>
    <w:rsid w:val="005902AE"/>
    <w:rsid w:val="0059080F"/>
    <w:rsid w:val="00593743"/>
    <w:rsid w:val="00593AAE"/>
    <w:rsid w:val="0059473D"/>
    <w:rsid w:val="0059504B"/>
    <w:rsid w:val="00595F97"/>
    <w:rsid w:val="0059609D"/>
    <w:rsid w:val="00597734"/>
    <w:rsid w:val="005A3623"/>
    <w:rsid w:val="005A4142"/>
    <w:rsid w:val="005A47F6"/>
    <w:rsid w:val="005A4B19"/>
    <w:rsid w:val="005A7B8E"/>
    <w:rsid w:val="005B451E"/>
    <w:rsid w:val="005B462F"/>
    <w:rsid w:val="005B527B"/>
    <w:rsid w:val="005B5E51"/>
    <w:rsid w:val="005B61B8"/>
    <w:rsid w:val="005B645F"/>
    <w:rsid w:val="005C1350"/>
    <w:rsid w:val="005C2A35"/>
    <w:rsid w:val="005C33FC"/>
    <w:rsid w:val="005C69C1"/>
    <w:rsid w:val="005C73E0"/>
    <w:rsid w:val="005D063D"/>
    <w:rsid w:val="005D10CD"/>
    <w:rsid w:val="005D1DB4"/>
    <w:rsid w:val="005D32E7"/>
    <w:rsid w:val="005D4EE4"/>
    <w:rsid w:val="005D57D4"/>
    <w:rsid w:val="005E1E2D"/>
    <w:rsid w:val="005E5713"/>
    <w:rsid w:val="005E5A04"/>
    <w:rsid w:val="005E62D0"/>
    <w:rsid w:val="005E6FA2"/>
    <w:rsid w:val="005F505C"/>
    <w:rsid w:val="005F79FD"/>
    <w:rsid w:val="00601F17"/>
    <w:rsid w:val="006024EA"/>
    <w:rsid w:val="006025AA"/>
    <w:rsid w:val="00603118"/>
    <w:rsid w:val="00603E43"/>
    <w:rsid w:val="006060D9"/>
    <w:rsid w:val="00606ED7"/>
    <w:rsid w:val="00610907"/>
    <w:rsid w:val="00610C9F"/>
    <w:rsid w:val="00610D86"/>
    <w:rsid w:val="00612AE0"/>
    <w:rsid w:val="00614E46"/>
    <w:rsid w:val="006157EC"/>
    <w:rsid w:val="00615E32"/>
    <w:rsid w:val="006172CE"/>
    <w:rsid w:val="006241B1"/>
    <w:rsid w:val="00624429"/>
    <w:rsid w:val="0062485E"/>
    <w:rsid w:val="00625B2A"/>
    <w:rsid w:val="0062615E"/>
    <w:rsid w:val="00627607"/>
    <w:rsid w:val="00630520"/>
    <w:rsid w:val="006330B9"/>
    <w:rsid w:val="00640BB6"/>
    <w:rsid w:val="0064142B"/>
    <w:rsid w:val="00642441"/>
    <w:rsid w:val="00642AB5"/>
    <w:rsid w:val="00643061"/>
    <w:rsid w:val="0064527B"/>
    <w:rsid w:val="00645838"/>
    <w:rsid w:val="0064637D"/>
    <w:rsid w:val="00646CD2"/>
    <w:rsid w:val="0064776D"/>
    <w:rsid w:val="00647981"/>
    <w:rsid w:val="0065002A"/>
    <w:rsid w:val="006507AC"/>
    <w:rsid w:val="006511D6"/>
    <w:rsid w:val="006525EE"/>
    <w:rsid w:val="0065465F"/>
    <w:rsid w:val="00654BE4"/>
    <w:rsid w:val="006575F3"/>
    <w:rsid w:val="00657D5A"/>
    <w:rsid w:val="00657F71"/>
    <w:rsid w:val="00661706"/>
    <w:rsid w:val="006621DF"/>
    <w:rsid w:val="00662548"/>
    <w:rsid w:val="00662A16"/>
    <w:rsid w:val="00662EA7"/>
    <w:rsid w:val="00663283"/>
    <w:rsid w:val="00663D1D"/>
    <w:rsid w:val="00665573"/>
    <w:rsid w:val="0067221B"/>
    <w:rsid w:val="00673BF4"/>
    <w:rsid w:val="00674D7D"/>
    <w:rsid w:val="006757C4"/>
    <w:rsid w:val="00676492"/>
    <w:rsid w:val="0067702F"/>
    <w:rsid w:val="00677E50"/>
    <w:rsid w:val="0068046C"/>
    <w:rsid w:val="006808E1"/>
    <w:rsid w:val="00680FC7"/>
    <w:rsid w:val="00681CAD"/>
    <w:rsid w:val="00685D44"/>
    <w:rsid w:val="00685F5C"/>
    <w:rsid w:val="00687606"/>
    <w:rsid w:val="00693454"/>
    <w:rsid w:val="0069385B"/>
    <w:rsid w:val="006939D5"/>
    <w:rsid w:val="00693DDE"/>
    <w:rsid w:val="0069477F"/>
    <w:rsid w:val="00695E96"/>
    <w:rsid w:val="006972F9"/>
    <w:rsid w:val="00697408"/>
    <w:rsid w:val="006A0281"/>
    <w:rsid w:val="006A44A6"/>
    <w:rsid w:val="006A57AF"/>
    <w:rsid w:val="006A5A55"/>
    <w:rsid w:val="006B074A"/>
    <w:rsid w:val="006B135B"/>
    <w:rsid w:val="006B13F0"/>
    <w:rsid w:val="006B5394"/>
    <w:rsid w:val="006B75FA"/>
    <w:rsid w:val="006C1977"/>
    <w:rsid w:val="006C22DE"/>
    <w:rsid w:val="006C3488"/>
    <w:rsid w:val="006C56EA"/>
    <w:rsid w:val="006C5CBA"/>
    <w:rsid w:val="006C60D5"/>
    <w:rsid w:val="006C7442"/>
    <w:rsid w:val="006D09D8"/>
    <w:rsid w:val="006D22AE"/>
    <w:rsid w:val="006D3827"/>
    <w:rsid w:val="006D4420"/>
    <w:rsid w:val="006D459B"/>
    <w:rsid w:val="006D498C"/>
    <w:rsid w:val="006D6734"/>
    <w:rsid w:val="006D6AD0"/>
    <w:rsid w:val="006D7942"/>
    <w:rsid w:val="006E146A"/>
    <w:rsid w:val="006E232C"/>
    <w:rsid w:val="006E329B"/>
    <w:rsid w:val="006E7766"/>
    <w:rsid w:val="006F0229"/>
    <w:rsid w:val="006F1578"/>
    <w:rsid w:val="006F1B0E"/>
    <w:rsid w:val="006F6339"/>
    <w:rsid w:val="006F7BBF"/>
    <w:rsid w:val="007032F3"/>
    <w:rsid w:val="0070394A"/>
    <w:rsid w:val="0070468C"/>
    <w:rsid w:val="007046B1"/>
    <w:rsid w:val="007063FC"/>
    <w:rsid w:val="00706914"/>
    <w:rsid w:val="007079B2"/>
    <w:rsid w:val="007134AE"/>
    <w:rsid w:val="00714EEB"/>
    <w:rsid w:val="00716C87"/>
    <w:rsid w:val="0072006A"/>
    <w:rsid w:val="007205AE"/>
    <w:rsid w:val="00720723"/>
    <w:rsid w:val="0072118B"/>
    <w:rsid w:val="007211FC"/>
    <w:rsid w:val="007233BC"/>
    <w:rsid w:val="00725AE9"/>
    <w:rsid w:val="0072734A"/>
    <w:rsid w:val="00731C4D"/>
    <w:rsid w:val="00732160"/>
    <w:rsid w:val="0073342D"/>
    <w:rsid w:val="00734537"/>
    <w:rsid w:val="00734C5A"/>
    <w:rsid w:val="007350B5"/>
    <w:rsid w:val="00736675"/>
    <w:rsid w:val="0073776C"/>
    <w:rsid w:val="0074366F"/>
    <w:rsid w:val="00743ADF"/>
    <w:rsid w:val="00744EE3"/>
    <w:rsid w:val="00745F00"/>
    <w:rsid w:val="00746790"/>
    <w:rsid w:val="0074779B"/>
    <w:rsid w:val="00747BAC"/>
    <w:rsid w:val="007504F1"/>
    <w:rsid w:val="00751C0F"/>
    <w:rsid w:val="00752501"/>
    <w:rsid w:val="00752F4B"/>
    <w:rsid w:val="00753035"/>
    <w:rsid w:val="00754468"/>
    <w:rsid w:val="007608E7"/>
    <w:rsid w:val="00761F8B"/>
    <w:rsid w:val="00762BBF"/>
    <w:rsid w:val="00763547"/>
    <w:rsid w:val="00763870"/>
    <w:rsid w:val="00764102"/>
    <w:rsid w:val="00764361"/>
    <w:rsid w:val="007668B6"/>
    <w:rsid w:val="007668C2"/>
    <w:rsid w:val="0077041B"/>
    <w:rsid w:val="00772408"/>
    <w:rsid w:val="0077265A"/>
    <w:rsid w:val="0077301E"/>
    <w:rsid w:val="0077421B"/>
    <w:rsid w:val="00774EA9"/>
    <w:rsid w:val="00777528"/>
    <w:rsid w:val="00777798"/>
    <w:rsid w:val="0078154A"/>
    <w:rsid w:val="00781E8B"/>
    <w:rsid w:val="00783717"/>
    <w:rsid w:val="00784246"/>
    <w:rsid w:val="0078704C"/>
    <w:rsid w:val="00787349"/>
    <w:rsid w:val="007900F2"/>
    <w:rsid w:val="0079120A"/>
    <w:rsid w:val="00791211"/>
    <w:rsid w:val="00791376"/>
    <w:rsid w:val="00793199"/>
    <w:rsid w:val="00794224"/>
    <w:rsid w:val="007966B2"/>
    <w:rsid w:val="00796B1D"/>
    <w:rsid w:val="007971BE"/>
    <w:rsid w:val="00797873"/>
    <w:rsid w:val="007A0CBF"/>
    <w:rsid w:val="007A5DD3"/>
    <w:rsid w:val="007A6D09"/>
    <w:rsid w:val="007A7AAB"/>
    <w:rsid w:val="007A7DF0"/>
    <w:rsid w:val="007B0A41"/>
    <w:rsid w:val="007B1AC2"/>
    <w:rsid w:val="007B235E"/>
    <w:rsid w:val="007B243B"/>
    <w:rsid w:val="007B314A"/>
    <w:rsid w:val="007B3CC9"/>
    <w:rsid w:val="007B3F87"/>
    <w:rsid w:val="007B5FA4"/>
    <w:rsid w:val="007C2815"/>
    <w:rsid w:val="007C2DD3"/>
    <w:rsid w:val="007C3C42"/>
    <w:rsid w:val="007C5817"/>
    <w:rsid w:val="007C5894"/>
    <w:rsid w:val="007C6C8A"/>
    <w:rsid w:val="007C795F"/>
    <w:rsid w:val="007D0021"/>
    <w:rsid w:val="007D05C8"/>
    <w:rsid w:val="007D0BD2"/>
    <w:rsid w:val="007D2ED3"/>
    <w:rsid w:val="007D3F58"/>
    <w:rsid w:val="007D545A"/>
    <w:rsid w:val="007D75E6"/>
    <w:rsid w:val="007D7DB4"/>
    <w:rsid w:val="007E1C46"/>
    <w:rsid w:val="007E4256"/>
    <w:rsid w:val="007E47D3"/>
    <w:rsid w:val="007E6439"/>
    <w:rsid w:val="007E6D4B"/>
    <w:rsid w:val="007E77CF"/>
    <w:rsid w:val="007E7A4E"/>
    <w:rsid w:val="007F0365"/>
    <w:rsid w:val="007F076C"/>
    <w:rsid w:val="007F255F"/>
    <w:rsid w:val="007F2BA5"/>
    <w:rsid w:val="007F36D3"/>
    <w:rsid w:val="007F5E9A"/>
    <w:rsid w:val="007F6063"/>
    <w:rsid w:val="007F73E5"/>
    <w:rsid w:val="007F7AA4"/>
    <w:rsid w:val="008008AA"/>
    <w:rsid w:val="00803029"/>
    <w:rsid w:val="00803E15"/>
    <w:rsid w:val="0080408D"/>
    <w:rsid w:val="0080478D"/>
    <w:rsid w:val="00804FCD"/>
    <w:rsid w:val="00805AD3"/>
    <w:rsid w:val="00805FE7"/>
    <w:rsid w:val="00806195"/>
    <w:rsid w:val="0080669E"/>
    <w:rsid w:val="0080736B"/>
    <w:rsid w:val="00807393"/>
    <w:rsid w:val="00807BAD"/>
    <w:rsid w:val="00812FE0"/>
    <w:rsid w:val="0081533B"/>
    <w:rsid w:val="0081551E"/>
    <w:rsid w:val="008200ED"/>
    <w:rsid w:val="008204DB"/>
    <w:rsid w:val="008213B2"/>
    <w:rsid w:val="008245BF"/>
    <w:rsid w:val="00824B6D"/>
    <w:rsid w:val="008253F2"/>
    <w:rsid w:val="00825D3E"/>
    <w:rsid w:val="008267FC"/>
    <w:rsid w:val="00826E92"/>
    <w:rsid w:val="00830D80"/>
    <w:rsid w:val="00831C8C"/>
    <w:rsid w:val="0083275C"/>
    <w:rsid w:val="00833081"/>
    <w:rsid w:val="00833949"/>
    <w:rsid w:val="00833DDE"/>
    <w:rsid w:val="00833F61"/>
    <w:rsid w:val="0083472B"/>
    <w:rsid w:val="00835AFC"/>
    <w:rsid w:val="008378D0"/>
    <w:rsid w:val="00840C0C"/>
    <w:rsid w:val="00841D92"/>
    <w:rsid w:val="00842176"/>
    <w:rsid w:val="00845D34"/>
    <w:rsid w:val="00846985"/>
    <w:rsid w:val="008472B2"/>
    <w:rsid w:val="00847582"/>
    <w:rsid w:val="00850701"/>
    <w:rsid w:val="00851970"/>
    <w:rsid w:val="0085236A"/>
    <w:rsid w:val="008604AC"/>
    <w:rsid w:val="00860A6B"/>
    <w:rsid w:val="00861F45"/>
    <w:rsid w:val="00862EE1"/>
    <w:rsid w:val="00862EEC"/>
    <w:rsid w:val="00864FF0"/>
    <w:rsid w:val="008714CF"/>
    <w:rsid w:val="00872F35"/>
    <w:rsid w:val="00873303"/>
    <w:rsid w:val="00873B6E"/>
    <w:rsid w:val="00874988"/>
    <w:rsid w:val="00876362"/>
    <w:rsid w:val="0087650F"/>
    <w:rsid w:val="00876853"/>
    <w:rsid w:val="00876B2B"/>
    <w:rsid w:val="0087776A"/>
    <w:rsid w:val="008803FC"/>
    <w:rsid w:val="00880C0B"/>
    <w:rsid w:val="00881565"/>
    <w:rsid w:val="008824B3"/>
    <w:rsid w:val="008834C7"/>
    <w:rsid w:val="00884D77"/>
    <w:rsid w:val="00885647"/>
    <w:rsid w:val="00886249"/>
    <w:rsid w:val="00887F04"/>
    <w:rsid w:val="00890B17"/>
    <w:rsid w:val="00891290"/>
    <w:rsid w:val="00891410"/>
    <w:rsid w:val="0089264A"/>
    <w:rsid w:val="00896B6A"/>
    <w:rsid w:val="00897F5B"/>
    <w:rsid w:val="008A153C"/>
    <w:rsid w:val="008A40F9"/>
    <w:rsid w:val="008A4634"/>
    <w:rsid w:val="008A5C78"/>
    <w:rsid w:val="008A6E2D"/>
    <w:rsid w:val="008B1157"/>
    <w:rsid w:val="008B4FD3"/>
    <w:rsid w:val="008B73B0"/>
    <w:rsid w:val="008B73B2"/>
    <w:rsid w:val="008B740B"/>
    <w:rsid w:val="008C099F"/>
    <w:rsid w:val="008C0BBF"/>
    <w:rsid w:val="008C45EF"/>
    <w:rsid w:val="008C7223"/>
    <w:rsid w:val="008C75EC"/>
    <w:rsid w:val="008C7F64"/>
    <w:rsid w:val="008D421C"/>
    <w:rsid w:val="008D6886"/>
    <w:rsid w:val="008D7347"/>
    <w:rsid w:val="008D7686"/>
    <w:rsid w:val="008E0880"/>
    <w:rsid w:val="008E1215"/>
    <w:rsid w:val="008E1433"/>
    <w:rsid w:val="008E2179"/>
    <w:rsid w:val="008E292A"/>
    <w:rsid w:val="008E3926"/>
    <w:rsid w:val="008E4794"/>
    <w:rsid w:val="008E7852"/>
    <w:rsid w:val="008E78F8"/>
    <w:rsid w:val="008F0B7D"/>
    <w:rsid w:val="008F1D2E"/>
    <w:rsid w:val="008F1EC9"/>
    <w:rsid w:val="008F2270"/>
    <w:rsid w:val="008F4767"/>
    <w:rsid w:val="008F4A68"/>
    <w:rsid w:val="008F4EE9"/>
    <w:rsid w:val="008F5B28"/>
    <w:rsid w:val="008F7767"/>
    <w:rsid w:val="008F7BB2"/>
    <w:rsid w:val="009006CE"/>
    <w:rsid w:val="00901796"/>
    <w:rsid w:val="00903620"/>
    <w:rsid w:val="00904BDF"/>
    <w:rsid w:val="00904F8C"/>
    <w:rsid w:val="009057B4"/>
    <w:rsid w:val="00905D5B"/>
    <w:rsid w:val="0090646F"/>
    <w:rsid w:val="009064B4"/>
    <w:rsid w:val="009069DA"/>
    <w:rsid w:val="00906AD5"/>
    <w:rsid w:val="0091003C"/>
    <w:rsid w:val="00910710"/>
    <w:rsid w:val="009108CA"/>
    <w:rsid w:val="009121F5"/>
    <w:rsid w:val="009124AA"/>
    <w:rsid w:val="00912501"/>
    <w:rsid w:val="00912F9B"/>
    <w:rsid w:val="0091762F"/>
    <w:rsid w:val="00917995"/>
    <w:rsid w:val="00917C0C"/>
    <w:rsid w:val="009208E6"/>
    <w:rsid w:val="0092105D"/>
    <w:rsid w:val="0092142D"/>
    <w:rsid w:val="009230DB"/>
    <w:rsid w:val="009236B1"/>
    <w:rsid w:val="00923C09"/>
    <w:rsid w:val="00923C0F"/>
    <w:rsid w:val="009245F9"/>
    <w:rsid w:val="00925908"/>
    <w:rsid w:val="00926356"/>
    <w:rsid w:val="009268C6"/>
    <w:rsid w:val="00926DAF"/>
    <w:rsid w:val="00927296"/>
    <w:rsid w:val="00930306"/>
    <w:rsid w:val="00930F91"/>
    <w:rsid w:val="0093107C"/>
    <w:rsid w:val="00931275"/>
    <w:rsid w:val="00934A76"/>
    <w:rsid w:val="00934BFC"/>
    <w:rsid w:val="00934FF9"/>
    <w:rsid w:val="00936AA9"/>
    <w:rsid w:val="009406CE"/>
    <w:rsid w:val="009407F5"/>
    <w:rsid w:val="00943094"/>
    <w:rsid w:val="00943362"/>
    <w:rsid w:val="00943EDF"/>
    <w:rsid w:val="00946897"/>
    <w:rsid w:val="00950AF4"/>
    <w:rsid w:val="0095255D"/>
    <w:rsid w:val="0095446F"/>
    <w:rsid w:val="0095470D"/>
    <w:rsid w:val="00957692"/>
    <w:rsid w:val="00957DD8"/>
    <w:rsid w:val="0096014C"/>
    <w:rsid w:val="009609B3"/>
    <w:rsid w:val="00961E96"/>
    <w:rsid w:val="00962BB3"/>
    <w:rsid w:val="00964764"/>
    <w:rsid w:val="00966D47"/>
    <w:rsid w:val="00966E0A"/>
    <w:rsid w:val="00970562"/>
    <w:rsid w:val="0097247B"/>
    <w:rsid w:val="009739B0"/>
    <w:rsid w:val="009745E6"/>
    <w:rsid w:val="0097477F"/>
    <w:rsid w:val="00974BB8"/>
    <w:rsid w:val="00976840"/>
    <w:rsid w:val="009778CE"/>
    <w:rsid w:val="00977CCA"/>
    <w:rsid w:val="00982506"/>
    <w:rsid w:val="00982582"/>
    <w:rsid w:val="00983FF2"/>
    <w:rsid w:val="0098479F"/>
    <w:rsid w:val="00986316"/>
    <w:rsid w:val="009867F7"/>
    <w:rsid w:val="009872D6"/>
    <w:rsid w:val="009904BD"/>
    <w:rsid w:val="00991A4A"/>
    <w:rsid w:val="009921BE"/>
    <w:rsid w:val="00992532"/>
    <w:rsid w:val="00993CAB"/>
    <w:rsid w:val="009972DD"/>
    <w:rsid w:val="009A02B8"/>
    <w:rsid w:val="009A0452"/>
    <w:rsid w:val="009A0505"/>
    <w:rsid w:val="009A0B3E"/>
    <w:rsid w:val="009A17EF"/>
    <w:rsid w:val="009A497E"/>
    <w:rsid w:val="009A53E9"/>
    <w:rsid w:val="009B0980"/>
    <w:rsid w:val="009B19E1"/>
    <w:rsid w:val="009B2698"/>
    <w:rsid w:val="009B2AF1"/>
    <w:rsid w:val="009B3212"/>
    <w:rsid w:val="009B4AC9"/>
    <w:rsid w:val="009B6E75"/>
    <w:rsid w:val="009B7817"/>
    <w:rsid w:val="009B7B6A"/>
    <w:rsid w:val="009C2A91"/>
    <w:rsid w:val="009C2B37"/>
    <w:rsid w:val="009C30C0"/>
    <w:rsid w:val="009C3566"/>
    <w:rsid w:val="009C49F8"/>
    <w:rsid w:val="009C7E65"/>
    <w:rsid w:val="009D19BD"/>
    <w:rsid w:val="009D405B"/>
    <w:rsid w:val="009D4261"/>
    <w:rsid w:val="009E08FD"/>
    <w:rsid w:val="009E11DE"/>
    <w:rsid w:val="009E28FD"/>
    <w:rsid w:val="009E4146"/>
    <w:rsid w:val="009E442D"/>
    <w:rsid w:val="009E4554"/>
    <w:rsid w:val="009E4F20"/>
    <w:rsid w:val="009E609D"/>
    <w:rsid w:val="009E6C35"/>
    <w:rsid w:val="009E754B"/>
    <w:rsid w:val="009F0221"/>
    <w:rsid w:val="009F3084"/>
    <w:rsid w:val="009F6232"/>
    <w:rsid w:val="00A00179"/>
    <w:rsid w:val="00A004CC"/>
    <w:rsid w:val="00A01CD8"/>
    <w:rsid w:val="00A03DFA"/>
    <w:rsid w:val="00A04850"/>
    <w:rsid w:val="00A05213"/>
    <w:rsid w:val="00A05672"/>
    <w:rsid w:val="00A0626A"/>
    <w:rsid w:val="00A0704C"/>
    <w:rsid w:val="00A07BCC"/>
    <w:rsid w:val="00A12EBA"/>
    <w:rsid w:val="00A13B28"/>
    <w:rsid w:val="00A141CA"/>
    <w:rsid w:val="00A15FA8"/>
    <w:rsid w:val="00A17202"/>
    <w:rsid w:val="00A207F2"/>
    <w:rsid w:val="00A21809"/>
    <w:rsid w:val="00A23EF9"/>
    <w:rsid w:val="00A24295"/>
    <w:rsid w:val="00A244FB"/>
    <w:rsid w:val="00A24C47"/>
    <w:rsid w:val="00A27654"/>
    <w:rsid w:val="00A27B4C"/>
    <w:rsid w:val="00A309EB"/>
    <w:rsid w:val="00A31411"/>
    <w:rsid w:val="00A3384C"/>
    <w:rsid w:val="00A338B3"/>
    <w:rsid w:val="00A33904"/>
    <w:rsid w:val="00A34FEF"/>
    <w:rsid w:val="00A36CF5"/>
    <w:rsid w:val="00A415DD"/>
    <w:rsid w:val="00A422A7"/>
    <w:rsid w:val="00A44D62"/>
    <w:rsid w:val="00A503A9"/>
    <w:rsid w:val="00A539EF"/>
    <w:rsid w:val="00A552C2"/>
    <w:rsid w:val="00A568D1"/>
    <w:rsid w:val="00A63B7A"/>
    <w:rsid w:val="00A64C45"/>
    <w:rsid w:val="00A67079"/>
    <w:rsid w:val="00A673A4"/>
    <w:rsid w:val="00A70DFA"/>
    <w:rsid w:val="00A7125B"/>
    <w:rsid w:val="00A71CE9"/>
    <w:rsid w:val="00A7242F"/>
    <w:rsid w:val="00A72C3A"/>
    <w:rsid w:val="00A73089"/>
    <w:rsid w:val="00A73CEC"/>
    <w:rsid w:val="00A74376"/>
    <w:rsid w:val="00A76860"/>
    <w:rsid w:val="00A77A07"/>
    <w:rsid w:val="00A818E1"/>
    <w:rsid w:val="00A82125"/>
    <w:rsid w:val="00A82448"/>
    <w:rsid w:val="00A82558"/>
    <w:rsid w:val="00A82982"/>
    <w:rsid w:val="00A84E83"/>
    <w:rsid w:val="00A8753A"/>
    <w:rsid w:val="00A879C1"/>
    <w:rsid w:val="00A90ABC"/>
    <w:rsid w:val="00A90DC6"/>
    <w:rsid w:val="00A91094"/>
    <w:rsid w:val="00A96083"/>
    <w:rsid w:val="00A96E09"/>
    <w:rsid w:val="00A96E6E"/>
    <w:rsid w:val="00A97695"/>
    <w:rsid w:val="00AA3B54"/>
    <w:rsid w:val="00AA3F95"/>
    <w:rsid w:val="00AA6912"/>
    <w:rsid w:val="00AB040A"/>
    <w:rsid w:val="00AB0469"/>
    <w:rsid w:val="00AB095D"/>
    <w:rsid w:val="00AB1EC1"/>
    <w:rsid w:val="00AB1EFD"/>
    <w:rsid w:val="00AB45E0"/>
    <w:rsid w:val="00AB5858"/>
    <w:rsid w:val="00AB5980"/>
    <w:rsid w:val="00AB5F23"/>
    <w:rsid w:val="00AB65DD"/>
    <w:rsid w:val="00AC29DF"/>
    <w:rsid w:val="00AC6E48"/>
    <w:rsid w:val="00AD021C"/>
    <w:rsid w:val="00AD06A6"/>
    <w:rsid w:val="00AD0BD5"/>
    <w:rsid w:val="00AD1D37"/>
    <w:rsid w:val="00AD21FC"/>
    <w:rsid w:val="00AD253D"/>
    <w:rsid w:val="00AD2EC0"/>
    <w:rsid w:val="00AD383D"/>
    <w:rsid w:val="00AD4A58"/>
    <w:rsid w:val="00AD5870"/>
    <w:rsid w:val="00AD675E"/>
    <w:rsid w:val="00AD6D89"/>
    <w:rsid w:val="00AD7584"/>
    <w:rsid w:val="00AD764E"/>
    <w:rsid w:val="00AE05B9"/>
    <w:rsid w:val="00AE0E4F"/>
    <w:rsid w:val="00AE127E"/>
    <w:rsid w:val="00AE1291"/>
    <w:rsid w:val="00AE1D13"/>
    <w:rsid w:val="00AE2B23"/>
    <w:rsid w:val="00AE2B54"/>
    <w:rsid w:val="00AE2CB4"/>
    <w:rsid w:val="00AE3D3E"/>
    <w:rsid w:val="00AE4413"/>
    <w:rsid w:val="00AE4D3F"/>
    <w:rsid w:val="00AE5C20"/>
    <w:rsid w:val="00AE5F71"/>
    <w:rsid w:val="00AE68C8"/>
    <w:rsid w:val="00AE74CA"/>
    <w:rsid w:val="00AF1113"/>
    <w:rsid w:val="00AF2277"/>
    <w:rsid w:val="00AF2371"/>
    <w:rsid w:val="00AF56D5"/>
    <w:rsid w:val="00B0006C"/>
    <w:rsid w:val="00B02519"/>
    <w:rsid w:val="00B03AD3"/>
    <w:rsid w:val="00B055BB"/>
    <w:rsid w:val="00B05919"/>
    <w:rsid w:val="00B100D6"/>
    <w:rsid w:val="00B10CF8"/>
    <w:rsid w:val="00B10F20"/>
    <w:rsid w:val="00B1122A"/>
    <w:rsid w:val="00B117E0"/>
    <w:rsid w:val="00B11AE4"/>
    <w:rsid w:val="00B1353C"/>
    <w:rsid w:val="00B2160E"/>
    <w:rsid w:val="00B2526A"/>
    <w:rsid w:val="00B2651A"/>
    <w:rsid w:val="00B30487"/>
    <w:rsid w:val="00B30B87"/>
    <w:rsid w:val="00B30EFA"/>
    <w:rsid w:val="00B3216E"/>
    <w:rsid w:val="00B33439"/>
    <w:rsid w:val="00B33F69"/>
    <w:rsid w:val="00B3525B"/>
    <w:rsid w:val="00B36854"/>
    <w:rsid w:val="00B40211"/>
    <w:rsid w:val="00B40360"/>
    <w:rsid w:val="00B404CE"/>
    <w:rsid w:val="00B41CF9"/>
    <w:rsid w:val="00B42C3A"/>
    <w:rsid w:val="00B4508D"/>
    <w:rsid w:val="00B50873"/>
    <w:rsid w:val="00B50F59"/>
    <w:rsid w:val="00B51D4C"/>
    <w:rsid w:val="00B535A0"/>
    <w:rsid w:val="00B55552"/>
    <w:rsid w:val="00B564F9"/>
    <w:rsid w:val="00B570A1"/>
    <w:rsid w:val="00B5781C"/>
    <w:rsid w:val="00B57F6D"/>
    <w:rsid w:val="00B60597"/>
    <w:rsid w:val="00B6077F"/>
    <w:rsid w:val="00B60B07"/>
    <w:rsid w:val="00B60F8C"/>
    <w:rsid w:val="00B63452"/>
    <w:rsid w:val="00B63533"/>
    <w:rsid w:val="00B63C60"/>
    <w:rsid w:val="00B64DB2"/>
    <w:rsid w:val="00B65DC6"/>
    <w:rsid w:val="00B672EF"/>
    <w:rsid w:val="00B679C2"/>
    <w:rsid w:val="00B73012"/>
    <w:rsid w:val="00B759EA"/>
    <w:rsid w:val="00B80E72"/>
    <w:rsid w:val="00B811C0"/>
    <w:rsid w:val="00B82679"/>
    <w:rsid w:val="00B82ACF"/>
    <w:rsid w:val="00B84D31"/>
    <w:rsid w:val="00B85F4A"/>
    <w:rsid w:val="00B8624A"/>
    <w:rsid w:val="00B86C96"/>
    <w:rsid w:val="00B875EF"/>
    <w:rsid w:val="00B906E9"/>
    <w:rsid w:val="00B93AE5"/>
    <w:rsid w:val="00B965DF"/>
    <w:rsid w:val="00BA1317"/>
    <w:rsid w:val="00BA200D"/>
    <w:rsid w:val="00BA25AD"/>
    <w:rsid w:val="00BA34C4"/>
    <w:rsid w:val="00BA3F4C"/>
    <w:rsid w:val="00BA4FD9"/>
    <w:rsid w:val="00BA556B"/>
    <w:rsid w:val="00BA55D6"/>
    <w:rsid w:val="00BA56CE"/>
    <w:rsid w:val="00BA5A6D"/>
    <w:rsid w:val="00BA5C46"/>
    <w:rsid w:val="00BA6653"/>
    <w:rsid w:val="00BA7219"/>
    <w:rsid w:val="00BB03D9"/>
    <w:rsid w:val="00BB09AB"/>
    <w:rsid w:val="00BB1390"/>
    <w:rsid w:val="00BB1D22"/>
    <w:rsid w:val="00BB2CCD"/>
    <w:rsid w:val="00BB3B50"/>
    <w:rsid w:val="00BB4489"/>
    <w:rsid w:val="00BB563A"/>
    <w:rsid w:val="00BB5DCD"/>
    <w:rsid w:val="00BC0023"/>
    <w:rsid w:val="00BC184D"/>
    <w:rsid w:val="00BC279E"/>
    <w:rsid w:val="00BC60FE"/>
    <w:rsid w:val="00BC7226"/>
    <w:rsid w:val="00BC7287"/>
    <w:rsid w:val="00BC76F0"/>
    <w:rsid w:val="00BD043B"/>
    <w:rsid w:val="00BD3438"/>
    <w:rsid w:val="00BD4B6C"/>
    <w:rsid w:val="00BD5FAA"/>
    <w:rsid w:val="00BD6C0F"/>
    <w:rsid w:val="00BD6EF3"/>
    <w:rsid w:val="00BD70A7"/>
    <w:rsid w:val="00BD77BE"/>
    <w:rsid w:val="00BD7B80"/>
    <w:rsid w:val="00BE7A05"/>
    <w:rsid w:val="00BF0705"/>
    <w:rsid w:val="00BF25A6"/>
    <w:rsid w:val="00BF2C96"/>
    <w:rsid w:val="00BF6CAE"/>
    <w:rsid w:val="00C00FFC"/>
    <w:rsid w:val="00C018A9"/>
    <w:rsid w:val="00C01C97"/>
    <w:rsid w:val="00C0245B"/>
    <w:rsid w:val="00C0273D"/>
    <w:rsid w:val="00C02DC5"/>
    <w:rsid w:val="00C03527"/>
    <w:rsid w:val="00C03DF2"/>
    <w:rsid w:val="00C043A7"/>
    <w:rsid w:val="00C04BBB"/>
    <w:rsid w:val="00C0566C"/>
    <w:rsid w:val="00C0572D"/>
    <w:rsid w:val="00C07D3A"/>
    <w:rsid w:val="00C142B7"/>
    <w:rsid w:val="00C20555"/>
    <w:rsid w:val="00C20AD8"/>
    <w:rsid w:val="00C2116D"/>
    <w:rsid w:val="00C22AD3"/>
    <w:rsid w:val="00C2336E"/>
    <w:rsid w:val="00C23390"/>
    <w:rsid w:val="00C270BC"/>
    <w:rsid w:val="00C27B94"/>
    <w:rsid w:val="00C313DE"/>
    <w:rsid w:val="00C314AB"/>
    <w:rsid w:val="00C315CE"/>
    <w:rsid w:val="00C31A87"/>
    <w:rsid w:val="00C31D41"/>
    <w:rsid w:val="00C33FE7"/>
    <w:rsid w:val="00C346BF"/>
    <w:rsid w:val="00C4050C"/>
    <w:rsid w:val="00C406C1"/>
    <w:rsid w:val="00C41076"/>
    <w:rsid w:val="00C41623"/>
    <w:rsid w:val="00C51738"/>
    <w:rsid w:val="00C53FF3"/>
    <w:rsid w:val="00C55D2A"/>
    <w:rsid w:val="00C605C7"/>
    <w:rsid w:val="00C63056"/>
    <w:rsid w:val="00C634F1"/>
    <w:rsid w:val="00C65B9A"/>
    <w:rsid w:val="00C66F57"/>
    <w:rsid w:val="00C67037"/>
    <w:rsid w:val="00C722C4"/>
    <w:rsid w:val="00C72738"/>
    <w:rsid w:val="00C73A1F"/>
    <w:rsid w:val="00C73D9D"/>
    <w:rsid w:val="00C76455"/>
    <w:rsid w:val="00C773DC"/>
    <w:rsid w:val="00C77571"/>
    <w:rsid w:val="00C777E3"/>
    <w:rsid w:val="00C77D6A"/>
    <w:rsid w:val="00C82D00"/>
    <w:rsid w:val="00C82FCE"/>
    <w:rsid w:val="00C83639"/>
    <w:rsid w:val="00C83F63"/>
    <w:rsid w:val="00C8435A"/>
    <w:rsid w:val="00C85257"/>
    <w:rsid w:val="00C85894"/>
    <w:rsid w:val="00C85AF4"/>
    <w:rsid w:val="00C868F2"/>
    <w:rsid w:val="00C9011C"/>
    <w:rsid w:val="00C90306"/>
    <w:rsid w:val="00C92B3E"/>
    <w:rsid w:val="00C94212"/>
    <w:rsid w:val="00C94510"/>
    <w:rsid w:val="00C95D7F"/>
    <w:rsid w:val="00C95FE7"/>
    <w:rsid w:val="00C96BDD"/>
    <w:rsid w:val="00C97C61"/>
    <w:rsid w:val="00C97CEF"/>
    <w:rsid w:val="00C97D52"/>
    <w:rsid w:val="00CA0A80"/>
    <w:rsid w:val="00CA2124"/>
    <w:rsid w:val="00CA4725"/>
    <w:rsid w:val="00CA4A92"/>
    <w:rsid w:val="00CA4BB0"/>
    <w:rsid w:val="00CA59EA"/>
    <w:rsid w:val="00CA6B2B"/>
    <w:rsid w:val="00CA766D"/>
    <w:rsid w:val="00CA7ADA"/>
    <w:rsid w:val="00CB3D8B"/>
    <w:rsid w:val="00CB53D3"/>
    <w:rsid w:val="00CB603C"/>
    <w:rsid w:val="00CB716D"/>
    <w:rsid w:val="00CB7ADA"/>
    <w:rsid w:val="00CC0077"/>
    <w:rsid w:val="00CC0BAF"/>
    <w:rsid w:val="00CC2B47"/>
    <w:rsid w:val="00CC3518"/>
    <w:rsid w:val="00CC38CC"/>
    <w:rsid w:val="00CC4048"/>
    <w:rsid w:val="00CC66FF"/>
    <w:rsid w:val="00CC7342"/>
    <w:rsid w:val="00CD0F6A"/>
    <w:rsid w:val="00CD1F64"/>
    <w:rsid w:val="00CD354D"/>
    <w:rsid w:val="00CD63CC"/>
    <w:rsid w:val="00CD6D70"/>
    <w:rsid w:val="00CD7A1A"/>
    <w:rsid w:val="00CE1EC3"/>
    <w:rsid w:val="00CE41A5"/>
    <w:rsid w:val="00CE4624"/>
    <w:rsid w:val="00CF3AFB"/>
    <w:rsid w:val="00CF43C0"/>
    <w:rsid w:val="00CF51FB"/>
    <w:rsid w:val="00CF6676"/>
    <w:rsid w:val="00CF7FA5"/>
    <w:rsid w:val="00D0111A"/>
    <w:rsid w:val="00D01D82"/>
    <w:rsid w:val="00D039B3"/>
    <w:rsid w:val="00D041C7"/>
    <w:rsid w:val="00D04EE3"/>
    <w:rsid w:val="00D05E1C"/>
    <w:rsid w:val="00D06754"/>
    <w:rsid w:val="00D07D8C"/>
    <w:rsid w:val="00D10746"/>
    <w:rsid w:val="00D10C00"/>
    <w:rsid w:val="00D10D00"/>
    <w:rsid w:val="00D140E8"/>
    <w:rsid w:val="00D1484D"/>
    <w:rsid w:val="00D153E6"/>
    <w:rsid w:val="00D17966"/>
    <w:rsid w:val="00D17DA0"/>
    <w:rsid w:val="00D22FF9"/>
    <w:rsid w:val="00D23474"/>
    <w:rsid w:val="00D238C0"/>
    <w:rsid w:val="00D23A43"/>
    <w:rsid w:val="00D2465B"/>
    <w:rsid w:val="00D2492F"/>
    <w:rsid w:val="00D264AD"/>
    <w:rsid w:val="00D301D6"/>
    <w:rsid w:val="00D30E1B"/>
    <w:rsid w:val="00D31470"/>
    <w:rsid w:val="00D32C3D"/>
    <w:rsid w:val="00D32E77"/>
    <w:rsid w:val="00D33013"/>
    <w:rsid w:val="00D3336B"/>
    <w:rsid w:val="00D34179"/>
    <w:rsid w:val="00D35C1F"/>
    <w:rsid w:val="00D36449"/>
    <w:rsid w:val="00D411B7"/>
    <w:rsid w:val="00D4211B"/>
    <w:rsid w:val="00D4273B"/>
    <w:rsid w:val="00D4313A"/>
    <w:rsid w:val="00D431C2"/>
    <w:rsid w:val="00D43B83"/>
    <w:rsid w:val="00D44167"/>
    <w:rsid w:val="00D45737"/>
    <w:rsid w:val="00D46579"/>
    <w:rsid w:val="00D47C81"/>
    <w:rsid w:val="00D54F80"/>
    <w:rsid w:val="00D5515C"/>
    <w:rsid w:val="00D55BD4"/>
    <w:rsid w:val="00D56DFE"/>
    <w:rsid w:val="00D57271"/>
    <w:rsid w:val="00D57D7A"/>
    <w:rsid w:val="00D60FFE"/>
    <w:rsid w:val="00D618D9"/>
    <w:rsid w:val="00D62F53"/>
    <w:rsid w:val="00D64980"/>
    <w:rsid w:val="00D649EE"/>
    <w:rsid w:val="00D64A06"/>
    <w:rsid w:val="00D66430"/>
    <w:rsid w:val="00D673BD"/>
    <w:rsid w:val="00D673D0"/>
    <w:rsid w:val="00D678DD"/>
    <w:rsid w:val="00D7223C"/>
    <w:rsid w:val="00D727DC"/>
    <w:rsid w:val="00D73772"/>
    <w:rsid w:val="00D758B1"/>
    <w:rsid w:val="00D7691D"/>
    <w:rsid w:val="00D77E0C"/>
    <w:rsid w:val="00D8072E"/>
    <w:rsid w:val="00D813CF"/>
    <w:rsid w:val="00D843FE"/>
    <w:rsid w:val="00D85DBE"/>
    <w:rsid w:val="00D87A89"/>
    <w:rsid w:val="00D87C1D"/>
    <w:rsid w:val="00D87C37"/>
    <w:rsid w:val="00D87E60"/>
    <w:rsid w:val="00D903C5"/>
    <w:rsid w:val="00D9165C"/>
    <w:rsid w:val="00D92317"/>
    <w:rsid w:val="00D93715"/>
    <w:rsid w:val="00D944F9"/>
    <w:rsid w:val="00DA034F"/>
    <w:rsid w:val="00DA07CE"/>
    <w:rsid w:val="00DA1941"/>
    <w:rsid w:val="00DA1C3D"/>
    <w:rsid w:val="00DA21E4"/>
    <w:rsid w:val="00DA432E"/>
    <w:rsid w:val="00DA5630"/>
    <w:rsid w:val="00DA7551"/>
    <w:rsid w:val="00DA77F2"/>
    <w:rsid w:val="00DB0A89"/>
    <w:rsid w:val="00DB0B86"/>
    <w:rsid w:val="00DB1FA4"/>
    <w:rsid w:val="00DB244F"/>
    <w:rsid w:val="00DB2B39"/>
    <w:rsid w:val="00DB3AD3"/>
    <w:rsid w:val="00DB52F5"/>
    <w:rsid w:val="00DB53FE"/>
    <w:rsid w:val="00DC0646"/>
    <w:rsid w:val="00DC1BDF"/>
    <w:rsid w:val="00DC404B"/>
    <w:rsid w:val="00DC585F"/>
    <w:rsid w:val="00DC7524"/>
    <w:rsid w:val="00DC758A"/>
    <w:rsid w:val="00DC75F3"/>
    <w:rsid w:val="00DC7DDF"/>
    <w:rsid w:val="00DD1753"/>
    <w:rsid w:val="00DD1C8B"/>
    <w:rsid w:val="00DD2D27"/>
    <w:rsid w:val="00DD6DB3"/>
    <w:rsid w:val="00DE1A16"/>
    <w:rsid w:val="00DE20DA"/>
    <w:rsid w:val="00DE23E9"/>
    <w:rsid w:val="00DE44D9"/>
    <w:rsid w:val="00DE708C"/>
    <w:rsid w:val="00DF02CF"/>
    <w:rsid w:val="00DF08AB"/>
    <w:rsid w:val="00DF0CE3"/>
    <w:rsid w:val="00DF133F"/>
    <w:rsid w:val="00DF299D"/>
    <w:rsid w:val="00DF6247"/>
    <w:rsid w:val="00DF6690"/>
    <w:rsid w:val="00DF67D9"/>
    <w:rsid w:val="00E014EE"/>
    <w:rsid w:val="00E04ADE"/>
    <w:rsid w:val="00E06114"/>
    <w:rsid w:val="00E0772C"/>
    <w:rsid w:val="00E07A48"/>
    <w:rsid w:val="00E11BC0"/>
    <w:rsid w:val="00E1306D"/>
    <w:rsid w:val="00E1366E"/>
    <w:rsid w:val="00E1391D"/>
    <w:rsid w:val="00E15D51"/>
    <w:rsid w:val="00E16B2A"/>
    <w:rsid w:val="00E210F6"/>
    <w:rsid w:val="00E217D1"/>
    <w:rsid w:val="00E2373A"/>
    <w:rsid w:val="00E23948"/>
    <w:rsid w:val="00E2461D"/>
    <w:rsid w:val="00E24CF2"/>
    <w:rsid w:val="00E272F3"/>
    <w:rsid w:val="00E306EA"/>
    <w:rsid w:val="00E31648"/>
    <w:rsid w:val="00E32EDE"/>
    <w:rsid w:val="00E346B0"/>
    <w:rsid w:val="00E37F69"/>
    <w:rsid w:val="00E401BB"/>
    <w:rsid w:val="00E420B6"/>
    <w:rsid w:val="00E438B1"/>
    <w:rsid w:val="00E44499"/>
    <w:rsid w:val="00E4522B"/>
    <w:rsid w:val="00E4559D"/>
    <w:rsid w:val="00E46403"/>
    <w:rsid w:val="00E46C5F"/>
    <w:rsid w:val="00E5102A"/>
    <w:rsid w:val="00E54651"/>
    <w:rsid w:val="00E54CEB"/>
    <w:rsid w:val="00E55399"/>
    <w:rsid w:val="00E56E34"/>
    <w:rsid w:val="00E60C09"/>
    <w:rsid w:val="00E60C78"/>
    <w:rsid w:val="00E610B5"/>
    <w:rsid w:val="00E61304"/>
    <w:rsid w:val="00E62715"/>
    <w:rsid w:val="00E649F7"/>
    <w:rsid w:val="00E64AF4"/>
    <w:rsid w:val="00E66C8D"/>
    <w:rsid w:val="00E67CB4"/>
    <w:rsid w:val="00E70A8C"/>
    <w:rsid w:val="00E72016"/>
    <w:rsid w:val="00E72BA9"/>
    <w:rsid w:val="00E74FF1"/>
    <w:rsid w:val="00E75470"/>
    <w:rsid w:val="00E75A3B"/>
    <w:rsid w:val="00E75EF5"/>
    <w:rsid w:val="00E80ED0"/>
    <w:rsid w:val="00E80FCE"/>
    <w:rsid w:val="00E81058"/>
    <w:rsid w:val="00E81B2F"/>
    <w:rsid w:val="00E81E0A"/>
    <w:rsid w:val="00E8320B"/>
    <w:rsid w:val="00E8363A"/>
    <w:rsid w:val="00E84A4D"/>
    <w:rsid w:val="00E84A78"/>
    <w:rsid w:val="00E86136"/>
    <w:rsid w:val="00E8642A"/>
    <w:rsid w:val="00E86BAC"/>
    <w:rsid w:val="00E86C98"/>
    <w:rsid w:val="00E91364"/>
    <w:rsid w:val="00E91815"/>
    <w:rsid w:val="00E92103"/>
    <w:rsid w:val="00E92D86"/>
    <w:rsid w:val="00E9374E"/>
    <w:rsid w:val="00E9387A"/>
    <w:rsid w:val="00E95AA9"/>
    <w:rsid w:val="00EA0089"/>
    <w:rsid w:val="00EA040A"/>
    <w:rsid w:val="00EA044B"/>
    <w:rsid w:val="00EA30CF"/>
    <w:rsid w:val="00EA3A5C"/>
    <w:rsid w:val="00EA3F34"/>
    <w:rsid w:val="00EA4478"/>
    <w:rsid w:val="00EA4B3F"/>
    <w:rsid w:val="00EA4F6E"/>
    <w:rsid w:val="00EA583D"/>
    <w:rsid w:val="00EA58ED"/>
    <w:rsid w:val="00EA7BDE"/>
    <w:rsid w:val="00EB09C6"/>
    <w:rsid w:val="00EB23CA"/>
    <w:rsid w:val="00EB3D63"/>
    <w:rsid w:val="00EB3F85"/>
    <w:rsid w:val="00EB5577"/>
    <w:rsid w:val="00EB64CF"/>
    <w:rsid w:val="00EB7062"/>
    <w:rsid w:val="00EB7097"/>
    <w:rsid w:val="00EB7D98"/>
    <w:rsid w:val="00EC1136"/>
    <w:rsid w:val="00EC1819"/>
    <w:rsid w:val="00EC417A"/>
    <w:rsid w:val="00EC5CD3"/>
    <w:rsid w:val="00ED18F1"/>
    <w:rsid w:val="00ED316B"/>
    <w:rsid w:val="00ED3769"/>
    <w:rsid w:val="00ED4D2D"/>
    <w:rsid w:val="00ED4E26"/>
    <w:rsid w:val="00ED55A6"/>
    <w:rsid w:val="00ED7506"/>
    <w:rsid w:val="00ED7737"/>
    <w:rsid w:val="00EE107C"/>
    <w:rsid w:val="00EE3053"/>
    <w:rsid w:val="00EE3779"/>
    <w:rsid w:val="00EE6CEC"/>
    <w:rsid w:val="00EE6EC7"/>
    <w:rsid w:val="00EE6FED"/>
    <w:rsid w:val="00EE7957"/>
    <w:rsid w:val="00EF19F6"/>
    <w:rsid w:val="00EF305B"/>
    <w:rsid w:val="00EF4693"/>
    <w:rsid w:val="00EF5F93"/>
    <w:rsid w:val="00F01215"/>
    <w:rsid w:val="00F053EC"/>
    <w:rsid w:val="00F061A1"/>
    <w:rsid w:val="00F06CED"/>
    <w:rsid w:val="00F06D62"/>
    <w:rsid w:val="00F072C6"/>
    <w:rsid w:val="00F078EC"/>
    <w:rsid w:val="00F10DFF"/>
    <w:rsid w:val="00F11CEB"/>
    <w:rsid w:val="00F12B2F"/>
    <w:rsid w:val="00F12B55"/>
    <w:rsid w:val="00F1381B"/>
    <w:rsid w:val="00F1429D"/>
    <w:rsid w:val="00F14552"/>
    <w:rsid w:val="00F14875"/>
    <w:rsid w:val="00F14AA9"/>
    <w:rsid w:val="00F14AFF"/>
    <w:rsid w:val="00F15C08"/>
    <w:rsid w:val="00F1700F"/>
    <w:rsid w:val="00F17C96"/>
    <w:rsid w:val="00F20D55"/>
    <w:rsid w:val="00F20EAE"/>
    <w:rsid w:val="00F220FC"/>
    <w:rsid w:val="00F22AD4"/>
    <w:rsid w:val="00F25122"/>
    <w:rsid w:val="00F25347"/>
    <w:rsid w:val="00F26232"/>
    <w:rsid w:val="00F26729"/>
    <w:rsid w:val="00F30FBF"/>
    <w:rsid w:val="00F329E8"/>
    <w:rsid w:val="00F33C6C"/>
    <w:rsid w:val="00F34717"/>
    <w:rsid w:val="00F35411"/>
    <w:rsid w:val="00F35480"/>
    <w:rsid w:val="00F36546"/>
    <w:rsid w:val="00F36D45"/>
    <w:rsid w:val="00F37D62"/>
    <w:rsid w:val="00F37E83"/>
    <w:rsid w:val="00F417BF"/>
    <w:rsid w:val="00F41CCA"/>
    <w:rsid w:val="00F43AC1"/>
    <w:rsid w:val="00F515AE"/>
    <w:rsid w:val="00F51D15"/>
    <w:rsid w:val="00F600B1"/>
    <w:rsid w:val="00F72C63"/>
    <w:rsid w:val="00F73026"/>
    <w:rsid w:val="00F7353A"/>
    <w:rsid w:val="00F73926"/>
    <w:rsid w:val="00F74293"/>
    <w:rsid w:val="00F74D44"/>
    <w:rsid w:val="00F7696E"/>
    <w:rsid w:val="00F81BEA"/>
    <w:rsid w:val="00F8324B"/>
    <w:rsid w:val="00F84D5F"/>
    <w:rsid w:val="00F85526"/>
    <w:rsid w:val="00F85C38"/>
    <w:rsid w:val="00F86D2B"/>
    <w:rsid w:val="00F90769"/>
    <w:rsid w:val="00F90F6B"/>
    <w:rsid w:val="00F92C5E"/>
    <w:rsid w:val="00F930BD"/>
    <w:rsid w:val="00F93710"/>
    <w:rsid w:val="00F947AC"/>
    <w:rsid w:val="00F9568D"/>
    <w:rsid w:val="00F95D8D"/>
    <w:rsid w:val="00F95DB1"/>
    <w:rsid w:val="00F967DF"/>
    <w:rsid w:val="00F96F53"/>
    <w:rsid w:val="00F97A78"/>
    <w:rsid w:val="00F97AD7"/>
    <w:rsid w:val="00FA1DDB"/>
    <w:rsid w:val="00FA2F49"/>
    <w:rsid w:val="00FA372C"/>
    <w:rsid w:val="00FA3AC6"/>
    <w:rsid w:val="00FA3F7D"/>
    <w:rsid w:val="00FA506C"/>
    <w:rsid w:val="00FA64EB"/>
    <w:rsid w:val="00FA69FD"/>
    <w:rsid w:val="00FA7BCA"/>
    <w:rsid w:val="00FA7FD8"/>
    <w:rsid w:val="00FB0CD4"/>
    <w:rsid w:val="00FB0EA8"/>
    <w:rsid w:val="00FB3940"/>
    <w:rsid w:val="00FB4B85"/>
    <w:rsid w:val="00FB5303"/>
    <w:rsid w:val="00FB5EEF"/>
    <w:rsid w:val="00FC1770"/>
    <w:rsid w:val="00FC2E10"/>
    <w:rsid w:val="00FC3C41"/>
    <w:rsid w:val="00FC4728"/>
    <w:rsid w:val="00FC47E2"/>
    <w:rsid w:val="00FC5238"/>
    <w:rsid w:val="00FD1620"/>
    <w:rsid w:val="00FD217F"/>
    <w:rsid w:val="00FD2542"/>
    <w:rsid w:val="00FD3FE9"/>
    <w:rsid w:val="00FD41EB"/>
    <w:rsid w:val="00FD441B"/>
    <w:rsid w:val="00FD596F"/>
    <w:rsid w:val="00FD5F77"/>
    <w:rsid w:val="00FD61AC"/>
    <w:rsid w:val="00FE092E"/>
    <w:rsid w:val="00FE16E9"/>
    <w:rsid w:val="00FE31AA"/>
    <w:rsid w:val="00FE5320"/>
    <w:rsid w:val="00FF14B5"/>
    <w:rsid w:val="00FF2675"/>
    <w:rsid w:val="00FF3C00"/>
    <w:rsid w:val="00FF5BA9"/>
    <w:rsid w:val="00FF7117"/>
    <w:rsid w:val="00FF7303"/>
    <w:rsid w:val="01FEB794"/>
    <w:rsid w:val="023E72DD"/>
    <w:rsid w:val="032014FF"/>
    <w:rsid w:val="06CEB1BF"/>
    <w:rsid w:val="06E9E4A8"/>
    <w:rsid w:val="06FF9887"/>
    <w:rsid w:val="07E6AC85"/>
    <w:rsid w:val="09151448"/>
    <w:rsid w:val="0954EC99"/>
    <w:rsid w:val="0AB28F54"/>
    <w:rsid w:val="0C9F273C"/>
    <w:rsid w:val="0CDE3617"/>
    <w:rsid w:val="0D9DC20C"/>
    <w:rsid w:val="0DAADCA1"/>
    <w:rsid w:val="0DB5E4DF"/>
    <w:rsid w:val="0DBB5828"/>
    <w:rsid w:val="0DC949ED"/>
    <w:rsid w:val="0DFB8102"/>
    <w:rsid w:val="0E37A318"/>
    <w:rsid w:val="12228BC8"/>
    <w:rsid w:val="122F953E"/>
    <w:rsid w:val="125A3DC7"/>
    <w:rsid w:val="12EEDF39"/>
    <w:rsid w:val="12F5B478"/>
    <w:rsid w:val="13D93AF7"/>
    <w:rsid w:val="13F8345A"/>
    <w:rsid w:val="14167674"/>
    <w:rsid w:val="16FBF3B6"/>
    <w:rsid w:val="1841FAB1"/>
    <w:rsid w:val="18CADD46"/>
    <w:rsid w:val="19E6F2DF"/>
    <w:rsid w:val="1A7A3CCD"/>
    <w:rsid w:val="1AD82B00"/>
    <w:rsid w:val="1B75446D"/>
    <w:rsid w:val="1C1F3A18"/>
    <w:rsid w:val="1CED7256"/>
    <w:rsid w:val="1F020BF3"/>
    <w:rsid w:val="1F49942B"/>
    <w:rsid w:val="1F55542A"/>
    <w:rsid w:val="1FB0F40D"/>
    <w:rsid w:val="201D6A2A"/>
    <w:rsid w:val="20C97E63"/>
    <w:rsid w:val="2342CFD3"/>
    <w:rsid w:val="23BA20C6"/>
    <w:rsid w:val="23DAF934"/>
    <w:rsid w:val="23F4DB2B"/>
    <w:rsid w:val="2407BBC1"/>
    <w:rsid w:val="25A02DD7"/>
    <w:rsid w:val="25ECEADF"/>
    <w:rsid w:val="26A48A3C"/>
    <w:rsid w:val="26ABAA1B"/>
    <w:rsid w:val="274C0677"/>
    <w:rsid w:val="27AF8604"/>
    <w:rsid w:val="280B5F05"/>
    <w:rsid w:val="284E95FB"/>
    <w:rsid w:val="28CE4799"/>
    <w:rsid w:val="29E1349B"/>
    <w:rsid w:val="29E72730"/>
    <w:rsid w:val="29F8E530"/>
    <w:rsid w:val="2A1F8EB2"/>
    <w:rsid w:val="2A7A4F8E"/>
    <w:rsid w:val="2A96AAA8"/>
    <w:rsid w:val="2ACEB206"/>
    <w:rsid w:val="2AFC7ABA"/>
    <w:rsid w:val="2B249ABB"/>
    <w:rsid w:val="2C538143"/>
    <w:rsid w:val="2D23D540"/>
    <w:rsid w:val="2E114FE2"/>
    <w:rsid w:val="2F522B47"/>
    <w:rsid w:val="2FCA575B"/>
    <w:rsid w:val="306B0D54"/>
    <w:rsid w:val="30D2BE5B"/>
    <w:rsid w:val="30DE83BD"/>
    <w:rsid w:val="329A82B1"/>
    <w:rsid w:val="33022F10"/>
    <w:rsid w:val="3340129D"/>
    <w:rsid w:val="34820857"/>
    <w:rsid w:val="34C67D2A"/>
    <w:rsid w:val="35E65CD7"/>
    <w:rsid w:val="363576A6"/>
    <w:rsid w:val="37E61136"/>
    <w:rsid w:val="380EACBC"/>
    <w:rsid w:val="38136EDA"/>
    <w:rsid w:val="3842A9E7"/>
    <w:rsid w:val="390F0A72"/>
    <w:rsid w:val="394D1C26"/>
    <w:rsid w:val="39BBAF81"/>
    <w:rsid w:val="3ABFF17D"/>
    <w:rsid w:val="3D09C124"/>
    <w:rsid w:val="3D5294F7"/>
    <w:rsid w:val="3D7165C6"/>
    <w:rsid w:val="3DD501D6"/>
    <w:rsid w:val="3E07790D"/>
    <w:rsid w:val="3E8754AC"/>
    <w:rsid w:val="3F7416C0"/>
    <w:rsid w:val="4006F6AD"/>
    <w:rsid w:val="413A14A1"/>
    <w:rsid w:val="4152C8D3"/>
    <w:rsid w:val="416D0A88"/>
    <w:rsid w:val="420D1261"/>
    <w:rsid w:val="422DDA80"/>
    <w:rsid w:val="426D7197"/>
    <w:rsid w:val="4277A3C8"/>
    <w:rsid w:val="43198628"/>
    <w:rsid w:val="44230373"/>
    <w:rsid w:val="44BA3745"/>
    <w:rsid w:val="44C4E4ED"/>
    <w:rsid w:val="45C5FF60"/>
    <w:rsid w:val="45CB42D3"/>
    <w:rsid w:val="45FCFA06"/>
    <w:rsid w:val="46BDEEAB"/>
    <w:rsid w:val="48C57877"/>
    <w:rsid w:val="4AD1B492"/>
    <w:rsid w:val="4B9F3047"/>
    <w:rsid w:val="4C00BA8D"/>
    <w:rsid w:val="4C529120"/>
    <w:rsid w:val="4D4C80AE"/>
    <w:rsid w:val="4D7C6706"/>
    <w:rsid w:val="4F3F5618"/>
    <w:rsid w:val="509E1228"/>
    <w:rsid w:val="51FBA2E8"/>
    <w:rsid w:val="520BD14C"/>
    <w:rsid w:val="5231C999"/>
    <w:rsid w:val="52521B09"/>
    <w:rsid w:val="52E71F1C"/>
    <w:rsid w:val="52F1C162"/>
    <w:rsid w:val="53A74ED9"/>
    <w:rsid w:val="54A32051"/>
    <w:rsid w:val="54C9E59E"/>
    <w:rsid w:val="5626172F"/>
    <w:rsid w:val="56E10AF0"/>
    <w:rsid w:val="572595AD"/>
    <w:rsid w:val="5770E9BA"/>
    <w:rsid w:val="57D3816A"/>
    <w:rsid w:val="59972986"/>
    <w:rsid w:val="59E0890A"/>
    <w:rsid w:val="59E793AF"/>
    <w:rsid w:val="5A20D253"/>
    <w:rsid w:val="5B0CE662"/>
    <w:rsid w:val="5B52F3FF"/>
    <w:rsid w:val="5BC69A7B"/>
    <w:rsid w:val="5D193FEE"/>
    <w:rsid w:val="5E55A65A"/>
    <w:rsid w:val="5F60242C"/>
    <w:rsid w:val="606BBBA1"/>
    <w:rsid w:val="60E052F1"/>
    <w:rsid w:val="62E84F04"/>
    <w:rsid w:val="62F7CE63"/>
    <w:rsid w:val="631CC784"/>
    <w:rsid w:val="632BF4A0"/>
    <w:rsid w:val="643281C8"/>
    <w:rsid w:val="64750C6E"/>
    <w:rsid w:val="64B40AD5"/>
    <w:rsid w:val="65B14D97"/>
    <w:rsid w:val="663E1245"/>
    <w:rsid w:val="664E4BF6"/>
    <w:rsid w:val="66B81A5C"/>
    <w:rsid w:val="693E293C"/>
    <w:rsid w:val="6993E727"/>
    <w:rsid w:val="6A7D8B5C"/>
    <w:rsid w:val="6BF0E62C"/>
    <w:rsid w:val="6C952B2A"/>
    <w:rsid w:val="6D13777B"/>
    <w:rsid w:val="6DF39696"/>
    <w:rsid w:val="6E28BA75"/>
    <w:rsid w:val="6F1FD0CC"/>
    <w:rsid w:val="6F3FDA6E"/>
    <w:rsid w:val="6F654CD4"/>
    <w:rsid w:val="7157A557"/>
    <w:rsid w:val="71ADE2AF"/>
    <w:rsid w:val="7213DA06"/>
    <w:rsid w:val="73241326"/>
    <w:rsid w:val="739E5687"/>
    <w:rsid w:val="74664E8B"/>
    <w:rsid w:val="74E997E9"/>
    <w:rsid w:val="7562B63C"/>
    <w:rsid w:val="759C6F97"/>
    <w:rsid w:val="76573138"/>
    <w:rsid w:val="76B59733"/>
    <w:rsid w:val="7733B0F3"/>
    <w:rsid w:val="787D46D9"/>
    <w:rsid w:val="78F69205"/>
    <w:rsid w:val="7975C02C"/>
    <w:rsid w:val="797AB485"/>
    <w:rsid w:val="79A2C8D3"/>
    <w:rsid w:val="7B00825B"/>
    <w:rsid w:val="7DD7C3E6"/>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30"/>
  <w15:docId w15:val="{42F4F4C6-3CC7-4536-8D40-99A9323B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90"/>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EA3A5C"/>
    <w:pPr>
      <w:keepLines/>
      <w:widowControl w:val="0"/>
      <w:numPr>
        <w:ilvl w:val="3"/>
        <w:numId w:val="3"/>
      </w:numPr>
      <w:spacing w:after="12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 w:type="paragraph" w:styleId="DocumentMap">
    <w:name w:val="Document Map"/>
    <w:basedOn w:val="Normal"/>
    <w:link w:val="DocumentMapChar"/>
    <w:semiHidden/>
    <w:unhideWhenUsed/>
    <w:rsid w:val="00BB139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B1390"/>
    <w:rPr>
      <w:rFonts w:ascii="Segoe UI" w:hAnsi="Segoe UI" w:cs="Segoe UI"/>
      <w:sz w:val="16"/>
      <w:szCs w:val="16"/>
    </w:rPr>
  </w:style>
  <w:style w:type="paragraph" w:styleId="NormalWeb">
    <w:name w:val="Normal (Web)"/>
    <w:basedOn w:val="Normal"/>
    <w:uiPriority w:val="99"/>
    <w:rsid w:val="00482201"/>
    <w:pPr>
      <w:spacing w:before="100" w:beforeAutospacing="1" w:after="100" w:afterAutospacing="1"/>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445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556011189">
      <w:bodyDiv w:val="1"/>
      <w:marLeft w:val="0"/>
      <w:marRight w:val="0"/>
      <w:marTop w:val="0"/>
      <w:marBottom w:val="0"/>
      <w:divBdr>
        <w:top w:val="none" w:sz="0" w:space="0" w:color="auto"/>
        <w:left w:val="none" w:sz="0" w:space="0" w:color="auto"/>
        <w:bottom w:val="none" w:sz="0" w:space="0" w:color="auto"/>
        <w:right w:val="none" w:sz="0" w:space="0" w:color="auto"/>
      </w:divBdr>
      <w:divsChild>
        <w:div w:id="264847439">
          <w:marLeft w:val="0"/>
          <w:marRight w:val="0"/>
          <w:marTop w:val="0"/>
          <w:marBottom w:val="0"/>
          <w:divBdr>
            <w:top w:val="none" w:sz="0" w:space="0" w:color="auto"/>
            <w:left w:val="none" w:sz="0" w:space="0" w:color="auto"/>
            <w:bottom w:val="none" w:sz="0" w:space="0" w:color="auto"/>
            <w:right w:val="none" w:sz="0" w:space="0" w:color="auto"/>
          </w:divBdr>
        </w:div>
        <w:div w:id="1432621697">
          <w:marLeft w:val="0"/>
          <w:marRight w:val="0"/>
          <w:marTop w:val="0"/>
          <w:marBottom w:val="0"/>
          <w:divBdr>
            <w:top w:val="none" w:sz="0" w:space="0" w:color="auto"/>
            <w:left w:val="none" w:sz="0" w:space="0" w:color="auto"/>
            <w:bottom w:val="none" w:sz="0" w:space="0" w:color="auto"/>
            <w:right w:val="none" w:sz="0" w:space="0" w:color="auto"/>
          </w:divBdr>
        </w:div>
        <w:div w:id="1519781989">
          <w:marLeft w:val="0"/>
          <w:marRight w:val="0"/>
          <w:marTop w:val="0"/>
          <w:marBottom w:val="0"/>
          <w:divBdr>
            <w:top w:val="none" w:sz="0" w:space="0" w:color="auto"/>
            <w:left w:val="none" w:sz="0" w:space="0" w:color="auto"/>
            <w:bottom w:val="none" w:sz="0" w:space="0" w:color="auto"/>
            <w:right w:val="none" w:sz="0" w:space="0" w:color="auto"/>
          </w:divBdr>
        </w:div>
      </w:divsChild>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7911">
      <w:bodyDiv w:val="1"/>
      <w:marLeft w:val="0"/>
      <w:marRight w:val="0"/>
      <w:marTop w:val="0"/>
      <w:marBottom w:val="0"/>
      <w:divBdr>
        <w:top w:val="none" w:sz="0" w:space="0" w:color="auto"/>
        <w:left w:val="none" w:sz="0" w:space="0" w:color="auto"/>
        <w:bottom w:val="none" w:sz="0" w:space="0" w:color="auto"/>
        <w:right w:val="none" w:sz="0" w:space="0" w:color="auto"/>
      </w:divBdr>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175">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6061">
      <w:bodyDiv w:val="1"/>
      <w:marLeft w:val="0"/>
      <w:marRight w:val="0"/>
      <w:marTop w:val="0"/>
      <w:marBottom w:val="0"/>
      <w:divBdr>
        <w:top w:val="none" w:sz="0" w:space="0" w:color="auto"/>
        <w:left w:val="none" w:sz="0" w:space="0" w:color="auto"/>
        <w:bottom w:val="none" w:sz="0" w:space="0" w:color="auto"/>
        <w:right w:val="none" w:sz="0" w:space="0" w:color="auto"/>
      </w:divBdr>
      <w:divsChild>
        <w:div w:id="317878165">
          <w:marLeft w:val="0"/>
          <w:marRight w:val="0"/>
          <w:marTop w:val="0"/>
          <w:marBottom w:val="0"/>
          <w:divBdr>
            <w:top w:val="none" w:sz="0" w:space="0" w:color="auto"/>
            <w:left w:val="none" w:sz="0" w:space="0" w:color="auto"/>
            <w:bottom w:val="none" w:sz="0" w:space="0" w:color="auto"/>
            <w:right w:val="none" w:sz="0" w:space="0" w:color="auto"/>
          </w:divBdr>
        </w:div>
        <w:div w:id="1073819993">
          <w:marLeft w:val="0"/>
          <w:marRight w:val="0"/>
          <w:marTop w:val="0"/>
          <w:marBottom w:val="0"/>
          <w:divBdr>
            <w:top w:val="none" w:sz="0" w:space="0" w:color="auto"/>
            <w:left w:val="none" w:sz="0" w:space="0" w:color="auto"/>
            <w:bottom w:val="none" w:sz="0" w:space="0" w:color="auto"/>
            <w:right w:val="none" w:sz="0" w:space="0" w:color="auto"/>
          </w:divBdr>
        </w:div>
        <w:div w:id="126276360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ergiize.org/infrastructure?section=infrastructure.more-details.technology" TargetMode="External"/><Relationship Id="rId18" Type="http://schemas.openxmlformats.org/officeDocument/2006/relationships/comments" Target="comments.xml"/><Relationship Id="rId26" Type="http://schemas.openxmlformats.org/officeDocument/2006/relationships/hyperlink" Target="https://www.caclimateinvestments.ca.gov/priority-populations.%20Refer%20to%20Section%20II.B.3" TargetMode="External"/><Relationship Id="rId21" Type="http://schemas.microsoft.com/office/2018/08/relationships/commentsExtensible" Target="commentsExtensible.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nergiize.org/infrastructure?section=infrastructure.more-details.technolog" TargetMode="External"/><Relationship Id="rId17" Type="http://schemas.openxmlformats.org/officeDocument/2006/relationships/image" Target="media/image2.png"/><Relationship Id="rId25" Type="http://schemas.openxmlformats.org/officeDocument/2006/relationships/hyperlink" Target="https://ssl.arb.ca.gov/lcfsrt/Login.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6/09/relationships/commentsIds" Target="commentsId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solicitations" TargetMode="External"/><Relationship Id="rId24" Type="http://schemas.openxmlformats.org/officeDocument/2006/relationships/hyperlink" Target="https://ssl.arb.ca.gov/lcfsrt/Login.aspx" TargetMode="External"/><Relationship Id="rId32" Type="http://schemas.openxmlformats.org/officeDocument/2006/relationships/footer" Target="footer2.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energiize.org/infrastructure?section=infrastructure.more-details.technology" TargetMode="External"/><Relationship Id="rId23" Type="http://schemas.openxmlformats.org/officeDocument/2006/relationships/hyperlink" Target="https://ww2.arb.ca.gov/our-work/programs/low-carbon-fuel-standard/lcfs-guidance-documents-user-guides-and-faqs" TargetMode="External"/><Relationship Id="rId28" Type="http://schemas.openxmlformats.org/officeDocument/2006/relationships/image" Target="media/image3.png"/><Relationship Id="rId36" Type="http://schemas.microsoft.com/office/2019/05/relationships/documenttasks" Target="documenttasks/documenttasks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star.gov/productfinder/product/certified-evse/results" TargetMode="External"/><Relationship Id="rId22" Type="http://schemas.openxmlformats.org/officeDocument/2006/relationships/hyperlink" Target="https://ww2.arb.ca.gov/our-work/programs/low-carbon-fuel-standard/lcfs-guidance-documents-user-guides-and-faqs" TargetMode="External"/><Relationship Id="rId27" Type="http://schemas.openxmlformats.org/officeDocument/2006/relationships/hyperlink" Target="https://www.energy.ca.gov/funding-opportunities/funding-resource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documenttasks/documenttasks1.xml><?xml version="1.0" encoding="utf-8"?>
<t:Tasks xmlns:t="http://schemas.microsoft.com/office/tasks/2019/documenttasks" xmlns:oel="http://schemas.microsoft.com/office/2019/extlst">
  <t:Task id="{4D13FF67-EA6C-4294-824D-5BE97CDEFF6D}">
    <t:Anchor>
      <t:Comment id="751400195"/>
    </t:Anchor>
    <t:History>
      <t:Event id="{310F7CC7-18BC-44EF-BF99-192E4374B626}" time="2025-11-20T17:51:47.843Z">
        <t:Attribution userId="S::Chester.Hong@energy.ca.gov::a1c33bab-f97f-40ab-9049-24551552f9da" userProvider="AD" userName="Hong, Chester@Energy"/>
        <t:Anchor>
          <t:Comment id="751400194"/>
        </t:Anchor>
        <t:Create/>
      </t:Event>
      <t:Event id="{CD9BB0EA-DE3F-4B89-A973-87C0A712893A}" time="2025-11-20T17:51:47.843Z">
        <t:Attribution userId="S::Chester.Hong@energy.ca.gov::a1c33bab-f97f-40ab-9049-24551552f9da" userProvider="AD" userName="Hong, Chester@Energy"/>
        <t:Anchor>
          <t:Comment id="751400194"/>
        </t:Anchor>
        <t:Assign userId="S::Kathryn.Reid@energy.ca.gov::4f37dc49-0d40-4de1-a53d-81e1dd7275fb" userProvider="AD" userName="Reid, Kathryn@Energy"/>
      </t:Event>
      <t:Event id="{0AEF0B30-2984-4D6D-9F6F-B304BB64D37D}" time="2025-11-20T17:51:47.843Z">
        <t:Attribution userId="S::Chester.Hong@energy.ca.gov::a1c33bab-f97f-40ab-9049-24551552f9da" userProvider="AD" userName="Hong, Chester@Energy"/>
        <t:Anchor>
          <t:Comment id="751400194"/>
        </t:Anchor>
        <t:SetTitle title="@Reid, Kathryn@Energy Hi katherine! Please address the duplicative footer. Thank you, Ches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60CB75AD-9B6E-4A44-9834-2F798A227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6245</Words>
  <Characters>35601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41763</CharactersWithSpaces>
  <SharedDoc>false</SharedDoc>
  <HLinks>
    <vt:vector size="96" baseType="variant">
      <vt:variant>
        <vt:i4>393221</vt:i4>
      </vt:variant>
      <vt:variant>
        <vt:i4>30</vt:i4>
      </vt:variant>
      <vt:variant>
        <vt:i4>0</vt:i4>
      </vt:variant>
      <vt:variant>
        <vt:i4>5</vt:i4>
      </vt:variant>
      <vt:variant>
        <vt:lpwstr>https://www.energy.ca.gov/funding-opportunities/funding-resources</vt:lpwstr>
      </vt:variant>
      <vt:variant>
        <vt:lpwstr/>
      </vt:variant>
      <vt:variant>
        <vt:i4>5570586</vt:i4>
      </vt:variant>
      <vt:variant>
        <vt:i4>27</vt:i4>
      </vt:variant>
      <vt:variant>
        <vt:i4>0</vt:i4>
      </vt:variant>
      <vt:variant>
        <vt:i4>5</vt:i4>
      </vt:variant>
      <vt:variant>
        <vt:lpwstr>https://www.caclimateinvestments.ca.gov/priority-populations. Refer to Section II.B.3</vt:lpwstr>
      </vt:variant>
      <vt:variant>
        <vt:lpwstr/>
      </vt:variant>
      <vt:variant>
        <vt:i4>1310785</vt:i4>
      </vt:variant>
      <vt:variant>
        <vt:i4>24</vt:i4>
      </vt:variant>
      <vt:variant>
        <vt:i4>0</vt:i4>
      </vt:variant>
      <vt:variant>
        <vt:i4>5</vt:i4>
      </vt:variant>
      <vt:variant>
        <vt:lpwstr>https://ssl.arb.ca.gov/lcfsrt/Login.aspx</vt:lpwstr>
      </vt:variant>
      <vt:variant>
        <vt:lpwstr/>
      </vt:variant>
      <vt:variant>
        <vt:i4>1310785</vt:i4>
      </vt:variant>
      <vt:variant>
        <vt:i4>21</vt:i4>
      </vt:variant>
      <vt:variant>
        <vt:i4>0</vt:i4>
      </vt:variant>
      <vt:variant>
        <vt:i4>5</vt:i4>
      </vt:variant>
      <vt:variant>
        <vt:lpwstr>https://ssl.arb.ca.gov/lcfsrt/Login.aspx</vt:lpwstr>
      </vt:variant>
      <vt:variant>
        <vt:lpwstr/>
      </vt:variant>
      <vt:variant>
        <vt:i4>3080289</vt:i4>
      </vt:variant>
      <vt:variant>
        <vt:i4>18</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15</vt:i4>
      </vt:variant>
      <vt:variant>
        <vt:i4>0</vt:i4>
      </vt:variant>
      <vt:variant>
        <vt:i4>5</vt:i4>
      </vt:variant>
      <vt:variant>
        <vt:lpwstr>https://ww2.arb.ca.gov/our-work/programs/low-carbon-fuel-standard/lcfs-guidance-documents-user-guides-and-faqs</vt:lpwstr>
      </vt:variant>
      <vt:variant>
        <vt:lpwstr/>
      </vt:variant>
      <vt:variant>
        <vt:i4>7864353</vt:i4>
      </vt:variant>
      <vt:variant>
        <vt:i4>12</vt:i4>
      </vt:variant>
      <vt:variant>
        <vt:i4>0</vt:i4>
      </vt:variant>
      <vt:variant>
        <vt:i4>5</vt:i4>
      </vt:variant>
      <vt:variant>
        <vt:lpwstr>https://www.energiize.org/infrastructure?section=infrastructure.more-details.technology</vt:lpwstr>
      </vt:variant>
      <vt:variant>
        <vt:lpwstr/>
      </vt:variant>
      <vt:variant>
        <vt:i4>7143543</vt:i4>
      </vt:variant>
      <vt:variant>
        <vt:i4>9</vt:i4>
      </vt:variant>
      <vt:variant>
        <vt:i4>0</vt:i4>
      </vt:variant>
      <vt:variant>
        <vt:i4>5</vt:i4>
      </vt:variant>
      <vt:variant>
        <vt:lpwstr>https://www.energystar.gov/productfinder/product/certified-evse/results</vt:lpwstr>
      </vt:variant>
      <vt:variant>
        <vt:lpwstr/>
      </vt:variant>
      <vt:variant>
        <vt:i4>7864353</vt:i4>
      </vt:variant>
      <vt:variant>
        <vt:i4>6</vt:i4>
      </vt:variant>
      <vt:variant>
        <vt:i4>0</vt:i4>
      </vt:variant>
      <vt:variant>
        <vt:i4>5</vt:i4>
      </vt:variant>
      <vt:variant>
        <vt:lpwstr>https://www.energiize.org/infrastructure?section=infrastructure.more-details.technology</vt:lpwstr>
      </vt:variant>
      <vt:variant>
        <vt:lpwstr/>
      </vt:variant>
      <vt:variant>
        <vt:i4>7864353</vt:i4>
      </vt:variant>
      <vt:variant>
        <vt:i4>3</vt:i4>
      </vt:variant>
      <vt:variant>
        <vt:i4>0</vt:i4>
      </vt:variant>
      <vt:variant>
        <vt:i4>5</vt:i4>
      </vt:variant>
      <vt:variant>
        <vt:lpwstr>https://www.energiize.org/infrastructure?section=infrastructure.more-details.technolog</vt:lpwstr>
      </vt:variant>
      <vt:variant>
        <vt:lpwstr/>
      </vt:variant>
      <vt:variant>
        <vt:i4>4194311</vt:i4>
      </vt:variant>
      <vt:variant>
        <vt:i4>0</vt:i4>
      </vt:variant>
      <vt:variant>
        <vt:i4>0</vt:i4>
      </vt:variant>
      <vt:variant>
        <vt:i4>5</vt:i4>
      </vt:variant>
      <vt:variant>
        <vt:lpwstr>https://www.energy.ca.gov/funding-opportunities/solicitations</vt:lpwstr>
      </vt:variant>
      <vt:variant>
        <vt:lpwstr/>
      </vt:variant>
      <vt:variant>
        <vt:i4>8192090</vt:i4>
      </vt:variant>
      <vt:variant>
        <vt:i4>12</vt:i4>
      </vt:variant>
      <vt:variant>
        <vt:i4>0</vt:i4>
      </vt:variant>
      <vt:variant>
        <vt:i4>5</vt:i4>
      </vt:variant>
      <vt:variant>
        <vt:lpwstr>mailto:Kathryn.Reid@energy.ca.gov</vt:lpwstr>
      </vt:variant>
      <vt:variant>
        <vt:lpwstr/>
      </vt:variant>
      <vt:variant>
        <vt:i4>6488157</vt:i4>
      </vt:variant>
      <vt:variant>
        <vt:i4>9</vt:i4>
      </vt:variant>
      <vt:variant>
        <vt:i4>0</vt:i4>
      </vt:variant>
      <vt:variant>
        <vt:i4>5</vt:i4>
      </vt:variant>
      <vt:variant>
        <vt:lpwstr>mailto:Chester.Hong@energy.ca.gov</vt:lpwstr>
      </vt:variant>
      <vt:variant>
        <vt:lpwstr/>
      </vt:variant>
      <vt:variant>
        <vt:i4>6750280</vt:i4>
      </vt:variant>
      <vt:variant>
        <vt:i4>6</vt:i4>
      </vt:variant>
      <vt:variant>
        <vt:i4>0</vt:i4>
      </vt:variant>
      <vt:variant>
        <vt:i4>5</vt:i4>
      </vt:variant>
      <vt:variant>
        <vt:lpwstr>mailto:Phil.Dyer@energy.ca.gov</vt:lpwstr>
      </vt:variant>
      <vt:variant>
        <vt:lpwstr/>
      </vt:variant>
      <vt:variant>
        <vt:i4>6488157</vt:i4>
      </vt:variant>
      <vt:variant>
        <vt:i4>3</vt:i4>
      </vt:variant>
      <vt:variant>
        <vt:i4>0</vt:i4>
      </vt:variant>
      <vt:variant>
        <vt:i4>5</vt:i4>
      </vt:variant>
      <vt:variant>
        <vt:lpwstr>mailto:Chester.Hong@energy.ca.gov</vt:lpwstr>
      </vt:variant>
      <vt:variant>
        <vt:lpwstr/>
      </vt:variant>
      <vt:variant>
        <vt:i4>8192090</vt:i4>
      </vt:variant>
      <vt:variant>
        <vt:i4>0</vt:i4>
      </vt:variant>
      <vt:variant>
        <vt:i4>0</vt:i4>
      </vt:variant>
      <vt:variant>
        <vt:i4>5</vt:i4>
      </vt:variant>
      <vt:variant>
        <vt:lpwstr>mailto:Kathryn.Reid@energy.ca.gov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Dyer, Phil@Energy</cp:lastModifiedBy>
  <cp:revision>10</cp:revision>
  <cp:lastPrinted>2019-04-08T16:38:00Z</cp:lastPrinted>
  <dcterms:created xsi:type="dcterms:W3CDTF">2025-11-21T23:16:00Z</dcterms:created>
  <dcterms:modified xsi:type="dcterms:W3CDTF">2025-11-21T23:25:00Z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