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350B" w14:textId="49B3C26E" w:rsidR="00325C30" w:rsidRPr="00665BFC" w:rsidRDefault="00907C64" w:rsidP="00665BFC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Toc395614811"/>
      <w:r w:rsidRPr="00665BFC">
        <w:rPr>
          <w:rFonts w:ascii="Arial" w:hAnsi="Arial" w:cs="Arial"/>
          <w:b/>
          <w:bCs/>
          <w:color w:val="000000" w:themeColor="text1"/>
          <w:sz w:val="24"/>
          <w:szCs w:val="24"/>
        </w:rPr>
        <w:t>EXHIBIT</w:t>
      </w:r>
      <w:r w:rsidR="00325C30" w:rsidRPr="00665BF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91260" w:rsidRPr="00665BFC">
        <w:rPr>
          <w:rFonts w:ascii="Arial" w:hAnsi="Arial" w:cs="Arial"/>
          <w:b/>
          <w:bCs/>
          <w:color w:val="000000" w:themeColor="text1"/>
          <w:sz w:val="24"/>
          <w:szCs w:val="24"/>
        </w:rPr>
        <w:t>G</w:t>
      </w:r>
      <w:r w:rsidR="00665BFC"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="00325C30" w:rsidRPr="00665BFC">
        <w:rPr>
          <w:rFonts w:ascii="Arial" w:hAnsi="Arial" w:cs="Arial"/>
          <w:b/>
          <w:bCs/>
          <w:color w:val="000000" w:themeColor="text1"/>
          <w:sz w:val="24"/>
          <w:szCs w:val="24"/>
        </w:rPr>
        <w:t>Conflict of Interest</w:t>
      </w:r>
    </w:p>
    <w:p w14:paraId="4DAB3518" w14:textId="551606B2" w:rsidR="00325C30" w:rsidRPr="00907C64" w:rsidRDefault="00325C30" w:rsidP="313D9C71">
      <w:pPr>
        <w:jc w:val="center"/>
        <w:rPr>
          <w:b/>
          <w:bCs/>
        </w:rPr>
      </w:pPr>
    </w:p>
    <w:p w14:paraId="4DAB3519" w14:textId="1ECE13CC" w:rsidR="00325C30" w:rsidRPr="00325C30" w:rsidRDefault="00325C30" w:rsidP="00325C30">
      <w:r>
        <w:t xml:space="preserve">These Special Terms and Conditions prevail over any conflicting terms in </w:t>
      </w:r>
      <w:r w:rsidR="00AA29EC">
        <w:t xml:space="preserve">this </w:t>
      </w:r>
      <w:r>
        <w:t>Agreement</w:t>
      </w:r>
      <w:r w:rsidR="00617299">
        <w:t xml:space="preserve"> </w:t>
      </w:r>
      <w:r w:rsidR="00AC5719">
        <w:t>RFP-25-801</w:t>
      </w:r>
      <w:r w:rsidR="00617299" w:rsidRPr="313D9C71">
        <w:rPr>
          <w:i/>
          <w:iCs/>
        </w:rPr>
        <w:t xml:space="preserve"> </w:t>
      </w:r>
      <w:r w:rsidR="00E72622">
        <w:rPr>
          <w:i/>
          <w:iCs/>
        </w:rPr>
        <w:t>Energy Efficiency Technical Support 2026</w:t>
      </w:r>
      <w:r w:rsidR="00617299">
        <w:t>,</w:t>
      </w:r>
      <w:r>
        <w:t xml:space="preserve"> (Agreement) between </w:t>
      </w:r>
      <w:r w:rsidRPr="00665BFC">
        <w:rPr>
          <w:i/>
          <w:iCs/>
          <w:color w:val="ED0000"/>
        </w:rPr>
        <w:t>[</w:t>
      </w:r>
      <w:r w:rsidR="00160ACC" w:rsidRPr="00665BFC">
        <w:rPr>
          <w:i/>
          <w:iCs/>
          <w:color w:val="A10000"/>
          <w:highlight w:val="yellow"/>
        </w:rPr>
        <w:t>CAO</w:t>
      </w:r>
      <w:r w:rsidR="00160ACC" w:rsidRPr="00665BFC">
        <w:rPr>
          <w:i/>
          <w:iCs/>
          <w:color w:val="ED0000"/>
        </w:rPr>
        <w:t xml:space="preserve"> </w:t>
      </w:r>
      <w:r w:rsidRPr="00665BFC">
        <w:rPr>
          <w:i/>
          <w:iCs/>
          <w:color w:val="ED0000"/>
        </w:rPr>
        <w:t>enter Contractor’s name]</w:t>
      </w:r>
      <w:r w:rsidRPr="00665BFC">
        <w:rPr>
          <w:color w:val="ED0000"/>
        </w:rPr>
        <w:t xml:space="preserve"> </w:t>
      </w:r>
      <w:r>
        <w:t>(Contractor) and the California Energy Commission (Energy Commission), of which this Exhibit is a part</w:t>
      </w:r>
      <w:r w:rsidR="00AA29EC">
        <w:t>, including the General Terms and Conditions</w:t>
      </w:r>
      <w:r>
        <w:t xml:space="preserve">. </w:t>
      </w:r>
    </w:p>
    <w:p w14:paraId="4DAB351A" w14:textId="77777777" w:rsidR="00325C30" w:rsidRPr="00325C30" w:rsidRDefault="00325C30" w:rsidP="00325C30">
      <w:pPr>
        <w:rPr>
          <w:bCs/>
          <w:iCs/>
        </w:rPr>
      </w:pPr>
      <w:r w:rsidRPr="00325C30">
        <w:rPr>
          <w:bCs/>
          <w:iCs/>
        </w:rPr>
        <w:t xml:space="preserve"> </w:t>
      </w:r>
    </w:p>
    <w:p w14:paraId="4C311B52" w14:textId="77777777" w:rsidR="00932F64" w:rsidRDefault="00325C30" w:rsidP="00325C30">
      <w:pPr>
        <w:numPr>
          <w:ilvl w:val="0"/>
          <w:numId w:val="2"/>
        </w:numPr>
        <w:rPr>
          <w:bCs/>
          <w:iCs/>
        </w:rPr>
      </w:pPr>
      <w:r w:rsidRPr="00325C30">
        <w:rPr>
          <w:bCs/>
          <w:iCs/>
        </w:rPr>
        <w:t>Applicability of Laws</w:t>
      </w:r>
      <w:r w:rsidR="00932F64">
        <w:rPr>
          <w:bCs/>
          <w:iCs/>
        </w:rPr>
        <w:t xml:space="preserve"> and Definitions</w:t>
      </w:r>
      <w:r w:rsidRPr="00325C30">
        <w:rPr>
          <w:bCs/>
          <w:iCs/>
        </w:rPr>
        <w:t xml:space="preserve">. </w:t>
      </w:r>
    </w:p>
    <w:p w14:paraId="5643AB51" w14:textId="6C546933" w:rsidR="00932F64" w:rsidRDefault="00325C30" w:rsidP="00932F64">
      <w:pPr>
        <w:numPr>
          <w:ilvl w:val="1"/>
          <w:numId w:val="2"/>
        </w:numPr>
        <w:rPr>
          <w:bCs/>
          <w:iCs/>
        </w:rPr>
      </w:pPr>
      <w:r w:rsidRPr="00325C30">
        <w:rPr>
          <w:bCs/>
          <w:iCs/>
        </w:rPr>
        <w:t xml:space="preserve">Contractor agrees that California conflict of interest laws, including but not limited to Government Code sections 81000 </w:t>
      </w:r>
      <w:r w:rsidRPr="00325C30">
        <w:rPr>
          <w:bCs/>
          <w:i/>
          <w:iCs/>
        </w:rPr>
        <w:t>et seq</w:t>
      </w:r>
      <w:r w:rsidRPr="00325C30">
        <w:rPr>
          <w:bCs/>
          <w:iCs/>
        </w:rPr>
        <w:t xml:space="preserve">. and 1090 </w:t>
      </w:r>
      <w:r w:rsidRPr="00325C30">
        <w:rPr>
          <w:bCs/>
          <w:i/>
          <w:iCs/>
        </w:rPr>
        <w:t>et seq</w:t>
      </w:r>
      <w:r w:rsidRPr="00325C30">
        <w:rPr>
          <w:bCs/>
          <w:iCs/>
        </w:rPr>
        <w:t>., apply to Contractor</w:t>
      </w:r>
      <w:r w:rsidR="00932F64">
        <w:rPr>
          <w:bCs/>
          <w:iCs/>
        </w:rPr>
        <w:t xml:space="preserve">, </w:t>
      </w:r>
      <w:r w:rsidR="00AA29EC">
        <w:rPr>
          <w:bCs/>
          <w:iCs/>
        </w:rPr>
        <w:t>its subcontractors and project partners</w:t>
      </w:r>
      <w:r w:rsidR="00932F64">
        <w:rPr>
          <w:bCs/>
          <w:iCs/>
        </w:rPr>
        <w:t>, and their employees</w:t>
      </w:r>
      <w:r w:rsidRPr="00325C30">
        <w:rPr>
          <w:bCs/>
          <w:iCs/>
        </w:rPr>
        <w:t xml:space="preserve"> under this Agreement.</w:t>
      </w:r>
      <w:r w:rsidR="00162479">
        <w:rPr>
          <w:bCs/>
          <w:iCs/>
        </w:rPr>
        <w:t xml:space="preserve">  </w:t>
      </w:r>
    </w:p>
    <w:p w14:paraId="22E94F10" w14:textId="6305CE3B" w:rsidR="00932F64" w:rsidRDefault="00932F64" w:rsidP="00932F64">
      <w:pPr>
        <w:numPr>
          <w:ilvl w:val="1"/>
          <w:numId w:val="2"/>
        </w:numPr>
        <w:rPr>
          <w:bCs/>
          <w:iCs/>
        </w:rPr>
      </w:pPr>
      <w:r>
        <w:rPr>
          <w:bCs/>
          <w:iCs/>
        </w:rPr>
        <w:t>T</w:t>
      </w:r>
      <w:r w:rsidR="00162479">
        <w:rPr>
          <w:bCs/>
          <w:iCs/>
        </w:rPr>
        <w:t xml:space="preserve">he term “subcontractor” </w:t>
      </w:r>
      <w:r>
        <w:rPr>
          <w:bCs/>
          <w:iCs/>
        </w:rPr>
        <w:t xml:space="preserve">in this Exhibit </w:t>
      </w:r>
      <w:r w:rsidR="00291260">
        <w:rPr>
          <w:bCs/>
          <w:iCs/>
        </w:rPr>
        <w:t>G</w:t>
      </w:r>
      <w:r>
        <w:rPr>
          <w:bCs/>
          <w:iCs/>
        </w:rPr>
        <w:t xml:space="preserve"> </w:t>
      </w:r>
      <w:r w:rsidR="00162479">
        <w:rPr>
          <w:bCs/>
          <w:iCs/>
        </w:rPr>
        <w:t xml:space="preserve">means not only the direct subcontractors to Contractor but also any lower tier level of subcontractor (e.g., sub-subcontractors, sub-sub-subcontractors, etc.).  </w:t>
      </w:r>
    </w:p>
    <w:p w14:paraId="4DAB351B" w14:textId="027832B5" w:rsidR="00325C30" w:rsidRDefault="00932F64" w:rsidP="00932F64">
      <w:pPr>
        <w:numPr>
          <w:ilvl w:val="1"/>
          <w:numId w:val="2"/>
        </w:numPr>
        <w:rPr>
          <w:bCs/>
          <w:iCs/>
        </w:rPr>
      </w:pPr>
      <w:r>
        <w:rPr>
          <w:bCs/>
          <w:iCs/>
        </w:rPr>
        <w:t xml:space="preserve">Unless specifically otherwise provided, the term “employees” or “their employees” as used in this Exhibit </w:t>
      </w:r>
      <w:r w:rsidR="00291260">
        <w:rPr>
          <w:bCs/>
          <w:iCs/>
        </w:rPr>
        <w:t>H</w:t>
      </w:r>
      <w:r>
        <w:rPr>
          <w:bCs/>
          <w:iCs/>
        </w:rPr>
        <w:t xml:space="preserve">, means the employees of the Contractor, subcontractors, and project partners.  </w:t>
      </w:r>
    </w:p>
    <w:p w14:paraId="583E07CB" w14:textId="15C3F418" w:rsidR="00932F64" w:rsidRPr="00325C30" w:rsidRDefault="00932F64" w:rsidP="00932F64">
      <w:pPr>
        <w:numPr>
          <w:ilvl w:val="1"/>
          <w:numId w:val="2"/>
        </w:numPr>
        <w:rPr>
          <w:bCs/>
          <w:iCs/>
        </w:rPr>
      </w:pPr>
      <w:r>
        <w:rPr>
          <w:bCs/>
          <w:iCs/>
        </w:rPr>
        <w:t xml:space="preserve">The phrase “working under this Agreement” and similar phrases in this Exhibit </w:t>
      </w:r>
      <w:r w:rsidR="00291260">
        <w:rPr>
          <w:bCs/>
          <w:iCs/>
        </w:rPr>
        <w:t>G</w:t>
      </w:r>
      <w:r>
        <w:rPr>
          <w:bCs/>
          <w:iCs/>
        </w:rPr>
        <w:t xml:space="preserve"> include work by Contractor, subcontractors, project partners, and their employees.  </w:t>
      </w:r>
    </w:p>
    <w:p w14:paraId="4DAB351C" w14:textId="77777777" w:rsidR="00325C30" w:rsidRPr="00325C30" w:rsidRDefault="00325C30" w:rsidP="00325C30">
      <w:pPr>
        <w:rPr>
          <w:bCs/>
          <w:iCs/>
        </w:rPr>
      </w:pPr>
    </w:p>
    <w:p w14:paraId="4DAB351D" w14:textId="589D45DE" w:rsidR="00325C30" w:rsidRPr="00325C30" w:rsidRDefault="00325C30" w:rsidP="00325C30">
      <w:pPr>
        <w:numPr>
          <w:ilvl w:val="0"/>
          <w:numId w:val="2"/>
        </w:numPr>
        <w:rPr>
          <w:bCs/>
          <w:iCs/>
        </w:rPr>
      </w:pPr>
      <w:r w:rsidRPr="00325C30">
        <w:rPr>
          <w:bCs/>
          <w:iCs/>
        </w:rPr>
        <w:t>Contractor’s Responsibility for Compliance. Contractor shall avoid</w:t>
      </w:r>
      <w:r w:rsidR="00AA29EC">
        <w:rPr>
          <w:bCs/>
          <w:iCs/>
        </w:rPr>
        <w:t xml:space="preserve">, and </w:t>
      </w:r>
      <w:r w:rsidR="00162479">
        <w:rPr>
          <w:bCs/>
          <w:iCs/>
        </w:rPr>
        <w:t>shall</w:t>
      </w:r>
      <w:r w:rsidR="00AA29EC">
        <w:rPr>
          <w:bCs/>
          <w:iCs/>
        </w:rPr>
        <w:t xml:space="preserve"> ensure all subcontractors</w:t>
      </w:r>
      <w:r w:rsidR="00932F64">
        <w:rPr>
          <w:bCs/>
          <w:iCs/>
        </w:rPr>
        <w:t xml:space="preserve">, </w:t>
      </w:r>
      <w:r w:rsidR="00AA29EC">
        <w:rPr>
          <w:bCs/>
          <w:iCs/>
        </w:rPr>
        <w:t>project partners</w:t>
      </w:r>
      <w:r w:rsidR="00932F64">
        <w:rPr>
          <w:bCs/>
          <w:iCs/>
        </w:rPr>
        <w:t>, and their employees</w:t>
      </w:r>
      <w:r w:rsidR="00AA29EC">
        <w:rPr>
          <w:bCs/>
          <w:iCs/>
        </w:rPr>
        <w:t xml:space="preserve"> avoid,</w:t>
      </w:r>
      <w:r w:rsidRPr="00325C30">
        <w:rPr>
          <w:bCs/>
          <w:iCs/>
        </w:rPr>
        <w:t xml:space="preserve"> all conflicts of interest in the performance of this Agreement. Contractor</w:t>
      </w:r>
      <w:r w:rsidR="00162479">
        <w:rPr>
          <w:bCs/>
          <w:iCs/>
        </w:rPr>
        <w:t>, subcontractors, project partners</w:t>
      </w:r>
      <w:r w:rsidR="00932F64">
        <w:rPr>
          <w:bCs/>
          <w:iCs/>
        </w:rPr>
        <w:t>,</w:t>
      </w:r>
      <w:r w:rsidRPr="00325C30">
        <w:rPr>
          <w:bCs/>
          <w:iCs/>
        </w:rPr>
        <w:t xml:space="preserve"> and </w:t>
      </w:r>
      <w:r w:rsidR="00932F64">
        <w:rPr>
          <w:bCs/>
          <w:iCs/>
        </w:rPr>
        <w:t xml:space="preserve">their </w:t>
      </w:r>
      <w:r w:rsidRPr="00325C30">
        <w:rPr>
          <w:bCs/>
          <w:iCs/>
        </w:rPr>
        <w:t xml:space="preserve">employees are responsible for compliance with California conflict of interest laws, including but not limited to Government Code sections 81000 </w:t>
      </w:r>
      <w:r w:rsidRPr="00325C30">
        <w:rPr>
          <w:bCs/>
          <w:i/>
          <w:iCs/>
        </w:rPr>
        <w:t>et seq</w:t>
      </w:r>
      <w:r w:rsidRPr="00325C30">
        <w:rPr>
          <w:bCs/>
          <w:iCs/>
        </w:rPr>
        <w:t xml:space="preserve">. (Political Reform Act) and 1090 </w:t>
      </w:r>
      <w:r w:rsidRPr="00325C30">
        <w:rPr>
          <w:bCs/>
          <w:i/>
          <w:iCs/>
        </w:rPr>
        <w:t>et seq</w:t>
      </w:r>
      <w:r w:rsidRPr="00325C30">
        <w:rPr>
          <w:bCs/>
          <w:iCs/>
        </w:rPr>
        <w:t xml:space="preserve">., as well as all other applicable laws, ordinances, regulations, and standards. </w:t>
      </w:r>
    </w:p>
    <w:p w14:paraId="4DAB351E" w14:textId="2C5043DA" w:rsidR="00325C30" w:rsidRPr="00325C30" w:rsidRDefault="00325C30" w:rsidP="00325C30">
      <w:pPr>
        <w:numPr>
          <w:ilvl w:val="1"/>
          <w:numId w:val="2"/>
        </w:numPr>
        <w:rPr>
          <w:bCs/>
          <w:iCs/>
        </w:rPr>
      </w:pPr>
      <w:r w:rsidRPr="00325C30">
        <w:rPr>
          <w:bCs/>
          <w:iCs/>
        </w:rPr>
        <w:t xml:space="preserve">Contractor shall make </w:t>
      </w:r>
      <w:r w:rsidR="00162479">
        <w:rPr>
          <w:bCs/>
          <w:iCs/>
        </w:rPr>
        <w:t>subcontractors,</w:t>
      </w:r>
      <w:r w:rsidR="00932F64">
        <w:rPr>
          <w:bCs/>
          <w:iCs/>
        </w:rPr>
        <w:t xml:space="preserve"> </w:t>
      </w:r>
      <w:r w:rsidR="00162479">
        <w:rPr>
          <w:bCs/>
          <w:iCs/>
        </w:rPr>
        <w:t>project partners</w:t>
      </w:r>
      <w:r w:rsidR="00932F64">
        <w:rPr>
          <w:bCs/>
          <w:iCs/>
        </w:rPr>
        <w:t xml:space="preserve">, and their employees </w:t>
      </w:r>
      <w:r w:rsidRPr="00325C30">
        <w:rPr>
          <w:bCs/>
          <w:iCs/>
        </w:rPr>
        <w:t xml:space="preserve">aware of the provisions in the Political Reform Act and in this </w:t>
      </w:r>
      <w:proofErr w:type="gramStart"/>
      <w:r w:rsidRPr="00325C30">
        <w:rPr>
          <w:bCs/>
          <w:iCs/>
        </w:rPr>
        <w:t>Exhibit, and</w:t>
      </w:r>
      <w:proofErr w:type="gramEnd"/>
      <w:r w:rsidRPr="00325C30">
        <w:rPr>
          <w:bCs/>
          <w:iCs/>
        </w:rPr>
        <w:t xml:space="preserve"> shall enforce them.  Contractor shall ensure that these provisions are included in all subcontracts</w:t>
      </w:r>
      <w:r w:rsidR="00162479">
        <w:rPr>
          <w:bCs/>
          <w:iCs/>
        </w:rPr>
        <w:t xml:space="preserve"> and agreements with project </w:t>
      </w:r>
      <w:proofErr w:type="gramStart"/>
      <w:r w:rsidR="00162479">
        <w:rPr>
          <w:bCs/>
          <w:iCs/>
        </w:rPr>
        <w:t>partners</w:t>
      </w:r>
      <w:r w:rsidRPr="00325C30">
        <w:rPr>
          <w:bCs/>
          <w:iCs/>
        </w:rPr>
        <w:t>, and</w:t>
      </w:r>
      <w:proofErr w:type="gramEnd"/>
      <w:r w:rsidRPr="00325C30">
        <w:rPr>
          <w:bCs/>
          <w:iCs/>
        </w:rPr>
        <w:t xml:space="preserve"> shall enforce them.</w:t>
      </w:r>
    </w:p>
    <w:p w14:paraId="4DAB351F" w14:textId="77777777" w:rsidR="00325C30" w:rsidRPr="00325C30" w:rsidRDefault="00325C30" w:rsidP="00325C30"/>
    <w:p w14:paraId="4DAB3520" w14:textId="77777777" w:rsidR="00325C30" w:rsidRPr="00325C30" w:rsidRDefault="00325C30" w:rsidP="00325C30">
      <w:pPr>
        <w:numPr>
          <w:ilvl w:val="1"/>
          <w:numId w:val="2"/>
        </w:numPr>
      </w:pPr>
      <w:r w:rsidRPr="00325C30">
        <w:t>Contractor understands and agrees that every individual qualifying as a “consultant” under the Political Reform Act has an ongoing duty to avoid conflicts of interest and is personally liable for penalties.</w:t>
      </w:r>
    </w:p>
    <w:p w14:paraId="4DAB3521" w14:textId="77777777" w:rsidR="00325C30" w:rsidRPr="00325C30" w:rsidRDefault="00325C30" w:rsidP="00325C30"/>
    <w:p w14:paraId="4DAB3522" w14:textId="773054FE" w:rsidR="00325C30" w:rsidRPr="00595D95" w:rsidRDefault="00DD6C2D" w:rsidP="00595D95">
      <w:pPr>
        <w:numPr>
          <w:ilvl w:val="1"/>
          <w:numId w:val="2"/>
        </w:numPr>
      </w:pPr>
      <w:r>
        <w:t>Individuals</w:t>
      </w:r>
      <w:r w:rsidR="00325C30">
        <w:t xml:space="preserve"> De</w:t>
      </w:r>
      <w:r w:rsidR="00F916DC">
        <w:t>signat</w:t>
      </w:r>
      <w:r>
        <w:t>ed as</w:t>
      </w:r>
      <w:r w:rsidR="00F916DC">
        <w:t xml:space="preserve"> Consulta</w:t>
      </w:r>
      <w:r>
        <w:t>nts</w:t>
      </w:r>
      <w:r w:rsidR="00325C30">
        <w:t xml:space="preserve">. All employees working on Tasks </w:t>
      </w:r>
      <w:r w:rsidR="43E66E7D">
        <w:t xml:space="preserve">2 – </w:t>
      </w:r>
      <w:r w:rsidR="4A8CE5FD">
        <w:t>5</w:t>
      </w:r>
      <w:r w:rsidR="00CE1BD4">
        <w:t xml:space="preserve"> are</w:t>
      </w:r>
      <w:r w:rsidR="00325C30">
        <w:t xml:space="preserve"> “</w:t>
      </w:r>
      <w:r w:rsidR="001D3541">
        <w:t>c</w:t>
      </w:r>
      <w:r w:rsidR="00325C30">
        <w:t xml:space="preserve">onsultants” </w:t>
      </w:r>
      <w:r w:rsidR="00245850">
        <w:t>assigned to Disclosure Categor</w:t>
      </w:r>
      <w:r w:rsidR="3BCE4652">
        <w:t>y 1.</w:t>
      </w:r>
      <w:r w:rsidR="00C254A6" w:rsidRPr="21B507B7">
        <w:rPr>
          <w:color w:val="0070C0"/>
        </w:rPr>
        <w:t xml:space="preserve"> </w:t>
      </w:r>
      <w:r w:rsidR="00C254A6">
        <w:t>A description of the disclosure categories in Title 20 California Code of Regulations sections 2401 and 240</w:t>
      </w:r>
      <w:r w:rsidR="00C342DF">
        <w:t>2</w:t>
      </w:r>
      <w:r w:rsidR="00C254A6">
        <w:t xml:space="preserve"> is located at: </w:t>
      </w:r>
      <w:hyperlink r:id="rId11">
        <w:r w:rsidR="00CE1BD4" w:rsidRPr="21B507B7">
          <w:rPr>
            <w:rStyle w:val="Hyperlink"/>
            <w:rFonts w:eastAsia="Arial"/>
          </w:rPr>
          <w:t>https://govt.westlaw.com/calregs/Browse/Home/California/CaliforniaCodeofRegulations?guid=IDD8BD5705CCE11EC9220000D3A7C4BC3</w:t>
        </w:r>
      </w:hyperlink>
      <w:r w:rsidR="00C254A6">
        <w:t xml:space="preserve">.    </w:t>
      </w:r>
      <w:r w:rsidR="5B2470E4">
        <w:t xml:space="preserve"> </w:t>
      </w:r>
      <w:r w:rsidR="00245850">
        <w:t xml:space="preserve"> </w:t>
      </w:r>
      <w:r w:rsidR="00C254A6">
        <w:lastRenderedPageBreak/>
        <w:t xml:space="preserve">Consultants are </w:t>
      </w:r>
      <w:r w:rsidR="00325C30">
        <w:t xml:space="preserve">subject to the requirements and restrictions of the Political Reform </w:t>
      </w:r>
      <w:proofErr w:type="gramStart"/>
      <w:r w:rsidR="00325C30">
        <w:t>Act, and</w:t>
      </w:r>
      <w:proofErr w:type="gramEnd"/>
      <w:r w:rsidR="00325C30">
        <w:t xml:space="preserve"> shall file an original Form 700 with the Energy Commission (See Government Code sections 82019 and 87302), except those employees working in strictly administrative job classifications. </w:t>
      </w:r>
      <w:r w:rsidR="00497289">
        <w:t xml:space="preserve"> Contractor and the Commission Agreement Manager may work together to narrow the list of consultants as job duties are more specifically defined. </w:t>
      </w:r>
      <w:r w:rsidR="00325C30">
        <w:t>The following job classifi</w:t>
      </w:r>
      <w:r w:rsidR="00CE1BD4">
        <w:t>cation is</w:t>
      </w:r>
      <w:r w:rsidR="00325C30">
        <w:t xml:space="preserve"> strictly administrative:</w:t>
      </w:r>
      <w:r w:rsidR="00CE1BD4">
        <w:t xml:space="preserve"> Accountant.</w:t>
      </w:r>
    </w:p>
    <w:p w14:paraId="4DAB3523" w14:textId="77777777" w:rsidR="00581156" w:rsidRPr="00581156" w:rsidRDefault="00581156" w:rsidP="0092543A">
      <w:pPr>
        <w:ind w:left="1440"/>
        <w:rPr>
          <w:bCs/>
          <w:iCs/>
          <w:color w:val="FF0000"/>
        </w:rPr>
      </w:pPr>
    </w:p>
    <w:p w14:paraId="4DAB3524" w14:textId="4459E34A" w:rsidR="00325C30" w:rsidRPr="00325C30" w:rsidRDefault="00325C30" w:rsidP="0092543A">
      <w:pPr>
        <w:ind w:left="1440"/>
      </w:pPr>
      <w:r>
        <w:t xml:space="preserve">Employees working only on strictly administrative tasks, </w:t>
      </w:r>
      <w:r w:rsidRPr="00F955C8">
        <w:t>including Task</w:t>
      </w:r>
      <w:r w:rsidR="003F0ACD" w:rsidRPr="00F955C8">
        <w:t xml:space="preserve"> </w:t>
      </w:r>
      <w:r w:rsidR="23702CD6" w:rsidRPr="00F955C8">
        <w:t>1.1 - 1.6</w:t>
      </w:r>
      <w:r w:rsidRPr="00F955C8">
        <w:t xml:space="preserve"> are</w:t>
      </w:r>
      <w:r>
        <w:t xml:space="preserve"> not consultants and </w:t>
      </w:r>
      <w:r w:rsidR="007C02F6">
        <w:t xml:space="preserve">do not </w:t>
      </w:r>
      <w:r>
        <w:t xml:space="preserve">need </w:t>
      </w:r>
      <w:r w:rsidR="007C02F6">
        <w:t>to</w:t>
      </w:r>
      <w:r>
        <w:t xml:space="preserve"> file a Form 700 unless directed to do so by the Energy Commission.</w:t>
      </w:r>
    </w:p>
    <w:p w14:paraId="4DAB3525" w14:textId="77777777" w:rsidR="00325C30" w:rsidRPr="00325C30" w:rsidRDefault="00325C30" w:rsidP="00325C30"/>
    <w:p w14:paraId="4DAB3526" w14:textId="71D749F0" w:rsidR="00325C30" w:rsidRPr="00325C30" w:rsidRDefault="00325C30" w:rsidP="00325C30">
      <w:pPr>
        <w:numPr>
          <w:ilvl w:val="1"/>
          <w:numId w:val="2"/>
        </w:numPr>
      </w:pPr>
      <w:r w:rsidRPr="00325C30">
        <w:t xml:space="preserve">Contractor is responsible for having consultants complete Form 700s and Contractor is responsible for reviewing each Form 700 at multiple points: 1) within 30 business days from the date </w:t>
      </w:r>
      <w:r w:rsidR="00864E23">
        <w:t>a</w:t>
      </w:r>
      <w:r w:rsidRPr="00325C30">
        <w:t xml:space="preserve"> </w:t>
      </w:r>
      <w:r w:rsidR="001D3541">
        <w:t>c</w:t>
      </w:r>
      <w:r w:rsidRPr="00325C30">
        <w:t>onsultant begins work under the Agreement; 2) at least every twelve months until the Agreement end date; and 3) within 30 days of the end date of the Agreement</w:t>
      </w:r>
      <w:r w:rsidR="006970F5">
        <w:t xml:space="preserve"> or</w:t>
      </w:r>
      <w:r w:rsidR="005367C0">
        <w:t xml:space="preserve"> after the consultant ends their work under the Agreement</w:t>
      </w:r>
      <w:r w:rsidRPr="00325C30">
        <w:t>. These points of review will ensure that each employee</w:t>
      </w:r>
      <w:r w:rsidR="00932F64">
        <w:t>,</w:t>
      </w:r>
      <w:r w:rsidRPr="00325C30">
        <w:t xml:space="preserve"> subcontractor</w:t>
      </w:r>
      <w:r w:rsidR="00932F64">
        <w:t>, and project partner</w:t>
      </w:r>
      <w:r w:rsidRPr="00325C30">
        <w:t xml:space="preserve"> has considered their relationship with the Contractor and other project entities, as such entities are subject to change over the life of the project. </w:t>
      </w:r>
    </w:p>
    <w:p w14:paraId="4DAB3527" w14:textId="77777777" w:rsidR="00325C30" w:rsidRPr="00325C30" w:rsidRDefault="00325C30" w:rsidP="00325C30"/>
    <w:p w14:paraId="4DAB3528" w14:textId="7D22A146" w:rsidR="00325C30" w:rsidRPr="00325C30" w:rsidRDefault="00325C30" w:rsidP="00325C30">
      <w:pPr>
        <w:numPr>
          <w:ilvl w:val="1"/>
          <w:numId w:val="2"/>
        </w:numPr>
      </w:pPr>
      <w:r w:rsidRPr="00325C30">
        <w:t xml:space="preserve">Contractor is responsible for ensuring that consultants complete the online ethics training </w:t>
      </w:r>
      <w:r w:rsidR="00754391">
        <w:t xml:space="preserve">within </w:t>
      </w:r>
      <w:r w:rsidR="00D2101E">
        <w:t>six</w:t>
      </w:r>
      <w:r w:rsidR="00754391">
        <w:t xml:space="preserve"> months of </w:t>
      </w:r>
      <w:r w:rsidR="004F7CC5">
        <w:t xml:space="preserve">beginning work under </w:t>
      </w:r>
      <w:r w:rsidR="00932F64">
        <w:t>this Agreement</w:t>
      </w:r>
      <w:r w:rsidR="00754391">
        <w:t>,</w:t>
      </w:r>
      <w:r w:rsidR="004F7CC5">
        <w:t xml:space="preserve"> and </w:t>
      </w:r>
      <w:r w:rsidRPr="00325C30">
        <w:t xml:space="preserve">at least once every two years </w:t>
      </w:r>
      <w:r w:rsidR="004F7CC5">
        <w:t>thereafter</w:t>
      </w:r>
      <w:r w:rsidR="00754391">
        <w:t>,</w:t>
      </w:r>
      <w:r w:rsidR="004F7CC5">
        <w:t xml:space="preserve"> </w:t>
      </w:r>
      <w:r w:rsidRPr="00325C30">
        <w:t>as required by Government Code section 11146</w:t>
      </w:r>
      <w:r w:rsidR="006C7F3A">
        <w:t xml:space="preserve"> </w:t>
      </w:r>
      <w:r w:rsidR="006C7F3A">
        <w:rPr>
          <w:i/>
          <w:iCs/>
        </w:rPr>
        <w:t>et seq</w:t>
      </w:r>
      <w:r w:rsidRPr="00325C30">
        <w:t xml:space="preserve">. The training is provided by the Fair Political Practices Commission and the California Office of the Attorney General and is available at </w:t>
      </w:r>
      <w:hyperlink r:id="rId12" w:history="1">
        <w:r w:rsidRPr="00245850">
          <w:rPr>
            <w:rStyle w:val="Hyperlink"/>
            <w:color w:val="auto"/>
          </w:rPr>
          <w:t>https://oag.ca.gov/ethics/course</w:t>
        </w:r>
      </w:hyperlink>
      <w:r w:rsidRPr="00245850">
        <w:t>. Co</w:t>
      </w:r>
      <w:r w:rsidRPr="00325C30">
        <w:t xml:space="preserve">ntractor shall provide records to the Energy Commission Filing Officer indicating </w:t>
      </w:r>
      <w:r w:rsidR="00C02A4D">
        <w:t xml:space="preserve">each consultant’s </w:t>
      </w:r>
      <w:r w:rsidRPr="00325C30">
        <w:t xml:space="preserve">name, job </w:t>
      </w:r>
      <w:r w:rsidR="008F480F">
        <w:t>classification</w:t>
      </w:r>
      <w:r w:rsidRPr="00325C30">
        <w:t>, and date of completion of the course.</w:t>
      </w:r>
    </w:p>
    <w:p w14:paraId="4DAB3529" w14:textId="77777777" w:rsidR="00325C30" w:rsidRPr="00325C30" w:rsidRDefault="00325C30" w:rsidP="00325C30"/>
    <w:p w14:paraId="4DAB352A" w14:textId="11920CED" w:rsidR="00325C30" w:rsidRPr="00864E23" w:rsidRDefault="00325C30" w:rsidP="00325C30">
      <w:pPr>
        <w:numPr>
          <w:ilvl w:val="1"/>
          <w:numId w:val="2"/>
        </w:numPr>
        <w:rPr>
          <w:b/>
          <w:bCs/>
        </w:rPr>
      </w:pPr>
      <w:r w:rsidRPr="00864E23">
        <w:rPr>
          <w:b/>
          <w:bCs/>
        </w:rPr>
        <w:t>Failure to file a Form 700, or failure to meet training requirements of Government Code 11146</w:t>
      </w:r>
      <w:r w:rsidR="008F480F" w:rsidRPr="00864E23">
        <w:rPr>
          <w:b/>
          <w:bCs/>
        </w:rPr>
        <w:t xml:space="preserve"> </w:t>
      </w:r>
      <w:r w:rsidR="008F480F" w:rsidRPr="00864E23">
        <w:rPr>
          <w:b/>
          <w:bCs/>
          <w:i/>
          <w:iCs/>
        </w:rPr>
        <w:t>et seq.</w:t>
      </w:r>
      <w:r w:rsidRPr="00864E23">
        <w:rPr>
          <w:b/>
          <w:bCs/>
        </w:rPr>
        <w:t xml:space="preserve">, can result in automatic daily fines and other consequences.  </w:t>
      </w:r>
    </w:p>
    <w:p w14:paraId="4DAB352B" w14:textId="77777777" w:rsidR="00325C30" w:rsidRPr="00325C30" w:rsidRDefault="00325C30" w:rsidP="00325C30"/>
    <w:p w14:paraId="4DAB352C" w14:textId="77777777" w:rsidR="00325C30" w:rsidRPr="00325C30" w:rsidRDefault="00325C30" w:rsidP="00325C30"/>
    <w:p w14:paraId="4DAB352D" w14:textId="26397E6C" w:rsidR="00325C30" w:rsidRPr="00325C30" w:rsidRDefault="00325C30" w:rsidP="00325C30">
      <w:pPr>
        <w:numPr>
          <w:ilvl w:val="0"/>
          <w:numId w:val="2"/>
        </w:numPr>
        <w:rPr>
          <w:bCs/>
          <w:iCs/>
        </w:rPr>
      </w:pPr>
      <w:r w:rsidRPr="00325C30">
        <w:rPr>
          <w:bCs/>
          <w:iCs/>
        </w:rPr>
        <w:t>Reservation of Right to Require Form 700 from Any Employee. The Energy Commission reserves the right to require any individual working under this Agreement to file Form 700</w:t>
      </w:r>
      <w:r w:rsidR="00AA29EC">
        <w:rPr>
          <w:bCs/>
          <w:iCs/>
        </w:rPr>
        <w:t>s</w:t>
      </w:r>
      <w:r w:rsidRPr="00325C30">
        <w:rPr>
          <w:bCs/>
          <w:iCs/>
        </w:rPr>
        <w:t xml:space="preserve">.  </w:t>
      </w:r>
      <w:r w:rsidR="00932F64">
        <w:rPr>
          <w:bCs/>
          <w:iCs/>
        </w:rPr>
        <w:t xml:space="preserve">  </w:t>
      </w:r>
    </w:p>
    <w:p w14:paraId="4DAB352E" w14:textId="77777777" w:rsidR="00325C30" w:rsidRPr="00325C30" w:rsidRDefault="00325C30" w:rsidP="00325C30">
      <w:pPr>
        <w:rPr>
          <w:bCs/>
          <w:iCs/>
        </w:rPr>
      </w:pPr>
    </w:p>
    <w:p w14:paraId="4DAB352F" w14:textId="0A2B9EB6" w:rsidR="00325C30" w:rsidRPr="00325C30" w:rsidRDefault="00325C30" w:rsidP="00325C30">
      <w:pPr>
        <w:numPr>
          <w:ilvl w:val="0"/>
          <w:numId w:val="2"/>
        </w:numPr>
        <w:rPr>
          <w:bCs/>
          <w:iCs/>
        </w:rPr>
      </w:pPr>
      <w:r w:rsidRPr="00325C30">
        <w:rPr>
          <w:bCs/>
          <w:iCs/>
        </w:rPr>
        <w:t xml:space="preserve">Form 700. </w:t>
      </w:r>
      <w:proofErr w:type="gramStart"/>
      <w:r w:rsidRPr="00325C30">
        <w:rPr>
          <w:bCs/>
          <w:iCs/>
        </w:rPr>
        <w:t xml:space="preserve">Each </w:t>
      </w:r>
      <w:r w:rsidR="00864A5D">
        <w:rPr>
          <w:bCs/>
          <w:iCs/>
        </w:rPr>
        <w:t>individual</w:t>
      </w:r>
      <w:proofErr w:type="gramEnd"/>
      <w:r w:rsidR="00840D08">
        <w:rPr>
          <w:bCs/>
          <w:iCs/>
        </w:rPr>
        <w:t xml:space="preserve"> designated as a c</w:t>
      </w:r>
      <w:r w:rsidRPr="00325C30">
        <w:rPr>
          <w:bCs/>
          <w:iCs/>
        </w:rPr>
        <w:t>onsultant</w:t>
      </w:r>
      <w:r w:rsidR="00840D08">
        <w:rPr>
          <w:bCs/>
          <w:iCs/>
        </w:rPr>
        <w:t xml:space="preserve"> under this </w:t>
      </w:r>
      <w:r w:rsidR="00932F64">
        <w:rPr>
          <w:bCs/>
          <w:iCs/>
        </w:rPr>
        <w:t>Agreement</w:t>
      </w:r>
      <w:r w:rsidR="00F5666C">
        <w:rPr>
          <w:bCs/>
          <w:iCs/>
        </w:rPr>
        <w:t xml:space="preserve"> (see section 2.c. of this exhibit)</w:t>
      </w:r>
      <w:r w:rsidRPr="00325C30">
        <w:rPr>
          <w:bCs/>
          <w:iCs/>
        </w:rPr>
        <w:t xml:space="preserve">, or other individual required by the Energy Commission to do so, shall file a Form 700. </w:t>
      </w:r>
    </w:p>
    <w:p w14:paraId="4DAB3530" w14:textId="04D36EEB" w:rsidR="00325C30" w:rsidRPr="00325C30" w:rsidRDefault="00325C30" w:rsidP="00325C30">
      <w:pPr>
        <w:numPr>
          <w:ilvl w:val="1"/>
          <w:numId w:val="2"/>
        </w:numPr>
      </w:pPr>
      <w:r w:rsidRPr="313D9C71">
        <w:t>Form 700</w:t>
      </w:r>
      <w:r w:rsidR="00B77ED3" w:rsidRPr="313D9C71">
        <w:t>s</w:t>
      </w:r>
      <w:r w:rsidRPr="313D9C71">
        <w:t xml:space="preserve"> shall be </w:t>
      </w:r>
      <w:r w:rsidR="00C342DF">
        <w:rPr>
          <w:bCs/>
          <w:iCs/>
        </w:rPr>
        <w:t>(</w:t>
      </w:r>
      <w:proofErr w:type="spellStart"/>
      <w:r w:rsidR="00C342DF" w:rsidRPr="313D9C71">
        <w:t>i</w:t>
      </w:r>
      <w:proofErr w:type="spellEnd"/>
      <w:r w:rsidR="00C342DF" w:rsidRPr="313D9C71">
        <w:t xml:space="preserve">) submitted electronically at </w:t>
      </w:r>
      <w:hyperlink r:id="rId13">
        <w:r w:rsidR="006A6609" w:rsidRPr="313D9C71">
          <w:rPr>
            <w:rStyle w:val="Hyperlink"/>
            <w:sz w:val="23"/>
            <w:szCs w:val="23"/>
          </w:rPr>
          <w:t>https://CEC.southtechhosting.com/eDisclosure/</w:t>
        </w:r>
      </w:hyperlink>
      <w:r w:rsidR="1E89A8CF">
        <w:t xml:space="preserve"> </w:t>
      </w:r>
      <w:r w:rsidR="00C342DF">
        <w:t xml:space="preserve">or (ii) </w:t>
      </w:r>
      <w:r w:rsidRPr="313D9C71">
        <w:t xml:space="preserve">filed in person at, or mailed to, the following address (e-mails and faxes are not acceptable):  </w:t>
      </w:r>
    </w:p>
    <w:p w14:paraId="4DAB3531" w14:textId="77777777" w:rsidR="00325C30" w:rsidRPr="00325C30" w:rsidRDefault="00325C30" w:rsidP="0092543A">
      <w:pPr>
        <w:ind w:left="1440"/>
        <w:rPr>
          <w:bCs/>
          <w:iCs/>
        </w:rPr>
      </w:pPr>
      <w:r w:rsidRPr="00325C30">
        <w:rPr>
          <w:bCs/>
          <w:iCs/>
        </w:rPr>
        <w:t>Energy Commission Filing Officer – Form 700 Filing</w:t>
      </w:r>
    </w:p>
    <w:p w14:paraId="4DAB3532" w14:textId="77777777" w:rsidR="00325C30" w:rsidRPr="00325C30" w:rsidRDefault="00325C30" w:rsidP="0092543A">
      <w:pPr>
        <w:ind w:left="1440"/>
      </w:pPr>
      <w:r w:rsidRPr="00325C30">
        <w:t>Selection &amp; Equal Employment Opportunity Office</w:t>
      </w:r>
    </w:p>
    <w:p w14:paraId="4DAB3533" w14:textId="0C7C00D9" w:rsidR="00325C30" w:rsidRPr="00325C30" w:rsidRDefault="00C342DF" w:rsidP="0092543A">
      <w:pPr>
        <w:ind w:left="1440"/>
      </w:pPr>
      <w:r>
        <w:lastRenderedPageBreak/>
        <w:t>715 P</w:t>
      </w:r>
      <w:r w:rsidR="00325C30" w:rsidRPr="00325C30">
        <w:t xml:space="preserve"> St., MS 52</w:t>
      </w:r>
    </w:p>
    <w:p w14:paraId="4DAB3534" w14:textId="77777777" w:rsidR="00325C30" w:rsidRPr="00325C30" w:rsidRDefault="00325C30" w:rsidP="0092543A">
      <w:pPr>
        <w:ind w:left="1440"/>
      </w:pPr>
      <w:r w:rsidRPr="00325C30">
        <w:t xml:space="preserve">Sacramento, CA 95814 </w:t>
      </w:r>
    </w:p>
    <w:p w14:paraId="4DAB3535" w14:textId="77777777" w:rsidR="00325C30" w:rsidRPr="00325C30" w:rsidRDefault="00325C30" w:rsidP="00325C30">
      <w:pPr>
        <w:numPr>
          <w:ilvl w:val="1"/>
          <w:numId w:val="2"/>
        </w:numPr>
        <w:rPr>
          <w:bCs/>
          <w:iCs/>
        </w:rPr>
      </w:pPr>
      <w:r w:rsidRPr="00325C30">
        <w:rPr>
          <w:bCs/>
          <w:iCs/>
        </w:rPr>
        <w:t>A Form 700 must be filed at the times required under the Political Reform Act, which include the following:</w:t>
      </w:r>
    </w:p>
    <w:p w14:paraId="4DAB3536" w14:textId="77777777" w:rsidR="00325C30" w:rsidRPr="00325C30" w:rsidRDefault="00325C30" w:rsidP="00325C30">
      <w:pPr>
        <w:numPr>
          <w:ilvl w:val="2"/>
          <w:numId w:val="2"/>
        </w:numPr>
        <w:rPr>
          <w:bCs/>
          <w:iCs/>
        </w:rPr>
      </w:pPr>
      <w:r w:rsidRPr="00325C30">
        <w:rPr>
          <w:bCs/>
          <w:iCs/>
        </w:rPr>
        <w:t xml:space="preserve">Assuming Office Statement.  Must be filed within 30 days of beginning work under the Agreement. Beginning work means when the employee </w:t>
      </w:r>
      <w:proofErr w:type="gramStart"/>
      <w:r w:rsidRPr="00325C30">
        <w:rPr>
          <w:bCs/>
          <w:iCs/>
        </w:rPr>
        <w:t>actually performs</w:t>
      </w:r>
      <w:proofErr w:type="gramEnd"/>
      <w:r w:rsidRPr="00325C30">
        <w:rPr>
          <w:bCs/>
          <w:iCs/>
        </w:rPr>
        <w:t xml:space="preserve"> work under the Agreement</w:t>
      </w:r>
      <w:r w:rsidRPr="00325C30">
        <w:rPr>
          <w:bCs/>
          <w:i/>
          <w:iCs/>
        </w:rPr>
        <w:t xml:space="preserve">; </w:t>
      </w:r>
      <w:r w:rsidRPr="00325C30">
        <w:rPr>
          <w:bCs/>
          <w:iCs/>
        </w:rPr>
        <w:t xml:space="preserve">it does not mean the start date of the Agreement unless the employee starts work on the start date. </w:t>
      </w:r>
    </w:p>
    <w:p w14:paraId="4DAB3537" w14:textId="77777777" w:rsidR="00325C30" w:rsidRPr="00325C30" w:rsidRDefault="00325C30" w:rsidP="00325C30">
      <w:pPr>
        <w:numPr>
          <w:ilvl w:val="2"/>
          <w:numId w:val="2"/>
        </w:numPr>
      </w:pPr>
      <w:r w:rsidRPr="00325C30">
        <w:t xml:space="preserve">Annual Statement.  Must be filed annually, no later than April 1. </w:t>
      </w:r>
    </w:p>
    <w:p w14:paraId="4DAB3538" w14:textId="77777777" w:rsidR="00325C30" w:rsidRPr="00325C30" w:rsidRDefault="00325C30" w:rsidP="00325C30">
      <w:pPr>
        <w:numPr>
          <w:ilvl w:val="2"/>
          <w:numId w:val="2"/>
        </w:numPr>
      </w:pPr>
      <w:r w:rsidRPr="00325C30">
        <w:t xml:space="preserve">Leaving Office Statement.  Must be filed within 30 days of ceasing to perform work under the Agreement (e.g., removed as a subcontractor, completion of assigned tasks) or within 30 days after the Agreement ends. </w:t>
      </w:r>
    </w:p>
    <w:p w14:paraId="4DAB3539" w14:textId="77777777" w:rsidR="00325C30" w:rsidRPr="00864E23" w:rsidRDefault="00325C30" w:rsidP="00325C30">
      <w:pPr>
        <w:numPr>
          <w:ilvl w:val="1"/>
          <w:numId w:val="2"/>
        </w:numPr>
        <w:rPr>
          <w:b/>
          <w:bCs/>
        </w:rPr>
      </w:pPr>
      <w:r w:rsidRPr="00864E23">
        <w:rPr>
          <w:b/>
          <w:bCs/>
        </w:rPr>
        <w:t xml:space="preserve">Failure to file the Form 700 when required can result in automatic daily fines and other consequences.  </w:t>
      </w:r>
    </w:p>
    <w:p w14:paraId="4DAB353A" w14:textId="0BB60EEA" w:rsidR="00325C30" w:rsidRPr="00325C30" w:rsidRDefault="00325C30" w:rsidP="00325C30">
      <w:pPr>
        <w:numPr>
          <w:ilvl w:val="1"/>
          <w:numId w:val="2"/>
        </w:numPr>
      </w:pPr>
      <w:r w:rsidRPr="00325C30">
        <w:rPr>
          <w:bCs/>
        </w:rPr>
        <w:t xml:space="preserve">When completing the Form 700, each </w:t>
      </w:r>
      <w:r w:rsidR="00C55198">
        <w:rPr>
          <w:bCs/>
        </w:rPr>
        <w:t>c</w:t>
      </w:r>
      <w:r w:rsidRPr="00325C30">
        <w:rPr>
          <w:bCs/>
        </w:rPr>
        <w:t xml:space="preserve">onsultant </w:t>
      </w:r>
      <w:r w:rsidRPr="00325C30">
        <w:t xml:space="preserve">must disclose financial interests that fit within the disclosure categories assigned to them </w:t>
      </w:r>
      <w:r w:rsidR="00C42590">
        <w:t xml:space="preserve">(see </w:t>
      </w:r>
      <w:r w:rsidR="00794D4E">
        <w:t>section 2.c. of this exhibit)</w:t>
      </w:r>
      <w:r w:rsidRPr="00325C30">
        <w:t>. A description of the disclosure categories is set forth in the Energy Commission’s Conflict of Interest Code at Cal. Code Regs., tit. 20, §</w:t>
      </w:r>
      <w:r w:rsidR="00C342DF">
        <w:t xml:space="preserve"> </w:t>
      </w:r>
      <w:r w:rsidRPr="00325C30">
        <w:t>2402.</w:t>
      </w:r>
    </w:p>
    <w:p w14:paraId="4DAB353B" w14:textId="77777777" w:rsidR="0092543A" w:rsidRPr="00325C30" w:rsidRDefault="0092543A" w:rsidP="00325C30"/>
    <w:p w14:paraId="4DAB353C" w14:textId="77777777" w:rsidR="00325C30" w:rsidRPr="00325C30" w:rsidRDefault="00325C30" w:rsidP="00325C30">
      <w:pPr>
        <w:numPr>
          <w:ilvl w:val="0"/>
          <w:numId w:val="2"/>
        </w:numPr>
        <w:rPr>
          <w:bCs/>
          <w:iCs/>
        </w:rPr>
      </w:pPr>
      <w:r w:rsidRPr="00325C30">
        <w:rPr>
          <w:bCs/>
          <w:iCs/>
        </w:rPr>
        <w:t>Form 805. Contractor shall:</w:t>
      </w:r>
    </w:p>
    <w:p w14:paraId="4DAB353D" w14:textId="77777777" w:rsidR="00325C30" w:rsidRPr="00245850" w:rsidRDefault="00325C30" w:rsidP="00325C30">
      <w:pPr>
        <w:numPr>
          <w:ilvl w:val="1"/>
          <w:numId w:val="2"/>
        </w:numPr>
        <w:rPr>
          <w:bCs/>
          <w:iCs/>
        </w:rPr>
      </w:pPr>
      <w:r w:rsidRPr="00325C30">
        <w:rPr>
          <w:bCs/>
          <w:iCs/>
        </w:rPr>
        <w:t xml:space="preserve">Provide the CAM with a Fair Political Practices Commission Form 805, Agency Report of Consultant, within 5 days of the Agreement start date.  Form 805 is available at: </w:t>
      </w:r>
      <w:hyperlink r:id="rId14" w:history="1">
        <w:r w:rsidRPr="00245850">
          <w:rPr>
            <w:rStyle w:val="Hyperlink"/>
            <w:bCs/>
            <w:iCs/>
            <w:color w:val="auto"/>
          </w:rPr>
          <w:t>http://www.fppc.ca.gov/content/dam/fppc/NS-Documents/TAD/Agency%20Reports/805.pdf</w:t>
        </w:r>
      </w:hyperlink>
      <w:r w:rsidRPr="00245850">
        <w:rPr>
          <w:bCs/>
          <w:iCs/>
          <w:u w:val="single"/>
        </w:rPr>
        <w:t xml:space="preserve">.  </w:t>
      </w:r>
    </w:p>
    <w:p w14:paraId="4DAB353E" w14:textId="77777777" w:rsidR="00325C30" w:rsidRPr="00325C30" w:rsidRDefault="00325C30" w:rsidP="00325C30">
      <w:pPr>
        <w:numPr>
          <w:ilvl w:val="2"/>
          <w:numId w:val="2"/>
        </w:numPr>
        <w:rPr>
          <w:bCs/>
          <w:iCs/>
        </w:rPr>
      </w:pPr>
      <w:r w:rsidRPr="00245850">
        <w:rPr>
          <w:bCs/>
          <w:iCs/>
        </w:rPr>
        <w:t>The Contractor shall complete Section</w:t>
      </w:r>
      <w:r w:rsidRPr="00325C30">
        <w:rPr>
          <w:bCs/>
          <w:iCs/>
        </w:rPr>
        <w:t xml:space="preserve"> 2, Firm Information.  </w:t>
      </w:r>
    </w:p>
    <w:p w14:paraId="4DAB353F" w14:textId="6AEA63C6" w:rsidR="00325C30" w:rsidRPr="00325C30" w:rsidRDefault="00325C30" w:rsidP="00325C30">
      <w:pPr>
        <w:numPr>
          <w:ilvl w:val="2"/>
          <w:numId w:val="2"/>
        </w:numPr>
      </w:pPr>
      <w:r>
        <w:t xml:space="preserve">Under Section 3, Consultant Information, the Contractor shall </w:t>
      </w:r>
      <w:r w:rsidR="00986274">
        <w:t>write the</w:t>
      </w:r>
      <w:r>
        <w:t xml:space="preserve"> </w:t>
      </w:r>
      <w:r w:rsidR="00986274">
        <w:t>n</w:t>
      </w:r>
      <w:r>
        <w:t>ame</w:t>
      </w:r>
      <w:r w:rsidR="00F97C03">
        <w:t>,</w:t>
      </w:r>
      <w:r w:rsidR="00986274">
        <w:t xml:space="preserve"> job classification</w:t>
      </w:r>
      <w:r w:rsidR="00F97C03">
        <w:t xml:space="preserve"> and email address</w:t>
      </w:r>
      <w:r>
        <w:t xml:space="preserve"> for every </w:t>
      </w:r>
      <w:r w:rsidR="001001F0">
        <w:t>employee</w:t>
      </w:r>
      <w:r>
        <w:t xml:space="preserve"> working </w:t>
      </w:r>
      <w:r w:rsidR="00F82A21" w:rsidRPr="00CE1BD4">
        <w:t>on</w:t>
      </w:r>
      <w:r w:rsidRPr="00CE1BD4">
        <w:t xml:space="preserve"> Tasks </w:t>
      </w:r>
      <w:r w:rsidR="6CEFA298" w:rsidRPr="00CE1BD4">
        <w:t>2 – 5,</w:t>
      </w:r>
      <w:r>
        <w:t xml:space="preserve"> along with the </w:t>
      </w:r>
      <w:r w:rsidR="006F338B">
        <w:t>d</w:t>
      </w:r>
      <w:r w:rsidR="00F36D17">
        <w:t>ate</w:t>
      </w:r>
      <w:r w:rsidR="006F338B">
        <w:t xml:space="preserve"> </w:t>
      </w:r>
      <w:r w:rsidR="00F36D17">
        <w:t>that</w:t>
      </w:r>
      <w:r>
        <w:t xml:space="preserve"> individual</w:t>
      </w:r>
      <w:r w:rsidR="00F36D17">
        <w:t xml:space="preserve"> began work</w:t>
      </w:r>
      <w:r w:rsidR="006F338B">
        <w:t xml:space="preserve"> on the Agreement</w:t>
      </w:r>
      <w:r>
        <w:t xml:space="preserve">.  </w:t>
      </w:r>
    </w:p>
    <w:p w14:paraId="4DAB3540" w14:textId="5B08762D" w:rsidR="00325C30" w:rsidRPr="00325C30" w:rsidRDefault="00325C30" w:rsidP="00325C30">
      <w:pPr>
        <w:numPr>
          <w:ilvl w:val="2"/>
          <w:numId w:val="2"/>
        </w:numPr>
        <w:rPr>
          <w:bCs/>
          <w:iCs/>
        </w:rPr>
      </w:pPr>
      <w:r w:rsidRPr="00325C30">
        <w:rPr>
          <w:bCs/>
          <w:iCs/>
        </w:rPr>
        <w:t xml:space="preserve">The Contractor shall leave the remaining </w:t>
      </w:r>
      <w:r w:rsidR="00DA7693">
        <w:rPr>
          <w:bCs/>
          <w:iCs/>
        </w:rPr>
        <w:t>parts of</w:t>
      </w:r>
      <w:r w:rsidRPr="00325C30">
        <w:rPr>
          <w:bCs/>
          <w:iCs/>
        </w:rPr>
        <w:t xml:space="preserve"> the Form 805 blank. </w:t>
      </w:r>
    </w:p>
    <w:p w14:paraId="4DAB3541" w14:textId="20FCEDA4" w:rsidR="00325C30" w:rsidRPr="00325C30" w:rsidRDefault="00325C30" w:rsidP="00325C30">
      <w:pPr>
        <w:numPr>
          <w:ilvl w:val="1"/>
          <w:numId w:val="2"/>
        </w:numPr>
        <w:rPr>
          <w:bCs/>
          <w:iCs/>
        </w:rPr>
      </w:pPr>
      <w:r w:rsidRPr="00325C30">
        <w:rPr>
          <w:bCs/>
          <w:iCs/>
        </w:rPr>
        <w:t xml:space="preserve">Within 30 days of the Contractor’s submittal of the Form 805, the CAM </w:t>
      </w:r>
      <w:r w:rsidR="00932F64">
        <w:rPr>
          <w:bCs/>
          <w:iCs/>
        </w:rPr>
        <w:t>may</w:t>
      </w:r>
      <w:r w:rsidR="00932F64" w:rsidRPr="00325C30">
        <w:rPr>
          <w:bCs/>
          <w:iCs/>
        </w:rPr>
        <w:t xml:space="preserve"> </w:t>
      </w:r>
      <w:r w:rsidRPr="00325C30">
        <w:rPr>
          <w:bCs/>
          <w:iCs/>
        </w:rPr>
        <w:t xml:space="preserve">return the completed Form 805 to the Contractor for use in completing </w:t>
      </w:r>
      <w:r w:rsidR="00C70F5B">
        <w:rPr>
          <w:bCs/>
          <w:iCs/>
        </w:rPr>
        <w:t xml:space="preserve">the </w:t>
      </w:r>
      <w:r w:rsidRPr="00325C30">
        <w:rPr>
          <w:bCs/>
          <w:iCs/>
        </w:rPr>
        <w:t>Form 700</w:t>
      </w:r>
      <w:r w:rsidR="00C70F5B">
        <w:rPr>
          <w:bCs/>
          <w:iCs/>
        </w:rPr>
        <w:t>(s)</w:t>
      </w:r>
      <w:r w:rsidRPr="00325C30">
        <w:rPr>
          <w:bCs/>
          <w:iCs/>
        </w:rPr>
        <w:t xml:space="preserve">. In the event the Form 805 is not returned by the CAM to the Contractor before an individual’s Assuming Office Form 700 is due, the individual </w:t>
      </w:r>
      <w:r w:rsidR="00932F64">
        <w:rPr>
          <w:bCs/>
          <w:iCs/>
        </w:rPr>
        <w:t>shall</w:t>
      </w:r>
      <w:r w:rsidR="00932F64" w:rsidRPr="00325C30">
        <w:rPr>
          <w:bCs/>
          <w:iCs/>
        </w:rPr>
        <w:t xml:space="preserve"> </w:t>
      </w:r>
      <w:r w:rsidRPr="00325C30">
        <w:rPr>
          <w:bCs/>
          <w:iCs/>
        </w:rPr>
        <w:t>report under the broadest disclosure of the Energy Commission’s Conflict of Interest Code at Cal. Code Regs., tit. 20, § 2402 which is Category 1.</w:t>
      </w:r>
    </w:p>
    <w:p w14:paraId="4DAB3542" w14:textId="760BBB3C" w:rsidR="00325C30" w:rsidRPr="00325C30" w:rsidRDefault="00325C30" w:rsidP="00325C30">
      <w:pPr>
        <w:numPr>
          <w:ilvl w:val="1"/>
          <w:numId w:val="2"/>
        </w:numPr>
        <w:rPr>
          <w:bCs/>
          <w:iCs/>
        </w:rPr>
      </w:pPr>
      <w:r w:rsidRPr="00325C30">
        <w:rPr>
          <w:bCs/>
          <w:iCs/>
        </w:rPr>
        <w:t>Submit to the CAM a</w:t>
      </w:r>
      <w:r w:rsidR="00EA6703">
        <w:rPr>
          <w:bCs/>
          <w:iCs/>
        </w:rPr>
        <w:t>n amended</w:t>
      </w:r>
      <w:r w:rsidRPr="00325C30">
        <w:rPr>
          <w:bCs/>
          <w:iCs/>
        </w:rPr>
        <w:t xml:space="preserve"> Form 805 whenever a new </w:t>
      </w:r>
      <w:r w:rsidR="00C55198">
        <w:rPr>
          <w:bCs/>
          <w:iCs/>
        </w:rPr>
        <w:t>c</w:t>
      </w:r>
      <w:r w:rsidRPr="00325C30">
        <w:rPr>
          <w:bCs/>
          <w:iCs/>
        </w:rPr>
        <w:t>onsultant begins work under the Agreement</w:t>
      </w:r>
      <w:r w:rsidR="00306CFF">
        <w:rPr>
          <w:bCs/>
          <w:iCs/>
        </w:rPr>
        <w:t>,</w:t>
      </w:r>
      <w:r w:rsidR="00EA6703">
        <w:rPr>
          <w:bCs/>
          <w:iCs/>
        </w:rPr>
        <w:t xml:space="preserve"> </w:t>
      </w:r>
      <w:r w:rsidR="00306CFF">
        <w:rPr>
          <w:bCs/>
          <w:iCs/>
        </w:rPr>
        <w:t>or</w:t>
      </w:r>
      <w:r w:rsidR="00EA6703">
        <w:rPr>
          <w:bCs/>
          <w:iCs/>
        </w:rPr>
        <w:t xml:space="preserve"> whe</w:t>
      </w:r>
      <w:r w:rsidR="007C7AA8">
        <w:rPr>
          <w:bCs/>
          <w:iCs/>
        </w:rPr>
        <w:t>never a consultant ceases to perform work under the Agreement</w:t>
      </w:r>
      <w:r w:rsidR="00CA53E0">
        <w:rPr>
          <w:bCs/>
          <w:iCs/>
        </w:rPr>
        <w:t xml:space="preserve">, within </w:t>
      </w:r>
      <w:r w:rsidR="005C7577">
        <w:rPr>
          <w:bCs/>
          <w:iCs/>
        </w:rPr>
        <w:t>5</w:t>
      </w:r>
      <w:r w:rsidR="00CA53E0">
        <w:rPr>
          <w:bCs/>
          <w:iCs/>
        </w:rPr>
        <w:t xml:space="preserve"> days </w:t>
      </w:r>
      <w:r w:rsidR="003C3F60">
        <w:rPr>
          <w:bCs/>
          <w:iCs/>
        </w:rPr>
        <w:t>after the consultant begins or ceases work</w:t>
      </w:r>
      <w:r w:rsidRPr="00325C30">
        <w:rPr>
          <w:bCs/>
          <w:iCs/>
        </w:rPr>
        <w:t>.</w:t>
      </w:r>
    </w:p>
    <w:p w14:paraId="4DAB3544" w14:textId="77777777" w:rsidR="00325C30" w:rsidRPr="00325C30" w:rsidRDefault="00325C30" w:rsidP="00325C30">
      <w:pPr>
        <w:rPr>
          <w:bCs/>
          <w:iCs/>
        </w:rPr>
      </w:pPr>
    </w:p>
    <w:p w14:paraId="4DAB3545" w14:textId="77777777" w:rsidR="00325C30" w:rsidRPr="00325C30" w:rsidRDefault="00325C30" w:rsidP="00325C30">
      <w:pPr>
        <w:numPr>
          <w:ilvl w:val="0"/>
          <w:numId w:val="2"/>
        </w:numPr>
        <w:rPr>
          <w:bCs/>
          <w:iCs/>
        </w:rPr>
      </w:pPr>
      <w:r w:rsidRPr="00325C30">
        <w:rPr>
          <w:bCs/>
          <w:iCs/>
        </w:rPr>
        <w:t xml:space="preserve">Restrictions on Outside Work. </w:t>
      </w:r>
    </w:p>
    <w:p w14:paraId="05019E82" w14:textId="43AC43FB" w:rsidR="00DB0BF8" w:rsidRDefault="00325C30" w:rsidP="00DB0BF8">
      <w:pPr>
        <w:numPr>
          <w:ilvl w:val="0"/>
          <w:numId w:val="1"/>
        </w:numPr>
        <w:ind w:left="1080" w:firstLine="0"/>
      </w:pPr>
      <w:r>
        <w:lastRenderedPageBreak/>
        <w:t xml:space="preserve">Prohibition on Participating in </w:t>
      </w:r>
      <w:r w:rsidR="00932F64">
        <w:t xml:space="preserve">or Sharing Information about </w:t>
      </w:r>
      <w:r>
        <w:t xml:space="preserve">Energy </w:t>
      </w:r>
      <w:r>
        <w:tab/>
      </w:r>
      <w:r>
        <w:tab/>
      </w:r>
      <w:r>
        <w:tab/>
        <w:t xml:space="preserve">Commission Funding Opportunities. </w:t>
      </w:r>
    </w:p>
    <w:p w14:paraId="4DAB3547" w14:textId="5B91B9C7" w:rsidR="00325C30" w:rsidRPr="00325C30" w:rsidRDefault="00325C30" w:rsidP="00DB0BF8">
      <w:pPr>
        <w:ind w:left="1440"/>
      </w:pPr>
      <w:r w:rsidRPr="00325C30">
        <w:t>Under this Agreement, if the Contractor</w:t>
      </w:r>
      <w:r w:rsidR="004E356E">
        <w:t>,</w:t>
      </w:r>
      <w:r w:rsidRPr="00325C30">
        <w:t xml:space="preserve"> subcontractors</w:t>
      </w:r>
      <w:r w:rsidR="004E356E">
        <w:t>, or</w:t>
      </w:r>
      <w:r w:rsidR="0058361F">
        <w:t xml:space="preserve"> project partners</w:t>
      </w:r>
      <w:r w:rsidRPr="00325C30">
        <w:t xml:space="preserve"> assist the Energy Commission to develop agreements, develop competitive solicitations or score applications, then </w:t>
      </w:r>
      <w:r w:rsidR="0058361F">
        <w:t xml:space="preserve">the </w:t>
      </w:r>
      <w:r w:rsidRPr="00325C30">
        <w:t>Contractor</w:t>
      </w:r>
      <w:r w:rsidR="0058361F">
        <w:t>,</w:t>
      </w:r>
      <w:r w:rsidRPr="00325C30">
        <w:t xml:space="preserve"> subcontractors</w:t>
      </w:r>
      <w:r w:rsidR="0058361F">
        <w:t>, project partners</w:t>
      </w:r>
      <w:r w:rsidR="00932F64">
        <w:t>, and their employees</w:t>
      </w:r>
      <w:r w:rsidRPr="00325C30">
        <w:t xml:space="preserve"> are prohibited from participating and agree not to participate (e.g., through development of an application, as an applicant, subcontractor, or match-fund partner), in any Energy Commission solicitation or other funding opportunity that solicits or includes work that is related to work done under this Agreement. </w:t>
      </w:r>
      <w:r w:rsidR="00932F64">
        <w:t>Except with prior written permission of the CAM, the Contractor, subcontractors, project partners, and their employees shall not share any non-public information about applicants, applications, solicitations, other funding mechanisms, or any other</w:t>
      </w:r>
      <w:r w:rsidR="00864E23">
        <w:t xml:space="preserve"> non-public </w:t>
      </w:r>
      <w:r w:rsidR="00B35A11">
        <w:t xml:space="preserve">information related to </w:t>
      </w:r>
      <w:r w:rsidR="000D6882">
        <w:t>Energy Commission funding opportunities</w:t>
      </w:r>
      <w:r w:rsidR="00932F64">
        <w:t xml:space="preserve"> with any other person or entity.   </w:t>
      </w:r>
    </w:p>
    <w:p w14:paraId="4DAB3548" w14:textId="77777777" w:rsidR="00325C30" w:rsidRPr="00325C30" w:rsidRDefault="00325C30" w:rsidP="0092543A">
      <w:pPr>
        <w:ind w:left="1080"/>
      </w:pPr>
    </w:p>
    <w:p w14:paraId="4DAB3549" w14:textId="59933CC1" w:rsidR="00325C30" w:rsidRPr="00325C30" w:rsidRDefault="00325C30" w:rsidP="0092543A">
      <w:pPr>
        <w:ind w:left="1080"/>
      </w:pPr>
      <w:r>
        <w:t>b.   Contractor</w:t>
      </w:r>
      <w:r w:rsidR="00252399">
        <w:t>,</w:t>
      </w:r>
      <w:r>
        <w:t xml:space="preserve"> Subcontractor </w:t>
      </w:r>
      <w:r w:rsidR="00252399">
        <w:t xml:space="preserve">and Project Partner </w:t>
      </w:r>
      <w:r>
        <w:t>Financial Interests</w:t>
      </w:r>
      <w:r w:rsidR="00011BF8">
        <w:t>.</w:t>
      </w:r>
    </w:p>
    <w:p w14:paraId="334DEABA" w14:textId="6E65AA62" w:rsidR="00BD60B7" w:rsidRDefault="00252399" w:rsidP="00BD60B7">
      <w:pPr>
        <w:ind w:left="1440"/>
      </w:pPr>
      <w:r>
        <w:t xml:space="preserve">The </w:t>
      </w:r>
      <w:r w:rsidR="00325C30">
        <w:t>Contractor</w:t>
      </w:r>
      <w:r>
        <w:t>,</w:t>
      </w:r>
      <w:r w:rsidR="00325C30">
        <w:t xml:space="preserve"> subcontractors</w:t>
      </w:r>
      <w:r>
        <w:t>, project partners</w:t>
      </w:r>
      <w:r w:rsidR="00325C30">
        <w:t xml:space="preserve"> </w:t>
      </w:r>
      <w:r w:rsidR="00932F64">
        <w:t xml:space="preserve">and their employees </w:t>
      </w:r>
      <w:r w:rsidR="00325C30">
        <w:t xml:space="preserve">shall not negotiate, </w:t>
      </w:r>
      <w:proofErr w:type="gramStart"/>
      <w:r w:rsidR="00325C30">
        <w:t>make arrangements</w:t>
      </w:r>
      <w:proofErr w:type="gramEnd"/>
      <w:r w:rsidR="00325C30">
        <w:t xml:space="preserve">, or enter into any other agreement or working relationship with an individual or entity who is interested in or is likely to be interested in </w:t>
      </w:r>
      <w:r w:rsidR="00BD60B7">
        <w:t xml:space="preserve">analytical methods for forecasting energy </w:t>
      </w:r>
    </w:p>
    <w:p w14:paraId="4F32BC62" w14:textId="1C9E5024" w:rsidR="00BD60B7" w:rsidRDefault="00BD60B7" w:rsidP="00BD60B7">
      <w:pPr>
        <w:ind w:left="1440"/>
      </w:pPr>
      <w:r>
        <w:t xml:space="preserve">efficiency savings mandated by Senate Bill 350 (SB 350, De León, </w:t>
      </w:r>
    </w:p>
    <w:p w14:paraId="6871DB22" w14:textId="33D365E7" w:rsidR="00BD60B7" w:rsidRDefault="00BD60B7" w:rsidP="00BD60B7">
      <w:pPr>
        <w:ind w:left="1440"/>
      </w:pPr>
      <w:r>
        <w:t xml:space="preserve">Chapter 547, Statutes of 2015); tracking energy efficiency savings from </w:t>
      </w:r>
    </w:p>
    <w:p w14:paraId="72F097E4" w14:textId="436564A0" w:rsidR="00BD60B7" w:rsidRDefault="00BD60B7" w:rsidP="00BD60B7">
      <w:pPr>
        <w:ind w:left="1440"/>
      </w:pPr>
      <w:r>
        <w:t xml:space="preserve">market-based activities; electrification and greenhouse gas (GHG) </w:t>
      </w:r>
    </w:p>
    <w:p w14:paraId="12FFFF4A" w14:textId="4E44C3C0" w:rsidR="00BD60B7" w:rsidRDefault="00BD60B7" w:rsidP="00BD60B7">
      <w:pPr>
        <w:ind w:left="1440"/>
      </w:pPr>
      <w:r>
        <w:t xml:space="preserve">emissions; end users’ response to decarbonization efforts; demand </w:t>
      </w:r>
    </w:p>
    <w:p w14:paraId="01F17E4C" w14:textId="43645741" w:rsidR="00BD60B7" w:rsidRDefault="00BD60B7" w:rsidP="00BD60B7">
      <w:pPr>
        <w:ind w:left="1440"/>
      </w:pPr>
      <w:r>
        <w:t xml:space="preserve">response and demand flexibility analysis; or developing a common </w:t>
      </w:r>
    </w:p>
    <w:p w14:paraId="4DAB354A" w14:textId="6513F42F" w:rsidR="00325C30" w:rsidRPr="00325C30" w:rsidRDefault="00BD60B7" w:rsidP="00BD60B7">
      <w:pPr>
        <w:ind w:left="1440"/>
      </w:pPr>
      <w:r>
        <w:t>platform for long term statewide energy demand scenarios</w:t>
      </w:r>
      <w:r w:rsidR="009A31BE" w:rsidRPr="313D9C71">
        <w:rPr>
          <w:color w:val="0070C0"/>
        </w:rPr>
        <w:t xml:space="preserve"> </w:t>
      </w:r>
      <w:r w:rsidR="00325C30">
        <w:t xml:space="preserve">under this Agreement. </w:t>
      </w:r>
    </w:p>
    <w:p w14:paraId="4DAB354B" w14:textId="41B755F4" w:rsidR="00E63CBD" w:rsidRDefault="00E63CBD" w:rsidP="0092543A">
      <w:pPr>
        <w:ind w:left="1530"/>
      </w:pPr>
    </w:p>
    <w:p w14:paraId="56B0FF9A" w14:textId="2C709046" w:rsidR="00D526C8" w:rsidRDefault="00325C30" w:rsidP="00D526C8">
      <w:pPr>
        <w:ind w:left="1440"/>
      </w:pPr>
      <w:r>
        <w:t>If such an agreement or working relationship began prior to and exists at the start of this Agreement, the Contractor</w:t>
      </w:r>
      <w:r w:rsidR="002B55BE">
        <w:t>,</w:t>
      </w:r>
      <w:r>
        <w:t xml:space="preserve"> subcontractor</w:t>
      </w:r>
      <w:r w:rsidR="002B55BE">
        <w:t>, project partner</w:t>
      </w:r>
      <w:r w:rsidR="00932F64">
        <w:t>, or their employees</w:t>
      </w:r>
      <w:r>
        <w:t xml:space="preserve"> shall complete the agreement or working relationship as soon as possible. And during the pendency of the pre-existing relationship or working relationship, the Contractor</w:t>
      </w:r>
      <w:r w:rsidR="002B55BE">
        <w:t>,</w:t>
      </w:r>
      <w:r>
        <w:t xml:space="preserve"> subcontractor</w:t>
      </w:r>
      <w:r w:rsidR="002B55BE">
        <w:t>, project partner</w:t>
      </w:r>
      <w:r w:rsidR="00932F64">
        <w:t>, or their employees</w:t>
      </w:r>
      <w:r>
        <w:t xml:space="preserve"> shall not provide advice or guidance to the individual or entity regarding</w:t>
      </w:r>
      <w:r w:rsidR="003D6740">
        <w:t xml:space="preserve"> </w:t>
      </w:r>
      <w:r w:rsidR="00D526C8">
        <w:t xml:space="preserve">analytical methods for forecasting energy </w:t>
      </w:r>
    </w:p>
    <w:p w14:paraId="5F4AA5FD" w14:textId="6FCD50BE" w:rsidR="00D526C8" w:rsidRDefault="00D526C8" w:rsidP="00D526C8">
      <w:pPr>
        <w:ind w:left="1440"/>
      </w:pPr>
      <w:r>
        <w:t xml:space="preserve">efficiency savings mandated by Senate Bill 350 (SB 350, De León, </w:t>
      </w:r>
    </w:p>
    <w:p w14:paraId="4DCEBC17" w14:textId="1EFC76F1" w:rsidR="00D526C8" w:rsidRDefault="00D526C8" w:rsidP="00D526C8">
      <w:pPr>
        <w:ind w:left="1440"/>
      </w:pPr>
      <w:r>
        <w:t xml:space="preserve">Chapter 547, Statutes of 2015); tracking energy efficiency savings from </w:t>
      </w:r>
    </w:p>
    <w:p w14:paraId="0F12AEC0" w14:textId="16E1DB82" w:rsidR="00D526C8" w:rsidRDefault="00D526C8" w:rsidP="00D526C8">
      <w:pPr>
        <w:ind w:left="1440"/>
      </w:pPr>
      <w:r>
        <w:t xml:space="preserve">market-based activities; electrification and greenhouse gas (GHG) </w:t>
      </w:r>
    </w:p>
    <w:p w14:paraId="5AC6C0E8" w14:textId="277F5F92" w:rsidR="00D526C8" w:rsidRDefault="00D526C8" w:rsidP="00D526C8">
      <w:pPr>
        <w:ind w:left="1440"/>
      </w:pPr>
      <w:r>
        <w:t xml:space="preserve">emissions; end users’ response to decarbonization efforts; demand </w:t>
      </w:r>
    </w:p>
    <w:p w14:paraId="15E37739" w14:textId="1C9CF224" w:rsidR="00D526C8" w:rsidRDefault="00D526C8" w:rsidP="00D526C8">
      <w:pPr>
        <w:ind w:left="1440"/>
      </w:pPr>
      <w:r>
        <w:t xml:space="preserve">response and demand flexibility analysis; or developing a common </w:t>
      </w:r>
    </w:p>
    <w:p w14:paraId="34FEE2AB" w14:textId="310C20BF" w:rsidR="00040BF6" w:rsidRDefault="00D526C8" w:rsidP="00D526C8">
      <w:pPr>
        <w:ind w:left="1440"/>
      </w:pPr>
      <w:r>
        <w:t xml:space="preserve">platform for long term statewide energy demand scenarios </w:t>
      </w:r>
      <w:r w:rsidR="00325C30">
        <w:t>under this Agreement.</w:t>
      </w:r>
    </w:p>
    <w:p w14:paraId="0D74E9F7" w14:textId="77777777" w:rsidR="00040BF6" w:rsidRDefault="00040BF6" w:rsidP="00040BF6">
      <w:pPr>
        <w:ind w:left="1440"/>
      </w:pPr>
    </w:p>
    <w:p w14:paraId="4DAB354E" w14:textId="4462E4CF" w:rsidR="00325C30" w:rsidRPr="00325C30" w:rsidRDefault="00040BF6" w:rsidP="00040BF6">
      <w:pPr>
        <w:ind w:left="720"/>
      </w:pPr>
      <w:r>
        <w:t xml:space="preserve">    c. </w:t>
      </w:r>
      <w:r w:rsidR="00325C30" w:rsidRPr="00325C30">
        <w:t xml:space="preserve">Restrictions Following Agreement Term. </w:t>
      </w:r>
    </w:p>
    <w:p w14:paraId="4DAB354F" w14:textId="2C0359B7" w:rsidR="00325C30" w:rsidRPr="00245850" w:rsidRDefault="0092543A" w:rsidP="003A65BB">
      <w:pPr>
        <w:tabs>
          <w:tab w:val="left" w:pos="1800"/>
        </w:tabs>
        <w:ind w:left="1440"/>
      </w:pPr>
      <w:r>
        <w:t xml:space="preserve">All </w:t>
      </w:r>
      <w:r w:rsidR="00325C30" w:rsidRPr="00325C30">
        <w:t xml:space="preserve">individuals identified as consultants are subject to restrictions of the Political Reform Act on post-governmental activity.  Contractor shall ensure that all consultants are aware of these restrictions.  Guidance </w:t>
      </w:r>
      <w:r w:rsidR="00325C30" w:rsidRPr="00325C30">
        <w:lastRenderedPageBreak/>
        <w:t xml:space="preserve">published by the Fair Political Practices Commission on these restrictions can be found at: </w:t>
      </w:r>
      <w:hyperlink r:id="rId15" w:history="1">
        <w:r w:rsidR="00325C30" w:rsidRPr="00245850">
          <w:rPr>
            <w:rStyle w:val="Hyperlink"/>
            <w:color w:val="auto"/>
          </w:rPr>
          <w:t>http://www.fppc.ca.gov/content/dam/fppc/NS-Documents/TAD/Public%20Officials%20and%20Employees/Leaving_State_Employment.pdf</w:t>
        </w:r>
      </w:hyperlink>
    </w:p>
    <w:p w14:paraId="4DAB3550" w14:textId="77777777" w:rsidR="00325C30" w:rsidRPr="00325C30" w:rsidRDefault="00325C30" w:rsidP="00325C30">
      <w:pPr>
        <w:rPr>
          <w:u w:val="single"/>
        </w:rPr>
      </w:pPr>
    </w:p>
    <w:p w14:paraId="4DAB3551" w14:textId="6EA48F81" w:rsidR="00325C30" w:rsidRPr="00325C30" w:rsidRDefault="00325C30" w:rsidP="00325C30">
      <w:pPr>
        <w:numPr>
          <w:ilvl w:val="0"/>
          <w:numId w:val="2"/>
        </w:numPr>
        <w:rPr>
          <w:bCs/>
          <w:iCs/>
        </w:rPr>
      </w:pPr>
      <w:r w:rsidRPr="00325C30">
        <w:rPr>
          <w:bCs/>
          <w:iCs/>
        </w:rPr>
        <w:t>Avoidance of Appearance of Conflict. Contractor acknowledges that in governmental contracting even the appearance</w:t>
      </w:r>
      <w:r w:rsidR="00C8391A">
        <w:rPr>
          <w:bCs/>
          <w:iCs/>
        </w:rPr>
        <w:t>- or perception-</w:t>
      </w:r>
      <w:r w:rsidRPr="00325C30">
        <w:rPr>
          <w:bCs/>
          <w:iCs/>
        </w:rPr>
        <w:t xml:space="preserve"> of a conflict of interest can be harmful to the interest</w:t>
      </w:r>
      <w:r w:rsidR="00C02A4D">
        <w:rPr>
          <w:bCs/>
          <w:iCs/>
        </w:rPr>
        <w:t>s</w:t>
      </w:r>
      <w:r w:rsidRPr="00325C30">
        <w:rPr>
          <w:bCs/>
          <w:iCs/>
        </w:rPr>
        <w:t xml:space="preserve"> of the State.  Thus, Contractor agrees to refrain from</w:t>
      </w:r>
      <w:r w:rsidR="00932F64">
        <w:rPr>
          <w:bCs/>
          <w:iCs/>
        </w:rPr>
        <w:t>, and shall ensure subcontractors, project partners, and their employees refrain from,</w:t>
      </w:r>
      <w:r w:rsidRPr="00325C30">
        <w:rPr>
          <w:bCs/>
          <w:iCs/>
        </w:rPr>
        <w:t xml:space="preserve"> any practices, activities, or relationships that appear to conflict with obligations under this Agreement.  In the event Contractor is uncertain whether the appearance of a conflict of interest may exist, Contractor shall submit to the CAM a written description of the relevant </w:t>
      </w:r>
      <w:proofErr w:type="gramStart"/>
      <w:r w:rsidRPr="00325C30">
        <w:rPr>
          <w:bCs/>
          <w:iCs/>
        </w:rPr>
        <w:t>details, and</w:t>
      </w:r>
      <w:proofErr w:type="gramEnd"/>
      <w:r w:rsidRPr="00325C30">
        <w:rPr>
          <w:bCs/>
          <w:iCs/>
        </w:rPr>
        <w:t xml:space="preserve"> shall avoid the activity in question until receiving written approval from the Energy Commission to carry out that activity.</w:t>
      </w:r>
    </w:p>
    <w:p w14:paraId="4DAB3552" w14:textId="77777777" w:rsidR="00325C30" w:rsidRPr="00325C30" w:rsidRDefault="00325C30" w:rsidP="00325C30">
      <w:pPr>
        <w:rPr>
          <w:bCs/>
          <w:iCs/>
        </w:rPr>
      </w:pPr>
    </w:p>
    <w:p w14:paraId="4DAB3553" w14:textId="77777777" w:rsidR="00325C30" w:rsidRPr="00325C30" w:rsidRDefault="00325C30" w:rsidP="00325C30">
      <w:pPr>
        <w:numPr>
          <w:ilvl w:val="0"/>
          <w:numId w:val="2"/>
        </w:numPr>
        <w:rPr>
          <w:bCs/>
          <w:iCs/>
        </w:rPr>
      </w:pPr>
      <w:r w:rsidRPr="00325C30">
        <w:rPr>
          <w:bCs/>
          <w:iCs/>
        </w:rPr>
        <w:t>Notification of Potential Problems. Contractor shall immediately inform the CAM of any potential problems in compliance with this Exhibit.</w:t>
      </w:r>
    </w:p>
    <w:p w14:paraId="4DAB3554" w14:textId="77777777" w:rsidR="00325C30" w:rsidRPr="00325C30" w:rsidRDefault="00325C30" w:rsidP="00325C30">
      <w:pPr>
        <w:rPr>
          <w:bCs/>
          <w:iCs/>
        </w:rPr>
      </w:pPr>
    </w:p>
    <w:p w14:paraId="4DAB3555" w14:textId="061DDECD" w:rsidR="00EA16D7" w:rsidRPr="00AA29EC" w:rsidRDefault="00325C30" w:rsidP="00245850">
      <w:pPr>
        <w:numPr>
          <w:ilvl w:val="0"/>
          <w:numId w:val="2"/>
        </w:numPr>
      </w:pPr>
      <w:r w:rsidRPr="00245850">
        <w:rPr>
          <w:bCs/>
          <w:iCs/>
        </w:rPr>
        <w:t>Flow-Down. Contractor shall flow-down the terms in this Exhibit to its subcontractors and project partners</w:t>
      </w:r>
      <w:r w:rsidR="0067645E" w:rsidRPr="0067645E">
        <w:rPr>
          <w:bCs/>
          <w:iCs/>
        </w:rPr>
        <w:t xml:space="preserve">.  </w:t>
      </w:r>
      <w:r w:rsidRPr="00245850">
        <w:rPr>
          <w:bCs/>
          <w:iCs/>
        </w:rPr>
        <w:t xml:space="preserve"> </w:t>
      </w:r>
      <w:bookmarkEnd w:id="0"/>
    </w:p>
    <w:p w14:paraId="7646D785" w14:textId="77777777" w:rsidR="00AA29EC" w:rsidRDefault="00AA29EC" w:rsidP="00AA29EC">
      <w:pPr>
        <w:pStyle w:val="ListParagraph"/>
      </w:pPr>
    </w:p>
    <w:p w14:paraId="3DB2251E" w14:textId="68343660" w:rsidR="00AA29EC" w:rsidRDefault="00AA29EC" w:rsidP="00245850">
      <w:pPr>
        <w:numPr>
          <w:ilvl w:val="0"/>
          <w:numId w:val="2"/>
        </w:numPr>
      </w:pPr>
      <w:r>
        <w:t xml:space="preserve">Section 8, Notification of Potential Problems, and to the extent applicable, all other terms in this Exhibit </w:t>
      </w:r>
      <w:r w:rsidR="00291260">
        <w:t>G</w:t>
      </w:r>
      <w:r>
        <w:t xml:space="preserve"> survive the end of this Agreement.  </w:t>
      </w:r>
    </w:p>
    <w:sectPr w:rsidR="00AA29EC">
      <w:footerReference w:type="default" r:id="rId16"/>
      <w:pgSz w:w="12240" w:h="15840" w:code="1"/>
      <w:pgMar w:top="1440" w:right="1440" w:bottom="720" w:left="1440" w:header="446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4749" w14:textId="77777777" w:rsidR="000B14D5" w:rsidRDefault="000B14D5" w:rsidP="00325C30">
      <w:r>
        <w:separator/>
      </w:r>
    </w:p>
  </w:endnote>
  <w:endnote w:type="continuationSeparator" w:id="0">
    <w:p w14:paraId="1B44D911" w14:textId="77777777" w:rsidR="000B14D5" w:rsidRDefault="000B14D5" w:rsidP="0032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355A" w14:textId="2A08A754" w:rsidR="00123F2F" w:rsidRPr="00123F2F" w:rsidRDefault="00123F2F" w:rsidP="00123F2F">
    <w:pPr>
      <w:tabs>
        <w:tab w:val="center" w:pos="4680"/>
        <w:tab w:val="right" w:pos="9360"/>
      </w:tabs>
      <w:rPr>
        <w:rFonts w:eastAsia="Times New Roman"/>
        <w:sz w:val="16"/>
        <w:szCs w:val="16"/>
      </w:rPr>
    </w:pPr>
    <w:r w:rsidRPr="00123F2F">
      <w:rPr>
        <w:rFonts w:eastAsia="Times New Roman"/>
        <w:sz w:val="16"/>
        <w:szCs w:val="20"/>
      </w:rPr>
      <w:t>Updated</w:t>
    </w:r>
    <w:r w:rsidR="002A48C8">
      <w:rPr>
        <w:rFonts w:eastAsia="Times New Roman"/>
        <w:sz w:val="16"/>
        <w:szCs w:val="20"/>
      </w:rPr>
      <w:t xml:space="preserve"> </w:t>
    </w:r>
    <w:r w:rsidR="0014753A">
      <w:rPr>
        <w:rFonts w:eastAsia="Times New Roman"/>
        <w:sz w:val="16"/>
        <w:szCs w:val="20"/>
      </w:rPr>
      <w:t>2-27-24</w:t>
    </w:r>
    <w:r w:rsidRPr="00123F2F">
      <w:rPr>
        <w:rFonts w:eastAsia="Times New Roman"/>
        <w:sz w:val="16"/>
        <w:szCs w:val="16"/>
      </w:rPr>
      <w:tab/>
      <w:t xml:space="preserve">Page </w:t>
    </w:r>
    <w:r w:rsidRPr="00123F2F">
      <w:rPr>
        <w:rFonts w:eastAsia="Times New Roman"/>
        <w:sz w:val="16"/>
        <w:szCs w:val="16"/>
      </w:rPr>
      <w:fldChar w:fldCharType="begin"/>
    </w:r>
    <w:r w:rsidRPr="00123F2F">
      <w:rPr>
        <w:rFonts w:eastAsia="Times New Roman"/>
        <w:sz w:val="16"/>
        <w:szCs w:val="16"/>
      </w:rPr>
      <w:instrText xml:space="preserve"> PAGE </w:instrText>
    </w:r>
    <w:r w:rsidRPr="00123F2F">
      <w:rPr>
        <w:rFonts w:eastAsia="Times New Roman"/>
        <w:sz w:val="16"/>
        <w:szCs w:val="16"/>
      </w:rPr>
      <w:fldChar w:fldCharType="separate"/>
    </w:r>
    <w:r w:rsidR="005C5870">
      <w:rPr>
        <w:rFonts w:eastAsia="Times New Roman"/>
        <w:noProof/>
        <w:sz w:val="16"/>
        <w:szCs w:val="16"/>
      </w:rPr>
      <w:t>5</w:t>
    </w:r>
    <w:r w:rsidRPr="00123F2F">
      <w:rPr>
        <w:rFonts w:eastAsia="Times New Roman"/>
        <w:sz w:val="16"/>
        <w:szCs w:val="16"/>
      </w:rPr>
      <w:fldChar w:fldCharType="end"/>
    </w:r>
    <w:r w:rsidRPr="00123F2F">
      <w:rPr>
        <w:rFonts w:eastAsia="Times New Roman"/>
        <w:sz w:val="16"/>
        <w:szCs w:val="16"/>
      </w:rPr>
      <w:t xml:space="preserve"> of </w:t>
    </w:r>
    <w:r w:rsidRPr="00123F2F">
      <w:rPr>
        <w:rFonts w:eastAsia="Times New Roman"/>
        <w:sz w:val="16"/>
        <w:szCs w:val="16"/>
      </w:rPr>
      <w:fldChar w:fldCharType="begin"/>
    </w:r>
    <w:r w:rsidRPr="00123F2F">
      <w:rPr>
        <w:rFonts w:eastAsia="Times New Roman"/>
        <w:sz w:val="16"/>
        <w:szCs w:val="16"/>
      </w:rPr>
      <w:instrText xml:space="preserve"> NUMPAGES </w:instrText>
    </w:r>
    <w:r w:rsidRPr="00123F2F">
      <w:rPr>
        <w:rFonts w:eastAsia="Times New Roman"/>
        <w:sz w:val="16"/>
        <w:szCs w:val="16"/>
      </w:rPr>
      <w:fldChar w:fldCharType="separate"/>
    </w:r>
    <w:r w:rsidR="005C5870">
      <w:rPr>
        <w:rFonts w:eastAsia="Times New Roman"/>
        <w:noProof/>
        <w:sz w:val="16"/>
        <w:szCs w:val="16"/>
      </w:rPr>
      <w:t>5</w:t>
    </w:r>
    <w:r w:rsidRPr="00123F2F">
      <w:rPr>
        <w:rFonts w:eastAsia="Times New Roman"/>
        <w:sz w:val="16"/>
        <w:szCs w:val="16"/>
      </w:rPr>
      <w:fldChar w:fldCharType="end"/>
    </w:r>
    <w:r w:rsidRPr="00123F2F">
      <w:rPr>
        <w:rFonts w:eastAsia="Times New Roman"/>
        <w:sz w:val="16"/>
        <w:szCs w:val="16"/>
      </w:rPr>
      <w:tab/>
      <w:t>xxx-xx-xxx</w:t>
    </w:r>
  </w:p>
  <w:p w14:paraId="4DAB355B" w14:textId="77777777" w:rsidR="00123F2F" w:rsidRPr="00123F2F" w:rsidRDefault="00887F9D" w:rsidP="00123F2F">
    <w:pPr>
      <w:tabs>
        <w:tab w:val="center" w:pos="4680"/>
        <w:tab w:val="right" w:pos="9360"/>
      </w:tabs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ab/>
      <w:t xml:space="preserve">Exhibit </w:t>
    </w:r>
    <w:r w:rsidR="0096020B">
      <w:rPr>
        <w:rFonts w:eastAsia="Times New Roman"/>
        <w:sz w:val="16"/>
        <w:szCs w:val="16"/>
      </w:rPr>
      <w:t>H</w:t>
    </w:r>
    <w:r>
      <w:rPr>
        <w:rFonts w:eastAsia="Times New Roman"/>
        <w:sz w:val="16"/>
        <w:szCs w:val="16"/>
      </w:rPr>
      <w:t xml:space="preserve"> Conflicts</w:t>
    </w:r>
    <w:r w:rsidR="00245850">
      <w:rPr>
        <w:rFonts w:eastAsia="Times New Roman"/>
        <w:sz w:val="16"/>
        <w:szCs w:val="16"/>
      </w:rPr>
      <w:t xml:space="preserve"> </w:t>
    </w:r>
    <w:r w:rsidR="00123F2F" w:rsidRPr="00123F2F">
      <w:rPr>
        <w:rFonts w:eastAsia="Times New Roman"/>
        <w:sz w:val="16"/>
        <w:szCs w:val="16"/>
      </w:rPr>
      <w:tab/>
      <w:t>contractor</w:t>
    </w:r>
  </w:p>
  <w:p w14:paraId="4DAB355C" w14:textId="77777777" w:rsidR="0019656A" w:rsidRPr="00123F2F" w:rsidRDefault="0019656A" w:rsidP="0012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D76E" w14:textId="77777777" w:rsidR="000B14D5" w:rsidRDefault="000B14D5" w:rsidP="00325C30">
      <w:r>
        <w:separator/>
      </w:r>
    </w:p>
  </w:footnote>
  <w:footnote w:type="continuationSeparator" w:id="0">
    <w:p w14:paraId="7570394B" w14:textId="77777777" w:rsidR="000B14D5" w:rsidRDefault="000B14D5" w:rsidP="0032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CCB"/>
    <w:multiLevelType w:val="hybridMultilevel"/>
    <w:tmpl w:val="A4665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8436F"/>
    <w:multiLevelType w:val="hybridMultilevel"/>
    <w:tmpl w:val="B9D6F4A8"/>
    <w:lvl w:ilvl="0" w:tplc="F4FAA1DA">
      <w:start w:val="1"/>
      <w:numFmt w:val="lowerLetter"/>
      <w:lvlText w:val="%1."/>
      <w:lvlJc w:val="left"/>
      <w:pPr>
        <w:ind w:left="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21F720F"/>
    <w:multiLevelType w:val="hybridMultilevel"/>
    <w:tmpl w:val="91781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F5D6D"/>
    <w:multiLevelType w:val="hybridMultilevel"/>
    <w:tmpl w:val="7A8A7BDC"/>
    <w:lvl w:ilvl="0" w:tplc="04090019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80F22B8"/>
    <w:multiLevelType w:val="hybridMultilevel"/>
    <w:tmpl w:val="3D28A4AE"/>
    <w:lvl w:ilvl="0" w:tplc="42181704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B26B5"/>
    <w:multiLevelType w:val="hybridMultilevel"/>
    <w:tmpl w:val="3D28A4AE"/>
    <w:lvl w:ilvl="0" w:tplc="42181704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193740">
    <w:abstractNumId w:val="1"/>
  </w:num>
  <w:num w:numId="2" w16cid:durableId="1918902887">
    <w:abstractNumId w:val="2"/>
  </w:num>
  <w:num w:numId="3" w16cid:durableId="218633291">
    <w:abstractNumId w:val="3"/>
  </w:num>
  <w:num w:numId="4" w16cid:durableId="1787698587">
    <w:abstractNumId w:val="0"/>
  </w:num>
  <w:num w:numId="5" w16cid:durableId="1004430760">
    <w:abstractNumId w:val="4"/>
  </w:num>
  <w:num w:numId="6" w16cid:durableId="1771579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30"/>
    <w:rsid w:val="00011BF8"/>
    <w:rsid w:val="0001585C"/>
    <w:rsid w:val="00040BF6"/>
    <w:rsid w:val="0005726C"/>
    <w:rsid w:val="00091DE1"/>
    <w:rsid w:val="000B14D5"/>
    <w:rsid w:val="000C7E7E"/>
    <w:rsid w:val="000D6882"/>
    <w:rsid w:val="001001F0"/>
    <w:rsid w:val="00123114"/>
    <w:rsid w:val="00123F2F"/>
    <w:rsid w:val="0014753A"/>
    <w:rsid w:val="00160ACC"/>
    <w:rsid w:val="00162479"/>
    <w:rsid w:val="00171D46"/>
    <w:rsid w:val="0019656A"/>
    <w:rsid w:val="001C13AC"/>
    <w:rsid w:val="001C159D"/>
    <w:rsid w:val="001C2C97"/>
    <w:rsid w:val="001D3541"/>
    <w:rsid w:val="001D3E82"/>
    <w:rsid w:val="00207A76"/>
    <w:rsid w:val="00245850"/>
    <w:rsid w:val="00247C8B"/>
    <w:rsid w:val="00252399"/>
    <w:rsid w:val="00254DB9"/>
    <w:rsid w:val="00257FA6"/>
    <w:rsid w:val="002703C8"/>
    <w:rsid w:val="00291260"/>
    <w:rsid w:val="00292038"/>
    <w:rsid w:val="00294AC3"/>
    <w:rsid w:val="002A3BB1"/>
    <w:rsid w:val="002A48C8"/>
    <w:rsid w:val="002B55BE"/>
    <w:rsid w:val="002C5531"/>
    <w:rsid w:val="00306CFF"/>
    <w:rsid w:val="00321AFC"/>
    <w:rsid w:val="00325C30"/>
    <w:rsid w:val="00344A69"/>
    <w:rsid w:val="00373BD1"/>
    <w:rsid w:val="003A65BB"/>
    <w:rsid w:val="003A7C93"/>
    <w:rsid w:val="003B1102"/>
    <w:rsid w:val="003C3F60"/>
    <w:rsid w:val="003C77EE"/>
    <w:rsid w:val="003D6740"/>
    <w:rsid w:val="003E21AE"/>
    <w:rsid w:val="003F0ACD"/>
    <w:rsid w:val="00444382"/>
    <w:rsid w:val="004463E2"/>
    <w:rsid w:val="00456CB0"/>
    <w:rsid w:val="00467D12"/>
    <w:rsid w:val="004769AA"/>
    <w:rsid w:val="00497289"/>
    <w:rsid w:val="004D3965"/>
    <w:rsid w:val="004E356E"/>
    <w:rsid w:val="004F7CC5"/>
    <w:rsid w:val="005217E2"/>
    <w:rsid w:val="005367C0"/>
    <w:rsid w:val="00581156"/>
    <w:rsid w:val="00582258"/>
    <w:rsid w:val="0058361F"/>
    <w:rsid w:val="00587B8B"/>
    <w:rsid w:val="00595D95"/>
    <w:rsid w:val="005B2797"/>
    <w:rsid w:val="005C5870"/>
    <w:rsid w:val="005C7577"/>
    <w:rsid w:val="005D53B6"/>
    <w:rsid w:val="005D6097"/>
    <w:rsid w:val="005E3854"/>
    <w:rsid w:val="00615970"/>
    <w:rsid w:val="00617299"/>
    <w:rsid w:val="0062363F"/>
    <w:rsid w:val="006451DB"/>
    <w:rsid w:val="006465C2"/>
    <w:rsid w:val="00665BFC"/>
    <w:rsid w:val="00666C69"/>
    <w:rsid w:val="00671E6B"/>
    <w:rsid w:val="00673168"/>
    <w:rsid w:val="00675AA2"/>
    <w:rsid w:val="0067645E"/>
    <w:rsid w:val="00682AC3"/>
    <w:rsid w:val="006918F8"/>
    <w:rsid w:val="006970F5"/>
    <w:rsid w:val="006A1603"/>
    <w:rsid w:val="006A4DD4"/>
    <w:rsid w:val="006A6609"/>
    <w:rsid w:val="006C7F3A"/>
    <w:rsid w:val="006E5223"/>
    <w:rsid w:val="006F338B"/>
    <w:rsid w:val="006F40F8"/>
    <w:rsid w:val="00754391"/>
    <w:rsid w:val="00761D27"/>
    <w:rsid w:val="007700FC"/>
    <w:rsid w:val="00794D4E"/>
    <w:rsid w:val="007C02F6"/>
    <w:rsid w:val="007C7AA8"/>
    <w:rsid w:val="007D0C5D"/>
    <w:rsid w:val="0081065B"/>
    <w:rsid w:val="00823560"/>
    <w:rsid w:val="00840D08"/>
    <w:rsid w:val="00864A5D"/>
    <w:rsid w:val="00864E23"/>
    <w:rsid w:val="00867181"/>
    <w:rsid w:val="00887F9D"/>
    <w:rsid w:val="0089194D"/>
    <w:rsid w:val="008A0D02"/>
    <w:rsid w:val="008E787B"/>
    <w:rsid w:val="008F480F"/>
    <w:rsid w:val="00907C64"/>
    <w:rsid w:val="00910695"/>
    <w:rsid w:val="0092543A"/>
    <w:rsid w:val="00932F64"/>
    <w:rsid w:val="00954D6B"/>
    <w:rsid w:val="0096020B"/>
    <w:rsid w:val="009704E9"/>
    <w:rsid w:val="00986274"/>
    <w:rsid w:val="009A31BE"/>
    <w:rsid w:val="009D45D9"/>
    <w:rsid w:val="009E66C1"/>
    <w:rsid w:val="009F4219"/>
    <w:rsid w:val="00A14D01"/>
    <w:rsid w:val="00A231B9"/>
    <w:rsid w:val="00AA29EC"/>
    <w:rsid w:val="00AC5719"/>
    <w:rsid w:val="00AD1D89"/>
    <w:rsid w:val="00AD35DB"/>
    <w:rsid w:val="00AD55F6"/>
    <w:rsid w:val="00AF125E"/>
    <w:rsid w:val="00B0F782"/>
    <w:rsid w:val="00B16282"/>
    <w:rsid w:val="00B35A11"/>
    <w:rsid w:val="00B4532E"/>
    <w:rsid w:val="00B54349"/>
    <w:rsid w:val="00B76A7A"/>
    <w:rsid w:val="00B77ED3"/>
    <w:rsid w:val="00BA1396"/>
    <w:rsid w:val="00BD4001"/>
    <w:rsid w:val="00BD60B7"/>
    <w:rsid w:val="00C02A4D"/>
    <w:rsid w:val="00C254A6"/>
    <w:rsid w:val="00C27A1F"/>
    <w:rsid w:val="00C342DF"/>
    <w:rsid w:val="00C35278"/>
    <w:rsid w:val="00C42590"/>
    <w:rsid w:val="00C443C9"/>
    <w:rsid w:val="00C55198"/>
    <w:rsid w:val="00C70F5B"/>
    <w:rsid w:val="00C77E4F"/>
    <w:rsid w:val="00C8391A"/>
    <w:rsid w:val="00C852DB"/>
    <w:rsid w:val="00CA53E0"/>
    <w:rsid w:val="00CD424B"/>
    <w:rsid w:val="00CE1BD4"/>
    <w:rsid w:val="00CF04D7"/>
    <w:rsid w:val="00CF4646"/>
    <w:rsid w:val="00CF7508"/>
    <w:rsid w:val="00D2101E"/>
    <w:rsid w:val="00D35926"/>
    <w:rsid w:val="00D35931"/>
    <w:rsid w:val="00D526C8"/>
    <w:rsid w:val="00D81FC0"/>
    <w:rsid w:val="00D97198"/>
    <w:rsid w:val="00D97329"/>
    <w:rsid w:val="00DA7693"/>
    <w:rsid w:val="00DB0BF8"/>
    <w:rsid w:val="00DC1D63"/>
    <w:rsid w:val="00DD6C2D"/>
    <w:rsid w:val="00E2424F"/>
    <w:rsid w:val="00E55084"/>
    <w:rsid w:val="00E63CBD"/>
    <w:rsid w:val="00E72622"/>
    <w:rsid w:val="00E76B90"/>
    <w:rsid w:val="00E947A0"/>
    <w:rsid w:val="00EA16D7"/>
    <w:rsid w:val="00EA6703"/>
    <w:rsid w:val="00EA7ED4"/>
    <w:rsid w:val="00EB7839"/>
    <w:rsid w:val="00EC67AC"/>
    <w:rsid w:val="00F128C5"/>
    <w:rsid w:val="00F36D17"/>
    <w:rsid w:val="00F52AC9"/>
    <w:rsid w:val="00F5666C"/>
    <w:rsid w:val="00F82A21"/>
    <w:rsid w:val="00F83AD6"/>
    <w:rsid w:val="00F916DC"/>
    <w:rsid w:val="00F955C8"/>
    <w:rsid w:val="00F97C03"/>
    <w:rsid w:val="00FA5FD1"/>
    <w:rsid w:val="00FE7564"/>
    <w:rsid w:val="01A56D97"/>
    <w:rsid w:val="131AB011"/>
    <w:rsid w:val="161B669A"/>
    <w:rsid w:val="1E89A8CF"/>
    <w:rsid w:val="21B507B7"/>
    <w:rsid w:val="23702CD6"/>
    <w:rsid w:val="23758C66"/>
    <w:rsid w:val="23DAED62"/>
    <w:rsid w:val="29DD9B2D"/>
    <w:rsid w:val="2F9AB813"/>
    <w:rsid w:val="313D9C71"/>
    <w:rsid w:val="391B9C4C"/>
    <w:rsid w:val="3BCE4652"/>
    <w:rsid w:val="3CC128D4"/>
    <w:rsid w:val="41721317"/>
    <w:rsid w:val="43E66E7D"/>
    <w:rsid w:val="462877D6"/>
    <w:rsid w:val="4A8CE5FD"/>
    <w:rsid w:val="4C184E87"/>
    <w:rsid w:val="4C208A0F"/>
    <w:rsid w:val="4CABDCB4"/>
    <w:rsid w:val="558A7637"/>
    <w:rsid w:val="57AB216D"/>
    <w:rsid w:val="5886CEC3"/>
    <w:rsid w:val="5B2470E4"/>
    <w:rsid w:val="6CEFA298"/>
    <w:rsid w:val="7948C23B"/>
    <w:rsid w:val="7C5A31A1"/>
    <w:rsid w:val="7E2CC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B350A"/>
  <w15:docId w15:val="{4714C958-1806-47A9-802D-CD3BC6CA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B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5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C30"/>
  </w:style>
  <w:style w:type="character" w:styleId="PageNumber">
    <w:name w:val="page number"/>
    <w:basedOn w:val="DefaultParagraphFont"/>
    <w:rsid w:val="00325C30"/>
  </w:style>
  <w:style w:type="character" w:styleId="Hyperlink">
    <w:name w:val="Hyperlink"/>
    <w:basedOn w:val="DefaultParagraphFont"/>
    <w:uiPriority w:val="99"/>
    <w:unhideWhenUsed/>
    <w:rsid w:val="00325C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C30"/>
  </w:style>
  <w:style w:type="paragraph" w:styleId="BalloonText">
    <w:name w:val="Balloon Text"/>
    <w:basedOn w:val="Normal"/>
    <w:link w:val="BalloonTextChar"/>
    <w:uiPriority w:val="99"/>
    <w:semiHidden/>
    <w:unhideWhenUsed/>
    <w:rsid w:val="00867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C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7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C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C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1BF8"/>
  </w:style>
  <w:style w:type="character" w:styleId="FollowedHyperlink">
    <w:name w:val="FollowedHyperlink"/>
    <w:basedOn w:val="DefaultParagraphFont"/>
    <w:uiPriority w:val="99"/>
    <w:semiHidden/>
    <w:unhideWhenUsed/>
    <w:rsid w:val="00864E2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60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5B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C.southtechhosting.com/eDisclosur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ag.ca.gov/ethics/cour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vt.westlaw.com/calregs/Browse/Home/California/CaliforniaCodeofRegulations?guid=IDD8BD5705CCE11EC9220000D3A7C4BC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ppc.ca.gov/content/dam/fppc/NS-Documents/TAD/Public%20Officials%20and%20Employees/Leaving_State_Employment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ppc.ca.gov/content/dam/fppc/NS-Documents/TAD/Agency%20Reports/80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  <MediaLengthInSeconds xmlns="785685f2-c2e1-4352-89aa-3faca8eaba52" xsi:nil="true"/>
  </documentManagement>
</p:properties>
</file>

<file path=customXml/itemProps1.xml><?xml version="1.0" encoding="utf-8"?>
<ds:datastoreItem xmlns:ds="http://schemas.openxmlformats.org/officeDocument/2006/customXml" ds:itemID="{AF5E0DCA-6918-4A18-AB23-CB22D1BD0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4E3C8-2D53-4645-8F77-4F3C224541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2F5382-861D-42CE-B41D-00D29410EF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8E07E7-34D1-44FC-8737-8E1A5729CDEB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1911</Words>
  <Characters>10895</Characters>
  <Application>Microsoft Office Word</Application>
  <DocSecurity>0</DocSecurity>
  <Lines>90</Lines>
  <Paragraphs>25</Paragraphs>
  <ScaleCrop>false</ScaleCrop>
  <Company>California Energy Commission</Company>
  <LinksUpToDate>false</LinksUpToDate>
  <CharactersWithSpaces>12781</CharactersWithSpaces>
  <SharedDoc>false</SharedDoc>
  <HLinks>
    <vt:vector size="30" baseType="variant">
      <vt:variant>
        <vt:i4>5505100</vt:i4>
      </vt:variant>
      <vt:variant>
        <vt:i4>12</vt:i4>
      </vt:variant>
      <vt:variant>
        <vt:i4>0</vt:i4>
      </vt:variant>
      <vt:variant>
        <vt:i4>5</vt:i4>
      </vt:variant>
      <vt:variant>
        <vt:lpwstr>http://www.fppc.ca.gov/content/dam/fppc/NS-Documents/TAD/Public Officials and Employees/Leaving_State_Employment.pdf</vt:lpwstr>
      </vt:variant>
      <vt:variant>
        <vt:lpwstr/>
      </vt:variant>
      <vt:variant>
        <vt:i4>3604590</vt:i4>
      </vt:variant>
      <vt:variant>
        <vt:i4>9</vt:i4>
      </vt:variant>
      <vt:variant>
        <vt:i4>0</vt:i4>
      </vt:variant>
      <vt:variant>
        <vt:i4>5</vt:i4>
      </vt:variant>
      <vt:variant>
        <vt:lpwstr>http://www.fppc.ca.gov/content/dam/fppc/NS-Documents/TAD/Agency Reports/805.pdf</vt:lpwstr>
      </vt:variant>
      <vt:variant>
        <vt:lpwstr/>
      </vt:variant>
      <vt:variant>
        <vt:i4>6094914</vt:i4>
      </vt:variant>
      <vt:variant>
        <vt:i4>6</vt:i4>
      </vt:variant>
      <vt:variant>
        <vt:i4>0</vt:i4>
      </vt:variant>
      <vt:variant>
        <vt:i4>5</vt:i4>
      </vt:variant>
      <vt:variant>
        <vt:lpwstr>https://cec.southtechhosting.com/eDisclosure/</vt:lpwstr>
      </vt:variant>
      <vt:variant>
        <vt:lpwstr/>
      </vt:variant>
      <vt:variant>
        <vt:i4>1507406</vt:i4>
      </vt:variant>
      <vt:variant>
        <vt:i4>3</vt:i4>
      </vt:variant>
      <vt:variant>
        <vt:i4>0</vt:i4>
      </vt:variant>
      <vt:variant>
        <vt:i4>5</vt:i4>
      </vt:variant>
      <vt:variant>
        <vt:lpwstr>https://oag.ca.gov/ethics/course</vt:lpwstr>
      </vt:variant>
      <vt:variant>
        <vt:lpwstr/>
      </vt:variant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https://govt.westlaw.com/calregs/Browse/Home/California/CaliforniaCodeofRegulations?guid=IDD8BD5705CCE11EC9220000D3A7C4BC3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Elizabeth@Energy</dc:creator>
  <cp:keywords/>
  <cp:lastModifiedBy>Kidd, Kevin@Energy</cp:lastModifiedBy>
  <cp:revision>27</cp:revision>
  <cp:lastPrinted>2017-09-01T16:39:00Z</cp:lastPrinted>
  <dcterms:created xsi:type="dcterms:W3CDTF">2024-02-27T16:53:00Z</dcterms:created>
  <dcterms:modified xsi:type="dcterms:W3CDTF">2025-11-26T16:48:00Z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PriorityCandidate">
    <vt:bool>true</vt:bool>
  </property>
</Properties>
</file>