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176363" w:rsidRDefault="005A2DF5" w:rsidP="005A2DF5">
      <w:pPr>
        <w:keepLines/>
        <w:widowControl w:val="0"/>
        <w:ind w:right="-216"/>
        <w:jc w:val="center"/>
        <w:rPr>
          <w:b/>
          <w:szCs w:val="22"/>
          <w:u w:val="single"/>
        </w:rPr>
      </w:pPr>
    </w:p>
    <w:p w14:paraId="202BFEA7" w14:textId="77777777" w:rsidR="0026263A" w:rsidRPr="00AE4E81" w:rsidRDefault="0026263A" w:rsidP="0026263A">
      <w:pPr>
        <w:keepLines/>
        <w:widowControl w:val="0"/>
        <w:jc w:val="center"/>
        <w:rPr>
          <w:b/>
          <w:sz w:val="36"/>
        </w:rPr>
      </w:pPr>
      <w:bookmarkStart w:id="0" w:name="_Hlk209790584"/>
      <w:r w:rsidRPr="00AE4E81">
        <w:rPr>
          <w:b/>
          <w:sz w:val="36"/>
        </w:rPr>
        <w:t>Coordinated Holistic Orchestration of Inverter-based Resources</w:t>
      </w:r>
      <w:bookmarkEnd w:id="0"/>
      <w:r w:rsidRPr="00AE4E81">
        <w:rPr>
          <w:b/>
          <w:sz w:val="36"/>
        </w:rPr>
        <w:t xml:space="preserve"> (CHOIR)</w:t>
      </w:r>
    </w:p>
    <w:p w14:paraId="40671C9E" w14:textId="77777777" w:rsidR="000F22E6" w:rsidRPr="00AE4E81"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475D7BF5" w:rsidR="000F22E6" w:rsidRPr="00621253" w:rsidRDefault="00621253" w:rsidP="000F22E6">
      <w:pPr>
        <w:keepLines/>
        <w:widowControl w:val="0"/>
        <w:jc w:val="center"/>
        <w:rPr>
          <w:rFonts w:ascii="Times New Roman" w:hAnsi="Times New Roman"/>
          <w:szCs w:val="22"/>
        </w:rPr>
      </w:pPr>
      <w:r w:rsidRPr="00827121">
        <w:t xml:space="preserve">Disclaimer: Textual content </w:t>
      </w:r>
      <w:r>
        <w:t xml:space="preserve">struck-through and </w:t>
      </w:r>
      <w:r w:rsidRPr="00827121">
        <w:t>contained within brackets to be removed.</w:t>
      </w:r>
      <w:r>
        <w:t xml:space="preserve"> New information appears in </w:t>
      </w:r>
      <w:r w:rsidRPr="007029EF">
        <w:rPr>
          <w:b/>
          <w:bCs/>
          <w:u w:val="single"/>
        </w:rPr>
        <w:t>bold/underlined</w:t>
      </w:r>
      <w:r w:rsidRPr="007029EF">
        <w:t xml:space="preserve"> </w:t>
      </w:r>
      <w:r>
        <w:t>text.</w:t>
      </w:r>
    </w:p>
    <w:p w14:paraId="722549D1" w14:textId="1FD92586" w:rsidR="00D102AF" w:rsidRPr="00D102AF" w:rsidRDefault="005E55DE" w:rsidP="00D102AF">
      <w:pPr>
        <w:keepLines/>
        <w:widowControl w:val="0"/>
        <w:jc w:val="center"/>
        <w:rPr>
          <w:rFonts w:ascii="Helvetica" w:hAnsi="Helvetica"/>
          <w:color w:val="000000"/>
        </w:rPr>
      </w:pPr>
      <w:r w:rsidRPr="4BA5E191">
        <w:rPr>
          <w:rFonts w:ascii="Helvetica" w:hAnsi="Helvetica" w:cs="Times New Roman"/>
          <w:color w:val="000000" w:themeColor="text1"/>
        </w:rPr>
        <w:t xml:space="preserve"> </w:t>
      </w:r>
    </w:p>
    <w:p w14:paraId="3B5E943B" w14:textId="3C5301D8" w:rsidR="00DA51B5" w:rsidRPr="00D102AF" w:rsidRDefault="00DA51B5" w:rsidP="00D102AF">
      <w:pPr>
        <w:keepLines/>
        <w:widowControl w:val="0"/>
        <w:jc w:val="center"/>
        <w:rPr>
          <w:rFonts w:ascii="Helvetica" w:hAnsi="Helvetica"/>
          <w:color w:val="000000"/>
        </w:rPr>
      </w:pPr>
      <w:r>
        <w:rPr>
          <w:noProof/>
        </w:rPr>
        <w:drawing>
          <wp:inline distT="0" distB="0" distL="0" distR="0" wp14:anchorId="577A917C" wp14:editId="24F9AFFE">
            <wp:extent cx="2520729" cy="2242802"/>
            <wp:effectExtent l="0" t="0" r="0" b="5715"/>
            <wp:docPr id="1320927126" name="Picture 1320927126" descr="A logo with a bear on top of a gre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27126" name="Picture 1320927126" descr="A logo with a bear on top of a green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6638" cy="2248059"/>
                    </a:xfrm>
                    <a:prstGeom prst="rect">
                      <a:avLst/>
                    </a:prstGeom>
                    <a:noFill/>
                    <a:ln>
                      <a:noFill/>
                    </a:ln>
                  </pic:spPr>
                </pic:pic>
              </a:graphicData>
            </a:graphic>
          </wp:inline>
        </w:drawing>
      </w:r>
    </w:p>
    <w:p w14:paraId="35C447D3" w14:textId="1B8DDAA7" w:rsidR="00C32CEB" w:rsidRPr="00C32CEB" w:rsidRDefault="00C32CEB" w:rsidP="00C32CEB">
      <w:pPr>
        <w:keepLines/>
        <w:widowControl w:val="0"/>
        <w:jc w:val="center"/>
        <w:rPr>
          <w:rFonts w:ascii="Helvetica" w:hAnsi="Helvetica"/>
          <w:color w:val="000000"/>
        </w:rPr>
      </w:pPr>
    </w:p>
    <w:p w14:paraId="40407F54" w14:textId="46042BBD" w:rsidR="005A2DF5" w:rsidRPr="005A2DF5" w:rsidRDefault="005A2DF5" w:rsidP="005A2DF5">
      <w:pPr>
        <w:keepLines/>
        <w:widowControl w:val="0"/>
        <w:jc w:val="center"/>
      </w:pPr>
    </w:p>
    <w:p w14:paraId="0C05943C" w14:textId="1BEA33DB" w:rsidR="005A2DF5" w:rsidRDefault="005A2DF5" w:rsidP="005A2DF5">
      <w:pPr>
        <w:keepLines/>
        <w:widowControl w:val="0"/>
        <w:jc w:val="center"/>
        <w:rPr>
          <w:b/>
          <w:sz w:val="24"/>
        </w:rPr>
      </w:pPr>
      <w:r w:rsidRPr="00176363">
        <w:rPr>
          <w:b/>
          <w:sz w:val="24"/>
          <w:szCs w:val="22"/>
        </w:rPr>
        <w:t>GFO-</w:t>
      </w:r>
      <w:r w:rsidR="0026263A" w:rsidRPr="00176363">
        <w:rPr>
          <w:b/>
          <w:sz w:val="24"/>
          <w:szCs w:val="22"/>
        </w:rPr>
        <w:t>25</w:t>
      </w:r>
      <w:r w:rsidRPr="00176363">
        <w:rPr>
          <w:b/>
          <w:sz w:val="24"/>
          <w:szCs w:val="22"/>
        </w:rPr>
        <w:t>-</w:t>
      </w:r>
      <w:r w:rsidR="002E1412" w:rsidRPr="00176363">
        <w:rPr>
          <w:b/>
          <w:sz w:val="24"/>
        </w:rPr>
        <w:t>302</w:t>
      </w:r>
    </w:p>
    <w:p w14:paraId="0CA3F15C" w14:textId="7EE03D17" w:rsidR="001F0017" w:rsidRPr="001F0017" w:rsidRDefault="001F0017" w:rsidP="005A2DF5">
      <w:pPr>
        <w:keepLines/>
        <w:widowControl w:val="0"/>
        <w:jc w:val="center"/>
        <w:rPr>
          <w:b/>
          <w:sz w:val="24"/>
          <w:u w:val="single"/>
        </w:rPr>
      </w:pPr>
      <w:r w:rsidRPr="001F0017">
        <w:rPr>
          <w:b/>
          <w:sz w:val="24"/>
          <w:u w:val="single"/>
        </w:rPr>
        <w:t xml:space="preserve">Addendum </w:t>
      </w:r>
      <w:r w:rsidR="008E4E25">
        <w:rPr>
          <w:b/>
          <w:sz w:val="24"/>
          <w:u w:val="single"/>
        </w:rPr>
        <w:t>0</w:t>
      </w:r>
      <w:r w:rsidR="000058E1">
        <w:rPr>
          <w:b/>
          <w:sz w:val="24"/>
          <w:u w:val="single"/>
        </w:rPr>
        <w:t>2</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77529115" w:rsidR="005A2DF5" w:rsidRPr="00AE4E81" w:rsidRDefault="0026263A" w:rsidP="005A2DF5">
      <w:pPr>
        <w:keepLines/>
        <w:widowControl w:val="0"/>
        <w:tabs>
          <w:tab w:val="left" w:pos="1440"/>
        </w:tabs>
        <w:jc w:val="center"/>
      </w:pPr>
      <w:r w:rsidRPr="000058E1">
        <w:rPr>
          <w:strike/>
        </w:rPr>
        <w:t>October</w:t>
      </w:r>
      <w:r w:rsidR="000058E1">
        <w:t xml:space="preserve"> </w:t>
      </w:r>
      <w:r w:rsidR="00111335">
        <w:rPr>
          <w:b/>
          <w:bCs/>
        </w:rPr>
        <w:t>Dec</w:t>
      </w:r>
      <w:r w:rsidR="000058E1" w:rsidRPr="000058E1">
        <w:rPr>
          <w:b/>
          <w:bCs/>
        </w:rPr>
        <w:t>ember</w:t>
      </w:r>
      <w:r w:rsidRPr="00AE4E81">
        <w:t xml:space="preserve"> 2025</w:t>
      </w:r>
    </w:p>
    <w:p w14:paraId="2977866A" w14:textId="72F52987" w:rsidR="005A2DF5" w:rsidRPr="005A2DF5" w:rsidRDefault="005A2DF5" w:rsidP="005A2DF5">
      <w:pPr>
        <w:keepLines/>
        <w:widowControl w:val="0"/>
        <w:tabs>
          <w:tab w:val="left" w:pos="1440"/>
        </w:tabs>
        <w:jc w:val="center"/>
        <w:rPr>
          <w:color w:val="0070C0"/>
          <w:szCs w:val="22"/>
        </w:rPr>
        <w:sectPr w:rsidR="005A2DF5" w:rsidRPr="005A2DF5" w:rsidSect="005A2DF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9"/>
          <w:footerReference w:type="default" r:id="rId20"/>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33CAA0C"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A67586">
        <w:t>1</w:t>
      </w:r>
      <w:r w:rsidR="00D46C3D">
        <w:fldChar w:fldCharType="end"/>
      </w:r>
    </w:p>
    <w:p w14:paraId="565EC6B8" w14:textId="725CEA2B"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A67586">
        <w:t>1</w:t>
      </w:r>
      <w:r>
        <w:fldChar w:fldCharType="end"/>
      </w:r>
    </w:p>
    <w:p w14:paraId="0CFA59F0" w14:textId="4AE997BB"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A67586">
        <w:t>3</w:t>
      </w:r>
      <w:r>
        <w:fldChar w:fldCharType="end"/>
      </w:r>
    </w:p>
    <w:p w14:paraId="7B58FE89" w14:textId="79284DCA"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A67586">
        <w:t>6</w:t>
      </w:r>
      <w:r>
        <w:fldChar w:fldCharType="end"/>
      </w:r>
    </w:p>
    <w:p w14:paraId="2029D05F" w14:textId="379FF462"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A67586">
        <w:t>10</w:t>
      </w:r>
      <w:r>
        <w:fldChar w:fldCharType="end"/>
      </w:r>
    </w:p>
    <w:p w14:paraId="7F2B9710" w14:textId="577A58E4"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A67586">
        <w:t>11</w:t>
      </w:r>
      <w:r>
        <w:fldChar w:fldCharType="end"/>
      </w:r>
    </w:p>
    <w:p w14:paraId="464F36C0" w14:textId="1F24E5F1"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A67586">
        <w:t>11</w:t>
      </w:r>
      <w:r>
        <w:fldChar w:fldCharType="end"/>
      </w:r>
    </w:p>
    <w:p w14:paraId="67F439FE" w14:textId="4B31062A"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A67586">
        <w:t>12</w:t>
      </w:r>
      <w:r>
        <w:fldChar w:fldCharType="end"/>
      </w:r>
    </w:p>
    <w:p w14:paraId="1F61A1BD" w14:textId="7FD2FC34"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A67586">
        <w:t>13</w:t>
      </w:r>
      <w:r>
        <w:fldChar w:fldCharType="end"/>
      </w:r>
    </w:p>
    <w:p w14:paraId="7F8688AD" w14:textId="2D121E6E"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A67586">
        <w:t>14</w:t>
      </w:r>
      <w:r>
        <w:fldChar w:fldCharType="end"/>
      </w:r>
    </w:p>
    <w:p w14:paraId="67365DD1" w14:textId="719DBE00"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A67586">
        <w:t>15</w:t>
      </w:r>
      <w:r>
        <w:fldChar w:fldCharType="end"/>
      </w:r>
    </w:p>
    <w:p w14:paraId="2BB9F644" w14:textId="46A644D1"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A67586">
        <w:t>22</w:t>
      </w:r>
      <w:r>
        <w:fldChar w:fldCharType="end"/>
      </w:r>
    </w:p>
    <w:p w14:paraId="1829524B" w14:textId="7C296173" w:rsidR="00D46C3D" w:rsidRDefault="00D46C3D" w:rsidP="0074071F">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A67586">
        <w:t>24</w:t>
      </w:r>
      <w:r>
        <w:fldChar w:fldCharType="end"/>
      </w:r>
    </w:p>
    <w:p w14:paraId="0446B495" w14:textId="5B96B515"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A67586">
        <w:t>26</w:t>
      </w:r>
      <w:r>
        <w:fldChar w:fldCharType="end"/>
      </w:r>
    </w:p>
    <w:p w14:paraId="278A677C" w14:textId="09BA5661"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A67586">
        <w:t>26</w:t>
      </w:r>
      <w:r>
        <w:fldChar w:fldCharType="end"/>
      </w:r>
    </w:p>
    <w:p w14:paraId="03B0D219" w14:textId="5D9B31D5"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A67586">
        <w:t>28</w:t>
      </w:r>
      <w:r>
        <w:fldChar w:fldCharType="end"/>
      </w:r>
    </w:p>
    <w:p w14:paraId="3178B896" w14:textId="42D3868A"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A67586">
        <w:t>30</w:t>
      </w:r>
      <w:r>
        <w:fldChar w:fldCharType="end"/>
      </w:r>
    </w:p>
    <w:p w14:paraId="7F4E3279" w14:textId="0B6C8EA4"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A67586">
        <w:t>30</w:t>
      </w:r>
      <w:r>
        <w:fldChar w:fldCharType="end"/>
      </w:r>
    </w:p>
    <w:p w14:paraId="75F33FF1" w14:textId="125CEF6C"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A67586">
        <w:t>30</w:t>
      </w:r>
      <w:r>
        <w:fldChar w:fldCharType="end"/>
      </w:r>
    </w:p>
    <w:p w14:paraId="0FE907A6" w14:textId="157A85DB"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A67586">
        <w:t>31</w:t>
      </w:r>
      <w:r>
        <w:fldChar w:fldCharType="end"/>
      </w:r>
    </w:p>
    <w:p w14:paraId="79D731F5" w14:textId="47CA53AD"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A67586">
        <w:t>36</w:t>
      </w:r>
      <w:r>
        <w:fldChar w:fldCharType="end"/>
      </w:r>
    </w:p>
    <w:p w14:paraId="4FA48F38" w14:textId="633670F2"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A67586">
        <w:t>36</w:t>
      </w:r>
      <w:r>
        <w:fldChar w:fldCharType="end"/>
      </w:r>
    </w:p>
    <w:p w14:paraId="77174410" w14:textId="6E300619"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A67586">
        <w:t>36</w:t>
      </w:r>
      <w:r>
        <w:fldChar w:fldCharType="end"/>
      </w:r>
    </w:p>
    <w:p w14:paraId="529B0928" w14:textId="5F6A72AD"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A67586">
        <w:t>37</w:t>
      </w:r>
      <w:r>
        <w:fldChar w:fldCharType="end"/>
      </w:r>
    </w:p>
    <w:p w14:paraId="20BB1A60" w14:textId="4941B764"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A67586">
        <w:t>38</w:t>
      </w:r>
      <w:r>
        <w:fldChar w:fldCharType="end"/>
      </w:r>
    </w:p>
    <w:p w14:paraId="44EF9C5B" w14:textId="2A8A6F0F"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A67586">
        <w:t>41</w:t>
      </w:r>
      <w:r>
        <w:fldChar w:fldCharType="end"/>
      </w:r>
    </w:p>
    <w:p w14:paraId="374E33D7" w14:textId="1561CD6D"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A67586">
        <w:t>43</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290B2ADA" w:rsidR="003F6147" w:rsidRPr="003F6147" w:rsidRDefault="008643CD" w:rsidP="003F6147">
            <w:pPr>
              <w:keepLines/>
              <w:widowControl w:val="0"/>
              <w:spacing w:after="0"/>
              <w:jc w:val="center"/>
              <w:rPr>
                <w:rFonts w:ascii="Arial Bold" w:hAnsi="Arial Bold"/>
                <w:b/>
                <w:caps/>
                <w:szCs w:val="22"/>
              </w:rPr>
            </w:pPr>
            <w:r>
              <w:rPr>
                <w:b/>
              </w:rPr>
              <w:lastRenderedPageBreak/>
              <w:br w:type="page"/>
            </w:r>
            <w:bookmarkStart w:id="1" w:name="_Toc481569610"/>
            <w:bookmarkStart w:id="2" w:name="_Toc481570193"/>
            <w:bookmarkStart w:id="3" w:name="_Toc12770880"/>
            <w:bookmarkStart w:id="4" w:name="_Toc219275079"/>
            <w:bookmarkStart w:id="5" w:name="_Toc336443614"/>
            <w:bookmarkStart w:id="6" w:name="_Toc366671167"/>
            <w:r w:rsidR="003F6147"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2E3AD214" w:rsidR="003F6147" w:rsidRPr="003F6147" w:rsidRDefault="00D43D17" w:rsidP="003F6147">
                  <w:pPr>
                    <w:spacing w:after="0"/>
                    <w:jc w:val="both"/>
                  </w:pPr>
                  <w:r>
                    <w:t>0</w:t>
                  </w:r>
                  <w:r w:rsidR="00882CA6">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219A04E9" w:rsidR="003F6147" w:rsidRPr="003F6147" w:rsidRDefault="00D43D17" w:rsidP="003F6147">
                  <w:pPr>
                    <w:spacing w:after="0"/>
                    <w:jc w:val="both"/>
                  </w:pPr>
                  <w:r>
                    <w:t>0</w:t>
                  </w:r>
                  <w:r w:rsidR="00882CA6">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2CBB289A" w:rsidR="003F6147" w:rsidRPr="003F6147" w:rsidRDefault="00D43D17" w:rsidP="003F6147">
                  <w:pPr>
                    <w:spacing w:after="0"/>
                    <w:jc w:val="both"/>
                  </w:pPr>
                  <w:r>
                    <w:t>0</w:t>
                  </w:r>
                  <w:r w:rsidR="00FF279E">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3115A23" w:rsidR="003F6147" w:rsidRPr="003F6147" w:rsidRDefault="00D43D17" w:rsidP="003F6147">
                  <w:pPr>
                    <w:spacing w:after="0"/>
                    <w:jc w:val="both"/>
                  </w:pPr>
                  <w:r>
                    <w:t>0</w:t>
                  </w:r>
                  <w:r w:rsidR="00FF279E">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6BBBC169" w:rsidR="003F6147" w:rsidRPr="003F6147" w:rsidRDefault="00D43D17" w:rsidP="003F6147">
                  <w:pPr>
                    <w:spacing w:after="0"/>
                    <w:jc w:val="both"/>
                  </w:pPr>
                  <w:r>
                    <w:t>0</w:t>
                  </w:r>
                  <w:r w:rsidR="00FF279E">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1CF7CB0A" w:rsidR="003F6147" w:rsidRPr="003F6147" w:rsidRDefault="00D43D17" w:rsidP="003F6147">
                  <w:pPr>
                    <w:spacing w:after="0"/>
                    <w:jc w:val="both"/>
                  </w:pPr>
                  <w:r>
                    <w:t>0</w:t>
                  </w:r>
                  <w:r w:rsidR="00FF279E">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6934F5B4" w:rsidR="003F6147" w:rsidRPr="003F6147" w:rsidRDefault="00D43D17" w:rsidP="003F6147">
                  <w:pPr>
                    <w:spacing w:after="0"/>
                    <w:jc w:val="both"/>
                  </w:pPr>
                  <w:r>
                    <w:t>0</w:t>
                  </w:r>
                  <w:r w:rsidR="00FF279E">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6EEF2579" w:rsidR="003F6147" w:rsidRPr="003F6147" w:rsidRDefault="00D43D17" w:rsidP="003F6147">
                  <w:pPr>
                    <w:spacing w:after="0"/>
                    <w:jc w:val="both"/>
                  </w:pPr>
                  <w:r>
                    <w:t>0</w:t>
                  </w:r>
                  <w:r w:rsidR="00FF279E">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677D8A8A" w:rsidR="003F6147" w:rsidRPr="003F6147" w:rsidRDefault="00D43D17" w:rsidP="003F6147">
                  <w:pPr>
                    <w:spacing w:after="0"/>
                    <w:jc w:val="both"/>
                  </w:pPr>
                  <w:r>
                    <w:t>0</w:t>
                  </w:r>
                  <w:r w:rsidR="00FF279E">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3672001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7" w:name="_Toc458602318"/>
    </w:p>
    <w:p w14:paraId="799B34EA" w14:textId="77777777" w:rsidR="003B16DC" w:rsidRDefault="003B16DC">
      <w:pPr>
        <w:spacing w:after="0"/>
      </w:pPr>
    </w:p>
    <w:p w14:paraId="72F638AF" w14:textId="77777777" w:rsidR="006E3269" w:rsidRPr="006E3269" w:rsidRDefault="006E3269" w:rsidP="006E3269"/>
    <w:p w14:paraId="1B11ED7E" w14:textId="77777777" w:rsidR="006E3269" w:rsidRPr="006E3269" w:rsidRDefault="006E3269" w:rsidP="006E3269"/>
    <w:p w14:paraId="7A59E9A3" w14:textId="77777777" w:rsidR="006E3269" w:rsidRPr="006E3269" w:rsidRDefault="006E3269" w:rsidP="006E3269"/>
    <w:p w14:paraId="4CF3B677" w14:textId="77777777" w:rsidR="006E3269" w:rsidRPr="006E3269" w:rsidRDefault="006E3269" w:rsidP="006E3269"/>
    <w:p w14:paraId="25DE5D9A" w14:textId="77777777" w:rsidR="006E3269" w:rsidRDefault="006E3269" w:rsidP="006E3269">
      <w:pPr>
        <w:jc w:val="center"/>
      </w:pPr>
    </w:p>
    <w:p w14:paraId="08961FE4" w14:textId="3B493B5A" w:rsidR="006E3269" w:rsidRPr="006E3269" w:rsidRDefault="006E3269" w:rsidP="006E3269">
      <w:pPr>
        <w:tabs>
          <w:tab w:val="center" w:pos="4680"/>
        </w:tabs>
        <w:sectPr w:rsidR="006E3269" w:rsidRPr="006E3269" w:rsidSect="00E219A8">
          <w:headerReference w:type="default" r:id="rId21"/>
          <w:footerReference w:type="default" r:id="rId22"/>
          <w:pgSz w:w="12240" w:h="15840" w:code="1"/>
          <w:pgMar w:top="1440" w:right="1440" w:bottom="1440" w:left="1440" w:header="720" w:footer="576" w:gutter="0"/>
          <w:pgNumType w:start="1"/>
          <w:cols w:space="720"/>
          <w:docGrid w:linePitch="326"/>
        </w:sectPr>
      </w:pPr>
      <w:r>
        <w:tab/>
      </w: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15CE67F5" w14:textId="77777777" w:rsidR="003F6147" w:rsidRPr="00756BAC" w:rsidRDefault="003F6147" w:rsidP="006F30A3">
      <w:pPr>
        <w:pStyle w:val="Heading2"/>
        <w:numPr>
          <w:ilvl w:val="0"/>
          <w:numId w:val="85"/>
        </w:numPr>
      </w:pPr>
      <w:bookmarkStart w:id="9" w:name="_Toc458602319"/>
      <w:bookmarkStart w:id="10" w:name="_Toc143172699"/>
      <w:r w:rsidRPr="00756BAC">
        <w:t>Purpose of Solicitation</w:t>
      </w:r>
      <w:bookmarkEnd w:id="9"/>
      <w:bookmarkEnd w:id="10"/>
      <w:r w:rsidRPr="00756BAC">
        <w:t xml:space="preserve"> </w:t>
      </w:r>
      <w:bookmarkStart w:id="11" w:name="_Toc395180593"/>
      <w:bookmarkStart w:id="12" w:name="_Toc381079833"/>
      <w:bookmarkStart w:id="13" w:name="_Toc382571091"/>
    </w:p>
    <w:p w14:paraId="4F8F64FF" w14:textId="42525103" w:rsidR="00877723" w:rsidRPr="00D43D17" w:rsidRDefault="00877723" w:rsidP="00D6111C">
      <w:pPr>
        <w:spacing w:after="240"/>
      </w:pPr>
      <w:bookmarkStart w:id="14" w:name="_Toc433981247"/>
      <w:bookmarkEnd w:id="11"/>
      <w:bookmarkEnd w:id="12"/>
      <w:bookmarkEnd w:id="13"/>
      <w:r w:rsidRPr="00D43D17">
        <w:t>The purpose of this solicitation is to demonstrate and advance the capabilities of virtual power plants (VPPs) that coordinate high concentrations of inverter-based distributed energy resources (IBDERs) – such as solar</w:t>
      </w:r>
      <w:r w:rsidR="007B34B4" w:rsidRPr="00D43D17">
        <w:t xml:space="preserve"> photovoltaics (PV)</w:t>
      </w:r>
      <w:r w:rsidRPr="00D43D17">
        <w:t>, batter</w:t>
      </w:r>
      <w:r w:rsidR="0086455C" w:rsidRPr="00D43D17">
        <w:t>y energy storage systems (BESS)</w:t>
      </w:r>
      <w:r w:rsidRPr="00D43D17">
        <w:t>, and electric vehicles</w:t>
      </w:r>
      <w:r w:rsidR="006A05F9" w:rsidRPr="00D43D17">
        <w:t xml:space="preserve"> (EV)</w:t>
      </w:r>
      <w:r w:rsidRPr="00D43D17">
        <w:t xml:space="preserve"> </w:t>
      </w:r>
      <w:r w:rsidR="00D44A2C" w:rsidRPr="00D43D17">
        <w:t>–</w:t>
      </w:r>
      <w:r w:rsidRPr="00D43D17">
        <w:t xml:space="preserve"> to provide distribution-level power quality services, alleviate grid congestion due to electrification growth, and reduce reliance on fossil fuels.</w:t>
      </w:r>
      <w:r w:rsidR="22E93CA3" w:rsidRPr="00D43D17">
        <w:t xml:space="preserve"> This solicitation supports the Electric Program Investment Charge 2021-2025 Investment Plan’s (EPIC 4 Investment Plan) strategic objective to “Create a More Nimble Grid to Maintain Reliability as California Transitions to 100 Percent Clean Energy.”</w:t>
      </w:r>
      <w:r w:rsidRPr="00D43D17">
        <w:rPr>
          <w:rStyle w:val="FootnoteReference"/>
          <w:rFonts w:cs="Arial"/>
        </w:rPr>
        <w:footnoteReference w:id="2"/>
      </w:r>
    </w:p>
    <w:p w14:paraId="4B2259FC" w14:textId="575BC4B5" w:rsidR="00877723" w:rsidRPr="00D43D17" w:rsidRDefault="00877723" w:rsidP="00D6111C">
      <w:pPr>
        <w:tabs>
          <w:tab w:val="left" w:pos="180"/>
          <w:tab w:val="right" w:pos="720"/>
          <w:tab w:val="left" w:pos="900"/>
        </w:tabs>
        <w:spacing w:after="240"/>
      </w:pPr>
      <w:bookmarkStart w:id="15" w:name="_Hlk187936955"/>
      <w:r w:rsidRPr="00D43D17">
        <w:t xml:space="preserve">As California approaches 100 percent zero-carbon electricity by 2045, an increasing proportion of generation will come from IBDERs, which connect to the grid through inverters rather than conventional rotating machines. The existing grid currently relies on these large conventional rotating generators to provide flexible ramping resources and physical inertia, which is crucial for maintaining power quality. For traditional fossil gas-fired power plants to be phased out, viable replacement resources must be available. </w:t>
      </w:r>
    </w:p>
    <w:p w14:paraId="7FE30018" w14:textId="49EFA358" w:rsidR="00877723" w:rsidRPr="00D43D17" w:rsidRDefault="00877723" w:rsidP="00D6111C">
      <w:pPr>
        <w:tabs>
          <w:tab w:val="left" w:pos="180"/>
          <w:tab w:val="right" w:pos="720"/>
          <w:tab w:val="left" w:pos="900"/>
        </w:tabs>
        <w:spacing w:after="240"/>
      </w:pPr>
      <w:r w:rsidRPr="00D43D17">
        <w:t xml:space="preserve">Simultaneously, electrification of buildings and transportation </w:t>
      </w:r>
      <w:r w:rsidR="6C421621" w:rsidRPr="00D43D17">
        <w:t>and the rise of data centers</w:t>
      </w:r>
      <w:r w:rsidR="0E3221E0" w:rsidRPr="00D43D17">
        <w:t xml:space="preserve"> </w:t>
      </w:r>
      <w:r w:rsidR="1D5B9FCC" w:rsidRPr="00D43D17">
        <w:t>are</w:t>
      </w:r>
      <w:r w:rsidRPr="00D43D17">
        <w:t xml:space="preserve"> driving steep increases in electric load. Meeting this demand primarily through utility-scale resources would require massive investments in transmission and distribution infrastructure, raising affordability concerns and delaying decarbonization. These challenges are compounded by climate-driven extreme weather, which places additional strain on the grid and underscores the need for localized resilience. These pressures are especially acute in low-income and disadvantaged communities, where residents often face higher energy burdens, reduced access to backup power during outages, and few opportunities to participate in clean energy programs.</w:t>
      </w:r>
    </w:p>
    <w:p w14:paraId="428799F8" w14:textId="3842F9BD" w:rsidR="00877723" w:rsidRPr="00D43D17" w:rsidRDefault="00877723" w:rsidP="00D6111C">
      <w:pPr>
        <w:tabs>
          <w:tab w:val="left" w:pos="180"/>
          <w:tab w:val="right" w:pos="720"/>
          <w:tab w:val="left" w:pos="900"/>
        </w:tabs>
        <w:spacing w:after="240"/>
      </w:pPr>
      <w:r w:rsidRPr="00D43D17">
        <w:t xml:space="preserve">VPPs represent a promising strategy to address these challenges by aggregating and coordinating IBDERs to act as flexible, localized, and scalable grid assets. While many VPPs today </w:t>
      </w:r>
      <w:bookmarkEnd w:id="15"/>
      <w:r w:rsidRPr="00D43D17">
        <w:t xml:space="preserve">focus on demand-side management and load reduction, more advanced VPPs could provide a broader range of distribution-level grid services that are traditionally provided by centralized fossil fuel-based power plants. These services include voltage regulation, frequency response, reactive power support, power factor correction, harmonic mitigation, localized congestion relief, and rapid ramping capabilities. VPPs can also play a critical role in enhancing grid visibility and control at the distribution level, enabling utilities to transition from static to dynamic hosting capacity practices. This dynamic management of grid constraints can unlock significantly higher penetrations of distributed solar PV without requiring costly infrastructure upgrades. When targeted to benefit </w:t>
      </w:r>
      <w:r w:rsidR="00C46F3A" w:rsidRPr="00D43D17">
        <w:t>j</w:t>
      </w:r>
      <w:r w:rsidR="00AA17C9" w:rsidRPr="00D43D17">
        <w:t xml:space="preserve">ustice </w:t>
      </w:r>
      <w:r w:rsidR="00C46F3A" w:rsidRPr="00D43D17">
        <w:t>c</w:t>
      </w:r>
      <w:r w:rsidRPr="00D43D17">
        <w:t xml:space="preserve">ommunities, VPPs can also help reduce energy bills, improve local resilience, and expand access to the clean energy economy. </w:t>
      </w:r>
    </w:p>
    <w:bookmarkEnd w:id="14"/>
    <w:p w14:paraId="672AA5AB" w14:textId="3C024B32" w:rsidR="00877723" w:rsidRPr="00D43D17" w:rsidRDefault="00877723" w:rsidP="00D6111C">
      <w:pPr>
        <w:tabs>
          <w:tab w:val="left" w:pos="180"/>
          <w:tab w:val="right" w:pos="720"/>
          <w:tab w:val="left" w:pos="900"/>
        </w:tabs>
        <w:spacing w:after="240"/>
      </w:pPr>
      <w:r w:rsidRPr="00D43D17">
        <w:t>To serve as viable replacements for conventional fossil fuel-based power plants, VPP</w:t>
      </w:r>
      <w:r w:rsidR="008A56AB" w:rsidRPr="00D43D17">
        <w:t>(</w:t>
      </w:r>
      <w:r w:rsidRPr="00D43D17">
        <w:t>s</w:t>
      </w:r>
      <w:r w:rsidR="008A56AB" w:rsidRPr="00D43D17">
        <w:t>)</w:t>
      </w:r>
      <w:r w:rsidRPr="00D43D17">
        <w:t xml:space="preserve"> must advance in several critical areas:</w:t>
      </w:r>
    </w:p>
    <w:p w14:paraId="6A228482" w14:textId="3B64CAC2"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lastRenderedPageBreak/>
        <w:t>Operational Demonstrations of Distribution-Level Grid Services:</w:t>
      </w:r>
      <w:r w:rsidRPr="00D43D17">
        <w:t xml:space="preserve"> VPP</w:t>
      </w:r>
      <w:r w:rsidR="008A56AB" w:rsidRPr="00D43D17">
        <w:t>(</w:t>
      </w:r>
      <w:r w:rsidRPr="00D43D17">
        <w:t>s</w:t>
      </w:r>
      <w:r w:rsidR="008A56AB" w:rsidRPr="00D43D17">
        <w:t>)</w:t>
      </w:r>
      <w:r w:rsidRPr="00D43D17">
        <w:t xml:space="preserve"> must demonstrate that they can reliably provide distribution-level grid services traditionally delivered by centralized gas-fired fossil power plants. These demonstrations are critical for building confidence among grid operators and regulators that VPP</w:t>
      </w:r>
      <w:r w:rsidR="008A56AB" w:rsidRPr="00D43D17">
        <w:t>(</w:t>
      </w:r>
      <w:r w:rsidRPr="00D43D17">
        <w:t>s</w:t>
      </w:r>
      <w:r w:rsidR="008A56AB" w:rsidRPr="00D43D17">
        <w:t>)</w:t>
      </w:r>
      <w:r w:rsidRPr="00D43D17">
        <w:t xml:space="preserve"> can function as dependable, controllable grid assets capable of supporting real-time system needs. </w:t>
      </w:r>
    </w:p>
    <w:p w14:paraId="494264F0" w14:textId="0866EACA"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Interoperabl</w:t>
      </w:r>
      <w:r w:rsidR="0020490E" w:rsidRPr="00D43D17">
        <w:rPr>
          <w:b/>
          <w:bCs/>
        </w:rPr>
        <w:t>e</w:t>
      </w:r>
      <w:r w:rsidRPr="00D43D17">
        <w:rPr>
          <w:b/>
          <w:bCs/>
        </w:rPr>
        <w:t xml:space="preserve"> and Scalable Communication Technologies:</w:t>
      </w:r>
      <w:r w:rsidRPr="00D43D17">
        <w:t xml:space="preserve"> VPP</w:t>
      </w:r>
      <w:r w:rsidR="008E5821" w:rsidRPr="00D43D17">
        <w:t>(</w:t>
      </w:r>
      <w:r w:rsidRPr="00D43D17">
        <w:t>s</w:t>
      </w:r>
      <w:r w:rsidR="008E5821" w:rsidRPr="00D43D17">
        <w:t>)</w:t>
      </w:r>
      <w:r w:rsidRPr="00D43D17">
        <w:t xml:space="preserve"> must incorporate gateway devices and communication systems that enable seamless, secure integration of diverse IBDERs. These technologies must be scalable and interoperable across vendors and resource types, and </w:t>
      </w:r>
      <w:r w:rsidR="25CC9A0A" w:rsidRPr="00D43D17">
        <w:t>they must be</w:t>
      </w:r>
      <w:r w:rsidR="0E3221E0" w:rsidRPr="00D43D17">
        <w:t xml:space="preserve"> </w:t>
      </w:r>
      <w:r w:rsidRPr="00D43D17">
        <w:t xml:space="preserve">capable of interfacing with utility-operated Distributed Energy Management Systems (DERMS) platforms. This level of interoperability is essential for enabling reliable real-time coordination and observability. </w:t>
      </w:r>
    </w:p>
    <w:p w14:paraId="132732BE" w14:textId="53D494E4"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Targeted Enrollment of IBDERs:</w:t>
      </w:r>
      <w:r w:rsidRPr="00D43D17">
        <w:t xml:space="preserve"> VPP</w:t>
      </w:r>
      <w:r w:rsidR="008A56AB" w:rsidRPr="00D43D17">
        <w:t>(</w:t>
      </w:r>
      <w:r w:rsidRPr="00D43D17">
        <w:t>s</w:t>
      </w:r>
      <w:r w:rsidR="008A56AB" w:rsidRPr="00D43D17">
        <w:t>)</w:t>
      </w:r>
      <w:r w:rsidRPr="00D43D17">
        <w:t xml:space="preserve"> must adopt strategic participation models that encourage enrollment of IBDERs at high enough concentrations on individual substations or distribution feeders to deliver local grid services. This includes designing customer incentives that reflect the locational and temporal value of services, with attention to ensuring participation is accessible to </w:t>
      </w:r>
      <w:r w:rsidR="00AE3AE2" w:rsidRPr="00D43D17">
        <w:t xml:space="preserve">justice </w:t>
      </w:r>
      <w:r w:rsidRPr="00D43D17">
        <w:t xml:space="preserve">communities. </w:t>
      </w:r>
    </w:p>
    <w:p w14:paraId="61D2578C" w14:textId="792C4FFF" w:rsidR="00877723" w:rsidRPr="00D43D17" w:rsidRDefault="00877723" w:rsidP="00D6111C">
      <w:pPr>
        <w:pStyle w:val="ListParagraph"/>
        <w:numPr>
          <w:ilvl w:val="0"/>
          <w:numId w:val="111"/>
        </w:numPr>
        <w:tabs>
          <w:tab w:val="left" w:pos="180"/>
          <w:tab w:val="right" w:pos="720"/>
          <w:tab w:val="left" w:pos="900"/>
        </w:tabs>
        <w:spacing w:after="240"/>
      </w:pPr>
      <w:r w:rsidRPr="00D43D17">
        <w:rPr>
          <w:b/>
          <w:bCs/>
        </w:rPr>
        <w:t>Pathways to Distribution Market Participation:</w:t>
      </w:r>
      <w:r w:rsidRPr="00D43D17">
        <w:t xml:space="preserve"> For VPP</w:t>
      </w:r>
      <w:r w:rsidR="008A56AB" w:rsidRPr="00D43D17">
        <w:t>(</w:t>
      </w:r>
      <w:r w:rsidRPr="00D43D17">
        <w:t>s</w:t>
      </w:r>
      <w:r w:rsidR="008A56AB" w:rsidRPr="00D43D17">
        <w:t>)</w:t>
      </w:r>
      <w:r w:rsidRPr="00D43D17">
        <w:t xml:space="preserve"> to be sustainable and scalable, they must be able to access markets that compensate them for the full range of services they can provide. While VPP</w:t>
      </w:r>
      <w:r w:rsidR="008A56AB" w:rsidRPr="00D43D17">
        <w:t>(</w:t>
      </w:r>
      <w:r w:rsidRPr="00D43D17">
        <w:t>s</w:t>
      </w:r>
      <w:r w:rsidR="008A56AB" w:rsidRPr="00D43D17">
        <w:t>)</w:t>
      </w:r>
      <w:r w:rsidRPr="00D43D17">
        <w:t xml:space="preserve"> can currently participate in wholesale energy and capacity markets, few opportunities exist to monetize distribution-level services. However, investor-owned utilities (IOUs) are making significant investments in DERM</w:t>
      </w:r>
      <w:r w:rsidR="44DD1737" w:rsidRPr="00D43D17">
        <w:t>S</w:t>
      </w:r>
      <w:r w:rsidRPr="00D43D17">
        <w:t xml:space="preserve"> platforms, and the </w:t>
      </w:r>
      <w:r w:rsidR="006746D8" w:rsidRPr="00D43D17">
        <w:t>California Public Utilities Commission (</w:t>
      </w:r>
      <w:r w:rsidRPr="00D43D17">
        <w:t>CPUC</w:t>
      </w:r>
      <w:r w:rsidR="006746D8" w:rsidRPr="00D43D17">
        <w:t>)</w:t>
      </w:r>
      <w:r w:rsidRPr="00D43D17">
        <w:t xml:space="preserve"> “High DER” Proceeding (R.21-06-17)</w:t>
      </w:r>
      <w:r w:rsidRPr="00D43D17">
        <w:rPr>
          <w:rStyle w:val="FootnoteReference"/>
        </w:rPr>
        <w:footnoteReference w:id="3"/>
      </w:r>
      <w:r w:rsidRPr="00D43D17">
        <w:t xml:space="preserve"> is laying the groundwork for a future Distribution System Operator (DSO) framework, which could establish new market pathways for VPP</w:t>
      </w:r>
      <w:r w:rsidR="000143FF" w:rsidRPr="00D43D17">
        <w:t>(</w:t>
      </w:r>
      <w:r w:rsidRPr="00D43D17">
        <w:t>s</w:t>
      </w:r>
      <w:r w:rsidR="000143FF" w:rsidRPr="00D43D17">
        <w:t>)</w:t>
      </w:r>
      <w:r w:rsidRPr="00D43D17">
        <w:t xml:space="preserve"> to be procured as grid assets.</w:t>
      </w:r>
    </w:p>
    <w:p w14:paraId="5D757C5C" w14:textId="77777777" w:rsidR="00877723" w:rsidRPr="00D43D17" w:rsidRDefault="00877723" w:rsidP="00D6111C">
      <w:pPr>
        <w:tabs>
          <w:tab w:val="left" w:pos="180"/>
          <w:tab w:val="right" w:pos="720"/>
          <w:tab w:val="left" w:pos="900"/>
        </w:tabs>
        <w:spacing w:after="240"/>
      </w:pPr>
      <w:r w:rsidRPr="00D43D17">
        <w:t>This solicitation aims to fund field demonstrations that address these advancement areas, paving the way for broader commercial adoption as a cost-effective, scalable alternative to centralized fossil fuel-based generation.</w:t>
      </w:r>
    </w:p>
    <w:p w14:paraId="527B2EEE" w14:textId="4A41B101" w:rsidR="008E61EA" w:rsidRDefault="003F6147" w:rsidP="00D6111C">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7BAF9F42" w14:textId="6A640977" w:rsidR="00B603E1" w:rsidRDefault="00B603E1" w:rsidP="00D6111C">
      <w:r w:rsidRPr="00E12775">
        <w:t xml:space="preserve">Applicants </w:t>
      </w:r>
      <w:r>
        <w:t xml:space="preserve">may only </w:t>
      </w:r>
      <w:r w:rsidRPr="00E12775">
        <w:t>submit one application under this solicitation.</w:t>
      </w:r>
    </w:p>
    <w:p w14:paraId="52855CD8" w14:textId="6E779D9F" w:rsidR="003F6147" w:rsidRDefault="00960D30" w:rsidP="00D6111C">
      <w:pPr>
        <w:rPr>
          <w:szCs w:val="22"/>
        </w:rPr>
      </w:pPr>
      <w:r w:rsidRPr="00960D30">
        <w:rPr>
          <w:szCs w:val="22"/>
        </w:rPr>
        <w:t>If an applicant submits multiple applications, each application must be for a distinct project (i.e., no overlap with respect to the tasks described in the Scope of Work)</w:t>
      </w:r>
      <w:r w:rsidR="000223D6">
        <w:rPr>
          <w:szCs w:val="22"/>
        </w:rPr>
        <w:t>.</w:t>
      </w:r>
    </w:p>
    <w:p w14:paraId="13663FAA" w14:textId="1C45EA4A" w:rsidR="003F6147" w:rsidRPr="003F6147" w:rsidRDefault="00FD6239" w:rsidP="00D6111C">
      <w:pPr>
        <w:spacing w:after="0"/>
      </w:pPr>
      <w:r>
        <w:t xml:space="preserve">Prospective applicants looking for partnering opportunities for this funding opportunity should register on the California Energy Commission’s Empower Innovation website at </w:t>
      </w:r>
      <w:hyperlink r:id="rId23" w:history="1">
        <w:r w:rsidR="6B2C5D6A" w:rsidRPr="50016988">
          <w:rPr>
            <w:rStyle w:val="Hyperlink"/>
          </w:rPr>
          <w:t>www.empowerinnovation.net</w:t>
        </w:r>
      </w:hyperlink>
      <w:r w:rsidR="67A930C1">
        <w:t xml:space="preserve">. </w:t>
      </w:r>
    </w:p>
    <w:p w14:paraId="088E0083" w14:textId="77777777" w:rsidR="003F6147" w:rsidRPr="003F6147" w:rsidRDefault="003F6147" w:rsidP="00D6111C">
      <w:pPr>
        <w:spacing w:after="0"/>
        <w:rPr>
          <w:rFonts w:cs="Times New Roman"/>
          <w:b/>
          <w:smallCaps/>
          <w:sz w:val="26"/>
          <w:szCs w:val="26"/>
        </w:rPr>
      </w:pPr>
      <w:r w:rsidRPr="003F6147">
        <w:rPr>
          <w:sz w:val="26"/>
          <w:szCs w:val="26"/>
        </w:rPr>
        <w:br w:type="page"/>
      </w:r>
    </w:p>
    <w:p w14:paraId="4AB6446E" w14:textId="77777777" w:rsidR="003F6147" w:rsidRPr="00756BAC" w:rsidRDefault="003F6147" w:rsidP="00D6111C">
      <w:pPr>
        <w:pStyle w:val="Heading2"/>
        <w:numPr>
          <w:ilvl w:val="0"/>
          <w:numId w:val="85"/>
        </w:numPr>
      </w:pPr>
      <w:bookmarkStart w:id="16" w:name="_Toc458602320"/>
      <w:bookmarkStart w:id="17" w:name="_Toc143172700"/>
      <w:r w:rsidRPr="00756BAC">
        <w:lastRenderedPageBreak/>
        <w:t>Key Words/Terms</w:t>
      </w:r>
      <w:bookmarkEnd w:id="16"/>
      <w:bookmarkEnd w:id="1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D6111C">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D6111C">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D6111C">
            <w:r w:rsidRPr="003F6147">
              <w:t>Applicant</w:t>
            </w:r>
          </w:p>
        </w:tc>
        <w:tc>
          <w:tcPr>
            <w:tcW w:w="6930" w:type="dxa"/>
          </w:tcPr>
          <w:p w14:paraId="1E95849E" w14:textId="155491B6" w:rsidR="003F6147" w:rsidRPr="003F6147" w:rsidRDefault="00D1382E" w:rsidP="00D6111C">
            <w:r>
              <w:t>An</w:t>
            </w:r>
            <w:r w:rsidR="003F6147" w:rsidRPr="003F6147">
              <w:t xml:space="preserve"> entity that submits an application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D6111C">
            <w:r w:rsidRPr="003F6147">
              <w:t>Application</w:t>
            </w:r>
          </w:p>
        </w:tc>
        <w:tc>
          <w:tcPr>
            <w:tcW w:w="6930" w:type="dxa"/>
          </w:tcPr>
          <w:p w14:paraId="1087A470" w14:textId="77777777" w:rsidR="003F6147" w:rsidRPr="003F6147" w:rsidRDefault="003F6147" w:rsidP="00D6111C">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D6111C">
            <w:r>
              <w:t>Authorized Representative</w:t>
            </w:r>
          </w:p>
        </w:tc>
        <w:tc>
          <w:tcPr>
            <w:tcW w:w="6930" w:type="dxa"/>
          </w:tcPr>
          <w:p w14:paraId="6BDF2D2B" w14:textId="76A292B2" w:rsidR="00960D30" w:rsidRPr="008964A1" w:rsidRDefault="008011F4" w:rsidP="00D6111C">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00EC2034">
        <w:tc>
          <w:tcPr>
            <w:tcW w:w="2430" w:type="dxa"/>
          </w:tcPr>
          <w:p w14:paraId="1A4A7129" w14:textId="0B067E6B" w:rsidR="00FA2DA6" w:rsidRDefault="00FA2DA6" w:rsidP="00D6111C">
            <w:r w:rsidRPr="00206667">
              <w:t>California Native American Tribe</w:t>
            </w:r>
          </w:p>
        </w:tc>
        <w:tc>
          <w:tcPr>
            <w:tcW w:w="6930" w:type="dxa"/>
          </w:tcPr>
          <w:p w14:paraId="34E3ED63" w14:textId="0651D78D" w:rsidR="00FA2DA6" w:rsidDel="008011F4" w:rsidRDefault="00FA2DA6" w:rsidP="00D6111C">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00EC2034">
        <w:tc>
          <w:tcPr>
            <w:tcW w:w="2430" w:type="dxa"/>
          </w:tcPr>
          <w:p w14:paraId="14085459" w14:textId="0089A3EF" w:rsidR="006D4A68" w:rsidRPr="00206667" w:rsidRDefault="006D4A68" w:rsidP="00D6111C">
            <w:r w:rsidRPr="00362F91">
              <w:t>California Tribal Organization</w:t>
            </w:r>
          </w:p>
        </w:tc>
        <w:tc>
          <w:tcPr>
            <w:tcW w:w="6930" w:type="dxa"/>
          </w:tcPr>
          <w:p w14:paraId="1E988844" w14:textId="3B62B6A8" w:rsidR="006D4A68" w:rsidRPr="00206667" w:rsidRDefault="006D4A68" w:rsidP="00D6111C">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003F6147">
        <w:tc>
          <w:tcPr>
            <w:tcW w:w="2430" w:type="dxa"/>
          </w:tcPr>
          <w:p w14:paraId="5DEBAD05" w14:textId="77777777" w:rsidR="003F6147" w:rsidRPr="003F6147" w:rsidRDefault="003F6147" w:rsidP="00D6111C">
            <w:r w:rsidRPr="003F6147">
              <w:t>CAM</w:t>
            </w:r>
          </w:p>
        </w:tc>
        <w:tc>
          <w:tcPr>
            <w:tcW w:w="6930" w:type="dxa"/>
          </w:tcPr>
          <w:p w14:paraId="35598923" w14:textId="3BC0DB38" w:rsidR="003F6147" w:rsidRPr="003F6147" w:rsidRDefault="003F6147" w:rsidP="00D6111C">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6CEAAEBC" w14:paraId="4DBDC28B" w14:textId="77777777" w:rsidTr="760AA81C">
        <w:trPr>
          <w:trHeight w:val="300"/>
        </w:trPr>
        <w:tc>
          <w:tcPr>
            <w:tcW w:w="2430" w:type="dxa"/>
          </w:tcPr>
          <w:p w14:paraId="12CD8BCB" w14:textId="3E4AE251" w:rsidR="6CEAAEBC" w:rsidRPr="00D43D17" w:rsidRDefault="075D57F5" w:rsidP="00D6111C">
            <w:r w:rsidRPr="00D43D17">
              <w:t>CAISO</w:t>
            </w:r>
          </w:p>
        </w:tc>
        <w:tc>
          <w:tcPr>
            <w:tcW w:w="6930" w:type="dxa"/>
          </w:tcPr>
          <w:p w14:paraId="3A6CA0CA" w14:textId="7BF21627" w:rsidR="6CEAAEBC" w:rsidRPr="00D43D17" w:rsidRDefault="075D57F5" w:rsidP="00D6111C">
            <w:pPr>
              <w:rPr>
                <w:i/>
                <w:iCs/>
              </w:rPr>
            </w:pPr>
            <w:r w:rsidRPr="00D43D17">
              <w:rPr>
                <w:i/>
                <w:iCs/>
              </w:rPr>
              <w:t>California Independent System Operator</w:t>
            </w:r>
          </w:p>
        </w:tc>
      </w:tr>
      <w:tr w:rsidR="003F6147" w:rsidRPr="003F6147" w14:paraId="58F8E48D" w14:textId="77777777" w:rsidTr="003F6147">
        <w:tc>
          <w:tcPr>
            <w:tcW w:w="2430" w:type="dxa"/>
          </w:tcPr>
          <w:p w14:paraId="5091B1FA" w14:textId="77777777" w:rsidR="003F6147" w:rsidRPr="00D43D17" w:rsidRDefault="003F6147" w:rsidP="00D6111C">
            <w:r w:rsidRPr="00D43D17">
              <w:t>CAO</w:t>
            </w:r>
          </w:p>
        </w:tc>
        <w:tc>
          <w:tcPr>
            <w:tcW w:w="6930" w:type="dxa"/>
          </w:tcPr>
          <w:p w14:paraId="0065B5B7" w14:textId="61CC0223" w:rsidR="003F6147" w:rsidRPr="00D43D17" w:rsidRDefault="003F6147" w:rsidP="00D6111C">
            <w:pPr>
              <w:rPr>
                <w:i/>
              </w:rPr>
            </w:pPr>
            <w:r w:rsidRPr="00D43D17">
              <w:rPr>
                <w:i/>
                <w:iCs/>
              </w:rPr>
              <w:t>Commission Agreement Officer</w:t>
            </w:r>
            <w:r w:rsidR="00CC0D0D" w:rsidRPr="00D43D17">
              <w:t>, the person designated by the CEC to oversee the internal administrative processes and to serves as the main point of contact for solicitation applicants</w:t>
            </w:r>
            <w:r w:rsidR="00A25CAF" w:rsidRPr="00D43D17">
              <w:t>.</w:t>
            </w:r>
          </w:p>
        </w:tc>
      </w:tr>
      <w:tr w:rsidR="003F6147" w:rsidRPr="003F6147" w14:paraId="0AE8D6DA" w14:textId="77777777" w:rsidTr="003F6147">
        <w:tc>
          <w:tcPr>
            <w:tcW w:w="2430" w:type="dxa"/>
          </w:tcPr>
          <w:p w14:paraId="5F64E278" w14:textId="77777777" w:rsidR="003F6147" w:rsidRPr="003F6147" w:rsidRDefault="003F6147" w:rsidP="00D6111C">
            <w:r w:rsidRPr="003F6147">
              <w:t>CBO</w:t>
            </w:r>
          </w:p>
        </w:tc>
        <w:tc>
          <w:tcPr>
            <w:tcW w:w="6930" w:type="dxa"/>
          </w:tcPr>
          <w:p w14:paraId="3C50F760" w14:textId="229D76B6" w:rsidR="003F6147" w:rsidRPr="003F6147" w:rsidRDefault="003F6147" w:rsidP="00D6111C">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D6111C">
            <w:pPr>
              <w:numPr>
                <w:ilvl w:val="0"/>
                <w:numId w:val="83"/>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D6111C">
            <w:pPr>
              <w:numPr>
                <w:ilvl w:val="0"/>
                <w:numId w:val="83"/>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D6111C">
            <w:pPr>
              <w:numPr>
                <w:ilvl w:val="0"/>
                <w:numId w:val="83"/>
              </w:numPr>
              <w:spacing w:after="60"/>
              <w:contextualSpacing/>
            </w:pPr>
            <w:r w:rsidRPr="003F6147">
              <w:t>Currently employs staff member(s) who specialized in and are dedicated to – diversity, or equity, or inclusion, or is a 501(c)(3) non-profit.</w:t>
            </w:r>
          </w:p>
        </w:tc>
      </w:tr>
      <w:tr w:rsidR="004E7B63" w:rsidRPr="003F6147" w14:paraId="0238CC3B" w14:textId="77777777" w:rsidTr="004E7B63">
        <w:trPr>
          <w:trHeight w:val="602"/>
        </w:trPr>
        <w:tc>
          <w:tcPr>
            <w:tcW w:w="2430" w:type="dxa"/>
          </w:tcPr>
          <w:p w14:paraId="62FB419A" w14:textId="636D917E" w:rsidR="004E7B63" w:rsidRPr="00D43D17" w:rsidRDefault="004E7B63" w:rsidP="00D6111C">
            <w:r w:rsidRPr="00D43D17">
              <w:t>CCAs</w:t>
            </w:r>
          </w:p>
        </w:tc>
        <w:tc>
          <w:tcPr>
            <w:tcW w:w="6930" w:type="dxa"/>
          </w:tcPr>
          <w:p w14:paraId="5C108E88" w14:textId="27E7DF95" w:rsidR="004E7B63" w:rsidRPr="00D43D17" w:rsidRDefault="004E7B63" w:rsidP="00D6111C">
            <w:pPr>
              <w:spacing w:after="60"/>
              <w:contextualSpacing/>
            </w:pPr>
            <w:r w:rsidRPr="00D43D17">
              <w:rPr>
                <w:i/>
                <w:iCs/>
              </w:rPr>
              <w:t>Community Choice Aggregators</w:t>
            </w:r>
            <w:r w:rsidRPr="00D43D17">
              <w:t xml:space="preserve"> procure electricity on behalf of retail electricity customers within some geographic areas.</w:t>
            </w:r>
          </w:p>
        </w:tc>
      </w:tr>
      <w:tr w:rsidR="003F6147" w:rsidRPr="003F6147" w14:paraId="6C0527CD" w14:textId="77777777" w:rsidTr="003F6147">
        <w:tc>
          <w:tcPr>
            <w:tcW w:w="2430" w:type="dxa"/>
          </w:tcPr>
          <w:p w14:paraId="21872A76" w14:textId="77777777" w:rsidR="003F6147" w:rsidRPr="00D43D17" w:rsidRDefault="003F6147" w:rsidP="00D6111C">
            <w:r w:rsidRPr="00D43D17">
              <w:t>CEC</w:t>
            </w:r>
          </w:p>
        </w:tc>
        <w:tc>
          <w:tcPr>
            <w:tcW w:w="6930" w:type="dxa"/>
          </w:tcPr>
          <w:p w14:paraId="5974AC5C" w14:textId="7A6A1971" w:rsidR="003F6147" w:rsidRPr="00D43D17" w:rsidRDefault="003F6147" w:rsidP="00D6111C">
            <w:pPr>
              <w:spacing w:after="60"/>
              <w:contextualSpacing/>
            </w:pPr>
            <w:r w:rsidRPr="00D43D17">
              <w:t xml:space="preserve">State Energy Resources Conservation and Development Commission </w:t>
            </w:r>
            <w:proofErr w:type="gramStart"/>
            <w:r w:rsidR="00F05039" w:rsidRPr="00D43D17">
              <w:t>or,</w:t>
            </w:r>
            <w:proofErr w:type="gramEnd"/>
            <w:r w:rsidRPr="00D43D17">
              <w:t xml:space="preserve"> the California Energy Commission</w:t>
            </w:r>
            <w:r w:rsidR="00861F15" w:rsidRPr="00D43D17">
              <w:t>.</w:t>
            </w:r>
          </w:p>
        </w:tc>
      </w:tr>
      <w:tr w:rsidR="006F3D9A" w:rsidRPr="003F6147" w14:paraId="77D69820" w14:textId="77777777" w:rsidTr="003F6147">
        <w:tc>
          <w:tcPr>
            <w:tcW w:w="2430" w:type="dxa"/>
          </w:tcPr>
          <w:p w14:paraId="599B3B06" w14:textId="2CD3B3A7" w:rsidR="006F3D9A" w:rsidRPr="003F6147" w:rsidRDefault="004E1299" w:rsidP="00D6111C">
            <w:r w:rsidRPr="004E1299">
              <w:t>CEC funds</w:t>
            </w:r>
          </w:p>
        </w:tc>
        <w:tc>
          <w:tcPr>
            <w:tcW w:w="6930" w:type="dxa"/>
          </w:tcPr>
          <w:p w14:paraId="333448B8" w14:textId="54A5AE2A" w:rsidR="006F3D9A" w:rsidRPr="003F6147" w:rsidRDefault="007D20F4" w:rsidP="00D6111C">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003F6147">
        <w:tc>
          <w:tcPr>
            <w:tcW w:w="2430" w:type="dxa"/>
          </w:tcPr>
          <w:p w14:paraId="1CD4D045" w14:textId="77777777" w:rsidR="003F6147" w:rsidRPr="003F6147" w:rsidRDefault="003F6147" w:rsidP="00D6111C">
            <w:r w:rsidRPr="003F6147">
              <w:t>CEQA</w:t>
            </w:r>
          </w:p>
        </w:tc>
        <w:tc>
          <w:tcPr>
            <w:tcW w:w="6930" w:type="dxa"/>
          </w:tcPr>
          <w:p w14:paraId="2B46B704" w14:textId="77777777" w:rsidR="003F6147" w:rsidRPr="003F6147" w:rsidRDefault="003F6147" w:rsidP="00D6111C">
            <w:pPr>
              <w:keepNext/>
              <w:outlineLvl w:val="1"/>
            </w:pPr>
            <w:r w:rsidRPr="003F6147">
              <w:t>California Environmental Quality Act, California Public Resources Code Section 21000 et seq.</w:t>
            </w:r>
          </w:p>
        </w:tc>
      </w:tr>
      <w:tr w:rsidR="00D43D17" w:rsidRPr="00D43D17" w14:paraId="77AA41D8" w14:textId="77777777" w:rsidTr="003F6147">
        <w:tc>
          <w:tcPr>
            <w:tcW w:w="2430" w:type="dxa"/>
          </w:tcPr>
          <w:p w14:paraId="33E94BFD" w14:textId="2DE6AC7B" w:rsidR="00E00250" w:rsidRPr="00D43D17" w:rsidRDefault="00E00250" w:rsidP="00D6111C">
            <w:r w:rsidRPr="00D43D17">
              <w:lastRenderedPageBreak/>
              <w:t>Committed Operation Windows</w:t>
            </w:r>
          </w:p>
        </w:tc>
        <w:tc>
          <w:tcPr>
            <w:tcW w:w="6930" w:type="dxa"/>
          </w:tcPr>
          <w:p w14:paraId="1814F93C" w14:textId="59F3A240" w:rsidR="00E00250" w:rsidRPr="00D43D17" w:rsidRDefault="00E00250" w:rsidP="00D6111C">
            <w:pPr>
              <w:rPr>
                <w:i/>
              </w:rPr>
            </w:pPr>
            <w:r w:rsidRPr="00D43D17">
              <w:t>The specific timeframes in which the VPP is contractually obligated to deliver energy, capacity, or ancillary services to the grid operator or market.</w:t>
            </w:r>
          </w:p>
        </w:tc>
      </w:tr>
      <w:tr w:rsidR="00D43D17" w:rsidRPr="00D43D17" w14:paraId="64669FE2" w14:textId="77777777" w:rsidTr="003F6147">
        <w:tc>
          <w:tcPr>
            <w:tcW w:w="2430" w:type="dxa"/>
          </w:tcPr>
          <w:p w14:paraId="286C8637" w14:textId="0EA7AC3C" w:rsidR="002A0228" w:rsidRPr="00D43D17" w:rsidRDefault="002A0228" w:rsidP="00D6111C">
            <w:r w:rsidRPr="00D43D17">
              <w:t>CES</w:t>
            </w:r>
          </w:p>
        </w:tc>
        <w:tc>
          <w:tcPr>
            <w:tcW w:w="6930" w:type="dxa"/>
          </w:tcPr>
          <w:p w14:paraId="6665A48D" w14:textId="5A2D03FF" w:rsidR="002A0228" w:rsidRPr="00D43D17" w:rsidRDefault="002A0228" w:rsidP="00D6111C">
            <w:pPr>
              <w:rPr>
                <w:i/>
                <w:iCs/>
              </w:rPr>
            </w:pPr>
            <w:proofErr w:type="spellStart"/>
            <w:r w:rsidRPr="00D43D17">
              <w:rPr>
                <w:i/>
                <w:iCs/>
              </w:rPr>
              <w:t>CalEnviroScreen</w:t>
            </w:r>
            <w:proofErr w:type="spellEnd"/>
          </w:p>
        </w:tc>
      </w:tr>
      <w:tr w:rsidR="00D43D17" w:rsidRPr="00D43D17" w14:paraId="52C61765" w14:textId="77777777" w:rsidTr="003F6147">
        <w:tc>
          <w:tcPr>
            <w:tcW w:w="2430" w:type="dxa"/>
          </w:tcPr>
          <w:p w14:paraId="2596B177" w14:textId="77777777" w:rsidR="003F6147" w:rsidRPr="00D43D17" w:rsidRDefault="003F6147" w:rsidP="00D6111C">
            <w:r w:rsidRPr="00D43D17">
              <w:t>Days</w:t>
            </w:r>
          </w:p>
        </w:tc>
        <w:tc>
          <w:tcPr>
            <w:tcW w:w="6930" w:type="dxa"/>
          </w:tcPr>
          <w:p w14:paraId="2122E55E" w14:textId="77777777" w:rsidR="003F6147" w:rsidRPr="00D43D17" w:rsidRDefault="003F6147" w:rsidP="00D6111C">
            <w:pPr>
              <w:rPr>
                <w:i/>
              </w:rPr>
            </w:pPr>
            <w:r w:rsidRPr="00D43D17">
              <w:rPr>
                <w:i/>
              </w:rPr>
              <w:t>Days refers to calendar days</w:t>
            </w:r>
            <w:r w:rsidR="00861F15" w:rsidRPr="00D43D17">
              <w:rPr>
                <w:i/>
              </w:rPr>
              <w:t>.</w:t>
            </w:r>
          </w:p>
        </w:tc>
      </w:tr>
      <w:tr w:rsidR="00D43D17" w:rsidRPr="00D43D17" w14:paraId="710F5904" w14:textId="77777777" w:rsidTr="003F6147">
        <w:tc>
          <w:tcPr>
            <w:tcW w:w="2430" w:type="dxa"/>
          </w:tcPr>
          <w:p w14:paraId="147C6C24" w14:textId="77777777" w:rsidR="003F6147" w:rsidRPr="00D43D17" w:rsidRDefault="003F6147" w:rsidP="00D6111C">
            <w:r w:rsidRPr="00D43D17">
              <w:t>Disadvantaged Community</w:t>
            </w:r>
          </w:p>
        </w:tc>
        <w:tc>
          <w:tcPr>
            <w:tcW w:w="6930" w:type="dxa"/>
          </w:tcPr>
          <w:p w14:paraId="18A7E525" w14:textId="336FE661" w:rsidR="007D1376" w:rsidRPr="00D43D17" w:rsidRDefault="007D1376" w:rsidP="00D6111C">
            <w:r w:rsidRPr="00D43D17">
              <w:t xml:space="preserve">Communities </w:t>
            </w:r>
            <w:r w:rsidR="687CE5CE" w:rsidRPr="00D43D17">
              <w:t>that</w:t>
            </w:r>
            <w:r w:rsidRPr="00D43D17">
              <w:t xml:space="preserve"> represent the 25% highest scoring census tracts in </w:t>
            </w:r>
            <w:proofErr w:type="spellStart"/>
            <w:r w:rsidRPr="00D43D17">
              <w:t>CalEnviroScreen</w:t>
            </w:r>
            <w:proofErr w:type="spellEnd"/>
            <w:r w:rsidRPr="00D43D17">
              <w:t xml:space="preserve"> 4.0, census tracts previously identified in the top 25% in CalEnviroScreen 3.0, census tracts with high amounts of pollution and low populations, and federally recognized tribal areas as identified by the Census in the 2021 American Indian Areas Related National Geodatabase.</w:t>
            </w:r>
          </w:p>
          <w:p w14:paraId="24306E97" w14:textId="62CEA958" w:rsidR="007D1376" w:rsidRPr="00D43D17" w:rsidRDefault="007D1376" w:rsidP="00D6111C">
            <w:r w:rsidRPr="00D43D17">
              <w:t>(</w:t>
            </w:r>
            <w:r w:rsidR="007575DC" w:rsidRPr="00D43D17">
              <w:t>https://oehha.ca.gov/calenviroscreen/sb535)</w:t>
            </w:r>
          </w:p>
        </w:tc>
      </w:tr>
      <w:tr w:rsidR="00D43D17" w:rsidRPr="00D43D17" w14:paraId="7FAD353B" w14:textId="77777777" w:rsidTr="003F6147">
        <w:tc>
          <w:tcPr>
            <w:tcW w:w="2430" w:type="dxa"/>
          </w:tcPr>
          <w:p w14:paraId="339E89D9" w14:textId="1FE90DED" w:rsidR="009A052B" w:rsidRPr="00D43D17" w:rsidRDefault="009A052B" w:rsidP="00D6111C">
            <w:r w:rsidRPr="00D43D17">
              <w:t>DER</w:t>
            </w:r>
          </w:p>
        </w:tc>
        <w:tc>
          <w:tcPr>
            <w:tcW w:w="6930" w:type="dxa"/>
          </w:tcPr>
          <w:p w14:paraId="641B2026" w14:textId="4B4CD8BF" w:rsidR="009A052B" w:rsidRPr="00D43D17" w:rsidRDefault="009A052B" w:rsidP="00D6111C">
            <w:r w:rsidRPr="00D43D17">
              <w:rPr>
                <w:i/>
                <w:iCs/>
              </w:rPr>
              <w:t xml:space="preserve">Distributed Energy Resource, </w:t>
            </w:r>
            <w:r w:rsidRPr="00D43D17">
              <w:t xml:space="preserve">a diverse category of devices and technologies that interface with the electricity system at the distribution level, either directly connected to a distribution utility’s wires or on an end-use customer’s premises, behind the utility meter. Examples include distributed generation and storage, electric vehicles and charging stations, </w:t>
            </w:r>
            <w:r w:rsidR="33FD64FF" w:rsidRPr="00D43D17">
              <w:t xml:space="preserve">and </w:t>
            </w:r>
            <w:r w:rsidRPr="00D43D17">
              <w:t>grid-interactive buildings and microgrids, as well as more traditional demand response or load flexibility resources and energy efficiency strategies.</w:t>
            </w:r>
          </w:p>
        </w:tc>
      </w:tr>
      <w:tr w:rsidR="00D43D17" w:rsidRPr="00D43D17" w14:paraId="596773AF" w14:textId="77777777" w:rsidTr="003F6147">
        <w:tc>
          <w:tcPr>
            <w:tcW w:w="2430" w:type="dxa"/>
          </w:tcPr>
          <w:p w14:paraId="04AD3AD1" w14:textId="2435D45B" w:rsidR="009A052B" w:rsidRPr="00D43D17" w:rsidRDefault="009A052B" w:rsidP="00D6111C">
            <w:r w:rsidRPr="00D43D17">
              <w:t>DERMS</w:t>
            </w:r>
          </w:p>
        </w:tc>
        <w:tc>
          <w:tcPr>
            <w:tcW w:w="6930" w:type="dxa"/>
          </w:tcPr>
          <w:p w14:paraId="04B61C47" w14:textId="0308F409" w:rsidR="009A052B" w:rsidRPr="00D43D17" w:rsidRDefault="009A052B" w:rsidP="00D6111C">
            <w:r w:rsidRPr="00D43D17">
              <w:rPr>
                <w:i/>
                <w:iCs/>
              </w:rPr>
              <w:t>Distributed Energy Resource Management System</w:t>
            </w:r>
            <w:r w:rsidRPr="00D43D17">
              <w:t xml:space="preserve">, </w:t>
            </w:r>
            <w:r w:rsidR="1294A8B6" w:rsidRPr="00D43D17">
              <w:t xml:space="preserve">a </w:t>
            </w:r>
            <w:r w:rsidRPr="00D43D17">
              <w:t>software platform used to organize the operation of aggregated distributed energy resource within a power grid.</w:t>
            </w:r>
          </w:p>
        </w:tc>
      </w:tr>
      <w:tr w:rsidR="00D43D17" w:rsidRPr="00D43D17" w14:paraId="64F135FD" w14:textId="77777777" w:rsidTr="003F6147">
        <w:tc>
          <w:tcPr>
            <w:tcW w:w="2430" w:type="dxa"/>
          </w:tcPr>
          <w:p w14:paraId="3DC7A19E" w14:textId="350182A6" w:rsidR="009A052B" w:rsidRPr="00D43D17" w:rsidRDefault="009A052B" w:rsidP="00D6111C">
            <w:r w:rsidRPr="00D43D17">
              <w:t>DSO</w:t>
            </w:r>
          </w:p>
        </w:tc>
        <w:tc>
          <w:tcPr>
            <w:tcW w:w="6930" w:type="dxa"/>
          </w:tcPr>
          <w:p w14:paraId="2E8FFD32" w14:textId="25E054F9" w:rsidR="009A052B" w:rsidRPr="00D43D17" w:rsidRDefault="009A052B" w:rsidP="00D6111C">
            <w:r w:rsidRPr="00D43D17">
              <w:rPr>
                <w:i/>
                <w:iCs/>
              </w:rPr>
              <w:t xml:space="preserve">Distribution System Operator </w:t>
            </w:r>
            <w:r w:rsidRPr="00D43D17">
              <w:t>manages the local grid, including power lines and substations, to ensure the safe, reliable, and balanced delivery of electricity to customers.</w:t>
            </w:r>
          </w:p>
        </w:tc>
      </w:tr>
      <w:tr w:rsidR="00D43D17" w:rsidRPr="00D43D17" w14:paraId="201780FF" w14:textId="77777777" w:rsidTr="003F6147">
        <w:tc>
          <w:tcPr>
            <w:tcW w:w="2430" w:type="dxa"/>
          </w:tcPr>
          <w:p w14:paraId="669F7161" w14:textId="05098E6F" w:rsidR="006A05F9" w:rsidRPr="00D43D17" w:rsidRDefault="006A05F9" w:rsidP="00D6111C">
            <w:r w:rsidRPr="00D43D17">
              <w:t>EV</w:t>
            </w:r>
          </w:p>
        </w:tc>
        <w:tc>
          <w:tcPr>
            <w:tcW w:w="6930" w:type="dxa"/>
          </w:tcPr>
          <w:p w14:paraId="0DCD8297" w14:textId="5265F678" w:rsidR="006A05F9" w:rsidRPr="00D43D17" w:rsidRDefault="006A05F9" w:rsidP="00D6111C">
            <w:pPr>
              <w:rPr>
                <w:i/>
                <w:iCs/>
              </w:rPr>
            </w:pPr>
            <w:r w:rsidRPr="00D43D17">
              <w:rPr>
                <w:i/>
                <w:iCs/>
              </w:rPr>
              <w:t>Electric Vehicle</w:t>
            </w:r>
          </w:p>
        </w:tc>
      </w:tr>
      <w:tr w:rsidR="00D43D17" w:rsidRPr="00D43D17" w14:paraId="440E3ED2" w14:textId="77777777" w:rsidTr="003F6147">
        <w:tc>
          <w:tcPr>
            <w:tcW w:w="2430" w:type="dxa"/>
          </w:tcPr>
          <w:p w14:paraId="74D6D733" w14:textId="77777777" w:rsidR="003F6147" w:rsidRPr="00D43D17" w:rsidRDefault="003F6147" w:rsidP="00D6111C">
            <w:r w:rsidRPr="00D43D17">
              <w:t>Energy Equity</w:t>
            </w:r>
          </w:p>
        </w:tc>
        <w:tc>
          <w:tcPr>
            <w:tcW w:w="6930" w:type="dxa"/>
          </w:tcPr>
          <w:p w14:paraId="710ABD54" w14:textId="77777777" w:rsidR="003F6147" w:rsidRPr="00D43D17" w:rsidRDefault="003F6147" w:rsidP="00D6111C">
            <w:r w:rsidRPr="00D43D17">
              <w:t>The fair distribution of benefits and burdens from energy production and consumption.</w:t>
            </w:r>
          </w:p>
        </w:tc>
      </w:tr>
      <w:tr w:rsidR="00D43D17" w:rsidRPr="00D43D17" w14:paraId="3796E1CD" w14:textId="77777777" w:rsidTr="003F6147">
        <w:tc>
          <w:tcPr>
            <w:tcW w:w="2430" w:type="dxa"/>
          </w:tcPr>
          <w:p w14:paraId="718CC924" w14:textId="77777777" w:rsidR="003F6147" w:rsidRPr="00D43D17" w:rsidRDefault="003F6147" w:rsidP="00D6111C">
            <w:r w:rsidRPr="00D43D17">
              <w:t>EPIC</w:t>
            </w:r>
          </w:p>
        </w:tc>
        <w:tc>
          <w:tcPr>
            <w:tcW w:w="6930" w:type="dxa"/>
          </w:tcPr>
          <w:p w14:paraId="410D5587" w14:textId="77777777" w:rsidR="003F6147" w:rsidRPr="00D43D17" w:rsidRDefault="003F6147" w:rsidP="00D6111C">
            <w:r w:rsidRPr="00D43D17">
              <w:rPr>
                <w:i/>
              </w:rPr>
              <w:t>Electric Program Investment Charge,</w:t>
            </w:r>
            <w:r w:rsidRPr="00D43D17">
              <w:t xml:space="preserve"> the source of funding for the projects awarded under this solicitation</w:t>
            </w:r>
            <w:r w:rsidR="00861F15" w:rsidRPr="00D43D17">
              <w:t>.</w:t>
            </w:r>
          </w:p>
        </w:tc>
      </w:tr>
      <w:tr w:rsidR="00D43D17" w:rsidRPr="00D43D17" w14:paraId="43ECCE36" w14:textId="77777777" w:rsidTr="003F6147">
        <w:tc>
          <w:tcPr>
            <w:tcW w:w="2430" w:type="dxa"/>
          </w:tcPr>
          <w:p w14:paraId="7B7D6238" w14:textId="15B6CBFC" w:rsidR="00EA4D08" w:rsidRPr="00D43D17" w:rsidRDefault="00EA4D08" w:rsidP="00D6111C">
            <w:r w:rsidRPr="00D43D17">
              <w:t>IBDER</w:t>
            </w:r>
          </w:p>
        </w:tc>
        <w:tc>
          <w:tcPr>
            <w:tcW w:w="6930" w:type="dxa"/>
          </w:tcPr>
          <w:p w14:paraId="142E0119" w14:textId="20BC4862" w:rsidR="00EA4D08" w:rsidRPr="00D43D17" w:rsidRDefault="00EA4D08" w:rsidP="00D6111C">
            <w:pPr>
              <w:rPr>
                <w:i/>
              </w:rPr>
            </w:pPr>
            <w:r w:rsidRPr="00D43D17">
              <w:rPr>
                <w:i/>
              </w:rPr>
              <w:t>Inverter-Based Distributed Energy Resource</w:t>
            </w:r>
          </w:p>
        </w:tc>
      </w:tr>
      <w:tr w:rsidR="00D43D17" w:rsidRPr="00D43D17" w14:paraId="299AA2AD" w14:textId="77777777" w:rsidTr="003F6147">
        <w:tc>
          <w:tcPr>
            <w:tcW w:w="2430" w:type="dxa"/>
          </w:tcPr>
          <w:p w14:paraId="3261536F" w14:textId="77777777" w:rsidR="003F6147" w:rsidRPr="00D43D17" w:rsidRDefault="003F6147" w:rsidP="00D6111C">
            <w:r w:rsidRPr="00D43D17">
              <w:t>IOU</w:t>
            </w:r>
          </w:p>
        </w:tc>
        <w:tc>
          <w:tcPr>
            <w:tcW w:w="6930" w:type="dxa"/>
          </w:tcPr>
          <w:p w14:paraId="5ACA9A9F" w14:textId="4E139C52" w:rsidR="003F6147" w:rsidRPr="00D43D17" w:rsidRDefault="003F6147" w:rsidP="00D6111C">
            <w:r w:rsidRPr="00D43D17">
              <w:rPr>
                <w:i/>
              </w:rPr>
              <w:t>Investor-owned utility,</w:t>
            </w:r>
            <w:r w:rsidRPr="00D43D17">
              <w:t xml:space="preserve"> an electrical corporation as defined in California Public Utilities Code section 218. For purposes of this solicitation, it includes Pacific Gas and Electric Co., San Diego Gas and Electric Co., and Southern California Edison Co.</w:t>
            </w:r>
          </w:p>
        </w:tc>
      </w:tr>
      <w:tr w:rsidR="00D43D17" w:rsidRPr="00D43D17" w14:paraId="115C27F1" w14:textId="77777777" w:rsidTr="09D74243">
        <w:tc>
          <w:tcPr>
            <w:tcW w:w="2430" w:type="dxa"/>
          </w:tcPr>
          <w:p w14:paraId="3F1C22CA" w14:textId="686378CC" w:rsidR="007E09D0" w:rsidRPr="00D43D17" w:rsidRDefault="007E09D0" w:rsidP="00D6111C">
            <w:r w:rsidRPr="00D43D17">
              <w:t>Justice Community</w:t>
            </w:r>
          </w:p>
        </w:tc>
        <w:tc>
          <w:tcPr>
            <w:tcW w:w="6930" w:type="dxa"/>
          </w:tcPr>
          <w:p w14:paraId="003D9F93" w14:textId="77777777" w:rsidR="007E09D0" w:rsidRPr="00D43D17" w:rsidRDefault="007A52C3" w:rsidP="00D6111C">
            <w:r w:rsidRPr="00D43D17">
              <w:rPr>
                <w:i/>
              </w:rPr>
              <w:t>Justice Community,</w:t>
            </w:r>
            <w:r w:rsidRPr="00D43D17">
              <w:rPr>
                <w:iCs/>
              </w:rPr>
              <w:t xml:space="preserve"> </w:t>
            </w:r>
            <w:r w:rsidR="00D21E0E" w:rsidRPr="00D43D17">
              <w:rPr>
                <w:iCs/>
              </w:rPr>
              <w:t>a</w:t>
            </w:r>
            <w:r w:rsidR="00E76B00" w:rsidRPr="00D43D17">
              <w:t xml:space="preserve"> broad umbrella term that encompasses the following designations, adapted from the CEC’s Justice, Access, Equity, Diversity, and Inclusion Framework and applicable to this solicitation: disadvantaged communities, based on the latest CalEnviroScreen designations, and low-income communities and </w:t>
            </w:r>
            <w:r w:rsidR="00E76B00" w:rsidRPr="00D43D17">
              <w:lastRenderedPageBreak/>
              <w:t>households, pursuant to Assembly Bill 1550 (Gomez, Chapter 369, Statutes of 2016).</w:t>
            </w:r>
          </w:p>
          <w:p w14:paraId="356F7EB1" w14:textId="414D3F4E" w:rsidR="00C72CF6" w:rsidRPr="00D43D17" w:rsidRDefault="00C72CF6" w:rsidP="00D6111C">
            <w:r w:rsidRPr="00D43D17">
              <w:t>http://www.leginfo.ca.gov/pub/15-16/bill/asm/ab_1501-1550/ab_1550_bill_20160914_chaptered.htm</w:t>
            </w:r>
          </w:p>
        </w:tc>
      </w:tr>
      <w:tr w:rsidR="00D43D17" w:rsidRPr="00D43D17" w14:paraId="25E07F35" w14:textId="77777777" w:rsidTr="003F6147">
        <w:tc>
          <w:tcPr>
            <w:tcW w:w="2430" w:type="dxa"/>
          </w:tcPr>
          <w:p w14:paraId="7959F69E" w14:textId="30D965DA" w:rsidR="00336067" w:rsidRPr="00D43D17" w:rsidRDefault="00336067" w:rsidP="00D6111C">
            <w:r w:rsidRPr="00D43D17">
              <w:lastRenderedPageBreak/>
              <w:t>KPI</w:t>
            </w:r>
          </w:p>
        </w:tc>
        <w:tc>
          <w:tcPr>
            <w:tcW w:w="6930" w:type="dxa"/>
          </w:tcPr>
          <w:p w14:paraId="0B570ED4" w14:textId="37F54D9F" w:rsidR="00336067" w:rsidRPr="00D43D17" w:rsidRDefault="008C0141" w:rsidP="00D6111C">
            <w:pPr>
              <w:shd w:val="clear" w:color="auto" w:fill="FFFFFF"/>
              <w:spacing w:after="60"/>
              <w:textAlignment w:val="baseline"/>
              <w:rPr>
                <w:i/>
                <w:iCs/>
              </w:rPr>
            </w:pPr>
            <w:r w:rsidRPr="00D43D17">
              <w:rPr>
                <w:i/>
                <w:iCs/>
              </w:rPr>
              <w:t>Key Performance Indicator</w:t>
            </w:r>
          </w:p>
        </w:tc>
      </w:tr>
      <w:tr w:rsidR="00D43D17" w:rsidRPr="00D43D17" w14:paraId="3E0981EC" w14:textId="77777777" w:rsidTr="003F6147">
        <w:tc>
          <w:tcPr>
            <w:tcW w:w="2430" w:type="dxa"/>
          </w:tcPr>
          <w:p w14:paraId="2C5F8351" w14:textId="77777777" w:rsidR="003F6147" w:rsidRPr="00D43D17" w:rsidRDefault="003F6147" w:rsidP="00D6111C">
            <w:r w:rsidRPr="00D43D17">
              <w:t>Low Income Community</w:t>
            </w:r>
          </w:p>
        </w:tc>
        <w:tc>
          <w:tcPr>
            <w:tcW w:w="6930" w:type="dxa"/>
          </w:tcPr>
          <w:p w14:paraId="673D844E" w14:textId="75928D17" w:rsidR="003F6147" w:rsidRPr="00D43D17" w:rsidRDefault="00265FE1" w:rsidP="00D6111C">
            <w:pPr>
              <w:shd w:val="clear" w:color="auto" w:fill="FFFFFF"/>
              <w:spacing w:after="60"/>
              <w:textAlignment w:val="baseline"/>
            </w:pPr>
            <w:r w:rsidRPr="00D43D17">
              <w:t>C</w:t>
            </w:r>
            <w:r w:rsidR="00960D30" w:rsidRPr="00D43D17">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D43D17">
              <w:t>https://www.hcd.ca.gov/grants-and-funding/income-limits</w:t>
            </w:r>
            <w:r w:rsidR="00960D30" w:rsidRPr="00D43D17">
              <w:t xml:space="preserve">) </w:t>
            </w:r>
          </w:p>
        </w:tc>
      </w:tr>
      <w:tr w:rsidR="00D43D17" w:rsidRPr="00D43D17" w14:paraId="6EB675F9" w14:textId="77777777" w:rsidTr="00620ACE">
        <w:tc>
          <w:tcPr>
            <w:tcW w:w="2430" w:type="dxa"/>
          </w:tcPr>
          <w:p w14:paraId="0C79F6BD" w14:textId="77777777" w:rsidR="00CF09FA" w:rsidRPr="00D43D17" w:rsidRDefault="00CF09FA" w:rsidP="00D6111C">
            <w:r w:rsidRPr="00D43D17">
              <w:t xml:space="preserve">Major Subrecipient </w:t>
            </w:r>
          </w:p>
        </w:tc>
        <w:tc>
          <w:tcPr>
            <w:tcW w:w="6930" w:type="dxa"/>
          </w:tcPr>
          <w:p w14:paraId="3DFB59F2" w14:textId="77777777" w:rsidR="00CF09FA" w:rsidRPr="00D43D17" w:rsidRDefault="00CF09FA" w:rsidP="00D6111C">
            <w:pPr>
              <w:rPr>
                <w:iCs/>
              </w:rPr>
            </w:pPr>
            <w:r w:rsidRPr="00D43D17">
              <w:rPr>
                <w:iCs/>
              </w:rPr>
              <w:t xml:space="preserve">A Subrecipient that is budgeted to receive $100,000 or more of CEC funds, not including any equipment or match funds that may be provide by the Subrecipient.  </w:t>
            </w:r>
          </w:p>
        </w:tc>
      </w:tr>
      <w:tr w:rsidR="00D43D17" w:rsidRPr="00D43D17" w14:paraId="4F33AB96" w14:textId="77777777" w:rsidTr="760AA81C">
        <w:trPr>
          <w:trHeight w:val="300"/>
        </w:trPr>
        <w:tc>
          <w:tcPr>
            <w:tcW w:w="2430" w:type="dxa"/>
          </w:tcPr>
          <w:p w14:paraId="207696BA" w14:textId="011B563D" w:rsidR="59BBF9A9" w:rsidRPr="00D43D17" w:rsidRDefault="59BBF9A9" w:rsidP="00D6111C">
            <w:r w:rsidRPr="00D43D17">
              <w:t>M&amp;V</w:t>
            </w:r>
          </w:p>
        </w:tc>
        <w:tc>
          <w:tcPr>
            <w:tcW w:w="6930" w:type="dxa"/>
          </w:tcPr>
          <w:p w14:paraId="740466A5" w14:textId="31F7C107" w:rsidR="59BBF9A9" w:rsidRPr="00D43D17" w:rsidRDefault="59BBF9A9" w:rsidP="00D6111C">
            <w:pPr>
              <w:rPr>
                <w:i/>
                <w:iCs/>
              </w:rPr>
            </w:pPr>
            <w:r w:rsidRPr="00D43D17">
              <w:rPr>
                <w:i/>
                <w:iCs/>
              </w:rPr>
              <w:t>Measurement and Verification</w:t>
            </w:r>
          </w:p>
        </w:tc>
      </w:tr>
      <w:tr w:rsidR="00D43D17" w:rsidRPr="00D43D17" w14:paraId="36EE849E" w14:textId="77777777" w:rsidTr="003F6147">
        <w:tc>
          <w:tcPr>
            <w:tcW w:w="2430" w:type="dxa"/>
          </w:tcPr>
          <w:p w14:paraId="0DCA0F8E" w14:textId="77777777" w:rsidR="003F6147" w:rsidRPr="00D43D17" w:rsidRDefault="003F6147" w:rsidP="00D6111C">
            <w:r w:rsidRPr="00D43D17">
              <w:t>NOPA</w:t>
            </w:r>
          </w:p>
        </w:tc>
        <w:tc>
          <w:tcPr>
            <w:tcW w:w="6930" w:type="dxa"/>
          </w:tcPr>
          <w:p w14:paraId="1BC385BE" w14:textId="79F25FBF" w:rsidR="003F6147" w:rsidRPr="00D43D17" w:rsidRDefault="003F6147" w:rsidP="00D6111C">
            <w:r w:rsidRPr="00D43D17">
              <w:rPr>
                <w:i/>
              </w:rPr>
              <w:t>Notice of Proposed Award,</w:t>
            </w:r>
            <w:r w:rsidRPr="00D43D17">
              <w:t xml:space="preserve"> a public notice by CEC </w:t>
            </w:r>
            <w:r w:rsidR="00BD3323" w:rsidRPr="00D43D17">
              <w:t xml:space="preserve">staff </w:t>
            </w:r>
            <w:r w:rsidRPr="00D43D17">
              <w:t xml:space="preserve">that identifies </w:t>
            </w:r>
            <w:r w:rsidR="00BD3323" w:rsidRPr="00D43D17">
              <w:t xml:space="preserve">proposed grant </w:t>
            </w:r>
            <w:r w:rsidRPr="00D43D17">
              <w:t>recipients</w:t>
            </w:r>
            <w:r w:rsidR="00861F15" w:rsidRPr="00D43D17">
              <w:t>.</w:t>
            </w:r>
          </w:p>
        </w:tc>
      </w:tr>
      <w:tr w:rsidR="00D43D17" w:rsidRPr="00D43D17" w14:paraId="64B3725C" w14:textId="77777777" w:rsidTr="003F6147">
        <w:tc>
          <w:tcPr>
            <w:tcW w:w="2430" w:type="dxa"/>
          </w:tcPr>
          <w:p w14:paraId="77627CE2" w14:textId="77777777" w:rsidR="003F6147" w:rsidRPr="00D43D17" w:rsidRDefault="003F6147" w:rsidP="00D6111C">
            <w:r w:rsidRPr="00D43D17">
              <w:t>Pre-Commercial</w:t>
            </w:r>
            <w:r w:rsidR="0007074B" w:rsidRPr="00D43D17">
              <w:t xml:space="preserve"> Technology</w:t>
            </w:r>
          </w:p>
        </w:tc>
        <w:tc>
          <w:tcPr>
            <w:tcW w:w="6930" w:type="dxa"/>
          </w:tcPr>
          <w:p w14:paraId="185DE1FD" w14:textId="1D2BC4D9" w:rsidR="003F6147" w:rsidRPr="00D43D17" w:rsidRDefault="003F6147" w:rsidP="00D6111C">
            <w:pPr>
              <w:spacing w:before="100" w:beforeAutospacing="1" w:after="100" w:afterAutospacing="1"/>
            </w:pPr>
            <w:r w:rsidRPr="00D43D17">
              <w:t xml:space="preserve"> </w:t>
            </w:r>
            <w:r w:rsidR="00F62942" w:rsidRPr="00D43D17">
              <w:t>A</w:t>
            </w:r>
            <w:r w:rsidRPr="00D43D1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D43D17" w:rsidRPr="00D43D17" w14:paraId="2F48986C" w14:textId="77777777" w:rsidTr="003F6147">
        <w:tc>
          <w:tcPr>
            <w:tcW w:w="2430" w:type="dxa"/>
          </w:tcPr>
          <w:p w14:paraId="53373040" w14:textId="77777777" w:rsidR="003F6147" w:rsidRPr="00D43D17" w:rsidRDefault="003F6147" w:rsidP="00D6111C">
            <w:r w:rsidRPr="00D43D17">
              <w:t>Pilot Test</w:t>
            </w:r>
          </w:p>
        </w:tc>
        <w:tc>
          <w:tcPr>
            <w:tcW w:w="6930" w:type="dxa"/>
          </w:tcPr>
          <w:p w14:paraId="0742F89F" w14:textId="06AEF6C1" w:rsidR="003F6147" w:rsidRPr="00D43D17" w:rsidRDefault="00790F41" w:rsidP="00D6111C">
            <w:pPr>
              <w:spacing w:before="100" w:beforeAutospacing="1" w:after="100" w:afterAutospacing="1"/>
            </w:pPr>
            <w:r w:rsidRPr="00D43D17">
              <w:t>S</w:t>
            </w:r>
            <w:r w:rsidR="003F6147" w:rsidRPr="00D43D17">
              <w:t xml:space="preserve">mall scale testing in </w:t>
            </w:r>
            <w:r w:rsidRPr="00D43D17">
              <w:t>a</w:t>
            </w:r>
            <w:r w:rsidR="003F6147" w:rsidRPr="00D43D17">
              <w:t xml:space="preserve"> laboratory or testing on a small portion of the production line of the affected industry. Pilot tests help verify the design and validity of an approach, and adjustments can be made at this stage before full-scale demonstrations</w:t>
            </w:r>
          </w:p>
        </w:tc>
      </w:tr>
      <w:tr w:rsidR="00D43D17" w:rsidRPr="00D43D17" w14:paraId="6E267D56" w14:textId="77777777" w:rsidTr="003F6147">
        <w:tc>
          <w:tcPr>
            <w:tcW w:w="2430" w:type="dxa"/>
          </w:tcPr>
          <w:p w14:paraId="0F0C249B" w14:textId="77777777" w:rsidR="003F6147" w:rsidRPr="00D43D17" w:rsidRDefault="003F6147" w:rsidP="00D6111C">
            <w:r w:rsidRPr="00D43D17">
              <w:t>Principal Investigator</w:t>
            </w:r>
          </w:p>
        </w:tc>
        <w:tc>
          <w:tcPr>
            <w:tcW w:w="6930" w:type="dxa"/>
          </w:tcPr>
          <w:p w14:paraId="5FE4F8B7" w14:textId="77777777" w:rsidR="003F6147" w:rsidRPr="00D43D17" w:rsidRDefault="003F6147" w:rsidP="00D6111C">
            <w:pPr>
              <w:spacing w:before="100" w:beforeAutospacing="1" w:after="100" w:afterAutospacing="1"/>
              <w:rPr>
                <w:rFonts w:cs="Times New Roman"/>
                <w:sz w:val="24"/>
                <w:szCs w:val="24"/>
              </w:rPr>
            </w:pPr>
            <w:r w:rsidRPr="00D43D17">
              <w:t>The technical lead for the applicant’s project, who is responsible for overseeing the project; in some instances, the Principal Investigator and Project Manager may be the same person</w:t>
            </w:r>
            <w:r w:rsidR="00861F15" w:rsidRPr="00D43D17">
              <w:t>.</w:t>
            </w:r>
            <w:r w:rsidRPr="00D43D17">
              <w:t xml:space="preserve">  </w:t>
            </w:r>
          </w:p>
        </w:tc>
      </w:tr>
      <w:tr w:rsidR="00D43D17" w:rsidRPr="00D43D17" w14:paraId="619CD725" w14:textId="77777777" w:rsidTr="003F6147">
        <w:tc>
          <w:tcPr>
            <w:tcW w:w="2430" w:type="dxa"/>
          </w:tcPr>
          <w:p w14:paraId="55A34BEB" w14:textId="77777777" w:rsidR="003F6147" w:rsidRPr="00D43D17" w:rsidRDefault="003F6147" w:rsidP="00D6111C">
            <w:r w:rsidRPr="00D43D17">
              <w:t>Project Manager</w:t>
            </w:r>
          </w:p>
        </w:tc>
        <w:tc>
          <w:tcPr>
            <w:tcW w:w="6930" w:type="dxa"/>
          </w:tcPr>
          <w:p w14:paraId="74A463FD" w14:textId="77777777" w:rsidR="003F6147" w:rsidRPr="00D43D17" w:rsidRDefault="003F6147" w:rsidP="00D6111C">
            <w:r w:rsidRPr="00D43D17">
              <w:t>The person designated by the applicant to oversee the project and to serve as the main point of contact for the CEC</w:t>
            </w:r>
            <w:r w:rsidR="00861F15" w:rsidRPr="00D43D17">
              <w:t>.</w:t>
            </w:r>
          </w:p>
        </w:tc>
      </w:tr>
      <w:tr w:rsidR="00D43D17" w:rsidRPr="00D43D17" w14:paraId="5AEA71FB" w14:textId="77777777" w:rsidTr="003F6147">
        <w:tc>
          <w:tcPr>
            <w:tcW w:w="2430" w:type="dxa"/>
          </w:tcPr>
          <w:p w14:paraId="58F6988E" w14:textId="77777777" w:rsidR="003F6147" w:rsidRPr="00D43D17" w:rsidRDefault="003F6147" w:rsidP="00D6111C">
            <w:r w:rsidRPr="00D43D17">
              <w:t>Project Partner</w:t>
            </w:r>
          </w:p>
        </w:tc>
        <w:tc>
          <w:tcPr>
            <w:tcW w:w="6930" w:type="dxa"/>
          </w:tcPr>
          <w:p w14:paraId="074771EE" w14:textId="5D770FBA" w:rsidR="003F6147" w:rsidRPr="00D43D17" w:rsidRDefault="003F6147" w:rsidP="00D6111C">
            <w:r w:rsidRPr="00D43D17">
              <w:t>A</w:t>
            </w:r>
            <w:r w:rsidR="00B73E12" w:rsidRPr="00D43D17">
              <w:t xml:space="preserve"> person or</w:t>
            </w:r>
            <w:r w:rsidRPr="00D43D17">
              <w:t xml:space="preserve"> entity that contributes financially or otherwise to the project (e.g., match funding, provision of a test, demonstration or deployment site) and does not receive CEC funds</w:t>
            </w:r>
            <w:r w:rsidR="00861F15" w:rsidRPr="00D43D17">
              <w:t>.</w:t>
            </w:r>
            <w:r w:rsidRPr="00D43D17">
              <w:t xml:space="preserve"> </w:t>
            </w:r>
          </w:p>
        </w:tc>
      </w:tr>
      <w:tr w:rsidR="00D43D17" w:rsidRPr="00D43D17" w14:paraId="5A22456C" w14:textId="77777777" w:rsidTr="003F6147">
        <w:tc>
          <w:tcPr>
            <w:tcW w:w="2430" w:type="dxa"/>
          </w:tcPr>
          <w:p w14:paraId="6F237EB3" w14:textId="77777777" w:rsidR="003F6147" w:rsidRPr="00D43D17" w:rsidRDefault="003F6147" w:rsidP="00D6111C">
            <w:r w:rsidRPr="00D43D17">
              <w:t>Recipient</w:t>
            </w:r>
          </w:p>
        </w:tc>
        <w:tc>
          <w:tcPr>
            <w:tcW w:w="6930" w:type="dxa"/>
          </w:tcPr>
          <w:p w14:paraId="3FC09509" w14:textId="3606D005" w:rsidR="003F6147" w:rsidRPr="00D43D17" w:rsidRDefault="003F6147" w:rsidP="00D6111C">
            <w:r w:rsidRPr="00D43D17">
              <w:t xml:space="preserve"> A</w:t>
            </w:r>
            <w:r w:rsidR="007E19D6" w:rsidRPr="00D43D17">
              <w:t xml:space="preserve"> person or</w:t>
            </w:r>
            <w:r w:rsidRPr="00D43D17">
              <w:t xml:space="preserve"> entity receiving a </w:t>
            </w:r>
            <w:r w:rsidR="007E19D6" w:rsidRPr="00D43D17">
              <w:t xml:space="preserve">grant </w:t>
            </w:r>
            <w:r w:rsidRPr="00D43D17">
              <w:t>award under this solicitation</w:t>
            </w:r>
            <w:r w:rsidR="00861F15" w:rsidRPr="00D43D17">
              <w:t>.</w:t>
            </w:r>
            <w:r w:rsidR="000E62B3" w:rsidRPr="00D43D17">
              <w:t xml:space="preserve"> “Recipient” may be used interchangeably with “grant recipient</w:t>
            </w:r>
            <w:r w:rsidR="29B4C51B" w:rsidRPr="00D43D17">
              <w:t>.</w:t>
            </w:r>
            <w:r w:rsidR="4631D2A2" w:rsidRPr="00D43D17">
              <w:t>”</w:t>
            </w:r>
          </w:p>
        </w:tc>
      </w:tr>
      <w:tr w:rsidR="00D43D17" w:rsidRPr="00D43D17" w14:paraId="2538A784" w14:textId="77777777" w:rsidTr="760AA81C">
        <w:tc>
          <w:tcPr>
            <w:tcW w:w="2430" w:type="dxa"/>
          </w:tcPr>
          <w:p w14:paraId="48329FCE" w14:textId="162D64B9" w:rsidR="007F2B25" w:rsidRPr="00D43D17" w:rsidRDefault="007F2B25" w:rsidP="00D6111C">
            <w:r w:rsidRPr="00D43D17">
              <w:t>Solar PV</w:t>
            </w:r>
          </w:p>
        </w:tc>
        <w:tc>
          <w:tcPr>
            <w:tcW w:w="6930" w:type="dxa"/>
          </w:tcPr>
          <w:p w14:paraId="59296C9D" w14:textId="7ED0F69C" w:rsidR="007F2B25" w:rsidRPr="00D43D17" w:rsidRDefault="007F2B25" w:rsidP="00D6111C">
            <w:pPr>
              <w:rPr>
                <w:i/>
                <w:iCs/>
              </w:rPr>
            </w:pPr>
            <w:r w:rsidRPr="00D43D17">
              <w:rPr>
                <w:i/>
                <w:iCs/>
              </w:rPr>
              <w:t>Solar Photovoltaics</w:t>
            </w:r>
          </w:p>
        </w:tc>
      </w:tr>
      <w:tr w:rsidR="00D43D17" w:rsidRPr="00D43D17" w14:paraId="0735587C" w14:textId="77777777" w:rsidTr="003F6147">
        <w:tc>
          <w:tcPr>
            <w:tcW w:w="2430" w:type="dxa"/>
          </w:tcPr>
          <w:p w14:paraId="6FCE2130" w14:textId="77777777" w:rsidR="003F6147" w:rsidRPr="00D43D17" w:rsidRDefault="003F6147" w:rsidP="00D6111C">
            <w:r w:rsidRPr="00D43D17">
              <w:t>Solicitation</w:t>
            </w:r>
          </w:p>
        </w:tc>
        <w:tc>
          <w:tcPr>
            <w:tcW w:w="6930" w:type="dxa"/>
          </w:tcPr>
          <w:p w14:paraId="51DC304A" w14:textId="1BC79A79" w:rsidR="003F6147" w:rsidRPr="00D43D17" w:rsidRDefault="003F6147" w:rsidP="00D6111C">
            <w:r w:rsidRPr="00D43D17">
              <w:t>This entire document, including all attachments, exhibits, addend</w:t>
            </w:r>
            <w:r w:rsidR="0093641A" w:rsidRPr="00D43D17">
              <w:t>a,</w:t>
            </w:r>
            <w:r w:rsidRPr="00D43D17">
              <w:t xml:space="preserve"> written notices, and questions and answers (“solicitation” may be used interchangeably with “Grant Funding Opportunity”</w:t>
            </w:r>
            <w:r w:rsidR="00486CFD" w:rsidRPr="00D43D17">
              <w:t xml:space="preserve"> or “GFO”</w:t>
            </w:r>
            <w:r w:rsidRPr="00D43D17">
              <w:t>)</w:t>
            </w:r>
            <w:r w:rsidR="00861F15" w:rsidRPr="00D43D17">
              <w:t>.</w:t>
            </w:r>
            <w:r w:rsidRPr="00D43D17">
              <w:t xml:space="preserve"> </w:t>
            </w:r>
          </w:p>
        </w:tc>
      </w:tr>
      <w:tr w:rsidR="00D43D17" w:rsidRPr="00D43D17" w14:paraId="457271FF" w14:textId="77777777" w:rsidTr="003F6147">
        <w:tc>
          <w:tcPr>
            <w:tcW w:w="2430" w:type="dxa"/>
          </w:tcPr>
          <w:p w14:paraId="7B2AA8EF" w14:textId="2C7312CA" w:rsidR="00AC397C" w:rsidRPr="00D43D17" w:rsidRDefault="00AC397C" w:rsidP="00D6111C">
            <w:r w:rsidRPr="00D43D17">
              <w:t xml:space="preserve">Subrecipient  </w:t>
            </w:r>
          </w:p>
        </w:tc>
        <w:tc>
          <w:tcPr>
            <w:tcW w:w="6930" w:type="dxa"/>
          </w:tcPr>
          <w:p w14:paraId="2E9FD9C7" w14:textId="55A4912B" w:rsidR="00AC397C" w:rsidRPr="00D43D17" w:rsidRDefault="00AC397C" w:rsidP="00D6111C">
            <w:r w:rsidRPr="00D43D17">
              <w:t xml:space="preserve">A person or entity that receives grant funds directly from a grant Recipient and is entrusted to make decisions about how to conduct some of the grant’s activities.  A Subrecipient’s role involves </w:t>
            </w:r>
            <w:r w:rsidRPr="00D43D17">
              <w:lastRenderedPageBreak/>
              <w:t>discretion over grant activities and is not merely just selling goods or services.</w:t>
            </w:r>
          </w:p>
        </w:tc>
      </w:tr>
      <w:tr w:rsidR="00D43D17" w:rsidRPr="00D43D17" w14:paraId="4C7B0B7C" w14:textId="77777777" w:rsidTr="003F6147">
        <w:tc>
          <w:tcPr>
            <w:tcW w:w="2430" w:type="dxa"/>
          </w:tcPr>
          <w:p w14:paraId="08DD3F4B" w14:textId="25620AE5" w:rsidR="00AC397C" w:rsidRPr="00D43D17" w:rsidRDefault="00AC397C" w:rsidP="00D6111C">
            <w:r w:rsidRPr="00D43D17">
              <w:lastRenderedPageBreak/>
              <w:t>Sub-Subrecipient</w:t>
            </w:r>
          </w:p>
        </w:tc>
        <w:tc>
          <w:tcPr>
            <w:tcW w:w="6930" w:type="dxa"/>
          </w:tcPr>
          <w:p w14:paraId="2AD1C4E3" w14:textId="3D48B8BA" w:rsidR="00AC397C" w:rsidRPr="00D43D17" w:rsidRDefault="00AC397C" w:rsidP="00D6111C">
            <w:r w:rsidRPr="00D43D17">
              <w:t>Has the same meaning as a Subrecipient except that it receives grant funds from a Subrecipient or any lower tier level of a Sub-Subrecipient.</w:t>
            </w:r>
          </w:p>
        </w:tc>
      </w:tr>
      <w:tr w:rsidR="00D43D17" w:rsidRPr="00D43D17" w14:paraId="277930E9" w14:textId="77777777" w:rsidTr="003F6147">
        <w:tc>
          <w:tcPr>
            <w:tcW w:w="2430" w:type="dxa"/>
          </w:tcPr>
          <w:p w14:paraId="2490391B" w14:textId="77777777" w:rsidR="003F6147" w:rsidRPr="00D43D17" w:rsidRDefault="003F6147" w:rsidP="00D6111C">
            <w:r w:rsidRPr="00D43D17">
              <w:t>State</w:t>
            </w:r>
          </w:p>
        </w:tc>
        <w:tc>
          <w:tcPr>
            <w:tcW w:w="6930" w:type="dxa"/>
          </w:tcPr>
          <w:p w14:paraId="4BEB9328" w14:textId="77777777" w:rsidR="003F6147" w:rsidRPr="00D43D17" w:rsidRDefault="003F6147" w:rsidP="00D6111C">
            <w:r w:rsidRPr="00D43D17">
              <w:t>State of California</w:t>
            </w:r>
          </w:p>
        </w:tc>
      </w:tr>
      <w:tr w:rsidR="00D43D17" w:rsidRPr="00D43D17" w14:paraId="26EDE60B" w14:textId="77777777" w:rsidTr="00EC2034">
        <w:tc>
          <w:tcPr>
            <w:tcW w:w="2430" w:type="dxa"/>
          </w:tcPr>
          <w:p w14:paraId="6F562A24" w14:textId="77777777" w:rsidR="00960D30" w:rsidRPr="00D43D17" w:rsidRDefault="00960D30" w:rsidP="00D6111C">
            <w:r w:rsidRPr="00D43D17">
              <w:t>TRL</w:t>
            </w:r>
          </w:p>
        </w:tc>
        <w:tc>
          <w:tcPr>
            <w:tcW w:w="6930" w:type="dxa"/>
          </w:tcPr>
          <w:p w14:paraId="579B9C91" w14:textId="20F859EC" w:rsidR="00960D30" w:rsidRPr="00D43D17" w:rsidRDefault="00960D30" w:rsidP="00D6111C">
            <w:pPr>
              <w:spacing w:after="0"/>
            </w:pPr>
            <w:r w:rsidRPr="00D43D17">
              <w:rPr>
                <w:i/>
              </w:rPr>
              <w:t xml:space="preserve">Technology </w:t>
            </w:r>
            <w:r w:rsidR="001B27F6" w:rsidRPr="00D43D17">
              <w:rPr>
                <w:i/>
              </w:rPr>
              <w:t>R</w:t>
            </w:r>
            <w:r w:rsidRPr="00D43D17">
              <w:rPr>
                <w:i/>
              </w:rPr>
              <w:t xml:space="preserve">eadiness </w:t>
            </w:r>
            <w:r w:rsidR="001B27F6" w:rsidRPr="00D43D17">
              <w:rPr>
                <w:i/>
              </w:rPr>
              <w:t>L</w:t>
            </w:r>
            <w:r w:rsidRPr="00D43D17">
              <w:rPr>
                <w:i/>
              </w:rPr>
              <w:t>evel</w:t>
            </w:r>
            <w:r w:rsidR="001B27F6" w:rsidRPr="00D43D17">
              <w:rPr>
                <w:i/>
              </w:rPr>
              <w:t>s</w:t>
            </w:r>
            <w:r w:rsidRPr="00D43D17">
              <w:t>, a method for estimating the maturity of technologies during the acquisition phase of a program.</w:t>
            </w:r>
          </w:p>
          <w:p w14:paraId="07D23953" w14:textId="0F2F8A82" w:rsidR="00960D30" w:rsidRPr="00D43D17" w:rsidRDefault="00960D30" w:rsidP="00D6111C">
            <w:r w:rsidRPr="00D43D17">
              <w:rPr>
                <w:szCs w:val="22"/>
              </w:rPr>
              <w:t xml:space="preserve">Source: U.S. Department of Energy, “Technology Readiness Assessment Guide”. </w:t>
            </w:r>
            <w:r w:rsidR="00B3602E" w:rsidRPr="00D43D17">
              <w:t>https://www2.lbl.gov/dir/assets/docs/TRL%20guide.pdf</w:t>
            </w:r>
          </w:p>
        </w:tc>
      </w:tr>
      <w:tr w:rsidR="00D43D17" w:rsidRPr="00D43D17" w14:paraId="3F23CAD5" w14:textId="77777777" w:rsidTr="00FF575A">
        <w:trPr>
          <w:trHeight w:val="575"/>
        </w:trPr>
        <w:tc>
          <w:tcPr>
            <w:tcW w:w="2430" w:type="dxa"/>
          </w:tcPr>
          <w:p w14:paraId="4B1DC24C" w14:textId="3FCEBA54" w:rsidR="00FF575A" w:rsidRPr="00D43D17" w:rsidRDefault="00FF575A" w:rsidP="00D6111C">
            <w:r w:rsidRPr="00D43D17">
              <w:t>VAR</w:t>
            </w:r>
          </w:p>
        </w:tc>
        <w:tc>
          <w:tcPr>
            <w:tcW w:w="6930" w:type="dxa"/>
          </w:tcPr>
          <w:p w14:paraId="4FB3C89B" w14:textId="78CF0905" w:rsidR="00FF575A" w:rsidRPr="00D43D17" w:rsidRDefault="00FF575A" w:rsidP="00D6111C">
            <w:pPr>
              <w:spacing w:after="0"/>
              <w:rPr>
                <w:szCs w:val="22"/>
              </w:rPr>
            </w:pPr>
            <w:r w:rsidRPr="00D43D17">
              <w:rPr>
                <w:i/>
                <w:iCs/>
                <w:szCs w:val="22"/>
              </w:rPr>
              <w:t>Volt-Ampere Reactive,</w:t>
            </w:r>
            <w:r w:rsidRPr="00D43D17">
              <w:rPr>
                <w:szCs w:val="22"/>
              </w:rPr>
              <w:t xml:space="preserve"> unit of measurement for reactive power in an alternating current circuit.</w:t>
            </w:r>
          </w:p>
        </w:tc>
      </w:tr>
      <w:tr w:rsidR="00D43D17" w:rsidRPr="00D43D17" w14:paraId="433E76E9" w14:textId="77777777" w:rsidTr="00EC2034">
        <w:tc>
          <w:tcPr>
            <w:tcW w:w="2430" w:type="dxa"/>
          </w:tcPr>
          <w:p w14:paraId="3D80E9CE" w14:textId="6A69AC01" w:rsidR="000F2BC4" w:rsidRPr="00D43D17" w:rsidRDefault="004C0743" w:rsidP="00D6111C">
            <w:r w:rsidRPr="00D43D17">
              <w:t>Vendor</w:t>
            </w:r>
          </w:p>
        </w:tc>
        <w:tc>
          <w:tcPr>
            <w:tcW w:w="6930" w:type="dxa"/>
          </w:tcPr>
          <w:p w14:paraId="159654C3" w14:textId="5FD62F25" w:rsidR="000F2BC4" w:rsidRPr="00D43D17" w:rsidRDefault="001A0434" w:rsidP="00D6111C">
            <w:pPr>
              <w:spacing w:after="0"/>
              <w:rPr>
                <w:szCs w:val="22"/>
              </w:rPr>
            </w:pPr>
            <w:r w:rsidRPr="00D43D17">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4D7091" w:rsidRPr="00D43D17" w14:paraId="34968D4B" w14:textId="77777777" w:rsidTr="004D7091">
        <w:trPr>
          <w:trHeight w:val="1052"/>
        </w:trPr>
        <w:tc>
          <w:tcPr>
            <w:tcW w:w="2430" w:type="dxa"/>
          </w:tcPr>
          <w:p w14:paraId="783B4657" w14:textId="7A210AE7" w:rsidR="004D7091" w:rsidRPr="00D43D17" w:rsidRDefault="004D7091" w:rsidP="00D6111C">
            <w:r w:rsidRPr="00D43D17">
              <w:t>VPP</w:t>
            </w:r>
          </w:p>
        </w:tc>
        <w:tc>
          <w:tcPr>
            <w:tcW w:w="6930" w:type="dxa"/>
          </w:tcPr>
          <w:p w14:paraId="15067A82" w14:textId="424B358B" w:rsidR="004D7091" w:rsidRPr="00D43D17" w:rsidRDefault="004D7091" w:rsidP="00D6111C">
            <w:pPr>
              <w:spacing w:after="0"/>
            </w:pPr>
            <w:r w:rsidRPr="00D43D17">
              <w:rPr>
                <w:i/>
              </w:rPr>
              <w:t>Virtual Power Plant</w:t>
            </w:r>
            <w:r w:rsidRPr="00D43D17">
              <w:t>, aggregations of distributed energy resources like smart thermostats, home batteries, and electric vehicles that can balance electricity demand and supply and provide utility-scale and utility-grade grid services.</w:t>
            </w:r>
          </w:p>
        </w:tc>
      </w:tr>
    </w:tbl>
    <w:p w14:paraId="5FDD8AB6" w14:textId="77777777" w:rsidR="003F6147" w:rsidRPr="00D43D17" w:rsidRDefault="003F6147" w:rsidP="00D6111C">
      <w:pPr>
        <w:spacing w:after="0"/>
        <w:ind w:left="1080"/>
        <w:outlineLvl w:val="2"/>
        <w:rPr>
          <w:b/>
          <w:szCs w:val="22"/>
        </w:rPr>
      </w:pPr>
    </w:p>
    <w:p w14:paraId="511F530A" w14:textId="77777777" w:rsidR="003F6147" w:rsidRPr="00D43D17" w:rsidRDefault="003F6147" w:rsidP="00D6111C">
      <w:pPr>
        <w:pStyle w:val="Heading2"/>
        <w:numPr>
          <w:ilvl w:val="0"/>
          <w:numId w:val="85"/>
        </w:numPr>
      </w:pPr>
      <w:bookmarkStart w:id="18" w:name="_Toc143172701"/>
      <w:bookmarkStart w:id="19" w:name="_Toc458602324"/>
      <w:r w:rsidRPr="00D43D17">
        <w:t>Project Focus</w:t>
      </w:r>
      <w:bookmarkEnd w:id="18"/>
    </w:p>
    <w:p w14:paraId="62062BE8" w14:textId="42D38DEC" w:rsidR="00C31BDD" w:rsidRPr="00D43D17" w:rsidRDefault="00C31BDD" w:rsidP="00D6111C">
      <w:pPr>
        <w:tabs>
          <w:tab w:val="left" w:pos="180"/>
          <w:tab w:val="left" w:pos="900"/>
        </w:tabs>
      </w:pPr>
      <w:r w:rsidRPr="00D43D17">
        <w:t>This solicitation funds field demonstrations of advanced VPP</w:t>
      </w:r>
      <w:r w:rsidR="008E5821" w:rsidRPr="00D43D17">
        <w:t>(</w:t>
      </w:r>
      <w:r w:rsidRPr="00D43D17">
        <w:t>s</w:t>
      </w:r>
      <w:r w:rsidR="008E5821" w:rsidRPr="00D43D17">
        <w:t>)</w:t>
      </w:r>
      <w:r w:rsidRPr="00D43D17">
        <w:t xml:space="preserve"> that aggregate IBDERs to provide distribution-level grid services. Demonstrations should focus on advancing core VPP</w:t>
      </w:r>
      <w:r w:rsidR="008A56AB" w:rsidRPr="00D43D17">
        <w:t>(s)</w:t>
      </w:r>
      <w:r w:rsidRPr="00D43D17">
        <w:t xml:space="preserve"> functions and showcasing the technical, operational, and economic viability of IBDER aggregations as a replacement for conventional fossil fuel-based grid services. </w:t>
      </w:r>
      <w:r w:rsidR="005C2D14" w:rsidRPr="00D43D17">
        <w:t>P</w:t>
      </w:r>
      <w:r w:rsidRPr="00D43D17">
        <w:t xml:space="preserve">rojects should demonstrate the following core capabilities: </w:t>
      </w:r>
    </w:p>
    <w:p w14:paraId="21CF589F" w14:textId="4E11BDA5" w:rsidR="00C31BDD" w:rsidRPr="00D43D17" w:rsidRDefault="00C31BDD" w:rsidP="00D6111C">
      <w:pPr>
        <w:pStyle w:val="ListParagraph"/>
        <w:numPr>
          <w:ilvl w:val="0"/>
          <w:numId w:val="115"/>
        </w:numPr>
        <w:tabs>
          <w:tab w:val="left" w:pos="180"/>
          <w:tab w:val="left" w:pos="900"/>
        </w:tabs>
      </w:pPr>
      <w:r w:rsidRPr="00D43D17">
        <w:rPr>
          <w:b/>
        </w:rPr>
        <w:t xml:space="preserve">Distribution-Level Power Quality </w:t>
      </w:r>
      <w:r w:rsidRPr="00D43D17">
        <w:rPr>
          <w:b/>
          <w:bCs/>
        </w:rPr>
        <w:t xml:space="preserve">Services: </w:t>
      </w:r>
      <w:r w:rsidRPr="00D43D17">
        <w:t>Demonstrate the ability of the VPP</w:t>
      </w:r>
      <w:r w:rsidR="008E5821" w:rsidRPr="00D43D17">
        <w:t>(</w:t>
      </w:r>
      <w:r w:rsidR="0013294A" w:rsidRPr="00D43D17">
        <w:t>s</w:t>
      </w:r>
      <w:r w:rsidR="008E5821" w:rsidRPr="00D43D17">
        <w:t>)</w:t>
      </w:r>
      <w:r w:rsidRPr="00D43D17">
        <w:t xml:space="preserve"> to deliver key distribution-level grid services, including but not limited to voltage regulation, frequency response, and active/reactive power control. These services must be delivered with high levels of accuracy, responsiveness, and availability, enabling VPP</w:t>
      </w:r>
      <w:r w:rsidR="008A56AB" w:rsidRPr="00D43D17">
        <w:t>(</w:t>
      </w:r>
      <w:r w:rsidRPr="00D43D17">
        <w:t>s</w:t>
      </w:r>
      <w:r w:rsidR="008A56AB" w:rsidRPr="00D43D17">
        <w:t>)</w:t>
      </w:r>
      <w:r w:rsidRPr="00D43D17">
        <w:t xml:space="preserve"> to support real-time distribution system needs.</w:t>
      </w:r>
    </w:p>
    <w:p w14:paraId="2A879079" w14:textId="42E7D200" w:rsidR="00C31BDD" w:rsidRPr="00D43D17" w:rsidRDefault="00C31BDD" w:rsidP="00D6111C">
      <w:pPr>
        <w:pStyle w:val="ListParagraph"/>
        <w:numPr>
          <w:ilvl w:val="0"/>
          <w:numId w:val="115"/>
        </w:numPr>
        <w:tabs>
          <w:tab w:val="left" w:pos="180"/>
          <w:tab w:val="left" w:pos="900"/>
        </w:tabs>
      </w:pPr>
      <w:r w:rsidRPr="00D43D17">
        <w:rPr>
          <w:b/>
        </w:rPr>
        <w:t>Alleviating Grid Congestion and Infrastructure Constraints:</w:t>
      </w:r>
      <w:r w:rsidRPr="00D43D17">
        <w:t xml:space="preserve"> Demonstrate how the VPP</w:t>
      </w:r>
      <w:r w:rsidR="008A56AB" w:rsidRPr="00D43D17">
        <w:t>(s)</w:t>
      </w:r>
      <w:r w:rsidRPr="00D43D17">
        <w:t xml:space="preserve"> can coordinate local generation and load in real time to avoid grid constraint violations. These capabilities should mitigate or defer the need for infrastructure upgrades, </w:t>
      </w:r>
      <w:r w:rsidR="00643BF2" w:rsidRPr="00D43D17">
        <w:t xml:space="preserve">facilitate </w:t>
      </w:r>
      <w:r w:rsidRPr="00D43D17">
        <w:t>utilities transition</w:t>
      </w:r>
      <w:r w:rsidR="00643BF2" w:rsidRPr="00D43D17">
        <w:t>ing</w:t>
      </w:r>
      <w:r w:rsidRPr="00D43D17">
        <w:t xml:space="preserve"> to dynamic hosting capacity practices, and unlock higher penetrations of distributed solar PV and other IBDERs.</w:t>
      </w:r>
    </w:p>
    <w:p w14:paraId="2DBE3B17" w14:textId="66DCA729" w:rsidR="00C31BDD" w:rsidRPr="00D43D17" w:rsidRDefault="00C31BDD" w:rsidP="00D6111C">
      <w:pPr>
        <w:pStyle w:val="ListParagraph"/>
        <w:numPr>
          <w:ilvl w:val="0"/>
          <w:numId w:val="115"/>
        </w:numPr>
        <w:tabs>
          <w:tab w:val="left" w:pos="180"/>
          <w:tab w:val="left" w:pos="900"/>
        </w:tabs>
      </w:pPr>
      <w:r w:rsidRPr="00D43D17">
        <w:rPr>
          <w:b/>
        </w:rPr>
        <w:t xml:space="preserve">Multi-Market Participation and </w:t>
      </w:r>
      <w:r w:rsidRPr="00D43D17">
        <w:rPr>
          <w:b/>
          <w:bCs/>
        </w:rPr>
        <w:t>Cybersecurity</w:t>
      </w:r>
      <w:r w:rsidRPr="00D43D17">
        <w:rPr>
          <w:b/>
        </w:rPr>
        <w:t>:</w:t>
      </w:r>
      <w:r w:rsidRPr="00D43D17">
        <w:t xml:space="preserve"> Demonstrate the ability of the VPP</w:t>
      </w:r>
      <w:r w:rsidR="008E5821" w:rsidRPr="00D43D17">
        <w:t>(</w:t>
      </w:r>
      <w:r w:rsidR="0013294A" w:rsidRPr="00D43D17">
        <w:t>s</w:t>
      </w:r>
      <w:r w:rsidR="008E5821" w:rsidRPr="00D43D17">
        <w:t>)</w:t>
      </w:r>
      <w:r w:rsidRPr="00D43D17">
        <w:t xml:space="preserve"> to respond to multiple grid and market signals</w:t>
      </w:r>
      <w:r w:rsidR="1FF89D33" w:rsidRPr="00D43D17">
        <w:t>,</w:t>
      </w:r>
      <w:r w:rsidRPr="00D43D17">
        <w:t xml:space="preserve"> including CAISO wholesale market participation and local utility dispatch via DERMS. Projects must optimize IBDERs across these value streams while ensuring secure, reliable, and coordinated dispatch </w:t>
      </w:r>
      <w:r w:rsidRPr="00D43D17">
        <w:lastRenderedPageBreak/>
        <w:t xml:space="preserve">through gateway technologies that meet industry standards for interoperability and cybersecurity. </w:t>
      </w:r>
    </w:p>
    <w:p w14:paraId="75ED9F9E" w14:textId="00AA63CF" w:rsidR="00C31BDD" w:rsidRPr="00D43D17" w:rsidRDefault="00C31BDD" w:rsidP="00D6111C">
      <w:pPr>
        <w:keepNext/>
        <w:tabs>
          <w:tab w:val="left" w:pos="180"/>
          <w:tab w:val="left" w:pos="900"/>
        </w:tabs>
      </w:pPr>
      <w:r w:rsidRPr="00D43D17">
        <w:t>Projects must meet these additional project requirements:</w:t>
      </w:r>
    </w:p>
    <w:p w14:paraId="73B87E2B" w14:textId="2611542B" w:rsidR="00382B44" w:rsidRPr="00D43D17" w:rsidRDefault="00382B44" w:rsidP="00D6111C">
      <w:pPr>
        <w:keepNext/>
        <w:numPr>
          <w:ilvl w:val="0"/>
          <w:numId w:val="114"/>
        </w:numPr>
        <w:rPr>
          <w:szCs w:val="22"/>
        </w:rPr>
      </w:pPr>
      <w:r w:rsidRPr="00D43D17">
        <w:rPr>
          <w:b/>
          <w:bCs/>
        </w:rPr>
        <w:t>Eligibility:</w:t>
      </w:r>
      <w:r w:rsidRPr="00D43D17">
        <w:t xml:space="preserve"> This solicitation targets third-party aggregators and solution providers. IOUs are not eligible to apply as prime recipients</w:t>
      </w:r>
      <w:r w:rsidR="008E3100" w:rsidRPr="00D43D17">
        <w:t>;</w:t>
      </w:r>
      <w:r w:rsidRPr="00D43D17">
        <w:t xml:space="preserve"> however, </w:t>
      </w:r>
      <w:r w:rsidR="00D069D0" w:rsidRPr="00D43D17">
        <w:t xml:space="preserve">applicants are encouraged to include </w:t>
      </w:r>
      <w:r w:rsidRPr="00D43D17">
        <w:t>IOUs as sub</w:t>
      </w:r>
      <w:r w:rsidR="435B4AFF" w:rsidRPr="00D43D17">
        <w:t>recipients</w:t>
      </w:r>
      <w:r w:rsidR="6BB1A11A" w:rsidRPr="00D43D17">
        <w:t xml:space="preserve"> or project partners</w:t>
      </w:r>
      <w:r w:rsidR="00F559DE" w:rsidRPr="00D43D17">
        <w:t>.</w:t>
      </w:r>
    </w:p>
    <w:p w14:paraId="0FC63985" w14:textId="4F606CCB" w:rsidR="00C31BDD" w:rsidRPr="00D43D17" w:rsidRDefault="00C31BDD" w:rsidP="00D6111C">
      <w:pPr>
        <w:pStyle w:val="ListParagraph"/>
        <w:numPr>
          <w:ilvl w:val="0"/>
          <w:numId w:val="114"/>
        </w:numPr>
      </w:pPr>
      <w:r w:rsidRPr="00D43D17">
        <w:rPr>
          <w:b/>
          <w:bCs/>
        </w:rPr>
        <w:t>Location:</w:t>
      </w:r>
      <w:r w:rsidRPr="00D43D17">
        <w:t xml:space="preserve"> </w:t>
      </w:r>
      <w:r w:rsidR="002F1F06" w:rsidRPr="00D43D17">
        <w:t>The d</w:t>
      </w:r>
      <w:r w:rsidRPr="00D43D17">
        <w:t>emonstration</w:t>
      </w:r>
      <w:r w:rsidR="002F1F06" w:rsidRPr="00D43D17">
        <w:t xml:space="preserve"> and deployment must be located in a Disadvantaged Community per CalEnviroScreen</w:t>
      </w:r>
      <w:r w:rsidR="00E00B16" w:rsidRPr="00D43D17">
        <w:t xml:space="preserve"> 4.0,</w:t>
      </w:r>
      <w:r w:rsidR="00600660" w:rsidRPr="00D43D17">
        <w:t xml:space="preserve"> </w:t>
      </w:r>
      <w:r w:rsidR="001107F0" w:rsidRPr="00D43D17">
        <w:t>i</w:t>
      </w:r>
      <w:r w:rsidR="00600660" w:rsidRPr="00D43D17">
        <w:t xml:space="preserve">n a California </w:t>
      </w:r>
      <w:r w:rsidRPr="00D43D17">
        <w:t xml:space="preserve">electric IOU service territory and optimized within a single substation area or within a single distribution circuit. </w:t>
      </w:r>
      <w:r w:rsidR="00B964A9" w:rsidRPr="00D43D17">
        <w:t>Where applicable, applicants may also partner with Community Choice Aggregators (CCAs) operating within the selected IOU’s service territory.</w:t>
      </w:r>
    </w:p>
    <w:p w14:paraId="5061B60F" w14:textId="7A605B40" w:rsidR="00C84393" w:rsidRPr="00D43D17" w:rsidRDefault="00C84393" w:rsidP="00D6111C">
      <w:pPr>
        <w:pStyle w:val="ListParagraph"/>
        <w:numPr>
          <w:ilvl w:val="0"/>
          <w:numId w:val="114"/>
        </w:numPr>
        <w:contextualSpacing/>
      </w:pPr>
      <w:r w:rsidRPr="00D43D17">
        <w:rPr>
          <w:b/>
          <w:bCs/>
        </w:rPr>
        <w:t>Utility Integration Plan:</w:t>
      </w:r>
      <w:r w:rsidRPr="00D43D17">
        <w:t xml:space="preserve"> </w:t>
      </w:r>
      <w:r w:rsidR="58A308D0" w:rsidRPr="00D43D17">
        <w:t xml:space="preserve">Each </w:t>
      </w:r>
      <w:r w:rsidR="096E0446" w:rsidRPr="00D43D17">
        <w:t>a</w:t>
      </w:r>
      <w:r w:rsidRPr="00D43D17">
        <w:t xml:space="preserve">pplicant must describe </w:t>
      </w:r>
      <w:r w:rsidR="4D59BB5C" w:rsidRPr="00D43D17">
        <w:t>its</w:t>
      </w:r>
      <w:r w:rsidRPr="00D43D17">
        <w:t xml:space="preserve"> plan to integrate with relevant IOU systems, including DERMS platforms, to enable real-time coordination and delivery of distribution-level grid services. The strength and feasibility of this plan will be considered in application scoring. The plan should address:</w:t>
      </w:r>
    </w:p>
    <w:p w14:paraId="4F923557" w14:textId="7BAF9BD5" w:rsidR="00C84393" w:rsidRPr="00D43D17" w:rsidRDefault="00C84393" w:rsidP="00D6111C">
      <w:pPr>
        <w:pStyle w:val="ListParagraph"/>
        <w:numPr>
          <w:ilvl w:val="1"/>
          <w:numId w:val="114"/>
        </w:numPr>
        <w:contextualSpacing/>
      </w:pPr>
      <w:r w:rsidRPr="00D43D17">
        <w:t>How the applicant will access the necessary utility data and operational constraints</w:t>
      </w:r>
    </w:p>
    <w:p w14:paraId="371526EB" w14:textId="78B5FCC7" w:rsidR="00C84393" w:rsidRPr="00D43D17" w:rsidRDefault="00C84393" w:rsidP="00D6111C">
      <w:pPr>
        <w:pStyle w:val="ListParagraph"/>
        <w:numPr>
          <w:ilvl w:val="1"/>
          <w:numId w:val="114"/>
        </w:numPr>
        <w:contextualSpacing/>
      </w:pPr>
      <w:r w:rsidRPr="00D43D17">
        <w:t>How the VPP will exchange control signals with the IOU</w:t>
      </w:r>
    </w:p>
    <w:p w14:paraId="4182D6D2" w14:textId="73DF2408" w:rsidR="00C84393" w:rsidRPr="00D43D17" w:rsidRDefault="00C84393" w:rsidP="00D6111C">
      <w:pPr>
        <w:pStyle w:val="ListParagraph"/>
        <w:numPr>
          <w:ilvl w:val="1"/>
          <w:numId w:val="114"/>
        </w:numPr>
        <w:contextualSpacing/>
      </w:pPr>
      <w:r w:rsidRPr="00D43D17">
        <w:t>Any existing or planned agreements with the IOU to support integration</w:t>
      </w:r>
    </w:p>
    <w:p w14:paraId="5377FAC6" w14:textId="5F658AE0" w:rsidR="00C84393" w:rsidRPr="00D43D17" w:rsidRDefault="00C84393" w:rsidP="00D6111C">
      <w:pPr>
        <w:pStyle w:val="ListParagraph"/>
        <w:numPr>
          <w:ilvl w:val="1"/>
          <w:numId w:val="114"/>
        </w:numPr>
      </w:pPr>
      <w:r w:rsidRPr="00D43D17">
        <w:t>How the applicant will validate VPP performance in coordination with the IOU</w:t>
      </w:r>
    </w:p>
    <w:p w14:paraId="429968B3" w14:textId="23D2BEA4" w:rsidR="00C31BDD" w:rsidRPr="00D43D17" w:rsidRDefault="00C31BDD" w:rsidP="00D6111C">
      <w:pPr>
        <w:numPr>
          <w:ilvl w:val="0"/>
          <w:numId w:val="114"/>
        </w:numPr>
        <w:rPr>
          <w:szCs w:val="22"/>
        </w:rPr>
      </w:pPr>
      <w:r w:rsidRPr="00D43D17">
        <w:rPr>
          <w:b/>
          <w:bCs/>
        </w:rPr>
        <w:t>Aggregation Size:</w:t>
      </w:r>
      <w:r w:rsidRPr="00D43D17">
        <w:t xml:space="preserve"> The proposed aggregation size must be appropriate for the distribution system context and use case. Applicants must justify that the size is sufficient to deliver meaningful grid benefits and that the project is appropriately scaled and budgeted for the scope of the demonstration.</w:t>
      </w:r>
    </w:p>
    <w:p w14:paraId="12527C83" w14:textId="5D3D08A6" w:rsidR="00C31BDD" w:rsidRPr="00D43D17" w:rsidRDefault="00C31BDD" w:rsidP="00D6111C">
      <w:pPr>
        <w:pStyle w:val="ListParagraph"/>
        <w:numPr>
          <w:ilvl w:val="0"/>
          <w:numId w:val="114"/>
        </w:numPr>
        <w:rPr>
          <w:bCs/>
        </w:rPr>
      </w:pPr>
      <w:r w:rsidRPr="00D43D17">
        <w:rPr>
          <w:b/>
        </w:rPr>
        <w:t>Customer Participation:</w:t>
      </w:r>
      <w:r w:rsidRPr="00D43D17">
        <w:rPr>
          <w:bCs/>
        </w:rPr>
        <w:t xml:space="preserve"> </w:t>
      </w:r>
      <w:r w:rsidR="00F1144A" w:rsidRPr="00D43D17">
        <w:rPr>
          <w:bCs/>
        </w:rPr>
        <w:t xml:space="preserve">Applicants must </w:t>
      </w:r>
      <w:r w:rsidR="0052248C" w:rsidRPr="00D43D17">
        <w:rPr>
          <w:bCs/>
        </w:rPr>
        <w:t>describe and justify</w:t>
      </w:r>
      <w:r w:rsidR="00F1144A" w:rsidRPr="00D43D17">
        <w:rPr>
          <w:bCs/>
        </w:rPr>
        <w:t xml:space="preserve"> </w:t>
      </w:r>
      <w:r w:rsidR="00A7742E" w:rsidRPr="00D43D17">
        <w:rPr>
          <w:bCs/>
        </w:rPr>
        <w:t xml:space="preserve">the </w:t>
      </w:r>
      <w:r w:rsidRPr="00D43D17">
        <w:rPr>
          <w:bCs/>
        </w:rPr>
        <w:t xml:space="preserve">customer segments </w:t>
      </w:r>
      <w:r w:rsidR="0052248C" w:rsidRPr="00D43D17">
        <w:rPr>
          <w:bCs/>
        </w:rPr>
        <w:t>and IBDER technolog</w:t>
      </w:r>
      <w:r w:rsidR="00567E03" w:rsidRPr="00D43D17">
        <w:rPr>
          <w:bCs/>
        </w:rPr>
        <w:t xml:space="preserve">ies </w:t>
      </w:r>
      <w:r w:rsidR="00506A13" w:rsidRPr="00D43D17">
        <w:rPr>
          <w:bCs/>
        </w:rPr>
        <w:t>(such as PV, BESS, and EVs)</w:t>
      </w:r>
      <w:r w:rsidR="0052248C" w:rsidRPr="00D43D17">
        <w:rPr>
          <w:bCs/>
        </w:rPr>
        <w:t xml:space="preserve"> they intend to target. </w:t>
      </w:r>
      <w:r w:rsidR="000F2237" w:rsidRPr="00D43D17">
        <w:rPr>
          <w:bCs/>
        </w:rPr>
        <w:t>This justification should explain how the selected mix supports the project’s objectives and demonstrates the potential for scalability and replicability.</w:t>
      </w:r>
      <w:r w:rsidR="009D5A8A" w:rsidRPr="00D43D17">
        <w:rPr>
          <w:bCs/>
        </w:rPr>
        <w:t xml:space="preserve"> Applicants are encouraged to consider diverse customer segments </w:t>
      </w:r>
      <w:r w:rsidR="008B5254" w:rsidRPr="00D43D17">
        <w:rPr>
          <w:bCs/>
        </w:rPr>
        <w:t>(</w:t>
      </w:r>
      <w:r w:rsidRPr="00D43D17">
        <w:rPr>
          <w:bCs/>
        </w:rPr>
        <w:t>such as residential, commercial, and industrial</w:t>
      </w:r>
      <w:r w:rsidR="008B5254" w:rsidRPr="00D43D17">
        <w:rPr>
          <w:bCs/>
        </w:rPr>
        <w:t>)</w:t>
      </w:r>
      <w:r w:rsidRPr="00D43D17">
        <w:rPr>
          <w:bCs/>
        </w:rPr>
        <w:t xml:space="preserve"> </w:t>
      </w:r>
      <w:r w:rsidR="00594642" w:rsidRPr="00D43D17">
        <w:rPr>
          <w:bCs/>
        </w:rPr>
        <w:t xml:space="preserve">and </w:t>
      </w:r>
      <w:r w:rsidR="00F83D18" w:rsidRPr="00D43D17">
        <w:rPr>
          <w:bCs/>
        </w:rPr>
        <w:t xml:space="preserve">to include </w:t>
      </w:r>
      <w:r w:rsidR="00B500C3" w:rsidRPr="00D43D17">
        <w:rPr>
          <w:bCs/>
        </w:rPr>
        <w:t xml:space="preserve">a variety of </w:t>
      </w:r>
      <w:r w:rsidRPr="00D43D17">
        <w:rPr>
          <w:bCs/>
        </w:rPr>
        <w:t>IBDER</w:t>
      </w:r>
      <w:r w:rsidR="00B500C3" w:rsidRPr="00D43D17">
        <w:rPr>
          <w:bCs/>
        </w:rPr>
        <w:t xml:space="preserve"> technologies</w:t>
      </w:r>
      <w:r w:rsidRPr="00D43D17">
        <w:rPr>
          <w:bCs/>
        </w:rPr>
        <w:t xml:space="preserve"> to enhance grid flexibility and reliability</w:t>
      </w:r>
      <w:r w:rsidR="003B3ED3" w:rsidRPr="00D43D17">
        <w:rPr>
          <w:bCs/>
        </w:rPr>
        <w:t xml:space="preserve">. </w:t>
      </w:r>
    </w:p>
    <w:p w14:paraId="017F6D22" w14:textId="5BBEACAB" w:rsidR="00C31BDD" w:rsidRPr="00D43D17" w:rsidRDefault="00C31BDD" w:rsidP="00D6111C">
      <w:pPr>
        <w:pStyle w:val="ListParagraph"/>
        <w:numPr>
          <w:ilvl w:val="0"/>
          <w:numId w:val="114"/>
        </w:numPr>
      </w:pPr>
      <w:r w:rsidRPr="00D43D17">
        <w:rPr>
          <w:b/>
          <w:bCs/>
        </w:rPr>
        <w:t>System Availability:</w:t>
      </w:r>
      <w:r w:rsidRPr="00D43D17">
        <w:t xml:space="preserve"> The VPP</w:t>
      </w:r>
      <w:r w:rsidR="008A56AB" w:rsidRPr="00D43D17">
        <w:t>(s)</w:t>
      </w:r>
      <w:r w:rsidRPr="00D43D17">
        <w:t xml:space="preserve"> must demonstrate an aggregate service availability of at least 95% during committed operation windows</w:t>
      </w:r>
      <w:r w:rsidR="1D1FCBD4" w:rsidRPr="00D43D17">
        <w:t xml:space="preserve"> </w:t>
      </w:r>
      <w:r w:rsidR="735CDF00" w:rsidRPr="00D43D17">
        <w:t>- defined as the specific timeframes in which the VPP</w:t>
      </w:r>
      <w:r w:rsidR="008A56AB" w:rsidRPr="00D43D17">
        <w:t>(s)</w:t>
      </w:r>
      <w:r w:rsidR="735CDF00" w:rsidRPr="00D43D17">
        <w:t xml:space="preserve"> is contractually obligated to deliver energy, capacity, or ancillary </w:t>
      </w:r>
      <w:r w:rsidR="53E3EC0F" w:rsidRPr="00D43D17">
        <w:t>services to the grid operator or market</w:t>
      </w:r>
      <w:r w:rsidRPr="00D43D17">
        <w:t>.</w:t>
      </w:r>
    </w:p>
    <w:p w14:paraId="108A6608" w14:textId="77777777" w:rsidR="00C31BDD" w:rsidRPr="00D43D17" w:rsidRDefault="00C31BDD" w:rsidP="00D6111C">
      <w:pPr>
        <w:pStyle w:val="ListParagraph"/>
        <w:numPr>
          <w:ilvl w:val="0"/>
          <w:numId w:val="114"/>
        </w:numPr>
      </w:pPr>
      <w:r w:rsidRPr="00D43D17">
        <w:rPr>
          <w:b/>
          <w:bCs/>
        </w:rPr>
        <w:t>Gateway Device Demonstration:</w:t>
      </w:r>
      <w:r w:rsidRPr="00D43D17">
        <w:t xml:space="preserve"> Projects must deploy and validate gateway devices that:</w:t>
      </w:r>
    </w:p>
    <w:p w14:paraId="2878E89F" w14:textId="127BA974" w:rsidR="00C31BDD" w:rsidRPr="00D43D17" w:rsidRDefault="00C31BDD" w:rsidP="00D6111C">
      <w:pPr>
        <w:pStyle w:val="ListParagraph"/>
        <w:numPr>
          <w:ilvl w:val="1"/>
          <w:numId w:val="114"/>
        </w:numPr>
      </w:pPr>
      <w:r w:rsidRPr="00D43D17">
        <w:t>Enable bidirectional communication between IBDERs, aggregators, and grid operators</w:t>
      </w:r>
      <w:r w:rsidR="00B25EC2" w:rsidRPr="00D43D17">
        <w:t>;</w:t>
      </w:r>
    </w:p>
    <w:p w14:paraId="4180E514" w14:textId="299EDA17" w:rsidR="00C31BDD" w:rsidRPr="00D43D17" w:rsidRDefault="00C31BDD" w:rsidP="00D6111C">
      <w:pPr>
        <w:pStyle w:val="ListParagraph"/>
        <w:numPr>
          <w:ilvl w:val="1"/>
          <w:numId w:val="114"/>
        </w:numPr>
      </w:pPr>
      <w:r w:rsidRPr="00D43D17">
        <w:t>Support standard communication protocols</w:t>
      </w:r>
      <w:r w:rsidR="00B25EC2" w:rsidRPr="00D43D17">
        <w:t>;</w:t>
      </w:r>
    </w:p>
    <w:p w14:paraId="08E11323" w14:textId="3530B28A" w:rsidR="00C31BDD" w:rsidRPr="00D43D17" w:rsidRDefault="00C31BDD" w:rsidP="00D6111C">
      <w:pPr>
        <w:pStyle w:val="ListParagraph"/>
        <w:numPr>
          <w:ilvl w:val="1"/>
          <w:numId w:val="114"/>
        </w:numPr>
      </w:pPr>
      <w:r w:rsidRPr="00D43D17">
        <w:t>Facilitate interoperability across different IBDER types and manufacturers</w:t>
      </w:r>
      <w:r w:rsidR="00B25EC2" w:rsidRPr="00D43D17">
        <w:t>;</w:t>
      </w:r>
    </w:p>
    <w:p w14:paraId="3DA7DFDC" w14:textId="29F94C73" w:rsidR="00C31BDD" w:rsidRPr="00D43D17" w:rsidRDefault="00C31BDD" w:rsidP="00D6111C">
      <w:pPr>
        <w:pStyle w:val="ListParagraph"/>
        <w:numPr>
          <w:ilvl w:val="1"/>
          <w:numId w:val="114"/>
        </w:numPr>
      </w:pPr>
      <w:r w:rsidRPr="00D43D17">
        <w:t>Reliably relay control signals from the central VPP</w:t>
      </w:r>
      <w:r w:rsidR="008A56AB" w:rsidRPr="00D43D17">
        <w:t>(s)</w:t>
      </w:r>
      <w:r w:rsidRPr="00D43D17">
        <w:t xml:space="preserve"> system to edge devices</w:t>
      </w:r>
      <w:r w:rsidR="00B25EC2" w:rsidRPr="00D43D17">
        <w:t>; and</w:t>
      </w:r>
    </w:p>
    <w:p w14:paraId="6C43D2F6" w14:textId="33CBEFB8" w:rsidR="00C31BDD" w:rsidRPr="00D43D17" w:rsidRDefault="00C31BDD" w:rsidP="00D6111C">
      <w:pPr>
        <w:pStyle w:val="ListParagraph"/>
        <w:numPr>
          <w:ilvl w:val="1"/>
          <w:numId w:val="114"/>
        </w:numPr>
      </w:pPr>
      <w:r w:rsidRPr="00D43D17">
        <w:t>Meet applicable cybersecurity and safety standards</w:t>
      </w:r>
      <w:r w:rsidR="00B25EC2" w:rsidRPr="00D43D17">
        <w:t>.</w:t>
      </w:r>
    </w:p>
    <w:p w14:paraId="0101119F" w14:textId="19588E88" w:rsidR="00C31BDD" w:rsidRPr="00D43D17" w:rsidRDefault="00C31BDD" w:rsidP="00D6111C">
      <w:pPr>
        <w:pStyle w:val="ListParagraph"/>
        <w:numPr>
          <w:ilvl w:val="0"/>
          <w:numId w:val="114"/>
        </w:numPr>
      </w:pPr>
      <w:r w:rsidRPr="00D43D17">
        <w:rPr>
          <w:b/>
          <w:bCs/>
        </w:rPr>
        <w:lastRenderedPageBreak/>
        <w:t>Interoperability and Standards Compliance:</w:t>
      </w:r>
      <w:r w:rsidRPr="00D43D17">
        <w:t xml:space="preserve"> All systems and devices must comply with applicable national and regional interconnection and interoperability standards, including but not limited to IEEE 1547</w:t>
      </w:r>
      <w:r w:rsidR="5886D4A6" w:rsidRPr="00D43D17">
        <w:t>,</w:t>
      </w:r>
      <w:r w:rsidR="001D48B8" w:rsidRPr="00D43D17">
        <w:rPr>
          <w:rFonts w:cs="Times New Roman"/>
          <w:vertAlign w:val="superscript"/>
        </w:rPr>
        <w:footnoteReference w:id="4"/>
      </w:r>
      <w:r w:rsidRPr="00D43D17">
        <w:t xml:space="preserve"> IEEE 2030.5</w:t>
      </w:r>
      <w:r w:rsidR="4EA72010" w:rsidRPr="00D43D17">
        <w:t>,</w:t>
      </w:r>
      <w:r w:rsidR="008D3C50" w:rsidRPr="00D43D17">
        <w:rPr>
          <w:rFonts w:cs="Times New Roman"/>
          <w:vertAlign w:val="superscript"/>
        </w:rPr>
        <w:footnoteReference w:id="5"/>
      </w:r>
      <w:r w:rsidRPr="00D43D17">
        <w:t xml:space="preserve"> IEEE </w:t>
      </w:r>
      <w:r w:rsidR="00EE3874" w:rsidRPr="00D43D17">
        <w:t>P</w:t>
      </w:r>
      <w:r w:rsidRPr="00D43D17">
        <w:t>1815.2 (DNP3</w:t>
      </w:r>
      <w:r w:rsidR="2D157DB4" w:rsidRPr="00D43D17">
        <w:t>)</w:t>
      </w:r>
      <w:r w:rsidR="09BEE02E" w:rsidRPr="00D43D17">
        <w:t>,</w:t>
      </w:r>
      <w:r w:rsidR="00BD32A3" w:rsidRPr="00D43D17">
        <w:rPr>
          <w:rFonts w:cs="Times New Roman"/>
          <w:vertAlign w:val="superscript"/>
        </w:rPr>
        <w:footnoteReference w:id="6"/>
      </w:r>
      <w:r w:rsidRPr="00D43D17">
        <w:t xml:space="preserve"> IEEE 1547.10</w:t>
      </w:r>
      <w:r w:rsidR="00C85780" w:rsidRPr="00D43D17">
        <w:rPr>
          <w:rFonts w:cs="Times New Roman"/>
          <w:vertAlign w:val="superscript"/>
        </w:rPr>
        <w:footnoteReference w:id="7"/>
      </w:r>
      <w:r w:rsidRPr="00D43D17">
        <w:t xml:space="preserve"> (upon its release), and local IOU requirements.</w:t>
      </w:r>
    </w:p>
    <w:p w14:paraId="234FF649" w14:textId="5F57F2DE" w:rsidR="00C31BDD" w:rsidRPr="00D43D17" w:rsidRDefault="00C31BDD" w:rsidP="00D6111C">
      <w:pPr>
        <w:pStyle w:val="ListParagraph"/>
        <w:numPr>
          <w:ilvl w:val="0"/>
          <w:numId w:val="113"/>
        </w:numPr>
        <w:ind w:left="720"/>
      </w:pPr>
      <w:r w:rsidRPr="00D43D17">
        <w:rPr>
          <w:b/>
          <w:bCs/>
        </w:rPr>
        <w:t xml:space="preserve">Cybersecurity: </w:t>
      </w:r>
      <w:r w:rsidR="00C6565F" w:rsidRPr="00D43D17">
        <w:t>Projects must d</w:t>
      </w:r>
      <w:r w:rsidRPr="00D43D17">
        <w:t>emonstrate that cybersecurity measures are incorporated and applied consistently across all communication protocol standards and validated against UL 2900</w:t>
      </w:r>
      <w:r w:rsidR="0090790C" w:rsidRPr="00D43D17">
        <w:rPr>
          <w:rFonts w:cs="Times New Roman"/>
          <w:szCs w:val="22"/>
          <w:vertAlign w:val="superscript"/>
        </w:rPr>
        <w:footnoteReference w:id="8"/>
      </w:r>
      <w:r w:rsidRPr="00D43D17">
        <w:t xml:space="preserve"> guidelines.</w:t>
      </w:r>
    </w:p>
    <w:p w14:paraId="4DA82553" w14:textId="03CD630D" w:rsidR="00C31BDD" w:rsidRPr="00D43D17" w:rsidRDefault="00C31BDD" w:rsidP="00D6111C">
      <w:pPr>
        <w:pStyle w:val="ListParagraph"/>
        <w:numPr>
          <w:ilvl w:val="0"/>
          <w:numId w:val="113"/>
        </w:numPr>
        <w:ind w:left="720"/>
      </w:pPr>
      <w:r w:rsidRPr="00D43D17">
        <w:rPr>
          <w:b/>
          <w:bCs/>
        </w:rPr>
        <w:t>Public Reporting and Technology Transfer:</w:t>
      </w:r>
      <w:r w:rsidRPr="00D43D17">
        <w:t xml:space="preserve"> Projects must analyze and publicly share findings on VPP</w:t>
      </w:r>
      <w:r w:rsidR="008A56AB" w:rsidRPr="00D43D17">
        <w:t>(s)</w:t>
      </w:r>
      <w:r w:rsidRPr="00D43D17">
        <w:t xml:space="preserve"> system performance to support broader industry adoption, potential commercialization, and scalability. </w:t>
      </w:r>
    </w:p>
    <w:p w14:paraId="46ACB855" w14:textId="1A668A93" w:rsidR="00C31BDD" w:rsidRPr="00D43D17" w:rsidDel="002D0B05" w:rsidRDefault="00C31BDD" w:rsidP="00D6111C">
      <w:pPr>
        <w:pStyle w:val="ListParagraph"/>
        <w:numPr>
          <w:ilvl w:val="0"/>
          <w:numId w:val="112"/>
        </w:numPr>
        <w:tabs>
          <w:tab w:val="left" w:pos="180"/>
          <w:tab w:val="left" w:pos="900"/>
        </w:tabs>
      </w:pPr>
      <w:r w:rsidRPr="00D43D17" w:rsidDel="002D0B05">
        <w:rPr>
          <w:b/>
        </w:rPr>
        <w:t>Equity:</w:t>
      </w:r>
      <w:r w:rsidRPr="00D43D17" w:rsidDel="002D0B05">
        <w:t xml:space="preserve"> Projects must be designed to address specific needs and benefit </w:t>
      </w:r>
      <w:r w:rsidR="00177164" w:rsidRPr="00D43D17">
        <w:t>justice</w:t>
      </w:r>
      <w:r w:rsidRPr="00D43D17" w:rsidDel="002D0B05">
        <w:t xml:space="preserve"> communities such as </w:t>
      </w:r>
      <w:r w:rsidR="005E336B" w:rsidRPr="00D43D17">
        <w:t xml:space="preserve">enrolling </w:t>
      </w:r>
      <w:r w:rsidR="00FA4864" w:rsidRPr="00D43D17">
        <w:t>low-income</w:t>
      </w:r>
      <w:r w:rsidR="005E336B" w:rsidRPr="00D43D17">
        <w:t xml:space="preserve"> customers, </w:t>
      </w:r>
      <w:r w:rsidRPr="00D43D17" w:rsidDel="002D0B05">
        <w:t xml:space="preserve">reducing energy burdens, improving air quality, and creating local job opportunities. </w:t>
      </w:r>
      <w:r w:rsidR="009C7477" w:rsidRPr="00D43D17">
        <w:t>A</w:t>
      </w:r>
      <w:r w:rsidR="009C7477" w:rsidRPr="00D43D17">
        <w:rPr>
          <w:bCs/>
        </w:rPr>
        <w:t>pplicants should describe how their approach addresses equity considerations</w:t>
      </w:r>
      <w:r w:rsidR="0028676A" w:rsidRPr="00D43D17">
        <w:rPr>
          <w:bCs/>
        </w:rPr>
        <w:t>.</w:t>
      </w:r>
    </w:p>
    <w:p w14:paraId="33FDC36D" w14:textId="09C93E71" w:rsidR="00336225" w:rsidRPr="00D43D17" w:rsidRDefault="00336225" w:rsidP="00D6111C">
      <w:pPr>
        <w:pStyle w:val="ListParagraph"/>
        <w:numPr>
          <w:ilvl w:val="0"/>
          <w:numId w:val="112"/>
        </w:numPr>
        <w:tabs>
          <w:tab w:val="left" w:pos="180"/>
          <w:tab w:val="left" w:pos="900"/>
        </w:tabs>
      </w:pPr>
      <w:r w:rsidRPr="00D43D17">
        <w:rPr>
          <w:b/>
        </w:rPr>
        <w:t>Measurement</w:t>
      </w:r>
      <w:r w:rsidR="00DF1E8B" w:rsidRPr="00D43D17">
        <w:rPr>
          <w:b/>
        </w:rPr>
        <w:t xml:space="preserve"> and Verification </w:t>
      </w:r>
      <w:r w:rsidR="00714D30" w:rsidRPr="00D43D17">
        <w:rPr>
          <w:b/>
        </w:rPr>
        <w:t>(M&amp;V) Plan</w:t>
      </w:r>
      <w:r w:rsidR="00C95219" w:rsidRPr="00D43D17">
        <w:rPr>
          <w:b/>
        </w:rPr>
        <w:t xml:space="preserve">: </w:t>
      </w:r>
      <w:r w:rsidR="00C95219" w:rsidRPr="00D43D17">
        <w:t xml:space="preserve">The M&amp;V </w:t>
      </w:r>
      <w:r w:rsidR="00751AFB" w:rsidRPr="00D43D17">
        <w:t xml:space="preserve">activities </w:t>
      </w:r>
      <w:r w:rsidR="00C95219" w:rsidRPr="00D43D17">
        <w:t>must be</w:t>
      </w:r>
      <w:r w:rsidR="00AC5974" w:rsidRPr="00D43D17">
        <w:t xml:space="preserve"> performed</w:t>
      </w:r>
      <w:r w:rsidR="00C95219" w:rsidRPr="00D43D17">
        <w:t xml:space="preserve"> by an independent third party.</w:t>
      </w:r>
    </w:p>
    <w:p w14:paraId="6B28687F" w14:textId="084971CD" w:rsidR="00C31BDD" w:rsidRPr="00D43D17" w:rsidRDefault="00C31BDD" w:rsidP="00D6111C">
      <w:pPr>
        <w:spacing w:before="240"/>
        <w:rPr>
          <w:b/>
          <w:bCs/>
        </w:rPr>
      </w:pPr>
      <w:r w:rsidRPr="00D43D17">
        <w:rPr>
          <w:b/>
          <w:bCs/>
        </w:rPr>
        <w:t>Project Targets and Key Performance Indicators (KPIs):</w:t>
      </w:r>
    </w:p>
    <w:p w14:paraId="083DC541" w14:textId="2F7C0FD1" w:rsidR="00C31BDD" w:rsidRPr="00D43D17" w:rsidRDefault="00C31BDD" w:rsidP="00D6111C">
      <w:r w:rsidRPr="00D43D17">
        <w:t>Applicants must define the targets and metrics that will be used to evaluate the effectiveness, reliability, and scalability of the proposed VPP</w:t>
      </w:r>
      <w:r w:rsidR="008A56AB" w:rsidRPr="00D43D17">
        <w:t>(s)</w:t>
      </w:r>
      <w:r w:rsidRPr="00D43D17">
        <w:t>. Proposals must include KPIs that align with the core capabilities described above. Additional KP</w:t>
      </w:r>
      <w:r w:rsidR="00BD29F2" w:rsidRPr="00D43D17">
        <w:t>I</w:t>
      </w:r>
      <w:r w:rsidRPr="00D43D17">
        <w:t>s may be proposed by applicants based on the specific use case and project design.</w:t>
      </w:r>
      <w:r w:rsidR="00ED7CB9" w:rsidRPr="00D43D17">
        <w:t xml:space="preserve"> The following table </w:t>
      </w:r>
      <w:r w:rsidR="00BC7DE9" w:rsidRPr="00D43D17">
        <w:t xml:space="preserve">provides a </w:t>
      </w:r>
      <w:r w:rsidR="00ED7CB9" w:rsidRPr="00D43D17">
        <w:t xml:space="preserve">list </w:t>
      </w:r>
      <w:r w:rsidR="00BC7DE9" w:rsidRPr="00D43D17">
        <w:t xml:space="preserve">of </w:t>
      </w:r>
      <w:r w:rsidR="00ED7CB9" w:rsidRPr="00D43D17">
        <w:t>example</w:t>
      </w:r>
      <w:r w:rsidR="00BC7DE9" w:rsidRPr="00D43D17">
        <w:t xml:space="preserve"> KPIs that applicants should consider. </w:t>
      </w:r>
    </w:p>
    <w:p w14:paraId="44C4FE7E" w14:textId="4BD3911C" w:rsidR="00C31BDD" w:rsidRPr="00D43D17" w:rsidRDefault="00157755" w:rsidP="00A67586">
      <w:pPr>
        <w:jc w:val="center"/>
      </w:pPr>
      <w:r w:rsidRPr="00D43D17">
        <w:rPr>
          <w:b/>
          <w:bCs/>
        </w:rPr>
        <w:t>Example KPIs</w:t>
      </w:r>
    </w:p>
    <w:tbl>
      <w:tblPr>
        <w:tblStyle w:val="TableGrid"/>
        <w:tblW w:w="0" w:type="auto"/>
        <w:tblInd w:w="-5" w:type="dxa"/>
        <w:tblLook w:val="04A0" w:firstRow="1" w:lastRow="0" w:firstColumn="1" w:lastColumn="0" w:noHBand="0" w:noVBand="1"/>
      </w:tblPr>
      <w:tblGrid>
        <w:gridCol w:w="2041"/>
        <w:gridCol w:w="2903"/>
        <w:gridCol w:w="2326"/>
        <w:gridCol w:w="2080"/>
      </w:tblGrid>
      <w:tr w:rsidR="00D43D17" w:rsidRPr="00D43D17" w14:paraId="714E05FB" w14:textId="77777777" w:rsidTr="00A67586">
        <w:tc>
          <w:tcPr>
            <w:tcW w:w="2041" w:type="dxa"/>
            <w:tcBorders>
              <w:top w:val="single" w:sz="4" w:space="0" w:color="auto"/>
            </w:tcBorders>
          </w:tcPr>
          <w:p w14:paraId="464E3451" w14:textId="77777777" w:rsidR="00C31BDD" w:rsidRPr="00D43D17" w:rsidRDefault="00C31BDD" w:rsidP="00D6111C">
            <w:pPr>
              <w:tabs>
                <w:tab w:val="left" w:pos="180"/>
                <w:tab w:val="left" w:pos="900"/>
              </w:tabs>
              <w:rPr>
                <w:b/>
                <w:bCs/>
              </w:rPr>
            </w:pPr>
            <w:bookmarkStart w:id="20" w:name="_Hlk211328633"/>
            <w:r w:rsidRPr="00D43D17">
              <w:rPr>
                <w:b/>
                <w:bCs/>
              </w:rPr>
              <w:t>Category</w:t>
            </w:r>
          </w:p>
        </w:tc>
        <w:tc>
          <w:tcPr>
            <w:tcW w:w="2903" w:type="dxa"/>
            <w:tcBorders>
              <w:top w:val="single" w:sz="4" w:space="0" w:color="auto"/>
            </w:tcBorders>
          </w:tcPr>
          <w:p w14:paraId="4139E2C3" w14:textId="77777777" w:rsidR="00C31BDD" w:rsidRPr="00D43D17" w:rsidRDefault="00C31BDD" w:rsidP="00D6111C">
            <w:pPr>
              <w:rPr>
                <w:b/>
                <w:bCs/>
              </w:rPr>
            </w:pPr>
            <w:r w:rsidRPr="00D43D17">
              <w:rPr>
                <w:b/>
                <w:bCs/>
              </w:rPr>
              <w:t>Description</w:t>
            </w:r>
          </w:p>
        </w:tc>
        <w:tc>
          <w:tcPr>
            <w:tcW w:w="2326" w:type="dxa"/>
            <w:tcBorders>
              <w:top w:val="single" w:sz="4" w:space="0" w:color="auto"/>
            </w:tcBorders>
          </w:tcPr>
          <w:p w14:paraId="64BD3CC9" w14:textId="77777777" w:rsidR="00C31BDD" w:rsidRPr="00D43D17" w:rsidRDefault="00C31BDD" w:rsidP="00D6111C">
            <w:pPr>
              <w:tabs>
                <w:tab w:val="left" w:pos="180"/>
                <w:tab w:val="left" w:pos="900"/>
              </w:tabs>
              <w:rPr>
                <w:b/>
                <w:bCs/>
              </w:rPr>
            </w:pPr>
            <w:r w:rsidRPr="00D43D17">
              <w:rPr>
                <w:b/>
                <w:bCs/>
              </w:rPr>
              <w:t>Target/Benchmark</w:t>
            </w:r>
          </w:p>
        </w:tc>
        <w:tc>
          <w:tcPr>
            <w:tcW w:w="2080" w:type="dxa"/>
            <w:tcBorders>
              <w:top w:val="single" w:sz="4" w:space="0" w:color="auto"/>
            </w:tcBorders>
          </w:tcPr>
          <w:p w14:paraId="4AD1E514" w14:textId="77777777" w:rsidR="00C31BDD" w:rsidRPr="00D43D17" w:rsidRDefault="00C31BDD" w:rsidP="00D6111C">
            <w:pPr>
              <w:tabs>
                <w:tab w:val="left" w:pos="180"/>
                <w:tab w:val="left" w:pos="900"/>
              </w:tabs>
              <w:rPr>
                <w:b/>
                <w:bCs/>
              </w:rPr>
            </w:pPr>
            <w:r w:rsidRPr="00D43D17">
              <w:rPr>
                <w:b/>
                <w:bCs/>
              </w:rPr>
              <w:t>Metric</w:t>
            </w:r>
          </w:p>
        </w:tc>
      </w:tr>
      <w:bookmarkEnd w:id="20"/>
      <w:tr w:rsidR="00D43D17" w:rsidRPr="00D43D17" w14:paraId="40B51459" w14:textId="77777777" w:rsidTr="00A67586">
        <w:tc>
          <w:tcPr>
            <w:tcW w:w="2041" w:type="dxa"/>
          </w:tcPr>
          <w:p w14:paraId="59486698" w14:textId="77777777" w:rsidR="00C31BDD" w:rsidRPr="00D43D17" w:rsidRDefault="00C31BDD" w:rsidP="00D6111C">
            <w:pPr>
              <w:tabs>
                <w:tab w:val="left" w:pos="180"/>
                <w:tab w:val="left" w:pos="900"/>
              </w:tabs>
            </w:pPr>
            <w:r w:rsidRPr="00D43D17">
              <w:t>System Availability</w:t>
            </w:r>
          </w:p>
        </w:tc>
        <w:tc>
          <w:tcPr>
            <w:tcW w:w="2903" w:type="dxa"/>
          </w:tcPr>
          <w:p w14:paraId="4994AB29" w14:textId="626C052E" w:rsidR="00C31BDD" w:rsidRPr="00D43D17" w:rsidRDefault="00C31BDD" w:rsidP="00D6111C">
            <w:pPr>
              <w:tabs>
                <w:tab w:val="left" w:pos="180"/>
                <w:tab w:val="left" w:pos="900"/>
              </w:tabs>
            </w:pPr>
            <w:r w:rsidRPr="00D43D17">
              <w:t>Availability of VPP</w:t>
            </w:r>
            <w:r w:rsidR="008A6F4F" w:rsidRPr="00D43D17">
              <w:t>(s)</w:t>
            </w:r>
            <w:r w:rsidRPr="00D43D17">
              <w:t xml:space="preserve"> control platform during committed operation windows.</w:t>
            </w:r>
          </w:p>
        </w:tc>
        <w:tc>
          <w:tcPr>
            <w:tcW w:w="2326" w:type="dxa"/>
          </w:tcPr>
          <w:p w14:paraId="67772AD8" w14:textId="77777777" w:rsidR="00C31BDD" w:rsidRPr="00D43D17" w:rsidRDefault="00C31BDD" w:rsidP="00D6111C">
            <w:pPr>
              <w:tabs>
                <w:tab w:val="left" w:pos="180"/>
                <w:tab w:val="left" w:pos="900"/>
              </w:tabs>
            </w:pPr>
            <w:r w:rsidRPr="00D43D17">
              <w:t>≥ 95%</w:t>
            </w:r>
          </w:p>
        </w:tc>
        <w:tc>
          <w:tcPr>
            <w:tcW w:w="2080" w:type="dxa"/>
          </w:tcPr>
          <w:p w14:paraId="61B39056" w14:textId="77777777" w:rsidR="00C31BDD" w:rsidRPr="00D43D17" w:rsidRDefault="00C31BDD" w:rsidP="00D6111C">
            <w:pPr>
              <w:tabs>
                <w:tab w:val="left" w:pos="180"/>
                <w:tab w:val="left" w:pos="900"/>
              </w:tabs>
            </w:pPr>
            <w:r w:rsidRPr="00D43D17">
              <w:t>% uptime during service windows</w:t>
            </w:r>
          </w:p>
        </w:tc>
      </w:tr>
      <w:tr w:rsidR="00D43D17" w:rsidRPr="00D43D17" w14:paraId="3F26AB27" w14:textId="77777777" w:rsidTr="00A67586">
        <w:tc>
          <w:tcPr>
            <w:tcW w:w="2041" w:type="dxa"/>
          </w:tcPr>
          <w:p w14:paraId="7DDA83C1" w14:textId="77777777" w:rsidR="00C31BDD" w:rsidRPr="00D43D17" w:rsidRDefault="00C31BDD" w:rsidP="00D6111C">
            <w:pPr>
              <w:tabs>
                <w:tab w:val="left" w:pos="180"/>
                <w:tab w:val="left" w:pos="900"/>
              </w:tabs>
            </w:pPr>
            <w:r w:rsidRPr="00D43D17">
              <w:t>System-Level Performance and Reliability</w:t>
            </w:r>
          </w:p>
        </w:tc>
        <w:tc>
          <w:tcPr>
            <w:tcW w:w="2903" w:type="dxa"/>
          </w:tcPr>
          <w:p w14:paraId="42FD72C2" w14:textId="77777777" w:rsidR="00C31BDD" w:rsidRPr="00D43D17" w:rsidRDefault="00C31BDD" w:rsidP="00D6111C">
            <w:pPr>
              <w:tabs>
                <w:tab w:val="left" w:pos="180"/>
                <w:tab w:val="left" w:pos="900"/>
              </w:tabs>
            </w:pPr>
            <w:r w:rsidRPr="00D43D17">
              <w:t>Average time to send/receive commands to/from IBDERs.</w:t>
            </w:r>
          </w:p>
        </w:tc>
        <w:tc>
          <w:tcPr>
            <w:tcW w:w="2326" w:type="dxa"/>
          </w:tcPr>
          <w:p w14:paraId="102848D5" w14:textId="77777777" w:rsidR="00C31BDD" w:rsidRPr="00D43D17" w:rsidRDefault="00C31BDD" w:rsidP="00D6111C">
            <w:pPr>
              <w:tabs>
                <w:tab w:val="left" w:pos="180"/>
                <w:tab w:val="left" w:pos="900"/>
              </w:tabs>
            </w:pPr>
            <w:r w:rsidRPr="00D43D17">
              <w:t>≤ 1 second</w:t>
            </w:r>
          </w:p>
        </w:tc>
        <w:tc>
          <w:tcPr>
            <w:tcW w:w="2080" w:type="dxa"/>
          </w:tcPr>
          <w:p w14:paraId="747ECA60" w14:textId="77777777" w:rsidR="00C31BDD" w:rsidRPr="00D43D17" w:rsidRDefault="00C31BDD" w:rsidP="00D6111C">
            <w:pPr>
              <w:tabs>
                <w:tab w:val="left" w:pos="180"/>
                <w:tab w:val="left" w:pos="900"/>
              </w:tabs>
            </w:pPr>
            <w:r w:rsidRPr="00D43D17">
              <w:t>IBDER Communication Latency</w:t>
            </w:r>
          </w:p>
        </w:tc>
      </w:tr>
      <w:tr w:rsidR="00D43D17" w:rsidRPr="00D43D17" w14:paraId="01006223" w14:textId="77777777" w:rsidTr="00A67586">
        <w:tc>
          <w:tcPr>
            <w:tcW w:w="2041" w:type="dxa"/>
          </w:tcPr>
          <w:p w14:paraId="4980CEC2" w14:textId="77777777" w:rsidR="00C31BDD" w:rsidRPr="00D43D17" w:rsidRDefault="00C31BDD" w:rsidP="00D6111C">
            <w:pPr>
              <w:tabs>
                <w:tab w:val="left" w:pos="180"/>
                <w:tab w:val="left" w:pos="900"/>
              </w:tabs>
            </w:pPr>
            <w:r w:rsidRPr="00D43D17">
              <w:t>Grid Services Delivery</w:t>
            </w:r>
          </w:p>
        </w:tc>
        <w:tc>
          <w:tcPr>
            <w:tcW w:w="2903" w:type="dxa"/>
          </w:tcPr>
          <w:p w14:paraId="6D88CF47" w14:textId="55D36619" w:rsidR="00C31BDD" w:rsidRPr="00D43D17" w:rsidRDefault="00C31BDD" w:rsidP="00D6111C">
            <w:pPr>
              <w:tabs>
                <w:tab w:val="left" w:pos="180"/>
                <w:tab w:val="left" w:pos="900"/>
              </w:tabs>
            </w:pPr>
            <w:r w:rsidRPr="00D43D17">
              <w:t>The percentage of scheduled time the VPP</w:t>
            </w:r>
            <w:r w:rsidR="00C64900" w:rsidRPr="00D43D17">
              <w:t>(s)</w:t>
            </w:r>
            <w:r w:rsidRPr="00D43D17">
              <w:t xml:space="preserve"> is available to deliver contracted grid services.</w:t>
            </w:r>
          </w:p>
        </w:tc>
        <w:tc>
          <w:tcPr>
            <w:tcW w:w="2326" w:type="dxa"/>
          </w:tcPr>
          <w:p w14:paraId="3484B8BA" w14:textId="77777777" w:rsidR="00C31BDD" w:rsidRPr="00D43D17" w:rsidRDefault="00C31BDD" w:rsidP="00D6111C">
            <w:pPr>
              <w:tabs>
                <w:tab w:val="left" w:pos="180"/>
                <w:tab w:val="left" w:pos="900"/>
              </w:tabs>
            </w:pPr>
            <w:r w:rsidRPr="00D43D17">
              <w:t>≥ 95% availability during service windows</w:t>
            </w:r>
          </w:p>
        </w:tc>
        <w:tc>
          <w:tcPr>
            <w:tcW w:w="2080" w:type="dxa"/>
          </w:tcPr>
          <w:p w14:paraId="62AF7AA1" w14:textId="77777777" w:rsidR="00C31BDD" w:rsidRPr="00D43D17" w:rsidRDefault="00C31BDD" w:rsidP="00D6111C">
            <w:pPr>
              <w:tabs>
                <w:tab w:val="left" w:pos="180"/>
                <w:tab w:val="left" w:pos="900"/>
              </w:tabs>
            </w:pPr>
            <w:r w:rsidRPr="00D43D17">
              <w:t>Service Availability</w:t>
            </w:r>
          </w:p>
        </w:tc>
      </w:tr>
      <w:tr w:rsidR="00A67586" w:rsidRPr="00D43D17" w14:paraId="5CD3DE3A" w14:textId="77777777" w:rsidTr="00A67586">
        <w:tc>
          <w:tcPr>
            <w:tcW w:w="2041" w:type="dxa"/>
          </w:tcPr>
          <w:p w14:paraId="0D41F5B7" w14:textId="77777777" w:rsidR="00A67586" w:rsidRPr="00D43D17" w:rsidRDefault="00A67586">
            <w:pPr>
              <w:tabs>
                <w:tab w:val="left" w:pos="180"/>
                <w:tab w:val="left" w:pos="900"/>
              </w:tabs>
              <w:rPr>
                <w:b/>
                <w:bCs/>
              </w:rPr>
            </w:pPr>
            <w:bookmarkStart w:id="21" w:name="_Hlk211328704"/>
            <w:r w:rsidRPr="00D43D17">
              <w:rPr>
                <w:b/>
                <w:bCs/>
              </w:rPr>
              <w:lastRenderedPageBreak/>
              <w:t>Category</w:t>
            </w:r>
          </w:p>
        </w:tc>
        <w:tc>
          <w:tcPr>
            <w:tcW w:w="2903" w:type="dxa"/>
          </w:tcPr>
          <w:p w14:paraId="367C174B" w14:textId="77777777" w:rsidR="00A67586" w:rsidRPr="00D43D17" w:rsidRDefault="00A67586">
            <w:pPr>
              <w:rPr>
                <w:b/>
                <w:bCs/>
              </w:rPr>
            </w:pPr>
            <w:r w:rsidRPr="00D43D17">
              <w:rPr>
                <w:b/>
                <w:bCs/>
              </w:rPr>
              <w:t>Description</w:t>
            </w:r>
          </w:p>
        </w:tc>
        <w:tc>
          <w:tcPr>
            <w:tcW w:w="2326" w:type="dxa"/>
          </w:tcPr>
          <w:p w14:paraId="5196595C" w14:textId="77777777" w:rsidR="00A67586" w:rsidRPr="00D43D17" w:rsidRDefault="00A67586">
            <w:pPr>
              <w:tabs>
                <w:tab w:val="left" w:pos="180"/>
                <w:tab w:val="left" w:pos="900"/>
              </w:tabs>
              <w:rPr>
                <w:b/>
                <w:bCs/>
              </w:rPr>
            </w:pPr>
            <w:r w:rsidRPr="00D43D17">
              <w:rPr>
                <w:b/>
                <w:bCs/>
              </w:rPr>
              <w:t>Target/Benchmark</w:t>
            </w:r>
          </w:p>
        </w:tc>
        <w:tc>
          <w:tcPr>
            <w:tcW w:w="2080" w:type="dxa"/>
          </w:tcPr>
          <w:p w14:paraId="0FEEF258" w14:textId="77777777" w:rsidR="00A67586" w:rsidRPr="00D43D17" w:rsidRDefault="00A67586">
            <w:pPr>
              <w:tabs>
                <w:tab w:val="left" w:pos="180"/>
                <w:tab w:val="left" w:pos="900"/>
              </w:tabs>
              <w:rPr>
                <w:b/>
                <w:bCs/>
              </w:rPr>
            </w:pPr>
            <w:r w:rsidRPr="00D43D17">
              <w:rPr>
                <w:b/>
                <w:bCs/>
              </w:rPr>
              <w:t>Metric</w:t>
            </w:r>
          </w:p>
        </w:tc>
      </w:tr>
      <w:bookmarkEnd w:id="21"/>
      <w:tr w:rsidR="00D43D17" w:rsidRPr="00D43D17" w14:paraId="23404AB3" w14:textId="77777777" w:rsidTr="00A67586">
        <w:tc>
          <w:tcPr>
            <w:tcW w:w="2041" w:type="dxa"/>
          </w:tcPr>
          <w:p w14:paraId="06C17E8F" w14:textId="77777777" w:rsidR="00C31BDD" w:rsidRPr="00D43D17" w:rsidRDefault="00C31BDD" w:rsidP="00D6111C">
            <w:pPr>
              <w:tabs>
                <w:tab w:val="left" w:pos="180"/>
                <w:tab w:val="left" w:pos="900"/>
              </w:tabs>
            </w:pPr>
            <w:r w:rsidRPr="00D43D17">
              <w:t>Grid Services Delivery</w:t>
            </w:r>
          </w:p>
        </w:tc>
        <w:tc>
          <w:tcPr>
            <w:tcW w:w="2903" w:type="dxa"/>
          </w:tcPr>
          <w:p w14:paraId="4820DD03" w14:textId="01ED010F" w:rsidR="00C31BDD" w:rsidRPr="00D43D17" w:rsidRDefault="00C31BDD" w:rsidP="00D6111C">
            <w:pPr>
              <w:tabs>
                <w:tab w:val="left" w:pos="180"/>
                <w:tab w:val="left" w:pos="900"/>
              </w:tabs>
            </w:pPr>
            <w:r w:rsidRPr="00D43D17">
              <w:t>Degree to which VPP</w:t>
            </w:r>
            <w:r w:rsidR="00C64900" w:rsidRPr="00D43D17">
              <w:t>(s)</w:t>
            </w:r>
            <w:r w:rsidRPr="00D43D17">
              <w:t xml:space="preserve"> output matches the requested service signal (e.g., power modulation profile).</w:t>
            </w:r>
          </w:p>
        </w:tc>
        <w:tc>
          <w:tcPr>
            <w:tcW w:w="2326" w:type="dxa"/>
          </w:tcPr>
          <w:p w14:paraId="2FCB8FC0" w14:textId="77777777" w:rsidR="00C31BDD" w:rsidRPr="00D43D17" w:rsidRDefault="00C31BDD" w:rsidP="00D6111C">
            <w:pPr>
              <w:tabs>
                <w:tab w:val="left" w:pos="180"/>
                <w:tab w:val="left" w:pos="900"/>
              </w:tabs>
            </w:pPr>
            <w:r w:rsidRPr="00D43D17">
              <w:t>≥ 95% tracking accuracy</w:t>
            </w:r>
          </w:p>
        </w:tc>
        <w:tc>
          <w:tcPr>
            <w:tcW w:w="2080" w:type="dxa"/>
          </w:tcPr>
          <w:p w14:paraId="2F5677D7" w14:textId="77777777" w:rsidR="00C31BDD" w:rsidRPr="00D43D17" w:rsidRDefault="00C31BDD" w:rsidP="00D6111C">
            <w:pPr>
              <w:tabs>
                <w:tab w:val="left" w:pos="180"/>
                <w:tab w:val="left" w:pos="900"/>
              </w:tabs>
            </w:pPr>
            <w:r w:rsidRPr="00D43D17">
              <w:t>Service Accuracy</w:t>
            </w:r>
          </w:p>
        </w:tc>
      </w:tr>
      <w:tr w:rsidR="00D43D17" w:rsidRPr="00D43D17" w14:paraId="692B7BBD" w14:textId="77777777" w:rsidTr="00A67586">
        <w:tc>
          <w:tcPr>
            <w:tcW w:w="2041" w:type="dxa"/>
          </w:tcPr>
          <w:p w14:paraId="747E7576" w14:textId="77777777" w:rsidR="00C31BDD" w:rsidRPr="00D43D17" w:rsidRDefault="00C31BDD" w:rsidP="00D6111C">
            <w:pPr>
              <w:tabs>
                <w:tab w:val="left" w:pos="180"/>
                <w:tab w:val="left" w:pos="900"/>
              </w:tabs>
            </w:pPr>
            <w:r w:rsidRPr="00D43D17">
              <w:t>Voltage Support</w:t>
            </w:r>
          </w:p>
        </w:tc>
        <w:tc>
          <w:tcPr>
            <w:tcW w:w="2903" w:type="dxa"/>
          </w:tcPr>
          <w:p w14:paraId="326D382A" w14:textId="05E24331" w:rsidR="00C31BDD" w:rsidRPr="00D43D17" w:rsidRDefault="00C31BDD" w:rsidP="00D6111C">
            <w:pPr>
              <w:tabs>
                <w:tab w:val="left" w:pos="180"/>
                <w:tab w:val="left" w:pos="900"/>
              </w:tabs>
            </w:pPr>
            <w:r w:rsidRPr="00D43D17">
              <w:t>Total kVAR capability the VPP</w:t>
            </w:r>
            <w:r w:rsidR="00C64900" w:rsidRPr="00D43D17">
              <w:t>(s)</w:t>
            </w:r>
            <w:r w:rsidRPr="00D43D17">
              <w:t xml:space="preserve"> can provide across enrolled IBDERs.</w:t>
            </w:r>
          </w:p>
        </w:tc>
        <w:tc>
          <w:tcPr>
            <w:tcW w:w="2326" w:type="dxa"/>
          </w:tcPr>
          <w:p w14:paraId="23106652" w14:textId="77777777" w:rsidR="00C31BDD" w:rsidRPr="00D43D17" w:rsidRDefault="00C31BDD" w:rsidP="00D6111C">
            <w:pPr>
              <w:tabs>
                <w:tab w:val="left" w:pos="180"/>
                <w:tab w:val="left" w:pos="900"/>
              </w:tabs>
            </w:pPr>
            <w:r w:rsidRPr="00D43D17">
              <w:t>≥ 80% of rated inverter VAR capacity</w:t>
            </w:r>
          </w:p>
        </w:tc>
        <w:tc>
          <w:tcPr>
            <w:tcW w:w="2080" w:type="dxa"/>
          </w:tcPr>
          <w:p w14:paraId="47322112" w14:textId="77777777" w:rsidR="00C31BDD" w:rsidRPr="00D43D17" w:rsidRDefault="00C31BDD" w:rsidP="00D6111C">
            <w:pPr>
              <w:tabs>
                <w:tab w:val="left" w:pos="180"/>
                <w:tab w:val="left" w:pos="900"/>
              </w:tabs>
            </w:pPr>
            <w:r w:rsidRPr="00D43D17">
              <w:t>Reactive Power Availability</w:t>
            </w:r>
          </w:p>
        </w:tc>
      </w:tr>
      <w:tr w:rsidR="00D43D17" w:rsidRPr="00D43D17" w14:paraId="3BC7CED5" w14:textId="77777777" w:rsidTr="00A67586">
        <w:tc>
          <w:tcPr>
            <w:tcW w:w="2041" w:type="dxa"/>
          </w:tcPr>
          <w:p w14:paraId="4436F773" w14:textId="77777777" w:rsidR="00C31BDD" w:rsidRPr="00D43D17" w:rsidRDefault="00C31BDD" w:rsidP="00D6111C">
            <w:pPr>
              <w:tabs>
                <w:tab w:val="left" w:pos="180"/>
                <w:tab w:val="left" w:pos="900"/>
              </w:tabs>
            </w:pPr>
            <w:r w:rsidRPr="00D43D17">
              <w:t>Voltage Support</w:t>
            </w:r>
          </w:p>
        </w:tc>
        <w:tc>
          <w:tcPr>
            <w:tcW w:w="2903" w:type="dxa"/>
          </w:tcPr>
          <w:p w14:paraId="0BBFBEF0" w14:textId="77777777" w:rsidR="00C31BDD" w:rsidRPr="00D43D17" w:rsidRDefault="00C31BDD" w:rsidP="00D6111C">
            <w:pPr>
              <w:tabs>
                <w:tab w:val="left" w:pos="180"/>
                <w:tab w:val="left" w:pos="900"/>
              </w:tabs>
            </w:pPr>
            <w:r w:rsidRPr="00D43D17">
              <w:t>Time to initiate reactive power adjustment in response to a local or grid signal.</w:t>
            </w:r>
          </w:p>
        </w:tc>
        <w:tc>
          <w:tcPr>
            <w:tcW w:w="2326" w:type="dxa"/>
          </w:tcPr>
          <w:p w14:paraId="560CAD97" w14:textId="77777777" w:rsidR="00C31BDD" w:rsidRPr="00D43D17" w:rsidRDefault="00C31BDD" w:rsidP="00D6111C">
            <w:pPr>
              <w:tabs>
                <w:tab w:val="left" w:pos="180"/>
                <w:tab w:val="left" w:pos="900"/>
              </w:tabs>
            </w:pPr>
            <w:r w:rsidRPr="00D43D17">
              <w:t>≤ 3 seconds</w:t>
            </w:r>
          </w:p>
        </w:tc>
        <w:tc>
          <w:tcPr>
            <w:tcW w:w="2080" w:type="dxa"/>
          </w:tcPr>
          <w:p w14:paraId="3F6C60BB" w14:textId="77777777" w:rsidR="00C31BDD" w:rsidRPr="00D43D17" w:rsidRDefault="00C31BDD" w:rsidP="00D6111C">
            <w:pPr>
              <w:tabs>
                <w:tab w:val="left" w:pos="180"/>
                <w:tab w:val="left" w:pos="900"/>
              </w:tabs>
            </w:pPr>
            <w:r w:rsidRPr="00D43D17">
              <w:t>Response Time (Volt-VAR)</w:t>
            </w:r>
          </w:p>
        </w:tc>
      </w:tr>
      <w:tr w:rsidR="00D43D17" w:rsidRPr="00D43D17" w14:paraId="39894370" w14:textId="77777777" w:rsidTr="00A67586">
        <w:tc>
          <w:tcPr>
            <w:tcW w:w="2041" w:type="dxa"/>
          </w:tcPr>
          <w:p w14:paraId="7B56A69B" w14:textId="77777777" w:rsidR="00C31BDD" w:rsidRPr="00D43D17" w:rsidRDefault="00C31BDD" w:rsidP="00D6111C">
            <w:pPr>
              <w:tabs>
                <w:tab w:val="left" w:pos="180"/>
                <w:tab w:val="left" w:pos="900"/>
              </w:tabs>
            </w:pPr>
            <w:r w:rsidRPr="00D43D17">
              <w:t>Frequency Support</w:t>
            </w:r>
          </w:p>
        </w:tc>
        <w:tc>
          <w:tcPr>
            <w:tcW w:w="2903" w:type="dxa"/>
          </w:tcPr>
          <w:p w14:paraId="4642715C" w14:textId="77777777" w:rsidR="00C31BDD" w:rsidRPr="00D43D17" w:rsidRDefault="00C31BDD" w:rsidP="00D6111C">
            <w:pPr>
              <w:tabs>
                <w:tab w:val="left" w:pos="180"/>
                <w:tab w:val="left" w:pos="900"/>
              </w:tabs>
            </w:pPr>
            <w:r w:rsidRPr="00D43D17">
              <w:t>Time to initiate active power injection or curtailment after a frequency deviation signal.</w:t>
            </w:r>
          </w:p>
        </w:tc>
        <w:tc>
          <w:tcPr>
            <w:tcW w:w="2326" w:type="dxa"/>
          </w:tcPr>
          <w:p w14:paraId="7E03A35F" w14:textId="77777777" w:rsidR="00C31BDD" w:rsidRPr="00D43D17" w:rsidRDefault="00C31BDD" w:rsidP="00D6111C">
            <w:pPr>
              <w:tabs>
                <w:tab w:val="left" w:pos="180"/>
                <w:tab w:val="left" w:pos="900"/>
              </w:tabs>
            </w:pPr>
            <w:r w:rsidRPr="00D43D17">
              <w:t>≤ 2 seconds</w:t>
            </w:r>
          </w:p>
        </w:tc>
        <w:tc>
          <w:tcPr>
            <w:tcW w:w="2080" w:type="dxa"/>
          </w:tcPr>
          <w:p w14:paraId="6C9F6241" w14:textId="77777777" w:rsidR="00C31BDD" w:rsidRPr="00D43D17" w:rsidRDefault="00C31BDD" w:rsidP="00D6111C">
            <w:pPr>
              <w:tabs>
                <w:tab w:val="left" w:pos="180"/>
                <w:tab w:val="left" w:pos="900"/>
              </w:tabs>
            </w:pPr>
            <w:r w:rsidRPr="00D43D17">
              <w:t>Response Time (Primary Frequency)</w:t>
            </w:r>
          </w:p>
        </w:tc>
      </w:tr>
      <w:tr w:rsidR="00D43D17" w:rsidRPr="00D43D17" w14:paraId="59077E4F" w14:textId="77777777" w:rsidTr="00A67586">
        <w:tc>
          <w:tcPr>
            <w:tcW w:w="2041" w:type="dxa"/>
          </w:tcPr>
          <w:p w14:paraId="61ECE1D9" w14:textId="77777777" w:rsidR="00C31BDD" w:rsidRPr="00D43D17" w:rsidRDefault="00C31BDD" w:rsidP="00D6111C">
            <w:pPr>
              <w:tabs>
                <w:tab w:val="left" w:pos="180"/>
                <w:tab w:val="left" w:pos="900"/>
              </w:tabs>
            </w:pPr>
            <w:r w:rsidRPr="00D43D17">
              <w:t>Frequency Support</w:t>
            </w:r>
          </w:p>
        </w:tc>
        <w:tc>
          <w:tcPr>
            <w:tcW w:w="2903" w:type="dxa"/>
          </w:tcPr>
          <w:p w14:paraId="57A12A95" w14:textId="77777777" w:rsidR="00C31BDD" w:rsidRPr="00D43D17" w:rsidRDefault="00C31BDD" w:rsidP="00D6111C">
            <w:pPr>
              <w:tabs>
                <w:tab w:val="left" w:pos="180"/>
                <w:tab w:val="left" w:pos="900"/>
              </w:tabs>
            </w:pPr>
            <w:r w:rsidRPr="00D43D17">
              <w:t>Total MW of fast-responding IBDERs (e.g., batteries) available for frequency response.</w:t>
            </w:r>
          </w:p>
        </w:tc>
        <w:tc>
          <w:tcPr>
            <w:tcW w:w="2326" w:type="dxa"/>
          </w:tcPr>
          <w:p w14:paraId="5CEB6D6B" w14:textId="77777777" w:rsidR="00C31BDD" w:rsidRPr="00D43D17" w:rsidRDefault="00C31BDD" w:rsidP="00D6111C">
            <w:pPr>
              <w:tabs>
                <w:tab w:val="left" w:pos="180"/>
                <w:tab w:val="left" w:pos="900"/>
              </w:tabs>
            </w:pPr>
            <w:r w:rsidRPr="00D43D17">
              <w:t>≥ 90% of committed capacity</w:t>
            </w:r>
          </w:p>
        </w:tc>
        <w:tc>
          <w:tcPr>
            <w:tcW w:w="2080" w:type="dxa"/>
          </w:tcPr>
          <w:p w14:paraId="4ED19329" w14:textId="77777777" w:rsidR="00C31BDD" w:rsidRPr="00D43D17" w:rsidRDefault="00C31BDD" w:rsidP="00D6111C">
            <w:pPr>
              <w:tabs>
                <w:tab w:val="left" w:pos="180"/>
                <w:tab w:val="left" w:pos="900"/>
              </w:tabs>
            </w:pPr>
            <w:r w:rsidRPr="00D43D17">
              <w:t>Frequency Response Capacity</w:t>
            </w:r>
          </w:p>
        </w:tc>
      </w:tr>
      <w:tr w:rsidR="00D43D17" w:rsidRPr="00D43D17" w14:paraId="5CB8ED5D" w14:textId="77777777" w:rsidTr="00A67586">
        <w:tc>
          <w:tcPr>
            <w:tcW w:w="2041" w:type="dxa"/>
          </w:tcPr>
          <w:p w14:paraId="0F85848E" w14:textId="77777777" w:rsidR="00C31BDD" w:rsidRPr="00D43D17" w:rsidRDefault="00C31BDD" w:rsidP="00D6111C">
            <w:pPr>
              <w:tabs>
                <w:tab w:val="left" w:pos="180"/>
                <w:tab w:val="left" w:pos="900"/>
              </w:tabs>
            </w:pPr>
            <w:r w:rsidRPr="00D43D17">
              <w:t>Energy &amp; Capacity Contribution</w:t>
            </w:r>
          </w:p>
        </w:tc>
        <w:tc>
          <w:tcPr>
            <w:tcW w:w="2903" w:type="dxa"/>
          </w:tcPr>
          <w:p w14:paraId="103AE5A0" w14:textId="4386DAED" w:rsidR="00C31BDD" w:rsidRPr="00D43D17" w:rsidRDefault="305C0E0B" w:rsidP="00D6111C">
            <w:pPr>
              <w:tabs>
                <w:tab w:val="left" w:pos="180"/>
                <w:tab w:val="left" w:pos="900"/>
              </w:tabs>
            </w:pPr>
            <w:r w:rsidRPr="00D43D17">
              <w:t>Proportion</w:t>
            </w:r>
            <w:r w:rsidR="00C31BDD" w:rsidRPr="00D43D17">
              <w:t xml:space="preserve"> </w:t>
            </w:r>
            <w:r w:rsidRPr="00D43D17">
              <w:t>of</w:t>
            </w:r>
            <w:r w:rsidR="00C31BDD" w:rsidRPr="00D43D17">
              <w:t xml:space="preserve"> MW of IBDERs aggregated and controllable within the VPP</w:t>
            </w:r>
            <w:r w:rsidR="00207536" w:rsidRPr="00D43D17">
              <w:t>(s)</w:t>
            </w:r>
            <w:r w:rsidR="00C31BDD" w:rsidRPr="00D43D17">
              <w:t>.</w:t>
            </w:r>
          </w:p>
        </w:tc>
        <w:tc>
          <w:tcPr>
            <w:tcW w:w="2326" w:type="dxa"/>
          </w:tcPr>
          <w:p w14:paraId="3E87DAC8" w14:textId="32433F6A" w:rsidR="00C31BDD" w:rsidRPr="00D43D17" w:rsidRDefault="00C31BDD" w:rsidP="00D6111C">
            <w:pPr>
              <w:tabs>
                <w:tab w:val="left" w:pos="180"/>
                <w:tab w:val="left" w:pos="900"/>
              </w:tabs>
            </w:pPr>
            <w:r w:rsidRPr="00D43D17">
              <w:t>≥ 90% of enrolled IBDERs capacity dispatchable</w:t>
            </w:r>
          </w:p>
        </w:tc>
        <w:tc>
          <w:tcPr>
            <w:tcW w:w="2080" w:type="dxa"/>
          </w:tcPr>
          <w:p w14:paraId="7CE0F236" w14:textId="77777777" w:rsidR="00C31BDD" w:rsidRPr="00D43D17" w:rsidRDefault="00C31BDD" w:rsidP="00D6111C">
            <w:pPr>
              <w:tabs>
                <w:tab w:val="left" w:pos="180"/>
                <w:tab w:val="left" w:pos="900"/>
              </w:tabs>
            </w:pPr>
            <w:r w:rsidRPr="00D43D17">
              <w:t>Aggregate Dispatchable Capacity</w:t>
            </w:r>
          </w:p>
        </w:tc>
      </w:tr>
      <w:tr w:rsidR="00D43D17" w:rsidRPr="00D43D17" w14:paraId="78E931B2" w14:textId="77777777" w:rsidTr="00A67586">
        <w:tc>
          <w:tcPr>
            <w:tcW w:w="2041" w:type="dxa"/>
          </w:tcPr>
          <w:p w14:paraId="3D76EA6B" w14:textId="77777777" w:rsidR="00C31BDD" w:rsidRPr="00D43D17" w:rsidRDefault="00C31BDD" w:rsidP="00D6111C">
            <w:pPr>
              <w:tabs>
                <w:tab w:val="left" w:pos="180"/>
                <w:tab w:val="left" w:pos="900"/>
              </w:tabs>
            </w:pPr>
            <w:r w:rsidRPr="00D43D17">
              <w:t>Economic &amp; Market Performance</w:t>
            </w:r>
          </w:p>
        </w:tc>
        <w:tc>
          <w:tcPr>
            <w:tcW w:w="2903" w:type="dxa"/>
          </w:tcPr>
          <w:p w14:paraId="160BD85A" w14:textId="39567B53" w:rsidR="00C31BDD" w:rsidRPr="00D43D17" w:rsidRDefault="00C31BDD" w:rsidP="00D6111C">
            <w:pPr>
              <w:tabs>
                <w:tab w:val="left" w:pos="180"/>
                <w:tab w:val="left" w:pos="900"/>
              </w:tabs>
            </w:pPr>
            <w:r w:rsidRPr="00D43D17">
              <w:t>Operational cost</w:t>
            </w:r>
            <w:r w:rsidR="005940D6" w:rsidRPr="00D43D17">
              <w:t>:</w:t>
            </w:r>
            <w:r w:rsidRPr="00D43D17">
              <w:t xml:space="preserve"> to </w:t>
            </w:r>
            <w:r w:rsidR="00B06C10" w:rsidRPr="00D43D17">
              <w:t xml:space="preserve">recruit, </w:t>
            </w:r>
            <w:r w:rsidR="002550BD" w:rsidRPr="00D43D17">
              <w:t xml:space="preserve">enroll, </w:t>
            </w:r>
            <w:r w:rsidRPr="00D43D17">
              <w:t>aggregate, monitor, and control each MW of VPP capacity.</w:t>
            </w:r>
          </w:p>
        </w:tc>
        <w:tc>
          <w:tcPr>
            <w:tcW w:w="2326" w:type="dxa"/>
          </w:tcPr>
          <w:p w14:paraId="5F77A120" w14:textId="77777777" w:rsidR="00C31BDD" w:rsidRPr="00D43D17" w:rsidRDefault="00C31BDD" w:rsidP="00D6111C">
            <w:pPr>
              <w:tabs>
                <w:tab w:val="left" w:pos="180"/>
                <w:tab w:val="left" w:pos="900"/>
              </w:tabs>
            </w:pPr>
            <w:r w:rsidRPr="00D43D17">
              <w:t>Competitive vs. conventional peaking resources</w:t>
            </w:r>
          </w:p>
        </w:tc>
        <w:tc>
          <w:tcPr>
            <w:tcW w:w="2080" w:type="dxa"/>
          </w:tcPr>
          <w:p w14:paraId="0B6D3DD1" w14:textId="77777777" w:rsidR="00C31BDD" w:rsidRPr="00D43D17" w:rsidRDefault="00C31BDD" w:rsidP="00D6111C">
            <w:pPr>
              <w:tabs>
                <w:tab w:val="left" w:pos="180"/>
                <w:tab w:val="left" w:pos="900"/>
              </w:tabs>
            </w:pPr>
            <w:r w:rsidRPr="00D43D17">
              <w:t>Cost per MW Managed</w:t>
            </w:r>
          </w:p>
        </w:tc>
      </w:tr>
      <w:tr w:rsidR="00D43D17" w:rsidRPr="00D43D17" w14:paraId="347DC5A6" w14:textId="77777777" w:rsidTr="00A67586">
        <w:tc>
          <w:tcPr>
            <w:tcW w:w="2041" w:type="dxa"/>
          </w:tcPr>
          <w:p w14:paraId="25247167" w14:textId="77777777" w:rsidR="00C31BDD" w:rsidRPr="00D43D17" w:rsidRDefault="00C31BDD" w:rsidP="00D6111C">
            <w:pPr>
              <w:tabs>
                <w:tab w:val="left" w:pos="180"/>
                <w:tab w:val="left" w:pos="900"/>
              </w:tabs>
            </w:pPr>
            <w:r w:rsidRPr="00D43D17">
              <w:t>Environmental</w:t>
            </w:r>
          </w:p>
        </w:tc>
        <w:tc>
          <w:tcPr>
            <w:tcW w:w="2903" w:type="dxa"/>
          </w:tcPr>
          <w:p w14:paraId="021F3A17" w14:textId="1EAF3E02" w:rsidR="00C31BDD" w:rsidRPr="00D43D17" w:rsidRDefault="56934C5E" w:rsidP="00D6111C">
            <w:pPr>
              <w:tabs>
                <w:tab w:val="left" w:pos="180"/>
                <w:tab w:val="left" w:pos="900"/>
              </w:tabs>
            </w:pPr>
            <w:r w:rsidRPr="00D43D17">
              <w:t>GHG e</w:t>
            </w:r>
            <w:r w:rsidR="00C31BDD" w:rsidRPr="00D43D17">
              <w:t xml:space="preserve">missions </w:t>
            </w:r>
            <w:proofErr w:type="gramStart"/>
            <w:r w:rsidR="00C31BDD" w:rsidRPr="00D43D17">
              <w:t>avoided</w:t>
            </w:r>
            <w:proofErr w:type="gramEnd"/>
            <w:r w:rsidR="00C31BDD" w:rsidRPr="00D43D17">
              <w:t xml:space="preserve"> due to VPP dispatch vs. conventional generation.</w:t>
            </w:r>
          </w:p>
        </w:tc>
        <w:tc>
          <w:tcPr>
            <w:tcW w:w="2326" w:type="dxa"/>
          </w:tcPr>
          <w:p w14:paraId="03042447" w14:textId="77777777" w:rsidR="00C31BDD" w:rsidRPr="00D43D17" w:rsidRDefault="00C31BDD" w:rsidP="00D6111C">
            <w:pPr>
              <w:tabs>
                <w:tab w:val="left" w:pos="180"/>
                <w:tab w:val="left" w:pos="900"/>
              </w:tabs>
            </w:pPr>
            <w:r w:rsidRPr="00D43D17">
              <w:t>Reported annually, tied to local grid mix</w:t>
            </w:r>
          </w:p>
        </w:tc>
        <w:tc>
          <w:tcPr>
            <w:tcW w:w="2080" w:type="dxa"/>
          </w:tcPr>
          <w:p w14:paraId="50F079CE" w14:textId="77777777" w:rsidR="00C31BDD" w:rsidRPr="00D43D17" w:rsidRDefault="00C31BDD" w:rsidP="00D6111C">
            <w:pPr>
              <w:tabs>
                <w:tab w:val="left" w:pos="180"/>
                <w:tab w:val="left" w:pos="900"/>
              </w:tabs>
            </w:pPr>
            <w:r w:rsidRPr="00D43D17">
              <w:t>Carbon Avoidance</w:t>
            </w:r>
          </w:p>
        </w:tc>
      </w:tr>
      <w:tr w:rsidR="00D43D17" w:rsidRPr="00D43D17" w14:paraId="53E5DFBD" w14:textId="77777777" w:rsidTr="00A67586">
        <w:tc>
          <w:tcPr>
            <w:tcW w:w="2041" w:type="dxa"/>
          </w:tcPr>
          <w:p w14:paraId="58144021" w14:textId="77777777" w:rsidR="00C31BDD" w:rsidRPr="00D43D17" w:rsidRDefault="00C31BDD" w:rsidP="00D6111C">
            <w:pPr>
              <w:tabs>
                <w:tab w:val="left" w:pos="180"/>
                <w:tab w:val="left" w:pos="900"/>
              </w:tabs>
            </w:pPr>
            <w:r w:rsidRPr="00D43D17">
              <w:t>Interoperability</w:t>
            </w:r>
          </w:p>
        </w:tc>
        <w:tc>
          <w:tcPr>
            <w:tcW w:w="2903" w:type="dxa"/>
          </w:tcPr>
          <w:p w14:paraId="1BED0F20" w14:textId="77777777" w:rsidR="00C31BDD" w:rsidRPr="00D43D17" w:rsidRDefault="00C31BDD" w:rsidP="00D6111C">
            <w:pPr>
              <w:tabs>
                <w:tab w:val="left" w:pos="180"/>
                <w:tab w:val="left" w:pos="900"/>
              </w:tabs>
            </w:pPr>
            <w:r w:rsidRPr="00D43D17">
              <w:t>Gateway devices must support communication with standard protocols (e.g., IEEE 2030.5, OpenADR, Modbus).</w:t>
            </w:r>
          </w:p>
        </w:tc>
        <w:tc>
          <w:tcPr>
            <w:tcW w:w="2326" w:type="dxa"/>
          </w:tcPr>
          <w:p w14:paraId="706A0FFF" w14:textId="77777777" w:rsidR="00C31BDD" w:rsidRPr="00D43D17" w:rsidRDefault="00C31BDD" w:rsidP="00D6111C">
            <w:pPr>
              <w:tabs>
                <w:tab w:val="left" w:pos="180"/>
                <w:tab w:val="left" w:pos="900"/>
              </w:tabs>
            </w:pPr>
            <w:r w:rsidRPr="00D43D17">
              <w:t>Support communication with at least two standard protocols</w:t>
            </w:r>
          </w:p>
        </w:tc>
        <w:tc>
          <w:tcPr>
            <w:tcW w:w="2080" w:type="dxa"/>
          </w:tcPr>
          <w:p w14:paraId="2FF48D84" w14:textId="77777777" w:rsidR="00C31BDD" w:rsidRPr="00D43D17" w:rsidRDefault="00C31BDD" w:rsidP="00D6111C">
            <w:pPr>
              <w:tabs>
                <w:tab w:val="left" w:pos="180"/>
                <w:tab w:val="left" w:pos="900"/>
              </w:tabs>
            </w:pPr>
            <w:r w:rsidRPr="00D43D17">
              <w:t>Supported Protocols</w:t>
            </w:r>
          </w:p>
        </w:tc>
      </w:tr>
      <w:tr w:rsidR="00D43D17" w:rsidRPr="00D43D17" w14:paraId="412BD6C3" w14:textId="77777777" w:rsidTr="00A67586">
        <w:tc>
          <w:tcPr>
            <w:tcW w:w="2041" w:type="dxa"/>
          </w:tcPr>
          <w:p w14:paraId="34C526E2" w14:textId="77777777" w:rsidR="00C31BDD" w:rsidRPr="00D43D17" w:rsidRDefault="00C31BDD" w:rsidP="00D6111C">
            <w:pPr>
              <w:tabs>
                <w:tab w:val="left" w:pos="180"/>
                <w:tab w:val="left" w:pos="900"/>
              </w:tabs>
            </w:pPr>
            <w:r w:rsidRPr="00D43D17">
              <w:t>Interoperability</w:t>
            </w:r>
          </w:p>
        </w:tc>
        <w:tc>
          <w:tcPr>
            <w:tcW w:w="2903" w:type="dxa"/>
          </w:tcPr>
          <w:p w14:paraId="0A71820C" w14:textId="11071FBA" w:rsidR="00C31BDD" w:rsidRPr="00D43D17" w:rsidRDefault="00C31BDD" w:rsidP="00D6111C">
            <w:pPr>
              <w:tabs>
                <w:tab w:val="left" w:pos="180"/>
                <w:tab w:val="left" w:pos="900"/>
              </w:tabs>
            </w:pPr>
            <w:r w:rsidRPr="00D43D17">
              <w:t>Average time required to onboard and fully integrate new IBDERs into the VPP</w:t>
            </w:r>
            <w:r w:rsidR="00207536" w:rsidRPr="00D43D17">
              <w:t>(s)</w:t>
            </w:r>
            <w:r w:rsidRPr="00D43D17">
              <w:t>.</w:t>
            </w:r>
          </w:p>
        </w:tc>
        <w:tc>
          <w:tcPr>
            <w:tcW w:w="2326" w:type="dxa"/>
          </w:tcPr>
          <w:p w14:paraId="3F96C6F3" w14:textId="77777777" w:rsidR="00C31BDD" w:rsidRPr="00D43D17" w:rsidRDefault="00C31BDD" w:rsidP="00D6111C">
            <w:pPr>
              <w:tabs>
                <w:tab w:val="left" w:pos="180"/>
                <w:tab w:val="left" w:pos="900"/>
              </w:tabs>
            </w:pPr>
            <w:r w:rsidRPr="00D43D17">
              <w:t>≤ 48 hours per device/system</w:t>
            </w:r>
          </w:p>
        </w:tc>
        <w:tc>
          <w:tcPr>
            <w:tcW w:w="2080" w:type="dxa"/>
          </w:tcPr>
          <w:p w14:paraId="165B21C9" w14:textId="77777777" w:rsidR="00C31BDD" w:rsidRPr="00D43D17" w:rsidRDefault="00C31BDD" w:rsidP="00D6111C">
            <w:pPr>
              <w:tabs>
                <w:tab w:val="left" w:pos="180"/>
                <w:tab w:val="left" w:pos="900"/>
              </w:tabs>
            </w:pPr>
            <w:r w:rsidRPr="00D43D17">
              <w:t>System Integration Time</w:t>
            </w:r>
          </w:p>
        </w:tc>
      </w:tr>
      <w:tr w:rsidR="00A67586" w:rsidRPr="00D43D17" w14:paraId="6795AD8E" w14:textId="77777777" w:rsidTr="00A67586">
        <w:tc>
          <w:tcPr>
            <w:tcW w:w="2041" w:type="dxa"/>
          </w:tcPr>
          <w:p w14:paraId="2B3AD1AA" w14:textId="77777777" w:rsidR="00A67586" w:rsidRPr="00D43D17" w:rsidRDefault="00A67586" w:rsidP="00A67586">
            <w:pPr>
              <w:keepNext/>
              <w:tabs>
                <w:tab w:val="left" w:pos="180"/>
                <w:tab w:val="left" w:pos="900"/>
              </w:tabs>
              <w:rPr>
                <w:b/>
                <w:bCs/>
              </w:rPr>
            </w:pPr>
            <w:r w:rsidRPr="00D43D17">
              <w:rPr>
                <w:b/>
                <w:bCs/>
              </w:rPr>
              <w:lastRenderedPageBreak/>
              <w:t>Category</w:t>
            </w:r>
          </w:p>
        </w:tc>
        <w:tc>
          <w:tcPr>
            <w:tcW w:w="2903" w:type="dxa"/>
          </w:tcPr>
          <w:p w14:paraId="0A8A4326" w14:textId="77777777" w:rsidR="00A67586" w:rsidRPr="00D43D17" w:rsidRDefault="00A67586" w:rsidP="00A67586">
            <w:pPr>
              <w:keepNext/>
              <w:rPr>
                <w:b/>
                <w:bCs/>
              </w:rPr>
            </w:pPr>
            <w:r w:rsidRPr="00D43D17">
              <w:rPr>
                <w:b/>
                <w:bCs/>
              </w:rPr>
              <w:t>Description</w:t>
            </w:r>
          </w:p>
        </w:tc>
        <w:tc>
          <w:tcPr>
            <w:tcW w:w="2326" w:type="dxa"/>
          </w:tcPr>
          <w:p w14:paraId="753EBADB" w14:textId="77777777" w:rsidR="00A67586" w:rsidRPr="00D43D17" w:rsidRDefault="00A67586" w:rsidP="00A67586">
            <w:pPr>
              <w:keepNext/>
              <w:tabs>
                <w:tab w:val="left" w:pos="180"/>
                <w:tab w:val="left" w:pos="900"/>
              </w:tabs>
              <w:rPr>
                <w:b/>
                <w:bCs/>
              </w:rPr>
            </w:pPr>
            <w:r w:rsidRPr="00D43D17">
              <w:rPr>
                <w:b/>
                <w:bCs/>
              </w:rPr>
              <w:t>Target/Benchmark</w:t>
            </w:r>
          </w:p>
        </w:tc>
        <w:tc>
          <w:tcPr>
            <w:tcW w:w="2080" w:type="dxa"/>
          </w:tcPr>
          <w:p w14:paraId="02934A4A" w14:textId="77777777" w:rsidR="00A67586" w:rsidRPr="00D43D17" w:rsidRDefault="00A67586" w:rsidP="00A67586">
            <w:pPr>
              <w:keepNext/>
              <w:tabs>
                <w:tab w:val="left" w:pos="180"/>
                <w:tab w:val="left" w:pos="900"/>
              </w:tabs>
              <w:rPr>
                <w:b/>
                <w:bCs/>
              </w:rPr>
            </w:pPr>
            <w:r w:rsidRPr="00D43D17">
              <w:rPr>
                <w:b/>
                <w:bCs/>
              </w:rPr>
              <w:t>Metric</w:t>
            </w:r>
          </w:p>
        </w:tc>
      </w:tr>
      <w:tr w:rsidR="00D43D17" w:rsidRPr="00D43D17" w14:paraId="15608B61" w14:textId="77777777" w:rsidTr="00A67586">
        <w:tc>
          <w:tcPr>
            <w:tcW w:w="2041" w:type="dxa"/>
          </w:tcPr>
          <w:p w14:paraId="49DAE044" w14:textId="77777777" w:rsidR="00C31BDD" w:rsidRPr="00D43D17" w:rsidRDefault="00C31BDD" w:rsidP="00A67586">
            <w:pPr>
              <w:keepNext/>
              <w:tabs>
                <w:tab w:val="left" w:pos="180"/>
                <w:tab w:val="left" w:pos="900"/>
              </w:tabs>
            </w:pPr>
            <w:r w:rsidRPr="00D43D17">
              <w:t>Cybersecurity &amp; Safety Compliance</w:t>
            </w:r>
          </w:p>
        </w:tc>
        <w:tc>
          <w:tcPr>
            <w:tcW w:w="2903" w:type="dxa"/>
          </w:tcPr>
          <w:p w14:paraId="6CDA59FB" w14:textId="77777777" w:rsidR="00C31BDD" w:rsidRPr="00D43D17" w:rsidRDefault="00C31BDD" w:rsidP="00A67586">
            <w:pPr>
              <w:keepNext/>
              <w:tabs>
                <w:tab w:val="left" w:pos="180"/>
                <w:tab w:val="left" w:pos="900"/>
              </w:tabs>
            </w:pPr>
            <w:r w:rsidRPr="00D43D17">
              <w:t>Proportion of IBDERs (inverters, battery controllers, etc.) in the VPP that meet UL 2941 certification.</w:t>
            </w:r>
          </w:p>
        </w:tc>
        <w:tc>
          <w:tcPr>
            <w:tcW w:w="2326" w:type="dxa"/>
          </w:tcPr>
          <w:p w14:paraId="0FBAE4C1" w14:textId="17438FB5" w:rsidR="00C31BDD" w:rsidRPr="00D43D17" w:rsidRDefault="2D157DB4" w:rsidP="00A67586">
            <w:pPr>
              <w:keepNext/>
              <w:tabs>
                <w:tab w:val="left" w:pos="180"/>
                <w:tab w:val="left" w:pos="900"/>
              </w:tabs>
            </w:pPr>
            <w:r w:rsidRPr="00D43D17">
              <w:t>≥ 90%</w:t>
            </w:r>
            <w:r w:rsidR="04E5E0A7" w:rsidRPr="00D43D17">
              <w:t xml:space="preserve"> of enrolled IBDERs UL 2941 certified</w:t>
            </w:r>
          </w:p>
        </w:tc>
        <w:tc>
          <w:tcPr>
            <w:tcW w:w="2080" w:type="dxa"/>
          </w:tcPr>
          <w:p w14:paraId="0FE66941" w14:textId="77777777" w:rsidR="00C31BDD" w:rsidRPr="00D43D17" w:rsidRDefault="00C31BDD" w:rsidP="00A67586">
            <w:pPr>
              <w:keepNext/>
              <w:tabs>
                <w:tab w:val="left" w:pos="180"/>
                <w:tab w:val="left" w:pos="900"/>
              </w:tabs>
            </w:pPr>
            <w:r w:rsidRPr="00D43D17">
              <w:t>Percentage of Devices Certified to UL 2941</w:t>
            </w:r>
          </w:p>
        </w:tc>
      </w:tr>
      <w:tr w:rsidR="00D43D17" w:rsidRPr="00D43D17" w14:paraId="7F826CAC" w14:textId="77777777" w:rsidTr="00A67586">
        <w:tc>
          <w:tcPr>
            <w:tcW w:w="2041" w:type="dxa"/>
          </w:tcPr>
          <w:p w14:paraId="33CFB486" w14:textId="77777777" w:rsidR="00C31BDD" w:rsidRPr="00D43D17" w:rsidRDefault="00C31BDD" w:rsidP="00D6111C">
            <w:pPr>
              <w:tabs>
                <w:tab w:val="left" w:pos="180"/>
                <w:tab w:val="left" w:pos="900"/>
              </w:tabs>
            </w:pPr>
            <w:r w:rsidRPr="00D43D17">
              <w:t>Communication Reliability</w:t>
            </w:r>
          </w:p>
        </w:tc>
        <w:tc>
          <w:tcPr>
            <w:tcW w:w="2903" w:type="dxa"/>
          </w:tcPr>
          <w:p w14:paraId="424D3991" w14:textId="4CA0F02E" w:rsidR="00C31BDD" w:rsidRPr="00D43D17" w:rsidRDefault="00C31BDD" w:rsidP="00D6111C">
            <w:pPr>
              <w:tabs>
                <w:tab w:val="left" w:pos="180"/>
                <w:tab w:val="left" w:pos="900"/>
              </w:tabs>
            </w:pPr>
            <w:r w:rsidRPr="00D43D17">
              <w:t>Successful communication events between VPP</w:t>
            </w:r>
            <w:r w:rsidR="00207536" w:rsidRPr="00D43D17">
              <w:t>(s)</w:t>
            </w:r>
            <w:r w:rsidRPr="00D43D17">
              <w:t xml:space="preserve"> and IBDERs.</w:t>
            </w:r>
          </w:p>
        </w:tc>
        <w:tc>
          <w:tcPr>
            <w:tcW w:w="2326" w:type="dxa"/>
          </w:tcPr>
          <w:p w14:paraId="27A6550E" w14:textId="77777777" w:rsidR="00C31BDD" w:rsidRPr="00D43D17" w:rsidRDefault="00C31BDD" w:rsidP="00D6111C">
            <w:pPr>
              <w:tabs>
                <w:tab w:val="left" w:pos="180"/>
                <w:tab w:val="left" w:pos="900"/>
              </w:tabs>
            </w:pPr>
            <w:r w:rsidRPr="00D43D17">
              <w:t>≥ 99% message success rate</w:t>
            </w:r>
            <w:r w:rsidRPr="00D43D17" w:rsidDel="00A04546">
              <w:t xml:space="preserve"> </w:t>
            </w:r>
          </w:p>
        </w:tc>
        <w:tc>
          <w:tcPr>
            <w:tcW w:w="2080" w:type="dxa"/>
          </w:tcPr>
          <w:p w14:paraId="3319CAB6" w14:textId="77777777" w:rsidR="00C31BDD" w:rsidRPr="00D43D17" w:rsidRDefault="00C31BDD" w:rsidP="00D6111C">
            <w:pPr>
              <w:tabs>
                <w:tab w:val="left" w:pos="180"/>
                <w:tab w:val="left" w:pos="900"/>
              </w:tabs>
            </w:pPr>
            <w:r w:rsidRPr="00D43D17">
              <w:t>IBDER Communication Success Rate</w:t>
            </w:r>
          </w:p>
        </w:tc>
      </w:tr>
      <w:tr w:rsidR="00D43D17" w:rsidRPr="00D43D17" w14:paraId="636AF09F" w14:textId="77777777" w:rsidTr="00A67586">
        <w:tc>
          <w:tcPr>
            <w:tcW w:w="2041" w:type="dxa"/>
          </w:tcPr>
          <w:p w14:paraId="78356BC7" w14:textId="00A43D72" w:rsidR="003F7DF3" w:rsidRPr="00D43D17" w:rsidRDefault="008B5055" w:rsidP="00D6111C">
            <w:pPr>
              <w:tabs>
                <w:tab w:val="left" w:pos="180"/>
                <w:tab w:val="left" w:pos="900"/>
              </w:tabs>
            </w:pPr>
            <w:r w:rsidRPr="00D43D17">
              <w:t>Awareness &amp; O</w:t>
            </w:r>
            <w:r w:rsidR="009650FE" w:rsidRPr="00D43D17">
              <w:t>utreach Effectiveness</w:t>
            </w:r>
          </w:p>
        </w:tc>
        <w:tc>
          <w:tcPr>
            <w:tcW w:w="2903" w:type="dxa"/>
          </w:tcPr>
          <w:p w14:paraId="3474A402" w14:textId="2CA12694" w:rsidR="003F7DF3" w:rsidRPr="00D43D17" w:rsidRDefault="00D65507" w:rsidP="00D6111C">
            <w:pPr>
              <w:tabs>
                <w:tab w:val="left" w:pos="180"/>
                <w:tab w:val="left" w:pos="900"/>
              </w:tabs>
            </w:pPr>
            <w:r w:rsidRPr="00D43D17">
              <w:t>Measures success of community engagement and education</w:t>
            </w:r>
          </w:p>
        </w:tc>
        <w:tc>
          <w:tcPr>
            <w:tcW w:w="2326" w:type="dxa"/>
          </w:tcPr>
          <w:p w14:paraId="79C4BE29" w14:textId="75220CA0" w:rsidR="003F7DF3" w:rsidRPr="00D43D17" w:rsidRDefault="00564B3E" w:rsidP="00D6111C">
            <w:pPr>
              <w:tabs>
                <w:tab w:val="left" w:pos="180"/>
                <w:tab w:val="left" w:pos="900"/>
              </w:tabs>
            </w:pPr>
            <w:r w:rsidRPr="00D43D17">
              <w:t>≥ 5</w:t>
            </w:r>
            <w:r w:rsidR="000F316F" w:rsidRPr="00D43D17">
              <w:t>0</w:t>
            </w:r>
            <w:r w:rsidR="00D41A90" w:rsidRPr="00D43D17">
              <w:t>%</w:t>
            </w:r>
          </w:p>
        </w:tc>
        <w:tc>
          <w:tcPr>
            <w:tcW w:w="2080" w:type="dxa"/>
          </w:tcPr>
          <w:p w14:paraId="0BC01825" w14:textId="5991825E" w:rsidR="003F7DF3" w:rsidRPr="00D43D17" w:rsidRDefault="00D420E4" w:rsidP="00D6111C">
            <w:pPr>
              <w:tabs>
                <w:tab w:val="left" w:pos="180"/>
                <w:tab w:val="left" w:pos="900"/>
              </w:tabs>
            </w:pPr>
            <w:r w:rsidRPr="00D43D17">
              <w:t xml:space="preserve">% of </w:t>
            </w:r>
            <w:r w:rsidR="00704C8D" w:rsidRPr="00D43D17">
              <w:t xml:space="preserve">residents </w:t>
            </w:r>
            <w:r w:rsidR="0730EFCA" w:rsidRPr="00D43D17">
              <w:t>survey</w:t>
            </w:r>
            <w:r w:rsidR="12EA0235" w:rsidRPr="00D43D17">
              <w:t>ed</w:t>
            </w:r>
            <w:r w:rsidR="00564B3E" w:rsidRPr="00D43D17">
              <w:t xml:space="preserve"> aware of available programs</w:t>
            </w:r>
          </w:p>
        </w:tc>
      </w:tr>
      <w:tr w:rsidR="00D43D17" w:rsidRPr="00D43D17" w14:paraId="07DB9058" w14:textId="77777777" w:rsidTr="00A67586">
        <w:tc>
          <w:tcPr>
            <w:tcW w:w="2041" w:type="dxa"/>
          </w:tcPr>
          <w:p w14:paraId="67FA9FCD" w14:textId="7B2865B7" w:rsidR="00B25A21" w:rsidRPr="00D43D17" w:rsidRDefault="00B25A21" w:rsidP="00D6111C">
            <w:pPr>
              <w:tabs>
                <w:tab w:val="left" w:pos="180"/>
                <w:tab w:val="left" w:pos="900"/>
              </w:tabs>
            </w:pPr>
            <w:r w:rsidRPr="00D43D17">
              <w:t>Low-Income Participation</w:t>
            </w:r>
          </w:p>
        </w:tc>
        <w:tc>
          <w:tcPr>
            <w:tcW w:w="2903" w:type="dxa"/>
          </w:tcPr>
          <w:p w14:paraId="14D164E6" w14:textId="795E446F" w:rsidR="00B25A21" w:rsidRPr="00D43D17" w:rsidRDefault="00B25A21" w:rsidP="00D6111C">
            <w:pPr>
              <w:tabs>
                <w:tab w:val="left" w:pos="180"/>
                <w:tab w:val="left" w:pos="900"/>
              </w:tabs>
            </w:pPr>
            <w:r w:rsidRPr="00D43D17">
              <w:t>Proportion of participating customers that meet a de</w:t>
            </w:r>
            <w:r w:rsidR="006339AD" w:rsidRPr="00D43D17">
              <w:t xml:space="preserve">finition of </w:t>
            </w:r>
            <w:r w:rsidR="0070262D" w:rsidRPr="00D43D17">
              <w:t>low-income</w:t>
            </w:r>
          </w:p>
        </w:tc>
        <w:tc>
          <w:tcPr>
            <w:tcW w:w="2326" w:type="dxa"/>
          </w:tcPr>
          <w:p w14:paraId="401894D6" w14:textId="6C80978A" w:rsidR="00B25A21" w:rsidRPr="00D43D17" w:rsidRDefault="0070262D" w:rsidP="00D6111C">
            <w:pPr>
              <w:tabs>
                <w:tab w:val="left" w:pos="180"/>
                <w:tab w:val="left" w:pos="900"/>
              </w:tabs>
            </w:pPr>
            <w:r w:rsidRPr="00D43D17">
              <w:t>≥ 50%</w:t>
            </w:r>
          </w:p>
        </w:tc>
        <w:tc>
          <w:tcPr>
            <w:tcW w:w="2080" w:type="dxa"/>
          </w:tcPr>
          <w:p w14:paraId="0A12A1F3" w14:textId="3092299B" w:rsidR="00B25A21" w:rsidRPr="00D43D17" w:rsidRDefault="0070262D" w:rsidP="00D6111C">
            <w:pPr>
              <w:tabs>
                <w:tab w:val="left" w:pos="180"/>
                <w:tab w:val="left" w:pos="900"/>
              </w:tabs>
            </w:pPr>
            <w:r w:rsidRPr="00D43D17">
              <w:t>% of participating customers at or below median area income</w:t>
            </w:r>
          </w:p>
        </w:tc>
      </w:tr>
    </w:tbl>
    <w:p w14:paraId="49900A67" w14:textId="77777777" w:rsidR="00C31BDD" w:rsidRPr="00D43D17" w:rsidRDefault="00C31BDD" w:rsidP="00D6111C">
      <w:pPr>
        <w:tabs>
          <w:tab w:val="left" w:pos="180"/>
          <w:tab w:val="left" w:pos="900"/>
        </w:tabs>
      </w:pPr>
    </w:p>
    <w:p w14:paraId="1E468149" w14:textId="77777777" w:rsidR="003F6147" w:rsidRPr="00D43D17" w:rsidRDefault="003F6147" w:rsidP="00D6111C">
      <w:pPr>
        <w:pStyle w:val="Heading2"/>
        <w:numPr>
          <w:ilvl w:val="0"/>
          <w:numId w:val="85"/>
        </w:numPr>
      </w:pPr>
      <w:bookmarkStart w:id="22" w:name="_Toc143172702"/>
      <w:r w:rsidRPr="00D43D17">
        <w:t>Funding</w:t>
      </w:r>
      <w:bookmarkEnd w:id="19"/>
      <w:bookmarkEnd w:id="22"/>
    </w:p>
    <w:p w14:paraId="11DA8798" w14:textId="77777777" w:rsidR="003F6147" w:rsidRPr="00D43D17" w:rsidRDefault="003F6147" w:rsidP="00D6111C">
      <w:pPr>
        <w:numPr>
          <w:ilvl w:val="0"/>
          <w:numId w:val="81"/>
        </w:numPr>
        <w:rPr>
          <w:b/>
        </w:rPr>
      </w:pPr>
      <w:bookmarkStart w:id="23" w:name="_Toc381079878"/>
      <w:bookmarkStart w:id="24" w:name="_Toc382571140"/>
      <w:bookmarkStart w:id="25" w:name="_Toc395180637"/>
      <w:bookmarkStart w:id="26" w:name="_Toc433981282"/>
      <w:r w:rsidRPr="00D43D17">
        <w:rPr>
          <w:b/>
        </w:rPr>
        <w:t>Amount Available and Minimum/ Maximum Funding Amounts</w:t>
      </w:r>
      <w:bookmarkEnd w:id="23"/>
      <w:bookmarkEnd w:id="24"/>
      <w:bookmarkEnd w:id="25"/>
      <w:bookmarkEnd w:id="26"/>
    </w:p>
    <w:p w14:paraId="7A95DEE3" w14:textId="49BD5DC6" w:rsidR="003F6147" w:rsidRPr="00D43D17" w:rsidRDefault="00E15E05" w:rsidP="00D6111C">
      <w:r w:rsidRPr="00D43D17">
        <w:t>There is</w:t>
      </w:r>
      <w:r w:rsidRPr="00D43D17">
        <w:rPr>
          <w:b/>
        </w:rPr>
        <w:t xml:space="preserve"> up to $7,240,000</w:t>
      </w:r>
      <w:r w:rsidRPr="00D43D17">
        <w:t xml:space="preserve"> available for grants awarded under this solicitation. The total, minimum, and maximum funding amounts for each project group are listed below</w:t>
      </w: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D43D17" w:rsidRPr="00D43D17" w14:paraId="3F5AFC1C" w14:textId="77777777" w:rsidTr="005B07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77777777" w:rsidR="005B073B" w:rsidRPr="00D43D17" w:rsidRDefault="005B073B" w:rsidP="00D6111C">
            <w:bookmarkStart w:id="27" w:name="_Toc395180644"/>
            <w:bookmarkStart w:id="28" w:name="_Toc433981289"/>
            <w:bookmarkStart w:id="29" w:name="_Toc381079895"/>
            <w:bookmarkStart w:id="30" w:name="_Toc382571157"/>
            <w:bookmarkStart w:id="31" w:name="_Toc395180656"/>
            <w:r w:rsidRPr="00D43D17">
              <w:t>Project Group</w:t>
            </w:r>
            <w:bookmarkEnd w:id="27"/>
            <w:bookmarkEnd w:id="28"/>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4BAD16CB" w:rsidR="005B073B" w:rsidRPr="00D43D17" w:rsidRDefault="005B073B" w:rsidP="00D6111C">
            <w:bookmarkStart w:id="32" w:name="_Toc395180645"/>
            <w:bookmarkStart w:id="33" w:name="_Toc433981290"/>
            <w:r w:rsidRPr="00D43D17">
              <w:t xml:space="preserve">Available </w:t>
            </w:r>
            <w:r w:rsidR="00D35566" w:rsidRPr="00D43D17">
              <w:t xml:space="preserve">CEC </w:t>
            </w:r>
            <w:r w:rsidRPr="00D43D17">
              <w:t>funding</w:t>
            </w:r>
            <w:bookmarkEnd w:id="32"/>
            <w:bookmarkEnd w:id="33"/>
          </w:p>
        </w:tc>
        <w:tc>
          <w:tcPr>
            <w:tcW w:w="1807" w:type="dxa"/>
          </w:tcPr>
          <w:p w14:paraId="0DC8632D" w14:textId="5DEF9E4B"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bookmarkStart w:id="34" w:name="_Toc381079887"/>
            <w:bookmarkStart w:id="35" w:name="_Toc382571149"/>
            <w:bookmarkStart w:id="36" w:name="_Toc395180646"/>
            <w:bookmarkStart w:id="37" w:name="_Toc433981291"/>
            <w:r w:rsidRPr="00D43D17">
              <w:t xml:space="preserve">Minimum </w:t>
            </w:r>
            <w:r w:rsidR="00D35566" w:rsidRPr="00D43D17">
              <w:t xml:space="preserve">CEC </w:t>
            </w:r>
            <w:r w:rsidRPr="00D43D17">
              <w:t xml:space="preserve">award </w:t>
            </w:r>
            <w:bookmarkEnd w:id="34"/>
            <w:bookmarkEnd w:id="35"/>
            <w:bookmarkEnd w:id="36"/>
            <w:bookmarkEnd w:id="37"/>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461BD90E" w:rsidR="005B073B" w:rsidRPr="00D43D17" w:rsidRDefault="005B073B" w:rsidP="00D6111C">
            <w:bookmarkStart w:id="38" w:name="_Toc381079888"/>
            <w:bookmarkStart w:id="39" w:name="_Toc382571150"/>
            <w:bookmarkStart w:id="40" w:name="_Toc395180647"/>
            <w:bookmarkStart w:id="41" w:name="_Toc433981292"/>
            <w:r w:rsidRPr="00D43D17">
              <w:t xml:space="preserve">Maximum </w:t>
            </w:r>
            <w:r w:rsidR="00D35566" w:rsidRPr="00D43D17">
              <w:t xml:space="preserve">CEC </w:t>
            </w:r>
            <w:r w:rsidRPr="00D43D17">
              <w:t xml:space="preserve">award </w:t>
            </w:r>
            <w:bookmarkEnd w:id="38"/>
            <w:bookmarkEnd w:id="39"/>
            <w:bookmarkEnd w:id="40"/>
            <w:bookmarkEnd w:id="41"/>
          </w:p>
        </w:tc>
        <w:tc>
          <w:tcPr>
            <w:tcW w:w="2153" w:type="dxa"/>
          </w:tcPr>
          <w:p w14:paraId="72754F15" w14:textId="2D12FB35"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bookmarkStart w:id="42" w:name="_Toc433981293"/>
            <w:r w:rsidRPr="00D43D17">
              <w:t>Minimum</w:t>
            </w:r>
            <w:r w:rsidR="00490F13" w:rsidRPr="00D43D17">
              <w:t xml:space="preserve"> total</w:t>
            </w:r>
            <w:r w:rsidR="00B102FD" w:rsidRPr="00D43D17">
              <w:t xml:space="preserve"> </w:t>
            </w:r>
            <w:r w:rsidRPr="00D43D17">
              <w:t>match</w:t>
            </w:r>
            <w:r w:rsidR="00490F13" w:rsidRPr="00D43D17">
              <w:t xml:space="preserve"> share percentage</w:t>
            </w:r>
            <w:r w:rsidR="00B102FD" w:rsidRPr="00D43D17">
              <w:t xml:space="preserve"> </w:t>
            </w:r>
            <w:bookmarkEnd w:id="42"/>
            <w:r w:rsidR="00490F13" w:rsidRPr="00D43D17">
              <w:t xml:space="preserve"> </w:t>
            </w:r>
          </w:p>
          <w:p w14:paraId="1967D4CA" w14:textId="7C49C6F1" w:rsidR="005B073B" w:rsidRPr="00D43D17" w:rsidRDefault="005B073B" w:rsidP="00D6111C">
            <w:pPr>
              <w:cnfStyle w:val="100000000000" w:firstRow="1" w:lastRow="0" w:firstColumn="0" w:lastColumn="0" w:oddVBand="0" w:evenVBand="0" w:oddHBand="0" w:evenHBand="0" w:firstRowFirstColumn="0" w:firstRowLastColumn="0" w:lastRowFirstColumn="0" w:lastRowLastColumn="0"/>
            </w:pPr>
          </w:p>
        </w:tc>
      </w:tr>
      <w:tr w:rsidR="00D43D17" w:rsidRPr="00D43D17" w14:paraId="28A4F830" w14:textId="77777777" w:rsidTr="005B0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8696E4" w14:textId="6C45229C" w:rsidR="001E3D7A" w:rsidRPr="00D43D17" w:rsidRDefault="001E3D7A" w:rsidP="00D6111C">
            <w:r w:rsidRPr="00D43D17">
              <w:t>VPPs Field Demonstration</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471E1FAC" w:rsidR="001E3D7A" w:rsidRPr="00D43D17" w:rsidRDefault="001E3D7A" w:rsidP="00D6111C">
            <w:pPr>
              <w:keepNext/>
              <w:spacing w:before="120"/>
              <w:outlineLvl w:val="1"/>
            </w:pPr>
            <w:r w:rsidRPr="00D43D17">
              <w:t>$7,240,000</w:t>
            </w:r>
          </w:p>
        </w:tc>
        <w:tc>
          <w:tcPr>
            <w:tcW w:w="1807" w:type="dxa"/>
          </w:tcPr>
          <w:p w14:paraId="40D8E9DF" w14:textId="68B85555" w:rsidR="001E3D7A" w:rsidRPr="00D43D17" w:rsidRDefault="001E3D7A" w:rsidP="00D6111C">
            <w:pPr>
              <w:keepNext/>
              <w:spacing w:before="120"/>
              <w:outlineLvl w:val="1"/>
              <w:cnfStyle w:val="000000100000" w:firstRow="0" w:lastRow="0" w:firstColumn="0" w:lastColumn="0" w:oddVBand="0" w:evenVBand="0" w:oddHBand="1" w:evenHBand="0" w:firstRowFirstColumn="0" w:firstRowLastColumn="0" w:lastRowFirstColumn="0" w:lastRowLastColumn="0"/>
            </w:pPr>
            <w:r w:rsidRPr="00D43D17">
              <w:t>$2,000,000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7AB4F9B1" w:rsidR="001E3D7A" w:rsidRPr="00D43D17" w:rsidRDefault="001E3D7A" w:rsidP="00D6111C">
            <w:pPr>
              <w:keepNext/>
              <w:spacing w:before="120"/>
              <w:outlineLvl w:val="1"/>
            </w:pPr>
            <w:r w:rsidRPr="00D43D17">
              <w:t>$4,000,000</w:t>
            </w:r>
          </w:p>
        </w:tc>
        <w:tc>
          <w:tcPr>
            <w:tcW w:w="2153" w:type="dxa"/>
          </w:tcPr>
          <w:p w14:paraId="3BD2FF9D" w14:textId="122F8266" w:rsidR="001E3D7A" w:rsidRPr="00D43D17" w:rsidRDefault="001E3D7A" w:rsidP="00D6111C">
            <w:pPr>
              <w:cnfStyle w:val="000000100000" w:firstRow="0" w:lastRow="0" w:firstColumn="0" w:lastColumn="0" w:oddVBand="0" w:evenVBand="0" w:oddHBand="1" w:evenHBand="0" w:firstRowFirstColumn="0" w:firstRowLastColumn="0" w:lastRowFirstColumn="0" w:lastRowLastColumn="0"/>
            </w:pPr>
            <w:r w:rsidRPr="00D43D17">
              <w:t xml:space="preserve"> 20%</w:t>
            </w:r>
          </w:p>
        </w:tc>
      </w:tr>
      <w:bookmarkEnd w:id="29"/>
      <w:bookmarkEnd w:id="30"/>
      <w:bookmarkEnd w:id="31"/>
    </w:tbl>
    <w:p w14:paraId="79C2A816" w14:textId="77777777" w:rsidR="003F6147" w:rsidRPr="00D43D17" w:rsidRDefault="003F6147" w:rsidP="00D6111C">
      <w:pPr>
        <w:ind w:left="720"/>
        <w:rPr>
          <w:szCs w:val="22"/>
        </w:rPr>
      </w:pPr>
    </w:p>
    <w:p w14:paraId="0F0E848C" w14:textId="77777777" w:rsidR="00490F13" w:rsidRPr="00D43D17" w:rsidRDefault="00490F13" w:rsidP="00D6111C">
      <w:pPr>
        <w:numPr>
          <w:ilvl w:val="0"/>
          <w:numId w:val="81"/>
        </w:numPr>
        <w:rPr>
          <w:b/>
          <w:szCs w:val="22"/>
        </w:rPr>
      </w:pPr>
      <w:r w:rsidRPr="00D43D17">
        <w:rPr>
          <w:b/>
        </w:rPr>
        <w:t>Match Funding Requirement</w:t>
      </w:r>
    </w:p>
    <w:p w14:paraId="79B7A1C3" w14:textId="264E18F1" w:rsidR="00490F13" w:rsidRPr="00D43D17" w:rsidRDefault="00490F13" w:rsidP="00D6111C">
      <w:pPr>
        <w:rPr>
          <w:szCs w:val="22"/>
        </w:rPr>
      </w:pPr>
      <w:r w:rsidRPr="00D43D17">
        <w:rPr>
          <w:szCs w:val="22"/>
        </w:rPr>
        <w:t xml:space="preserve">Applications must include a minimum </w:t>
      </w:r>
      <w:r w:rsidR="00365A6E" w:rsidRPr="00D43D17">
        <w:rPr>
          <w:szCs w:val="22"/>
        </w:rPr>
        <w:t>20%</w:t>
      </w:r>
      <w:r w:rsidRPr="00D43D17">
        <w:rPr>
          <w:szCs w:val="22"/>
        </w:rPr>
        <w:t xml:space="preserve"> total match share percentage for this solicitation. </w:t>
      </w:r>
    </w:p>
    <w:p w14:paraId="14C5A377" w14:textId="77777777" w:rsidR="00490F13" w:rsidRPr="00D43D17" w:rsidRDefault="00490F13" w:rsidP="00D6111C">
      <w:pPr>
        <w:rPr>
          <w:szCs w:val="22"/>
        </w:rPr>
      </w:pPr>
      <w:r w:rsidRPr="00D43D17">
        <w:rPr>
          <w:szCs w:val="22"/>
        </w:rPr>
        <w:t xml:space="preserve">Total match share percentage is calculated by dividing the total match share contributions by the total </w:t>
      </w:r>
      <w:bookmarkStart w:id="43" w:name="_Hlk174708707"/>
      <w:r w:rsidRPr="00D43D17">
        <w:rPr>
          <w:szCs w:val="22"/>
        </w:rPr>
        <w:t>CEC funds requested plus total match share contributions</w:t>
      </w:r>
      <w:bookmarkEnd w:id="43"/>
      <w:r w:rsidRPr="00D43D17">
        <w:rPr>
          <w:szCs w:val="22"/>
        </w:rPr>
        <w:t xml:space="preserve">: </w:t>
      </w:r>
    </w:p>
    <w:p w14:paraId="5177E57F" w14:textId="5652FDAD" w:rsidR="00490F13" w:rsidRPr="00D43D17" w:rsidRDefault="00000000" w:rsidP="00D6111C">
      <w:pPr>
        <w:pBdr>
          <w:top w:val="single" w:sz="4" w:space="1" w:color="auto"/>
          <w:left w:val="single" w:sz="4" w:space="4" w:color="auto"/>
          <w:bottom w:val="single" w:sz="4" w:space="1" w:color="auto"/>
          <w:right w:val="single" w:sz="4" w:space="4" w:color="auto"/>
        </w:pBd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num>
          <m:den>
            <m:r>
              <m:rPr>
                <m:sty m:val="bi"/>
              </m:rPr>
              <w:rPr>
                <w:rFonts w:ascii="Cambria Math" w:hAnsi="Cambria Math"/>
                <w:sz w:val="24"/>
                <w:szCs w:val="22"/>
              </w:rPr>
              <m:t>CEC</m:t>
            </m:r>
            <m:r>
              <m:rPr>
                <m:sty m:val="bi"/>
              </m:rPr>
              <w:rPr>
                <w:rFonts w:ascii="Cambria Math" w:hAnsi="Cambria Math"/>
                <w:sz w:val="24"/>
                <w:szCs w:val="22"/>
              </w:rPr>
              <m:t xml:space="preserve"> </m:t>
            </m:r>
            <m:r>
              <m:rPr>
                <m:sty m:val="bi"/>
              </m:rPr>
              <w:rPr>
                <w:rFonts w:ascii="Cambria Math" w:hAnsi="Cambria Math"/>
                <w:sz w:val="24"/>
                <w:szCs w:val="22"/>
              </w:rPr>
              <m:t>Funds</m:t>
            </m:r>
            <m:r>
              <m:rPr>
                <m:sty m:val="bi"/>
              </m:rPr>
              <w:rPr>
                <w:rFonts w:ascii="Cambria Math" w:hAnsi="Cambria Math"/>
                <w:sz w:val="24"/>
                <w:szCs w:val="22"/>
              </w:rPr>
              <m:t xml:space="preserve"> </m:t>
            </m:r>
            <m:r>
              <m:rPr>
                <m:sty m:val="bi"/>
              </m:rPr>
              <w:rPr>
                <w:rFonts w:ascii="Cambria Math" w:hAnsi="Cambria Math"/>
                <w:sz w:val="24"/>
                <w:szCs w:val="22"/>
              </w:rPr>
              <m:t>Requested</m:t>
            </m:r>
            <m:r>
              <m:rPr>
                <m:sty m:val="bi"/>
              </m:rPr>
              <w:rPr>
                <w:rFonts w:ascii="Cambria Math" w:hAnsi="Cambria Math"/>
                <w:sz w:val="24"/>
                <w:szCs w:val="22"/>
              </w:rPr>
              <m:t xml:space="preserve">+ </m:t>
            </m:r>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den>
        </m:f>
      </m:oMath>
      <w:r w:rsidR="00490F13" w:rsidRPr="00D43D17">
        <w:t xml:space="preserve"> </w:t>
      </w:r>
      <w:r w:rsidR="00490F13" w:rsidRPr="00D43D17">
        <w:rPr>
          <w:sz w:val="18"/>
          <w:szCs w:val="16"/>
        </w:rPr>
        <w:t>X 100 = Total Match Share percentage</w:t>
      </w:r>
    </w:p>
    <w:p w14:paraId="7FAC1991" w14:textId="77777777" w:rsidR="00490F13" w:rsidRPr="00D43D17" w:rsidRDefault="00490F13" w:rsidP="00D6111C">
      <w:pPr>
        <w:rPr>
          <w:szCs w:val="22"/>
        </w:rPr>
      </w:pPr>
      <w:r w:rsidRPr="00D43D17">
        <w:rPr>
          <w:szCs w:val="22"/>
        </w:rPr>
        <w:t>For the definition of match funding see Section I K.</w:t>
      </w:r>
    </w:p>
    <w:p w14:paraId="6CA053A9" w14:textId="77777777" w:rsidR="00490F13" w:rsidRPr="00D43D17" w:rsidRDefault="00490F13" w:rsidP="00D6111C">
      <w:pPr>
        <w:ind w:left="720"/>
        <w:rPr>
          <w:szCs w:val="22"/>
        </w:rPr>
      </w:pPr>
    </w:p>
    <w:p w14:paraId="4A1AB468" w14:textId="77777777" w:rsidR="003F6147" w:rsidRPr="00D43D17" w:rsidRDefault="003F6147" w:rsidP="00D6111C">
      <w:pPr>
        <w:numPr>
          <w:ilvl w:val="0"/>
          <w:numId w:val="81"/>
        </w:numPr>
        <w:tabs>
          <w:tab w:val="num" w:pos="360"/>
        </w:tabs>
      </w:pPr>
      <w:r w:rsidRPr="00D43D17">
        <w:rPr>
          <w:b/>
        </w:rPr>
        <w:t>Change in Funding Amount</w:t>
      </w:r>
    </w:p>
    <w:p w14:paraId="7D87DD82" w14:textId="5D1AB058" w:rsidR="003F6147" w:rsidRPr="00D43D17" w:rsidRDefault="003F6147" w:rsidP="00D6111C">
      <w:pPr>
        <w:tabs>
          <w:tab w:val="left" w:pos="1170"/>
        </w:tabs>
        <w:rPr>
          <w:szCs w:val="22"/>
        </w:rPr>
      </w:pPr>
      <w:r w:rsidRPr="00D43D17">
        <w:rPr>
          <w:szCs w:val="22"/>
        </w:rPr>
        <w:t>Along with any other rights and remedies available to it, the CEC reserves the right to:</w:t>
      </w:r>
    </w:p>
    <w:p w14:paraId="6049BB5C" w14:textId="22420D2C" w:rsidR="003F6147" w:rsidRPr="00D43D17" w:rsidRDefault="003F6147" w:rsidP="00D6111C">
      <w:pPr>
        <w:numPr>
          <w:ilvl w:val="0"/>
          <w:numId w:val="84"/>
        </w:numPr>
        <w:spacing w:after="0"/>
        <w:ind w:left="720"/>
      </w:pPr>
      <w:r w:rsidRPr="00D43D17">
        <w:t>Increase or decrease the available funding and the minimum/maximum</w:t>
      </w:r>
      <w:r w:rsidR="003660B1" w:rsidRPr="00D43D17">
        <w:t xml:space="preserve"> grant</w:t>
      </w:r>
      <w:r w:rsidRPr="00D43D17">
        <w:t xml:space="preserve"> award amounts described in this section.</w:t>
      </w:r>
    </w:p>
    <w:p w14:paraId="07A5B16F" w14:textId="77777777" w:rsidR="003F6147" w:rsidRPr="00D43D17" w:rsidRDefault="003F6147" w:rsidP="00D6111C">
      <w:pPr>
        <w:numPr>
          <w:ilvl w:val="0"/>
          <w:numId w:val="84"/>
        </w:numPr>
        <w:spacing w:after="0"/>
        <w:ind w:left="720"/>
      </w:pPr>
      <w:r w:rsidRPr="00D43D17">
        <w:lastRenderedPageBreak/>
        <w:t>Allocate any additional or unawarded funds to passing applications, in rank order.</w:t>
      </w:r>
    </w:p>
    <w:p w14:paraId="592350D8" w14:textId="1E9957CE" w:rsidR="00BE61C9" w:rsidRPr="00D43D17" w:rsidRDefault="005B073B" w:rsidP="00D6111C">
      <w:pPr>
        <w:numPr>
          <w:ilvl w:val="0"/>
          <w:numId w:val="84"/>
        </w:numPr>
        <w:spacing w:after="0"/>
        <w:ind w:left="720"/>
      </w:pPr>
      <w:r w:rsidRPr="00D43D17">
        <w:t>Reallocate funding between any of the groups</w:t>
      </w:r>
      <w:bookmarkStart w:id="44" w:name="_Hlk81922666"/>
    </w:p>
    <w:p w14:paraId="7A94B035" w14:textId="2337849C" w:rsidR="005B073B" w:rsidRPr="00D43D17" w:rsidRDefault="00BE61C9" w:rsidP="00D6111C">
      <w:pPr>
        <w:numPr>
          <w:ilvl w:val="0"/>
          <w:numId w:val="84"/>
        </w:numPr>
        <w:spacing w:after="0"/>
        <w:ind w:left="720"/>
      </w:pPr>
      <w:r w:rsidRPr="00D43D17">
        <w:t xml:space="preserve">Aggregate funds from multiple groups to fully fund the highest ranked passing applications, regardless of group.  </w:t>
      </w:r>
      <w:r w:rsidRPr="00D43D17">
        <w:rPr>
          <w:i/>
          <w:iCs/>
        </w:rPr>
        <w:t>(if applicable)</w:t>
      </w:r>
      <w:bookmarkEnd w:id="44"/>
    </w:p>
    <w:p w14:paraId="3538ECFF" w14:textId="58622227" w:rsidR="003F6147" w:rsidRPr="00D43D17" w:rsidRDefault="003F6147" w:rsidP="00D6111C">
      <w:pPr>
        <w:numPr>
          <w:ilvl w:val="0"/>
          <w:numId w:val="84"/>
        </w:numPr>
        <w:spacing w:after="0"/>
        <w:ind w:left="720"/>
      </w:pPr>
      <w:r w:rsidRPr="00D43D17">
        <w:t>Reduce funding to an</w:t>
      </w:r>
      <w:r w:rsidR="005378F3" w:rsidRPr="00D43D17">
        <w:t xml:space="preserve"> appropriate</w:t>
      </w:r>
      <w:r w:rsidRPr="00D43D17">
        <w:t xml:space="preserve"> amount if the budgeted funds do not provide full funding for agreements.  In this event, the </w:t>
      </w:r>
      <w:r w:rsidR="00534CD0" w:rsidRPr="00D43D17">
        <w:t>proposed grant r</w:t>
      </w:r>
      <w:r w:rsidRPr="00D43D17">
        <w:t xml:space="preserve">ecipient and Commission Agreement Manager </w:t>
      </w:r>
      <w:r w:rsidR="00534CD0" w:rsidRPr="00D43D17">
        <w:t xml:space="preserve">(CAM) </w:t>
      </w:r>
      <w:r w:rsidRPr="00D43D17">
        <w:t xml:space="preserve">will </w:t>
      </w:r>
      <w:r w:rsidR="000A64C4" w:rsidRPr="00D43D17">
        <w:t xml:space="preserve">attempt to </w:t>
      </w:r>
      <w:r w:rsidRPr="00D43D17">
        <w:t>reach agreement on a reduced Scope of Work commensurate with available funding.</w:t>
      </w:r>
    </w:p>
    <w:p w14:paraId="63E8C355" w14:textId="77777777" w:rsidR="003F6147" w:rsidRPr="00D43D17" w:rsidRDefault="003F6147" w:rsidP="00D6111C">
      <w:pPr>
        <w:spacing w:after="0"/>
        <w:ind w:left="720"/>
      </w:pPr>
    </w:p>
    <w:p w14:paraId="739A85C4" w14:textId="77777777" w:rsidR="003F6147" w:rsidRPr="00D43D17" w:rsidRDefault="003F6147" w:rsidP="00D6111C">
      <w:pPr>
        <w:pStyle w:val="Heading2"/>
        <w:numPr>
          <w:ilvl w:val="0"/>
          <w:numId w:val="85"/>
        </w:numPr>
      </w:pPr>
      <w:bookmarkStart w:id="45" w:name="_Toc458602325"/>
      <w:bookmarkStart w:id="46" w:name="_Toc143172703"/>
      <w:r w:rsidRPr="00D43D17">
        <w:t>Key Activities Schedule</w:t>
      </w:r>
      <w:bookmarkEnd w:id="45"/>
      <w:bookmarkEnd w:id="46"/>
    </w:p>
    <w:p w14:paraId="0A0AB401" w14:textId="77777777" w:rsidR="003F6147" w:rsidRPr="00D43D17" w:rsidRDefault="003F6147" w:rsidP="00D6111C">
      <w:pPr>
        <w:spacing w:after="0"/>
      </w:pPr>
      <w:r w:rsidRPr="00D43D17">
        <w:t xml:space="preserve">Key activities, dates, and times for this solicitation and for agreements resulting from this solicitation are presented below.  An addendum will be released if the dates change for activities that appear in </w:t>
      </w:r>
      <w:r w:rsidRPr="00D43D17">
        <w:rPr>
          <w:b/>
        </w:rPr>
        <w:t>bold.</w:t>
      </w:r>
    </w:p>
    <w:p w14:paraId="5A5A05BE" w14:textId="77777777" w:rsidR="000A3D9F" w:rsidRPr="00D43D17" w:rsidRDefault="000A3D9F" w:rsidP="00D6111C">
      <w:pPr>
        <w:spacing w:after="0"/>
        <w:rPr>
          <w:b/>
        </w:rPr>
      </w:pPr>
    </w:p>
    <w:p w14:paraId="7CF2FADE" w14:textId="77777777" w:rsidR="002816DD" w:rsidRPr="00D43D17" w:rsidRDefault="002816DD" w:rsidP="00D6111C"/>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665"/>
        <w:gridCol w:w="2345"/>
        <w:gridCol w:w="1800"/>
      </w:tblGrid>
      <w:tr w:rsidR="00D43D17" w:rsidRPr="00D43D17" w14:paraId="6B4DE808" w14:textId="77777777" w:rsidTr="007D12BA">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665" w:type="dxa"/>
          </w:tcPr>
          <w:p w14:paraId="6F449126" w14:textId="77777777" w:rsidR="00A511B4" w:rsidRPr="00D43D17" w:rsidRDefault="00A511B4" w:rsidP="00D6111C">
            <w:pPr>
              <w:keepNext/>
              <w:keepLines/>
              <w:widowControl w:val="0"/>
              <w:rPr>
                <w:b w:val="0"/>
                <w:szCs w:val="22"/>
              </w:rPr>
            </w:pPr>
            <w:r w:rsidRPr="00D43D17">
              <w:rPr>
                <w:szCs w:val="22"/>
              </w:rPr>
              <w:t>ACTIVITY</w:t>
            </w:r>
          </w:p>
        </w:tc>
        <w:tc>
          <w:tcPr>
            <w:tcW w:w="2345" w:type="dxa"/>
          </w:tcPr>
          <w:p w14:paraId="34816142" w14:textId="77777777" w:rsidR="00A511B4" w:rsidRPr="00D43D17" w:rsidRDefault="00A511B4" w:rsidP="00D6111C">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D43D17">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D43D17" w:rsidDel="00D53B51" w:rsidRDefault="00A511B4" w:rsidP="00D6111C">
            <w:pPr>
              <w:keepNext/>
              <w:keepLines/>
              <w:widowControl w:val="0"/>
              <w:spacing w:after="0"/>
              <w:rPr>
                <w:b w:val="0"/>
                <w:szCs w:val="22"/>
              </w:rPr>
            </w:pPr>
            <w:r w:rsidRPr="00D43D17">
              <w:rPr>
                <w:szCs w:val="22"/>
              </w:rPr>
              <w:t>TIME</w:t>
            </w:r>
            <w:r w:rsidRPr="00D43D17">
              <w:rPr>
                <w:rFonts w:cs="Times New Roman"/>
                <w:szCs w:val="22"/>
                <w:vertAlign w:val="superscript"/>
              </w:rPr>
              <w:footnoteReference w:id="9"/>
            </w:r>
            <w:r w:rsidRPr="00D43D17">
              <w:rPr>
                <w:szCs w:val="22"/>
              </w:rPr>
              <w:t xml:space="preserve"> </w:t>
            </w:r>
          </w:p>
        </w:tc>
      </w:tr>
      <w:tr w:rsidR="00D43D17" w:rsidRPr="00D43D17" w14:paraId="00CC20E0" w14:textId="77777777" w:rsidTr="007D12BA">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665" w:type="dxa"/>
          </w:tcPr>
          <w:p w14:paraId="26CB769D" w14:textId="77777777" w:rsidR="00F163BD" w:rsidRPr="00D43D17" w:rsidRDefault="00F163BD" w:rsidP="00D6111C">
            <w:pPr>
              <w:keepNext/>
              <w:keepLines/>
              <w:widowControl w:val="0"/>
              <w:rPr>
                <w:szCs w:val="22"/>
              </w:rPr>
            </w:pPr>
            <w:r w:rsidRPr="00D43D17">
              <w:rPr>
                <w:szCs w:val="22"/>
              </w:rPr>
              <w:t>Solicitation Release</w:t>
            </w:r>
          </w:p>
        </w:tc>
        <w:tc>
          <w:tcPr>
            <w:tcW w:w="2345" w:type="dxa"/>
          </w:tcPr>
          <w:p w14:paraId="66923AAD" w14:textId="733D2DA1" w:rsidR="00F163BD" w:rsidRPr="00D43D17" w:rsidRDefault="00F163BD" w:rsidP="00D6111C">
            <w:pPr>
              <w:keepNext/>
              <w:keepLines/>
              <w:widowControl w:val="0"/>
              <w:cnfStyle w:val="000000100000" w:firstRow="0" w:lastRow="0" w:firstColumn="0" w:lastColumn="0" w:oddVBand="0" w:evenVBand="0" w:oddHBand="1" w:evenHBand="0" w:firstRowFirstColumn="0" w:firstRowLastColumn="0" w:lastRowFirstColumn="0" w:lastRowLastColumn="0"/>
            </w:pPr>
            <w:r w:rsidRPr="00D43D17">
              <w:rPr>
                <w:szCs w:val="22"/>
              </w:rPr>
              <w:t xml:space="preserve">October </w:t>
            </w:r>
            <w:r w:rsidR="0022461C">
              <w:rPr>
                <w:szCs w:val="22"/>
              </w:rPr>
              <w:t>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F163BD" w:rsidRPr="00D43D17" w:rsidRDefault="00F163BD" w:rsidP="00D6111C">
            <w:pPr>
              <w:keepNext/>
              <w:keepLines/>
              <w:widowControl w:val="0"/>
              <w:rPr>
                <w:szCs w:val="22"/>
              </w:rPr>
            </w:pPr>
          </w:p>
        </w:tc>
      </w:tr>
      <w:tr w:rsidR="00D43D17" w:rsidRPr="00D43D17" w14:paraId="42C05F9F" w14:textId="77777777" w:rsidTr="007D12BA">
        <w:trPr>
          <w:trHeight w:hRule="exact" w:val="325"/>
        </w:trPr>
        <w:tc>
          <w:tcPr>
            <w:cnfStyle w:val="000010000000" w:firstRow="0" w:lastRow="0" w:firstColumn="0" w:lastColumn="0" w:oddVBand="1" w:evenVBand="0" w:oddHBand="0" w:evenHBand="0" w:firstRowFirstColumn="0" w:firstRowLastColumn="0" w:lastRowFirstColumn="0" w:lastRowLastColumn="0"/>
            <w:tcW w:w="5665" w:type="dxa"/>
          </w:tcPr>
          <w:p w14:paraId="3215EA9F" w14:textId="302CD1CD" w:rsidR="00AA19C0" w:rsidRPr="00D43D17" w:rsidRDefault="00AA19C0" w:rsidP="00D6111C">
            <w:pPr>
              <w:keepNext/>
              <w:keepLines/>
              <w:widowControl w:val="0"/>
              <w:rPr>
                <w:b/>
                <w:szCs w:val="22"/>
              </w:rPr>
            </w:pPr>
            <w:r w:rsidRPr="00D43D17">
              <w:rPr>
                <w:b/>
                <w:szCs w:val="22"/>
              </w:rPr>
              <w:t>Pre-Application Workshop</w:t>
            </w:r>
          </w:p>
        </w:tc>
        <w:tc>
          <w:tcPr>
            <w:tcW w:w="2345" w:type="dxa"/>
          </w:tcPr>
          <w:p w14:paraId="0DD6A6EA" w14:textId="3D11DC68" w:rsidR="00AA19C0" w:rsidRPr="00D43D17"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rPr>
                <w:b/>
                <w:szCs w:val="22"/>
              </w:rPr>
            </w:pPr>
            <w:r w:rsidRPr="00D43D17">
              <w:rPr>
                <w:szCs w:val="22"/>
              </w:rPr>
              <w:t xml:space="preserve">October </w:t>
            </w:r>
            <w:r w:rsidR="00DF30DB">
              <w:rPr>
                <w:szCs w:val="22"/>
              </w:rPr>
              <w:t>28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27D5958B" w:rsidR="00AA19C0" w:rsidRPr="00D43D17" w:rsidRDefault="00AA19C0" w:rsidP="00D6111C">
            <w:pPr>
              <w:keepNext/>
              <w:keepLines/>
              <w:widowControl w:val="0"/>
              <w:rPr>
                <w:b/>
                <w:szCs w:val="22"/>
              </w:rPr>
            </w:pPr>
            <w:r w:rsidRPr="00D43D17">
              <w:rPr>
                <w:b/>
                <w:szCs w:val="22"/>
              </w:rPr>
              <w:t>10:00 a.m.</w:t>
            </w:r>
          </w:p>
        </w:tc>
      </w:tr>
      <w:tr w:rsidR="00D43D17" w:rsidRPr="00D43D17" w14:paraId="5055D2CF" w14:textId="77777777" w:rsidTr="007D12BA">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665" w:type="dxa"/>
          </w:tcPr>
          <w:p w14:paraId="6921206A" w14:textId="77777777" w:rsidR="00AA19C0" w:rsidRPr="00D43D17" w:rsidRDefault="00AA19C0" w:rsidP="00D6111C">
            <w:pPr>
              <w:keepNext/>
              <w:keepLines/>
              <w:widowControl w:val="0"/>
              <w:rPr>
                <w:b/>
                <w:szCs w:val="22"/>
              </w:rPr>
            </w:pPr>
            <w:r w:rsidRPr="00D43D17">
              <w:rPr>
                <w:b/>
                <w:szCs w:val="22"/>
              </w:rPr>
              <w:t>Deadline for Written Questions</w:t>
            </w:r>
            <w:r w:rsidRPr="00D43D17">
              <w:rPr>
                <w:rFonts w:cs="Times New Roman"/>
                <w:b/>
                <w:szCs w:val="22"/>
                <w:u w:val="single"/>
                <w:vertAlign w:val="superscript"/>
              </w:rPr>
              <w:footnoteReference w:id="10"/>
            </w:r>
          </w:p>
        </w:tc>
        <w:tc>
          <w:tcPr>
            <w:tcW w:w="2345" w:type="dxa"/>
          </w:tcPr>
          <w:p w14:paraId="36E5718D" w14:textId="508141AB" w:rsidR="00AA19C0" w:rsidRPr="00D43D17" w:rsidRDefault="004B66AF" w:rsidP="00D6111C">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D43D17">
              <w:rPr>
                <w:szCs w:val="22"/>
              </w:rPr>
              <w:t>Novem</w:t>
            </w:r>
            <w:r w:rsidR="00AA19C0" w:rsidRPr="00D43D17">
              <w:rPr>
                <w:szCs w:val="22"/>
              </w:rPr>
              <w:t xml:space="preserve">ber </w:t>
            </w:r>
            <w:r w:rsidR="00DF30DB">
              <w:rPr>
                <w:szCs w:val="22"/>
              </w:rPr>
              <w:t>7</w:t>
            </w:r>
            <w:r w:rsidR="00AA19C0"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A19C0" w:rsidRPr="00D43D17" w:rsidRDefault="00AA19C0" w:rsidP="00D6111C">
            <w:pPr>
              <w:keepNext/>
              <w:keepLines/>
              <w:widowControl w:val="0"/>
              <w:rPr>
                <w:b/>
                <w:szCs w:val="22"/>
              </w:rPr>
            </w:pPr>
            <w:r w:rsidRPr="00D43D17">
              <w:rPr>
                <w:b/>
                <w:szCs w:val="22"/>
              </w:rPr>
              <w:t>5:00 p.m.</w:t>
            </w:r>
          </w:p>
        </w:tc>
      </w:tr>
      <w:tr w:rsidR="00D43D17" w:rsidRPr="00D43D17" w14:paraId="596EC8A6" w14:textId="77777777" w:rsidTr="00B008D0">
        <w:trPr>
          <w:trHeight w:hRule="exact" w:val="910"/>
        </w:trPr>
        <w:tc>
          <w:tcPr>
            <w:cnfStyle w:val="000010000000" w:firstRow="0" w:lastRow="0" w:firstColumn="0" w:lastColumn="0" w:oddVBand="1" w:evenVBand="0" w:oddHBand="0" w:evenHBand="0" w:firstRowFirstColumn="0" w:firstRowLastColumn="0" w:lastRowFirstColumn="0" w:lastRowLastColumn="0"/>
            <w:tcW w:w="5665" w:type="dxa"/>
          </w:tcPr>
          <w:p w14:paraId="07853ABA" w14:textId="470AF4C8" w:rsidR="00AA19C0" w:rsidRPr="00D43D17" w:rsidRDefault="00AA19C0" w:rsidP="00D6111C">
            <w:pPr>
              <w:widowControl w:val="0"/>
              <w:spacing w:after="0"/>
              <w:rPr>
                <w:szCs w:val="22"/>
              </w:rPr>
            </w:pPr>
            <w:r w:rsidRPr="00D43D17">
              <w:rPr>
                <w:szCs w:val="22"/>
              </w:rPr>
              <w:t>Anticipated Distribution of Questions and Answers</w:t>
            </w:r>
          </w:p>
        </w:tc>
        <w:tc>
          <w:tcPr>
            <w:tcW w:w="2345" w:type="dxa"/>
          </w:tcPr>
          <w:p w14:paraId="1D2A97C9" w14:textId="41421E98" w:rsidR="00197B4F" w:rsidRPr="00B008D0" w:rsidRDefault="00AA19C0" w:rsidP="00D6111C">
            <w:pPr>
              <w:keepNext/>
              <w:keepLines/>
              <w:widowControl w:val="0"/>
              <w:cnfStyle w:val="000000000000" w:firstRow="0" w:lastRow="0" w:firstColumn="0" w:lastColumn="0" w:oddVBand="0" w:evenVBand="0" w:oddHBand="0" w:evenHBand="0" w:firstRowFirstColumn="0" w:firstRowLastColumn="0" w:lastRowFirstColumn="0" w:lastRowLastColumn="0"/>
              <w:rPr>
                <w:b/>
                <w:bCs/>
                <w:strike/>
                <w:szCs w:val="22"/>
                <w:u w:val="single"/>
              </w:rPr>
            </w:pPr>
            <w:r w:rsidRPr="00D43D17">
              <w:rPr>
                <w:szCs w:val="22"/>
              </w:rPr>
              <w:t xml:space="preserve">Week of </w:t>
            </w:r>
            <w:r w:rsidR="00E1154C">
              <w:rPr>
                <w:szCs w:val="22"/>
              </w:rPr>
              <w:t>[</w:t>
            </w:r>
            <w:r w:rsidR="00DF30DB" w:rsidRPr="00197B4F">
              <w:rPr>
                <w:strike/>
                <w:szCs w:val="22"/>
              </w:rPr>
              <w:t>Nove</w:t>
            </w:r>
            <w:r w:rsidRPr="00197B4F">
              <w:rPr>
                <w:strike/>
                <w:szCs w:val="22"/>
              </w:rPr>
              <w:t>mber 1</w:t>
            </w:r>
            <w:r w:rsidR="00DF30DB" w:rsidRPr="00197B4F">
              <w:rPr>
                <w:strike/>
                <w:szCs w:val="22"/>
              </w:rPr>
              <w:t>7</w:t>
            </w:r>
            <w:r w:rsidRPr="00197B4F">
              <w:rPr>
                <w:strike/>
                <w:szCs w:val="22"/>
              </w:rPr>
              <w:t>, 2025</w:t>
            </w:r>
            <w:r w:rsidR="00881C10" w:rsidRPr="00995503">
              <w:rPr>
                <w:szCs w:val="22"/>
              </w:rPr>
              <w:t>]</w:t>
            </w:r>
            <w:r w:rsidR="00197B4F">
              <w:rPr>
                <w:strike/>
                <w:szCs w:val="22"/>
              </w:rPr>
              <w:t xml:space="preserve"> </w:t>
            </w:r>
            <w:r w:rsidR="0097491A">
              <w:rPr>
                <w:strike/>
                <w:szCs w:val="22"/>
              </w:rPr>
              <w:br/>
            </w:r>
            <w:r w:rsidR="00197B4F" w:rsidRPr="0097491A">
              <w:rPr>
                <w:b/>
                <w:bCs/>
                <w:szCs w:val="22"/>
                <w:u w:val="single"/>
              </w:rPr>
              <w:t>December</w:t>
            </w:r>
            <w:r w:rsidR="0097491A" w:rsidRPr="0097491A">
              <w:rPr>
                <w:b/>
                <w:bCs/>
                <w:szCs w:val="22"/>
                <w:u w:val="single"/>
              </w:rPr>
              <w:t xml:space="preserve"> 1, 2025</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A19C0" w:rsidRPr="00D43D17" w:rsidRDefault="00AA19C0" w:rsidP="00D6111C">
            <w:pPr>
              <w:keepNext/>
              <w:keepLines/>
              <w:widowControl w:val="0"/>
              <w:rPr>
                <w:szCs w:val="22"/>
              </w:rPr>
            </w:pPr>
          </w:p>
        </w:tc>
      </w:tr>
      <w:tr w:rsidR="00D43D17" w:rsidRPr="00D43D17" w14:paraId="41AE3B9A" w14:textId="77777777" w:rsidTr="007D12BA">
        <w:trPr>
          <w:cnfStyle w:val="000000100000" w:firstRow="0" w:lastRow="0" w:firstColumn="0" w:lastColumn="0" w:oddVBand="0" w:evenVBand="0" w:oddHBand="1" w:evenHBand="0" w:firstRowFirstColumn="0" w:firstRowLastColumn="0" w:lastRowFirstColumn="0" w:lastRowLastColumn="0"/>
          <w:trHeight w:hRule="exact" w:val="622"/>
        </w:trPr>
        <w:tc>
          <w:tcPr>
            <w:cnfStyle w:val="000010000000" w:firstRow="0" w:lastRow="0" w:firstColumn="0" w:lastColumn="0" w:oddVBand="1" w:evenVBand="0" w:oddHBand="0" w:evenHBand="0" w:firstRowFirstColumn="0" w:firstRowLastColumn="0" w:lastRowFirstColumn="0" w:lastRowLastColumn="0"/>
            <w:tcW w:w="5665" w:type="dxa"/>
          </w:tcPr>
          <w:p w14:paraId="57930E8C" w14:textId="1CC166EC" w:rsidR="00AA19C0" w:rsidRPr="00D43D17" w:rsidRDefault="00AA19C0" w:rsidP="00D6111C">
            <w:pPr>
              <w:keepNext/>
              <w:keepLines/>
              <w:widowControl w:val="0"/>
              <w:rPr>
                <w:b/>
                <w:szCs w:val="22"/>
              </w:rPr>
            </w:pPr>
            <w:r w:rsidRPr="00D43D17">
              <w:rPr>
                <w:b/>
                <w:szCs w:val="22"/>
              </w:rPr>
              <w:t>Support for Application Submission in ECAMS</w:t>
            </w:r>
          </w:p>
        </w:tc>
        <w:tc>
          <w:tcPr>
            <w:tcW w:w="2345" w:type="dxa"/>
          </w:tcPr>
          <w:p w14:paraId="3FA1E468" w14:textId="2E554EE0" w:rsidR="00AA19C0" w:rsidRPr="00D43D17" w:rsidRDefault="00881C10" w:rsidP="00D6111C">
            <w:pPr>
              <w:keepNext/>
              <w:keepLines/>
              <w:widowControl w:val="0"/>
              <w:cnfStyle w:val="000000100000" w:firstRow="0" w:lastRow="0" w:firstColumn="0" w:lastColumn="0" w:oddVBand="0" w:evenVBand="0" w:oddHBand="1" w:evenHBand="0" w:firstRowFirstColumn="0" w:firstRowLastColumn="0" w:lastRowFirstColumn="0" w:lastRowLastColumn="0"/>
              <w:rPr>
                <w:b/>
                <w:szCs w:val="22"/>
              </w:rPr>
            </w:pPr>
            <w:r w:rsidRPr="00995503">
              <w:rPr>
                <w:bCs/>
                <w:szCs w:val="22"/>
              </w:rPr>
              <w:t>[</w:t>
            </w:r>
            <w:r w:rsidR="00AA19C0" w:rsidRPr="000C642F">
              <w:rPr>
                <w:bCs/>
                <w:strike/>
                <w:szCs w:val="22"/>
              </w:rPr>
              <w:t>December 1</w:t>
            </w:r>
            <w:r w:rsidR="00DF30DB" w:rsidRPr="000C642F">
              <w:rPr>
                <w:bCs/>
                <w:strike/>
                <w:szCs w:val="22"/>
              </w:rPr>
              <w:t>8</w:t>
            </w:r>
            <w:r w:rsidR="00AA19C0" w:rsidRPr="000C642F">
              <w:rPr>
                <w:bCs/>
                <w:strike/>
                <w:szCs w:val="22"/>
              </w:rPr>
              <w:t>, 2025</w:t>
            </w:r>
            <w:r w:rsidRPr="00995503">
              <w:rPr>
                <w:bCs/>
                <w:szCs w:val="22"/>
              </w:rPr>
              <w:t>]</w:t>
            </w:r>
            <w:r w:rsidR="007D12BA" w:rsidRPr="000C642F">
              <w:rPr>
                <w:bCs/>
                <w:strike/>
                <w:szCs w:val="22"/>
              </w:rPr>
              <w:br/>
            </w:r>
            <w:r w:rsidR="007D12BA" w:rsidRPr="000C642F">
              <w:rPr>
                <w:b/>
                <w:szCs w:val="22"/>
                <w:u w:val="single"/>
              </w:rPr>
              <w:t xml:space="preserve">January </w:t>
            </w:r>
            <w:r w:rsidR="004D5288">
              <w:rPr>
                <w:b/>
                <w:szCs w:val="22"/>
                <w:u w:val="single"/>
              </w:rPr>
              <w:t>30</w:t>
            </w:r>
            <w:r w:rsidR="007D12BA" w:rsidRPr="000C642F">
              <w:rPr>
                <w:b/>
                <w:szCs w:val="22"/>
                <w:u w:val="single"/>
              </w:rPr>
              <w:t>, 202</w:t>
            </w:r>
            <w:r w:rsidR="000C642F" w:rsidRPr="000C642F">
              <w:rPr>
                <w:b/>
                <w:szCs w:val="22"/>
                <w:u w:val="single"/>
              </w:rPr>
              <w:t>6</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AA19C0" w:rsidRPr="00D43D17" w:rsidRDefault="00AA19C0" w:rsidP="00D6111C">
            <w:pPr>
              <w:keepNext/>
              <w:keepLines/>
              <w:widowControl w:val="0"/>
              <w:rPr>
                <w:b/>
                <w:szCs w:val="22"/>
              </w:rPr>
            </w:pPr>
            <w:r w:rsidRPr="00D43D17">
              <w:rPr>
                <w:b/>
                <w:szCs w:val="22"/>
              </w:rPr>
              <w:t>5:00 p.m.</w:t>
            </w:r>
            <w:r w:rsidRPr="00D43D17">
              <w:rPr>
                <w:rStyle w:val="FootnoteReference"/>
                <w:b/>
                <w:szCs w:val="22"/>
              </w:rPr>
              <w:footnoteReference w:id="11"/>
            </w:r>
          </w:p>
        </w:tc>
      </w:tr>
      <w:tr w:rsidR="00D43D17" w:rsidRPr="00D43D17" w14:paraId="60FA0B14" w14:textId="77777777" w:rsidTr="007D12BA">
        <w:trPr>
          <w:trHeight w:hRule="exact" w:val="550"/>
        </w:trPr>
        <w:tc>
          <w:tcPr>
            <w:cnfStyle w:val="000010000000" w:firstRow="0" w:lastRow="0" w:firstColumn="0" w:lastColumn="0" w:oddVBand="1" w:evenVBand="0" w:oddHBand="0" w:evenHBand="0" w:firstRowFirstColumn="0" w:firstRowLastColumn="0" w:lastRowFirstColumn="0" w:lastRowLastColumn="0"/>
            <w:tcW w:w="5665" w:type="dxa"/>
          </w:tcPr>
          <w:p w14:paraId="0A1460F3" w14:textId="77777777" w:rsidR="00AA19C0" w:rsidRPr="00D43D17" w:rsidRDefault="00AA19C0" w:rsidP="00D6111C">
            <w:pPr>
              <w:keepNext/>
              <w:keepLines/>
              <w:widowControl w:val="0"/>
              <w:rPr>
                <w:b/>
                <w:szCs w:val="22"/>
              </w:rPr>
            </w:pPr>
            <w:r w:rsidRPr="00D43D17">
              <w:rPr>
                <w:b/>
                <w:szCs w:val="22"/>
              </w:rPr>
              <w:t>Deadline to Submit Applications</w:t>
            </w:r>
          </w:p>
        </w:tc>
        <w:tc>
          <w:tcPr>
            <w:tcW w:w="2345" w:type="dxa"/>
          </w:tcPr>
          <w:p w14:paraId="4AD7F92F" w14:textId="69E3297D" w:rsidR="00AA19C0" w:rsidRPr="00D43D17" w:rsidRDefault="00881C10" w:rsidP="00D6111C">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995503">
              <w:rPr>
                <w:bCs/>
                <w:szCs w:val="22"/>
              </w:rPr>
              <w:t>[</w:t>
            </w:r>
            <w:r w:rsidR="000C642F" w:rsidRPr="000C642F">
              <w:rPr>
                <w:bCs/>
                <w:strike/>
                <w:szCs w:val="22"/>
              </w:rPr>
              <w:t>December 18, 2025</w:t>
            </w:r>
            <w:r w:rsidRPr="00995503">
              <w:rPr>
                <w:bCs/>
                <w:szCs w:val="22"/>
              </w:rPr>
              <w:t>]</w:t>
            </w:r>
            <w:r w:rsidR="000C642F" w:rsidRPr="000C642F">
              <w:rPr>
                <w:bCs/>
                <w:strike/>
                <w:szCs w:val="22"/>
              </w:rPr>
              <w:br/>
            </w:r>
            <w:r w:rsidR="000C642F" w:rsidRPr="000C642F">
              <w:rPr>
                <w:b/>
                <w:szCs w:val="22"/>
                <w:u w:val="single"/>
              </w:rPr>
              <w:t xml:space="preserve">January </w:t>
            </w:r>
            <w:r w:rsidR="004D5288">
              <w:rPr>
                <w:b/>
                <w:szCs w:val="22"/>
                <w:u w:val="single"/>
              </w:rPr>
              <w:t>30</w:t>
            </w:r>
            <w:r w:rsidR="000C642F" w:rsidRPr="000C642F">
              <w:rPr>
                <w:b/>
                <w:szCs w:val="22"/>
                <w:u w:val="single"/>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A19C0" w:rsidRPr="00D43D17" w:rsidRDefault="00AA19C0" w:rsidP="00D6111C">
            <w:pPr>
              <w:keepNext/>
              <w:keepLines/>
              <w:widowControl w:val="0"/>
              <w:rPr>
                <w:szCs w:val="22"/>
              </w:rPr>
            </w:pPr>
            <w:r w:rsidRPr="00D43D17">
              <w:rPr>
                <w:b/>
                <w:szCs w:val="22"/>
              </w:rPr>
              <w:t>11:59 p.m.</w:t>
            </w:r>
          </w:p>
        </w:tc>
      </w:tr>
      <w:tr w:rsidR="00D43D17" w:rsidRPr="00D43D17" w14:paraId="4670966A" w14:textId="77777777" w:rsidTr="0026664A">
        <w:trPr>
          <w:cnfStyle w:val="000000100000" w:firstRow="0" w:lastRow="0" w:firstColumn="0" w:lastColumn="0" w:oddVBand="0" w:evenVBand="0" w:oddHBand="1" w:evenHBand="0" w:firstRowFirstColumn="0" w:firstRowLastColumn="0" w:lastRowFirstColumn="0" w:lastRowLastColumn="0"/>
          <w:trHeight w:hRule="exact" w:val="802"/>
        </w:trPr>
        <w:tc>
          <w:tcPr>
            <w:cnfStyle w:val="000010000000" w:firstRow="0" w:lastRow="0" w:firstColumn="0" w:lastColumn="0" w:oddVBand="1" w:evenVBand="0" w:oddHBand="0" w:evenHBand="0" w:firstRowFirstColumn="0" w:firstRowLastColumn="0" w:lastRowFirstColumn="0" w:lastRowLastColumn="0"/>
            <w:tcW w:w="5665" w:type="dxa"/>
          </w:tcPr>
          <w:p w14:paraId="7387DC00" w14:textId="77777777" w:rsidR="00AA19C0" w:rsidRPr="00D43D17" w:rsidRDefault="00AA19C0" w:rsidP="00D6111C">
            <w:pPr>
              <w:keepNext/>
              <w:keepLines/>
              <w:widowControl w:val="0"/>
              <w:rPr>
                <w:szCs w:val="22"/>
              </w:rPr>
            </w:pPr>
            <w:r w:rsidRPr="00D43D17">
              <w:rPr>
                <w:szCs w:val="22"/>
              </w:rPr>
              <w:t>Anticipated Notice of Proposed Award Posting Date</w:t>
            </w:r>
          </w:p>
        </w:tc>
        <w:tc>
          <w:tcPr>
            <w:tcW w:w="2345" w:type="dxa"/>
          </w:tcPr>
          <w:p w14:paraId="3E0FCEC2" w14:textId="1ABA1C76" w:rsidR="00AA19C0" w:rsidRPr="00D43D17" w:rsidRDefault="00AA19C0" w:rsidP="00D6111C">
            <w:pPr>
              <w:keepNext/>
              <w:keepLines/>
              <w:widowControl w:val="0"/>
              <w:cnfStyle w:val="000000100000" w:firstRow="0" w:lastRow="0" w:firstColumn="0" w:lastColumn="0" w:oddVBand="0" w:evenVBand="0" w:oddHBand="1" w:evenHBand="0" w:firstRowFirstColumn="0" w:firstRowLastColumn="0" w:lastRowFirstColumn="0" w:lastRowLastColumn="0"/>
            </w:pPr>
            <w:r w:rsidRPr="00D43D17">
              <w:rPr>
                <w:szCs w:val="22"/>
              </w:rPr>
              <w:t xml:space="preserve">Week of </w:t>
            </w:r>
            <w:r w:rsidR="00881C10">
              <w:rPr>
                <w:szCs w:val="22"/>
              </w:rPr>
              <w:t>[</w:t>
            </w:r>
            <w:r w:rsidRPr="0026664A">
              <w:rPr>
                <w:strike/>
                <w:szCs w:val="22"/>
              </w:rPr>
              <w:t xml:space="preserve">February </w:t>
            </w:r>
            <w:r w:rsidR="00E915AE" w:rsidRPr="0026664A">
              <w:rPr>
                <w:strike/>
                <w:szCs w:val="22"/>
              </w:rPr>
              <w:t>12</w:t>
            </w:r>
            <w:r w:rsidRPr="0026664A">
              <w:rPr>
                <w:strike/>
                <w:szCs w:val="22"/>
              </w:rPr>
              <w:t>, 2026</w:t>
            </w:r>
            <w:r w:rsidR="00881C10" w:rsidRPr="00995503">
              <w:rPr>
                <w:szCs w:val="22"/>
              </w:rPr>
              <w:t>]</w:t>
            </w:r>
            <w:r w:rsidR="0026664A">
              <w:rPr>
                <w:strike/>
                <w:szCs w:val="22"/>
              </w:rPr>
              <w:t xml:space="preserve">  </w:t>
            </w:r>
            <w:r w:rsidR="0026664A">
              <w:rPr>
                <w:strike/>
                <w:szCs w:val="22"/>
              </w:rPr>
              <w:br/>
            </w:r>
            <w:r w:rsidR="0026664A">
              <w:rPr>
                <w:b/>
                <w:szCs w:val="22"/>
                <w:u w:val="single"/>
              </w:rPr>
              <w:t>March</w:t>
            </w:r>
            <w:r w:rsidR="0026664A" w:rsidRPr="000C642F">
              <w:rPr>
                <w:b/>
                <w:szCs w:val="22"/>
                <w:u w:val="single"/>
              </w:rPr>
              <w:t xml:space="preserve"> </w:t>
            </w:r>
            <w:r w:rsidR="009208E6">
              <w:rPr>
                <w:b/>
                <w:szCs w:val="22"/>
                <w:u w:val="single"/>
              </w:rPr>
              <w:t>23</w:t>
            </w:r>
            <w:r w:rsidR="0026664A" w:rsidRPr="000C642F">
              <w:rPr>
                <w:b/>
                <w:szCs w:val="22"/>
                <w:u w:val="single"/>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A19C0" w:rsidRPr="00D43D17" w:rsidRDefault="00AA19C0" w:rsidP="00D6111C">
            <w:pPr>
              <w:keepNext/>
              <w:keepLines/>
              <w:widowControl w:val="0"/>
              <w:rPr>
                <w:szCs w:val="22"/>
              </w:rPr>
            </w:pPr>
          </w:p>
        </w:tc>
      </w:tr>
      <w:tr w:rsidR="00D43D17" w:rsidRPr="00D43D17" w14:paraId="76D982D6" w14:textId="77777777" w:rsidTr="00B008D0">
        <w:trPr>
          <w:trHeight w:hRule="exact" w:val="550"/>
        </w:trPr>
        <w:tc>
          <w:tcPr>
            <w:cnfStyle w:val="000010000000" w:firstRow="0" w:lastRow="0" w:firstColumn="0" w:lastColumn="0" w:oddVBand="1" w:evenVBand="0" w:oddHBand="0" w:evenHBand="0" w:firstRowFirstColumn="0" w:firstRowLastColumn="0" w:lastRowFirstColumn="0" w:lastRowLastColumn="0"/>
            <w:tcW w:w="5665" w:type="dxa"/>
          </w:tcPr>
          <w:p w14:paraId="68472CDC" w14:textId="77777777" w:rsidR="00AA19C0" w:rsidRPr="00D43D17" w:rsidRDefault="00AA19C0" w:rsidP="00D6111C">
            <w:pPr>
              <w:widowControl w:val="0"/>
              <w:rPr>
                <w:szCs w:val="22"/>
              </w:rPr>
            </w:pPr>
            <w:r w:rsidRPr="00D43D17">
              <w:rPr>
                <w:szCs w:val="22"/>
              </w:rPr>
              <w:t>Anticipated Energy Commission Business Meeting Date</w:t>
            </w:r>
          </w:p>
        </w:tc>
        <w:tc>
          <w:tcPr>
            <w:tcW w:w="2345" w:type="dxa"/>
          </w:tcPr>
          <w:p w14:paraId="0D90D149" w14:textId="3F13F0C9" w:rsidR="00AA19C0" w:rsidRPr="00B008D0" w:rsidRDefault="00881C10" w:rsidP="00D6111C">
            <w:pPr>
              <w:keepNext/>
              <w:keepLines/>
              <w:widowControl w:val="0"/>
              <w:cnfStyle w:val="000000000000" w:firstRow="0" w:lastRow="0" w:firstColumn="0" w:lastColumn="0" w:oddVBand="0" w:evenVBand="0" w:oddHBand="0" w:evenHBand="0" w:firstRowFirstColumn="0" w:firstRowLastColumn="0" w:lastRowFirstColumn="0" w:lastRowLastColumn="0"/>
              <w:rPr>
                <w:strike/>
              </w:rPr>
            </w:pPr>
            <w:r w:rsidRPr="00995503">
              <w:rPr>
                <w:szCs w:val="22"/>
              </w:rPr>
              <w:t>[</w:t>
            </w:r>
            <w:r w:rsidR="00AA19C0" w:rsidRPr="00B008D0">
              <w:rPr>
                <w:strike/>
                <w:szCs w:val="22"/>
              </w:rPr>
              <w:t>May 2026</w:t>
            </w:r>
            <w:r w:rsidRPr="00995503">
              <w:rPr>
                <w:szCs w:val="22"/>
              </w:rPr>
              <w:t>]</w:t>
            </w:r>
            <w:r w:rsidR="00B008D0">
              <w:rPr>
                <w:strike/>
                <w:szCs w:val="22"/>
              </w:rPr>
              <w:br/>
            </w:r>
            <w:r w:rsidR="00B008D0" w:rsidRPr="00166B7F">
              <w:rPr>
                <w:b/>
                <w:bCs/>
                <w:szCs w:val="22"/>
                <w:u w:val="single"/>
              </w:rPr>
              <w:t>Ju</w:t>
            </w:r>
            <w:r w:rsidR="006F1205">
              <w:rPr>
                <w:b/>
                <w:bCs/>
                <w:szCs w:val="22"/>
                <w:u w:val="single"/>
              </w:rPr>
              <w:t>ly</w:t>
            </w:r>
            <w:r w:rsidR="00B008D0" w:rsidRPr="00166B7F">
              <w:rPr>
                <w:b/>
                <w:bCs/>
                <w:szCs w:val="22"/>
                <w:u w:val="single"/>
              </w:rPr>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A19C0" w:rsidRPr="00D43D17" w:rsidRDefault="00AA19C0" w:rsidP="00D6111C">
            <w:pPr>
              <w:keepNext/>
              <w:keepLines/>
              <w:widowControl w:val="0"/>
              <w:rPr>
                <w:szCs w:val="22"/>
              </w:rPr>
            </w:pPr>
          </w:p>
        </w:tc>
      </w:tr>
      <w:tr w:rsidR="00D43D17" w:rsidRPr="00D43D17" w14:paraId="778A4170" w14:textId="77777777" w:rsidTr="00B008D0">
        <w:trPr>
          <w:cnfStyle w:val="000000100000" w:firstRow="0" w:lastRow="0" w:firstColumn="0" w:lastColumn="0" w:oddVBand="0" w:evenVBand="0" w:oddHBand="1" w:evenHBand="0" w:firstRowFirstColumn="0" w:firstRowLastColumn="0" w:lastRowFirstColumn="0" w:lastRowLastColumn="0"/>
          <w:trHeight w:hRule="exact" w:val="622"/>
        </w:trPr>
        <w:tc>
          <w:tcPr>
            <w:cnfStyle w:val="000010000000" w:firstRow="0" w:lastRow="0" w:firstColumn="0" w:lastColumn="0" w:oddVBand="1" w:evenVBand="0" w:oddHBand="0" w:evenHBand="0" w:firstRowFirstColumn="0" w:firstRowLastColumn="0" w:lastRowFirstColumn="0" w:lastRowLastColumn="0"/>
            <w:tcW w:w="5665" w:type="dxa"/>
          </w:tcPr>
          <w:p w14:paraId="117D51F1" w14:textId="77777777" w:rsidR="00AA19C0" w:rsidRPr="00D43D17" w:rsidRDefault="00AA19C0" w:rsidP="00D6111C">
            <w:pPr>
              <w:widowControl w:val="0"/>
              <w:rPr>
                <w:szCs w:val="22"/>
              </w:rPr>
            </w:pPr>
            <w:r w:rsidRPr="00D43D17">
              <w:rPr>
                <w:szCs w:val="22"/>
              </w:rPr>
              <w:t>Anticipated Agreement Start Date</w:t>
            </w:r>
          </w:p>
        </w:tc>
        <w:tc>
          <w:tcPr>
            <w:tcW w:w="2345" w:type="dxa"/>
          </w:tcPr>
          <w:p w14:paraId="0FBD4A51" w14:textId="19864CAA" w:rsidR="00AA19C0" w:rsidRPr="00B008D0" w:rsidRDefault="00881C10" w:rsidP="00D6111C">
            <w:pPr>
              <w:keepNext/>
              <w:keepLines/>
              <w:widowControl w:val="0"/>
              <w:cnfStyle w:val="000000100000" w:firstRow="0" w:lastRow="0" w:firstColumn="0" w:lastColumn="0" w:oddVBand="0" w:evenVBand="0" w:oddHBand="1" w:evenHBand="0" w:firstRowFirstColumn="0" w:firstRowLastColumn="0" w:lastRowFirstColumn="0" w:lastRowLastColumn="0"/>
              <w:rPr>
                <w:strike/>
              </w:rPr>
            </w:pPr>
            <w:r w:rsidRPr="00995503">
              <w:rPr>
                <w:szCs w:val="22"/>
              </w:rPr>
              <w:t>[</w:t>
            </w:r>
            <w:r w:rsidR="00AA19C0" w:rsidRPr="00B008D0">
              <w:rPr>
                <w:strike/>
                <w:szCs w:val="22"/>
              </w:rPr>
              <w:t>August 2026</w:t>
            </w:r>
            <w:r w:rsidR="009C3CAE" w:rsidRPr="00995503">
              <w:rPr>
                <w:szCs w:val="22"/>
              </w:rPr>
              <w:t>]</w:t>
            </w:r>
            <w:r w:rsidR="00166B7F">
              <w:rPr>
                <w:strike/>
                <w:szCs w:val="22"/>
              </w:rPr>
              <w:br/>
            </w:r>
            <w:r w:rsidR="00821F77">
              <w:rPr>
                <w:b/>
                <w:bCs/>
                <w:szCs w:val="22"/>
                <w:u w:val="single"/>
              </w:rPr>
              <w:t>October</w:t>
            </w:r>
            <w:r w:rsidR="00166B7F" w:rsidRPr="00166B7F">
              <w:rPr>
                <w:b/>
                <w:bCs/>
                <w:szCs w:val="22"/>
                <w:u w:val="single"/>
              </w:rPr>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A19C0" w:rsidRPr="00D43D17" w:rsidRDefault="00AA19C0" w:rsidP="00D6111C">
            <w:pPr>
              <w:keepNext/>
              <w:keepLines/>
              <w:widowControl w:val="0"/>
              <w:rPr>
                <w:szCs w:val="22"/>
              </w:rPr>
            </w:pPr>
          </w:p>
        </w:tc>
      </w:tr>
      <w:tr w:rsidR="00D43D17" w:rsidRPr="00D43D17" w14:paraId="10349A5B" w14:textId="77777777" w:rsidTr="00795C6E">
        <w:trPr>
          <w:trHeight w:hRule="exact" w:val="640"/>
        </w:trPr>
        <w:tc>
          <w:tcPr>
            <w:cnfStyle w:val="000010000000" w:firstRow="0" w:lastRow="0" w:firstColumn="0" w:lastColumn="0" w:oddVBand="1" w:evenVBand="0" w:oddHBand="0" w:evenHBand="0" w:firstRowFirstColumn="0" w:firstRowLastColumn="0" w:lastRowFirstColumn="0" w:lastRowLastColumn="0"/>
            <w:tcW w:w="5665" w:type="dxa"/>
          </w:tcPr>
          <w:p w14:paraId="0DFD4B12" w14:textId="77777777" w:rsidR="00AA19C0" w:rsidRPr="00D43D17" w:rsidRDefault="00AA19C0" w:rsidP="00D6111C">
            <w:pPr>
              <w:widowControl w:val="0"/>
              <w:rPr>
                <w:szCs w:val="22"/>
              </w:rPr>
            </w:pPr>
            <w:r w:rsidRPr="00D43D17">
              <w:rPr>
                <w:szCs w:val="22"/>
              </w:rPr>
              <w:t xml:space="preserve">Anticipated Agreement End Date </w:t>
            </w:r>
          </w:p>
        </w:tc>
        <w:tc>
          <w:tcPr>
            <w:tcW w:w="2345" w:type="dxa"/>
          </w:tcPr>
          <w:p w14:paraId="1C7481DD" w14:textId="08E4C0D1" w:rsidR="00AA19C0" w:rsidRPr="00795C6E" w:rsidRDefault="009C3CAE" w:rsidP="00795C6E">
            <w:pPr>
              <w:keepNext/>
              <w:keepLines/>
              <w:widowControl w:val="0"/>
              <w:spacing w:after="0"/>
              <w:cnfStyle w:val="000000000000" w:firstRow="0" w:lastRow="0" w:firstColumn="0" w:lastColumn="0" w:oddVBand="0" w:evenVBand="0" w:oddHBand="0" w:evenHBand="0" w:firstRowFirstColumn="0" w:firstRowLastColumn="0" w:lastRowFirstColumn="0" w:lastRowLastColumn="0"/>
              <w:rPr>
                <w:strike/>
                <w:szCs w:val="22"/>
              </w:rPr>
            </w:pPr>
            <w:r w:rsidRPr="009C3CAE">
              <w:rPr>
                <w:szCs w:val="22"/>
              </w:rPr>
              <w:t>[</w:t>
            </w:r>
            <w:r w:rsidR="00AA19C0" w:rsidRPr="00795C6E">
              <w:rPr>
                <w:strike/>
                <w:szCs w:val="22"/>
              </w:rPr>
              <w:t>June 30, 2030</w:t>
            </w:r>
            <w:r w:rsidRPr="009C3CAE">
              <w:rPr>
                <w:szCs w:val="22"/>
              </w:rPr>
              <w:t>]</w:t>
            </w:r>
          </w:p>
          <w:p w14:paraId="49359BE0" w14:textId="6AE62724" w:rsidR="00795C6E" w:rsidRPr="00D43D17" w:rsidRDefault="00795C6E" w:rsidP="00D6111C">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Pr>
                <w:b/>
                <w:bCs/>
                <w:szCs w:val="22"/>
                <w:u w:val="single"/>
              </w:rPr>
              <w:t>September 30,</w:t>
            </w:r>
            <w:r w:rsidRPr="00166B7F">
              <w:rPr>
                <w:b/>
                <w:bCs/>
                <w:szCs w:val="22"/>
                <w:u w:val="single"/>
              </w:rPr>
              <w:t xml:space="preserve"> 20</w:t>
            </w:r>
            <w:r>
              <w:rPr>
                <w:b/>
                <w:bCs/>
                <w:szCs w:val="22"/>
                <w:u w:val="single"/>
              </w:rPr>
              <w:t>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A19C0" w:rsidRPr="00D43D17" w:rsidRDefault="00AA19C0" w:rsidP="00D6111C">
            <w:pPr>
              <w:keepNext/>
              <w:keepLines/>
              <w:widowControl w:val="0"/>
              <w:rPr>
                <w:szCs w:val="22"/>
              </w:rPr>
            </w:pPr>
          </w:p>
        </w:tc>
      </w:tr>
    </w:tbl>
    <w:p w14:paraId="4D125BF1" w14:textId="77777777" w:rsidR="003F6147" w:rsidRPr="00D43D17" w:rsidRDefault="003F6147" w:rsidP="00D6111C">
      <w:pPr>
        <w:spacing w:after="0"/>
      </w:pPr>
    </w:p>
    <w:p w14:paraId="545DFFF2" w14:textId="77777777" w:rsidR="003F6147" w:rsidRPr="00D43D17" w:rsidRDefault="003F6147" w:rsidP="00D6111C">
      <w:pPr>
        <w:pStyle w:val="Heading2"/>
        <w:numPr>
          <w:ilvl w:val="0"/>
          <w:numId w:val="85"/>
        </w:numPr>
      </w:pPr>
      <w:bookmarkStart w:id="47" w:name="_Toc458602326"/>
      <w:bookmarkStart w:id="48" w:name="_Toc143172704"/>
      <w:r w:rsidRPr="00D43D17">
        <w:t>Notice of Pre-Application Workshop</w:t>
      </w:r>
      <w:bookmarkEnd w:id="47"/>
      <w:bookmarkEnd w:id="48"/>
    </w:p>
    <w:p w14:paraId="3530C71F" w14:textId="3B3FBF50" w:rsidR="003F6147" w:rsidRPr="00D43D17" w:rsidRDefault="003F6147" w:rsidP="00D6111C">
      <w:r w:rsidRPr="00D43D17">
        <w:t>CEC staff will hold one Pre-Application Workshop to discuss th</w:t>
      </w:r>
      <w:r w:rsidR="00170AE5" w:rsidRPr="00D43D17">
        <w:t>is</w:t>
      </w:r>
      <w:r w:rsidRPr="00D43D17">
        <w:t xml:space="preserve"> solicitation with potential applicants. Participation is optional but encouraged.  </w:t>
      </w:r>
      <w:r w:rsidR="00137D9C" w:rsidRPr="00D43D17">
        <w:t xml:space="preserve">The Pre-Application Workshop will be held remotely. </w:t>
      </w:r>
      <w:r w:rsidRPr="00D43D17">
        <w:t>Applicants may attend the workshop via the internet (</w:t>
      </w:r>
      <w:r w:rsidR="00636897" w:rsidRPr="00D43D17">
        <w:t>Zoom</w:t>
      </w:r>
      <w:r w:rsidRPr="00D43D17">
        <w:t>, see instructions below), or via conference call on the date and at the time and location listed below.  Please refer to the CEC's website at www.energy.ca.gov/contracts/index.html to confirm the date and time.</w:t>
      </w:r>
      <w:r w:rsidR="00C81AA2" w:rsidRPr="00D43D17">
        <w:t xml:space="preserve"> Please be aware that the meeting will be recorded.</w:t>
      </w:r>
    </w:p>
    <w:p w14:paraId="54073107" w14:textId="77777777" w:rsidR="00624855" w:rsidRPr="00D43D17" w:rsidRDefault="00624855" w:rsidP="00D6111C">
      <w:pPr>
        <w:spacing w:after="0"/>
        <w:rPr>
          <w:b/>
        </w:rPr>
      </w:pPr>
    </w:p>
    <w:p w14:paraId="2B53D2CB" w14:textId="2F5A57EE" w:rsidR="003F6147" w:rsidRPr="00D43D17" w:rsidRDefault="003F6147" w:rsidP="00D6111C">
      <w:pPr>
        <w:spacing w:after="0"/>
        <w:rPr>
          <w:b/>
        </w:rPr>
      </w:pPr>
      <w:r w:rsidRPr="00D43D17">
        <w:rPr>
          <w:b/>
        </w:rPr>
        <w:t xml:space="preserve">Date and time: </w:t>
      </w:r>
      <w:r w:rsidR="00891D54" w:rsidRPr="00D43D17">
        <w:t xml:space="preserve">October </w:t>
      </w:r>
      <w:r w:rsidR="00085FE8">
        <w:t>28</w:t>
      </w:r>
      <w:r w:rsidR="00891D54" w:rsidRPr="00D43D17">
        <w:t>, 2025, at 10:00 a.m.</w:t>
      </w:r>
      <w:r w:rsidR="00995159">
        <w:t xml:space="preserve"> to 12:00 p.</w:t>
      </w:r>
      <w:r w:rsidR="000F04B2">
        <w:t>m.</w:t>
      </w:r>
    </w:p>
    <w:p w14:paraId="6B916C61" w14:textId="409312EC" w:rsidR="003F6147" w:rsidRPr="003F6147" w:rsidRDefault="00AD7BD9" w:rsidP="00D6111C">
      <w:pPr>
        <w:tabs>
          <w:tab w:val="left" w:pos="1080"/>
        </w:tabs>
        <w:rPr>
          <w:b/>
        </w:rPr>
      </w:pPr>
      <w:r>
        <w:rPr>
          <w:b/>
        </w:rPr>
        <w:t>Zoom</w:t>
      </w:r>
      <w:r w:rsidRPr="003F6147">
        <w:rPr>
          <w:b/>
        </w:rPr>
        <w:t xml:space="preserve"> </w:t>
      </w:r>
      <w:r w:rsidR="003F6147" w:rsidRPr="003F6147">
        <w:rPr>
          <w:b/>
        </w:rPr>
        <w:t>Instructions:</w:t>
      </w:r>
    </w:p>
    <w:p w14:paraId="44F7A991" w14:textId="66B022CD" w:rsidR="003F6147" w:rsidRPr="005F101E" w:rsidRDefault="003F6147" w:rsidP="00D6111C">
      <w:pPr>
        <w:tabs>
          <w:tab w:val="left" w:pos="810"/>
        </w:tabs>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6E9CE2C6" w:rsidR="003F6147" w:rsidRPr="003F6147" w:rsidRDefault="003F6147" w:rsidP="00D6111C">
      <w:pPr>
        <w:tabs>
          <w:tab w:val="left" w:pos="900"/>
        </w:tabs>
        <w:spacing w:after="0"/>
        <w:ind w:left="720" w:firstLine="360"/>
        <w:rPr>
          <w:b/>
          <w:bCs/>
          <w:color w:val="0070C0"/>
        </w:rPr>
      </w:pPr>
      <w:r w:rsidRPr="003F6147">
        <w:rPr>
          <w:b/>
        </w:rPr>
        <w:t xml:space="preserve">Meeting </w:t>
      </w:r>
      <w:r w:rsidR="0060490D">
        <w:rPr>
          <w:b/>
        </w:rPr>
        <w:t>ID</w:t>
      </w:r>
      <w:r w:rsidRPr="003F6147">
        <w:rPr>
          <w:b/>
        </w:rPr>
        <w:t>:</w:t>
      </w:r>
      <w:r w:rsidRPr="003F6147">
        <w:t xml:space="preserve"> </w:t>
      </w:r>
      <w:r w:rsidR="00181169" w:rsidRPr="00181169">
        <w:t>897 9855 4686</w:t>
      </w:r>
    </w:p>
    <w:p w14:paraId="2F230024" w14:textId="67EC192D" w:rsidR="003F6147" w:rsidRPr="003F6147" w:rsidRDefault="003F6147" w:rsidP="00D6111C">
      <w:pPr>
        <w:spacing w:after="0"/>
        <w:ind w:left="360" w:firstLine="720"/>
        <w:rPr>
          <w:color w:val="0070C0"/>
        </w:rPr>
      </w:pPr>
      <w:r w:rsidRPr="003F6147">
        <w:rPr>
          <w:b/>
        </w:rPr>
        <w:t>Meeting Password:</w:t>
      </w:r>
      <w:r w:rsidR="00181169">
        <w:t xml:space="preserve"> choir</w:t>
      </w:r>
    </w:p>
    <w:p w14:paraId="6CC93D6B" w14:textId="3DF7C524" w:rsidR="003F6147" w:rsidRPr="003F6147" w:rsidRDefault="003F6147" w:rsidP="00D6111C">
      <w:pPr>
        <w:ind w:left="360" w:firstLine="720"/>
        <w:rPr>
          <w:color w:val="0070C0"/>
        </w:rPr>
      </w:pPr>
      <w:r w:rsidRPr="003F6147">
        <w:rPr>
          <w:b/>
        </w:rPr>
        <w:t>Topic:</w:t>
      </w:r>
      <w:r w:rsidRPr="003F6147">
        <w:rPr>
          <w:color w:val="0070C0"/>
        </w:rPr>
        <w:t xml:space="preserve"> </w:t>
      </w:r>
      <w:r w:rsidR="00181169" w:rsidRPr="00181169">
        <w:t>GFO-25-302 - Pre-Application Workshop</w:t>
      </w:r>
    </w:p>
    <w:p w14:paraId="1BD019D4" w14:textId="77777777" w:rsidR="003F6147" w:rsidRPr="003F6147" w:rsidRDefault="003F6147" w:rsidP="00D6111C">
      <w:pPr>
        <w:tabs>
          <w:tab w:val="left" w:pos="810"/>
        </w:tabs>
        <w:spacing w:after="0"/>
        <w:rPr>
          <w:b/>
          <w:u w:val="single"/>
        </w:rPr>
      </w:pPr>
    </w:p>
    <w:p w14:paraId="197B98BC" w14:textId="77777777" w:rsidR="003F6147" w:rsidRPr="003F6147" w:rsidRDefault="003F6147" w:rsidP="00D6111C">
      <w:pPr>
        <w:tabs>
          <w:tab w:val="left" w:pos="1080"/>
        </w:tabs>
        <w:rPr>
          <w:b/>
        </w:rPr>
      </w:pPr>
      <w:r w:rsidRPr="003F6147">
        <w:rPr>
          <w:b/>
        </w:rPr>
        <w:t>Telephone Access Only:</w:t>
      </w:r>
    </w:p>
    <w:p w14:paraId="0A374FE0" w14:textId="57CE4F4C" w:rsidR="001C398B" w:rsidRPr="005F101E" w:rsidRDefault="003F6147" w:rsidP="00D6111C">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D6111C">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D6111C">
      <w:pPr>
        <w:spacing w:after="0"/>
        <w:rPr>
          <w:color w:val="0000FF"/>
        </w:rPr>
      </w:pPr>
    </w:p>
    <w:p w14:paraId="51B26D7A" w14:textId="111A0C9B" w:rsidR="003F6147" w:rsidRPr="003F6147" w:rsidRDefault="003F6147" w:rsidP="00D6111C">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D6111C">
      <w:pPr>
        <w:numPr>
          <w:ilvl w:val="0"/>
          <w:numId w:val="78"/>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D6111C">
      <w:pPr>
        <w:tabs>
          <w:tab w:val="left" w:pos="810"/>
        </w:tabs>
        <w:spacing w:after="0"/>
        <w:ind w:left="810"/>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D6111C">
      <w:pPr>
        <w:numPr>
          <w:ilvl w:val="0"/>
          <w:numId w:val="78"/>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D6111C">
      <w:pPr>
        <w:tabs>
          <w:tab w:val="left" w:pos="810"/>
        </w:tabs>
        <w:spacing w:after="0"/>
        <w:ind w:left="720"/>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D6111C">
      <w:pPr>
        <w:numPr>
          <w:ilvl w:val="0"/>
          <w:numId w:val="78"/>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D6111C">
      <w:pPr>
        <w:tabs>
          <w:tab w:val="left" w:pos="810"/>
        </w:tabs>
        <w:spacing w:after="0"/>
        <w:ind w:left="810"/>
        <w:rPr>
          <w:b/>
          <w:u w:val="single"/>
        </w:rPr>
      </w:pPr>
    </w:p>
    <w:p w14:paraId="24B5F575" w14:textId="77777777" w:rsidR="003F6147" w:rsidRPr="00756BAC" w:rsidRDefault="003F6147" w:rsidP="00D6111C">
      <w:pPr>
        <w:pStyle w:val="Heading2"/>
        <w:numPr>
          <w:ilvl w:val="0"/>
          <w:numId w:val="85"/>
        </w:numPr>
      </w:pPr>
      <w:bookmarkStart w:id="49" w:name="_Toc458602327"/>
      <w:bookmarkStart w:id="50" w:name="_Toc143172705"/>
      <w:bookmarkStart w:id="51" w:name="_Toc336443625"/>
      <w:bookmarkStart w:id="52" w:name="_Toc366671181"/>
      <w:bookmarkStart w:id="53" w:name="_Toc219275088"/>
      <w:r w:rsidRPr="00756BAC">
        <w:t>Questions</w:t>
      </w:r>
      <w:bookmarkEnd w:id="49"/>
      <w:bookmarkEnd w:id="50"/>
    </w:p>
    <w:p w14:paraId="34AF45D4" w14:textId="7355546B" w:rsidR="00645D91" w:rsidRDefault="00645D91" w:rsidP="00D6111C">
      <w:r w:rsidRPr="003F6147">
        <w:t xml:space="preserve">During the solicitation process, </w:t>
      </w:r>
      <w:r>
        <w:t xml:space="preserve">for questions only related to submission of application in the new ECAMS system, please contact </w:t>
      </w:r>
      <w:hyperlink r:id="rId24"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D6111C">
      <w:r>
        <w:lastRenderedPageBreak/>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7F073A44" w:rsidR="003F6147" w:rsidRPr="007532DB" w:rsidRDefault="007532DB" w:rsidP="00A67586">
      <w:pPr>
        <w:contextualSpacing/>
        <w:jc w:val="center"/>
      </w:pPr>
      <w:r w:rsidRPr="007532DB">
        <w:t xml:space="preserve">Kevyn Piper </w:t>
      </w:r>
      <w:r w:rsidR="003F6147" w:rsidRPr="007532DB">
        <w:t>Commission Agreement Officer</w:t>
      </w:r>
    </w:p>
    <w:p w14:paraId="3084A234" w14:textId="77777777" w:rsidR="003F6147" w:rsidRPr="007532DB" w:rsidRDefault="003F6147" w:rsidP="00A67586">
      <w:pPr>
        <w:contextualSpacing/>
        <w:jc w:val="center"/>
      </w:pPr>
      <w:r w:rsidRPr="007532DB">
        <w:t>California Energy Commission</w:t>
      </w:r>
    </w:p>
    <w:p w14:paraId="6B4F8266" w14:textId="3E1ECD5D" w:rsidR="003F6147" w:rsidRPr="007532DB" w:rsidRDefault="00B06231" w:rsidP="00A67586">
      <w:pPr>
        <w:contextualSpacing/>
        <w:jc w:val="center"/>
      </w:pPr>
      <w:r w:rsidRPr="007532DB">
        <w:t>715 P</w:t>
      </w:r>
      <w:r w:rsidR="003F6147" w:rsidRPr="007532DB">
        <w:t>, MS-1</w:t>
      </w:r>
      <w:r w:rsidR="007532DB" w:rsidRPr="007532DB">
        <w:t>8</w:t>
      </w:r>
    </w:p>
    <w:p w14:paraId="17CE616B" w14:textId="53C980B5" w:rsidR="003F6147" w:rsidRPr="007532DB" w:rsidRDefault="003F6147" w:rsidP="00A67586">
      <w:pPr>
        <w:contextualSpacing/>
        <w:jc w:val="center"/>
      </w:pPr>
      <w:r w:rsidRPr="007532DB">
        <w:t>Sacramento, California</w:t>
      </w:r>
      <w:r w:rsidR="00624855" w:rsidRPr="007532DB">
        <w:t>,</w:t>
      </w:r>
      <w:r w:rsidRPr="007532DB">
        <w:t xml:space="preserve">  95814</w:t>
      </w:r>
    </w:p>
    <w:p w14:paraId="2827A557" w14:textId="3824DDF7" w:rsidR="003F6147" w:rsidRPr="007532DB" w:rsidRDefault="003F6147" w:rsidP="00A67586">
      <w:pPr>
        <w:spacing w:after="0"/>
        <w:contextualSpacing/>
        <w:jc w:val="center"/>
      </w:pPr>
      <w:r w:rsidRPr="007532DB">
        <w:t xml:space="preserve">E-mail: </w:t>
      </w:r>
      <w:r w:rsidR="007532DB" w:rsidRPr="007532DB">
        <w:t>Kevyn.Piper</w:t>
      </w:r>
      <w:r w:rsidRPr="007532DB">
        <w:t>@energy.ca.gov</w:t>
      </w:r>
    </w:p>
    <w:p w14:paraId="13FEBABF" w14:textId="77777777" w:rsidR="003F6147" w:rsidRPr="007532DB" w:rsidRDefault="003F6147" w:rsidP="00D6111C">
      <w:pPr>
        <w:spacing w:after="0"/>
      </w:pPr>
    </w:p>
    <w:p w14:paraId="2E4EF772" w14:textId="19C823F7" w:rsidR="003F6147" w:rsidRPr="003F6147" w:rsidRDefault="003F6147" w:rsidP="00D6111C">
      <w:r>
        <w:t xml:space="preserve">Applicants may ask questions at the Pre-Application Workshop and may submit written questions via </w:t>
      </w:r>
      <w:r w:rsidR="0017584F">
        <w:t>e</w:t>
      </w:r>
      <w:r>
        <w:t xml:space="preserve">mail. However, all </w:t>
      </w:r>
      <w:r w:rsidRPr="50016988">
        <w:rPr>
          <w:b/>
        </w:rPr>
        <w:t>technical</w:t>
      </w:r>
      <w: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D6111C">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38A86BF3" w:rsidR="003F6147" w:rsidRPr="003F6147" w:rsidRDefault="003F6147" w:rsidP="00D6111C">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D6111C">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D6111C">
      <w:pPr>
        <w:spacing w:before="240"/>
        <w:rPr>
          <w:b/>
        </w:rPr>
      </w:pPr>
    </w:p>
    <w:p w14:paraId="7ABEF265" w14:textId="77777777" w:rsidR="00BA3BBD" w:rsidRPr="00BA3BBD" w:rsidRDefault="00BA3BBD" w:rsidP="00D6111C">
      <w:pPr>
        <w:pStyle w:val="Heading2"/>
        <w:numPr>
          <w:ilvl w:val="0"/>
          <w:numId w:val="85"/>
        </w:numPr>
        <w:rPr>
          <w:b w:val="0"/>
          <w:smallCaps w:val="0"/>
        </w:rPr>
      </w:pPr>
      <w:bookmarkStart w:id="54" w:name="_Toc522777845"/>
      <w:bookmarkStart w:id="55" w:name="_Toc26361578"/>
      <w:bookmarkStart w:id="56" w:name="_Toc143172706"/>
      <w:r w:rsidRPr="002D46F7">
        <w:t>Applicants’ Admonishment</w:t>
      </w:r>
      <w:bookmarkEnd w:id="54"/>
      <w:bookmarkEnd w:id="55"/>
      <w:bookmarkEnd w:id="56"/>
    </w:p>
    <w:p w14:paraId="0A661823" w14:textId="093A5AD7" w:rsidR="00BA3BBD" w:rsidRPr="00505E89" w:rsidRDefault="00BA3BBD" w:rsidP="00D6111C">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submitting an application</w:t>
      </w:r>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D6111C">
      <w:bookmarkStart w:id="57" w:name="_Toc433981277"/>
      <w:bookmarkStart w:id="58" w:name="_Toc395180625"/>
      <w:bookmarkStart w:id="59" w:name="_Toc382571127"/>
      <w:bookmarkStart w:id="60"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w:t>
      </w:r>
      <w:r w:rsidR="00266A31" w:rsidRPr="00266A31">
        <w:lastRenderedPageBreak/>
        <w:t xml:space="preserve">confidential information as part of their applications. </w:t>
      </w:r>
      <w:bookmarkEnd w:id="57"/>
      <w:bookmarkEnd w:id="58"/>
      <w:bookmarkEnd w:id="59"/>
      <w:bookmarkEnd w:id="60"/>
      <w:r w:rsidR="00F071E3" w:rsidRPr="00291F1A">
        <w:rPr>
          <w:b/>
          <w:bCs/>
        </w:rPr>
        <w:t>No portion of your application will be considered confidential.</w:t>
      </w:r>
    </w:p>
    <w:p w14:paraId="0C99A926" w14:textId="77777777" w:rsidR="00B703F3" w:rsidRPr="00BA3BBD" w:rsidRDefault="00B703F3" w:rsidP="00D6111C">
      <w:pPr>
        <w:rPr>
          <w:b/>
        </w:rPr>
      </w:pPr>
    </w:p>
    <w:p w14:paraId="7DFACC60" w14:textId="68B1C73D" w:rsidR="00BA3BBD" w:rsidRPr="009F6FFB" w:rsidRDefault="009F6FFB" w:rsidP="00D6111C">
      <w:pPr>
        <w:pStyle w:val="Heading2"/>
        <w:numPr>
          <w:ilvl w:val="0"/>
          <w:numId w:val="85"/>
        </w:numPr>
      </w:pPr>
      <w:bookmarkStart w:id="61" w:name="_Toc522777846"/>
      <w:bookmarkStart w:id="62" w:name="_Toc26361579"/>
      <w:bookmarkStart w:id="63" w:name="_Toc143172707"/>
      <w:bookmarkStart w:id="64" w:name="AddReq"/>
      <w:r>
        <w:t>A</w:t>
      </w:r>
      <w:r w:rsidR="00BA3BBD" w:rsidRPr="009F6FFB">
        <w:t xml:space="preserve">dditional </w:t>
      </w:r>
      <w:r>
        <w:t>R</w:t>
      </w:r>
      <w:r w:rsidR="00BA3BBD" w:rsidRPr="009F6FFB">
        <w:t>equirements</w:t>
      </w:r>
      <w:bookmarkEnd w:id="61"/>
      <w:bookmarkEnd w:id="62"/>
      <w:r w:rsidR="00FB121E">
        <w:t xml:space="preserve"> regarding environmental review</w:t>
      </w:r>
      <w:bookmarkEnd w:id="63"/>
    </w:p>
    <w:bookmarkEnd w:id="64"/>
    <w:p w14:paraId="034245E6" w14:textId="34B40DB5" w:rsidR="0040478A" w:rsidRPr="00023D02" w:rsidRDefault="00BA3BBD" w:rsidP="00D6111C">
      <w:pPr>
        <w:numPr>
          <w:ilvl w:val="0"/>
          <w:numId w:val="94"/>
        </w:numPr>
        <w:spacing w:after="160"/>
        <w:ind w:right="720"/>
      </w:pPr>
      <w:r>
        <w:t xml:space="preserve">Time is of the essence. </w:t>
      </w:r>
      <w:r w:rsidR="00FB121E" w:rsidRPr="00023D02">
        <w:t>CEC f</w:t>
      </w:r>
      <w:r w:rsidRPr="00023D02">
        <w:t>unds available under this solicitation have encumbrance deadlines as early as</w:t>
      </w:r>
      <w:r w:rsidR="0066028C" w:rsidRPr="00023D02">
        <w:t xml:space="preserve"> June </w:t>
      </w:r>
      <w:proofErr w:type="gramStart"/>
      <w:r w:rsidR="0066028C" w:rsidRPr="00023D02">
        <w:t xml:space="preserve">30, </w:t>
      </w:r>
      <w:r w:rsidR="00C421DA">
        <w:t>[</w:t>
      </w:r>
      <w:r w:rsidR="0066028C" w:rsidRPr="009A79EE">
        <w:rPr>
          <w:strike/>
        </w:rPr>
        <w:t>202</w:t>
      </w:r>
      <w:r w:rsidR="00BC6D36" w:rsidRPr="00BC6D36">
        <w:rPr>
          <w:strike/>
        </w:rPr>
        <w:t>6</w:t>
      </w:r>
      <w:r w:rsidR="00C421DA" w:rsidRPr="00C421DA">
        <w:t xml:space="preserve">] </w:t>
      </w:r>
      <w:r w:rsidR="009A79EE">
        <w:rPr>
          <w:b/>
          <w:bCs/>
          <w:u w:val="single"/>
        </w:rPr>
        <w:t>2027</w:t>
      </w:r>
      <w:proofErr w:type="gramEnd"/>
      <w:r w:rsidRPr="00023D02">
        <w:t>.  This means that the CEC must approve proposed awards at a business meeting (usually held monthly) prior to</w:t>
      </w:r>
      <w:r w:rsidR="0066028C" w:rsidRPr="00023D02">
        <w:t xml:space="preserve"> June 30, </w:t>
      </w:r>
      <w:r w:rsidR="005B0883">
        <w:t>[</w:t>
      </w:r>
      <w:r w:rsidR="0066028C" w:rsidRPr="009A79EE">
        <w:rPr>
          <w:strike/>
        </w:rPr>
        <w:t>2026</w:t>
      </w:r>
      <w:r w:rsidR="00C421DA" w:rsidRPr="00C421DA">
        <w:t xml:space="preserve">] </w:t>
      </w:r>
      <w:r w:rsidR="009A79EE">
        <w:rPr>
          <w:b/>
          <w:bCs/>
          <w:u w:val="single"/>
        </w:rPr>
        <w:t>2027</w:t>
      </w:r>
      <w:r w:rsidR="64ED5DBC" w:rsidRPr="00023D02">
        <w:t>,</w:t>
      </w:r>
      <w:r w:rsidRPr="00023D02">
        <w:t xml:space="preserve"> to avoid expiration of the funds. </w:t>
      </w:r>
    </w:p>
    <w:p w14:paraId="197F7A36" w14:textId="6F47B3B2" w:rsidR="00BA3BBD" w:rsidRPr="00BA3BBD" w:rsidRDefault="00EC2A2D" w:rsidP="00D6111C">
      <w:pPr>
        <w:numPr>
          <w:ilvl w:val="0"/>
          <w:numId w:val="94"/>
        </w:numPr>
        <w:spacing w:after="160"/>
        <w:ind w:right="72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D6111C">
      <w:pPr>
        <w:numPr>
          <w:ilvl w:val="0"/>
          <w:numId w:val="94"/>
        </w:numPr>
        <w:spacing w:after="160"/>
        <w:ind w:right="72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D6111C">
      <w:pPr>
        <w:numPr>
          <w:ilvl w:val="0"/>
          <w:numId w:val="54"/>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D6111C">
      <w:pPr>
        <w:numPr>
          <w:ilvl w:val="0"/>
          <w:numId w:val="54"/>
        </w:numPr>
        <w:spacing w:after="160"/>
        <w:ind w:left="1080" w:right="720"/>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D6111C">
      <w:pPr>
        <w:numPr>
          <w:ilvl w:val="0"/>
          <w:numId w:val="54"/>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xml:space="preserve">, or </w:t>
      </w:r>
      <w:r w:rsidR="00DE763A">
        <w:rPr>
          <w:szCs w:val="22"/>
        </w:rPr>
        <w:lastRenderedPageBreak/>
        <w:t>similar document</w:t>
      </w:r>
      <w:r w:rsidR="0066785A">
        <w:rPr>
          <w:rStyle w:val="FootnoteReference"/>
          <w:szCs w:val="22"/>
        </w:rPr>
        <w:footnoteReference w:id="12"/>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D6111C">
      <w:pPr>
        <w:numPr>
          <w:ilvl w:val="0"/>
          <w:numId w:val="54"/>
        </w:numPr>
        <w:spacing w:after="160"/>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0C1699FA" w:rsidR="004F761D" w:rsidRDefault="00BA3BBD" w:rsidP="00D6111C">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D6111C">
      <w:pPr>
        <w:pStyle w:val="Heading2"/>
        <w:numPr>
          <w:ilvl w:val="0"/>
          <w:numId w:val="85"/>
        </w:numPr>
        <w:rPr>
          <w:b w:val="0"/>
          <w:smallCaps w:val="0"/>
        </w:rPr>
      </w:pPr>
      <w:bookmarkStart w:id="65" w:name="_Toc522777847"/>
      <w:bookmarkStart w:id="66" w:name="_Toc26361580"/>
      <w:bookmarkStart w:id="67" w:name="_Toc143172708"/>
      <w:r w:rsidRPr="002D46F7">
        <w:t>Background</w:t>
      </w:r>
      <w:bookmarkEnd w:id="65"/>
      <w:bookmarkEnd w:id="66"/>
      <w:bookmarkEnd w:id="67"/>
    </w:p>
    <w:p w14:paraId="239A2223" w14:textId="77777777" w:rsidR="00BA3BBD" w:rsidRPr="00BA3BBD" w:rsidRDefault="00BA3BBD" w:rsidP="00D6111C">
      <w:pPr>
        <w:numPr>
          <w:ilvl w:val="0"/>
          <w:numId w:val="48"/>
        </w:numPr>
        <w:tabs>
          <w:tab w:val="num" w:pos="360"/>
        </w:tabs>
        <w:rPr>
          <w:b/>
        </w:rPr>
      </w:pPr>
      <w:bookmarkStart w:id="68" w:name="_Toc433981280"/>
      <w:bookmarkStart w:id="69" w:name="_Toc395180627"/>
      <w:bookmarkStart w:id="70" w:name="_Toc382571129"/>
      <w:bookmarkStart w:id="71" w:name="_Toc381079870"/>
      <w:r w:rsidRPr="00BA3BBD">
        <w:rPr>
          <w:b/>
        </w:rPr>
        <w:t>Electric Program Investment Charge (EPIC) Program</w:t>
      </w:r>
      <w:bookmarkEnd w:id="68"/>
      <w:bookmarkEnd w:id="69"/>
      <w:bookmarkEnd w:id="70"/>
      <w:bookmarkEnd w:id="71"/>
    </w:p>
    <w:p w14:paraId="6B1C6597" w14:textId="4B36EA69" w:rsidR="00BA3BBD" w:rsidRPr="00BA3BBD" w:rsidRDefault="00BA3BBD" w:rsidP="00D6111C">
      <w:r w:rsidRPr="00BA3BBD">
        <w:t>This solicitation will award projects funded by the EPIC, an electricity ratepayer surcharge established by the CPUC in December 2011.</w:t>
      </w:r>
      <w:r w:rsidRPr="00BA3BBD">
        <w:rPr>
          <w:rFonts w:ascii="Times New Roman" w:hAnsi="Times New Roman" w:cs="Times New Roman"/>
          <w:vertAlign w:val="superscript"/>
        </w:rPr>
        <w:footnoteReference w:id="13"/>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14"/>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5"/>
      </w:r>
      <w:r w:rsidRPr="00BA3BBD">
        <w:t xml:space="preserve">  The EPIC program is administered by the CEC and the IOUs.</w:t>
      </w:r>
    </w:p>
    <w:p w14:paraId="3B7239A2" w14:textId="77777777" w:rsidR="00BA3BBD" w:rsidRPr="00BA3BBD" w:rsidRDefault="00BA3BBD" w:rsidP="00D6111C">
      <w:pPr>
        <w:spacing w:after="0"/>
      </w:pPr>
    </w:p>
    <w:p w14:paraId="2819C55C" w14:textId="77777777" w:rsidR="00BA3BBD" w:rsidRPr="00BA3BBD" w:rsidRDefault="00BA3BBD" w:rsidP="00D6111C">
      <w:pPr>
        <w:numPr>
          <w:ilvl w:val="0"/>
          <w:numId w:val="95"/>
        </w:numPr>
        <w:tabs>
          <w:tab w:val="num" w:pos="360"/>
        </w:tabs>
        <w:rPr>
          <w:b/>
        </w:rPr>
      </w:pPr>
      <w:bookmarkStart w:id="72" w:name="PrgmAreas"/>
      <w:bookmarkStart w:id="73" w:name="chkAugment"/>
      <w:r w:rsidRPr="00BA3BBD">
        <w:rPr>
          <w:b/>
        </w:rPr>
        <w:t>Program Areas, Strategic Objectives, and Funding Initiatives</w:t>
      </w:r>
    </w:p>
    <w:bookmarkEnd w:id="72"/>
    <w:p w14:paraId="7FB51529" w14:textId="77777777" w:rsidR="00BA3BBD" w:rsidRPr="00BA3BBD" w:rsidRDefault="00BA3BBD" w:rsidP="00D6111C">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D6111C">
      <w:pPr>
        <w:numPr>
          <w:ilvl w:val="0"/>
          <w:numId w:val="55"/>
        </w:numPr>
      </w:pPr>
      <w:r w:rsidRPr="00BA3BBD">
        <w:t>Applied research and development;</w:t>
      </w:r>
    </w:p>
    <w:p w14:paraId="6B8763ED" w14:textId="77777777" w:rsidR="00BA3BBD" w:rsidRPr="00BA3BBD" w:rsidRDefault="00BA3BBD" w:rsidP="00D6111C">
      <w:pPr>
        <w:numPr>
          <w:ilvl w:val="0"/>
          <w:numId w:val="55"/>
        </w:numPr>
      </w:pPr>
      <w:r w:rsidRPr="00BA3BBD">
        <w:t xml:space="preserve">Technology demonstration and deployment; and </w:t>
      </w:r>
    </w:p>
    <w:p w14:paraId="441174A2" w14:textId="1277E5F3" w:rsidR="00BA3BBD" w:rsidRDefault="00BA3BBD" w:rsidP="00D6111C">
      <w:pPr>
        <w:numPr>
          <w:ilvl w:val="0"/>
          <w:numId w:val="55"/>
        </w:numPr>
      </w:pPr>
      <w:r w:rsidRPr="00BA3BBD">
        <w:lastRenderedPageBreak/>
        <w:t>Market facilitation</w:t>
      </w:r>
      <w:r w:rsidR="006B7447">
        <w:t>.</w:t>
      </w:r>
    </w:p>
    <w:p w14:paraId="3F2D6733" w14:textId="77777777" w:rsidR="00CD2295" w:rsidRPr="00BA3BBD" w:rsidRDefault="00CD2295" w:rsidP="00D6111C">
      <w:pPr>
        <w:spacing w:after="0"/>
        <w:ind w:left="360"/>
      </w:pPr>
    </w:p>
    <w:p w14:paraId="6CB4364D" w14:textId="470F1215" w:rsidR="00BA3BBD" w:rsidRPr="00BA3BBD" w:rsidRDefault="00BA3BBD" w:rsidP="00D6111C">
      <w:pPr>
        <w:rPr>
          <w:szCs w:val="22"/>
        </w:rPr>
      </w:pPr>
      <w:r w:rsidRPr="00BA3BBD">
        <w:t>In addition, projects must fall within one of the general focus areas (</w:t>
      </w:r>
      <w:r w:rsidRPr="00BA3BBD">
        <w:rPr>
          <w:b/>
        </w:rPr>
        <w:t>“strategic objectives”</w:t>
      </w:r>
      <w:r w:rsidRPr="00BA3BBD">
        <w:t>) identified in the CEC’s EPIC Investment Plans</w:t>
      </w:r>
      <w:r w:rsidRPr="00BA3BBD">
        <w:rPr>
          <w:rFonts w:cs="Times New Roman"/>
          <w:vertAlign w:val="superscript"/>
        </w:rPr>
        <w:footnoteReference w:id="16"/>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objective, and funding initiative:</w:t>
      </w:r>
    </w:p>
    <w:p w14:paraId="2CCDEC67" w14:textId="77777777" w:rsidR="00F82B35" w:rsidRPr="00C53245" w:rsidRDefault="00F82B35" w:rsidP="00D6111C">
      <w:r w:rsidRPr="00C53245">
        <w:t>Electric Program Investment Charge 2021-2025 Investment Plan</w:t>
      </w:r>
    </w:p>
    <w:p w14:paraId="72F306C1" w14:textId="77777777" w:rsidR="00F82B35" w:rsidRPr="00023D02" w:rsidRDefault="00F82B35" w:rsidP="00D6111C">
      <w:pPr>
        <w:numPr>
          <w:ilvl w:val="0"/>
          <w:numId w:val="56"/>
        </w:numPr>
      </w:pPr>
      <w:bookmarkStart w:id="74" w:name="_Toc395180628"/>
      <w:bookmarkStart w:id="75" w:name="_Toc382571130"/>
      <w:bookmarkStart w:id="76" w:name="_Toc381079871"/>
      <w:r w:rsidRPr="00F82B35">
        <w:rPr>
          <w:b/>
          <w:bCs/>
        </w:rPr>
        <w:t>Program Area:</w:t>
      </w:r>
      <w:r w:rsidRPr="00F82B35">
        <w:t xml:space="preserve"> </w:t>
      </w:r>
      <w:r w:rsidRPr="00023D02">
        <w:t>Technology Demonstration and Deployment</w:t>
      </w:r>
    </w:p>
    <w:p w14:paraId="7057040F" w14:textId="77777777" w:rsidR="00F82B35" w:rsidRPr="00023D02" w:rsidRDefault="00F82B35" w:rsidP="00D6111C">
      <w:pPr>
        <w:numPr>
          <w:ilvl w:val="0"/>
          <w:numId w:val="56"/>
        </w:numPr>
      </w:pPr>
      <w:r w:rsidRPr="00023D02">
        <w:rPr>
          <w:b/>
        </w:rPr>
        <w:t>Strategic Objective</w:t>
      </w:r>
      <w:r w:rsidRPr="00023D02">
        <w:t xml:space="preserve">: </w:t>
      </w:r>
      <w:r w:rsidRPr="00023D02">
        <w:rPr>
          <w:iCs/>
        </w:rPr>
        <w:t>Create a More Nimble Grid to Maintain Reliability as California Transitions to 100 Percent Clean Energy</w:t>
      </w:r>
      <w:r w:rsidRPr="00023D02" w:rsidDel="00D63A5F">
        <w:t xml:space="preserve"> </w:t>
      </w:r>
      <w:bookmarkEnd w:id="74"/>
      <w:bookmarkEnd w:id="75"/>
      <w:bookmarkEnd w:id="76"/>
    </w:p>
    <w:p w14:paraId="5543ADA8" w14:textId="77777777" w:rsidR="00F82B35" w:rsidRPr="00023D02" w:rsidRDefault="00F82B35" w:rsidP="00D6111C">
      <w:pPr>
        <w:numPr>
          <w:ilvl w:val="0"/>
          <w:numId w:val="56"/>
        </w:numPr>
      </w:pPr>
      <w:bookmarkStart w:id="77" w:name="_Toc395180629"/>
      <w:bookmarkStart w:id="78" w:name="_Toc382571131"/>
      <w:bookmarkStart w:id="79" w:name="_Toc381079872"/>
      <w:r w:rsidRPr="00023D02">
        <w:rPr>
          <w:b/>
        </w:rPr>
        <w:t>Initiative:</w:t>
      </w:r>
      <w:r w:rsidRPr="00023D02">
        <w:t xml:space="preserve"> </w:t>
      </w:r>
      <w:r w:rsidRPr="00023D02">
        <w:rPr>
          <w:iCs/>
        </w:rPr>
        <w:t>Grid Modernization</w:t>
      </w:r>
      <w:r w:rsidRPr="00023D02" w:rsidDel="00D63A5F">
        <w:t xml:space="preserve"> </w:t>
      </w:r>
      <w:bookmarkEnd w:id="77"/>
      <w:bookmarkEnd w:id="78"/>
      <w:bookmarkEnd w:id="79"/>
    </w:p>
    <w:p w14:paraId="2069E9C3" w14:textId="77777777" w:rsidR="00F82B35" w:rsidRPr="00023D02" w:rsidRDefault="00F82B35" w:rsidP="00D6111C">
      <w:pPr>
        <w:numPr>
          <w:ilvl w:val="1"/>
          <w:numId w:val="56"/>
        </w:numPr>
        <w:rPr>
          <w:sz w:val="16"/>
          <w:szCs w:val="16"/>
        </w:rPr>
      </w:pPr>
      <w:bookmarkStart w:id="80" w:name="_Toc395180630"/>
      <w:bookmarkStart w:id="81" w:name="_Toc382571132"/>
      <w:bookmarkStart w:id="82" w:name="_Toc381079873"/>
      <w:r w:rsidRPr="00023D02">
        <w:rPr>
          <w:b/>
        </w:rPr>
        <w:t xml:space="preserve">Funding Topic 11: </w:t>
      </w:r>
      <w:bookmarkEnd w:id="80"/>
      <w:bookmarkEnd w:id="81"/>
      <w:bookmarkEnd w:id="82"/>
      <w:r w:rsidRPr="00023D02">
        <w:rPr>
          <w:iCs/>
        </w:rPr>
        <w:t>Demonstrate Technologies to Maintain Reliability and Power Quality in the Inverter-centric Grid of the Future</w:t>
      </w:r>
    </w:p>
    <w:p w14:paraId="1A39AE9D" w14:textId="77777777" w:rsidR="00F82B35" w:rsidRPr="00023D02" w:rsidRDefault="00F82B35" w:rsidP="00D6111C">
      <w:pPr>
        <w:numPr>
          <w:ilvl w:val="1"/>
          <w:numId w:val="56"/>
        </w:numPr>
        <w:rPr>
          <w:sz w:val="16"/>
          <w:szCs w:val="16"/>
        </w:rPr>
      </w:pPr>
      <w:r w:rsidRPr="00023D02">
        <w:rPr>
          <w:b/>
        </w:rPr>
        <w:t xml:space="preserve">Funding Topic 12: </w:t>
      </w:r>
      <w:r w:rsidRPr="00023D02">
        <w:rPr>
          <w:iCs/>
        </w:rPr>
        <w:t>Furthering Cybersecurity with Highly Modulatable Grid Resources</w:t>
      </w:r>
    </w:p>
    <w:p w14:paraId="3CF36FF8" w14:textId="77777777" w:rsidR="00BA3BBD" w:rsidRPr="00BA3BBD" w:rsidRDefault="00BA3BBD" w:rsidP="00D6111C">
      <w:pPr>
        <w:spacing w:after="0"/>
        <w:ind w:left="1080"/>
        <w:outlineLvl w:val="2"/>
        <w:rPr>
          <w:b/>
          <w:color w:val="0070C0"/>
          <w:szCs w:val="22"/>
        </w:rPr>
      </w:pPr>
    </w:p>
    <w:p w14:paraId="621B4F97" w14:textId="77777777" w:rsidR="00BA3BBD" w:rsidRPr="00BA3BBD" w:rsidRDefault="00BA3BBD" w:rsidP="00D6111C">
      <w:pPr>
        <w:rPr>
          <w:b/>
        </w:rPr>
      </w:pPr>
      <w:bookmarkStart w:id="83" w:name="AppLaws"/>
      <w:r w:rsidRPr="00BA3BBD">
        <w:rPr>
          <w:b/>
        </w:rPr>
        <w:t xml:space="preserve">Applicable Laws, Policies, and Background Documents </w:t>
      </w:r>
    </w:p>
    <w:bookmarkEnd w:id="83"/>
    <w:p w14:paraId="5CD6B83D" w14:textId="77777777" w:rsidR="00BA3BBD" w:rsidRPr="00BA3BBD" w:rsidRDefault="00BA3BBD" w:rsidP="00D6111C">
      <w:r w:rsidRPr="00BA3BBD">
        <w:t>This solicitation addresses the energy goals described in the following laws, policies, and background documents.</w:t>
      </w:r>
    </w:p>
    <w:p w14:paraId="3466F266" w14:textId="77777777" w:rsidR="00BA3BBD" w:rsidRPr="00BA3BBD" w:rsidRDefault="00BA3BBD" w:rsidP="00D6111C">
      <w:pPr>
        <w:spacing w:after="0"/>
        <w:rPr>
          <w:szCs w:val="22"/>
          <w:u w:val="single"/>
        </w:rPr>
      </w:pPr>
    </w:p>
    <w:p w14:paraId="6C6DFEA8" w14:textId="77777777" w:rsidR="00BA3BBD" w:rsidRPr="00971AAF" w:rsidRDefault="00BA3BBD" w:rsidP="00D6111C">
      <w:pPr>
        <w:rPr>
          <w:u w:val="single"/>
        </w:rPr>
      </w:pPr>
      <w:bookmarkStart w:id="84" w:name="RefDocs"/>
      <w:r w:rsidRPr="00BA3BBD">
        <w:rPr>
          <w:u w:val="single"/>
        </w:rPr>
        <w:t>Laws/</w:t>
      </w:r>
      <w:r w:rsidRPr="00971AAF">
        <w:rPr>
          <w:u w:val="single"/>
        </w:rPr>
        <w:t>Regulations</w:t>
      </w:r>
    </w:p>
    <w:p w14:paraId="7EF03D93" w14:textId="694D52EE" w:rsidR="00576F60" w:rsidRDefault="00576F60" w:rsidP="00D6111C">
      <w:pPr>
        <w:pStyle w:val="ListParagraph"/>
        <w:numPr>
          <w:ilvl w:val="0"/>
          <w:numId w:val="106"/>
        </w:numPr>
        <w:spacing w:before="240" w:line="259" w:lineRule="auto"/>
        <w:rPr>
          <w:b/>
          <w:i/>
          <w:color w:val="0070C0"/>
        </w:rPr>
      </w:pPr>
      <w:r w:rsidRPr="00971AAF">
        <w:rPr>
          <w:b/>
        </w:rPr>
        <w:t xml:space="preserve">Disadvantaged </w:t>
      </w:r>
      <w:r w:rsidRPr="00AA6EA3">
        <w:rPr>
          <w:b/>
        </w:rPr>
        <w:t xml:space="preserve">&amp; Low-income Communities </w:t>
      </w:r>
    </w:p>
    <w:p w14:paraId="61773FAA" w14:textId="77777777" w:rsidR="00576F60" w:rsidRPr="00AA6EA3" w:rsidRDefault="00576F60" w:rsidP="00D6111C">
      <w:pPr>
        <w:pStyle w:val="ListParagraph"/>
        <w:spacing w:before="240" w:line="259" w:lineRule="auto"/>
        <w:ind w:left="840"/>
        <w:rPr>
          <w:b/>
          <w:i/>
          <w:color w:val="0070C0"/>
        </w:rPr>
      </w:pPr>
      <w:r w:rsidRPr="00AA6EA3">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AA6EA3">
        <w:rPr>
          <w:rFonts w:cs="Times New Roman"/>
          <w:vertAlign w:val="superscript"/>
        </w:rPr>
        <w:footnoteReference w:id="17"/>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18"/>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19"/>
      </w:r>
    </w:p>
    <w:p w14:paraId="5D0A50B2" w14:textId="77777777" w:rsidR="00576F60" w:rsidRPr="00AA6EA3" w:rsidRDefault="00576F60" w:rsidP="00D6111C">
      <w:pPr>
        <w:spacing w:after="0"/>
        <w:ind w:left="720"/>
      </w:pPr>
      <w:r w:rsidRPr="00AA6EA3">
        <w:t xml:space="preserve">Disadvantaged Communities are those designated pursuant to Health and Safety Code section 39711 as representing the 25% highest scoring census tracts in CalEnviroScreen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D6111C">
      <w:pPr>
        <w:autoSpaceDE w:val="0"/>
        <w:autoSpaceDN w:val="0"/>
        <w:adjustRightInd w:val="0"/>
        <w:spacing w:after="0"/>
      </w:pPr>
    </w:p>
    <w:p w14:paraId="3085C4AA" w14:textId="77777777" w:rsidR="00576F60" w:rsidRPr="00AA6EA3" w:rsidRDefault="00576F60" w:rsidP="00D6111C">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D6111C">
      <w:pPr>
        <w:numPr>
          <w:ilvl w:val="0"/>
          <w:numId w:val="90"/>
        </w:numPr>
        <w:shd w:val="clear" w:color="auto" w:fill="FFFFFF"/>
        <w:textAlignment w:val="baseline"/>
      </w:pPr>
      <w:r w:rsidRPr="00AA6EA3">
        <w:t>Eighty percent of the statewide median income.</w:t>
      </w:r>
    </w:p>
    <w:p w14:paraId="3FAC83CA" w14:textId="40DC8BC4" w:rsidR="00576F60" w:rsidRPr="00AA6EA3" w:rsidRDefault="00576F60" w:rsidP="00D6111C">
      <w:pPr>
        <w:numPr>
          <w:ilvl w:val="0"/>
          <w:numId w:val="90"/>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719E81C3" w:rsidR="00576F60" w:rsidRPr="00AA6EA3" w:rsidRDefault="00202783" w:rsidP="00D6111C">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hyperlink r:id="rId25" w:history="1">
        <w:r w:rsidR="00536AA0" w:rsidRPr="00C865FA">
          <w:rPr>
            <w:rStyle w:val="Hyperlink"/>
            <w:rFonts w:cs="Arial"/>
          </w:rPr>
          <w:t>https://gis.carb.arb.ca.gov/portal/apps/experiencebuilder/experience/?id=6b4b15f8c6514733972cabdda3108348</w:t>
        </w:r>
      </w:hyperlink>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D6111C">
      <w:pPr>
        <w:spacing w:after="0"/>
        <w:rPr>
          <w:rFonts w:cs="Times New Roman"/>
          <w:bCs/>
        </w:rPr>
      </w:pPr>
    </w:p>
    <w:p w14:paraId="7911A20E" w14:textId="77777777" w:rsidR="00576F60" w:rsidRPr="00AA6EA3" w:rsidRDefault="00576F60" w:rsidP="00D6111C">
      <w:pPr>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D6111C">
      <w:pPr>
        <w:rPr>
          <w:u w:val="single"/>
        </w:rPr>
      </w:pPr>
    </w:p>
    <w:p w14:paraId="5C962852" w14:textId="77777777" w:rsidR="00376F9F" w:rsidRPr="00BA3BBD" w:rsidRDefault="00376F9F" w:rsidP="00D6111C">
      <w:pPr>
        <w:numPr>
          <w:ilvl w:val="0"/>
          <w:numId w:val="76"/>
        </w:numPr>
        <w:rPr>
          <w:b/>
          <w:bCs/>
        </w:rPr>
      </w:pPr>
      <w:r w:rsidRPr="00BA3BBD">
        <w:rPr>
          <w:b/>
          <w:bCs/>
        </w:rPr>
        <w:t>Senate Bill (SB) 100 - The 100 Percent Clean Energy Act of 2018</w:t>
      </w:r>
    </w:p>
    <w:p w14:paraId="0795B812" w14:textId="79835006" w:rsidR="00376F9F" w:rsidRPr="00BA3BBD" w:rsidRDefault="00376F9F" w:rsidP="00D6111C">
      <w:pPr>
        <w:ind w:left="720"/>
        <w:rPr>
          <w:rFonts w:eastAsia="Calibri"/>
        </w:rPr>
      </w:pPr>
      <w:r w:rsidRPr="00BA3BBD">
        <w:t xml:space="preserve">SB 100 requires that 100 </w:t>
      </w:r>
      <w:r w:rsidR="617261E7">
        <w:t>percent</w:t>
      </w:r>
      <w:r w:rsidRPr="00BA3BBD">
        <w:t xml:space="preserve"> of retail sales of electricity to California end-use customers and 100 </w:t>
      </w:r>
      <w:r w:rsidR="1D1EF225">
        <w:t>percent</w:t>
      </w:r>
      <w:r w:rsidRPr="00BA3BBD">
        <w:t xml:space="preserve"> of electricity procured to serve all state agencies come from eligible renewable energy resources and zero-carbon resources by December 31, 2045. The bill requires the CPUC and the </w:t>
      </w:r>
      <w:r>
        <w:t>CEC</w:t>
      </w:r>
      <w:r w:rsidRPr="00BA3BBD">
        <w:t xml:space="preserve">, in consultation with </w:t>
      </w:r>
      <w:r>
        <w:t>CARB</w:t>
      </w:r>
      <w:r w:rsidRPr="00BA3BBD">
        <w:t xml:space="preserve"> to ensure that California’s transition to a zero-carbon electric system does not cause or contribute to greenhouse gas emissions (GHG) increases elsewhere in the western grid.</w:t>
      </w:r>
    </w:p>
    <w:p w14:paraId="15C33BB2" w14:textId="77777777" w:rsidR="00376F9F" w:rsidRPr="00BA3BBD" w:rsidRDefault="00376F9F" w:rsidP="00D6111C">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7DD5D521" w14:textId="77777777" w:rsidR="00376F9F" w:rsidRPr="00EF6B0C" w:rsidRDefault="00376F9F" w:rsidP="00D6111C">
      <w:pPr>
        <w:numPr>
          <w:ilvl w:val="0"/>
          <w:numId w:val="109"/>
        </w:numPr>
        <w:shd w:val="clear" w:color="auto" w:fill="FFFFFF"/>
        <w:rPr>
          <w:color w:val="000000"/>
          <w:szCs w:val="22"/>
        </w:rPr>
      </w:pPr>
      <w:r w:rsidRPr="00EF6B0C">
        <w:rPr>
          <w:b/>
          <w:bCs/>
          <w:color w:val="000000"/>
          <w:szCs w:val="22"/>
        </w:rPr>
        <w:t>SB 1020 – Clean Energy, Jobs, and Affordability Act of 2022 </w:t>
      </w:r>
    </w:p>
    <w:p w14:paraId="0F5E5F68" w14:textId="2BA7A115" w:rsidR="00376F9F" w:rsidRPr="00EF6B0C" w:rsidRDefault="00376F9F" w:rsidP="00D6111C">
      <w:pPr>
        <w:shd w:val="clear" w:color="auto" w:fill="FFFFFF" w:themeFill="background1"/>
        <w:ind w:left="720"/>
        <w:rPr>
          <w:color w:val="000000"/>
        </w:rPr>
      </w:pPr>
      <w:r w:rsidRPr="50016988">
        <w:rPr>
          <w:color w:val="000000" w:themeColor="text1"/>
        </w:rPr>
        <w:t>SB 1020 revises state policy to provide that eligible renewable energy resources and zero-carbon resources supply 90</w:t>
      </w:r>
      <w:r w:rsidR="1BB2DE2D" w:rsidRPr="50016988">
        <w:rPr>
          <w:color w:val="000000" w:themeColor="text1"/>
        </w:rPr>
        <w:t xml:space="preserve"> percent</w:t>
      </w:r>
      <w:r w:rsidRPr="50016988">
        <w:rPr>
          <w:color w:val="000000" w:themeColor="text1"/>
        </w:rPr>
        <w:t xml:space="preserve"> of all retail sales of electricity to California end-use customers by December 31, 2035, 95</w:t>
      </w:r>
      <w:r w:rsidR="4DE59301" w:rsidRPr="50016988">
        <w:rPr>
          <w:color w:val="000000" w:themeColor="text1"/>
        </w:rPr>
        <w:t xml:space="preserve"> percent</w:t>
      </w:r>
      <w:r w:rsidRPr="50016988">
        <w:rPr>
          <w:color w:val="000000" w:themeColor="text1"/>
        </w:rPr>
        <w:t xml:space="preserve"> of all retail sales of electricity to California end-use customers by December 31, 2040, 100</w:t>
      </w:r>
      <w:r w:rsidR="7915479B" w:rsidRPr="50016988">
        <w:rPr>
          <w:color w:val="000000" w:themeColor="text1"/>
        </w:rPr>
        <w:t xml:space="preserve"> percent</w:t>
      </w:r>
      <w:r w:rsidRPr="50016988">
        <w:rPr>
          <w:color w:val="000000" w:themeColor="text1"/>
        </w:rPr>
        <w:t xml:space="preserve"> of all retail sales of electricity to California end-use customers by December 31, 2045, and 100</w:t>
      </w:r>
      <w:r w:rsidR="6B62C015" w:rsidRPr="50016988">
        <w:rPr>
          <w:color w:val="000000" w:themeColor="text1"/>
        </w:rPr>
        <w:t xml:space="preserve"> percent</w:t>
      </w:r>
      <w:r w:rsidRPr="50016988">
        <w:rPr>
          <w:color w:val="000000" w:themeColor="text1"/>
        </w:rPr>
        <w:t xml:space="preserve"> of electricity procured to serve all state agencies by December 31, 2035, as specified. </w:t>
      </w:r>
    </w:p>
    <w:p w14:paraId="2B16D537" w14:textId="77777777" w:rsidR="00CC124E" w:rsidRDefault="00376F9F" w:rsidP="00D6111C">
      <w:pPr>
        <w:shd w:val="clear" w:color="auto" w:fill="FFFFFF"/>
        <w:spacing w:after="0"/>
        <w:ind w:left="720"/>
        <w:rPr>
          <w:color w:val="000000"/>
          <w:szCs w:val="22"/>
        </w:rPr>
      </w:pPr>
      <w:r w:rsidRPr="00EF6B0C">
        <w:rPr>
          <w:color w:val="000000"/>
          <w:szCs w:val="22"/>
        </w:rPr>
        <w:t>Additional information:</w:t>
      </w:r>
    </w:p>
    <w:p w14:paraId="327EDB8B" w14:textId="1D88FB21" w:rsidR="00376F9F" w:rsidRPr="00E32C52" w:rsidRDefault="00376F9F" w:rsidP="00D6111C">
      <w:pPr>
        <w:shd w:val="clear" w:color="auto" w:fill="FFFFFF"/>
        <w:spacing w:after="0"/>
        <w:ind w:left="720"/>
        <w:rPr>
          <w:szCs w:val="22"/>
        </w:rPr>
      </w:pPr>
      <w:r w:rsidRPr="00E32C52">
        <w:rPr>
          <w:szCs w:val="22"/>
          <w:bdr w:val="none" w:sz="0" w:space="0" w:color="auto" w:frame="1"/>
        </w:rPr>
        <w:t>https://leginfo.legislature.ca.gov/faces/billNavClient.xhtml?bill_id=202120220SB1020</w:t>
      </w:r>
      <w:r w:rsidRPr="00E32C52">
        <w:rPr>
          <w:szCs w:val="22"/>
        </w:rPr>
        <w:t> </w:t>
      </w:r>
    </w:p>
    <w:p w14:paraId="5543E869" w14:textId="4C0DD6D7" w:rsidR="00376F9F" w:rsidRPr="00023D02" w:rsidRDefault="00376F9F" w:rsidP="00D6111C">
      <w:pPr>
        <w:shd w:val="clear" w:color="auto" w:fill="FFFFFF"/>
        <w:spacing w:after="240"/>
        <w:ind w:left="720"/>
        <w:rPr>
          <w:szCs w:val="22"/>
        </w:rPr>
      </w:pPr>
      <w:r w:rsidRPr="00023D02">
        <w:rPr>
          <w:szCs w:val="22"/>
        </w:rPr>
        <w:t>Applicable Law: California Health and Safety Code §§ 38561 et. Seq.</w:t>
      </w:r>
    </w:p>
    <w:p w14:paraId="5A76B7AD" w14:textId="77777777" w:rsidR="00FF79B3" w:rsidRPr="00023D02" w:rsidRDefault="00FF79B3" w:rsidP="00D6111C">
      <w:pPr>
        <w:pStyle w:val="ListParagraph"/>
        <w:numPr>
          <w:ilvl w:val="0"/>
          <w:numId w:val="76"/>
        </w:numPr>
        <w:rPr>
          <w:b/>
        </w:rPr>
      </w:pPr>
      <w:r w:rsidRPr="00023D02">
        <w:rPr>
          <w:b/>
        </w:rPr>
        <w:t>Senate Bill (SB) 846</w:t>
      </w:r>
    </w:p>
    <w:p w14:paraId="17713CAB" w14:textId="0B4EE074" w:rsidR="00FF79B3" w:rsidRPr="00023D02" w:rsidRDefault="00FF79B3" w:rsidP="00D6111C">
      <w:pPr>
        <w:pStyle w:val="ListParagraph"/>
      </w:pPr>
      <w:r w:rsidRPr="00023D02">
        <w:t xml:space="preserve">Requires the </w:t>
      </w:r>
      <w:r w:rsidR="00393EBF" w:rsidRPr="00023D02">
        <w:t>CEC</w:t>
      </w:r>
      <w:r w:rsidRPr="00023D02">
        <w:t xml:space="preserve"> to develop a goal for shifting load to reduce net peak electrical demand and policies to increase demand response and load shifting, along with other actions necessary to support California’s clean energy transition and grid reliability. CEC published the Senate Bill 846 Load-Shift Goal Report in May 2023, establishing a target of 7,000 MW of statewide load-flexibility by 2030. </w:t>
      </w:r>
    </w:p>
    <w:p w14:paraId="0F41A000" w14:textId="7D7928DA" w:rsidR="00D6152A" w:rsidRPr="00023D02" w:rsidRDefault="00FF79B3" w:rsidP="00D6111C">
      <w:pPr>
        <w:pStyle w:val="ListParagraph"/>
        <w:spacing w:after="0"/>
      </w:pPr>
      <w:r w:rsidRPr="00023D02">
        <w:lastRenderedPageBreak/>
        <w:t>Additional Information</w:t>
      </w:r>
      <w:r w:rsidR="00D6152A" w:rsidRPr="00023D02">
        <w:t>:</w:t>
      </w:r>
    </w:p>
    <w:p w14:paraId="6E313746" w14:textId="27E455A2" w:rsidR="00FF79B3" w:rsidRPr="00023D02" w:rsidRDefault="000A1A1B" w:rsidP="00D6111C">
      <w:pPr>
        <w:pStyle w:val="ListParagraph"/>
        <w:spacing w:after="240"/>
      </w:pPr>
      <w:r w:rsidRPr="00023D02">
        <w:t>https://www.energy.ca.gov/publications/2023/senate-bill-846-load-shift-goal-report</w:t>
      </w:r>
      <w:r w:rsidR="00FF79B3" w:rsidRPr="00023D02">
        <w:t xml:space="preserve"> </w:t>
      </w:r>
    </w:p>
    <w:p w14:paraId="424D5201" w14:textId="0D276915" w:rsidR="00B477E6" w:rsidRPr="00023D02" w:rsidRDefault="00B477E6" w:rsidP="00A67586">
      <w:pPr>
        <w:keepNext/>
        <w:numPr>
          <w:ilvl w:val="0"/>
          <w:numId w:val="75"/>
        </w:numPr>
        <w:rPr>
          <w:b/>
        </w:rPr>
      </w:pPr>
      <w:r w:rsidRPr="00023D02">
        <w:rPr>
          <w:b/>
        </w:rPr>
        <w:t>Assembly Bill (AB) 32</w:t>
      </w:r>
      <w:r w:rsidRPr="00023D02">
        <w:rPr>
          <w:rFonts w:cs="Times New Roman"/>
          <w:b/>
          <w:vertAlign w:val="superscript"/>
        </w:rPr>
        <w:footnoteReference w:id="20"/>
      </w:r>
      <w:r w:rsidRPr="00023D02">
        <w:rPr>
          <w:b/>
        </w:rPr>
        <w:t xml:space="preserve"> - Global Warming Solutions Act of 2006 </w:t>
      </w:r>
    </w:p>
    <w:p w14:paraId="2B4FB5E6" w14:textId="58DB737A" w:rsidR="00B477E6" w:rsidRPr="00B477E6" w:rsidRDefault="00B477E6" w:rsidP="00D6111C">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D6111C">
      <w:pPr>
        <w:ind w:left="720"/>
        <w:rPr>
          <w:szCs w:val="22"/>
        </w:rPr>
      </w:pPr>
      <w:r w:rsidRPr="00B477E6">
        <w:t>Additional information:</w:t>
      </w:r>
      <w:r w:rsidRPr="00B477E6">
        <w:rPr>
          <w:color w:val="000000"/>
        </w:rPr>
        <w:t xml:space="preserve"> </w:t>
      </w:r>
      <w:r w:rsidR="00EE44E4" w:rsidRPr="00EE44E4">
        <w:rPr>
          <w:szCs w:val="22"/>
        </w:rPr>
        <w:t xml:space="preserve">https://leginfo.legislature.ca.gov/faces/billNavClient.xhtml?bill_id=200520060AB32http://www.leginfo.ca.gov/pub/15-16/bill/sen/sb_0001-0050/sb_32_bill_20160908_chaptered.htm; </w:t>
      </w:r>
    </w:p>
    <w:p w14:paraId="2C02019C" w14:textId="4F76E275" w:rsidR="00B477E6" w:rsidRPr="00B477E6" w:rsidRDefault="00EE44E4" w:rsidP="00D6111C">
      <w:pPr>
        <w:ind w:left="720"/>
        <w:rPr>
          <w:color w:val="000000"/>
        </w:rPr>
      </w:pPr>
      <w:r w:rsidRPr="00EE44E4">
        <w:rPr>
          <w:szCs w:val="22"/>
        </w:rPr>
        <w:t>https://ww2.arb.ca.gov/our-work/programs/ab-32-climate-change-scoping-plan</w:t>
      </w:r>
    </w:p>
    <w:p w14:paraId="64049B55" w14:textId="77777777" w:rsidR="00B477E6" w:rsidRPr="00B477E6" w:rsidRDefault="00B477E6" w:rsidP="00D6111C">
      <w:pPr>
        <w:spacing w:after="240"/>
        <w:ind w:left="720"/>
      </w:pPr>
      <w:r w:rsidRPr="00B477E6">
        <w:t xml:space="preserve">Applicable Law: California Health and Safety Code §§ 38500 et. seq. </w:t>
      </w:r>
    </w:p>
    <w:p w14:paraId="1FC7E7AB" w14:textId="77777777" w:rsidR="00B477E6" w:rsidRPr="00B477E6" w:rsidRDefault="00B477E6" w:rsidP="00D6111C">
      <w:pPr>
        <w:numPr>
          <w:ilvl w:val="0"/>
          <w:numId w:val="75"/>
        </w:numPr>
        <w:rPr>
          <w:b/>
        </w:rPr>
      </w:pPr>
      <w:r w:rsidRPr="00B477E6">
        <w:rPr>
          <w:b/>
        </w:rPr>
        <w:t>Senate Bill (SB) 32 - California Global Warming Solutions Act of 2006: emissions limit</w:t>
      </w:r>
    </w:p>
    <w:p w14:paraId="530F5227" w14:textId="0FAD45C0" w:rsidR="00B477E6" w:rsidRPr="00B477E6" w:rsidRDefault="00B477E6" w:rsidP="00D6111C">
      <w:pPr>
        <w:ind w:left="720"/>
      </w:pPr>
      <w:r w:rsidRPr="00B477E6">
        <w:t>SB 32 expands on AB 32 by requiring that CARB ensure statewide GHG emissions are reduced to 40</w:t>
      </w:r>
      <w:r w:rsidR="599566BE">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D6111C">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D6111C">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D6111C">
      <w:pPr>
        <w:pStyle w:val="ListParagraph"/>
        <w:numPr>
          <w:ilvl w:val="0"/>
          <w:numId w:val="75"/>
        </w:numPr>
        <w:rPr>
          <w:b/>
        </w:rPr>
      </w:pPr>
      <w:r w:rsidRPr="001B5D0E">
        <w:rPr>
          <w:b/>
        </w:rPr>
        <w:t>Senate Bill (SB) X1-2</w:t>
      </w:r>
      <w:r w:rsidRPr="00BA3BBD">
        <w:rPr>
          <w:rFonts w:cs="Times New Roman"/>
          <w:vertAlign w:val="superscript"/>
        </w:rPr>
        <w:footnoteReference w:id="21"/>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749FC13F" w:rsidR="00BA3BBD" w:rsidRPr="00BA3BBD" w:rsidRDefault="00BA3BBD" w:rsidP="00D6111C">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12DD8539">
        <w:t>percent</w:t>
      </w:r>
      <w:r w:rsidRPr="00BA3BBD">
        <w:t xml:space="preserve"> by the end of 2013, 25 </w:t>
      </w:r>
      <w:r w:rsidR="6447E864">
        <w:t>percent</w:t>
      </w:r>
      <w:r w:rsidRPr="00BA3BBD">
        <w:t xml:space="preserve"> by the end of 2016, and 33 </w:t>
      </w:r>
      <w:r w:rsidR="791992CC">
        <w:t>percent</w:t>
      </w:r>
      <w:r w:rsidRPr="00BA3BBD">
        <w:t xml:space="preserve"> by the end of 2020. </w:t>
      </w:r>
    </w:p>
    <w:p w14:paraId="050964E9" w14:textId="77777777" w:rsidR="00BA3BBD" w:rsidRPr="00BA3BBD" w:rsidRDefault="00BA3BBD" w:rsidP="00D6111C">
      <w:pPr>
        <w:spacing w:after="240"/>
        <w:ind w:left="720"/>
      </w:pPr>
      <w:r w:rsidRPr="00BA3BBD">
        <w:t>Applicable Law: California Public Utilities Code § 399.11 et seq.</w:t>
      </w:r>
    </w:p>
    <w:p w14:paraId="5470DF03" w14:textId="1BD7704B" w:rsidR="00BA3BBD" w:rsidRPr="00BA3BBD" w:rsidRDefault="00BA3BBD" w:rsidP="00D6111C">
      <w:pPr>
        <w:numPr>
          <w:ilvl w:val="0"/>
          <w:numId w:val="75"/>
        </w:numPr>
        <w:rPr>
          <w:b/>
        </w:rPr>
      </w:pPr>
      <w:r w:rsidRPr="00BA3BBD">
        <w:rPr>
          <w:b/>
        </w:rPr>
        <w:t>AB 758</w:t>
      </w:r>
      <w:r w:rsidR="002D18F8">
        <w:rPr>
          <w:rStyle w:val="FootnoteReference"/>
          <w:b/>
        </w:rPr>
        <w:footnoteReference w:id="22"/>
      </w:r>
      <w:r w:rsidRPr="00BA3BBD">
        <w:rPr>
          <w:b/>
        </w:rPr>
        <w:t xml:space="preserve">, Building Efficiency </w:t>
      </w:r>
    </w:p>
    <w:p w14:paraId="092861EA" w14:textId="2DEF88D8" w:rsidR="00BA3BBD" w:rsidRPr="00023D02" w:rsidRDefault="00BA3BBD" w:rsidP="00D6111C">
      <w:pPr>
        <w:ind w:left="720"/>
      </w:pPr>
      <w:r w:rsidRPr="00BA3BBD">
        <w:t xml:space="preserve">AB 758 </w:t>
      </w:r>
      <w:r w:rsidR="00861A92">
        <w:t>directs CEC</w:t>
      </w:r>
      <w:r w:rsidRPr="00BA3BBD">
        <w:t xml:space="preserve"> to collaborate with the C</w:t>
      </w:r>
      <w:r w:rsidR="009400CC">
        <w:t>PUC</w:t>
      </w:r>
      <w:r w:rsidRPr="00BA3BBD">
        <w:t xml:space="preserve"> and </w:t>
      </w:r>
      <w:r w:rsidR="009400CC">
        <w:t>interested parties</w:t>
      </w:r>
      <w:r w:rsidRPr="00BA3BBD">
        <w:t xml:space="preserve"> to develop a comprehensive program to achieve greater energy and water savings in existing residential and nonresidential buildings. </w:t>
      </w:r>
      <w:r w:rsidR="00255204" w:rsidRPr="00255204">
        <w:t xml:space="preserve">This resulted in the Existing Buildings Energy </w:t>
      </w:r>
      <w:r w:rsidR="00255204" w:rsidRPr="00255204">
        <w:lastRenderedPageBreak/>
        <w:t>Efficiency Action Plan, adopted in 2015</w:t>
      </w:r>
      <w:r w:rsidR="00874EA3">
        <w:t>.</w:t>
      </w:r>
      <w:r w:rsidR="003F4FDD" w:rsidRPr="003F4FDD">
        <w:t xml:space="preserve"> </w:t>
      </w:r>
      <w:r w:rsidR="003F4FDD" w:rsidRPr="00023D02">
        <w:t>The 2021 Energy Efficiency Action Plan, the most recent version, was covered in two documents, 1) The 2021 California Building Decarbonization Assessment</w:t>
      </w:r>
      <w:r w:rsidR="00660D14" w:rsidRPr="00023D02">
        <w:rPr>
          <w:rFonts w:cs="Times New Roman"/>
          <w:vertAlign w:val="superscript"/>
        </w:rPr>
        <w:footnoteReference w:id="23"/>
      </w:r>
      <w:r w:rsidR="003F4FDD" w:rsidRPr="00023D02">
        <w:t xml:space="preserve"> and 2) The final 2021 Integrated Energy Policy Report Volume I Building Decarbonization</w:t>
      </w:r>
      <w:r w:rsidR="10CEA471" w:rsidRPr="00023D02">
        <w:t>.</w:t>
      </w:r>
      <w:r w:rsidR="00100132" w:rsidRPr="00023D02">
        <w:rPr>
          <w:rFonts w:cs="Times New Roman"/>
          <w:vertAlign w:val="superscript"/>
        </w:rPr>
        <w:footnoteReference w:id="24"/>
      </w:r>
    </w:p>
    <w:p w14:paraId="6D411018" w14:textId="3632B722" w:rsidR="00BA3BBD" w:rsidRPr="00BA3BBD" w:rsidRDefault="00BA3BBD" w:rsidP="00D6111C">
      <w:pPr>
        <w:ind w:left="720"/>
      </w:pPr>
      <w:r w:rsidRPr="00BA3BBD">
        <w:rPr>
          <w:szCs w:val="22"/>
        </w:rPr>
        <w:t>Additional information:</w:t>
      </w:r>
      <w:r w:rsidRPr="00BA3BBD">
        <w:t xml:space="preserve"> </w:t>
      </w:r>
      <w:r w:rsidR="003E0231" w:rsidRPr="003E0231">
        <w:t>https://leginfo.legislature.ca.gov/faces/billNavClient.xhtml?bill_id=200920100AB758;  https://www.energy.ca.gov/programs-and-topics/programs/energy-efficiency-existing-buildings</w:t>
      </w:r>
    </w:p>
    <w:p w14:paraId="74134A7F" w14:textId="77777777" w:rsidR="00BA3BBD" w:rsidRDefault="00BA3BBD" w:rsidP="00D6111C">
      <w:pPr>
        <w:spacing w:after="240"/>
        <w:ind w:left="720"/>
      </w:pPr>
      <w:r w:rsidRPr="00BA3BBD">
        <w:t>Applicable Law: California Public Resources Code § 25943, California Public Utilities Code §§ 381.2 and 385.2</w:t>
      </w:r>
    </w:p>
    <w:p w14:paraId="57BC1981" w14:textId="77777777" w:rsidR="001A79D4" w:rsidRPr="001A79D4" w:rsidRDefault="001A79D4" w:rsidP="00D6111C">
      <w:pPr>
        <w:numPr>
          <w:ilvl w:val="0"/>
          <w:numId w:val="107"/>
        </w:numPr>
        <w:spacing w:after="240"/>
      </w:pPr>
      <w:r w:rsidRPr="001A79D4">
        <w:rPr>
          <w:b/>
          <w:bCs/>
        </w:rPr>
        <w:t>AB 3232 Zero-Emissions Buildings and Sources of Heat Energy</w:t>
      </w:r>
      <w:r w:rsidRPr="001A79D4">
        <w:t>,   </w:t>
      </w:r>
    </w:p>
    <w:p w14:paraId="662B603F" w14:textId="379F0A58" w:rsidR="001A79D4" w:rsidRPr="001A79D4" w:rsidRDefault="001A79D4" w:rsidP="00D6111C">
      <w:pPr>
        <w:spacing w:after="240"/>
        <w:ind w:left="720"/>
      </w:pPr>
      <w:r w:rsidRPr="001A79D4">
        <w:t>AB 3232 requires the CEC by January 1, 2021, to evaluate the possibility of the state to reduce greenhouse gas emissions from the state’s residential and commercial building stock by at least 40</w:t>
      </w:r>
      <w:r w:rsidR="73FB9195">
        <w:t xml:space="preserve"> percent</w:t>
      </w:r>
      <w:r w:rsidRPr="001A79D4">
        <w:t xml:space="preserve"> below 1990 levels by January 1, 2030. It also requires the commission to include in the 2021 edition of the integrated energy policy </w:t>
      </w:r>
      <w:proofErr w:type="gramStart"/>
      <w:r w:rsidRPr="001A79D4">
        <w:t>report</w:t>
      </w:r>
      <w:proofErr w:type="gramEnd"/>
      <w:r w:rsidRPr="001A79D4">
        <w:t xml:space="preserve"> and all subsequent integrated energy policy reports a report on the emissions of greenhouse gases associated with the supply of energy to residential and commercial buildings.  </w:t>
      </w:r>
    </w:p>
    <w:p w14:paraId="291850CB" w14:textId="77777777" w:rsidR="001A79D4" w:rsidRPr="001A79D4" w:rsidRDefault="001A79D4" w:rsidP="00D6111C">
      <w:pPr>
        <w:spacing w:after="240"/>
        <w:ind w:left="720"/>
      </w:pPr>
      <w:r w:rsidRPr="001A79D4">
        <w:t>Additional information: https://leginfo.legislature.ca.gov/faces/billTextClient.xhtml?bill_id=201720180AB3232 </w:t>
      </w:r>
    </w:p>
    <w:p w14:paraId="47D98B5F" w14:textId="77777777" w:rsidR="001A79D4" w:rsidRPr="001A79D4" w:rsidRDefault="001A79D4" w:rsidP="00D6111C">
      <w:pPr>
        <w:numPr>
          <w:ilvl w:val="0"/>
          <w:numId w:val="76"/>
        </w:numPr>
        <w:spacing w:after="240"/>
        <w:rPr>
          <w:b/>
        </w:rPr>
      </w:pPr>
      <w:r w:rsidRPr="001A79D4">
        <w:rPr>
          <w:b/>
        </w:rPr>
        <w:t>SB 350</w:t>
      </w:r>
      <w:r w:rsidRPr="001A79D4">
        <w:rPr>
          <w:b/>
          <w:vertAlign w:val="superscript"/>
        </w:rPr>
        <w:footnoteReference w:id="25"/>
      </w:r>
      <w:r w:rsidRPr="001A79D4">
        <w:rPr>
          <w:b/>
        </w:rPr>
        <w:t xml:space="preserve"> - Clean Energy and Pollution Reduction Act of 2015 </w:t>
      </w:r>
    </w:p>
    <w:p w14:paraId="7FC4883C" w14:textId="77777777" w:rsidR="001A79D4" w:rsidRPr="001A79D4" w:rsidRDefault="001A79D4" w:rsidP="00D6111C">
      <w:pPr>
        <w:spacing w:after="240"/>
        <w:ind w:left="720"/>
      </w:pPr>
      <w:r w:rsidRPr="001A79D4">
        <w:t>SB 350, among other directives, expanded on AB 758 by directing CEC to establish annual targets to achieve a cumulative doubling of statewide energy efficiency savings in electricity and natural gas final end uses of retail customers by January 1, 2030. This resulted in the Senate Bill 350 Doubling of Energy Efficiency by 2030</w:t>
      </w:r>
      <w:r w:rsidRPr="001A79D4">
        <w:rPr>
          <w:i/>
          <w:iCs/>
        </w:rPr>
        <w:t> </w:t>
      </w:r>
      <w:r w:rsidRPr="001A79D4">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D6111C">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082600D2" w:rsidR="001A79D4" w:rsidRPr="00BA3BBD" w:rsidRDefault="001A79D4" w:rsidP="00D6111C">
      <w:pPr>
        <w:spacing w:after="240"/>
        <w:ind w:left="720"/>
      </w:pPr>
      <w:r w:rsidRPr="001A79D4">
        <w:t xml:space="preserve">Additional information: </w:t>
      </w:r>
      <w:hyperlink r:id="rId26" w:history="1">
        <w:r w:rsidR="00171AE8" w:rsidRPr="001150B2">
          <w:rPr>
            <w:rStyle w:val="Hyperlink"/>
            <w:rFonts w:cs="Arial"/>
          </w:rPr>
          <w:t>https://leginfo.legislature.ca.gov/faces/billTextClient.xhtml?bill_id=201520160SB350</w:t>
        </w:r>
      </w:hyperlink>
      <w:r w:rsidR="00171AE8">
        <w:t xml:space="preserve">; </w:t>
      </w:r>
      <w:hyperlink r:id="rId27" w:history="1">
        <w:r w:rsidR="00171AE8" w:rsidRPr="001150B2">
          <w:rPr>
            <w:rStyle w:val="Hyperlink"/>
            <w:rFonts w:cs="Arial"/>
          </w:rPr>
          <w:t>https://www.energy.ca.gov/programs-and-topics/programs/energy-efficiency-existing-buildings</w:t>
        </w:r>
      </w:hyperlink>
      <w:r w:rsidR="00171AE8">
        <w:t>.</w:t>
      </w:r>
    </w:p>
    <w:p w14:paraId="0888730D" w14:textId="77777777" w:rsidR="00BA3BBD" w:rsidRPr="00BA3BBD" w:rsidRDefault="00BA3BBD" w:rsidP="00D6111C">
      <w:pPr>
        <w:numPr>
          <w:ilvl w:val="0"/>
          <w:numId w:val="21"/>
        </w:numPr>
        <w:tabs>
          <w:tab w:val="left" w:pos="360"/>
          <w:tab w:val="left" w:pos="720"/>
        </w:tabs>
        <w:ind w:left="720"/>
        <w:rPr>
          <w:b/>
        </w:rPr>
      </w:pPr>
      <w:r w:rsidRPr="00BA3BBD">
        <w:rPr>
          <w:b/>
        </w:rPr>
        <w:t>AB 2514</w:t>
      </w:r>
      <w:r w:rsidRPr="00A67586">
        <w:rPr>
          <w:rFonts w:cs="Times New Roman"/>
          <w:b/>
          <w:color w:val="FFFFFF" w:themeColor="background1"/>
          <w:vertAlign w:val="superscript"/>
        </w:rPr>
        <w:footnoteReference w:id="26"/>
      </w:r>
      <w:r w:rsidRPr="00BA3BBD">
        <w:rPr>
          <w:b/>
        </w:rPr>
        <w:t xml:space="preserve"> - Energy Storage Systems, </w:t>
      </w:r>
    </w:p>
    <w:p w14:paraId="75B279DC" w14:textId="77777777" w:rsidR="00BA3BBD" w:rsidRPr="00BA3BBD" w:rsidRDefault="00BA3BBD" w:rsidP="00D6111C">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58ABB47C" w:rsidR="00BA3BBD" w:rsidRPr="00BA3BBD" w:rsidRDefault="00BA3BBD" w:rsidP="00D6111C">
      <w:pPr>
        <w:spacing w:after="0"/>
        <w:ind w:left="720"/>
      </w:pPr>
      <w:r w:rsidRPr="00BA3BBD">
        <w:rPr>
          <w:szCs w:val="22"/>
        </w:rPr>
        <w:t>Additional information:</w:t>
      </w:r>
      <w:r w:rsidRPr="00BA3BBD">
        <w:t xml:space="preserve">  </w:t>
      </w:r>
      <w:hyperlink r:id="rId28" w:history="1">
        <w:r w:rsidR="00171AE8" w:rsidRPr="001150B2">
          <w:rPr>
            <w:rStyle w:val="Hyperlink"/>
            <w:rFonts w:cs="Arial"/>
          </w:rPr>
          <w:t>https://leginfo.legislature.ca.gov/faces/billTextClient.xhtml?bill_id=200920100AB2514</w:t>
        </w:r>
      </w:hyperlink>
      <w:r w:rsidR="00171AE8">
        <w:t xml:space="preserve"> </w:t>
      </w:r>
    </w:p>
    <w:p w14:paraId="3E13D884" w14:textId="777CAF1C" w:rsidR="00BA3BBD" w:rsidRPr="00BA3BBD" w:rsidRDefault="00BA3BBD" w:rsidP="00D6111C">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22E891D5" w14:textId="54E592CA" w:rsidR="00BA3BBD" w:rsidRPr="00BA3BBD" w:rsidRDefault="00BA3BBD" w:rsidP="00D6111C">
      <w:pPr>
        <w:numPr>
          <w:ilvl w:val="0"/>
          <w:numId w:val="76"/>
        </w:numPr>
        <w:spacing w:line="280" w:lineRule="atLeast"/>
        <w:rPr>
          <w:color w:val="000000"/>
        </w:rPr>
      </w:pPr>
      <w:r w:rsidRPr="00BA3BBD">
        <w:rPr>
          <w:b/>
          <w:color w:val="000000"/>
        </w:rPr>
        <w:t>Appliance Efficiency Regulations</w:t>
      </w:r>
    </w:p>
    <w:p w14:paraId="4F2F6A80" w14:textId="6CE9B667" w:rsidR="00BA3BBD" w:rsidRPr="00BA3BBD" w:rsidRDefault="00BA3BBD" w:rsidP="00D6111C">
      <w:pPr>
        <w:autoSpaceDE w:val="0"/>
        <w:autoSpaceDN w:val="0"/>
        <w:adjustRightInd w:val="0"/>
        <w:ind w:left="720"/>
        <w:rPr>
          <w:color w:val="404040"/>
          <w:szCs w:val="22"/>
        </w:rPr>
      </w:pPr>
      <w:r w:rsidRPr="00BA3BBD">
        <w:rPr>
          <w:szCs w:val="22"/>
        </w:rPr>
        <w:t xml:space="preserve">The </w:t>
      </w:r>
      <w:r w:rsidR="00EF3FAE">
        <w:rPr>
          <w:szCs w:val="22"/>
        </w:rPr>
        <w:t>CEC</w:t>
      </w:r>
      <w:r w:rsidRPr="00BA3BBD">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3BAECDC4" w:rsidR="00BA3BBD" w:rsidRPr="00BA3BBD" w:rsidRDefault="00BA3BBD" w:rsidP="00D6111C">
      <w:pPr>
        <w:spacing w:after="0"/>
        <w:ind w:left="720"/>
      </w:pPr>
      <w:r w:rsidRPr="00BA3BBD">
        <w:rPr>
          <w:szCs w:val="22"/>
        </w:rPr>
        <w:t>Additional information:</w:t>
      </w:r>
      <w:r w:rsidRPr="00BA3BBD">
        <w:t xml:space="preserve"> </w:t>
      </w:r>
      <w:r w:rsidRPr="00BA3BBD">
        <w:rPr>
          <w:rFonts w:cs="Times New Roman"/>
        </w:rPr>
        <w:t>http://www.bsc.ca.gov/</w:t>
      </w:r>
      <w:r w:rsidRPr="00BA3BBD">
        <w:t xml:space="preserve">; </w:t>
      </w:r>
      <w:hyperlink r:id="rId29" w:history="1">
        <w:r w:rsidR="00171AE8" w:rsidRPr="001150B2">
          <w:rPr>
            <w:rStyle w:val="Hyperlink"/>
          </w:rPr>
          <w:t>http://www.energy.ca.gov/appliances/</w:t>
        </w:r>
      </w:hyperlink>
      <w:r w:rsidR="00171AE8">
        <w:rPr>
          <w:rFonts w:cs="Times New Roman"/>
        </w:rPr>
        <w:t xml:space="preserve"> </w:t>
      </w:r>
    </w:p>
    <w:p w14:paraId="7ADBF81A" w14:textId="77777777" w:rsidR="00BA3BBD" w:rsidRPr="00BA3BBD" w:rsidRDefault="00BA3BBD" w:rsidP="00D6111C">
      <w:pPr>
        <w:spacing w:after="240"/>
        <w:ind w:left="720"/>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D6111C">
      <w:pPr>
        <w:keepNext/>
        <w:numPr>
          <w:ilvl w:val="0"/>
          <w:numId w:val="76"/>
        </w:numPr>
        <w:spacing w:after="160" w:line="280" w:lineRule="atLeast"/>
        <w:rPr>
          <w:color w:val="000000"/>
        </w:rPr>
      </w:pPr>
      <w:r w:rsidRPr="00BA3BBD">
        <w:rPr>
          <w:b/>
          <w:color w:val="000000"/>
        </w:rPr>
        <w:t>California Energy Code</w:t>
      </w:r>
    </w:p>
    <w:p w14:paraId="554E6F7C" w14:textId="12A2F74E" w:rsidR="00BA3BBD" w:rsidRPr="00BA3BBD" w:rsidRDefault="00BA3BBD" w:rsidP="00D6111C">
      <w:pPr>
        <w:keepNext/>
        <w:ind w:left="720"/>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EF3FAE">
        <w:t>CEC</w:t>
      </w:r>
      <w:r>
        <w:t xml:space="preserve">. The Code ensures that new and existing buildings achieve energy efficiency and preserve outdoor and indoor environmental quality through use of the most energy </w:t>
      </w:r>
      <w:r w:rsidR="250A4C44">
        <w:t>efficient</w:t>
      </w:r>
      <w:r>
        <w:t xml:space="preserve"> technologies and construction</w:t>
      </w:r>
      <w:r w:rsidRPr="50016988">
        <w:rPr>
          <w:rFonts w:cs="Frutiger LT Std 57 Cn"/>
          <w:color w:val="000000" w:themeColor="text1"/>
          <w:sz w:val="18"/>
          <w:szCs w:val="18"/>
        </w:rPr>
        <w:t>.</w:t>
      </w:r>
    </w:p>
    <w:p w14:paraId="3D17C75B" w14:textId="39429E5C" w:rsidR="00BA3BBD" w:rsidRDefault="00BA3BBD" w:rsidP="00D6111C">
      <w:pPr>
        <w:spacing w:after="0"/>
        <w:ind w:left="720"/>
      </w:pPr>
      <w:r w:rsidRPr="00BA3BBD">
        <w:rPr>
          <w:szCs w:val="22"/>
        </w:rPr>
        <w:t>Additional information:</w:t>
      </w:r>
      <w:r w:rsidRPr="00BA3BBD">
        <w:t xml:space="preserve"> </w:t>
      </w:r>
      <w:hyperlink r:id="rId30" w:history="1">
        <w:r w:rsidR="00554CC0" w:rsidRPr="001150B2">
          <w:rPr>
            <w:rStyle w:val="Hyperlink"/>
          </w:rPr>
          <w:t>http://www.energy.ca.gov/title24/</w:t>
        </w:r>
      </w:hyperlink>
      <w:r w:rsidR="00554CC0">
        <w:rPr>
          <w:rFonts w:cs="Times New Roman"/>
        </w:rPr>
        <w:t xml:space="preserve"> </w:t>
      </w:r>
      <w:r w:rsidRPr="00BA3BBD">
        <w:t xml:space="preserve"> </w:t>
      </w:r>
    </w:p>
    <w:p w14:paraId="64E7D330" w14:textId="77777777" w:rsidR="0096758C" w:rsidRPr="00BA3BBD" w:rsidRDefault="0096758C" w:rsidP="00D6111C">
      <w:pPr>
        <w:spacing w:after="0"/>
        <w:ind w:left="720"/>
      </w:pPr>
    </w:p>
    <w:p w14:paraId="5447C9B2" w14:textId="77777777" w:rsidR="00BA3BBD" w:rsidRPr="00BA3BBD" w:rsidRDefault="00BA3BBD" w:rsidP="00D6111C">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D6111C">
      <w:pPr>
        <w:tabs>
          <w:tab w:val="left" w:pos="1170"/>
        </w:tabs>
        <w:spacing w:after="0"/>
        <w:rPr>
          <w:color w:val="000000"/>
          <w:szCs w:val="22"/>
        </w:rPr>
      </w:pPr>
    </w:p>
    <w:p w14:paraId="79F93BD5" w14:textId="6D622E3D" w:rsidR="00BA3BBD" w:rsidRPr="00BA3BBD" w:rsidRDefault="00BA3BBD" w:rsidP="00D6111C">
      <w:pPr>
        <w:keepLines/>
        <w:rPr>
          <w:u w:val="single"/>
        </w:rPr>
      </w:pPr>
      <w:r w:rsidRPr="05E38217">
        <w:rPr>
          <w:u w:val="single"/>
        </w:rPr>
        <w:t>Policies/Plans</w:t>
      </w:r>
    </w:p>
    <w:p w14:paraId="2BF8B5EA" w14:textId="72B5B7C4" w:rsidR="00771A62" w:rsidRPr="00554CC0" w:rsidRDefault="00FC7991" w:rsidP="00D6111C">
      <w:pPr>
        <w:numPr>
          <w:ilvl w:val="0"/>
          <w:numId w:val="21"/>
        </w:numPr>
        <w:tabs>
          <w:tab w:val="left" w:pos="360"/>
          <w:tab w:val="left" w:pos="720"/>
        </w:tabs>
        <w:ind w:left="720"/>
        <w:rPr>
          <w:b/>
          <w:szCs w:val="22"/>
        </w:rPr>
      </w:pPr>
      <w:r w:rsidRPr="00554CC0">
        <w:rPr>
          <w:b/>
          <w:bCs/>
          <w:szCs w:val="22"/>
        </w:rPr>
        <w:t>CPUC</w:t>
      </w:r>
      <w:r w:rsidR="006A676D" w:rsidRPr="00554CC0">
        <w:rPr>
          <w:b/>
          <w:bCs/>
          <w:szCs w:val="22"/>
        </w:rPr>
        <w:t>’s</w:t>
      </w:r>
      <w:r w:rsidRPr="00554CC0">
        <w:rPr>
          <w:b/>
          <w:bCs/>
          <w:szCs w:val="22"/>
        </w:rPr>
        <w:t xml:space="preserve"> </w:t>
      </w:r>
      <w:r w:rsidR="0044049F" w:rsidRPr="00554CC0">
        <w:rPr>
          <w:b/>
          <w:bCs/>
          <w:szCs w:val="22"/>
        </w:rPr>
        <w:t xml:space="preserve">High DER Future </w:t>
      </w:r>
      <w:r w:rsidRPr="00554CC0">
        <w:rPr>
          <w:b/>
          <w:bCs/>
          <w:szCs w:val="22"/>
        </w:rPr>
        <w:t xml:space="preserve">Proceeding </w:t>
      </w:r>
      <w:r w:rsidR="0044049F" w:rsidRPr="00554CC0">
        <w:rPr>
          <w:b/>
          <w:bCs/>
          <w:szCs w:val="22"/>
        </w:rPr>
        <w:t>(R.</w:t>
      </w:r>
      <w:r w:rsidRPr="00554CC0">
        <w:rPr>
          <w:b/>
          <w:bCs/>
          <w:szCs w:val="22"/>
        </w:rPr>
        <w:t>21-016-017</w:t>
      </w:r>
      <w:r w:rsidR="0044049F" w:rsidRPr="00554CC0">
        <w:rPr>
          <w:b/>
          <w:bCs/>
          <w:szCs w:val="22"/>
        </w:rPr>
        <w:t>)</w:t>
      </w:r>
    </w:p>
    <w:p w14:paraId="532BDDB7" w14:textId="38CB4A6A" w:rsidR="00043246" w:rsidRPr="00554CC0" w:rsidRDefault="00043246" w:rsidP="00D6111C">
      <w:pPr>
        <w:ind w:left="720"/>
        <w:rPr>
          <w:szCs w:val="22"/>
        </w:rPr>
      </w:pPr>
      <w:r w:rsidRPr="00554CC0">
        <w:rPr>
          <w:szCs w:val="22"/>
        </w:rPr>
        <w:t xml:space="preserve">The purpose of this Order Instituting Rulemaking is to prepare the electric grid for a high number of </w:t>
      </w:r>
      <w:r w:rsidR="00C72A54" w:rsidRPr="00554CC0">
        <w:rPr>
          <w:szCs w:val="22"/>
        </w:rPr>
        <w:t>DERs</w:t>
      </w:r>
      <w:r w:rsidRPr="00554CC0">
        <w:rPr>
          <w:szCs w:val="22"/>
        </w:rPr>
        <w:t>, including those specific to transportation electrification and as defined in Assembly Bill 327 and Public Utilities Code Section 769.</w:t>
      </w:r>
      <w:r w:rsidR="001C424B" w:rsidRPr="00554CC0">
        <w:t xml:space="preserve"> This Order Instituting Rulemaking will also address unresolved and ongoing issues from the Distribution Resources Plans proceeding (Rulemaking 14-08-013) and Integrated Distributed Energy Resources proceeding (Rulemaking 14-10-003).</w:t>
      </w:r>
      <w:r w:rsidR="001C424B" w:rsidRPr="00554CC0">
        <w:rPr>
          <w:szCs w:val="22"/>
        </w:rPr>
        <w:t xml:space="preserve"> </w:t>
      </w:r>
    </w:p>
    <w:p w14:paraId="09DFEDF2" w14:textId="54E58A86" w:rsidR="00FC7991" w:rsidRPr="00554CC0" w:rsidRDefault="00043246" w:rsidP="00D6111C">
      <w:pPr>
        <w:tabs>
          <w:tab w:val="left" w:pos="360"/>
          <w:tab w:val="left" w:pos="720"/>
        </w:tabs>
        <w:spacing w:after="240"/>
        <w:ind w:left="720"/>
        <w:rPr>
          <w:b/>
          <w:szCs w:val="22"/>
        </w:rPr>
      </w:pPr>
      <w:r w:rsidRPr="00554CC0">
        <w:rPr>
          <w:szCs w:val="22"/>
        </w:rPr>
        <w:lastRenderedPageBreak/>
        <w:t>Additional information: https://docs.cpuc.ca.gov/PublishedDocs/Published/G000/M390/K664/390664433.PDF</w:t>
      </w:r>
    </w:p>
    <w:p w14:paraId="66358047" w14:textId="77777777" w:rsidR="00A616AB" w:rsidRPr="00554CC0" w:rsidRDefault="00A616AB" w:rsidP="00D6111C">
      <w:pPr>
        <w:numPr>
          <w:ilvl w:val="0"/>
          <w:numId w:val="21"/>
        </w:numPr>
        <w:tabs>
          <w:tab w:val="left" w:pos="360"/>
          <w:tab w:val="left" w:pos="720"/>
        </w:tabs>
        <w:ind w:left="720"/>
        <w:rPr>
          <w:b/>
          <w:szCs w:val="22"/>
        </w:rPr>
      </w:pPr>
      <w:r w:rsidRPr="00554CC0">
        <w:rPr>
          <w:b/>
          <w:bCs/>
          <w:szCs w:val="22"/>
        </w:rPr>
        <w:t>CPUC’s Advance Demand Flexibility Through Electric Rates Proceeding (R.22-07-005)</w:t>
      </w:r>
    </w:p>
    <w:p w14:paraId="2D87244C" w14:textId="77777777" w:rsidR="00A616AB" w:rsidRPr="00554CC0" w:rsidRDefault="00A616AB" w:rsidP="00D6111C">
      <w:pPr>
        <w:ind w:left="720"/>
        <w:rPr>
          <w:szCs w:val="22"/>
        </w:rPr>
      </w:pPr>
      <w:r w:rsidRPr="00554CC0">
        <w:t>The purpose of this rulemaking is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associated with meeting the state’s future system load; (d) enable widespread electrification of buildings and transportation to meet the state’s climate goals; (e) reduce long-term system costs through more efficient pricing of electricity; and (f) enable participation in demand flexibility by both bundled and unbundled customers.</w:t>
      </w:r>
    </w:p>
    <w:p w14:paraId="34883ECB" w14:textId="77777777" w:rsidR="00A616AB" w:rsidRPr="00554CC0" w:rsidRDefault="00A616AB" w:rsidP="00D6111C">
      <w:pPr>
        <w:tabs>
          <w:tab w:val="left" w:pos="360"/>
          <w:tab w:val="left" w:pos="720"/>
        </w:tabs>
        <w:spacing w:after="0"/>
        <w:ind w:left="720"/>
        <w:rPr>
          <w:szCs w:val="22"/>
        </w:rPr>
      </w:pPr>
      <w:r w:rsidRPr="00554CC0">
        <w:rPr>
          <w:szCs w:val="22"/>
        </w:rPr>
        <w:t xml:space="preserve">Additional information: </w:t>
      </w:r>
    </w:p>
    <w:p w14:paraId="4AABFBFD" w14:textId="5A3D0558" w:rsidR="006D0C96" w:rsidRPr="00554CC0" w:rsidRDefault="00A2635D" w:rsidP="00D6111C">
      <w:pPr>
        <w:tabs>
          <w:tab w:val="left" w:pos="720"/>
        </w:tabs>
        <w:spacing w:after="240"/>
        <w:ind w:left="720"/>
        <w:rPr>
          <w:bCs/>
          <w:szCs w:val="22"/>
        </w:rPr>
      </w:pPr>
      <w:hyperlink r:id="rId31" w:history="1">
        <w:r w:rsidRPr="001150B2">
          <w:rPr>
            <w:rStyle w:val="Hyperlink"/>
            <w:rFonts w:cs="Arial"/>
            <w:bCs/>
            <w:szCs w:val="22"/>
          </w:rPr>
          <w:t>https://docs.cpuc.ca.gov/PublishedDocs/Published/G000/M496/K285/496285639.PDF</w:t>
        </w:r>
      </w:hyperlink>
      <w:r>
        <w:rPr>
          <w:bCs/>
          <w:szCs w:val="22"/>
        </w:rPr>
        <w:t xml:space="preserve"> </w:t>
      </w:r>
      <w:r w:rsidR="00A616AB" w:rsidRPr="00554CC0">
        <w:rPr>
          <w:bCs/>
          <w:szCs w:val="22"/>
        </w:rPr>
        <w:t xml:space="preserve"> </w:t>
      </w:r>
    </w:p>
    <w:p w14:paraId="1EAEAAC1" w14:textId="0DC7F26D" w:rsidR="005C46DB" w:rsidRPr="00554CC0" w:rsidRDefault="005C46DB" w:rsidP="00D6111C">
      <w:pPr>
        <w:numPr>
          <w:ilvl w:val="0"/>
          <w:numId w:val="21"/>
        </w:numPr>
        <w:tabs>
          <w:tab w:val="left" w:pos="360"/>
          <w:tab w:val="left" w:pos="720"/>
        </w:tabs>
        <w:ind w:left="720"/>
        <w:rPr>
          <w:b/>
          <w:szCs w:val="22"/>
        </w:rPr>
      </w:pPr>
      <w:r w:rsidRPr="00554CC0">
        <w:rPr>
          <w:b/>
          <w:szCs w:val="22"/>
        </w:rPr>
        <w:t>DER Action Plan</w:t>
      </w:r>
    </w:p>
    <w:p w14:paraId="607BD3D1" w14:textId="7C5328B2" w:rsidR="00161149" w:rsidRPr="00554CC0" w:rsidRDefault="00161149" w:rsidP="00D6111C">
      <w:pPr>
        <w:pStyle w:val="ListParagraph"/>
        <w:tabs>
          <w:tab w:val="left" w:pos="360"/>
        </w:tabs>
      </w:pPr>
      <w:r w:rsidRPr="00554CC0">
        <w:t>The CPUC, in its ongoing efforts to help the State achieve a 100 percent clean energy future, adopted Version 2.0</w:t>
      </w:r>
      <w:r w:rsidR="38B43AFA" w:rsidRPr="00554CC0">
        <w:t xml:space="preserve"> of the DER Action Plan</w:t>
      </w:r>
      <w:r w:rsidR="631F8D5D" w:rsidRPr="00554CC0">
        <w:t>.</w:t>
      </w:r>
      <w:r w:rsidRPr="00554CC0">
        <w:rPr>
          <w:rFonts w:cs="Times New Roman"/>
          <w:b/>
          <w:vertAlign w:val="superscript"/>
        </w:rPr>
        <w:footnoteReference w:id="27"/>
      </w:r>
      <w:r w:rsidRPr="00554CC0">
        <w:t xml:space="preserve"> The Plan helps the CPUC guide its utility infrastructure planning and improve coordination across proceedings related to grid planning, affordability, load flexibility, market integration, and customer programs in anticipation of a high-DER future. The DER Action Plan 2.0 will serve as a roadmap for CPUC decision-makers, staff, and </w:t>
      </w:r>
      <w:r w:rsidR="009400CC" w:rsidRPr="00554CC0">
        <w:t>interested parties</w:t>
      </w:r>
      <w:r w:rsidRPr="00554CC0">
        <w:t xml:space="preserve"> as they coordinate development and implementation of forward-thinking policy related to DERs with the goal to maximize the value of DERs on the electric IOUs systems to support affordable and equitable rates.</w:t>
      </w:r>
    </w:p>
    <w:p w14:paraId="0979F0D1" w14:textId="77777777" w:rsidR="00161149" w:rsidRPr="00554CC0" w:rsidRDefault="00161149" w:rsidP="00D6111C">
      <w:pPr>
        <w:pStyle w:val="ListParagraph"/>
        <w:tabs>
          <w:tab w:val="left" w:pos="360"/>
        </w:tabs>
        <w:spacing w:after="0"/>
      </w:pPr>
      <w:r w:rsidRPr="00554CC0">
        <w:t xml:space="preserve">Additional Information: </w:t>
      </w:r>
    </w:p>
    <w:p w14:paraId="707912E0" w14:textId="4F3058E4" w:rsidR="005C46DB" w:rsidRPr="00554CC0" w:rsidRDefault="00A2635D" w:rsidP="00D6111C">
      <w:pPr>
        <w:pStyle w:val="ListParagraph"/>
        <w:tabs>
          <w:tab w:val="left" w:pos="360"/>
          <w:tab w:val="left" w:pos="720"/>
        </w:tabs>
        <w:rPr>
          <w:b/>
          <w:szCs w:val="22"/>
        </w:rPr>
      </w:pPr>
      <w:hyperlink r:id="rId32" w:history="1">
        <w:r w:rsidRPr="001150B2">
          <w:rPr>
            <w:rStyle w:val="Hyperlink"/>
            <w:rFonts w:cs="Arial"/>
          </w:rPr>
          <w:t>https://www.cpuc.ca.gov/about-cpuc/divisions/energy-division/der-action-plan</w:t>
        </w:r>
      </w:hyperlink>
      <w:r>
        <w:t xml:space="preserve"> </w:t>
      </w:r>
    </w:p>
    <w:p w14:paraId="65B07190" w14:textId="77777777" w:rsidR="00BA3BBD" w:rsidRPr="00BA3BBD" w:rsidRDefault="00BA3BBD" w:rsidP="00D6111C">
      <w:pPr>
        <w:numPr>
          <w:ilvl w:val="0"/>
          <w:numId w:val="21"/>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D6111C">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6F3345C6" w14:textId="77777777" w:rsidR="00475A4B" w:rsidRDefault="00BA3BBD" w:rsidP="00D6111C">
      <w:pPr>
        <w:spacing w:after="0"/>
        <w:ind w:left="720"/>
      </w:pPr>
      <w:r w:rsidRPr="00BA3BBD">
        <w:rPr>
          <w:szCs w:val="22"/>
        </w:rPr>
        <w:t>Additional information:</w:t>
      </w:r>
      <w:r w:rsidRPr="00BA3BBD">
        <w:t xml:space="preserve"> </w:t>
      </w:r>
    </w:p>
    <w:p w14:paraId="7E11EB00" w14:textId="5F6C71B6" w:rsidR="00BA3BBD" w:rsidRPr="00BA3BBD" w:rsidRDefault="00A2635D" w:rsidP="00D6111C">
      <w:pPr>
        <w:ind w:left="720"/>
      </w:pPr>
      <w:hyperlink r:id="rId33" w:history="1">
        <w:r w:rsidRPr="001150B2">
          <w:rPr>
            <w:rStyle w:val="Hyperlink"/>
            <w:rFonts w:cs="Arial"/>
          </w:rPr>
          <w:t>http://www.energy.ca.gov/energypolicy</w:t>
        </w:r>
      </w:hyperlink>
      <w:r>
        <w:t xml:space="preserve"> </w:t>
      </w:r>
    </w:p>
    <w:p w14:paraId="10714BCD" w14:textId="77777777" w:rsidR="00BA3BBD" w:rsidRPr="00BA3BBD" w:rsidRDefault="00BA3BBD" w:rsidP="00D6111C">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98D07DD" w14:textId="77777777" w:rsidR="00BA3BBD" w:rsidRPr="00D43179" w:rsidRDefault="00BA3BBD" w:rsidP="00D6111C">
      <w:pPr>
        <w:pStyle w:val="ListParagraph"/>
        <w:numPr>
          <w:ilvl w:val="0"/>
          <w:numId w:val="21"/>
        </w:numPr>
        <w:tabs>
          <w:tab w:val="left" w:pos="360"/>
        </w:tabs>
        <w:spacing w:after="240"/>
        <w:ind w:left="720"/>
        <w:rPr>
          <w:szCs w:val="22"/>
        </w:rPr>
      </w:pPr>
      <w:r w:rsidRPr="00D43179">
        <w:rPr>
          <w:b/>
          <w:szCs w:val="22"/>
        </w:rPr>
        <w:t>California’s Existing Buildings Energy Efficiency Action Plan</w:t>
      </w:r>
    </w:p>
    <w:p w14:paraId="62739FBF" w14:textId="77777777" w:rsidR="00BA3BBD" w:rsidRPr="00BA3BBD" w:rsidRDefault="00BA3BBD" w:rsidP="00D6111C">
      <w:pPr>
        <w:tabs>
          <w:tab w:val="left" w:pos="360"/>
        </w:tabs>
        <w:ind w:left="720"/>
        <w:rPr>
          <w:szCs w:val="22"/>
        </w:rPr>
      </w:pPr>
      <w:r w:rsidRPr="00BA3BBD">
        <w:rPr>
          <w:szCs w:val="22"/>
        </w:rPr>
        <w:t xml:space="preserve">The Existing Buildings Energy Efficiency Action Plan provides a 10-year roadmap to activate market forces and transform California’s existing residential, commercial, and public building stock into high performing and energy efficient buildings. The Plan </w:t>
      </w:r>
      <w:r w:rsidRPr="00BA3BBD">
        <w:rPr>
          <w:szCs w:val="22"/>
        </w:rPr>
        <w:lastRenderedPageBreak/>
        <w:t>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D6111C">
      <w:pPr>
        <w:tabs>
          <w:tab w:val="left" w:pos="360"/>
        </w:tabs>
        <w:spacing w:after="0"/>
        <w:ind w:left="720"/>
      </w:pPr>
      <w:r w:rsidRPr="00BA3BBD">
        <w:t xml:space="preserve">Additional Information: </w:t>
      </w:r>
    </w:p>
    <w:p w14:paraId="6C47233B" w14:textId="01822261" w:rsidR="00A614D3" w:rsidRPr="00A614D3" w:rsidRDefault="00A2635D" w:rsidP="00D6111C">
      <w:pPr>
        <w:pStyle w:val="ListParagraph"/>
        <w:autoSpaceDE w:val="0"/>
        <w:autoSpaceDN w:val="0"/>
        <w:adjustRightInd w:val="0"/>
        <w:spacing w:after="240"/>
        <w:rPr>
          <w:b/>
          <w:bCs/>
          <w:szCs w:val="22"/>
        </w:rPr>
      </w:pPr>
      <w:hyperlink r:id="rId34" w:history="1">
        <w:r w:rsidRPr="001150B2">
          <w:rPr>
            <w:rStyle w:val="Hyperlink"/>
            <w:rFonts w:cs="Arial"/>
          </w:rPr>
          <w:t>https://www.energy.ca.gov/programs-and-topics/programs/energy-efficiency-existing-buildings</w:t>
        </w:r>
      </w:hyperlink>
      <w:r>
        <w:t xml:space="preserve"> </w:t>
      </w:r>
      <w:r w:rsidR="00EC2034" w:rsidRPr="00EC2034">
        <w:t xml:space="preserve"> </w:t>
      </w:r>
    </w:p>
    <w:p w14:paraId="001F78B0" w14:textId="77777777" w:rsidR="00EC2034" w:rsidRPr="000B46BF" w:rsidRDefault="00EC2034" w:rsidP="00D6111C">
      <w:pPr>
        <w:pStyle w:val="ListParagraph"/>
        <w:numPr>
          <w:ilvl w:val="0"/>
          <w:numId w:val="43"/>
        </w:numPr>
        <w:autoSpaceDE w:val="0"/>
        <w:autoSpaceDN w:val="0"/>
        <w:adjustRightInd w:val="0"/>
        <w:spacing w:after="160"/>
        <w:ind w:left="720"/>
        <w:rPr>
          <w:b/>
          <w:bCs/>
          <w:szCs w:val="22"/>
        </w:rPr>
      </w:pPr>
      <w:r w:rsidRPr="000B46BF">
        <w:rPr>
          <w:b/>
          <w:bCs/>
          <w:szCs w:val="22"/>
        </w:rPr>
        <w:t>2019 California Energy Efficiency Action Plan</w:t>
      </w:r>
    </w:p>
    <w:p w14:paraId="52659AEE" w14:textId="77777777" w:rsidR="00EC2034" w:rsidRPr="000B46BF" w:rsidRDefault="00EC2034" w:rsidP="00D6111C">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6D884DF9" w14:textId="77777777" w:rsidR="00C46733" w:rsidRDefault="00EC2034" w:rsidP="00D6111C">
      <w:pPr>
        <w:pStyle w:val="ListParagraph"/>
        <w:autoSpaceDE w:val="0"/>
        <w:autoSpaceDN w:val="0"/>
        <w:adjustRightInd w:val="0"/>
        <w:spacing w:after="0"/>
        <w:rPr>
          <w:bCs/>
          <w:szCs w:val="22"/>
        </w:rPr>
      </w:pPr>
      <w:r w:rsidRPr="000B46BF">
        <w:rPr>
          <w:bCs/>
          <w:szCs w:val="22"/>
        </w:rPr>
        <w:t xml:space="preserve">Additional information: </w:t>
      </w:r>
    </w:p>
    <w:p w14:paraId="1EF56FA3" w14:textId="579440D7" w:rsidR="00EC2034" w:rsidRDefault="00B21CB1" w:rsidP="00D6111C">
      <w:pPr>
        <w:pStyle w:val="ListParagraph"/>
        <w:autoSpaceDE w:val="0"/>
        <w:autoSpaceDN w:val="0"/>
        <w:adjustRightInd w:val="0"/>
        <w:spacing w:after="240"/>
        <w:rPr>
          <w:rFonts w:cs="Times New Roman"/>
        </w:rPr>
      </w:pPr>
      <w:r w:rsidRPr="00B21CB1">
        <w:rPr>
          <w:rFonts w:cs="Times New Roman"/>
        </w:rPr>
        <w:t>https://www.energy.ca.gov/programs-and-topics/programs/energy-efficiency-existing-</w:t>
      </w:r>
    </w:p>
    <w:p w14:paraId="2F1A2245" w14:textId="2603E053" w:rsidR="00C66228" w:rsidRPr="00A2635D" w:rsidRDefault="00C66228" w:rsidP="00D6111C">
      <w:pPr>
        <w:widowControl w:val="0"/>
        <w:numPr>
          <w:ilvl w:val="0"/>
          <w:numId w:val="76"/>
        </w:numPr>
        <w:spacing w:after="240"/>
      </w:pPr>
      <w:r w:rsidRPr="00A2635D">
        <w:rPr>
          <w:b/>
        </w:rPr>
        <w:t xml:space="preserve">U.S. Department of Energy </w:t>
      </w:r>
      <w:r w:rsidR="00927885" w:rsidRPr="00A2635D">
        <w:rPr>
          <w:b/>
        </w:rPr>
        <w:t xml:space="preserve">(DOE) </w:t>
      </w:r>
      <w:r w:rsidRPr="00A2635D">
        <w:rPr>
          <w:b/>
        </w:rPr>
        <w:t>Report on Pathways to Commercial Liftoff: Virtual Power Plants</w:t>
      </w:r>
    </w:p>
    <w:p w14:paraId="18A172EE" w14:textId="5CA55BA5" w:rsidR="00C66228" w:rsidRPr="00A2635D" w:rsidRDefault="00FC223A" w:rsidP="00D6111C">
      <w:pPr>
        <w:widowControl w:val="0"/>
        <w:spacing w:after="240"/>
        <w:ind w:left="720"/>
      </w:pPr>
      <w:r w:rsidRPr="00A2635D">
        <w:t>DOE published the Pathways to Commercial Liftoff: Virtual Power Plants report in September 2023</w:t>
      </w:r>
      <w:r w:rsidR="00A32C14" w:rsidRPr="00A2635D">
        <w:t>.</w:t>
      </w:r>
      <w:r w:rsidRPr="00A2635D">
        <w:t xml:space="preserve"> </w:t>
      </w:r>
      <w:r w:rsidR="008B5263" w:rsidRPr="00A2635D">
        <w:t xml:space="preserve">The reports provide the private sector, </w:t>
      </w:r>
      <w:r w:rsidR="1355F0A6" w:rsidRPr="00A2635D">
        <w:t>s</w:t>
      </w:r>
      <w:r w:rsidR="656D8EC5" w:rsidRPr="00A2635D">
        <w:t>tate</w:t>
      </w:r>
      <w:r w:rsidR="008B5263" w:rsidRPr="00A2635D">
        <w:t xml:space="preserve"> governments, and energy industry partners a valuable, engagement-driven resource on how and when certain technologies can reach full-scale deployment. </w:t>
      </w:r>
      <w:r w:rsidRPr="00A2635D">
        <w:t>Since th</w:t>
      </w:r>
      <w:r w:rsidR="007402DB" w:rsidRPr="00A2635D">
        <w:t xml:space="preserve">at </w:t>
      </w:r>
      <w:r w:rsidRPr="00A2635D">
        <w:t xml:space="preserve">publication, VPP adoption has grown; new VPPs deployments, new insights and analyses into benefits, and new tools and resources from within and outside DOE have emerged. The DOE's 2025 VPP Liftoff Report Update highlights that VPPs are a crucial and increasingly cost-effective solution for grid resilience, </w:t>
      </w:r>
      <w:r w:rsidR="2E385B7A" w:rsidRPr="00A2635D">
        <w:t xml:space="preserve">potentially </w:t>
      </w:r>
      <w:r w:rsidRPr="00A2635D">
        <w:t>integrating DERs to serve ~20% of U.S. peak demand by 2030</w:t>
      </w:r>
      <w:r w:rsidR="00C66228" w:rsidRPr="00A2635D">
        <w:t>.</w:t>
      </w:r>
    </w:p>
    <w:p w14:paraId="04C2E157" w14:textId="77777777" w:rsidR="00C66228" w:rsidRPr="00A2635D" w:rsidRDefault="00C66228" w:rsidP="00D6111C">
      <w:pPr>
        <w:widowControl w:val="0"/>
        <w:spacing w:after="0"/>
        <w:ind w:left="720"/>
      </w:pPr>
      <w:r w:rsidRPr="00A2635D">
        <w:t xml:space="preserve">Additional information: </w:t>
      </w:r>
    </w:p>
    <w:p w14:paraId="434B8805" w14:textId="6EEE3912" w:rsidR="00C66228" w:rsidRPr="00A2635D" w:rsidRDefault="00A2635D" w:rsidP="00D6111C">
      <w:pPr>
        <w:widowControl w:val="0"/>
        <w:spacing w:after="240"/>
        <w:ind w:left="720"/>
      </w:pPr>
      <w:hyperlink r:id="rId35" w:history="1">
        <w:r w:rsidRPr="001150B2">
          <w:rPr>
            <w:rStyle w:val="Hyperlink"/>
            <w:rFonts w:cs="Arial"/>
          </w:rPr>
          <w:t>https://www.energy.gov/lpo/articles/doe-releases-new-report-pathways-commercial-liftoff-virtual-power-plants</w:t>
        </w:r>
      </w:hyperlink>
      <w:r>
        <w:t xml:space="preserve"> </w:t>
      </w:r>
    </w:p>
    <w:p w14:paraId="56348417" w14:textId="572A8CB0" w:rsidR="00BA3BBD" w:rsidRPr="00BA3BBD" w:rsidRDefault="00BA3BBD" w:rsidP="00D6111C">
      <w:pPr>
        <w:keepLines/>
        <w:widowControl w:val="0"/>
        <w:tabs>
          <w:tab w:val="left" w:pos="360"/>
        </w:tabs>
        <w:spacing w:before="240"/>
        <w:rPr>
          <w:szCs w:val="22"/>
          <w:u w:val="single"/>
        </w:rPr>
      </w:pPr>
      <w:r w:rsidRPr="00BA3BBD">
        <w:rPr>
          <w:szCs w:val="22"/>
          <w:u w:val="single"/>
        </w:rPr>
        <w:t>Reference Documents</w:t>
      </w:r>
    </w:p>
    <w:bookmarkEnd w:id="84"/>
    <w:p w14:paraId="37BC59F8" w14:textId="184A5FB1" w:rsidR="00BA3BBD" w:rsidRPr="00BA3BBD" w:rsidRDefault="00BA3BBD" w:rsidP="00D6111C">
      <w:pPr>
        <w:keepLines/>
        <w:widowControl w:val="0"/>
        <w:rPr>
          <w:szCs w:val="22"/>
        </w:rPr>
      </w:pPr>
      <w:r w:rsidRPr="00BA3BBD">
        <w:rPr>
          <w:szCs w:val="22"/>
        </w:rPr>
        <w:t xml:space="preserve">Refer to the link below for information about past CEC research projects and activities: </w:t>
      </w:r>
    </w:p>
    <w:p w14:paraId="4FD46359" w14:textId="2FD3C6C5" w:rsidR="00BA3BBD" w:rsidRDefault="00A2635D" w:rsidP="00D6111C">
      <w:pPr>
        <w:keepLines/>
        <w:widowControl w:val="0"/>
        <w:numPr>
          <w:ilvl w:val="0"/>
          <w:numId w:val="44"/>
        </w:numPr>
        <w:spacing w:after="0"/>
        <w:rPr>
          <w:szCs w:val="22"/>
        </w:rPr>
      </w:pPr>
      <w:hyperlink r:id="rId36" w:history="1">
        <w:r w:rsidRPr="001150B2">
          <w:rPr>
            <w:rStyle w:val="Hyperlink"/>
            <w:rFonts w:cs="Arial"/>
          </w:rPr>
          <w:t>http://www.energy.ca.gov/research/</w:t>
        </w:r>
      </w:hyperlink>
      <w:r>
        <w:t xml:space="preserve"> </w:t>
      </w:r>
    </w:p>
    <w:p w14:paraId="606267C4" w14:textId="309F36E5" w:rsidR="00E96433" w:rsidRPr="00E96433" w:rsidRDefault="00A2635D" w:rsidP="00D6111C">
      <w:pPr>
        <w:keepLines/>
        <w:widowControl w:val="0"/>
        <w:numPr>
          <w:ilvl w:val="0"/>
          <w:numId w:val="44"/>
        </w:numPr>
        <w:spacing w:after="0"/>
        <w:rPr>
          <w:szCs w:val="22"/>
        </w:rPr>
      </w:pPr>
      <w:hyperlink r:id="rId37" w:history="1">
        <w:r w:rsidRPr="001150B2">
          <w:rPr>
            <w:rStyle w:val="Hyperlink"/>
            <w:rFonts w:cs="Arial"/>
            <w:szCs w:val="22"/>
          </w:rPr>
          <w:t>https://www.energy.ca.gov/programs-and-topics/programs/electric-program-investment-charge-epic-program</w:t>
        </w:r>
      </w:hyperlink>
      <w:r>
        <w:rPr>
          <w:szCs w:val="22"/>
        </w:rPr>
        <w:t xml:space="preserve"> </w:t>
      </w:r>
      <w:r w:rsidR="00E96433" w:rsidRPr="00E96433">
        <w:rPr>
          <w:szCs w:val="22"/>
        </w:rPr>
        <w:t xml:space="preserve"> </w:t>
      </w:r>
    </w:p>
    <w:p w14:paraId="3A33C011" w14:textId="30C059A4" w:rsidR="00E96433" w:rsidRDefault="00A2635D" w:rsidP="00D6111C">
      <w:pPr>
        <w:keepLines/>
        <w:widowControl w:val="0"/>
        <w:numPr>
          <w:ilvl w:val="0"/>
          <w:numId w:val="44"/>
        </w:numPr>
        <w:spacing w:after="0"/>
        <w:rPr>
          <w:szCs w:val="22"/>
        </w:rPr>
      </w:pPr>
      <w:hyperlink r:id="rId38" w:history="1">
        <w:r w:rsidRPr="001150B2">
          <w:rPr>
            <w:rStyle w:val="Hyperlink"/>
            <w:rFonts w:cs="Arial"/>
            <w:szCs w:val="22"/>
          </w:rPr>
          <w:t>https://www.energy.ca.gov/showcase/energize-innovation</w:t>
        </w:r>
      </w:hyperlink>
      <w:r>
        <w:rPr>
          <w:szCs w:val="22"/>
        </w:rPr>
        <w:t xml:space="preserve"> </w:t>
      </w:r>
    </w:p>
    <w:p w14:paraId="7E18F102" w14:textId="77777777" w:rsidR="00DF7F09" w:rsidRPr="00E96433" w:rsidRDefault="00DF7F09" w:rsidP="00D6111C">
      <w:pPr>
        <w:keepLines/>
        <w:widowControl w:val="0"/>
        <w:spacing w:after="0"/>
        <w:ind w:left="720"/>
        <w:rPr>
          <w:szCs w:val="22"/>
        </w:rPr>
      </w:pPr>
    </w:p>
    <w:p w14:paraId="532E031C" w14:textId="77777777" w:rsidR="00BA3BBD" w:rsidRPr="00BA3BBD" w:rsidRDefault="00BA3BBD" w:rsidP="00D6111C">
      <w:pPr>
        <w:pStyle w:val="Heading2"/>
        <w:numPr>
          <w:ilvl w:val="0"/>
          <w:numId w:val="85"/>
        </w:numPr>
        <w:rPr>
          <w:b w:val="0"/>
          <w:smallCaps w:val="0"/>
        </w:rPr>
      </w:pPr>
      <w:bookmarkStart w:id="85" w:name="_Toc522777848"/>
      <w:bookmarkStart w:id="86" w:name="_Toc26361581"/>
      <w:bookmarkStart w:id="87" w:name="_Toc143172709"/>
      <w:r w:rsidRPr="002D46F7">
        <w:lastRenderedPageBreak/>
        <w:t>Match Funding</w:t>
      </w:r>
      <w:bookmarkEnd w:id="85"/>
      <w:bookmarkEnd w:id="86"/>
      <w:bookmarkEnd w:id="87"/>
    </w:p>
    <w:bookmarkEnd w:id="73"/>
    <w:p w14:paraId="273A2243" w14:textId="6DA9154D" w:rsidR="00BA3BBD" w:rsidRPr="00BA3BBD" w:rsidRDefault="00BA3BBD" w:rsidP="00D6111C">
      <w:pPr>
        <w:numPr>
          <w:ilvl w:val="0"/>
          <w:numId w:val="34"/>
        </w:numPr>
        <w:tabs>
          <w:tab w:val="left" w:pos="1080"/>
        </w:tabs>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D6111C">
      <w:pPr>
        <w:tabs>
          <w:tab w:val="left" w:pos="1080"/>
        </w:tabs>
        <w:ind w:left="108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D6111C">
      <w:pPr>
        <w:tabs>
          <w:tab w:val="left" w:pos="1080"/>
        </w:tabs>
        <w:ind w:left="1080"/>
        <w:rPr>
          <w:szCs w:val="22"/>
        </w:rPr>
      </w:pPr>
      <w:r w:rsidRPr="00BA3BBD">
        <w:rPr>
          <w:szCs w:val="22"/>
        </w:rPr>
        <w:t>Definitions of “match funding” categories are listed below:</w:t>
      </w:r>
    </w:p>
    <w:p w14:paraId="642820B4" w14:textId="3D3B291E" w:rsidR="00BA3BBD" w:rsidRPr="00BA3BBD" w:rsidRDefault="00EC2034" w:rsidP="00D6111C">
      <w:pPr>
        <w:numPr>
          <w:ilvl w:val="2"/>
          <w:numId w:val="34"/>
        </w:numPr>
        <w:tabs>
          <w:tab w:val="left" w:pos="1080"/>
          <w:tab w:val="left" w:pos="1440"/>
          <w:tab w:val="left" w:pos="1530"/>
        </w:tabs>
        <w:spacing w:before="120"/>
        <w:ind w:left="162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4EB9AAB9" w:rsidR="00B46056" w:rsidRPr="00B46056" w:rsidRDefault="00BA3BBD" w:rsidP="00D6111C">
      <w:pPr>
        <w:numPr>
          <w:ilvl w:val="2"/>
          <w:numId w:val="34"/>
        </w:numPr>
        <w:tabs>
          <w:tab w:val="left" w:pos="1080"/>
          <w:tab w:val="left" w:pos="1440"/>
          <w:tab w:val="left" w:pos="1530"/>
        </w:tabs>
        <w:spacing w:before="120"/>
        <w:ind w:left="1620"/>
      </w:pPr>
      <w:r w:rsidRPr="4DCEBAB2">
        <w:rPr>
          <w:b/>
        </w:rPr>
        <w:t>“In-Kind”</w:t>
      </w:r>
      <w:r>
        <w:t xml:space="preserve"> </w:t>
      </w:r>
      <w:r w:rsidRPr="4DCEBAB2">
        <w:rPr>
          <w:b/>
        </w:rPr>
        <w:t>match</w:t>
      </w:r>
      <w:r>
        <w:t xml:space="preserve"> </w:t>
      </w:r>
      <w:r w:rsidR="00211DF3">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D6111C">
      <w:pPr>
        <w:tabs>
          <w:tab w:val="left" w:pos="1080"/>
          <w:tab w:val="left" w:pos="1440"/>
          <w:tab w:val="left" w:pos="1530"/>
        </w:tabs>
        <w:spacing w:before="120"/>
        <w:ind w:left="1800"/>
        <w:rPr>
          <w:szCs w:val="22"/>
        </w:rPr>
      </w:pPr>
      <w:r w:rsidRPr="00B46056">
        <w:rPr>
          <w:szCs w:val="22"/>
        </w:rPr>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D6111C">
      <w:pPr>
        <w:numPr>
          <w:ilvl w:val="0"/>
          <w:numId w:val="34"/>
        </w:numPr>
        <w:tabs>
          <w:tab w:val="left" w:pos="1080"/>
        </w:tabs>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77777777" w:rsidR="00C60730" w:rsidRPr="00BA3BBD" w:rsidRDefault="00C60730" w:rsidP="00D6111C">
      <w:pPr>
        <w:numPr>
          <w:ilvl w:val="0"/>
          <w:numId w:val="34"/>
        </w:numPr>
        <w:tabs>
          <w:tab w:val="left" w:pos="1080"/>
        </w:tabs>
        <w:suppressAutoHyphens/>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0B2EF23F" w:rsidR="00BA3BBD" w:rsidRPr="00BA3BBD" w:rsidRDefault="00BA3BBD" w:rsidP="00D6111C">
      <w:pPr>
        <w:numPr>
          <w:ilvl w:val="0"/>
          <w:numId w:val="34"/>
        </w:numPr>
        <w:tabs>
          <w:tab w:val="left" w:pos="1080"/>
        </w:tabs>
        <w:suppressAutoHyphens/>
      </w:pPr>
      <w:r w:rsidRPr="50016988">
        <w:rPr>
          <w:color w:val="000000" w:themeColor="text1"/>
        </w:rPr>
        <w:t xml:space="preserve">Any match pledged in </w:t>
      </w:r>
      <w:r w:rsidR="007E2B39" w:rsidRPr="50016988">
        <w:rPr>
          <w:color w:val="000000" w:themeColor="text1"/>
        </w:rPr>
        <w:t>an application</w:t>
      </w:r>
      <w:r w:rsidRPr="50016988">
        <w:rPr>
          <w:color w:val="000000" w:themeColor="text1"/>
        </w:rPr>
        <w:t xml:space="preserve"> must be consistent</w:t>
      </w:r>
      <w:r w:rsidR="00917D4A" w:rsidRPr="50016988">
        <w:rPr>
          <w:color w:val="000000" w:themeColor="text1"/>
        </w:rPr>
        <w:t xml:space="preserve">. For example, in the ECAMS system and in the Budget Attachment applicants will be asked to enter the project’s total </w:t>
      </w:r>
      <w:r w:rsidR="00917D4A" w:rsidRPr="50016988">
        <w:rPr>
          <w:color w:val="000000" w:themeColor="text1"/>
        </w:rPr>
        <w:lastRenderedPageBreak/>
        <w:t>match funding. The amounts listed in those places should be consistent</w:t>
      </w:r>
      <w:r w:rsidRPr="50016988">
        <w:rPr>
          <w:color w:val="000000" w:themeColor="text1"/>
        </w:rPr>
        <w:t xml:space="preserve"> with the amount or dollar value described in the commitment letter(s) (e.g., if $5,000 “cash in hand” funds are pledged in a commitment letter, </w:t>
      </w:r>
      <w:r w:rsidR="00D039B6" w:rsidRPr="50016988">
        <w:rPr>
          <w:color w:val="000000" w:themeColor="text1"/>
        </w:rPr>
        <w:t>the match amounts entered in the ECAMS system and in the Budget</w:t>
      </w:r>
      <w:r w:rsidRPr="50016988">
        <w:rPr>
          <w:color w:val="000000" w:themeColor="text1"/>
        </w:rPr>
        <w:t xml:space="preserve"> must match this amount).  </w:t>
      </w:r>
      <w:r w:rsidR="00E2104C" w:rsidRPr="50016988">
        <w:rPr>
          <w:color w:val="000000" w:themeColor="text1"/>
        </w:rPr>
        <w:t>If the amounts listed in an application are inconsistent,</w:t>
      </w:r>
      <w:r w:rsidRPr="50016988">
        <w:rPr>
          <w:color w:val="000000" w:themeColor="text1"/>
        </w:rPr>
        <w:t xml:space="preserve"> the total amount pledged in the commitment letter(s) will be considered for match funding points.</w:t>
      </w:r>
    </w:p>
    <w:p w14:paraId="3D8AF78D" w14:textId="77777777" w:rsidR="00B2692C" w:rsidRPr="00BA3BBD" w:rsidRDefault="00B2692C" w:rsidP="00D6111C">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D6111C">
      <w:pPr>
        <w:numPr>
          <w:ilvl w:val="2"/>
          <w:numId w:val="34"/>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23101602" w:rsidR="00B2692C" w:rsidRPr="00BA3BBD" w:rsidRDefault="00B2692C" w:rsidP="00D6111C">
      <w:pPr>
        <w:numPr>
          <w:ilvl w:val="2"/>
          <w:numId w:val="34"/>
        </w:numPr>
        <w:tabs>
          <w:tab w:val="left" w:pos="1620"/>
        </w:tabs>
        <w:spacing w:before="120"/>
        <w:ind w:left="162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24D1F299" w:rsidRPr="50016988">
        <w:rPr>
          <w:b/>
          <w:bCs/>
          <w:snapToGrid w:val="0"/>
        </w:rPr>
        <w:t>,</w:t>
      </w:r>
      <w:r w:rsidR="00580534">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D6111C">
      <w:pPr>
        <w:numPr>
          <w:ilvl w:val="2"/>
          <w:numId w:val="34"/>
        </w:numPr>
        <w:tabs>
          <w:tab w:val="left" w:pos="1620"/>
        </w:tabs>
        <w:spacing w:before="120"/>
        <w:ind w:left="162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D6111C">
      <w:pPr>
        <w:tabs>
          <w:tab w:val="left" w:pos="1080"/>
        </w:tabs>
        <w:suppressAutoHyphens/>
        <w:ind w:left="1080"/>
        <w:rPr>
          <w:szCs w:val="22"/>
        </w:rPr>
      </w:pPr>
    </w:p>
    <w:p w14:paraId="4AB13524" w14:textId="77777777" w:rsidR="00BA3BBD" w:rsidRPr="00BA3BBD" w:rsidRDefault="00BA3BBD" w:rsidP="00D6111C">
      <w:pPr>
        <w:pStyle w:val="Heading2"/>
        <w:numPr>
          <w:ilvl w:val="0"/>
          <w:numId w:val="85"/>
        </w:numPr>
        <w:rPr>
          <w:b w:val="0"/>
          <w:smallCaps w:val="0"/>
        </w:rPr>
      </w:pPr>
      <w:bookmarkStart w:id="88" w:name="_Toc26361582"/>
      <w:bookmarkStart w:id="89" w:name="_Toc143172710"/>
      <w:r w:rsidRPr="002D46F7">
        <w:t>Funds Spent in California</w:t>
      </w:r>
      <w:bookmarkEnd w:id="88"/>
      <w:bookmarkEnd w:id="89"/>
    </w:p>
    <w:p w14:paraId="0B507BF3" w14:textId="669EB8CD" w:rsidR="00BA3BBD" w:rsidRPr="00BA3BBD" w:rsidRDefault="00BA3BBD" w:rsidP="00D6111C">
      <w:pPr>
        <w:keepNext/>
        <w:keepLines/>
        <w:numPr>
          <w:ilvl w:val="0"/>
          <w:numId w:val="61"/>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D6111C">
      <w:pPr>
        <w:keepNext/>
        <w:keepLines/>
        <w:numPr>
          <w:ilvl w:val="0"/>
          <w:numId w:val="61"/>
        </w:numPr>
        <w:spacing w:before="60" w:after="60"/>
        <w:outlineLvl w:val="2"/>
      </w:pPr>
      <w:r w:rsidRPr="00BA3BBD">
        <w:t xml:space="preserve">"Spent in California" means that: </w:t>
      </w:r>
    </w:p>
    <w:p w14:paraId="593A8F2E" w14:textId="77777777" w:rsidR="00BA3BBD" w:rsidRPr="00BA3BBD" w:rsidRDefault="00BA3BBD" w:rsidP="00D6111C">
      <w:pPr>
        <w:keepNext/>
        <w:keepLines/>
        <w:numPr>
          <w:ilvl w:val="1"/>
          <w:numId w:val="61"/>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D6111C">
      <w:pPr>
        <w:keepNext/>
        <w:keepLines/>
        <w:numPr>
          <w:ilvl w:val="1"/>
          <w:numId w:val="61"/>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D6111C">
      <w:pPr>
        <w:pStyle w:val="ListParagraph"/>
        <w:numPr>
          <w:ilvl w:val="1"/>
          <w:numId w:val="61"/>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D6111C">
      <w:pPr>
        <w:tabs>
          <w:tab w:val="left" w:pos="1170"/>
        </w:tabs>
        <w:autoSpaceDE w:val="0"/>
        <w:autoSpaceDN w:val="0"/>
        <w:adjustRightInd w:val="0"/>
        <w:spacing w:after="0"/>
        <w:ind w:left="720"/>
      </w:pPr>
    </w:p>
    <w:p w14:paraId="6C69AE02" w14:textId="77777777" w:rsidR="00BA3BBD" w:rsidRPr="00BA3BBD" w:rsidRDefault="00BA3BBD" w:rsidP="00D6111C">
      <w:pPr>
        <w:keepNext/>
        <w:keepLines/>
        <w:numPr>
          <w:ilvl w:val="0"/>
          <w:numId w:val="61"/>
        </w:numPr>
        <w:spacing w:before="60" w:after="60"/>
        <w:outlineLvl w:val="2"/>
        <w:rPr>
          <w:szCs w:val="22"/>
        </w:rPr>
      </w:pPr>
      <w:r w:rsidRPr="00BA3BBD">
        <w:rPr>
          <w:szCs w:val="22"/>
        </w:rPr>
        <w:lastRenderedPageBreak/>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D6111C">
      <w:pPr>
        <w:numPr>
          <w:ilvl w:val="1"/>
          <w:numId w:val="61"/>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D6111C">
      <w:pPr>
        <w:numPr>
          <w:ilvl w:val="1"/>
          <w:numId w:val="61"/>
        </w:numPr>
        <w:tabs>
          <w:tab w:val="left" w:pos="1800"/>
        </w:tabs>
        <w:autoSpaceDE w:val="0"/>
        <w:autoSpaceDN w:val="0"/>
        <w:adjustRightInd w:val="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D6111C">
      <w:pPr>
        <w:tabs>
          <w:tab w:val="left" w:pos="1800"/>
        </w:tabs>
        <w:autoSpaceDE w:val="0"/>
        <w:autoSpaceDN w:val="0"/>
        <w:adjustRightInd w:val="0"/>
        <w:ind w:left="1080"/>
        <w:rPr>
          <w:szCs w:val="22"/>
        </w:rPr>
      </w:pPr>
    </w:p>
    <w:p w14:paraId="1AA3EB77" w14:textId="557C18E1" w:rsidR="00BD2B15" w:rsidRDefault="00BD2B15" w:rsidP="00D6111C">
      <w:pPr>
        <w:keepNext/>
        <w:numPr>
          <w:ilvl w:val="0"/>
          <w:numId w:val="85"/>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D6111C">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D6111C">
      <w:pPr>
        <w:spacing w:after="0"/>
      </w:pPr>
      <w:r>
        <w:br w:type="page"/>
      </w:r>
    </w:p>
    <w:p w14:paraId="2B40CFCA" w14:textId="77777777" w:rsidR="0061342D" w:rsidRDefault="001C2D56" w:rsidP="00D6111C">
      <w:pPr>
        <w:pStyle w:val="Heading1"/>
        <w:keepLines w:val="0"/>
        <w:spacing w:before="0" w:after="120"/>
      </w:pPr>
      <w:bookmarkStart w:id="90" w:name="_Toc336443618"/>
      <w:bookmarkStart w:id="91" w:name="_Toc366671173"/>
      <w:bookmarkStart w:id="92" w:name="_Toc143172711"/>
      <w:bookmarkStart w:id="93" w:name="_Toc310513471"/>
      <w:bookmarkStart w:id="94" w:name="_Toc198951306"/>
      <w:bookmarkStart w:id="95" w:name="_Toc201713533"/>
      <w:bookmarkStart w:id="96" w:name="_Toc217726087"/>
      <w:bookmarkStart w:id="97" w:name="_Toc219275083"/>
      <w:bookmarkEnd w:id="1"/>
      <w:bookmarkEnd w:id="2"/>
      <w:bookmarkEnd w:id="3"/>
      <w:bookmarkEnd w:id="4"/>
      <w:bookmarkEnd w:id="5"/>
      <w:bookmarkEnd w:id="6"/>
      <w:bookmarkEnd w:id="51"/>
      <w:bookmarkEnd w:id="52"/>
      <w:bookmarkEnd w:id="53"/>
      <w:r w:rsidRPr="00C31C1D">
        <w:lastRenderedPageBreak/>
        <w:t>II.</w:t>
      </w:r>
      <w:r w:rsidRPr="00C31C1D">
        <w:tab/>
        <w:t>Eligibility Requirements</w:t>
      </w:r>
      <w:bookmarkEnd w:id="90"/>
      <w:bookmarkEnd w:id="91"/>
      <w:bookmarkEnd w:id="92"/>
    </w:p>
    <w:p w14:paraId="70704BB3" w14:textId="77777777" w:rsidR="0067542B" w:rsidRPr="00756BAC" w:rsidRDefault="0067542B" w:rsidP="00D6111C">
      <w:pPr>
        <w:pStyle w:val="Heading2"/>
        <w:numPr>
          <w:ilvl w:val="0"/>
          <w:numId w:val="86"/>
        </w:numPr>
      </w:pPr>
      <w:bookmarkStart w:id="98" w:name="_Toc336443619"/>
      <w:bookmarkStart w:id="99" w:name="_Toc366671174"/>
      <w:bookmarkStart w:id="100" w:name="_Toc143172712"/>
      <w:bookmarkEnd w:id="93"/>
      <w:r w:rsidRPr="00756BAC">
        <w:t>Applicant</w:t>
      </w:r>
      <w:bookmarkEnd w:id="98"/>
      <w:bookmarkEnd w:id="99"/>
      <w:r w:rsidRPr="00756BAC">
        <w:t xml:space="preserve"> Requirements</w:t>
      </w:r>
      <w:bookmarkEnd w:id="100"/>
    </w:p>
    <w:p w14:paraId="1F1511A2" w14:textId="77777777" w:rsidR="00DE1CBD" w:rsidRPr="00BE64A5" w:rsidRDefault="00DE1CBD" w:rsidP="00D6111C">
      <w:pPr>
        <w:numPr>
          <w:ilvl w:val="0"/>
          <w:numId w:val="42"/>
        </w:numPr>
        <w:spacing w:before="240"/>
        <w:rPr>
          <w:b/>
          <w:szCs w:val="22"/>
        </w:rPr>
      </w:pPr>
      <w:bookmarkStart w:id="101" w:name="Elig"/>
      <w:r w:rsidRPr="00BE64A5">
        <w:rPr>
          <w:b/>
          <w:szCs w:val="22"/>
        </w:rPr>
        <w:t>Eligibility</w:t>
      </w:r>
    </w:p>
    <w:bookmarkEnd w:id="101"/>
    <w:p w14:paraId="1AA9FCF2" w14:textId="2B1D7F20" w:rsidR="00527202" w:rsidRPr="00BC7FC1" w:rsidRDefault="00527202" w:rsidP="00D6111C">
      <w:r w:rsidRPr="00BC7FC1">
        <w:t xml:space="preserve">This solicitation is open to all public and </w:t>
      </w:r>
      <w:r w:rsidR="00CA4E84" w:rsidRPr="00BC7FC1">
        <w:t>private entities</w:t>
      </w:r>
      <w:r w:rsidRPr="00BC7FC1">
        <w:t xml:space="preserve"> with the exception of </w:t>
      </w:r>
      <w:r w:rsidR="00BB7B2E" w:rsidRPr="00BC7FC1">
        <w:t xml:space="preserve">local </w:t>
      </w:r>
      <w:r w:rsidRPr="00BC7FC1">
        <w:t>publicly</w:t>
      </w:r>
      <w:r w:rsidR="00BB7B2E" w:rsidRPr="00BC7FC1">
        <w:rPr>
          <w:szCs w:val="22"/>
        </w:rPr>
        <w:t xml:space="preserve"> </w:t>
      </w:r>
      <w:r w:rsidRPr="00BC7FC1">
        <w:t xml:space="preserve">owned </w:t>
      </w:r>
      <w:r w:rsidR="00BB7B2E" w:rsidRPr="00BC7FC1">
        <w:t xml:space="preserve">electric </w:t>
      </w:r>
      <w:r w:rsidRPr="00BC7FC1">
        <w:t>utilities.</w:t>
      </w:r>
      <w:r w:rsidR="00BB7B2E" w:rsidRPr="00BC7FC1">
        <w:rPr>
          <w:rStyle w:val="FootnoteReference"/>
        </w:rPr>
        <w:footnoteReference w:id="28"/>
      </w:r>
      <w:r w:rsidRPr="00BC7FC1">
        <w:rPr>
          <w:szCs w:val="22"/>
        </w:rPr>
        <w:t xml:space="preserve"> </w:t>
      </w:r>
      <w:r w:rsidR="00D06554" w:rsidRPr="00BC7FC1">
        <w:rPr>
          <w:szCs w:val="22"/>
        </w:rPr>
        <w:t xml:space="preserve"> </w:t>
      </w:r>
      <w:r w:rsidRPr="00BC7FC1">
        <w:t xml:space="preserve">In accordance with CPUC Decision 12-05-037, funds administered by the </w:t>
      </w:r>
      <w:r w:rsidR="008F4A0E" w:rsidRPr="00BC7FC1">
        <w:t>CEC</w:t>
      </w:r>
      <w:r w:rsidRPr="00BC7FC1">
        <w:t xml:space="preserve"> may not be used for any purposes associated with </w:t>
      </w:r>
      <w:r w:rsidR="00D06554" w:rsidRPr="00BC7FC1">
        <w:t xml:space="preserve">local </w:t>
      </w:r>
      <w:r w:rsidRPr="00BC7FC1">
        <w:t>publicly</w:t>
      </w:r>
      <w:r w:rsidR="00D06554" w:rsidRPr="00BC7FC1">
        <w:rPr>
          <w:szCs w:val="22"/>
        </w:rPr>
        <w:t xml:space="preserve"> </w:t>
      </w:r>
      <w:r w:rsidRPr="00BC7FC1">
        <w:t xml:space="preserve">owned </w:t>
      </w:r>
      <w:r w:rsidR="00D06554" w:rsidRPr="00BC7FC1">
        <w:t xml:space="preserve">electric </w:t>
      </w:r>
      <w:r w:rsidRPr="00BC7FC1">
        <w:t>utility activities.</w:t>
      </w:r>
      <w:r w:rsidR="00CA0485" w:rsidRPr="00BC7FC1">
        <w:t xml:space="preserve"> </w:t>
      </w:r>
      <w:r w:rsidR="00C64EA5" w:rsidRPr="00BC7FC1">
        <w:t xml:space="preserve">In addition, </w:t>
      </w:r>
      <w:r w:rsidR="00CA0485" w:rsidRPr="00BC7FC1">
        <w:t>IOUs are not eligible to apply as prime recipients; however, applicants are encouraged to include IOUs as a subrecipients or project partners.</w:t>
      </w:r>
      <w:r w:rsidRPr="00BC7FC1">
        <w:t xml:space="preserve"> </w:t>
      </w:r>
    </w:p>
    <w:p w14:paraId="3FC9E9BE" w14:textId="77777777" w:rsidR="00B13BC2" w:rsidRPr="00EB4A0E" w:rsidRDefault="001C2D56" w:rsidP="00D6111C">
      <w:pPr>
        <w:numPr>
          <w:ilvl w:val="0"/>
          <w:numId w:val="42"/>
        </w:numPr>
        <w:spacing w:before="240"/>
        <w:rPr>
          <w:rFonts w:ascii="Arial Bold" w:hAnsi="Arial Bold"/>
          <w:b/>
          <w:smallCaps/>
          <w:u w:val="single"/>
        </w:rPr>
      </w:pPr>
      <w:bookmarkStart w:id="102" w:name="_Toc381079914"/>
      <w:bookmarkStart w:id="103" w:name="_Toc382571176"/>
      <w:bookmarkStart w:id="104" w:name="_Toc395180678"/>
      <w:bookmarkStart w:id="105" w:name="_Toc433981305"/>
      <w:r w:rsidRPr="00C07F85">
        <w:rPr>
          <w:b/>
        </w:rPr>
        <w:t>Terms and Conditions</w:t>
      </w:r>
      <w:bookmarkEnd w:id="102"/>
      <w:bookmarkEnd w:id="103"/>
      <w:bookmarkEnd w:id="104"/>
      <w:bookmarkEnd w:id="105"/>
    </w:p>
    <w:p w14:paraId="43A55AE1" w14:textId="7A96378F" w:rsidR="000023A4" w:rsidRDefault="000023A4" w:rsidP="00D6111C">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6"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6"/>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D6111C">
      <w:bookmarkStart w:id="107"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D6111C">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D6111C">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D6111C">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D6111C">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D6111C">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D6111C">
      <w:r w:rsidRPr="00DD17F7">
        <w:lastRenderedPageBreak/>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7"/>
    </w:p>
    <w:p w14:paraId="1A623A05" w14:textId="77777777" w:rsidR="001C2D56" w:rsidRPr="00C07F85" w:rsidRDefault="001C2D56" w:rsidP="00D6111C">
      <w:pPr>
        <w:numPr>
          <w:ilvl w:val="0"/>
          <w:numId w:val="42"/>
        </w:numPr>
        <w:spacing w:before="240"/>
        <w:rPr>
          <w:b/>
          <w:szCs w:val="22"/>
        </w:rPr>
      </w:pPr>
      <w:r w:rsidRPr="00C07F85">
        <w:rPr>
          <w:b/>
          <w:szCs w:val="22"/>
        </w:rPr>
        <w:t>California Secretary of State Registration</w:t>
      </w:r>
    </w:p>
    <w:p w14:paraId="1D779B01" w14:textId="2485E8F2" w:rsidR="009835B3" w:rsidRDefault="00896485" w:rsidP="00D6111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D6111C">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D6111C">
      <w:pPr>
        <w:numPr>
          <w:ilvl w:val="0"/>
          <w:numId w:val="42"/>
        </w:numPr>
        <w:spacing w:before="240"/>
      </w:pPr>
      <w:r w:rsidRPr="00FB0571">
        <w:rPr>
          <w:b/>
        </w:rPr>
        <w:t>Russia Sanctions </w:t>
      </w:r>
    </w:p>
    <w:p w14:paraId="0336DA6D" w14:textId="77777777" w:rsidR="00FB0571" w:rsidRPr="00FB0571" w:rsidRDefault="00FB0571" w:rsidP="00D6111C">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D6111C">
      <w:pPr>
        <w:rPr>
          <w:szCs w:val="22"/>
        </w:rPr>
      </w:pPr>
      <w:r w:rsidRPr="00FB0571">
        <w:rPr>
          <w:szCs w:val="22"/>
        </w:rPr>
        <w:t> </w:t>
      </w:r>
    </w:p>
    <w:p w14:paraId="6CFB3056" w14:textId="77777777" w:rsidR="00FB0571" w:rsidRPr="00FB0571" w:rsidRDefault="00FB0571" w:rsidP="00D6111C">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D6111C">
      <w:pPr>
        <w:rPr>
          <w:szCs w:val="22"/>
        </w:rPr>
      </w:pPr>
      <w:r w:rsidRPr="00FB0571">
        <w:rPr>
          <w:szCs w:val="22"/>
        </w:rPr>
        <w:t> </w:t>
      </w:r>
    </w:p>
    <w:p w14:paraId="1BF78F95" w14:textId="77777777" w:rsidR="00FB0571" w:rsidRPr="00FB0571" w:rsidRDefault="00FB0571" w:rsidP="00D6111C">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2223383" w14:textId="77777777" w:rsidR="0081409B" w:rsidRDefault="0081409B" w:rsidP="00D6111C">
      <w:pPr>
        <w:rPr>
          <w:szCs w:val="22"/>
        </w:rPr>
      </w:pPr>
    </w:p>
    <w:p w14:paraId="551F0400" w14:textId="77777777" w:rsidR="005E52CD" w:rsidRPr="00BC7FC1" w:rsidRDefault="001C2D56" w:rsidP="00D6111C">
      <w:pPr>
        <w:pStyle w:val="Heading2"/>
        <w:numPr>
          <w:ilvl w:val="0"/>
          <w:numId w:val="86"/>
        </w:numPr>
      </w:pPr>
      <w:bookmarkStart w:id="108" w:name="_Toc336443620"/>
      <w:bookmarkStart w:id="109" w:name="_Toc366671175"/>
      <w:bookmarkStart w:id="110" w:name="_Toc143172713"/>
      <w:bookmarkStart w:id="111" w:name="PrjReq"/>
      <w:r w:rsidRPr="00BC7FC1">
        <w:t>Project</w:t>
      </w:r>
      <w:bookmarkEnd w:id="108"/>
      <w:bookmarkEnd w:id="109"/>
      <w:r w:rsidRPr="00BC7FC1">
        <w:t xml:space="preserve"> Requirements</w:t>
      </w:r>
      <w:bookmarkEnd w:id="110"/>
    </w:p>
    <w:p w14:paraId="21E964EB" w14:textId="65C34A25" w:rsidR="0067542B" w:rsidRPr="00BC7FC1" w:rsidRDefault="0067542B" w:rsidP="00D6111C">
      <w:pPr>
        <w:numPr>
          <w:ilvl w:val="0"/>
          <w:numId w:val="41"/>
        </w:numPr>
        <w:ind w:left="720"/>
        <w:rPr>
          <w:b/>
          <w:szCs w:val="22"/>
        </w:rPr>
      </w:pPr>
      <w:bookmarkStart w:id="112" w:name="_Toc433981307"/>
      <w:bookmarkEnd w:id="111"/>
      <w:r w:rsidRPr="00BC7FC1">
        <w:rPr>
          <w:b/>
          <w:szCs w:val="22"/>
        </w:rPr>
        <w:t>Technology Demonstration and Deployment</w:t>
      </w:r>
      <w:r w:rsidR="00C6409E" w:rsidRPr="00BC7FC1">
        <w:rPr>
          <w:b/>
          <w:szCs w:val="22"/>
        </w:rPr>
        <w:t xml:space="preserve"> </w:t>
      </w:r>
      <w:r w:rsidRPr="00BC7FC1">
        <w:rPr>
          <w:b/>
          <w:szCs w:val="22"/>
        </w:rPr>
        <w:t>Stage</w:t>
      </w:r>
    </w:p>
    <w:p w14:paraId="31AD684F" w14:textId="77777777" w:rsidR="00ED5203" w:rsidRPr="00BC7FC1" w:rsidRDefault="00ED5203" w:rsidP="00D6111C">
      <w:bookmarkStart w:id="113" w:name="_Toc395180684"/>
      <w:bookmarkStart w:id="114" w:name="_Toc433981311"/>
      <w:bookmarkEnd w:id="112"/>
      <w:r w:rsidRPr="00BC7FC1">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BC7FC1">
        <w:rPr>
          <w:rStyle w:val="FootnoteReference"/>
          <w:b/>
          <w:szCs w:val="22"/>
        </w:rPr>
        <w:footnoteReference w:id="29"/>
      </w:r>
      <w:bookmarkEnd w:id="113"/>
      <w:bookmarkEnd w:id="114"/>
      <w:r w:rsidRPr="00BC7FC1">
        <w:t xml:space="preserve"> </w:t>
      </w:r>
    </w:p>
    <w:p w14:paraId="75885476" w14:textId="77777777" w:rsidR="001C2D56" w:rsidRPr="00BC7FC1" w:rsidRDefault="001C2D56" w:rsidP="00D6111C">
      <w:pPr>
        <w:numPr>
          <w:ilvl w:val="0"/>
          <w:numId w:val="41"/>
        </w:numPr>
        <w:ind w:left="720"/>
        <w:rPr>
          <w:b/>
        </w:rPr>
      </w:pPr>
      <w:bookmarkStart w:id="115" w:name="_Toc381079916"/>
      <w:bookmarkStart w:id="116" w:name="_Toc382571178"/>
      <w:bookmarkStart w:id="117" w:name="_Toc395180687"/>
      <w:bookmarkStart w:id="118" w:name="_Toc433981316"/>
      <w:bookmarkStart w:id="119" w:name="_Toc366671176"/>
      <w:r w:rsidRPr="00BC7FC1">
        <w:rPr>
          <w:b/>
        </w:rPr>
        <w:t>Ratepayer Benefits, Technological Advancements, and Breakthroughs</w:t>
      </w:r>
      <w:bookmarkEnd w:id="115"/>
      <w:bookmarkEnd w:id="116"/>
      <w:bookmarkEnd w:id="117"/>
      <w:bookmarkEnd w:id="118"/>
    </w:p>
    <w:p w14:paraId="0A1D28A8" w14:textId="77777777" w:rsidR="001C2D56" w:rsidRPr="00BC7FC1" w:rsidRDefault="001C2D56" w:rsidP="00D6111C">
      <w:pPr>
        <w:ind w:left="720"/>
      </w:pPr>
      <w:bookmarkStart w:id="120" w:name="_Toc381079917"/>
      <w:bookmarkStart w:id="121" w:name="_Toc382571179"/>
      <w:bookmarkStart w:id="122" w:name="_Toc395180688"/>
      <w:bookmarkStart w:id="123" w:name="_Toc433981317"/>
      <w:r w:rsidRPr="00BC7FC1">
        <w:t>California Public Resources Code Section 25711.5(a) requires EPIC-funded projects to:</w:t>
      </w:r>
      <w:bookmarkEnd w:id="120"/>
      <w:bookmarkEnd w:id="121"/>
      <w:bookmarkEnd w:id="122"/>
      <w:bookmarkEnd w:id="123"/>
    </w:p>
    <w:p w14:paraId="1BAD7D31" w14:textId="77777777" w:rsidR="005E52CD" w:rsidRPr="00BC7FC1" w:rsidRDefault="001C2D56" w:rsidP="00D6111C">
      <w:pPr>
        <w:pStyle w:val="ListParagraph"/>
        <w:numPr>
          <w:ilvl w:val="0"/>
          <w:numId w:val="40"/>
        </w:numPr>
      </w:pPr>
      <w:bookmarkStart w:id="124" w:name="_Toc381079918"/>
      <w:bookmarkStart w:id="125" w:name="_Toc382571180"/>
      <w:bookmarkStart w:id="126" w:name="_Toc395180689"/>
      <w:bookmarkStart w:id="127" w:name="_Toc433981318"/>
      <w:r w:rsidRPr="00BC7FC1">
        <w:t>Benefit electricity ratepayers; and</w:t>
      </w:r>
      <w:bookmarkEnd w:id="124"/>
      <w:bookmarkEnd w:id="125"/>
      <w:bookmarkEnd w:id="126"/>
      <w:bookmarkEnd w:id="127"/>
      <w:r w:rsidRPr="00BC7FC1">
        <w:t xml:space="preserve"> </w:t>
      </w:r>
    </w:p>
    <w:p w14:paraId="69A87134" w14:textId="77777777" w:rsidR="005E52CD" w:rsidRPr="00BC7FC1" w:rsidRDefault="001C2D56" w:rsidP="00D6111C">
      <w:pPr>
        <w:pStyle w:val="ListParagraph"/>
        <w:numPr>
          <w:ilvl w:val="0"/>
          <w:numId w:val="40"/>
        </w:numPr>
      </w:pPr>
      <w:bookmarkStart w:id="128" w:name="_Toc381079919"/>
      <w:bookmarkStart w:id="129" w:name="_Toc382571181"/>
      <w:bookmarkStart w:id="130" w:name="_Toc395180690"/>
      <w:bookmarkStart w:id="131" w:name="_Toc433981319"/>
      <w:r w:rsidRPr="00BC7FC1">
        <w:t>Lead to technological advancement and breakthroughs to overcome the barriers that prevent the achievement of the state’s statutory energy goals.</w:t>
      </w:r>
      <w:bookmarkEnd w:id="128"/>
      <w:bookmarkEnd w:id="129"/>
      <w:bookmarkEnd w:id="130"/>
      <w:bookmarkEnd w:id="131"/>
      <w:r w:rsidRPr="00BC7FC1">
        <w:t xml:space="preserve"> </w:t>
      </w:r>
    </w:p>
    <w:p w14:paraId="7A44B686" w14:textId="4ECC046D" w:rsidR="003548FE" w:rsidRPr="00BC7FC1" w:rsidRDefault="008D4F40" w:rsidP="00D6111C">
      <w:pPr>
        <w:ind w:left="720"/>
      </w:pPr>
      <w:bookmarkStart w:id="132" w:name="_Toc395180691"/>
      <w:bookmarkStart w:id="133" w:name="_Toc433981320"/>
      <w:bookmarkStart w:id="134" w:name="_Toc381079920"/>
      <w:bookmarkStart w:id="135" w:name="_Toc382571182"/>
      <w:r w:rsidRPr="00BC7FC1">
        <w:t xml:space="preserve">EPIC's mandatory guiding principle </w:t>
      </w:r>
      <w:r w:rsidR="5C3DE408" w:rsidRPr="00BC7FC1">
        <w:t>are</w:t>
      </w:r>
      <w:r w:rsidRPr="00BC7FC1">
        <w:t xml:space="preserve"> to provide ratepayer benefits</w:t>
      </w:r>
      <w:r w:rsidR="00800A77" w:rsidRPr="00BC7FC1">
        <w:t>, which is defined as</w:t>
      </w:r>
      <w:r w:rsidRPr="00BC7FC1">
        <w:t xml:space="preserve"> (1) improving safety, (2) increasing reliability, (3) increasing affordability, (4) improving environmental sustainability, and (5) improving equity, all as related to California's electric system.</w:t>
      </w:r>
      <w:bookmarkStart w:id="136" w:name="_Toc395180692"/>
      <w:bookmarkStart w:id="137" w:name="_Toc433981321"/>
      <w:bookmarkEnd w:id="132"/>
      <w:bookmarkEnd w:id="133"/>
    </w:p>
    <w:p w14:paraId="23A24E1B" w14:textId="6A7F00D1" w:rsidR="00D157D1" w:rsidRPr="00BC7FC1" w:rsidRDefault="00E719CB" w:rsidP="00D6111C">
      <w:pPr>
        <w:ind w:left="720"/>
      </w:pPr>
      <w:r w:rsidRPr="00BC7FC1">
        <w:t>Accordingly, t</w:t>
      </w:r>
      <w:r w:rsidR="001C2D56" w:rsidRPr="00BC7FC1">
        <w:t>he Project Narrative Form Attachment and the “Goals and Objectives” section of the Scope of Work Template Attachment must describe how the project will</w:t>
      </w:r>
      <w:r w:rsidRPr="00BC7FC1">
        <w:t xml:space="preserve">: (1) benefit California IOU ratepayers by </w:t>
      </w:r>
      <w:r w:rsidR="00800A77" w:rsidRPr="00BC7FC1">
        <w:t>improving safety, increasing reliability, increasing affordability, improving environmental sustainability, and improving equity, all as related to California's electric system</w:t>
      </w:r>
      <w:r w:rsidRPr="00BC7FC1">
        <w:t>; and (2) lead to technological advancement and breakthroughs to overcome barriers to achieving the state’s statutory energy goals</w:t>
      </w:r>
      <w:r w:rsidR="001C2D56" w:rsidRPr="00BC7FC1">
        <w:t>.</w:t>
      </w:r>
      <w:bookmarkEnd w:id="134"/>
      <w:bookmarkEnd w:id="135"/>
      <w:bookmarkEnd w:id="136"/>
      <w:bookmarkEnd w:id="137"/>
      <w:r w:rsidR="001C2D56" w:rsidRPr="00BC7FC1">
        <w:t xml:space="preserve">  </w:t>
      </w:r>
      <w:r w:rsidR="00D157D1" w:rsidRPr="00BC7FC1">
        <w:t>Any estimates of energy and water savings or GHG impacts must be calculated using the References for Calculating Electricity End-Use, Electricity Demand, and GHG Emissions Attachment</w:t>
      </w:r>
      <w:r w:rsidR="00AF1013" w:rsidRPr="00BC7FC1">
        <w:t xml:space="preserve"> 12</w:t>
      </w:r>
      <w:r w:rsidR="00D157D1" w:rsidRPr="00BC7FC1">
        <w:t>.</w:t>
      </w:r>
    </w:p>
    <w:p w14:paraId="249B20AD" w14:textId="77777777" w:rsidR="001C2D56" w:rsidRPr="00BC7FC1" w:rsidRDefault="001C2D56" w:rsidP="00D6111C">
      <w:pPr>
        <w:ind w:left="720"/>
      </w:pPr>
    </w:p>
    <w:p w14:paraId="6E414F88" w14:textId="333F20CC" w:rsidR="001D15BA" w:rsidRPr="00BC7FC1" w:rsidRDefault="008D3624" w:rsidP="00D6111C">
      <w:pPr>
        <w:numPr>
          <w:ilvl w:val="0"/>
          <w:numId w:val="41"/>
        </w:numPr>
        <w:ind w:left="720"/>
      </w:pPr>
      <w:bookmarkStart w:id="138" w:name="TechKnow"/>
      <w:bookmarkStart w:id="139" w:name="_Toc395180693"/>
      <w:bookmarkStart w:id="140" w:name="_Toc433981322"/>
      <w:bookmarkStart w:id="141" w:name="_Toc381079922"/>
      <w:bookmarkStart w:id="142" w:name="_Toc382571183"/>
      <w:r w:rsidRPr="00BC7FC1">
        <w:rPr>
          <w:b/>
        </w:rPr>
        <w:t>Technology</w:t>
      </w:r>
      <w:r w:rsidR="00B5171F" w:rsidRPr="00BC7FC1">
        <w:rPr>
          <w:b/>
        </w:rPr>
        <w:t>/</w:t>
      </w:r>
      <w:r w:rsidRPr="00BC7FC1">
        <w:rPr>
          <w:b/>
        </w:rPr>
        <w:t>Knowledge Transfer Expenditures</w:t>
      </w:r>
      <w:r w:rsidR="009546C7" w:rsidRPr="00BC7FC1">
        <w:t xml:space="preserve"> </w:t>
      </w:r>
      <w:bookmarkEnd w:id="138"/>
    </w:p>
    <w:p w14:paraId="5A950792" w14:textId="622FFB83" w:rsidR="001D15BA" w:rsidRPr="00BC7FC1" w:rsidRDefault="008D3624" w:rsidP="00D6111C">
      <w:pPr>
        <w:pStyle w:val="HeadingNew1"/>
        <w:numPr>
          <w:ilvl w:val="0"/>
          <w:numId w:val="0"/>
        </w:numPr>
        <w:ind w:left="720"/>
        <w:jc w:val="left"/>
        <w:rPr>
          <w:b w:val="0"/>
        </w:rPr>
      </w:pPr>
      <w:r w:rsidRPr="00BC7FC1">
        <w:rPr>
          <w:b w:val="0"/>
        </w:rPr>
        <w:t xml:space="preserve">To maximize the impact of EPIC projects and to promote the further development and deployment of EPIC-funded technologies, a minimum of 5 percent of </w:t>
      </w:r>
      <w:r w:rsidR="008F4A0E" w:rsidRPr="00BC7FC1">
        <w:rPr>
          <w:b w:val="0"/>
        </w:rPr>
        <w:t>CEC</w:t>
      </w:r>
      <w:r w:rsidRPr="00BC7FC1">
        <w:rPr>
          <w:b w:val="0"/>
        </w:rPr>
        <w:t xml:space="preserve"> funds requested should go towards </w:t>
      </w:r>
      <w:r w:rsidRPr="00BC7FC1">
        <w:rPr>
          <w:b w:val="0"/>
          <w:szCs w:val="20"/>
        </w:rPr>
        <w:t>technology/knowledge</w:t>
      </w:r>
      <w:r w:rsidRPr="00BC7FC1">
        <w:rPr>
          <w:b w:val="0"/>
        </w:rPr>
        <w:t xml:space="preserve"> transfer activities. Appropriate </w:t>
      </w:r>
      <w:r w:rsidRPr="00BC7FC1">
        <w:rPr>
          <w:b w:val="0"/>
          <w:szCs w:val="20"/>
        </w:rPr>
        <w:t>technology/knowledge</w:t>
      </w:r>
      <w:r w:rsidRPr="00BC7FC1">
        <w:rPr>
          <w:b w:val="0"/>
        </w:rPr>
        <w:t xml:space="preserve"> transfer activities for this solicitation are listed in the Scope of Work Template Attachment. The Budget Forms Attachment should clearly distinguish funds dedicated for </w:t>
      </w:r>
      <w:r w:rsidRPr="00BC7FC1">
        <w:rPr>
          <w:b w:val="0"/>
          <w:szCs w:val="20"/>
        </w:rPr>
        <w:t>technology/knowledge</w:t>
      </w:r>
      <w:r w:rsidRPr="00BC7FC1">
        <w:rPr>
          <w:b w:val="0"/>
        </w:rPr>
        <w:t xml:space="preserve"> transfer.</w:t>
      </w:r>
    </w:p>
    <w:p w14:paraId="22504CEC" w14:textId="77777777" w:rsidR="001D15BA" w:rsidRPr="00BC7FC1" w:rsidRDefault="001D15BA" w:rsidP="00D6111C">
      <w:pPr>
        <w:pStyle w:val="HeadingNew1"/>
        <w:numPr>
          <w:ilvl w:val="0"/>
          <w:numId w:val="0"/>
        </w:numPr>
        <w:ind w:left="990" w:hanging="360"/>
        <w:jc w:val="left"/>
        <w:rPr>
          <w:b w:val="0"/>
        </w:rPr>
      </w:pPr>
    </w:p>
    <w:p w14:paraId="7DA3CE40" w14:textId="6A30EF37" w:rsidR="001C2D56" w:rsidRPr="00BC7FC1" w:rsidRDefault="001C2D56" w:rsidP="00D6111C">
      <w:pPr>
        <w:pStyle w:val="HeadingNew1"/>
        <w:ind w:left="720"/>
        <w:jc w:val="left"/>
        <w:rPr>
          <w:b w:val="0"/>
        </w:rPr>
      </w:pPr>
      <w:bookmarkStart w:id="143" w:name="MandV"/>
      <w:r w:rsidRPr="00BC7FC1">
        <w:t>Measurement and Verification Plan</w:t>
      </w:r>
      <w:bookmarkEnd w:id="139"/>
      <w:bookmarkEnd w:id="140"/>
      <w:r w:rsidRPr="00BC7FC1">
        <w:t xml:space="preserve"> </w:t>
      </w:r>
      <w:bookmarkEnd w:id="141"/>
      <w:bookmarkEnd w:id="142"/>
      <w:bookmarkEnd w:id="143"/>
    </w:p>
    <w:p w14:paraId="102C6942" w14:textId="3E94DC96" w:rsidR="00D157D1" w:rsidRDefault="00D157D1" w:rsidP="00D6111C">
      <w:pPr>
        <w:ind w:left="720"/>
      </w:pPr>
      <w:bookmarkStart w:id="144" w:name="_Toc381079923"/>
      <w:bookmarkStart w:id="145" w:name="_Toc382571184"/>
      <w:bookmarkStart w:id="146" w:name="_Toc395180694"/>
      <w:bookmarkStart w:id="147" w:name="_Toc433981323"/>
      <w:r w:rsidRPr="00BC7FC1">
        <w:t xml:space="preserve">The Project Narrative </w:t>
      </w:r>
      <w:r w:rsidR="00E01ADD" w:rsidRPr="00BC7FC1">
        <w:t xml:space="preserve">Form </w:t>
      </w:r>
      <w:r w:rsidRPr="00BC7FC1">
        <w:t xml:space="preserve">Attachment must include a Measurement and Verification Plan that describes how actual project benefits will be measured and quantified, such as </w:t>
      </w:r>
      <w:r w:rsidR="00FD4B33" w:rsidRPr="00BC7FC1">
        <w:t xml:space="preserve">system availability and reliability, total MW of IBDERs aggregated and </w:t>
      </w:r>
      <w:proofErr w:type="gramStart"/>
      <w:r w:rsidR="00FD4B33" w:rsidRPr="00BC7FC1">
        <w:t>controllable</w:t>
      </w:r>
      <w:proofErr w:type="gramEnd"/>
      <w:r w:rsidR="00FD4B33" w:rsidRPr="00BC7FC1">
        <w:t>, operational cost to aggregate and control each MW of VPP capacity</w:t>
      </w:r>
      <w:r w:rsidR="342877F9" w:rsidRPr="00BC7FC1">
        <w:t>,</w:t>
      </w:r>
      <w:r w:rsidR="00FD4B33" w:rsidRPr="00BC7FC1">
        <w:t xml:space="preserve"> and other </w:t>
      </w:r>
      <w:r w:rsidR="79AC3DA9" w:rsidRPr="00BC7FC1">
        <w:t>metric</w:t>
      </w:r>
      <w:r w:rsidR="3898AAC6" w:rsidRPr="00BC7FC1">
        <w:t>s.</w:t>
      </w:r>
      <w:r w:rsidR="00FD4B33" w:rsidRPr="00BC7FC1">
        <w:t xml:space="preserve"> </w:t>
      </w:r>
      <w:bookmarkEnd w:id="144"/>
      <w:r>
        <w:lastRenderedPageBreak/>
        <w:t xml:space="preserve">The activities proposed in the Measurement and Verification Plan must be included in the “Technical Tasks” section of the Scope of Work Template Attachment </w:t>
      </w:r>
      <w:bookmarkEnd w:id="145"/>
      <w:bookmarkEnd w:id="146"/>
      <w:bookmarkEnd w:id="147"/>
    </w:p>
    <w:p w14:paraId="12CED422" w14:textId="77777777" w:rsidR="005161B8" w:rsidRDefault="005161B8" w:rsidP="00D6111C">
      <w:pPr>
        <w:ind w:left="720"/>
        <w:rPr>
          <w:b/>
          <w:szCs w:val="22"/>
        </w:rPr>
      </w:pPr>
    </w:p>
    <w:p w14:paraId="23ACD6F3" w14:textId="3FCE5DE9" w:rsidR="005161B8" w:rsidRPr="005161B8" w:rsidRDefault="005161B8" w:rsidP="00D6111C">
      <w:pPr>
        <w:pStyle w:val="HeadingNew1"/>
        <w:jc w:val="left"/>
      </w:pPr>
      <w:r>
        <w:t>Community Based Organizations</w:t>
      </w:r>
    </w:p>
    <w:p w14:paraId="38BEDD67" w14:textId="77777777" w:rsidR="009F702B" w:rsidRDefault="00D52F10" w:rsidP="00D6111C">
      <w:pPr>
        <w:ind w:left="720"/>
      </w:pPr>
      <w:bookmarkStart w:id="148" w:name="_Toc366671177"/>
      <w:bookmarkEnd w:id="119"/>
      <w:r>
        <w:t xml:space="preserve">In </w:t>
      </w:r>
      <w:r w:rsidR="009F702B">
        <w:t xml:space="preserve">TD&amp;D solicitations with set aside funding for proposed projects located in and benefiting low-income and/or disadvantaged communities within IOU service territories, the project must allocate appropriate funding for CBO engagement for relevant tasks under the scope of work. </w:t>
      </w:r>
    </w:p>
    <w:p w14:paraId="0D4089F2" w14:textId="77777777" w:rsidR="009F702B" w:rsidRDefault="009F702B" w:rsidP="00D6111C">
      <w:pPr>
        <w:shd w:val="clear" w:color="auto" w:fill="FFFFFF"/>
        <w:ind w:left="720"/>
        <w:textAlignment w:val="baseline"/>
      </w:pPr>
      <w:r>
        <w:t>Community Based Organizations (CBO) should meet, and will be evaluated on the following criteria for this solicitation:</w:t>
      </w:r>
    </w:p>
    <w:p w14:paraId="023832D6" w14:textId="05649064" w:rsidR="009F702B" w:rsidRPr="002645C1" w:rsidRDefault="009F702B" w:rsidP="00D6111C">
      <w:pPr>
        <w:pStyle w:val="ListParagraph"/>
        <w:numPr>
          <w:ilvl w:val="0"/>
          <w:numId w:val="91"/>
        </w:numPr>
        <w:spacing w:after="200" w:line="276" w:lineRule="auto"/>
        <w:ind w:left="1440"/>
        <w:contextualSpacing/>
        <w:rPr>
          <w:strike/>
        </w:rPr>
      </w:pPr>
      <w:r>
        <w:t>Has deployed projects and/or outreach efforts within the region (e.g., air basin or county) of the proposed disadvantaged or low-income community</w:t>
      </w:r>
      <w:r w:rsidR="002645C1" w:rsidRPr="002645C1">
        <w:t xml:space="preserve"> </w:t>
      </w:r>
      <w:r w:rsidR="002645C1">
        <w:t>or similar community</w:t>
      </w:r>
      <w:r>
        <w:t xml:space="preserve">. </w:t>
      </w:r>
    </w:p>
    <w:p w14:paraId="4102E088" w14:textId="77777777" w:rsidR="009F702B" w:rsidRDefault="009F702B" w:rsidP="00D6111C">
      <w:pPr>
        <w:pStyle w:val="ListParagraph"/>
        <w:numPr>
          <w:ilvl w:val="0"/>
          <w:numId w:val="91"/>
        </w:numPr>
        <w:shd w:val="clear" w:color="auto" w:fill="FFFFFF"/>
        <w:textAlignment w:val="baseline"/>
      </w:pPr>
      <w:r>
        <w:t xml:space="preserve">Have official mission and vision statements that expressly identifies serving disadvantaged and/or low-income communities. </w:t>
      </w:r>
    </w:p>
    <w:p w14:paraId="266CA25E" w14:textId="77777777" w:rsidR="001C2D56" w:rsidRPr="009F702B" w:rsidRDefault="009F702B" w:rsidP="00D6111C">
      <w:pPr>
        <w:pStyle w:val="ListParagraph"/>
        <w:numPr>
          <w:ilvl w:val="0"/>
          <w:numId w:val="91"/>
        </w:numPr>
        <w:shd w:val="clear" w:color="auto" w:fill="FFFFFF"/>
        <w:spacing w:after="0"/>
        <w:textAlignment w:val="baseline"/>
        <w:rPr>
          <w:szCs w:val="22"/>
        </w:rPr>
      </w:pPr>
      <w:r>
        <w:t>Currently employs staff member(s) who specialized in and are dedicated to – diversity, or equity, or inclusion, or is a 501(c)(3) non-profit.</w:t>
      </w:r>
      <w:r w:rsidR="001C2D56" w:rsidRPr="00D328D4">
        <w:br w:type="page"/>
      </w:r>
      <w:bookmarkEnd w:id="94"/>
      <w:bookmarkEnd w:id="95"/>
      <w:bookmarkEnd w:id="96"/>
      <w:bookmarkEnd w:id="97"/>
      <w:bookmarkEnd w:id="148"/>
    </w:p>
    <w:p w14:paraId="309DBC47" w14:textId="5E14AFCC" w:rsidR="0061342D" w:rsidRDefault="001C2D56" w:rsidP="00D6111C">
      <w:pPr>
        <w:pStyle w:val="Heading1"/>
        <w:keepLines w:val="0"/>
        <w:spacing w:before="0" w:after="120"/>
      </w:pPr>
      <w:bookmarkStart w:id="149" w:name="_Toc12770892"/>
      <w:bookmarkStart w:id="150" w:name="_Toc219275109"/>
      <w:bookmarkStart w:id="151" w:name="_Toc336443626"/>
      <w:bookmarkStart w:id="152" w:name="_Toc366671182"/>
      <w:bookmarkStart w:id="153" w:name="_Toc143172714"/>
      <w:bookmarkStart w:id="154" w:name="_Toc219275098"/>
      <w:r w:rsidRPr="00C31C1D">
        <w:lastRenderedPageBreak/>
        <w:t>III.</w:t>
      </w:r>
      <w:r w:rsidRPr="00C31C1D">
        <w:tab/>
      </w:r>
      <w:bookmarkEnd w:id="149"/>
      <w:r w:rsidRPr="00C31C1D">
        <w:t xml:space="preserve">Application Submission </w:t>
      </w:r>
      <w:bookmarkEnd w:id="150"/>
      <w:bookmarkEnd w:id="151"/>
      <w:bookmarkEnd w:id="152"/>
      <w:r w:rsidRPr="00C31C1D">
        <w:t>Instructions</w:t>
      </w:r>
      <w:bookmarkEnd w:id="153"/>
    </w:p>
    <w:p w14:paraId="2E4CB840" w14:textId="3A5654F0" w:rsidR="001C2D56" w:rsidRPr="00CF6DED" w:rsidRDefault="001C2D56" w:rsidP="00D6111C">
      <w:pPr>
        <w:pStyle w:val="Heading2"/>
        <w:numPr>
          <w:ilvl w:val="0"/>
          <w:numId w:val="87"/>
        </w:numPr>
      </w:pPr>
      <w:bookmarkStart w:id="155" w:name="_Toc201713573"/>
      <w:bookmarkStart w:id="156" w:name="_Toc143172715"/>
      <w:bookmarkStart w:id="157" w:name="_Toc219275111"/>
      <w:bookmarkStart w:id="158" w:name="_Toc336443628"/>
      <w:bookmarkStart w:id="159" w:name="_Toc366671184"/>
      <w:r w:rsidRPr="00CF6DED">
        <w:t>Application Format</w:t>
      </w:r>
      <w:bookmarkEnd w:id="155"/>
      <w:r w:rsidRPr="00CF6DED">
        <w:t>, Page Limits</w:t>
      </w:r>
      <w:bookmarkEnd w:id="156"/>
      <w:r w:rsidRPr="00CF6DED">
        <w:t xml:space="preserve"> </w:t>
      </w:r>
      <w:bookmarkEnd w:id="157"/>
      <w:bookmarkEnd w:id="158"/>
      <w:bookmarkEnd w:id="159"/>
    </w:p>
    <w:p w14:paraId="386B4422" w14:textId="77777777" w:rsidR="00BF0D37" w:rsidRPr="00BF0D37" w:rsidRDefault="00BF0D37" w:rsidP="00D6111C">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D6111C">
      <w:pPr>
        <w:keepLines/>
        <w:widowControl w:val="0"/>
        <w:spacing w:after="0"/>
        <w:rPr>
          <w:szCs w:val="2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207"/>
        <w:gridCol w:w="2430"/>
        <w:gridCol w:w="2610"/>
      </w:tblGrid>
      <w:tr w:rsidR="008004E4" w:rsidRPr="008004E4" w14:paraId="3766FB38" w14:textId="77777777" w:rsidTr="00F0390A">
        <w:trPr>
          <w:trHeight w:val="281"/>
        </w:trPr>
        <w:tc>
          <w:tcPr>
            <w:tcW w:w="4207" w:type="dxa"/>
            <w:shd w:val="clear" w:color="auto" w:fill="D9D9D9"/>
          </w:tcPr>
          <w:p w14:paraId="3CC3A6B5" w14:textId="77777777" w:rsidR="008004E4" w:rsidRPr="008004E4" w:rsidRDefault="008004E4" w:rsidP="00D6111C">
            <w:pPr>
              <w:keepLines/>
              <w:widowControl w:val="0"/>
              <w:spacing w:after="0"/>
              <w:rPr>
                <w:b/>
                <w:szCs w:val="22"/>
              </w:rPr>
            </w:pPr>
            <w:r w:rsidRPr="008004E4">
              <w:rPr>
                <w:b/>
                <w:szCs w:val="22"/>
              </w:rPr>
              <w:t>Item</w:t>
            </w:r>
          </w:p>
        </w:tc>
        <w:tc>
          <w:tcPr>
            <w:tcW w:w="2430" w:type="dxa"/>
            <w:shd w:val="clear" w:color="auto" w:fill="D9D9D9"/>
          </w:tcPr>
          <w:p w14:paraId="38DF4798" w14:textId="77777777" w:rsidR="008004E4" w:rsidRPr="008004E4" w:rsidRDefault="008004E4" w:rsidP="00D6111C">
            <w:pPr>
              <w:keepLines/>
              <w:widowControl w:val="0"/>
              <w:spacing w:after="0"/>
              <w:rPr>
                <w:b/>
                <w:szCs w:val="22"/>
              </w:rPr>
            </w:pPr>
            <w:r w:rsidRPr="008004E4">
              <w:rPr>
                <w:b/>
                <w:szCs w:val="22"/>
              </w:rPr>
              <w:t xml:space="preserve">Attachment Number </w:t>
            </w:r>
          </w:p>
        </w:tc>
        <w:tc>
          <w:tcPr>
            <w:tcW w:w="2610" w:type="dxa"/>
            <w:shd w:val="clear" w:color="auto" w:fill="D9D9D9"/>
          </w:tcPr>
          <w:p w14:paraId="68CA63E3" w14:textId="77777777" w:rsidR="008004E4" w:rsidRPr="008004E4" w:rsidRDefault="008004E4" w:rsidP="00D6111C">
            <w:pPr>
              <w:keepLines/>
              <w:widowControl w:val="0"/>
              <w:spacing w:after="0"/>
              <w:rPr>
                <w:b/>
                <w:szCs w:val="22"/>
              </w:rPr>
            </w:pPr>
            <w:r w:rsidRPr="008004E4">
              <w:rPr>
                <w:b/>
                <w:szCs w:val="22"/>
              </w:rPr>
              <w:t>Page Limitation</w:t>
            </w:r>
          </w:p>
        </w:tc>
      </w:tr>
      <w:tr w:rsidR="008004E4" w:rsidRPr="008004E4" w14:paraId="4B6CF02E" w14:textId="77777777" w:rsidTr="00F0390A">
        <w:trPr>
          <w:trHeight w:val="281"/>
        </w:trPr>
        <w:tc>
          <w:tcPr>
            <w:tcW w:w="4207" w:type="dxa"/>
            <w:vAlign w:val="center"/>
          </w:tcPr>
          <w:p w14:paraId="0F58F4E1" w14:textId="77777777" w:rsidR="008004E4" w:rsidRPr="008004E4" w:rsidRDefault="008004E4" w:rsidP="00D6111C">
            <w:pPr>
              <w:keepLines/>
              <w:widowControl w:val="0"/>
              <w:spacing w:after="0"/>
              <w:rPr>
                <w:szCs w:val="22"/>
              </w:rPr>
            </w:pPr>
            <w:r w:rsidRPr="008004E4">
              <w:rPr>
                <w:szCs w:val="22"/>
              </w:rPr>
              <w:t>Executive Summary</w:t>
            </w:r>
          </w:p>
        </w:tc>
        <w:tc>
          <w:tcPr>
            <w:tcW w:w="2430" w:type="dxa"/>
            <w:vAlign w:val="center"/>
          </w:tcPr>
          <w:p w14:paraId="62B70B04" w14:textId="273B7692"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1</w:t>
            </w:r>
          </w:p>
        </w:tc>
        <w:tc>
          <w:tcPr>
            <w:tcW w:w="2610" w:type="dxa"/>
          </w:tcPr>
          <w:p w14:paraId="232E89E6" w14:textId="77777777" w:rsidR="008004E4" w:rsidRPr="008004E4" w:rsidRDefault="008004E4" w:rsidP="00D6111C">
            <w:pPr>
              <w:keepLines/>
              <w:widowControl w:val="0"/>
              <w:spacing w:after="0"/>
              <w:rPr>
                <w:szCs w:val="22"/>
              </w:rPr>
            </w:pPr>
            <w:r w:rsidRPr="008004E4">
              <w:rPr>
                <w:szCs w:val="22"/>
              </w:rPr>
              <w:t>Two pages</w:t>
            </w:r>
          </w:p>
        </w:tc>
      </w:tr>
      <w:tr w:rsidR="008004E4" w:rsidRPr="008004E4" w14:paraId="5B192BF7" w14:textId="77777777" w:rsidTr="00F0390A">
        <w:trPr>
          <w:trHeight w:val="431"/>
        </w:trPr>
        <w:tc>
          <w:tcPr>
            <w:tcW w:w="4207" w:type="dxa"/>
            <w:vAlign w:val="center"/>
          </w:tcPr>
          <w:p w14:paraId="2D46F452" w14:textId="77777777" w:rsidR="008004E4" w:rsidRPr="008004E4" w:rsidRDefault="008004E4" w:rsidP="00D6111C">
            <w:pPr>
              <w:keepLines/>
              <w:widowControl w:val="0"/>
              <w:spacing w:after="0"/>
              <w:rPr>
                <w:szCs w:val="22"/>
              </w:rPr>
            </w:pPr>
            <w:r w:rsidRPr="008004E4">
              <w:rPr>
                <w:szCs w:val="22"/>
              </w:rPr>
              <w:t>Project Narrative</w:t>
            </w:r>
          </w:p>
        </w:tc>
        <w:tc>
          <w:tcPr>
            <w:tcW w:w="2430" w:type="dxa"/>
            <w:vAlign w:val="center"/>
          </w:tcPr>
          <w:p w14:paraId="1617BEF0" w14:textId="2F408D1B"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2</w:t>
            </w:r>
          </w:p>
        </w:tc>
        <w:tc>
          <w:tcPr>
            <w:tcW w:w="2610" w:type="dxa"/>
          </w:tcPr>
          <w:p w14:paraId="2804CC2A" w14:textId="77777777" w:rsidR="008004E4" w:rsidRPr="008004E4" w:rsidRDefault="008004E4" w:rsidP="00D6111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F0390A">
        <w:trPr>
          <w:trHeight w:val="281"/>
        </w:trPr>
        <w:tc>
          <w:tcPr>
            <w:tcW w:w="4207" w:type="dxa"/>
            <w:vAlign w:val="center"/>
          </w:tcPr>
          <w:p w14:paraId="6FB89239" w14:textId="77777777" w:rsidR="008004E4" w:rsidRPr="008004E4" w:rsidRDefault="008004E4" w:rsidP="00D6111C">
            <w:pPr>
              <w:keepLines/>
              <w:widowControl w:val="0"/>
              <w:spacing w:after="0"/>
              <w:rPr>
                <w:szCs w:val="22"/>
              </w:rPr>
            </w:pPr>
            <w:r w:rsidRPr="008004E4">
              <w:rPr>
                <w:szCs w:val="22"/>
              </w:rPr>
              <w:t>Project Team</w:t>
            </w:r>
          </w:p>
        </w:tc>
        <w:tc>
          <w:tcPr>
            <w:tcW w:w="2430" w:type="dxa"/>
            <w:vAlign w:val="center"/>
          </w:tcPr>
          <w:p w14:paraId="16CE7957" w14:textId="5A7219BD"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3</w:t>
            </w:r>
          </w:p>
        </w:tc>
        <w:tc>
          <w:tcPr>
            <w:tcW w:w="2610" w:type="dxa"/>
          </w:tcPr>
          <w:p w14:paraId="0A11AFFD" w14:textId="77777777" w:rsidR="008004E4" w:rsidRPr="008004E4" w:rsidRDefault="008004E4" w:rsidP="00D6111C">
            <w:pPr>
              <w:keepLines/>
              <w:widowControl w:val="0"/>
              <w:spacing w:after="0"/>
              <w:rPr>
                <w:szCs w:val="22"/>
              </w:rPr>
            </w:pPr>
            <w:r w:rsidRPr="008004E4">
              <w:rPr>
                <w:szCs w:val="22"/>
              </w:rPr>
              <w:t>Two pages for each resume</w:t>
            </w:r>
          </w:p>
        </w:tc>
      </w:tr>
      <w:tr w:rsidR="008004E4" w:rsidRPr="008004E4" w14:paraId="229BED11" w14:textId="77777777" w:rsidTr="00F0390A">
        <w:trPr>
          <w:trHeight w:val="281"/>
        </w:trPr>
        <w:tc>
          <w:tcPr>
            <w:tcW w:w="4207" w:type="dxa"/>
            <w:vAlign w:val="center"/>
          </w:tcPr>
          <w:p w14:paraId="052A4B6D" w14:textId="77777777" w:rsidR="008004E4" w:rsidRPr="008004E4" w:rsidRDefault="008004E4" w:rsidP="00D6111C">
            <w:pPr>
              <w:keepLines/>
              <w:widowControl w:val="0"/>
              <w:spacing w:after="0"/>
              <w:rPr>
                <w:szCs w:val="22"/>
              </w:rPr>
            </w:pPr>
            <w:r w:rsidRPr="008004E4">
              <w:rPr>
                <w:szCs w:val="22"/>
              </w:rPr>
              <w:t>Scope of Work</w:t>
            </w:r>
          </w:p>
        </w:tc>
        <w:tc>
          <w:tcPr>
            <w:tcW w:w="2430" w:type="dxa"/>
            <w:vAlign w:val="center"/>
          </w:tcPr>
          <w:p w14:paraId="429C5855" w14:textId="66525072"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4</w:t>
            </w:r>
          </w:p>
        </w:tc>
        <w:tc>
          <w:tcPr>
            <w:tcW w:w="2610" w:type="dxa"/>
          </w:tcPr>
          <w:p w14:paraId="02F59684" w14:textId="77777777" w:rsidR="008004E4" w:rsidRPr="008004E4" w:rsidRDefault="008004E4" w:rsidP="00D6111C">
            <w:pPr>
              <w:keepLines/>
              <w:widowControl w:val="0"/>
              <w:spacing w:after="0"/>
              <w:rPr>
                <w:szCs w:val="22"/>
              </w:rPr>
            </w:pPr>
            <w:r w:rsidRPr="008004E4">
              <w:rPr>
                <w:szCs w:val="22"/>
              </w:rPr>
              <w:t>Thirty pages</w:t>
            </w:r>
          </w:p>
        </w:tc>
      </w:tr>
      <w:tr w:rsidR="008004E4" w:rsidRPr="008004E4" w14:paraId="508C600D" w14:textId="77777777" w:rsidTr="00F0390A">
        <w:trPr>
          <w:trHeight w:val="290"/>
        </w:trPr>
        <w:tc>
          <w:tcPr>
            <w:tcW w:w="4207" w:type="dxa"/>
            <w:vAlign w:val="center"/>
          </w:tcPr>
          <w:p w14:paraId="52E277F9" w14:textId="77777777" w:rsidR="008004E4" w:rsidRPr="008004E4" w:rsidRDefault="008004E4" w:rsidP="00D6111C">
            <w:pPr>
              <w:keepLines/>
              <w:widowControl w:val="0"/>
              <w:spacing w:after="0"/>
              <w:rPr>
                <w:szCs w:val="22"/>
              </w:rPr>
            </w:pPr>
            <w:r w:rsidRPr="008004E4">
              <w:rPr>
                <w:szCs w:val="22"/>
              </w:rPr>
              <w:t>Project Schedule</w:t>
            </w:r>
          </w:p>
        </w:tc>
        <w:tc>
          <w:tcPr>
            <w:tcW w:w="2430" w:type="dxa"/>
            <w:vAlign w:val="center"/>
          </w:tcPr>
          <w:p w14:paraId="55217149" w14:textId="7EE51368"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5</w:t>
            </w:r>
          </w:p>
        </w:tc>
        <w:tc>
          <w:tcPr>
            <w:tcW w:w="2610" w:type="dxa"/>
          </w:tcPr>
          <w:p w14:paraId="7F03D196" w14:textId="77777777" w:rsidR="008004E4" w:rsidRPr="008004E4" w:rsidRDefault="008004E4" w:rsidP="00D6111C">
            <w:pPr>
              <w:keepLines/>
              <w:widowControl w:val="0"/>
              <w:spacing w:after="0"/>
              <w:rPr>
                <w:szCs w:val="22"/>
              </w:rPr>
            </w:pPr>
            <w:r w:rsidRPr="008004E4">
              <w:rPr>
                <w:szCs w:val="22"/>
              </w:rPr>
              <w:t>Four pages</w:t>
            </w:r>
          </w:p>
        </w:tc>
      </w:tr>
      <w:tr w:rsidR="008004E4" w:rsidRPr="008004E4" w14:paraId="3F241595" w14:textId="77777777" w:rsidTr="00F0390A">
        <w:tc>
          <w:tcPr>
            <w:tcW w:w="4207" w:type="dxa"/>
            <w:vAlign w:val="center"/>
          </w:tcPr>
          <w:p w14:paraId="344DB69A" w14:textId="77777777" w:rsidR="008004E4" w:rsidRPr="008004E4" w:rsidRDefault="008004E4" w:rsidP="00D6111C">
            <w:pPr>
              <w:keepLines/>
              <w:widowControl w:val="0"/>
              <w:spacing w:after="0"/>
              <w:rPr>
                <w:szCs w:val="22"/>
              </w:rPr>
            </w:pPr>
            <w:r w:rsidRPr="008004E4">
              <w:rPr>
                <w:szCs w:val="22"/>
              </w:rPr>
              <w:t xml:space="preserve">Budget </w:t>
            </w:r>
          </w:p>
        </w:tc>
        <w:tc>
          <w:tcPr>
            <w:tcW w:w="2430" w:type="dxa"/>
            <w:vAlign w:val="center"/>
          </w:tcPr>
          <w:p w14:paraId="246310A8" w14:textId="35266F7F"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6</w:t>
            </w:r>
          </w:p>
        </w:tc>
        <w:tc>
          <w:tcPr>
            <w:tcW w:w="2610" w:type="dxa"/>
          </w:tcPr>
          <w:p w14:paraId="0782C74A"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3EC448EA" w14:textId="77777777" w:rsidTr="00F0390A">
        <w:tc>
          <w:tcPr>
            <w:tcW w:w="4207" w:type="dxa"/>
            <w:vAlign w:val="center"/>
          </w:tcPr>
          <w:p w14:paraId="665CDBB4" w14:textId="77777777" w:rsidR="008004E4" w:rsidRPr="008004E4" w:rsidRDefault="008004E4" w:rsidP="00D6111C">
            <w:pPr>
              <w:keepLines/>
              <w:widowControl w:val="0"/>
              <w:spacing w:after="0"/>
              <w:rPr>
                <w:szCs w:val="22"/>
              </w:rPr>
            </w:pPr>
            <w:r w:rsidRPr="008004E4">
              <w:rPr>
                <w:szCs w:val="22"/>
              </w:rPr>
              <w:t>CEQA Compliance Form</w:t>
            </w:r>
          </w:p>
        </w:tc>
        <w:tc>
          <w:tcPr>
            <w:tcW w:w="2430" w:type="dxa"/>
            <w:vAlign w:val="center"/>
          </w:tcPr>
          <w:p w14:paraId="13657BC9" w14:textId="1E903893"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7</w:t>
            </w:r>
          </w:p>
        </w:tc>
        <w:tc>
          <w:tcPr>
            <w:tcW w:w="2610" w:type="dxa"/>
          </w:tcPr>
          <w:p w14:paraId="374A7702"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6FD484AD" w14:textId="77777777" w:rsidTr="00F0390A">
        <w:tc>
          <w:tcPr>
            <w:tcW w:w="4207" w:type="dxa"/>
            <w:vAlign w:val="center"/>
          </w:tcPr>
          <w:p w14:paraId="0B2E13E6" w14:textId="77777777" w:rsidR="008004E4" w:rsidRPr="008004E4" w:rsidRDefault="008004E4" w:rsidP="00D6111C">
            <w:pPr>
              <w:keepLines/>
              <w:widowControl w:val="0"/>
              <w:spacing w:after="0"/>
              <w:rPr>
                <w:szCs w:val="22"/>
              </w:rPr>
            </w:pPr>
            <w:r w:rsidRPr="008004E4">
              <w:rPr>
                <w:szCs w:val="22"/>
              </w:rPr>
              <w:t>Past Project Information</w:t>
            </w:r>
          </w:p>
        </w:tc>
        <w:tc>
          <w:tcPr>
            <w:tcW w:w="2430" w:type="dxa"/>
            <w:vAlign w:val="center"/>
          </w:tcPr>
          <w:p w14:paraId="01BE1EB3" w14:textId="1DD72649"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8</w:t>
            </w:r>
          </w:p>
        </w:tc>
        <w:tc>
          <w:tcPr>
            <w:tcW w:w="2610" w:type="dxa"/>
          </w:tcPr>
          <w:p w14:paraId="75AC58B8" w14:textId="77777777" w:rsidR="008004E4" w:rsidRPr="008004E4" w:rsidRDefault="008004E4" w:rsidP="00D6111C">
            <w:pPr>
              <w:keepLines/>
              <w:widowControl w:val="0"/>
              <w:spacing w:after="0"/>
              <w:rPr>
                <w:szCs w:val="22"/>
              </w:rPr>
            </w:pPr>
            <w:r w:rsidRPr="008004E4">
              <w:rPr>
                <w:szCs w:val="22"/>
              </w:rPr>
              <w:t>Two pages for each project description</w:t>
            </w:r>
          </w:p>
        </w:tc>
      </w:tr>
      <w:tr w:rsidR="008004E4" w:rsidRPr="008004E4" w14:paraId="2AFB0D79" w14:textId="77777777" w:rsidTr="00F0390A">
        <w:tc>
          <w:tcPr>
            <w:tcW w:w="4207" w:type="dxa"/>
            <w:vAlign w:val="center"/>
          </w:tcPr>
          <w:p w14:paraId="46F2DF1A" w14:textId="77777777" w:rsidR="008004E4" w:rsidRPr="008004E4" w:rsidRDefault="008004E4" w:rsidP="00D6111C">
            <w:pPr>
              <w:keepLines/>
              <w:widowControl w:val="0"/>
              <w:spacing w:after="0"/>
              <w:rPr>
                <w:szCs w:val="22"/>
              </w:rPr>
            </w:pPr>
            <w:r w:rsidRPr="008004E4">
              <w:rPr>
                <w:szCs w:val="22"/>
              </w:rPr>
              <w:t xml:space="preserve">Commitment and Support Letters </w:t>
            </w:r>
          </w:p>
        </w:tc>
        <w:tc>
          <w:tcPr>
            <w:tcW w:w="2430" w:type="dxa"/>
            <w:vAlign w:val="center"/>
          </w:tcPr>
          <w:p w14:paraId="6E65C4D4" w14:textId="61E491EA" w:rsidR="008004E4" w:rsidRPr="008004E4" w:rsidRDefault="008004E4" w:rsidP="00D6111C">
            <w:pPr>
              <w:keepLines/>
              <w:widowControl w:val="0"/>
              <w:spacing w:after="0"/>
              <w:rPr>
                <w:szCs w:val="22"/>
              </w:rPr>
            </w:pPr>
            <w:r w:rsidRPr="008004E4">
              <w:rPr>
                <w:szCs w:val="22"/>
              </w:rPr>
              <w:t xml:space="preserve">Attachment </w:t>
            </w:r>
            <w:r w:rsidR="00BC7FC1">
              <w:rPr>
                <w:szCs w:val="22"/>
              </w:rPr>
              <w:t>0</w:t>
            </w:r>
            <w:r w:rsidR="00E41084">
              <w:rPr>
                <w:szCs w:val="22"/>
              </w:rPr>
              <w:t>9</w:t>
            </w:r>
          </w:p>
        </w:tc>
        <w:tc>
          <w:tcPr>
            <w:tcW w:w="2610" w:type="dxa"/>
          </w:tcPr>
          <w:p w14:paraId="513CF7CB" w14:textId="77777777" w:rsidR="008004E4" w:rsidRPr="008004E4" w:rsidRDefault="008004E4" w:rsidP="00D6111C">
            <w:pPr>
              <w:keepLines/>
              <w:widowControl w:val="0"/>
              <w:spacing w:after="0"/>
              <w:rPr>
                <w:szCs w:val="22"/>
              </w:rPr>
            </w:pPr>
            <w:r w:rsidRPr="008004E4">
              <w:rPr>
                <w:szCs w:val="22"/>
              </w:rPr>
              <w:t>Two pages, excluding the cover page</w:t>
            </w:r>
          </w:p>
        </w:tc>
      </w:tr>
      <w:tr w:rsidR="008004E4" w:rsidRPr="008004E4" w14:paraId="164FB680" w14:textId="77777777" w:rsidTr="00F0390A">
        <w:tc>
          <w:tcPr>
            <w:tcW w:w="4207" w:type="dxa"/>
            <w:vAlign w:val="center"/>
          </w:tcPr>
          <w:p w14:paraId="7C40B5EB" w14:textId="77777777" w:rsidR="008004E4" w:rsidRPr="008004E4" w:rsidRDefault="008004E4" w:rsidP="00D6111C">
            <w:pPr>
              <w:keepLines/>
              <w:widowControl w:val="0"/>
              <w:spacing w:after="0"/>
              <w:rPr>
                <w:szCs w:val="22"/>
              </w:rPr>
            </w:pPr>
            <w:r w:rsidRPr="008004E4">
              <w:rPr>
                <w:szCs w:val="22"/>
              </w:rPr>
              <w:t>Project Performance Metrics</w:t>
            </w:r>
          </w:p>
        </w:tc>
        <w:tc>
          <w:tcPr>
            <w:tcW w:w="2430" w:type="dxa"/>
            <w:vAlign w:val="center"/>
          </w:tcPr>
          <w:p w14:paraId="598FE5D7" w14:textId="668F5DAB" w:rsidR="008004E4" w:rsidRPr="008004E4" w:rsidRDefault="008004E4" w:rsidP="00D6111C">
            <w:pPr>
              <w:keepLines/>
              <w:widowControl w:val="0"/>
              <w:spacing w:after="0"/>
              <w:rPr>
                <w:szCs w:val="22"/>
              </w:rPr>
            </w:pPr>
            <w:r w:rsidRPr="008004E4">
              <w:rPr>
                <w:szCs w:val="22"/>
              </w:rPr>
              <w:t>Attachment 1</w:t>
            </w:r>
            <w:r w:rsidR="00E41084">
              <w:rPr>
                <w:szCs w:val="22"/>
              </w:rPr>
              <w:t>0</w:t>
            </w:r>
          </w:p>
        </w:tc>
        <w:tc>
          <w:tcPr>
            <w:tcW w:w="2610" w:type="dxa"/>
          </w:tcPr>
          <w:p w14:paraId="0071517C" w14:textId="77777777" w:rsidR="008004E4" w:rsidRPr="008004E4" w:rsidRDefault="008004E4" w:rsidP="00D6111C">
            <w:pPr>
              <w:keepLines/>
              <w:widowControl w:val="0"/>
              <w:spacing w:after="0"/>
              <w:rPr>
                <w:szCs w:val="22"/>
              </w:rPr>
            </w:pPr>
            <w:r w:rsidRPr="008004E4">
              <w:rPr>
                <w:szCs w:val="22"/>
              </w:rPr>
              <w:t>None</w:t>
            </w:r>
          </w:p>
        </w:tc>
      </w:tr>
      <w:tr w:rsidR="008004E4" w:rsidRPr="008004E4" w14:paraId="6293D925" w14:textId="77777777" w:rsidTr="00F0390A">
        <w:tc>
          <w:tcPr>
            <w:tcW w:w="4207" w:type="dxa"/>
            <w:vAlign w:val="center"/>
          </w:tcPr>
          <w:p w14:paraId="0B1905AD" w14:textId="77777777" w:rsidR="008004E4" w:rsidRPr="008004E4" w:rsidRDefault="008004E4" w:rsidP="00D6111C">
            <w:pPr>
              <w:keepLines/>
              <w:widowControl w:val="0"/>
              <w:spacing w:after="0"/>
              <w:rPr>
                <w:szCs w:val="22"/>
              </w:rPr>
            </w:pPr>
            <w:r w:rsidRPr="008004E4">
              <w:rPr>
                <w:szCs w:val="22"/>
              </w:rPr>
              <w:t>Applicant Declaration</w:t>
            </w:r>
          </w:p>
        </w:tc>
        <w:tc>
          <w:tcPr>
            <w:tcW w:w="2430" w:type="dxa"/>
            <w:vAlign w:val="center"/>
          </w:tcPr>
          <w:p w14:paraId="59FB6D2A" w14:textId="75329FB4" w:rsidR="008004E4" w:rsidRPr="008004E4" w:rsidRDefault="008004E4" w:rsidP="00D6111C">
            <w:pPr>
              <w:keepLines/>
              <w:widowControl w:val="0"/>
              <w:spacing w:after="0"/>
              <w:rPr>
                <w:szCs w:val="22"/>
              </w:rPr>
            </w:pPr>
            <w:r w:rsidRPr="008004E4">
              <w:rPr>
                <w:szCs w:val="22"/>
              </w:rPr>
              <w:t>Attachment 1</w:t>
            </w:r>
            <w:r w:rsidR="00E41084">
              <w:rPr>
                <w:szCs w:val="22"/>
              </w:rPr>
              <w:t>1</w:t>
            </w:r>
          </w:p>
        </w:tc>
        <w:tc>
          <w:tcPr>
            <w:tcW w:w="2610" w:type="dxa"/>
          </w:tcPr>
          <w:p w14:paraId="1D97C601" w14:textId="181E2E35" w:rsidR="008004E4" w:rsidRPr="008C73C3" w:rsidRDefault="00B07DAA" w:rsidP="00D6111C">
            <w:pPr>
              <w:keepLines/>
              <w:widowControl w:val="0"/>
              <w:spacing w:after="0"/>
              <w:rPr>
                <w:szCs w:val="22"/>
              </w:rPr>
            </w:pPr>
            <w:r w:rsidRPr="008C73C3">
              <w:rPr>
                <w:szCs w:val="22"/>
              </w:rPr>
              <w:t>None</w:t>
            </w:r>
          </w:p>
        </w:tc>
      </w:tr>
      <w:tr w:rsidR="008004E4" w:rsidRPr="008004E4" w14:paraId="19E44C77" w14:textId="77777777" w:rsidTr="00F0390A">
        <w:tc>
          <w:tcPr>
            <w:tcW w:w="4207" w:type="dxa"/>
            <w:vAlign w:val="center"/>
          </w:tcPr>
          <w:p w14:paraId="5CFE56E7" w14:textId="7860C0B2" w:rsidR="008004E4" w:rsidRPr="008004E4" w:rsidRDefault="008004E4" w:rsidP="00D6111C">
            <w:pPr>
              <w:keepLines/>
              <w:widowControl w:val="0"/>
              <w:spacing w:after="0"/>
              <w:rPr>
                <w:szCs w:val="22"/>
              </w:rPr>
            </w:pPr>
            <w:r w:rsidRPr="008004E4">
              <w:rPr>
                <w:szCs w:val="22"/>
              </w:rPr>
              <w:t>References for Calculating Energy End-Use and GHG Emissions</w:t>
            </w:r>
            <w:r w:rsidR="0087503F">
              <w:rPr>
                <w:szCs w:val="22"/>
              </w:rPr>
              <w:t>]</w:t>
            </w:r>
          </w:p>
        </w:tc>
        <w:tc>
          <w:tcPr>
            <w:tcW w:w="2430" w:type="dxa"/>
            <w:vAlign w:val="center"/>
          </w:tcPr>
          <w:p w14:paraId="2458BC6D" w14:textId="40E743A2" w:rsidR="008004E4" w:rsidRPr="008004E4" w:rsidRDefault="008004E4" w:rsidP="00D6111C">
            <w:pPr>
              <w:keepLines/>
              <w:widowControl w:val="0"/>
              <w:spacing w:after="0"/>
              <w:rPr>
                <w:szCs w:val="22"/>
              </w:rPr>
            </w:pPr>
            <w:r w:rsidRPr="008004E4">
              <w:rPr>
                <w:szCs w:val="22"/>
              </w:rPr>
              <w:t>Attachment 1</w:t>
            </w:r>
            <w:r w:rsidR="00E41084">
              <w:rPr>
                <w:szCs w:val="22"/>
              </w:rPr>
              <w:t>2</w:t>
            </w:r>
          </w:p>
        </w:tc>
        <w:tc>
          <w:tcPr>
            <w:tcW w:w="2610" w:type="dxa"/>
          </w:tcPr>
          <w:p w14:paraId="7B4179A3" w14:textId="77777777" w:rsidR="008004E4" w:rsidRPr="008004E4" w:rsidRDefault="008004E4" w:rsidP="00D6111C">
            <w:pPr>
              <w:keepLines/>
              <w:widowControl w:val="0"/>
              <w:spacing w:after="0"/>
              <w:rPr>
                <w:szCs w:val="22"/>
              </w:rPr>
            </w:pPr>
            <w:r w:rsidRPr="008004E4">
              <w:rPr>
                <w:szCs w:val="22"/>
              </w:rPr>
              <w:t>None</w:t>
            </w:r>
          </w:p>
        </w:tc>
      </w:tr>
    </w:tbl>
    <w:p w14:paraId="4A3AE664" w14:textId="77777777" w:rsidR="00E832E9" w:rsidRDefault="00E832E9" w:rsidP="00D6111C">
      <w:pPr>
        <w:keepLines/>
        <w:widowControl w:val="0"/>
        <w:spacing w:after="0"/>
        <w:rPr>
          <w:szCs w:val="22"/>
        </w:rPr>
      </w:pPr>
    </w:p>
    <w:p w14:paraId="505D5362" w14:textId="77777777" w:rsidR="00624855" w:rsidRPr="00C31C1D" w:rsidRDefault="00624855" w:rsidP="00D6111C">
      <w:pPr>
        <w:keepLines/>
        <w:widowControl w:val="0"/>
        <w:spacing w:after="0"/>
        <w:rPr>
          <w:szCs w:val="22"/>
        </w:rPr>
      </w:pPr>
    </w:p>
    <w:p w14:paraId="29E94867" w14:textId="6D2C6FB5" w:rsidR="0090258A" w:rsidRPr="00CF6DED" w:rsidRDefault="0090258A" w:rsidP="00D6111C">
      <w:pPr>
        <w:pStyle w:val="Heading2"/>
        <w:numPr>
          <w:ilvl w:val="0"/>
          <w:numId w:val="87"/>
        </w:numPr>
      </w:pPr>
      <w:bookmarkStart w:id="160" w:name="_Toc428191083"/>
      <w:bookmarkStart w:id="161" w:name="_Toc143172716"/>
      <w:bookmarkStart w:id="162" w:name="_Toc201713575"/>
      <w:bookmarkStart w:id="163" w:name="_Toc219275113"/>
      <w:bookmarkStart w:id="164" w:name="_Toc336443630"/>
      <w:bookmarkStart w:id="165" w:name="_Toc366671186"/>
      <w:r w:rsidRPr="00CF6DED">
        <w:t>Method For Delivery</w:t>
      </w:r>
      <w:bookmarkEnd w:id="160"/>
      <w:bookmarkEnd w:id="161"/>
    </w:p>
    <w:p w14:paraId="7CFF5DA4" w14:textId="66155A94" w:rsidR="001B26FB" w:rsidRDefault="0090258A" w:rsidP="00D6111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hyperlink r:id="rId39" w:history="1">
        <w:r w:rsidR="00AE499E" w:rsidRPr="001150B2">
          <w:rPr>
            <w:rStyle w:val="Hyperlink"/>
          </w:rPr>
          <w:t>https://ecams.energy.ca.gov</w:t>
        </w:r>
      </w:hyperlink>
      <w:r w:rsidR="00AE499E">
        <w:rPr>
          <w:rFonts w:cs="Times New Roman"/>
        </w:rPr>
        <w:t xml:space="preserve">. </w:t>
      </w:r>
      <w:r>
        <w:t> </w:t>
      </w:r>
    </w:p>
    <w:p w14:paraId="0F34316E" w14:textId="77777777" w:rsidR="00A845A3" w:rsidRDefault="00A845A3" w:rsidP="00D6111C">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D6111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D6111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D6111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D6111C">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D6111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D6111C">
      <w:pPr>
        <w:keepNext/>
      </w:pPr>
      <w:r w:rsidRPr="001F52A2">
        <w:t>Applicants will be required to upload all attachments marked “required” in the system in order for the application to be submitted</w:t>
      </w:r>
      <w:r w:rsidR="00421778">
        <w:t>.</w:t>
      </w:r>
    </w:p>
    <w:p w14:paraId="517A7FA1" w14:textId="151E4C90" w:rsidR="00344986" w:rsidRPr="00CF6DED" w:rsidRDefault="001C2D56" w:rsidP="00D6111C">
      <w:pPr>
        <w:pStyle w:val="Heading2"/>
        <w:numPr>
          <w:ilvl w:val="0"/>
          <w:numId w:val="87"/>
        </w:numPr>
      </w:pPr>
      <w:bookmarkStart w:id="166" w:name="_Toc143172717"/>
      <w:bookmarkStart w:id="167" w:name="_Toc219275114"/>
      <w:bookmarkStart w:id="168" w:name="_Toc336443632"/>
      <w:bookmarkStart w:id="169" w:name="_Toc366671188"/>
      <w:bookmarkEnd w:id="162"/>
      <w:bookmarkEnd w:id="163"/>
      <w:bookmarkEnd w:id="164"/>
      <w:bookmarkEnd w:id="165"/>
      <w:r w:rsidRPr="00CF6DED">
        <w:t>Application Content</w:t>
      </w:r>
      <w:bookmarkEnd w:id="166"/>
    </w:p>
    <w:p w14:paraId="16F31403" w14:textId="5B34620E" w:rsidR="001C2D56" w:rsidRPr="00C31C1D" w:rsidRDefault="001C2D56" w:rsidP="00D6111C">
      <w:bookmarkStart w:id="170" w:name="_Toc381079929"/>
      <w:bookmarkStart w:id="171" w:name="_Toc382571192"/>
      <w:bookmarkStart w:id="172" w:name="_Toc395180702"/>
      <w:bookmarkStart w:id="173" w:name="_Toc433981331"/>
      <w:bookmarkStart w:id="174" w:name="_Toc35074593"/>
      <w:bookmarkStart w:id="175" w:name="_Toc366671191"/>
      <w:bookmarkEnd w:id="167"/>
      <w:bookmarkEnd w:id="168"/>
      <w:bookmarkEnd w:id="169"/>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0"/>
      <w:bookmarkEnd w:id="171"/>
      <w:bookmarkEnd w:id="172"/>
      <w:bookmarkEnd w:id="173"/>
      <w:r w:rsidR="00BF6C04">
        <w:t>.</w:t>
      </w:r>
    </w:p>
    <w:bookmarkEnd w:id="174"/>
    <w:bookmarkEnd w:id="175"/>
    <w:p w14:paraId="24559819" w14:textId="77777777" w:rsidR="00624855" w:rsidRPr="00C31C1D" w:rsidRDefault="00624855" w:rsidP="00D6111C">
      <w:pPr>
        <w:spacing w:after="0"/>
        <w:ind w:left="720"/>
      </w:pPr>
    </w:p>
    <w:p w14:paraId="03486CAD" w14:textId="22ABBA92" w:rsidR="005E52CD" w:rsidRPr="007065BB" w:rsidRDefault="001C2D56" w:rsidP="00D6111C">
      <w:pPr>
        <w:pStyle w:val="HeadingNew1"/>
        <w:numPr>
          <w:ilvl w:val="0"/>
          <w:numId w:val="57"/>
        </w:numPr>
        <w:ind w:left="360"/>
        <w:jc w:val="left"/>
      </w:pPr>
      <w:r w:rsidRPr="007065BB">
        <w:t xml:space="preserve">Executive Summary Form (Attachment </w:t>
      </w:r>
      <w:r w:rsidR="00AE499E">
        <w:t>0</w:t>
      </w:r>
      <w:r w:rsidR="00752C40">
        <w:t>1</w:t>
      </w:r>
      <w:r w:rsidRPr="007065BB">
        <w:t>)</w:t>
      </w:r>
    </w:p>
    <w:p w14:paraId="0C7DDAAE" w14:textId="77777777" w:rsidR="001C2D56" w:rsidRDefault="001C2D56" w:rsidP="00D6111C">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D6111C">
      <w:pPr>
        <w:spacing w:after="0"/>
        <w:ind w:left="360" w:right="360"/>
        <w:rPr>
          <w:b/>
        </w:rPr>
      </w:pPr>
    </w:p>
    <w:p w14:paraId="172FCE72" w14:textId="3121349A" w:rsidR="005E52CD" w:rsidRPr="007065BB" w:rsidRDefault="001C2D56" w:rsidP="00D6111C">
      <w:pPr>
        <w:pStyle w:val="HeadingNew1"/>
        <w:numPr>
          <w:ilvl w:val="0"/>
          <w:numId w:val="57"/>
        </w:numPr>
        <w:ind w:left="360"/>
        <w:jc w:val="left"/>
      </w:pPr>
      <w:r w:rsidRPr="007065BB">
        <w:t xml:space="preserve">Project Narrative Form (Attachment </w:t>
      </w:r>
      <w:r w:rsidR="00AE499E">
        <w:t>0</w:t>
      </w:r>
      <w:r w:rsidR="00752C40">
        <w:t>2</w:t>
      </w:r>
      <w:r w:rsidRPr="007065BB">
        <w:t xml:space="preserve">) </w:t>
      </w:r>
    </w:p>
    <w:p w14:paraId="710E5E6A" w14:textId="63F45F1B" w:rsidR="007065BB" w:rsidRPr="00142AAE" w:rsidRDefault="00C2239B" w:rsidP="00D6111C">
      <w:pPr>
        <w:ind w:left="360" w:right="360"/>
        <w:rPr>
          <w:rFonts w:eastAsia="MS Mincho" w:cs="Times New Roman"/>
          <w:sz w:val="24"/>
          <w:szCs w:val="24"/>
        </w:rPr>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A10B55">
        <w:t>.</w:t>
      </w:r>
      <w:r w:rsidR="007065BB" w:rsidRPr="00142AAE">
        <w:rPr>
          <w:rFonts w:eastAsia="MS Mincho" w:cs="Times New Roman"/>
          <w:sz w:val="24"/>
          <w:szCs w:val="24"/>
        </w:rPr>
        <w:t xml:space="preserve"> </w:t>
      </w:r>
    </w:p>
    <w:p w14:paraId="5856DB1F" w14:textId="77777777" w:rsidR="001C2D56" w:rsidRPr="00C31C1D" w:rsidRDefault="001C2D56" w:rsidP="00D6111C">
      <w:pPr>
        <w:spacing w:after="0"/>
        <w:ind w:left="770" w:right="360"/>
        <w:rPr>
          <w:b/>
        </w:rPr>
      </w:pPr>
    </w:p>
    <w:p w14:paraId="1721143F" w14:textId="61EBCF4F" w:rsidR="005E52CD" w:rsidRPr="007065BB" w:rsidRDefault="001C2D56" w:rsidP="00D6111C">
      <w:pPr>
        <w:pStyle w:val="HeadingNew1"/>
        <w:numPr>
          <w:ilvl w:val="0"/>
          <w:numId w:val="57"/>
        </w:numPr>
        <w:ind w:left="360"/>
        <w:jc w:val="left"/>
      </w:pPr>
      <w:r w:rsidRPr="007065BB">
        <w:t xml:space="preserve">Project Team Form (Attachment </w:t>
      </w:r>
      <w:r w:rsidR="00AE499E">
        <w:t>0</w:t>
      </w:r>
      <w:r w:rsidR="000957CE">
        <w:t>3</w:t>
      </w:r>
      <w:r w:rsidRPr="007065BB">
        <w:t>)</w:t>
      </w:r>
    </w:p>
    <w:p w14:paraId="6B128283" w14:textId="7752DD42" w:rsidR="001C2D56" w:rsidRPr="00C31C1D" w:rsidRDefault="001C2D56" w:rsidP="00D6111C">
      <w:pPr>
        <w:keepLines/>
        <w:widowControl w:val="0"/>
        <w:tabs>
          <w:tab w:val="left" w:pos="1170"/>
        </w:tabs>
        <w:spacing w:after="0"/>
        <w:ind w:left="360"/>
      </w:pPr>
      <w:r w:rsidRPr="1D7C83C9">
        <w:t>Identify by name all key personnel</w:t>
      </w:r>
      <w:r w:rsidRPr="1D7C83C9">
        <w:rPr>
          <w:rStyle w:val="FootnoteReference"/>
          <w:rFonts w:cs="Arial"/>
        </w:rPr>
        <w:footnoteReference w:id="30"/>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Include the information required for each individual</w:t>
      </w:r>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4025BC53" w14:textId="77777777" w:rsidR="001C2D56" w:rsidRDefault="001C2D56" w:rsidP="00D6111C">
      <w:pPr>
        <w:keepLines/>
        <w:widowControl w:val="0"/>
        <w:spacing w:after="0"/>
        <w:ind w:left="360"/>
        <w:rPr>
          <w:b/>
          <w:szCs w:val="22"/>
        </w:rPr>
      </w:pPr>
    </w:p>
    <w:p w14:paraId="02B682D0" w14:textId="2E7D01F6" w:rsidR="005E52CD" w:rsidRPr="007065BB" w:rsidRDefault="001C2D56" w:rsidP="00D6111C">
      <w:pPr>
        <w:pStyle w:val="HeadingNew1"/>
        <w:keepNext/>
        <w:numPr>
          <w:ilvl w:val="0"/>
          <w:numId w:val="57"/>
        </w:numPr>
        <w:ind w:left="360"/>
        <w:jc w:val="left"/>
      </w:pPr>
      <w:r w:rsidRPr="007065BB">
        <w:lastRenderedPageBreak/>
        <w:t>Scope of Work Template (Attachment</w:t>
      </w:r>
      <w:r w:rsidR="00713198" w:rsidRPr="007065BB">
        <w:t>s</w:t>
      </w:r>
      <w:r w:rsidRPr="007065BB">
        <w:t xml:space="preserve"> </w:t>
      </w:r>
      <w:r w:rsidR="00AE499E">
        <w:t>0</w:t>
      </w:r>
      <w:r w:rsidR="00C87387">
        <w:t>4</w:t>
      </w:r>
      <w:r w:rsidRPr="007065BB">
        <w:t>)</w:t>
      </w:r>
    </w:p>
    <w:p w14:paraId="2EC5240E" w14:textId="0488E771" w:rsidR="001C2D56" w:rsidRPr="00C31C1D" w:rsidRDefault="001C2D56" w:rsidP="00D6111C">
      <w:pPr>
        <w:pStyle w:val="BulletedList"/>
        <w:keepNex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D6111C">
      <w:pPr>
        <w:pStyle w:val="BulletedList"/>
        <w:spacing w:after="0"/>
        <w:ind w:left="720" w:firstLine="0"/>
      </w:pPr>
    </w:p>
    <w:p w14:paraId="44F67CA8" w14:textId="77777777" w:rsidR="001970B9" w:rsidRPr="00142AAE" w:rsidRDefault="001C2D56" w:rsidP="00D6111C">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D6111C">
      <w:pPr>
        <w:pStyle w:val="BulletedList"/>
        <w:spacing w:after="0"/>
        <w:ind w:left="720" w:firstLine="0"/>
        <w:rPr>
          <w:b/>
        </w:rPr>
      </w:pPr>
    </w:p>
    <w:p w14:paraId="3F5D6D8A" w14:textId="5988B5D8" w:rsidR="00A14C92" w:rsidRDefault="00A14C92" w:rsidP="00D6111C">
      <w:pPr>
        <w:pStyle w:val="HeadingNew1"/>
        <w:numPr>
          <w:ilvl w:val="0"/>
          <w:numId w:val="57"/>
        </w:numPr>
        <w:ind w:left="360"/>
        <w:jc w:val="left"/>
      </w:pPr>
      <w:bookmarkStart w:id="176" w:name="_Toc35074602"/>
      <w:r>
        <w:t xml:space="preserve">Project Schedule (Attachment </w:t>
      </w:r>
      <w:r w:rsidR="00AE499E">
        <w:t>0</w:t>
      </w:r>
      <w:r w:rsidR="00C87387">
        <w:t>5</w:t>
      </w:r>
      <w:r>
        <w:t>)</w:t>
      </w:r>
    </w:p>
    <w:p w14:paraId="7E4014C1" w14:textId="1019B7BD" w:rsidR="00A14C92" w:rsidRDefault="003B24B0" w:rsidP="00D6111C">
      <w:pPr>
        <w:pStyle w:val="HeadingNew1"/>
        <w:numPr>
          <w:ilvl w:val="0"/>
          <w:numId w:val="0"/>
        </w:numPr>
        <w:ind w:left="360"/>
        <w:jc w:val="left"/>
        <w:rPr>
          <w:b w:val="0"/>
        </w:rPr>
      </w:pPr>
      <w:r>
        <w:rPr>
          <w:b w:val="0"/>
        </w:rPr>
        <w:t xml:space="preserve">The Project Schedule includes a list of all </w:t>
      </w:r>
      <w:r w:rsidR="4AA31CFF">
        <w:rPr>
          <w:b w:val="0"/>
        </w:rPr>
        <w:t>product</w:t>
      </w:r>
      <w:r w:rsidR="60BF8593">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D6111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6CB508AA" w:rsidR="005E52CD" w:rsidRPr="007065BB" w:rsidRDefault="001C2D56" w:rsidP="00D6111C">
      <w:pPr>
        <w:pStyle w:val="HeadingNew1"/>
        <w:numPr>
          <w:ilvl w:val="0"/>
          <w:numId w:val="57"/>
        </w:numPr>
        <w:ind w:left="360"/>
        <w:jc w:val="left"/>
      </w:pPr>
      <w:r w:rsidRPr="007065BB">
        <w:t xml:space="preserve">Budget Forms (Attachment </w:t>
      </w:r>
      <w:r w:rsidR="00AE499E">
        <w:t>0</w:t>
      </w:r>
      <w:r w:rsidR="00C87387">
        <w:t>6</w:t>
      </w:r>
      <w:r w:rsidRPr="007065BB">
        <w:t>)</w:t>
      </w:r>
    </w:p>
    <w:bookmarkEnd w:id="176"/>
    <w:p w14:paraId="26098B9A" w14:textId="6C06F4F9" w:rsidR="008A6BD9" w:rsidRPr="004D354D" w:rsidRDefault="008A6BD9" w:rsidP="00D6111C">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D6111C">
      <w:pPr>
        <w:pStyle w:val="BulletedList"/>
        <w:numPr>
          <w:ilvl w:val="0"/>
          <w:numId w:val="10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D6111C">
      <w:pPr>
        <w:pStyle w:val="BulletedList"/>
        <w:numPr>
          <w:ilvl w:val="0"/>
          <w:numId w:val="10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D6111C">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D6111C">
      <w:pPr>
        <w:keepLines/>
        <w:widowControl w:val="0"/>
        <w:numPr>
          <w:ilvl w:val="0"/>
          <w:numId w:val="26"/>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D6111C">
      <w:pPr>
        <w:keepLines/>
        <w:widowControl w:val="0"/>
        <w:numPr>
          <w:ilvl w:val="0"/>
          <w:numId w:val="26"/>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D6111C">
      <w:pPr>
        <w:keepLines/>
        <w:widowControl w:val="0"/>
        <w:numPr>
          <w:ilvl w:val="0"/>
          <w:numId w:val="26"/>
        </w:numPr>
        <w:tabs>
          <w:tab w:val="left" w:pos="1080"/>
        </w:tabs>
        <w:spacing w:after="60"/>
        <w:ind w:left="1080"/>
        <w:rPr>
          <w:szCs w:val="22"/>
        </w:rPr>
      </w:pPr>
      <w:r w:rsidRPr="000D59B2">
        <w:rPr>
          <w:szCs w:val="22"/>
        </w:rPr>
        <w:lastRenderedPageBreak/>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D6111C">
      <w:pPr>
        <w:keepLines/>
        <w:widowControl w:val="0"/>
        <w:numPr>
          <w:ilvl w:val="0"/>
          <w:numId w:val="26"/>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D6111C">
      <w:pPr>
        <w:keepLines/>
        <w:widowControl w:val="0"/>
        <w:numPr>
          <w:ilvl w:val="0"/>
          <w:numId w:val="26"/>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D6111C">
      <w:pPr>
        <w:keepLines/>
        <w:widowControl w:val="0"/>
        <w:numPr>
          <w:ilvl w:val="0"/>
          <w:numId w:val="26"/>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D6111C">
      <w:pPr>
        <w:keepLines/>
        <w:widowControl w:val="0"/>
        <w:numPr>
          <w:ilvl w:val="0"/>
          <w:numId w:val="26"/>
        </w:numPr>
        <w:spacing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6111C">
      <w:pPr>
        <w:keepLines/>
        <w:widowControl w:val="0"/>
        <w:spacing w:after="60"/>
        <w:ind w:left="1080"/>
        <w:rPr>
          <w:bCs/>
        </w:rPr>
      </w:pPr>
    </w:p>
    <w:p w14:paraId="182B0B48" w14:textId="77777777" w:rsidR="00AD2D4A" w:rsidRDefault="00AD2D4A" w:rsidP="00D6111C">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6111C">
      <w:pPr>
        <w:keepLines/>
        <w:widowControl w:val="0"/>
        <w:spacing w:after="60"/>
        <w:ind w:left="1080"/>
        <w:rPr>
          <w:bCs/>
        </w:rPr>
      </w:pPr>
    </w:p>
    <w:p w14:paraId="67AA078D" w14:textId="58696815" w:rsidR="006A2B28" w:rsidRDefault="006A2B28" w:rsidP="00D6111C">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D6111C">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D6111C">
      <w:pPr>
        <w:keepLines/>
        <w:widowControl w:val="0"/>
        <w:numPr>
          <w:ilvl w:val="0"/>
          <w:numId w:val="58"/>
        </w:numPr>
        <w:autoSpaceDE w:val="0"/>
        <w:autoSpaceDN w:val="0"/>
        <w:adjustRightInd w:val="0"/>
        <w:ind w:left="2160"/>
        <w:rPr>
          <w:rFonts w:ascii="ArialMT" w:eastAsia="Calibri" w:hAnsi="ArialMT" w:cs="ArialMT"/>
          <w:szCs w:val="24"/>
        </w:rPr>
      </w:pPr>
      <w:r>
        <w:rPr>
          <w:rFonts w:ascii="ArialMT" w:eastAsia="Calibri" w:hAnsi="ArialMT" w:cs="ArialMT"/>
          <w:szCs w:val="24"/>
        </w:rPr>
        <w:lastRenderedPageBreak/>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D6111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6111C">
      <w:pPr>
        <w:keepLines/>
        <w:widowControl w:val="0"/>
        <w:spacing w:after="60"/>
        <w:ind w:left="1080"/>
        <w:rPr>
          <w:bCs/>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D6111C">
      <w:pPr>
        <w:keepLines/>
        <w:widowControl w:val="0"/>
        <w:spacing w:after="0"/>
        <w:ind w:left="1440"/>
        <w:rPr>
          <w:szCs w:val="22"/>
        </w:rPr>
      </w:pPr>
    </w:p>
    <w:p w14:paraId="337FFD7A" w14:textId="1A8FE775" w:rsidR="00FB7DFE" w:rsidRPr="007065BB" w:rsidRDefault="00FB7DFE" w:rsidP="00D6111C">
      <w:pPr>
        <w:pStyle w:val="HeadingNew1"/>
        <w:numPr>
          <w:ilvl w:val="0"/>
          <w:numId w:val="57"/>
        </w:numPr>
        <w:ind w:left="360"/>
        <w:jc w:val="left"/>
      </w:pPr>
      <w:r w:rsidRPr="007065BB">
        <w:t>California Environmental Quality Act (CEQA) Compliance Form</w:t>
      </w:r>
      <w:r w:rsidRPr="007065BB" w:rsidDel="00E3682B">
        <w:t xml:space="preserve"> </w:t>
      </w:r>
      <w:r w:rsidRPr="007065BB">
        <w:t xml:space="preserve">(Attachment </w:t>
      </w:r>
      <w:r w:rsidR="00AE499E">
        <w:t>0</w:t>
      </w:r>
      <w:r w:rsidR="00476BFC">
        <w:t>7</w:t>
      </w:r>
      <w:r w:rsidRPr="007065BB">
        <w:t>)</w:t>
      </w:r>
    </w:p>
    <w:p w14:paraId="502BF9DA" w14:textId="77777777" w:rsidR="00FB7DFE" w:rsidRPr="0075281F" w:rsidRDefault="00FB7DFE" w:rsidP="00D6111C">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D6111C">
      <w:pPr>
        <w:keepLines/>
        <w:widowControl w:val="0"/>
        <w:spacing w:after="0"/>
        <w:ind w:left="360"/>
        <w:rPr>
          <w:szCs w:val="22"/>
        </w:rPr>
      </w:pPr>
    </w:p>
    <w:p w14:paraId="6BB40852" w14:textId="5CAD35C9" w:rsidR="00FB7DFE" w:rsidRPr="00C31C1D" w:rsidRDefault="00FB7DFE" w:rsidP="00D6111C">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D6111C">
      <w:pPr>
        <w:keepLines/>
        <w:widowControl w:val="0"/>
        <w:spacing w:after="0"/>
        <w:ind w:left="720"/>
        <w:rPr>
          <w:szCs w:val="22"/>
        </w:rPr>
      </w:pPr>
    </w:p>
    <w:p w14:paraId="23449402" w14:textId="39CF06BB" w:rsidR="001C2D56" w:rsidRPr="00C31C1D" w:rsidRDefault="00677D2B" w:rsidP="00D6111C">
      <w:pPr>
        <w:pStyle w:val="HeadingNew1"/>
        <w:numPr>
          <w:ilvl w:val="0"/>
          <w:numId w:val="57"/>
        </w:numPr>
        <w:ind w:left="360"/>
        <w:jc w:val="left"/>
        <w:rPr>
          <w:b w:val="0"/>
        </w:rPr>
      </w:pPr>
      <w:r w:rsidRPr="00677D2B">
        <w:t>Past Projects Information</w:t>
      </w:r>
      <w:r w:rsidR="001C2D56" w:rsidRPr="007065BB">
        <w:t xml:space="preserve"> (Attachment </w:t>
      </w:r>
      <w:r w:rsidR="00AE499E">
        <w:t>0</w:t>
      </w:r>
      <w:r w:rsidR="00476BFC">
        <w:t>8</w:t>
      </w:r>
      <w:r w:rsidR="001C2D56" w:rsidRPr="007065BB">
        <w:t>)</w:t>
      </w:r>
    </w:p>
    <w:p w14:paraId="69832D7B" w14:textId="3D40CFA7" w:rsidR="001C2D56" w:rsidRDefault="00547BE6" w:rsidP="00D6111C">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D6111C">
      <w:pPr>
        <w:spacing w:after="0"/>
        <w:rPr>
          <w:szCs w:val="24"/>
        </w:rPr>
      </w:pPr>
    </w:p>
    <w:p w14:paraId="6874B826" w14:textId="56421052" w:rsidR="001C2D56" w:rsidRPr="007065BB" w:rsidRDefault="001C2D56" w:rsidP="00D6111C">
      <w:pPr>
        <w:pStyle w:val="HeadingNew1"/>
        <w:numPr>
          <w:ilvl w:val="0"/>
          <w:numId w:val="57"/>
        </w:numPr>
        <w:ind w:left="360"/>
        <w:jc w:val="left"/>
      </w:pPr>
      <w:r w:rsidRPr="00E74B5A">
        <w:rPr>
          <w:b w:val="0"/>
          <w:szCs w:val="24"/>
        </w:rPr>
        <w:t xml:space="preserve"> </w:t>
      </w:r>
      <w:bookmarkStart w:id="177" w:name="CommLttr"/>
      <w:r w:rsidR="006760F9" w:rsidRPr="007065BB">
        <w:t>Commitment and Su</w:t>
      </w:r>
      <w:r w:rsidR="000B648E">
        <w:t xml:space="preserve">pport Letter Form (Attachment </w:t>
      </w:r>
      <w:r w:rsidR="00AE499E">
        <w:t>0</w:t>
      </w:r>
      <w:r w:rsidR="00476BFC">
        <w:t>9</w:t>
      </w:r>
      <w:r w:rsidR="006760F9" w:rsidRPr="007065BB">
        <w:t>)</w:t>
      </w:r>
      <w:bookmarkEnd w:id="177"/>
    </w:p>
    <w:p w14:paraId="60C97C4B" w14:textId="77777777" w:rsidR="001C2D56" w:rsidRDefault="001C2D56" w:rsidP="00D6111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D6111C">
      <w:pPr>
        <w:numPr>
          <w:ilvl w:val="2"/>
          <w:numId w:val="35"/>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AE499E" w:rsidRDefault="006D5C5E" w:rsidP="00D6111C">
      <w:pPr>
        <w:tabs>
          <w:tab w:val="left" w:pos="720"/>
          <w:tab w:val="left" w:pos="1080"/>
          <w:tab w:val="left" w:pos="1170"/>
          <w:tab w:val="left" w:pos="1620"/>
        </w:tabs>
        <w:spacing w:after="0"/>
        <w:ind w:left="162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w:t>
      </w:r>
      <w:r w:rsidR="000504A1" w:rsidRPr="00AE499E">
        <w:rPr>
          <w:szCs w:val="22"/>
        </w:rPr>
        <w:t>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4C1DB074" w14:textId="544E3618" w:rsidR="006D5C5E" w:rsidRPr="00AE499E" w:rsidRDefault="006D5C5E" w:rsidP="00D6111C">
      <w:pPr>
        <w:tabs>
          <w:tab w:val="left" w:pos="720"/>
          <w:tab w:val="left" w:pos="1080"/>
          <w:tab w:val="left" w:pos="1170"/>
          <w:tab w:val="left" w:pos="1620"/>
        </w:tabs>
        <w:spacing w:after="0"/>
        <w:ind w:left="1620"/>
        <w:rPr>
          <w:b/>
          <w:szCs w:val="22"/>
        </w:rPr>
      </w:pPr>
    </w:p>
    <w:p w14:paraId="1DF09B9F" w14:textId="77777777" w:rsidR="00AE499E" w:rsidRPr="00AE499E" w:rsidRDefault="006D5C5E" w:rsidP="00D6111C">
      <w:pPr>
        <w:numPr>
          <w:ilvl w:val="0"/>
          <w:numId w:val="59"/>
        </w:numPr>
        <w:tabs>
          <w:tab w:val="left" w:pos="720"/>
          <w:tab w:val="left" w:pos="1170"/>
          <w:tab w:val="left" w:pos="1260"/>
          <w:tab w:val="left" w:pos="1620"/>
        </w:tabs>
        <w:spacing w:after="0"/>
        <w:ind w:left="1627"/>
        <w:rPr>
          <w:b/>
          <w:bCs/>
        </w:rPr>
      </w:pPr>
      <w:r w:rsidRPr="00AE499E">
        <w:t>If the project involves</w:t>
      </w:r>
      <w:r w:rsidRPr="00AE499E">
        <w:rPr>
          <w:b/>
          <w:bCs/>
        </w:rPr>
        <w:t xml:space="preserve"> demonstration/deployment </w:t>
      </w:r>
      <w:r w:rsidRPr="00AE499E">
        <w:t xml:space="preserve">activities, the applicant must include a site commitment letter signed by an authorized representative of </w:t>
      </w:r>
      <w:r w:rsidRPr="00AE499E">
        <w:lastRenderedPageBreak/>
        <w:t xml:space="preserve">the proposed demonstration/deployment site. The letter </w:t>
      </w:r>
      <w:r w:rsidR="004000E1" w:rsidRPr="00AE499E">
        <w:t>must</w:t>
      </w:r>
      <w:r w:rsidRPr="00AE499E">
        <w:t>: (1) identi</w:t>
      </w:r>
      <w:r>
        <w:t xml:space="preserve">fy the </w:t>
      </w:r>
      <w:r w:rsidRPr="00AE499E">
        <w:t xml:space="preserve">location of the site (street address, parcel number, tract map, plot map, etc.) consistent with </w:t>
      </w:r>
      <w:r w:rsidR="00935FA2" w:rsidRPr="00AE499E">
        <w:t xml:space="preserve">ECAMS and </w:t>
      </w:r>
      <w:r w:rsidR="0027770F" w:rsidRPr="00AE499E">
        <w:t xml:space="preserve">the </w:t>
      </w:r>
      <w:r w:rsidR="00C1611B" w:rsidRPr="00AE499E">
        <w:t xml:space="preserve">CEQA Compliance Form </w:t>
      </w:r>
      <w:r w:rsidR="0027770F" w:rsidRPr="00AE499E">
        <w:t>(</w:t>
      </w:r>
      <w:r w:rsidRPr="00AE499E">
        <w:t>Attachment</w:t>
      </w:r>
      <w:r w:rsidR="0027770F" w:rsidRPr="00AE499E">
        <w:t>)</w:t>
      </w:r>
      <w:r w:rsidR="004305B7" w:rsidRPr="00AE499E">
        <w:t xml:space="preserve"> or provide justification if the </w:t>
      </w:r>
      <w:r w:rsidR="00115A4C" w:rsidRPr="00AE499E">
        <w:t>exact site location is presently undetermined</w:t>
      </w:r>
      <w:r w:rsidR="00182C15" w:rsidRPr="00AE499E">
        <w:t>;</w:t>
      </w:r>
      <w:r w:rsidRPr="00AE499E">
        <w:t xml:space="preserve"> and (2) </w:t>
      </w:r>
      <w:r w:rsidR="004E3C23" w:rsidRPr="00AE499E">
        <w:t xml:space="preserve">unconditionally </w:t>
      </w:r>
      <w:r w:rsidRPr="00AE499E">
        <w:t>commit to providing the site for the proposed activities</w:t>
      </w:r>
      <w:r w:rsidR="00182C15" w:rsidRPr="00AE499E">
        <w:t xml:space="preserve"> if </w:t>
      </w:r>
      <w:r w:rsidR="00DB750F" w:rsidRPr="00AE499E">
        <w:t>r</w:t>
      </w:r>
      <w:r w:rsidR="00182C15" w:rsidRPr="00AE499E">
        <w:t>ecipient is awarded a CEC grant</w:t>
      </w:r>
      <w:r w:rsidRPr="00AE499E">
        <w:t>.</w:t>
      </w:r>
    </w:p>
    <w:p w14:paraId="2A072889" w14:textId="442D1C62" w:rsidR="006D5C5E" w:rsidRPr="00AE499E" w:rsidRDefault="006D5C5E" w:rsidP="00D6111C">
      <w:pPr>
        <w:tabs>
          <w:tab w:val="left" w:pos="720"/>
          <w:tab w:val="left" w:pos="1170"/>
          <w:tab w:val="left" w:pos="1260"/>
          <w:tab w:val="left" w:pos="1620"/>
        </w:tabs>
        <w:spacing w:after="0"/>
        <w:ind w:left="1627"/>
        <w:rPr>
          <w:b/>
          <w:bCs/>
        </w:rPr>
      </w:pPr>
    </w:p>
    <w:p w14:paraId="6FAAD3CD" w14:textId="350E9C74" w:rsidR="006D5C5E" w:rsidRPr="00AE499E" w:rsidRDefault="006D5C5E" w:rsidP="00D6111C">
      <w:pPr>
        <w:numPr>
          <w:ilvl w:val="0"/>
          <w:numId w:val="59"/>
        </w:numPr>
        <w:tabs>
          <w:tab w:val="left" w:pos="720"/>
          <w:tab w:val="left" w:pos="1170"/>
          <w:tab w:val="left" w:pos="1260"/>
          <w:tab w:val="left" w:pos="1620"/>
        </w:tabs>
        <w:ind w:left="1627"/>
        <w:rPr>
          <w:b/>
        </w:rPr>
      </w:pPr>
      <w:r w:rsidRPr="00AE499E">
        <w:rPr>
          <w:b/>
        </w:rPr>
        <w:t>Project partners</w:t>
      </w:r>
      <w:r w:rsidRPr="00AE499E">
        <w:t xml:space="preserve"> that are making contributions other than match funding or a demonstration/deployment site, and are not receiving </w:t>
      </w:r>
      <w:r w:rsidR="008F4A0E" w:rsidRPr="00AE499E">
        <w:t>CEC</w:t>
      </w:r>
      <w:r w:rsidRPr="00AE499E">
        <w:t xml:space="preserve"> funds, must submit a commitment letter signed by an authorized representative that: (1) identifies how the partner will contribute to the project; and (2) </w:t>
      </w:r>
      <w:r w:rsidR="00E93AD9" w:rsidRPr="00AE499E">
        <w:t xml:space="preserve">unconditionally </w:t>
      </w:r>
      <w:r w:rsidRPr="00AE499E">
        <w:t>commits to making the contribution</w:t>
      </w:r>
      <w:r w:rsidR="00182C15" w:rsidRPr="00AE499E">
        <w:t xml:space="preserve"> if Recipient is awarded a CEC grant</w:t>
      </w:r>
      <w:r w:rsidRPr="00AE499E">
        <w:t xml:space="preserve">. </w:t>
      </w:r>
    </w:p>
    <w:p w14:paraId="078C5CFB" w14:textId="77777777" w:rsidR="006D5C5E" w:rsidRPr="00AE499E" w:rsidRDefault="006D5C5E" w:rsidP="00D6111C">
      <w:pPr>
        <w:numPr>
          <w:ilvl w:val="2"/>
          <w:numId w:val="35"/>
        </w:numPr>
        <w:tabs>
          <w:tab w:val="left" w:pos="720"/>
          <w:tab w:val="left" w:pos="1170"/>
          <w:tab w:val="left" w:pos="1260"/>
        </w:tabs>
        <w:spacing w:after="0"/>
        <w:ind w:left="1170"/>
        <w:rPr>
          <w:b/>
          <w:u w:val="single"/>
        </w:rPr>
      </w:pPr>
      <w:r w:rsidRPr="00AE499E">
        <w:rPr>
          <w:szCs w:val="22"/>
          <w:u w:val="single"/>
        </w:rPr>
        <w:t>Support Letters</w:t>
      </w:r>
    </w:p>
    <w:p w14:paraId="2ED7C640" w14:textId="6B48FB9D" w:rsidR="006D5C5E" w:rsidRPr="00AE499E" w:rsidRDefault="006D5C5E" w:rsidP="00D6111C">
      <w:pPr>
        <w:tabs>
          <w:tab w:val="left" w:pos="720"/>
          <w:tab w:val="left" w:pos="1170"/>
          <w:tab w:val="left" w:pos="1260"/>
        </w:tabs>
        <w:spacing w:after="0"/>
        <w:ind w:left="1170"/>
      </w:pPr>
      <w:r w:rsidRPr="00AE499E">
        <w:t xml:space="preserve">All applicants must include at least one support letter from a project </w:t>
      </w:r>
      <w:r w:rsidR="00B26126" w:rsidRPr="00AE499E">
        <w:t>partner</w:t>
      </w:r>
      <w:r w:rsidRPr="00AE499E">
        <w:t xml:space="preserve"> (i.e., an entity or individual that will benefit from or be involved in the project) that: (1) describes the </w:t>
      </w:r>
      <w:r w:rsidR="00B26126" w:rsidRPr="00AE499E">
        <w:t>partner</w:t>
      </w:r>
      <w:r w:rsidRPr="00AE499E">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demonstration/deployment site.</w:t>
      </w:r>
    </w:p>
    <w:p w14:paraId="69F4A2CA" w14:textId="77777777" w:rsidR="00624855" w:rsidRPr="00AE499E" w:rsidRDefault="00624855" w:rsidP="00D6111C">
      <w:pPr>
        <w:tabs>
          <w:tab w:val="left" w:pos="720"/>
          <w:tab w:val="left" w:pos="1170"/>
          <w:tab w:val="left" w:pos="1260"/>
        </w:tabs>
        <w:spacing w:after="0"/>
        <w:ind w:left="1170"/>
        <w:rPr>
          <w:b/>
        </w:rPr>
      </w:pPr>
    </w:p>
    <w:p w14:paraId="15CC6493" w14:textId="233DFFF1" w:rsidR="00BD4343" w:rsidRPr="00AE499E" w:rsidRDefault="00BD4343" w:rsidP="00D6111C">
      <w:pPr>
        <w:pStyle w:val="HeadingNew1"/>
        <w:numPr>
          <w:ilvl w:val="0"/>
          <w:numId w:val="57"/>
        </w:numPr>
        <w:ind w:left="360"/>
        <w:jc w:val="left"/>
      </w:pPr>
      <w:r w:rsidRPr="00AE499E">
        <w:t>Project Performance Metrics</w:t>
      </w:r>
      <w:r w:rsidR="00943E11" w:rsidRPr="00AE499E">
        <w:t xml:space="preserve"> (Attachment </w:t>
      </w:r>
      <w:r w:rsidR="009063AD" w:rsidRPr="00AE499E">
        <w:t>10</w:t>
      </w:r>
      <w:r w:rsidR="00943E11" w:rsidRPr="00AE499E">
        <w:t>)</w:t>
      </w:r>
    </w:p>
    <w:p w14:paraId="5D3B0CDB" w14:textId="678B4EAC" w:rsidR="004B2FDF" w:rsidRPr="00AE499E" w:rsidRDefault="007A2434" w:rsidP="00D6111C">
      <w:pPr>
        <w:spacing w:after="0"/>
        <w:ind w:left="360"/>
      </w:pPr>
      <w:r w:rsidRPr="00AE499E">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AE499E">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AE499E" w:rsidRDefault="004B2FDF" w:rsidP="00D6111C">
      <w:pPr>
        <w:spacing w:after="0"/>
        <w:ind w:left="720"/>
      </w:pPr>
    </w:p>
    <w:p w14:paraId="00A12D7E" w14:textId="78D831CB" w:rsidR="004B2FDF" w:rsidRPr="00AE499E" w:rsidRDefault="004B2FDF" w:rsidP="00D6111C">
      <w:pPr>
        <w:pStyle w:val="HeadingNew1"/>
        <w:numPr>
          <w:ilvl w:val="0"/>
          <w:numId w:val="57"/>
        </w:numPr>
        <w:ind w:left="360"/>
        <w:jc w:val="left"/>
      </w:pPr>
      <w:r w:rsidRPr="00AE499E">
        <w:t>Applicant Declaration</w:t>
      </w:r>
      <w:r w:rsidR="002953A8" w:rsidRPr="00AE499E">
        <w:t xml:space="preserve"> (Attachment 1</w:t>
      </w:r>
      <w:r w:rsidR="009063AD" w:rsidRPr="00AE499E">
        <w:t>1</w:t>
      </w:r>
      <w:r w:rsidR="002953A8" w:rsidRPr="00AE499E">
        <w:t>)</w:t>
      </w:r>
    </w:p>
    <w:p w14:paraId="25ED1839" w14:textId="48FD2BB5" w:rsidR="00624855" w:rsidRPr="00AE499E" w:rsidRDefault="00260970" w:rsidP="00D6111C">
      <w:pPr>
        <w:spacing w:after="0"/>
        <w:ind w:left="360"/>
      </w:pPr>
      <w:r w:rsidRPr="00AE499E">
        <w:rPr>
          <w:szCs w:val="24"/>
        </w:rPr>
        <w:t xml:space="preserve">This form requests the applicant </w:t>
      </w:r>
      <w:r w:rsidR="009146C3" w:rsidRPr="00AE499E">
        <w:rPr>
          <w:szCs w:val="24"/>
        </w:rPr>
        <w:t xml:space="preserve">make certain </w:t>
      </w:r>
      <w:r w:rsidRPr="00AE499E">
        <w:rPr>
          <w:szCs w:val="24"/>
        </w:rPr>
        <w:t>declar</w:t>
      </w:r>
      <w:r w:rsidR="00A963A3" w:rsidRPr="00AE499E">
        <w:rPr>
          <w:szCs w:val="24"/>
        </w:rPr>
        <w:t xml:space="preserve">ations </w:t>
      </w:r>
      <w:r w:rsidR="00B348CF" w:rsidRPr="00AE499E">
        <w:rPr>
          <w:szCs w:val="24"/>
        </w:rPr>
        <w:t>under penalty of perjury. This form must be signed by an authorized representative of the applicant’s organization</w:t>
      </w:r>
    </w:p>
    <w:p w14:paraId="467D65E5" w14:textId="77777777" w:rsidR="009D1F77" w:rsidRPr="00AE499E" w:rsidRDefault="009D1F77" w:rsidP="00D6111C">
      <w:pPr>
        <w:spacing w:after="0"/>
      </w:pPr>
    </w:p>
    <w:p w14:paraId="1542A0B7" w14:textId="20CF201E" w:rsidR="009D1F77" w:rsidRPr="00AE499E" w:rsidRDefault="009D1F77" w:rsidP="00D6111C">
      <w:pPr>
        <w:pStyle w:val="HeadingNew1"/>
        <w:numPr>
          <w:ilvl w:val="0"/>
          <w:numId w:val="57"/>
        </w:numPr>
        <w:ind w:left="360"/>
        <w:jc w:val="left"/>
        <w:rPr>
          <w:bCs/>
        </w:rPr>
      </w:pPr>
      <w:r w:rsidRPr="00AE499E">
        <w:t>References for Calculating Energy End-Use and GHG Emissions (Attachment 1</w:t>
      </w:r>
      <w:r w:rsidR="009063AD" w:rsidRPr="00AE499E">
        <w:t>2</w:t>
      </w:r>
      <w:r w:rsidRPr="00AE499E">
        <w:t>)</w:t>
      </w:r>
    </w:p>
    <w:p w14:paraId="381C529D" w14:textId="77777777" w:rsidR="009D1F77" w:rsidRPr="00AE499E" w:rsidRDefault="009D1F77" w:rsidP="00D6111C">
      <w:pPr>
        <w:spacing w:after="0"/>
        <w:ind w:left="360"/>
        <w:contextualSpacing/>
        <w:rPr>
          <w:b/>
          <w:bCs/>
        </w:rPr>
      </w:pPr>
      <w:r w:rsidRPr="00AE499E">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rsidP="00D6111C">
      <w:pPr>
        <w:spacing w:after="0"/>
        <w:contextualSpacing/>
      </w:pPr>
      <w:r w:rsidRPr="00B45766">
        <w:br w:type="page"/>
      </w:r>
    </w:p>
    <w:p w14:paraId="271AF44C" w14:textId="77777777" w:rsidR="001C2D56" w:rsidRPr="00C31C1D" w:rsidRDefault="001C2D56" w:rsidP="00D6111C">
      <w:pPr>
        <w:pStyle w:val="Heading1"/>
        <w:spacing w:before="0" w:after="120"/>
      </w:pPr>
      <w:bookmarkStart w:id="178" w:name="_Toc143172718"/>
      <w:bookmarkStart w:id="179" w:name="_Toc336443635"/>
      <w:bookmarkStart w:id="180" w:name="_Toc366671192"/>
      <w:r w:rsidRPr="00C31C1D">
        <w:lastRenderedPageBreak/>
        <w:t>IV.</w:t>
      </w:r>
      <w:r w:rsidRPr="00C31C1D">
        <w:tab/>
        <w:t xml:space="preserve">Evaluation </w:t>
      </w:r>
      <w:r>
        <w:t xml:space="preserve">and Award </w:t>
      </w:r>
      <w:r w:rsidRPr="00C31C1D">
        <w:t>Process</w:t>
      </w:r>
      <w:bookmarkEnd w:id="178"/>
      <w:r w:rsidRPr="00C31C1D">
        <w:t xml:space="preserve"> </w:t>
      </w:r>
      <w:bookmarkEnd w:id="154"/>
      <w:bookmarkEnd w:id="179"/>
      <w:bookmarkEnd w:id="180"/>
    </w:p>
    <w:p w14:paraId="501AD443" w14:textId="77777777" w:rsidR="003417AD" w:rsidRPr="00CF6DED" w:rsidRDefault="003417AD" w:rsidP="00D6111C">
      <w:pPr>
        <w:pStyle w:val="Heading2"/>
        <w:numPr>
          <w:ilvl w:val="0"/>
          <w:numId w:val="88"/>
        </w:numPr>
      </w:pPr>
      <w:bookmarkStart w:id="181" w:name="_Toc339284338"/>
      <w:bookmarkStart w:id="182" w:name="_Toc366671194"/>
      <w:bookmarkStart w:id="183" w:name="_Toc143172719"/>
      <w:bookmarkStart w:id="184" w:name="_Toc338162913"/>
      <w:bookmarkStart w:id="185" w:name="_Toc35074632"/>
      <w:bookmarkStart w:id="186" w:name="_Toc219275099"/>
      <w:bookmarkStart w:id="187" w:name="_Toc336443636"/>
      <w:r w:rsidRPr="00CF6DED">
        <w:t>Application Evaluation</w:t>
      </w:r>
      <w:bookmarkEnd w:id="181"/>
      <w:bookmarkEnd w:id="182"/>
      <w:bookmarkEnd w:id="183"/>
    </w:p>
    <w:bookmarkEnd w:id="184"/>
    <w:p w14:paraId="304DE136" w14:textId="7BCD77D0" w:rsidR="001C2D56" w:rsidRPr="00EE24D3" w:rsidRDefault="001C2D56" w:rsidP="00D6111C">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D6111C">
      <w:pPr>
        <w:pStyle w:val="ListParagraph"/>
        <w:numPr>
          <w:ilvl w:val="0"/>
          <w:numId w:val="49"/>
        </w:numPr>
        <w:tabs>
          <w:tab w:val="num" w:pos="360"/>
        </w:tabs>
        <w:rPr>
          <w:b/>
        </w:rPr>
      </w:pPr>
      <w:bookmarkStart w:id="188" w:name="_Toc381079932"/>
      <w:bookmarkStart w:id="189" w:name="_Toc382571195"/>
      <w:bookmarkStart w:id="190" w:name="_Toc395180705"/>
      <w:bookmarkStart w:id="191" w:name="_Toc433981334"/>
      <w:bookmarkStart w:id="192" w:name="_Toc360545784"/>
      <w:bookmarkStart w:id="193" w:name="_Toc366671195"/>
      <w:bookmarkStart w:id="194" w:name="_Toc339284339"/>
      <w:r w:rsidRPr="00E13674">
        <w:rPr>
          <w:b/>
        </w:rPr>
        <w:t>Stage One:  Application Screening</w:t>
      </w:r>
      <w:bookmarkEnd w:id="188"/>
      <w:bookmarkEnd w:id="189"/>
      <w:bookmarkEnd w:id="190"/>
      <w:bookmarkEnd w:id="191"/>
      <w:r w:rsidRPr="00E13674">
        <w:rPr>
          <w:b/>
        </w:rPr>
        <w:t xml:space="preserve"> </w:t>
      </w:r>
      <w:bookmarkEnd w:id="192"/>
      <w:bookmarkEnd w:id="193"/>
    </w:p>
    <w:p w14:paraId="58275728" w14:textId="74BAE56B" w:rsidR="00125E7A" w:rsidRPr="00125E7A" w:rsidRDefault="001C2D56" w:rsidP="00D6111C">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5" w:name="_Toc339284340"/>
      <w:bookmarkEnd w:id="194"/>
      <w:r w:rsidR="00125E7A">
        <w:rPr>
          <w:b/>
        </w:rPr>
        <w:t xml:space="preserve"> </w:t>
      </w:r>
    </w:p>
    <w:p w14:paraId="784791A3" w14:textId="77777777" w:rsidR="001C2D56" w:rsidRDefault="001C2D56" w:rsidP="00D6111C">
      <w:pPr>
        <w:spacing w:after="0"/>
      </w:pPr>
    </w:p>
    <w:p w14:paraId="6CAB20EF" w14:textId="77777777" w:rsidR="0061342D" w:rsidRPr="008E38AF" w:rsidRDefault="001C2D56" w:rsidP="00D6111C">
      <w:pPr>
        <w:pStyle w:val="ListParagraph"/>
        <w:numPr>
          <w:ilvl w:val="0"/>
          <w:numId w:val="49"/>
        </w:numPr>
        <w:tabs>
          <w:tab w:val="num" w:pos="360"/>
        </w:tabs>
        <w:rPr>
          <w:b/>
        </w:rPr>
      </w:pPr>
      <w:bookmarkStart w:id="196" w:name="_Toc381079933"/>
      <w:bookmarkStart w:id="197" w:name="_Toc382571196"/>
      <w:bookmarkStart w:id="198" w:name="_Toc395180706"/>
      <w:bookmarkStart w:id="199" w:name="_Toc433981335"/>
      <w:bookmarkStart w:id="200" w:name="_Toc360545785"/>
      <w:bookmarkStart w:id="201" w:name="_Toc366671198"/>
      <w:bookmarkStart w:id="202" w:name="Stg2AppScr"/>
      <w:r w:rsidRPr="008E38AF">
        <w:rPr>
          <w:b/>
        </w:rPr>
        <w:t>Stage Two:  Application Scoring</w:t>
      </w:r>
      <w:bookmarkEnd w:id="196"/>
      <w:bookmarkEnd w:id="197"/>
      <w:bookmarkEnd w:id="198"/>
      <w:bookmarkEnd w:id="199"/>
      <w:r w:rsidRPr="008E38AF">
        <w:rPr>
          <w:b/>
        </w:rPr>
        <w:t xml:space="preserve"> </w:t>
      </w:r>
      <w:bookmarkEnd w:id="200"/>
      <w:bookmarkEnd w:id="201"/>
    </w:p>
    <w:bookmarkEnd w:id="202"/>
    <w:p w14:paraId="7C1B6170" w14:textId="2B5A99F0" w:rsidR="001C2D56" w:rsidRPr="003E6D28" w:rsidRDefault="001C2D56" w:rsidP="00D6111C">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Default="001C2D56" w:rsidP="00D6111C">
      <w:pPr>
        <w:numPr>
          <w:ilvl w:val="0"/>
          <w:numId w:val="43"/>
        </w:numPr>
        <w:spacing w:after="0"/>
        <w:ind w:left="720"/>
      </w:pPr>
      <w:r w:rsidRPr="004B1445">
        <w:t xml:space="preserve">The scores for each application will be the average of the combined scores of all Evaluation Committee members. </w:t>
      </w:r>
    </w:p>
    <w:p w14:paraId="0405AFA6" w14:textId="77777777" w:rsidR="00265851" w:rsidRPr="004B1445" w:rsidRDefault="00265851" w:rsidP="00D6111C">
      <w:pPr>
        <w:spacing w:after="0"/>
        <w:ind w:left="720"/>
      </w:pPr>
    </w:p>
    <w:p w14:paraId="579688ED" w14:textId="0510211E" w:rsidR="000E5180" w:rsidRDefault="000E5180" w:rsidP="00D6111C">
      <w:pPr>
        <w:numPr>
          <w:ilvl w:val="0"/>
          <w:numId w:val="43"/>
        </w:numPr>
        <w:spacing w:after="0"/>
        <w:ind w:left="720"/>
      </w:pPr>
      <w:r w:rsidRPr="004B1445">
        <w:rPr>
          <w:b/>
        </w:rPr>
        <w:t xml:space="preserve">A minimum score of </w:t>
      </w:r>
      <w:r w:rsidR="00B9661B">
        <w:rPr>
          <w:b/>
        </w:rPr>
        <w:t>105</w:t>
      </w:r>
      <w:r w:rsidRPr="004B1445">
        <w:rPr>
          <w:b/>
        </w:rPr>
        <w:t xml:space="preserve">.0 points </w:t>
      </w:r>
      <w:r w:rsidRPr="004B1445">
        <w:t>is required for</w:t>
      </w:r>
      <w:r w:rsidR="00B9661B">
        <w:t xml:space="preserve"> criteria </w:t>
      </w:r>
      <w:r w:rsidR="008B5B91">
        <w:t>1</w:t>
      </w:r>
      <w:r w:rsidR="0077205A">
        <w:t>-</w:t>
      </w:r>
      <w:r w:rsidR="008B5B91">
        <w:t>8</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0C0CF1">
        <w:rPr>
          <w:b/>
        </w:rPr>
        <w:t>,</w:t>
      </w:r>
      <w:r w:rsidR="00B9661B">
        <w:rPr>
          <w:b/>
        </w:rPr>
        <w:t xml:space="preserve"> and 70</w:t>
      </w:r>
      <w:r w:rsidR="000C0CF1">
        <w:rPr>
          <w:b/>
        </w:rPr>
        <w:t>.00 points for criteria 1-</w:t>
      </w:r>
      <w:r w:rsidR="00AE13A8">
        <w:rPr>
          <w:b/>
        </w:rPr>
        <w:t>7</w:t>
      </w:r>
      <w:r w:rsidRPr="004B1445">
        <w:rPr>
          <w:b/>
        </w:rPr>
        <w:t xml:space="preserve"> </w:t>
      </w:r>
      <w:r w:rsidR="000F7C02" w:rsidRPr="000F7C02">
        <w:rPr>
          <w:b/>
        </w:rPr>
        <w:t xml:space="preserve">and 35.00 points for criterion 8 </w:t>
      </w:r>
      <w:r w:rsidRPr="004B1445">
        <w:t>to be eligible for funding.</w:t>
      </w:r>
    </w:p>
    <w:p w14:paraId="450FC929" w14:textId="77777777" w:rsidR="00122853" w:rsidRPr="004B1445" w:rsidRDefault="00122853" w:rsidP="00D6111C">
      <w:pPr>
        <w:spacing w:after="0"/>
        <w:ind w:left="720"/>
      </w:pPr>
    </w:p>
    <w:p w14:paraId="09A4F44D" w14:textId="77777777" w:rsidR="001C2D56" w:rsidRPr="00CF6DED" w:rsidRDefault="001C2D56" w:rsidP="00D6111C">
      <w:pPr>
        <w:pStyle w:val="Heading2"/>
        <w:numPr>
          <w:ilvl w:val="0"/>
          <w:numId w:val="88"/>
        </w:numPr>
      </w:pPr>
      <w:bookmarkStart w:id="203" w:name="_Toc143172720"/>
      <w:r w:rsidRPr="00CF6DED">
        <w:t>Ranking, Notice of Proposed Award, and Agreement Development</w:t>
      </w:r>
      <w:bookmarkEnd w:id="203"/>
    </w:p>
    <w:p w14:paraId="183CEF9D" w14:textId="77777777" w:rsidR="003417AD" w:rsidRPr="008E38AF" w:rsidRDefault="003417AD" w:rsidP="00D6111C">
      <w:pPr>
        <w:numPr>
          <w:ilvl w:val="0"/>
          <w:numId w:val="39"/>
        </w:numPr>
        <w:tabs>
          <w:tab w:val="left" w:pos="720"/>
        </w:tabs>
        <w:ind w:left="360" w:firstLine="0"/>
        <w:rPr>
          <w:b/>
        </w:rPr>
      </w:pPr>
      <w:r w:rsidRPr="008E38AF">
        <w:rPr>
          <w:b/>
        </w:rPr>
        <w:t>Ranking and Notice of Proposed Award</w:t>
      </w:r>
    </w:p>
    <w:p w14:paraId="74C11201" w14:textId="1B6F5019" w:rsidR="001C2D56" w:rsidRDefault="001C2D56" w:rsidP="00D6111C">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C338DC1" w:rsidR="003417AD" w:rsidRPr="00F14D0E" w:rsidRDefault="008F4A0E" w:rsidP="00D6111C">
      <w:pPr>
        <w:numPr>
          <w:ilvl w:val="0"/>
          <w:numId w:val="37"/>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mail it to all entities that submitted an application.  Proposed awards must be approved by the C</w:t>
      </w:r>
      <w:r w:rsidR="008C0A71">
        <w:t>EC</w:t>
      </w:r>
      <w:r w:rsidR="003417AD">
        <w:t xml:space="preserve"> at a business meeting.</w:t>
      </w:r>
    </w:p>
    <w:p w14:paraId="7D626310" w14:textId="6D274595" w:rsidR="003417AD" w:rsidRPr="00490F13" w:rsidRDefault="003417AD" w:rsidP="00D6111C">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04"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04"/>
      <w:r w:rsidR="00490F13" w:rsidRPr="00490F13">
        <w:rPr>
          <w:i/>
          <w:iCs/>
          <w:szCs w:val="22"/>
        </w:rPr>
        <w:t xml:space="preserve">  </w:t>
      </w:r>
    </w:p>
    <w:p w14:paraId="10B19CFC" w14:textId="77777777" w:rsidR="00000A71" w:rsidRPr="00BC0F1F" w:rsidRDefault="00000A71" w:rsidP="00D6111C">
      <w:pPr>
        <w:spacing w:after="0"/>
        <w:ind w:left="720"/>
      </w:pPr>
    </w:p>
    <w:p w14:paraId="427F5991" w14:textId="77777777" w:rsidR="003417AD" w:rsidRDefault="003417AD" w:rsidP="00D6111C">
      <w:pPr>
        <w:numPr>
          <w:ilvl w:val="0"/>
          <w:numId w:val="38"/>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D6111C">
      <w:pPr>
        <w:numPr>
          <w:ilvl w:val="1"/>
          <w:numId w:val="38"/>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rsidP="00D6111C">
      <w:pPr>
        <w:numPr>
          <w:ilvl w:val="1"/>
          <w:numId w:val="38"/>
        </w:numPr>
        <w:tabs>
          <w:tab w:val="left" w:pos="1440"/>
        </w:tabs>
        <w:spacing w:after="0"/>
        <w:ind w:left="1440" w:hanging="270"/>
      </w:pPr>
      <w:r w:rsidRPr="00905E6F">
        <w:lastRenderedPageBreak/>
        <w:t>Aggregate funds from multiple groups to fully fund the highest ranked passing application(s), regardless of group.  (if applicable); and</w:t>
      </w:r>
    </w:p>
    <w:p w14:paraId="3CD861EA" w14:textId="48AE3AA7" w:rsidR="00DB723D" w:rsidRDefault="003417AD" w:rsidP="00D6111C">
      <w:pPr>
        <w:numPr>
          <w:ilvl w:val="1"/>
          <w:numId w:val="38"/>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D6111C">
      <w:pPr>
        <w:spacing w:after="0"/>
        <w:ind w:left="1800"/>
      </w:pPr>
    </w:p>
    <w:p w14:paraId="7DA17830" w14:textId="77777777" w:rsidR="0040653E" w:rsidRPr="005522EA" w:rsidRDefault="001C2D56" w:rsidP="00D6111C">
      <w:pPr>
        <w:numPr>
          <w:ilvl w:val="0"/>
          <w:numId w:val="39"/>
        </w:numPr>
        <w:tabs>
          <w:tab w:val="left" w:pos="720"/>
        </w:tabs>
        <w:ind w:left="360" w:firstLine="0"/>
      </w:pPr>
      <w:r w:rsidRPr="004C668B">
        <w:rPr>
          <w:b/>
        </w:rPr>
        <w:t xml:space="preserve"> </w:t>
      </w:r>
      <w:r w:rsidRPr="00E13674">
        <w:rPr>
          <w:b/>
        </w:rPr>
        <w:t>Agreements</w:t>
      </w:r>
    </w:p>
    <w:p w14:paraId="368CD362" w14:textId="117091FA" w:rsidR="001C2D56" w:rsidRDefault="001C2D56" w:rsidP="00D6111C">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D6111C">
      <w:pPr>
        <w:numPr>
          <w:ilvl w:val="0"/>
          <w:numId w:val="36"/>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D6111C">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D6111C">
      <w:pPr>
        <w:numPr>
          <w:ilvl w:val="0"/>
          <w:numId w:val="36"/>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D6111C">
      <w:pPr>
        <w:numPr>
          <w:ilvl w:val="0"/>
          <w:numId w:val="3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D6111C">
      <w:pPr>
        <w:spacing w:after="0"/>
        <w:ind w:left="720"/>
      </w:pPr>
    </w:p>
    <w:p w14:paraId="61A8700D" w14:textId="77777777" w:rsidR="001C2D56" w:rsidRPr="00CF6DED" w:rsidRDefault="001C2D56" w:rsidP="00D6111C">
      <w:pPr>
        <w:pStyle w:val="Heading2"/>
        <w:numPr>
          <w:ilvl w:val="0"/>
          <w:numId w:val="88"/>
        </w:numPr>
      </w:pPr>
      <w:bookmarkStart w:id="205" w:name="_Toc143172721"/>
      <w:bookmarkStart w:id="206" w:name="_Toc366671196"/>
      <w:r w:rsidRPr="00CF6DED">
        <w:t>Grounds to Reject an Application or Cancel an Award</w:t>
      </w:r>
      <w:bookmarkEnd w:id="205"/>
    </w:p>
    <w:bookmarkEnd w:id="206"/>
    <w:p w14:paraId="15DF97C3" w14:textId="77777777" w:rsidR="001C2D56" w:rsidRPr="00C31C1D" w:rsidRDefault="001C2D56" w:rsidP="00D6111C">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D6111C">
      <w:pPr>
        <w:numPr>
          <w:ilvl w:val="0"/>
          <w:numId w:val="23"/>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D6111C">
      <w:pPr>
        <w:numPr>
          <w:ilvl w:val="0"/>
          <w:numId w:val="23"/>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D6111C">
      <w:pPr>
        <w:numPr>
          <w:ilvl w:val="0"/>
          <w:numId w:val="23"/>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D6111C">
      <w:pPr>
        <w:numPr>
          <w:ilvl w:val="0"/>
          <w:numId w:val="24"/>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D6111C">
      <w:pPr>
        <w:numPr>
          <w:ilvl w:val="0"/>
          <w:numId w:val="24"/>
        </w:numPr>
        <w:spacing w:after="0"/>
      </w:pPr>
      <w:r>
        <w:lastRenderedPageBreak/>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D6111C">
      <w:pPr>
        <w:numPr>
          <w:ilvl w:val="0"/>
          <w:numId w:val="24"/>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D6111C">
      <w:pPr>
        <w:numPr>
          <w:ilvl w:val="0"/>
          <w:numId w:val="24"/>
        </w:numPr>
        <w:spacing w:after="0"/>
      </w:pPr>
      <w:r>
        <w:t>The a</w:t>
      </w:r>
      <w:r w:rsidRPr="00C31C1D">
        <w:t>pplicant has not demonstrated that it has the financial capability to complete the project.</w:t>
      </w:r>
    </w:p>
    <w:p w14:paraId="11141402" w14:textId="77777777" w:rsidR="00C47F3C" w:rsidRDefault="00C47F3C" w:rsidP="00D6111C">
      <w:pPr>
        <w:numPr>
          <w:ilvl w:val="0"/>
          <w:numId w:val="24"/>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D6111C">
      <w:pPr>
        <w:numPr>
          <w:ilvl w:val="0"/>
          <w:numId w:val="24"/>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D6111C">
      <w:pPr>
        <w:numPr>
          <w:ilvl w:val="0"/>
          <w:numId w:val="24"/>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D6111C">
      <w:pPr>
        <w:spacing w:after="0"/>
        <w:ind w:left="720"/>
      </w:pPr>
    </w:p>
    <w:p w14:paraId="72738838" w14:textId="77777777" w:rsidR="006B4C64" w:rsidRDefault="006B4C64" w:rsidP="00D6111C">
      <w:pPr>
        <w:spacing w:after="0"/>
        <w:ind w:left="720"/>
      </w:pPr>
    </w:p>
    <w:p w14:paraId="023BF64C" w14:textId="77777777" w:rsidR="001C2D56" w:rsidRPr="00CF6DED" w:rsidRDefault="001C2D56" w:rsidP="00D6111C">
      <w:pPr>
        <w:pStyle w:val="Heading2"/>
        <w:numPr>
          <w:ilvl w:val="0"/>
          <w:numId w:val="88"/>
        </w:numPr>
        <w:spacing w:before="0"/>
      </w:pPr>
      <w:bookmarkStart w:id="207" w:name="_Toc143172722"/>
      <w:r w:rsidRPr="00CF6DED">
        <w:t>Miscellaneous</w:t>
      </w:r>
      <w:bookmarkEnd w:id="207"/>
    </w:p>
    <w:p w14:paraId="5164777B" w14:textId="77777777" w:rsidR="000E331F" w:rsidRPr="00CF255E" w:rsidRDefault="001C2D56" w:rsidP="00D6111C">
      <w:pPr>
        <w:pStyle w:val="ListParagraph"/>
        <w:numPr>
          <w:ilvl w:val="0"/>
          <w:numId w:val="50"/>
        </w:numPr>
        <w:tabs>
          <w:tab w:val="num" w:pos="360"/>
        </w:tabs>
        <w:rPr>
          <w:b/>
        </w:rPr>
      </w:pPr>
      <w:bookmarkStart w:id="208" w:name="_Toc381079937"/>
      <w:bookmarkStart w:id="209" w:name="_Toc382571200"/>
      <w:bookmarkStart w:id="210" w:name="_Toc395180710"/>
      <w:bookmarkStart w:id="211" w:name="_Toc433981339"/>
      <w:r w:rsidRPr="00CF255E">
        <w:rPr>
          <w:b/>
        </w:rPr>
        <w:t>Solicitation Cancellation and Amendment</w:t>
      </w:r>
      <w:bookmarkEnd w:id="208"/>
      <w:bookmarkEnd w:id="209"/>
      <w:bookmarkEnd w:id="210"/>
      <w:bookmarkEnd w:id="211"/>
    </w:p>
    <w:p w14:paraId="16489A88" w14:textId="77777777" w:rsidR="00344986" w:rsidRDefault="001C2D56" w:rsidP="00D6111C">
      <w:bookmarkStart w:id="212" w:name="_Toc381079938"/>
      <w:bookmarkStart w:id="213" w:name="_Toc382571201"/>
      <w:bookmarkStart w:id="214"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12"/>
      <w:bookmarkEnd w:id="213"/>
      <w:bookmarkEnd w:id="214"/>
    </w:p>
    <w:p w14:paraId="7A5D0CA6" w14:textId="77777777" w:rsidR="005E52CD" w:rsidRDefault="001C2D56" w:rsidP="00D6111C">
      <w:pPr>
        <w:numPr>
          <w:ilvl w:val="0"/>
          <w:numId w:val="25"/>
        </w:numPr>
        <w:spacing w:after="0"/>
        <w:ind w:left="810" w:hanging="450"/>
        <w:rPr>
          <w:szCs w:val="22"/>
        </w:rPr>
      </w:pPr>
      <w:r w:rsidRPr="00D35C41">
        <w:rPr>
          <w:szCs w:val="22"/>
        </w:rPr>
        <w:t>Cancel this solicitation;</w:t>
      </w:r>
    </w:p>
    <w:p w14:paraId="5EBB33D0" w14:textId="77777777" w:rsidR="005E52CD" w:rsidRDefault="001C2D56" w:rsidP="00D6111C">
      <w:pPr>
        <w:numPr>
          <w:ilvl w:val="0"/>
          <w:numId w:val="25"/>
        </w:numPr>
        <w:spacing w:after="0"/>
        <w:ind w:left="810" w:hanging="450"/>
        <w:rPr>
          <w:szCs w:val="22"/>
        </w:rPr>
      </w:pPr>
      <w:r w:rsidRPr="00D35C41">
        <w:rPr>
          <w:szCs w:val="22"/>
        </w:rPr>
        <w:t>Revise the amount of funds available under this solicitation;</w:t>
      </w:r>
    </w:p>
    <w:p w14:paraId="4EBFA7F9" w14:textId="77777777" w:rsidR="005E52CD" w:rsidRDefault="001C2D56" w:rsidP="00D6111C">
      <w:pPr>
        <w:numPr>
          <w:ilvl w:val="0"/>
          <w:numId w:val="25"/>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D6111C">
      <w:pPr>
        <w:numPr>
          <w:ilvl w:val="0"/>
          <w:numId w:val="25"/>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D6111C">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D6111C">
      <w:pPr>
        <w:pStyle w:val="ListParagraph"/>
        <w:numPr>
          <w:ilvl w:val="0"/>
          <w:numId w:val="50"/>
        </w:numPr>
        <w:tabs>
          <w:tab w:val="num" w:pos="360"/>
        </w:tabs>
        <w:rPr>
          <w:b/>
        </w:rPr>
      </w:pPr>
      <w:bookmarkStart w:id="215" w:name="_Toc381079939"/>
      <w:bookmarkStart w:id="216" w:name="_Toc382571202"/>
      <w:bookmarkStart w:id="217" w:name="_Toc395180712"/>
      <w:bookmarkStart w:id="218" w:name="_Toc433981340"/>
      <w:r w:rsidRPr="004D0A67">
        <w:rPr>
          <w:b/>
        </w:rPr>
        <w:t>Modification or Withdrawal of Application</w:t>
      </w:r>
      <w:bookmarkEnd w:id="215"/>
      <w:bookmarkEnd w:id="216"/>
      <w:bookmarkEnd w:id="217"/>
      <w:bookmarkEnd w:id="218"/>
    </w:p>
    <w:p w14:paraId="6BC8F793" w14:textId="32569341" w:rsidR="001C2D56" w:rsidRPr="00D35C41" w:rsidRDefault="001F762B" w:rsidP="00D6111C">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D6111C">
      <w:pPr>
        <w:pStyle w:val="ListParagraph"/>
        <w:numPr>
          <w:ilvl w:val="0"/>
          <w:numId w:val="50"/>
        </w:numPr>
        <w:tabs>
          <w:tab w:val="num" w:pos="360"/>
        </w:tabs>
        <w:rPr>
          <w:b/>
        </w:rPr>
      </w:pPr>
      <w:bookmarkStart w:id="219" w:name="_Toc381079940"/>
      <w:bookmarkStart w:id="220" w:name="_Toc382571203"/>
      <w:bookmarkStart w:id="221" w:name="_Toc395180713"/>
      <w:bookmarkStart w:id="222" w:name="_Toc433981341"/>
      <w:bookmarkStart w:id="223" w:name="_Toc381079941"/>
      <w:r w:rsidRPr="004D0A67">
        <w:rPr>
          <w:b/>
        </w:rPr>
        <w:t>Confidentiality</w:t>
      </w:r>
      <w:bookmarkEnd w:id="219"/>
      <w:bookmarkEnd w:id="220"/>
      <w:bookmarkEnd w:id="221"/>
      <w:bookmarkEnd w:id="222"/>
    </w:p>
    <w:p w14:paraId="71F2A74B" w14:textId="27143CAC" w:rsidR="001D740D" w:rsidRPr="001D740D" w:rsidRDefault="00F615BA" w:rsidP="00D6111C">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D6111C">
      <w:pPr>
        <w:pStyle w:val="ListParagraph"/>
        <w:numPr>
          <w:ilvl w:val="0"/>
          <w:numId w:val="50"/>
        </w:numPr>
        <w:tabs>
          <w:tab w:val="num" w:pos="360"/>
        </w:tabs>
        <w:spacing w:after="160"/>
        <w:rPr>
          <w:b/>
        </w:rPr>
      </w:pPr>
      <w:bookmarkStart w:id="224" w:name="_Toc382571204"/>
      <w:bookmarkStart w:id="225" w:name="_Toc395180714"/>
      <w:bookmarkStart w:id="226" w:name="_Toc433981342"/>
      <w:r w:rsidRPr="004D0A67">
        <w:rPr>
          <w:b/>
        </w:rPr>
        <w:lastRenderedPageBreak/>
        <w:t>Solicitation Errors</w:t>
      </w:r>
      <w:bookmarkEnd w:id="223"/>
      <w:bookmarkEnd w:id="224"/>
      <w:bookmarkEnd w:id="225"/>
      <w:bookmarkEnd w:id="226"/>
    </w:p>
    <w:p w14:paraId="3DDF22BC" w14:textId="24925BC0" w:rsidR="001C2D56" w:rsidRPr="00D35C41" w:rsidRDefault="001C2D56" w:rsidP="00D6111C">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D6111C">
      <w:pPr>
        <w:pStyle w:val="ListParagraph"/>
        <w:numPr>
          <w:ilvl w:val="0"/>
          <w:numId w:val="50"/>
        </w:numPr>
        <w:tabs>
          <w:tab w:val="num" w:pos="360"/>
        </w:tabs>
        <w:rPr>
          <w:b/>
        </w:rPr>
      </w:pPr>
      <w:bookmarkStart w:id="227" w:name="_Toc381079942"/>
      <w:bookmarkStart w:id="228" w:name="_Toc382571205"/>
      <w:bookmarkStart w:id="229" w:name="_Toc395180715"/>
      <w:bookmarkStart w:id="230" w:name="_Toc433981343"/>
      <w:r w:rsidRPr="004D0A67">
        <w:rPr>
          <w:b/>
        </w:rPr>
        <w:t>Immaterial Defect</w:t>
      </w:r>
      <w:bookmarkEnd w:id="227"/>
      <w:bookmarkEnd w:id="228"/>
      <w:bookmarkEnd w:id="229"/>
      <w:bookmarkEnd w:id="230"/>
    </w:p>
    <w:p w14:paraId="3D401ADD" w14:textId="3D6E8459" w:rsidR="001C2D56" w:rsidRPr="00D35C41" w:rsidRDefault="001C2D56" w:rsidP="00D6111C">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D6111C">
      <w:pPr>
        <w:pStyle w:val="ListParagraph"/>
        <w:keepNext/>
        <w:numPr>
          <w:ilvl w:val="0"/>
          <w:numId w:val="48"/>
        </w:numPr>
        <w:tabs>
          <w:tab w:val="num" w:pos="360"/>
        </w:tabs>
        <w:rPr>
          <w:b/>
        </w:rPr>
      </w:pPr>
      <w:bookmarkStart w:id="231" w:name="_Toc381079943"/>
      <w:bookmarkStart w:id="232" w:name="_Toc382571206"/>
      <w:bookmarkStart w:id="233" w:name="_Toc395180716"/>
      <w:bookmarkStart w:id="234" w:name="_Toc433981344"/>
      <w:r w:rsidRPr="00550D37">
        <w:rPr>
          <w:b/>
        </w:rPr>
        <w:t>Tiebreakers</w:t>
      </w:r>
    </w:p>
    <w:p w14:paraId="5211D217" w14:textId="40897857" w:rsidR="00B1481D" w:rsidRDefault="00B1481D" w:rsidP="00D6111C">
      <w:pPr>
        <w:keepNext/>
      </w:pPr>
      <w:r>
        <w:t xml:space="preserve">If the score for two or more applications are tied, the application with a higher score in the </w:t>
      </w:r>
      <w:r w:rsidR="008368BC" w:rsidRPr="00920CF0">
        <w:t>1-7</w:t>
      </w:r>
      <w:r w:rsidRPr="00920CF0">
        <w:t xml:space="preserve"> </w:t>
      </w:r>
      <w:r>
        <w:t xml:space="preserve">criterion will be ranked higher.  If still tied, an objective </w:t>
      </w:r>
      <w:proofErr w:type="gramStart"/>
      <w:r>
        <w:t>tie-breaker</w:t>
      </w:r>
      <w:proofErr w:type="gramEnd"/>
      <w:r>
        <w:t xml:space="preserve"> (such as a random drawing) will be utilized.</w:t>
      </w:r>
    </w:p>
    <w:p w14:paraId="10B5AF13" w14:textId="77777777" w:rsidR="00B1481D" w:rsidRPr="00292D0C" w:rsidRDefault="00B1481D" w:rsidP="00D6111C">
      <w:pPr>
        <w:pStyle w:val="ListParagraph"/>
        <w:numPr>
          <w:ilvl w:val="0"/>
          <w:numId w:val="48"/>
        </w:numPr>
        <w:tabs>
          <w:tab w:val="num" w:pos="360"/>
        </w:tabs>
        <w:rPr>
          <w:b/>
        </w:rPr>
      </w:pPr>
      <w:r w:rsidRPr="00292D0C">
        <w:rPr>
          <w:b/>
        </w:rPr>
        <w:t>Clarification Interviews</w:t>
      </w:r>
    </w:p>
    <w:p w14:paraId="250A22E7" w14:textId="77777777" w:rsidR="00B1481D" w:rsidRDefault="00B1481D" w:rsidP="00D6111C">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bookmarkEnd w:id="231"/>
    <w:bookmarkEnd w:id="232"/>
    <w:bookmarkEnd w:id="233"/>
    <w:bookmarkEnd w:id="234"/>
    <w:p w14:paraId="1F8E0821" w14:textId="0BCCBA6D" w:rsidR="001C2D56" w:rsidRDefault="001C2D56" w:rsidP="00D6111C">
      <w:pPr>
        <w:pStyle w:val="ListParagraph"/>
        <w:spacing w:after="0"/>
        <w:rPr>
          <w:szCs w:val="22"/>
        </w:rPr>
      </w:pPr>
    </w:p>
    <w:p w14:paraId="4CFF3787" w14:textId="77777777" w:rsidR="00FB1CD3" w:rsidRPr="00FB1CD3" w:rsidRDefault="00FB1CD3" w:rsidP="00D6111C">
      <w:pPr>
        <w:numPr>
          <w:ilvl w:val="0"/>
          <w:numId w:val="48"/>
        </w:numPr>
        <w:tabs>
          <w:tab w:val="num" w:pos="360"/>
        </w:tabs>
        <w:rPr>
          <w:szCs w:val="22"/>
        </w:rPr>
      </w:pPr>
      <w:r w:rsidRPr="00FB1CD3">
        <w:rPr>
          <w:b/>
        </w:rPr>
        <w:t>Opportunity to Cure Administrative Errors</w:t>
      </w:r>
    </w:p>
    <w:p w14:paraId="76021520" w14:textId="77777777" w:rsidR="00FB1CD3" w:rsidRPr="00FB1CD3" w:rsidRDefault="00FB1CD3" w:rsidP="00D6111C">
      <w:pPr>
        <w:spacing w:after="0"/>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48F159B8" w14:textId="77777777" w:rsidR="00FB1CD3" w:rsidRPr="00FB1CD3" w:rsidRDefault="00FB1CD3" w:rsidP="00D6111C">
      <w:pPr>
        <w:spacing w:after="0"/>
        <w:textAlignment w:val="baseline"/>
        <w:rPr>
          <w:szCs w:val="22"/>
        </w:rPr>
      </w:pPr>
    </w:p>
    <w:p w14:paraId="6E0BD3AA" w14:textId="77777777" w:rsidR="00FB1CD3" w:rsidRPr="00FB1CD3" w:rsidRDefault="00FB1CD3" w:rsidP="00D6111C">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D6111C">
      <w:pPr>
        <w:spacing w:after="0"/>
        <w:textAlignment w:val="baseline"/>
        <w:rPr>
          <w:szCs w:val="22"/>
        </w:rPr>
      </w:pPr>
    </w:p>
    <w:p w14:paraId="39A21830" w14:textId="77777777" w:rsidR="00FB1CD3" w:rsidRPr="00FB1CD3" w:rsidRDefault="00FB1CD3" w:rsidP="00D6111C">
      <w:pPr>
        <w:numPr>
          <w:ilvl w:val="0"/>
          <w:numId w:val="103"/>
        </w:numPr>
        <w:spacing w:after="0"/>
        <w:ind w:left="144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FB1CD3" w:rsidRDefault="00FB1CD3" w:rsidP="00D6111C">
      <w:pPr>
        <w:numPr>
          <w:ilvl w:val="0"/>
          <w:numId w:val="103"/>
        </w:numPr>
        <w:spacing w:after="0"/>
        <w:ind w:left="1080" w:firstLine="0"/>
        <w:textAlignment w:val="baseline"/>
        <w:rPr>
          <w:szCs w:val="22"/>
        </w:rPr>
      </w:pPr>
      <w:r w:rsidRPr="00FB1CD3">
        <w:rPr>
          <w:szCs w:val="24"/>
        </w:rPr>
        <w:t>Submitting the wrong document.  </w:t>
      </w:r>
      <w:r w:rsidRPr="00FB1CD3">
        <w:rPr>
          <w:sz w:val="24"/>
          <w:szCs w:val="24"/>
        </w:rPr>
        <w:t> </w:t>
      </w:r>
    </w:p>
    <w:p w14:paraId="3B9193E9" w14:textId="77777777" w:rsidR="00FB1CD3" w:rsidRPr="00FB1CD3" w:rsidRDefault="00FB1CD3" w:rsidP="00D6111C">
      <w:pPr>
        <w:numPr>
          <w:ilvl w:val="0"/>
          <w:numId w:val="103"/>
        </w:numPr>
        <w:spacing w:after="0"/>
        <w:ind w:left="1080" w:firstLine="0"/>
        <w:textAlignment w:val="baseline"/>
        <w:rPr>
          <w:szCs w:val="22"/>
        </w:rPr>
      </w:pPr>
      <w:r w:rsidRPr="00FB1CD3">
        <w:rPr>
          <w:szCs w:val="24"/>
        </w:rPr>
        <w:t>Leaving out a document.  </w:t>
      </w:r>
      <w:r w:rsidRPr="00FB1CD3">
        <w:rPr>
          <w:sz w:val="24"/>
          <w:szCs w:val="24"/>
        </w:rPr>
        <w:t> </w:t>
      </w:r>
    </w:p>
    <w:p w14:paraId="5AE421F7" w14:textId="77777777" w:rsidR="00FB1CD3" w:rsidRPr="00FB1CD3" w:rsidRDefault="00FB1CD3" w:rsidP="00D6111C">
      <w:pPr>
        <w:spacing w:after="0"/>
        <w:textAlignment w:val="baseline"/>
        <w:rPr>
          <w:szCs w:val="22"/>
        </w:rPr>
      </w:pPr>
    </w:p>
    <w:p w14:paraId="7CF7F624" w14:textId="77777777" w:rsidR="00FB1CD3" w:rsidRPr="00FB1CD3" w:rsidRDefault="00FB1CD3" w:rsidP="00D6111C">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D6111C">
      <w:pPr>
        <w:spacing w:after="0"/>
        <w:textAlignment w:val="baseline"/>
        <w:rPr>
          <w:szCs w:val="22"/>
        </w:rPr>
      </w:pPr>
    </w:p>
    <w:p w14:paraId="62F32B6B" w14:textId="77777777" w:rsidR="00FB1CD3" w:rsidRPr="00FB1CD3" w:rsidRDefault="00FB1CD3" w:rsidP="00D6111C">
      <w:pPr>
        <w:spacing w:after="0"/>
        <w:textAlignment w:val="baseline"/>
        <w:rPr>
          <w:szCs w:val="22"/>
        </w:rPr>
      </w:pPr>
      <w:r w:rsidRPr="00FB1CD3">
        <w:rPr>
          <w:szCs w:val="24"/>
        </w:rPr>
        <w:t xml:space="preserve">If an administrative error has been identified and communicated to the Commission Agreement Officer, the CEC may, but is not required to, allow the applicant a period of time to provide the </w:t>
      </w:r>
      <w:r w:rsidRPr="00FB1CD3">
        <w:rPr>
          <w:szCs w:val="24"/>
        </w:rPr>
        <w:lastRenderedPageBreak/>
        <w:t>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D6111C">
      <w:pPr>
        <w:spacing w:after="0"/>
        <w:textAlignment w:val="baseline"/>
        <w:rPr>
          <w:szCs w:val="22"/>
        </w:rPr>
      </w:pPr>
    </w:p>
    <w:p w14:paraId="0EA0E978" w14:textId="77777777" w:rsidR="00FB1CD3" w:rsidRPr="00FB1CD3" w:rsidRDefault="00FB1CD3" w:rsidP="00D6111C">
      <w:pPr>
        <w:numPr>
          <w:ilvl w:val="0"/>
          <w:numId w:val="104"/>
        </w:numPr>
        <w:spacing w:after="0"/>
        <w:ind w:left="1080" w:firstLine="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D6111C">
      <w:pPr>
        <w:numPr>
          <w:ilvl w:val="0"/>
          <w:numId w:val="105"/>
        </w:numPr>
        <w:spacing w:after="0"/>
        <w:ind w:left="144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D6111C">
      <w:pPr>
        <w:numPr>
          <w:ilvl w:val="0"/>
          <w:numId w:val="105"/>
        </w:numPr>
        <w:spacing w:after="0"/>
        <w:ind w:left="144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D6111C">
      <w:pPr>
        <w:spacing w:after="0"/>
        <w:textAlignment w:val="baseline"/>
        <w:rPr>
          <w:szCs w:val="22"/>
        </w:rPr>
      </w:pPr>
    </w:p>
    <w:p w14:paraId="4CCC4027" w14:textId="39C2C58F" w:rsidR="00FB1CD3" w:rsidRPr="00FB1CD3" w:rsidRDefault="00FB1CD3" w:rsidP="00D6111C">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3F251B81">
        <w:t>,</w:t>
      </w:r>
      <w:r>
        <w:t xml:space="preserve"> and the obligation is on the applicant to ensure the proper contact(s) are listed and available to respond.</w:t>
      </w:r>
      <w:r w:rsidR="744B555F">
        <w:t> </w:t>
      </w:r>
      <w:r>
        <w:t xml:space="preserve"> The Evaluation Committee will not consider any materials submitted after the deadline.  </w:t>
      </w:r>
      <w:r w:rsidRPr="00FB1CD3">
        <w:rPr>
          <w:sz w:val="24"/>
          <w:szCs w:val="24"/>
        </w:rPr>
        <w:t> </w:t>
      </w:r>
    </w:p>
    <w:p w14:paraId="52C606C3" w14:textId="77777777" w:rsidR="00FB1CD3" w:rsidRPr="00FB1CD3" w:rsidRDefault="00FB1CD3" w:rsidP="00D6111C">
      <w:pPr>
        <w:spacing w:after="0"/>
        <w:textAlignment w:val="baseline"/>
        <w:rPr>
          <w:szCs w:val="22"/>
        </w:rPr>
      </w:pPr>
    </w:p>
    <w:p w14:paraId="11FE4494" w14:textId="77777777" w:rsidR="00FB1CD3" w:rsidRPr="00FB1CD3" w:rsidRDefault="00FB1CD3" w:rsidP="00D6111C">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D6111C">
      <w:pPr>
        <w:spacing w:after="0"/>
        <w:textAlignment w:val="baseline"/>
        <w:rPr>
          <w:szCs w:val="22"/>
        </w:rPr>
      </w:pPr>
    </w:p>
    <w:p w14:paraId="3A554DCE" w14:textId="77777777" w:rsidR="00FB1CD3" w:rsidRPr="00FB1CD3" w:rsidRDefault="00FB1CD3" w:rsidP="00D6111C">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D6111C">
      <w:pPr>
        <w:spacing w:after="0"/>
        <w:textAlignment w:val="baseline"/>
        <w:rPr>
          <w:szCs w:val="22"/>
        </w:rPr>
      </w:pPr>
    </w:p>
    <w:p w14:paraId="3258DDF1" w14:textId="77777777" w:rsidR="00FB1CD3" w:rsidRPr="00FB1CD3" w:rsidRDefault="00FB1CD3" w:rsidP="00D6111C">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D6111C">
      <w:pPr>
        <w:spacing w:after="0"/>
        <w:textAlignment w:val="baseline"/>
        <w:rPr>
          <w:szCs w:val="22"/>
        </w:rPr>
      </w:pPr>
    </w:p>
    <w:p w14:paraId="44D4A124" w14:textId="77777777" w:rsidR="00FB1CD3" w:rsidRPr="00FB1CD3" w:rsidRDefault="00FB1CD3" w:rsidP="00D6111C">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D6111C">
      <w:pPr>
        <w:pStyle w:val="ListParagraph"/>
        <w:spacing w:after="0"/>
        <w:rPr>
          <w:rFonts w:eastAsia="Arial"/>
          <w:b/>
          <w:bCs/>
          <w:szCs w:val="22"/>
        </w:rPr>
      </w:pPr>
      <w:r>
        <w:br w:type="page"/>
      </w:r>
    </w:p>
    <w:p w14:paraId="49B17DFC" w14:textId="77777777" w:rsidR="006F048A" w:rsidRPr="00CF6DED" w:rsidRDefault="006F048A" w:rsidP="00D6111C">
      <w:pPr>
        <w:pStyle w:val="Heading2"/>
        <w:numPr>
          <w:ilvl w:val="0"/>
          <w:numId w:val="88"/>
        </w:numPr>
      </w:pPr>
      <w:bookmarkStart w:id="235" w:name="_Toc433981345"/>
      <w:bookmarkStart w:id="236" w:name="_Toc143172723"/>
      <w:r w:rsidRPr="00CF6DED">
        <w:lastRenderedPageBreak/>
        <w:t>Stage One:  Application Screening</w:t>
      </w:r>
      <w:bookmarkEnd w:id="235"/>
      <w:bookmarkEnd w:id="2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D6111C">
            <w:pPr>
              <w:rPr>
                <w:b/>
                <w:caps/>
                <w:szCs w:val="24"/>
              </w:rPr>
            </w:pPr>
            <w:r w:rsidRPr="00FC390E">
              <w:rPr>
                <w:b/>
                <w:caps/>
                <w:szCs w:val="24"/>
              </w:rPr>
              <w:t xml:space="preserve">Screening Criteria </w:t>
            </w:r>
          </w:p>
          <w:p w14:paraId="29C12682" w14:textId="77777777" w:rsidR="003B7447" w:rsidRPr="00DD6604" w:rsidRDefault="003B7447" w:rsidP="00D6111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D6111C">
            <w:pP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4D57EB" w:rsidRDefault="003B7447" w:rsidP="00D6111C">
            <w:pPr>
              <w:numPr>
                <w:ilvl w:val="0"/>
                <w:numId w:val="22"/>
              </w:numPr>
            </w:pPr>
            <w:r w:rsidRPr="004D57EB">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D6111C">
            <w:pPr>
              <w:spacing w:after="0"/>
              <w:rPr>
                <w:noProof/>
              </w:rPr>
            </w:pPr>
          </w:p>
        </w:tc>
      </w:tr>
      <w:tr w:rsidR="003B7447" w:rsidRPr="00C31C1D" w14:paraId="5668E75B" w14:textId="77777777" w:rsidTr="31EE6864">
        <w:tc>
          <w:tcPr>
            <w:tcW w:w="7231" w:type="dxa"/>
          </w:tcPr>
          <w:p w14:paraId="16CB3FCD" w14:textId="06C4974D" w:rsidR="003B7447" w:rsidRPr="004D57EB" w:rsidRDefault="003B7447" w:rsidP="00D6111C">
            <w:pPr>
              <w:numPr>
                <w:ilvl w:val="0"/>
                <w:numId w:val="22"/>
              </w:numPr>
              <w:rPr>
                <w:noProof/>
              </w:rPr>
            </w:pPr>
            <w:bookmarkStart w:id="237" w:name="Screen5"/>
            <w:bookmarkEnd w:id="237"/>
            <w:r w:rsidRPr="004D57EB">
              <w:t>The Application includes Commitment Letters that total the minimum of 20</w:t>
            </w:r>
            <w:r w:rsidRPr="004D57EB">
              <w:rPr>
                <w:i/>
              </w:rPr>
              <w:t>%</w:t>
            </w:r>
            <w:r w:rsidRPr="004D57EB">
              <w:t xml:space="preserve"> in match share of the total requested </w:t>
            </w:r>
            <w:r w:rsidR="008F4A0E" w:rsidRPr="004D57EB">
              <w:t>CEC</w:t>
            </w:r>
            <w:r w:rsidRPr="004D57EB">
              <w:t xml:space="preserve"> funds.  </w:t>
            </w:r>
          </w:p>
        </w:tc>
        <w:tc>
          <w:tcPr>
            <w:tcW w:w="2119" w:type="dxa"/>
          </w:tcPr>
          <w:p w14:paraId="0E5B4FDA"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D6111C">
            <w:pPr>
              <w:keepLines/>
              <w:spacing w:after="0"/>
              <w:rPr>
                <w:noProof/>
              </w:rPr>
            </w:pPr>
          </w:p>
        </w:tc>
      </w:tr>
      <w:tr w:rsidR="003B7447" w:rsidRPr="00C31C1D" w14:paraId="39D928ED" w14:textId="77777777" w:rsidTr="31EE6864">
        <w:trPr>
          <w:trHeight w:val="640"/>
        </w:trPr>
        <w:tc>
          <w:tcPr>
            <w:tcW w:w="7231" w:type="dxa"/>
          </w:tcPr>
          <w:p w14:paraId="118060C8" w14:textId="37D0DF19" w:rsidR="003B7447" w:rsidRPr="004D57EB" w:rsidRDefault="003B7447" w:rsidP="00D6111C">
            <w:pPr>
              <w:numPr>
                <w:ilvl w:val="0"/>
                <w:numId w:val="22"/>
              </w:numPr>
              <w:spacing w:after="40"/>
              <w:rPr>
                <w:i/>
                <w:noProof/>
              </w:rPr>
            </w:pPr>
            <w:bookmarkStart w:id="238" w:name="Screen6"/>
            <w:bookmarkEnd w:id="238"/>
            <w:r w:rsidRPr="004D57EB">
              <w:rPr>
                <w:iCs/>
                <w:snapToGrid w:val="0"/>
              </w:rPr>
              <w:t xml:space="preserve">If the project involves technology </w:t>
            </w:r>
            <w:r w:rsidR="00054670" w:rsidRPr="004D57EB">
              <w:rPr>
                <w:iCs/>
                <w:snapToGrid w:val="0"/>
              </w:rPr>
              <w:t>pilot demonstration</w:t>
            </w:r>
            <w:r w:rsidR="00005864" w:rsidRPr="004D57EB">
              <w:rPr>
                <w:iCs/>
                <w:snapToGrid w:val="0"/>
              </w:rPr>
              <w:t>/</w:t>
            </w:r>
            <w:r w:rsidRPr="004D57EB">
              <w:rPr>
                <w:iCs/>
                <w:snapToGrid w:val="0"/>
              </w:rPr>
              <w:t>demonstration/deployment activities</w:t>
            </w:r>
            <w:r w:rsidRPr="004D57EB">
              <w:rPr>
                <w:i/>
                <w:snapToGrid w:val="0"/>
              </w:rPr>
              <w:t xml:space="preserve"> </w:t>
            </w:r>
          </w:p>
          <w:p w14:paraId="050DA084" w14:textId="630B80DF" w:rsidR="003B7447" w:rsidRPr="004D57EB" w:rsidRDefault="003B7447" w:rsidP="00D6111C">
            <w:pPr>
              <w:numPr>
                <w:ilvl w:val="0"/>
                <w:numId w:val="51"/>
              </w:numPr>
              <w:spacing w:after="0"/>
              <w:ind w:left="1080"/>
              <w:rPr>
                <w:noProof/>
              </w:rPr>
            </w:pPr>
            <w:r w:rsidRPr="004D57EB">
              <w:rPr>
                <w:snapToGrid w:val="0"/>
              </w:rPr>
              <w:t xml:space="preserve">The </w:t>
            </w:r>
            <w:r w:rsidR="00E37BEE" w:rsidRPr="004D57EB">
              <w:rPr>
                <w:snapToGrid w:val="0"/>
              </w:rPr>
              <w:t>a</w:t>
            </w:r>
            <w:r w:rsidRPr="004D57EB">
              <w:rPr>
                <w:snapToGrid w:val="0"/>
              </w:rPr>
              <w:t>pplication identifies one or more demonstration/deployment site locations.</w:t>
            </w:r>
          </w:p>
          <w:p w14:paraId="76D3A2D8" w14:textId="4B5BCD18" w:rsidR="003B7447" w:rsidRPr="004D57EB" w:rsidRDefault="003B7447" w:rsidP="00D6111C">
            <w:pPr>
              <w:numPr>
                <w:ilvl w:val="0"/>
                <w:numId w:val="51"/>
              </w:numPr>
              <w:spacing w:after="0"/>
              <w:ind w:left="1080"/>
              <w:rPr>
                <w:noProof/>
              </w:rPr>
            </w:pPr>
            <w:r w:rsidRPr="004D57EB">
              <w:rPr>
                <w:snapToGrid w:val="0"/>
              </w:rPr>
              <w:t>All demonstration/deployment sites are located in a California electric IOU service territory (PG&amp;E, SDG&amp;E, or SCE).</w:t>
            </w:r>
          </w:p>
          <w:p w14:paraId="301B2FD5" w14:textId="29283C64" w:rsidR="003B7447" w:rsidRPr="004D57EB" w:rsidRDefault="003B7447" w:rsidP="00D6111C">
            <w:pPr>
              <w:spacing w:after="0"/>
              <w:ind w:left="1080"/>
              <w:rPr>
                <w:noProof/>
              </w:rPr>
            </w:pPr>
          </w:p>
        </w:tc>
        <w:tc>
          <w:tcPr>
            <w:tcW w:w="2119" w:type="dxa"/>
          </w:tcPr>
          <w:p w14:paraId="1E06BF7E" w14:textId="77777777" w:rsidR="003B7447" w:rsidRPr="00C31C1D" w:rsidRDefault="003B7447" w:rsidP="00D611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D6111C">
            <w:pPr>
              <w:keepLines/>
              <w:spacing w:after="0"/>
              <w:rPr>
                <w:noProof/>
              </w:rPr>
            </w:pPr>
          </w:p>
        </w:tc>
      </w:tr>
    </w:tbl>
    <w:p w14:paraId="5B03D1C8" w14:textId="34E56444" w:rsidR="00875003" w:rsidRDefault="00875003" w:rsidP="00D6111C">
      <w:pPr>
        <w:spacing w:after="0"/>
        <w:rPr>
          <w:b/>
          <w:caps/>
        </w:rPr>
      </w:pPr>
    </w:p>
    <w:p w14:paraId="5F444F7B" w14:textId="77777777" w:rsidR="00875003" w:rsidRDefault="00875003" w:rsidP="00D6111C">
      <w:pPr>
        <w:spacing w:after="0"/>
        <w:rPr>
          <w:b/>
          <w:caps/>
        </w:rPr>
      </w:pPr>
      <w:r>
        <w:rPr>
          <w:b/>
          <w:caps/>
        </w:rPr>
        <w:br w:type="page"/>
      </w:r>
    </w:p>
    <w:p w14:paraId="40CCE938" w14:textId="77777777" w:rsidR="00A756BA" w:rsidRPr="00712558" w:rsidRDefault="00A756BA" w:rsidP="00D6111C">
      <w:pPr>
        <w:spacing w:after="0"/>
        <w:rPr>
          <w:b/>
          <w:caps/>
          <w:sz w:val="28"/>
        </w:rPr>
      </w:pPr>
      <w:r w:rsidRPr="00712558">
        <w:rPr>
          <w:b/>
          <w:caps/>
          <w:sz w:val="28"/>
        </w:rPr>
        <w:lastRenderedPageBreak/>
        <w:t xml:space="preserve">Screening Criteria for Past Performance </w:t>
      </w:r>
    </w:p>
    <w:p w14:paraId="101BDDA4" w14:textId="77777777" w:rsidR="00A756BA" w:rsidRPr="0007792B" w:rsidRDefault="00A756BA" w:rsidP="00D6111C">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D6111C">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D6111C">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D6111C">
            <w:pPr>
              <w:spacing w:before="120"/>
              <w:ind w:left="360"/>
              <w:rPr>
                <w:b/>
              </w:rPr>
            </w:pPr>
            <w:r w:rsidRPr="0007792B">
              <w:rPr>
                <w:b/>
              </w:rPr>
              <w:t>Applicant Past Performance with Energy Commission</w:t>
            </w:r>
          </w:p>
          <w:p w14:paraId="2D667484" w14:textId="77777777" w:rsidR="00A756BA" w:rsidRDefault="00A756BA" w:rsidP="00D6111C">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D6111C">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D6111C">
            <w:pPr>
              <w:numPr>
                <w:ilvl w:val="0"/>
                <w:numId w:val="99"/>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D6111C">
            <w:pPr>
              <w:numPr>
                <w:ilvl w:val="0"/>
                <w:numId w:val="99"/>
              </w:numPr>
              <w:spacing w:after="0"/>
            </w:pPr>
            <w:r w:rsidRPr="0007792B">
              <w:t>Termination with cause;</w:t>
            </w:r>
          </w:p>
          <w:p w14:paraId="64493704" w14:textId="77777777" w:rsidR="00A756BA" w:rsidRPr="0007792B" w:rsidRDefault="00A756BA" w:rsidP="00D6111C">
            <w:pPr>
              <w:numPr>
                <w:ilvl w:val="0"/>
                <w:numId w:val="99"/>
              </w:numPr>
              <w:spacing w:after="0"/>
              <w:rPr>
                <w:sz w:val="24"/>
              </w:rPr>
            </w:pPr>
            <w:bookmarkStart w:id="239"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39"/>
            <w:r>
              <w:rPr>
                <w:iCs/>
              </w:rPr>
              <w:t>;</w:t>
            </w:r>
          </w:p>
          <w:p w14:paraId="67D075EF" w14:textId="77777777" w:rsidR="00A756BA" w:rsidRPr="0007792B" w:rsidRDefault="00A756BA" w:rsidP="00D6111C">
            <w:pPr>
              <w:numPr>
                <w:ilvl w:val="0"/>
                <w:numId w:val="99"/>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D6111C">
            <w:pPr>
              <w:numPr>
                <w:ilvl w:val="0"/>
                <w:numId w:val="99"/>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not limited to: incomplete or unsatisfactory deliverables; grant funds used inappropriately (i.e., other than as represented); or questioned costs</w:t>
            </w:r>
            <w:r w:rsidRPr="0007792B">
              <w:t>.</w:t>
            </w:r>
          </w:p>
          <w:p w14:paraId="6AEBB59B" w14:textId="77777777" w:rsidR="00A756BA" w:rsidRPr="0007792B" w:rsidRDefault="00A756BA" w:rsidP="00D6111C">
            <w:pPr>
              <w:spacing w:after="0"/>
              <w:ind w:left="1080"/>
            </w:pPr>
          </w:p>
        </w:tc>
        <w:tc>
          <w:tcPr>
            <w:tcW w:w="1350" w:type="dxa"/>
          </w:tcPr>
          <w:p w14:paraId="6FA2EFBF" w14:textId="77777777" w:rsidR="00A756BA" w:rsidRPr="0007792B" w:rsidRDefault="00A756BA" w:rsidP="00D6111C">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D6111C">
            <w:pPr>
              <w:spacing w:before="60" w:after="0"/>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D6111C">
            <w:pPr>
              <w:spacing w:after="0"/>
              <w:rPr>
                <w:b/>
                <w:szCs w:val="22"/>
              </w:rPr>
            </w:pPr>
            <w:r w:rsidRPr="0007792B">
              <w:rPr>
                <w:b/>
                <w:szCs w:val="22"/>
              </w:rPr>
              <w:t>Pass/Fail</w:t>
            </w:r>
          </w:p>
        </w:tc>
      </w:tr>
    </w:tbl>
    <w:p w14:paraId="0AB901BA" w14:textId="77777777" w:rsidR="00DB3B66" w:rsidRPr="00DB3B66" w:rsidRDefault="00DB3B66" w:rsidP="00D6111C">
      <w:pPr>
        <w:pStyle w:val="Heading3"/>
        <w:jc w:val="left"/>
      </w:pPr>
      <w:r w:rsidRPr="00C31C1D">
        <w:br w:type="page"/>
      </w:r>
    </w:p>
    <w:p w14:paraId="7683F2BE" w14:textId="77777777" w:rsidR="006F048A" w:rsidRPr="00CF6DED" w:rsidRDefault="006F048A" w:rsidP="00D6111C">
      <w:pPr>
        <w:pStyle w:val="Heading2"/>
        <w:numPr>
          <w:ilvl w:val="0"/>
          <w:numId w:val="88"/>
        </w:numPr>
      </w:pPr>
      <w:bookmarkStart w:id="240" w:name="_Toc433981346"/>
      <w:bookmarkStart w:id="241" w:name="_Toc143172724"/>
      <w:r w:rsidRPr="00CF6DED">
        <w:lastRenderedPageBreak/>
        <w:t xml:space="preserve">Stage </w:t>
      </w:r>
      <w:r w:rsidR="00DB3B66" w:rsidRPr="00CF6DED">
        <w:t>Two</w:t>
      </w:r>
      <w:r w:rsidRPr="00CF6DED">
        <w:t>:  Application Sc</w:t>
      </w:r>
      <w:r w:rsidR="00DB3B66" w:rsidRPr="00CF6DED">
        <w:t>oring</w:t>
      </w:r>
      <w:bookmarkEnd w:id="240"/>
      <w:bookmarkEnd w:id="241"/>
    </w:p>
    <w:bookmarkEnd w:id="195"/>
    <w:p w14:paraId="3F044960" w14:textId="71F2E6D4" w:rsidR="001C2D56" w:rsidRPr="00D21FEE" w:rsidRDefault="007C0534" w:rsidP="00D6111C">
      <w:pPr>
        <w:spacing w:after="0"/>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D6111C">
      <w:pPr>
        <w:spacing w:after="0"/>
        <w:ind w:left="360"/>
        <w:rPr>
          <w:b/>
        </w:rPr>
      </w:pPr>
    </w:p>
    <w:p w14:paraId="1AEF52E1" w14:textId="77777777" w:rsidR="001C2D56" w:rsidRPr="00712558" w:rsidRDefault="001C2D56" w:rsidP="00D6111C">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D6111C">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D6111C">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D6111C">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D6111C">
            <w:pPr>
              <w:spacing w:after="0"/>
              <w:rPr>
                <w:szCs w:val="22"/>
              </w:rPr>
            </w:pPr>
            <w:r w:rsidRPr="00050087">
              <w:rPr>
                <w:szCs w:val="22"/>
              </w:rPr>
              <w:t>0%</w:t>
            </w:r>
          </w:p>
        </w:tc>
        <w:tc>
          <w:tcPr>
            <w:tcW w:w="1620" w:type="dxa"/>
            <w:vAlign w:val="center"/>
          </w:tcPr>
          <w:p w14:paraId="099DC580" w14:textId="77777777" w:rsidR="00FA352A" w:rsidRPr="00050087" w:rsidRDefault="00FA352A" w:rsidP="00D6111C">
            <w:pPr>
              <w:spacing w:after="0"/>
              <w:rPr>
                <w:szCs w:val="22"/>
              </w:rPr>
            </w:pPr>
            <w:r w:rsidRPr="00050087">
              <w:rPr>
                <w:szCs w:val="22"/>
              </w:rPr>
              <w:t>Not Responsive</w:t>
            </w:r>
          </w:p>
        </w:tc>
        <w:tc>
          <w:tcPr>
            <w:tcW w:w="6205" w:type="dxa"/>
          </w:tcPr>
          <w:p w14:paraId="04AE7394" w14:textId="77777777" w:rsidR="00FA352A" w:rsidRPr="00050087" w:rsidRDefault="00FA352A" w:rsidP="00D6111C">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D6111C">
            <w:pPr>
              <w:spacing w:after="0"/>
              <w:rPr>
                <w:szCs w:val="22"/>
              </w:rPr>
            </w:pPr>
            <w:r w:rsidRPr="00050087">
              <w:rPr>
                <w:szCs w:val="22"/>
              </w:rPr>
              <w:t>10-30%</w:t>
            </w:r>
          </w:p>
        </w:tc>
        <w:tc>
          <w:tcPr>
            <w:tcW w:w="1620" w:type="dxa"/>
            <w:vAlign w:val="center"/>
          </w:tcPr>
          <w:p w14:paraId="4DD94C1B" w14:textId="77777777" w:rsidR="00FA352A" w:rsidRPr="00050087" w:rsidRDefault="00FA352A" w:rsidP="00D6111C">
            <w:pPr>
              <w:spacing w:after="0"/>
              <w:rPr>
                <w:szCs w:val="22"/>
              </w:rPr>
            </w:pPr>
            <w:r w:rsidRPr="00050087">
              <w:rPr>
                <w:szCs w:val="22"/>
              </w:rPr>
              <w:t>Minimally Responsive</w:t>
            </w:r>
          </w:p>
        </w:tc>
        <w:tc>
          <w:tcPr>
            <w:tcW w:w="6205" w:type="dxa"/>
          </w:tcPr>
          <w:p w14:paraId="24497DC1" w14:textId="77777777" w:rsidR="00FA352A" w:rsidRPr="00050087" w:rsidRDefault="00FA352A" w:rsidP="00D6111C">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D6111C">
            <w:pPr>
              <w:spacing w:after="0"/>
              <w:rPr>
                <w:szCs w:val="22"/>
              </w:rPr>
            </w:pPr>
            <w:r w:rsidRPr="00050087">
              <w:rPr>
                <w:szCs w:val="22"/>
              </w:rPr>
              <w:t>40-60%</w:t>
            </w:r>
          </w:p>
        </w:tc>
        <w:tc>
          <w:tcPr>
            <w:tcW w:w="1620" w:type="dxa"/>
            <w:vAlign w:val="center"/>
          </w:tcPr>
          <w:p w14:paraId="7138294C" w14:textId="77777777" w:rsidR="00FA352A" w:rsidRPr="00050087" w:rsidRDefault="00FA352A" w:rsidP="00D6111C">
            <w:pPr>
              <w:spacing w:after="0"/>
              <w:rPr>
                <w:szCs w:val="22"/>
              </w:rPr>
            </w:pPr>
            <w:r w:rsidRPr="00050087">
              <w:rPr>
                <w:szCs w:val="22"/>
              </w:rPr>
              <w:t>Inadequate</w:t>
            </w:r>
          </w:p>
        </w:tc>
        <w:tc>
          <w:tcPr>
            <w:tcW w:w="6205" w:type="dxa"/>
          </w:tcPr>
          <w:p w14:paraId="12953209" w14:textId="77777777" w:rsidR="00FA352A" w:rsidRPr="00050087" w:rsidRDefault="00FA352A" w:rsidP="00D6111C">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D6111C">
            <w:pPr>
              <w:spacing w:after="0"/>
              <w:rPr>
                <w:szCs w:val="22"/>
              </w:rPr>
            </w:pPr>
            <w:r w:rsidRPr="00050087">
              <w:rPr>
                <w:szCs w:val="22"/>
              </w:rPr>
              <w:t>70%</w:t>
            </w:r>
          </w:p>
        </w:tc>
        <w:tc>
          <w:tcPr>
            <w:tcW w:w="1620" w:type="dxa"/>
            <w:vAlign w:val="center"/>
          </w:tcPr>
          <w:p w14:paraId="1B1153EB" w14:textId="77777777" w:rsidR="00FA352A" w:rsidRPr="00050087" w:rsidRDefault="00FA352A" w:rsidP="00D6111C">
            <w:pPr>
              <w:spacing w:after="0"/>
              <w:rPr>
                <w:szCs w:val="22"/>
              </w:rPr>
            </w:pPr>
            <w:r w:rsidRPr="00050087">
              <w:rPr>
                <w:szCs w:val="22"/>
              </w:rPr>
              <w:t>Adequate</w:t>
            </w:r>
          </w:p>
        </w:tc>
        <w:tc>
          <w:tcPr>
            <w:tcW w:w="6205" w:type="dxa"/>
          </w:tcPr>
          <w:p w14:paraId="02CD0C0B" w14:textId="77777777" w:rsidR="00FA352A" w:rsidRPr="00050087" w:rsidRDefault="00FA352A" w:rsidP="00D6111C">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D6111C">
            <w:pPr>
              <w:spacing w:after="0"/>
              <w:rPr>
                <w:szCs w:val="22"/>
              </w:rPr>
            </w:pPr>
            <w:r>
              <w:rPr>
                <w:szCs w:val="22"/>
              </w:rPr>
              <w:t>75%</w:t>
            </w:r>
          </w:p>
        </w:tc>
        <w:tc>
          <w:tcPr>
            <w:tcW w:w="1620" w:type="dxa"/>
            <w:vAlign w:val="center"/>
          </w:tcPr>
          <w:p w14:paraId="3C60EC21" w14:textId="77777777" w:rsidR="00FA352A" w:rsidRPr="00050087" w:rsidRDefault="00FA352A" w:rsidP="00D6111C">
            <w:pPr>
              <w:spacing w:after="0"/>
              <w:rPr>
                <w:szCs w:val="22"/>
              </w:rPr>
            </w:pPr>
            <w:r>
              <w:rPr>
                <w:szCs w:val="22"/>
              </w:rPr>
              <w:t>Between Adequate and Good</w:t>
            </w:r>
          </w:p>
        </w:tc>
        <w:tc>
          <w:tcPr>
            <w:tcW w:w="6205" w:type="dxa"/>
          </w:tcPr>
          <w:p w14:paraId="6D4F750E" w14:textId="77777777" w:rsidR="00FA352A" w:rsidRPr="00050087" w:rsidRDefault="00FA352A" w:rsidP="00D6111C">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D6111C">
            <w:pPr>
              <w:spacing w:after="0"/>
              <w:rPr>
                <w:szCs w:val="22"/>
              </w:rPr>
            </w:pPr>
            <w:r w:rsidRPr="00050087">
              <w:rPr>
                <w:szCs w:val="22"/>
              </w:rPr>
              <w:t>80%</w:t>
            </w:r>
          </w:p>
        </w:tc>
        <w:tc>
          <w:tcPr>
            <w:tcW w:w="1620" w:type="dxa"/>
            <w:vAlign w:val="center"/>
          </w:tcPr>
          <w:p w14:paraId="3B90FCA3" w14:textId="77777777" w:rsidR="00FA352A" w:rsidRPr="00050087" w:rsidRDefault="00FA352A" w:rsidP="00D6111C">
            <w:pPr>
              <w:spacing w:after="0"/>
              <w:rPr>
                <w:szCs w:val="22"/>
              </w:rPr>
            </w:pPr>
            <w:r w:rsidRPr="00050087">
              <w:rPr>
                <w:szCs w:val="22"/>
              </w:rPr>
              <w:t>Good</w:t>
            </w:r>
          </w:p>
        </w:tc>
        <w:tc>
          <w:tcPr>
            <w:tcW w:w="6205" w:type="dxa"/>
          </w:tcPr>
          <w:p w14:paraId="4438BCE0" w14:textId="77777777" w:rsidR="00FA352A" w:rsidRPr="00050087" w:rsidRDefault="00FA352A" w:rsidP="00D6111C">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D6111C">
            <w:pPr>
              <w:spacing w:after="0"/>
              <w:rPr>
                <w:szCs w:val="22"/>
              </w:rPr>
            </w:pPr>
            <w:r>
              <w:rPr>
                <w:szCs w:val="22"/>
              </w:rPr>
              <w:t>85%</w:t>
            </w:r>
          </w:p>
        </w:tc>
        <w:tc>
          <w:tcPr>
            <w:tcW w:w="1620" w:type="dxa"/>
            <w:vAlign w:val="center"/>
          </w:tcPr>
          <w:p w14:paraId="5C798EDA" w14:textId="77777777" w:rsidR="00FA352A" w:rsidRPr="00050087" w:rsidRDefault="00FA352A" w:rsidP="00D6111C">
            <w:pPr>
              <w:spacing w:after="0"/>
              <w:rPr>
                <w:szCs w:val="22"/>
              </w:rPr>
            </w:pPr>
            <w:r>
              <w:rPr>
                <w:szCs w:val="22"/>
              </w:rPr>
              <w:t>Between Good and Excellent</w:t>
            </w:r>
          </w:p>
        </w:tc>
        <w:tc>
          <w:tcPr>
            <w:tcW w:w="6205" w:type="dxa"/>
          </w:tcPr>
          <w:p w14:paraId="3E6A39E8" w14:textId="77777777" w:rsidR="00FA352A" w:rsidRPr="00050087" w:rsidRDefault="00FA352A" w:rsidP="00D6111C">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D6111C">
            <w:pPr>
              <w:spacing w:after="0"/>
              <w:rPr>
                <w:szCs w:val="22"/>
              </w:rPr>
            </w:pPr>
            <w:r w:rsidRPr="00050087">
              <w:rPr>
                <w:szCs w:val="22"/>
              </w:rPr>
              <w:t>90%</w:t>
            </w:r>
          </w:p>
        </w:tc>
        <w:tc>
          <w:tcPr>
            <w:tcW w:w="1620" w:type="dxa"/>
            <w:vAlign w:val="center"/>
          </w:tcPr>
          <w:p w14:paraId="769ADE50" w14:textId="77777777" w:rsidR="00FA352A" w:rsidRPr="00050087" w:rsidRDefault="00FA352A" w:rsidP="00D6111C">
            <w:pPr>
              <w:spacing w:after="0"/>
              <w:rPr>
                <w:szCs w:val="22"/>
              </w:rPr>
            </w:pPr>
            <w:r w:rsidRPr="00050087">
              <w:rPr>
                <w:szCs w:val="22"/>
              </w:rPr>
              <w:t>Excellent</w:t>
            </w:r>
          </w:p>
        </w:tc>
        <w:tc>
          <w:tcPr>
            <w:tcW w:w="6205" w:type="dxa"/>
          </w:tcPr>
          <w:p w14:paraId="2E4F9C13" w14:textId="77777777" w:rsidR="00FA352A" w:rsidRPr="00050087" w:rsidRDefault="00FA352A" w:rsidP="00D6111C">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D6111C">
            <w:pPr>
              <w:spacing w:after="0"/>
              <w:rPr>
                <w:szCs w:val="22"/>
              </w:rPr>
            </w:pPr>
            <w:r>
              <w:rPr>
                <w:szCs w:val="22"/>
              </w:rPr>
              <w:t>95%</w:t>
            </w:r>
          </w:p>
        </w:tc>
        <w:tc>
          <w:tcPr>
            <w:tcW w:w="1620" w:type="dxa"/>
            <w:vAlign w:val="center"/>
          </w:tcPr>
          <w:p w14:paraId="67FCE25A" w14:textId="77777777" w:rsidR="00FA352A" w:rsidRPr="00050087" w:rsidRDefault="00FA352A" w:rsidP="00D6111C">
            <w:pPr>
              <w:spacing w:after="0"/>
              <w:rPr>
                <w:szCs w:val="22"/>
              </w:rPr>
            </w:pPr>
            <w:r>
              <w:rPr>
                <w:szCs w:val="22"/>
              </w:rPr>
              <w:t>Between Excellent and Exceptional</w:t>
            </w:r>
          </w:p>
        </w:tc>
        <w:tc>
          <w:tcPr>
            <w:tcW w:w="6205" w:type="dxa"/>
          </w:tcPr>
          <w:p w14:paraId="6B8481FE" w14:textId="77777777" w:rsidR="00FA352A" w:rsidRPr="00050087" w:rsidRDefault="00FA352A" w:rsidP="00D6111C">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D6111C">
            <w:pPr>
              <w:spacing w:after="0"/>
              <w:rPr>
                <w:szCs w:val="22"/>
              </w:rPr>
            </w:pPr>
            <w:r w:rsidRPr="00050087">
              <w:rPr>
                <w:szCs w:val="22"/>
              </w:rPr>
              <w:lastRenderedPageBreak/>
              <w:t>100%</w:t>
            </w:r>
          </w:p>
        </w:tc>
        <w:tc>
          <w:tcPr>
            <w:tcW w:w="1620" w:type="dxa"/>
            <w:vAlign w:val="center"/>
          </w:tcPr>
          <w:p w14:paraId="15115565" w14:textId="77777777" w:rsidR="00FA352A" w:rsidRPr="00050087" w:rsidRDefault="00FA352A" w:rsidP="00D6111C">
            <w:pPr>
              <w:spacing w:after="0"/>
              <w:rPr>
                <w:szCs w:val="22"/>
              </w:rPr>
            </w:pPr>
            <w:r w:rsidRPr="00050087">
              <w:rPr>
                <w:szCs w:val="22"/>
              </w:rPr>
              <w:t>Exceptional</w:t>
            </w:r>
          </w:p>
        </w:tc>
        <w:tc>
          <w:tcPr>
            <w:tcW w:w="6205" w:type="dxa"/>
          </w:tcPr>
          <w:p w14:paraId="5505BC69" w14:textId="77777777" w:rsidR="00FA352A" w:rsidRPr="00050087" w:rsidRDefault="00FA352A" w:rsidP="00D6111C">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D6111C">
      <w:pPr>
        <w:rPr>
          <w:b/>
          <w:caps/>
          <w:u w:val="single"/>
        </w:rPr>
      </w:pPr>
    </w:p>
    <w:p w14:paraId="59B255A2" w14:textId="77777777" w:rsidR="001C2D56" w:rsidRPr="002F106F" w:rsidRDefault="001C2D56" w:rsidP="00D6111C">
      <w:pPr>
        <w:rPr>
          <w:b/>
          <w:caps/>
          <w:sz w:val="8"/>
          <w:szCs w:val="8"/>
          <w:u w:val="single"/>
        </w:rPr>
      </w:pPr>
    </w:p>
    <w:p w14:paraId="1A197E23" w14:textId="77777777" w:rsidR="0018637E" w:rsidRPr="00832B85" w:rsidRDefault="001C2D56" w:rsidP="00D6111C">
      <w:pPr>
        <w:tabs>
          <w:tab w:val="left" w:pos="1530"/>
        </w:tabs>
        <w:rPr>
          <w:b/>
          <w:szCs w:val="24"/>
        </w:rPr>
      </w:pPr>
      <w:r w:rsidRPr="00C31C1D">
        <w:br w:type="page"/>
      </w:r>
      <w:bookmarkEnd w:id="185"/>
      <w:bookmarkEnd w:id="186"/>
      <w:bookmarkEnd w:id="187"/>
      <w:r w:rsidR="0018637E" w:rsidRPr="00712558">
        <w:rPr>
          <w:b/>
          <w:caps/>
          <w:sz w:val="28"/>
        </w:rPr>
        <w:lastRenderedPageBreak/>
        <w:t>Scoring CRITERIA</w:t>
      </w:r>
    </w:p>
    <w:p w14:paraId="298C09C9" w14:textId="5F08C886" w:rsidR="003A2FCD" w:rsidRDefault="0018637E" w:rsidP="00D6111C">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D6111C">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00C03AF1">
        <w:trPr>
          <w:cantSplit/>
          <w:trHeight w:val="550"/>
          <w:tblHeader/>
        </w:trPr>
        <w:tc>
          <w:tcPr>
            <w:tcW w:w="8362" w:type="dxa"/>
            <w:shd w:val="clear" w:color="auto" w:fill="D9D9D9" w:themeFill="background1" w:themeFillShade="D9"/>
            <w:vAlign w:val="bottom"/>
          </w:tcPr>
          <w:p w14:paraId="7FBC3A1A" w14:textId="77777777" w:rsidR="00616F23" w:rsidRPr="00616F23" w:rsidRDefault="00616F23" w:rsidP="00D6111C">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D6111C">
            <w:pPr>
              <w:spacing w:after="0"/>
              <w:rPr>
                <w:b/>
              </w:rPr>
            </w:pPr>
            <w:r>
              <w:rPr>
                <w:b/>
              </w:rPr>
              <w:t xml:space="preserve">Possible </w:t>
            </w:r>
            <w:r w:rsidR="00616F23" w:rsidRPr="00616F23">
              <w:rPr>
                <w:b/>
              </w:rPr>
              <w:t>Points</w:t>
            </w:r>
          </w:p>
        </w:tc>
      </w:tr>
      <w:tr w:rsidR="00CD6E61" w:rsidRPr="00616F23" w14:paraId="78117487" w14:textId="77777777" w:rsidTr="00C03AF1">
        <w:trPr>
          <w:cantSplit/>
        </w:trPr>
        <w:tc>
          <w:tcPr>
            <w:tcW w:w="8362" w:type="dxa"/>
          </w:tcPr>
          <w:p w14:paraId="0BCAF2DE" w14:textId="77777777" w:rsidR="00CD6E61" w:rsidRPr="00616F23" w:rsidRDefault="00CD6E61" w:rsidP="00D6111C">
            <w:pPr>
              <w:numPr>
                <w:ilvl w:val="0"/>
                <w:numId w:val="63"/>
              </w:numPr>
              <w:spacing w:before="120"/>
              <w:rPr>
                <w:rFonts w:cs="Times New Roman"/>
                <w:b/>
                <w:bCs/>
                <w:smallCaps/>
              </w:rPr>
            </w:pPr>
            <w:r w:rsidRPr="00616F23">
              <w:rPr>
                <w:b/>
              </w:rPr>
              <w:t xml:space="preserve">Technical Merit </w:t>
            </w:r>
          </w:p>
          <w:p w14:paraId="03D3EFFD" w14:textId="6D82D7FB" w:rsidR="00CD6E61" w:rsidRPr="004D57EB" w:rsidRDefault="00CD6E61" w:rsidP="00D6111C">
            <w:pPr>
              <w:numPr>
                <w:ilvl w:val="0"/>
                <w:numId w:val="29"/>
              </w:numPr>
              <w:ind w:left="1140"/>
            </w:pPr>
            <w:r w:rsidRPr="004D57EB">
              <w:t xml:space="preserve">The proposed project provides a clear and concise description of the technological, scientific knowledge advancement, and/or innovation </w:t>
            </w:r>
            <w:r w:rsidRPr="004D57EB">
              <w:rPr>
                <w:szCs w:val="22"/>
              </w:rPr>
              <w:t>that will overcome barriers to achieving the State’s statutory energy goals</w:t>
            </w:r>
            <w:r w:rsidR="008B0B04" w:rsidRPr="004D57EB">
              <w:rPr>
                <w:szCs w:val="22"/>
              </w:rPr>
              <w:t>.</w:t>
            </w:r>
          </w:p>
          <w:p w14:paraId="347F9BE3" w14:textId="6DAF0AA1" w:rsidR="00CD6E61" w:rsidRPr="004D57EB" w:rsidRDefault="00CD6E61" w:rsidP="00D6111C">
            <w:pPr>
              <w:numPr>
                <w:ilvl w:val="0"/>
                <w:numId w:val="29"/>
              </w:numPr>
              <w:ind w:left="1140"/>
            </w:pPr>
            <w:r w:rsidRPr="004D57EB">
              <w:t>Describes the competitive advantages of the proposed</w:t>
            </w:r>
            <w:r w:rsidR="00A26883" w:rsidRPr="004D57EB">
              <w:t xml:space="preserve"> advanced</w:t>
            </w:r>
            <w:r w:rsidRPr="004D57EB">
              <w:t xml:space="preserve"> </w:t>
            </w:r>
            <w:r w:rsidR="00A26883" w:rsidRPr="004D57EB">
              <w:t>VPP</w:t>
            </w:r>
            <w:r w:rsidR="00207536" w:rsidRPr="004D57EB">
              <w:t>(</w:t>
            </w:r>
            <w:r w:rsidR="00A26883" w:rsidRPr="004D57EB">
              <w:t>s</w:t>
            </w:r>
            <w:r w:rsidR="00207536" w:rsidRPr="004D57EB">
              <w:t>)</w:t>
            </w:r>
            <w:r w:rsidR="00A26883" w:rsidRPr="004D57EB">
              <w:t xml:space="preserve"> over </w:t>
            </w:r>
            <w:r w:rsidR="00DA0E4F" w:rsidRPr="004D57EB">
              <w:t>incumbent solutions</w:t>
            </w:r>
            <w:r w:rsidRPr="004D57EB">
              <w:t>.</w:t>
            </w:r>
          </w:p>
          <w:p w14:paraId="1E8C2DD5" w14:textId="2FD2F5FC" w:rsidR="00CD6E61" w:rsidRPr="004D57EB" w:rsidRDefault="00CD6E61" w:rsidP="00D6111C">
            <w:pPr>
              <w:numPr>
                <w:ilvl w:val="0"/>
                <w:numId w:val="29"/>
              </w:numPr>
              <w:spacing w:before="240"/>
              <w:ind w:left="1140"/>
            </w:pPr>
            <w:r w:rsidRPr="004D57EB">
              <w:t>Provides the proposed technical specifications and describe how the project will meet or exceed the technical specifications by the end of the project</w:t>
            </w:r>
            <w:r w:rsidR="00AE347B" w:rsidRPr="004D57EB">
              <w:t>, if applicable</w:t>
            </w:r>
            <w:r w:rsidRPr="004D57EB">
              <w:t>.</w:t>
            </w:r>
          </w:p>
          <w:p w14:paraId="02C6FA1B" w14:textId="77777777" w:rsidR="00CD6E61" w:rsidRPr="004D57EB" w:rsidRDefault="00CD6E61" w:rsidP="00D6111C">
            <w:pPr>
              <w:numPr>
                <w:ilvl w:val="0"/>
                <w:numId w:val="29"/>
              </w:numPr>
              <w:ind w:left="1140"/>
            </w:pPr>
            <w:r w:rsidRPr="004D57EB">
              <w:t>Describes the technology readiness level (TRL) the proposed technology has achieved and the expected TRL by the end of the project.</w:t>
            </w:r>
          </w:p>
          <w:p w14:paraId="08AF3F8D" w14:textId="77777777" w:rsidR="00CD6E61" w:rsidRPr="004D57EB" w:rsidRDefault="00CD6E61" w:rsidP="00D6111C">
            <w:pPr>
              <w:numPr>
                <w:ilvl w:val="0"/>
                <w:numId w:val="29"/>
              </w:numPr>
              <w:ind w:left="1140"/>
            </w:pPr>
            <w:r w:rsidRPr="004D57EB">
              <w:t>Describes at what scale the technology has been successfully demonstrated, including size or capacity, number of previous installations, location and duration, results, etc.</w:t>
            </w:r>
          </w:p>
          <w:p w14:paraId="4625A7F7" w14:textId="417B0DDC" w:rsidR="00CD6E61" w:rsidRPr="004D57EB" w:rsidRDefault="00CD6E61" w:rsidP="00D6111C">
            <w:pPr>
              <w:numPr>
                <w:ilvl w:val="0"/>
                <w:numId w:val="29"/>
              </w:numPr>
              <w:ind w:left="1140"/>
            </w:pPr>
            <w:r w:rsidRPr="004D57EB">
              <w:t>Describes how the proposed demonstration will lead to increased adoption of the technology in California</w:t>
            </w:r>
            <w:r w:rsidR="00CD240A" w:rsidRPr="004D57EB">
              <w:t xml:space="preserve"> to include:</w:t>
            </w:r>
          </w:p>
          <w:p w14:paraId="15AD5A19" w14:textId="7FAEB8FF" w:rsidR="00CD240A" w:rsidRPr="004D57EB" w:rsidRDefault="3540128E" w:rsidP="00D6111C">
            <w:pPr>
              <w:numPr>
                <w:ilvl w:val="3"/>
                <w:numId w:val="121"/>
              </w:numPr>
              <w:ind w:left="1500"/>
            </w:pPr>
            <w:r w:rsidRPr="004D57EB">
              <w:t>S</w:t>
            </w:r>
            <w:r w:rsidR="00C94C35" w:rsidRPr="004D57EB">
              <w:t>trategies</w:t>
            </w:r>
            <w:r w:rsidR="00C94C35" w:rsidRPr="004D57EB">
              <w:rPr>
                <w:bCs/>
              </w:rPr>
              <w:t xml:space="preserve"> </w:t>
            </w:r>
            <w:r w:rsidR="71A1E7B4" w:rsidRPr="004D57EB">
              <w:t xml:space="preserve">that </w:t>
            </w:r>
            <w:r w:rsidR="00C94C35" w:rsidRPr="004D57EB">
              <w:rPr>
                <w:bCs/>
              </w:rPr>
              <w:t xml:space="preserve">can be employed to replicate and scale the proposed project across other essential </w:t>
            </w:r>
            <w:r w:rsidR="003E5AE6" w:rsidRPr="004D57EB">
              <w:rPr>
                <w:bCs/>
              </w:rPr>
              <w:t xml:space="preserve">substation/distribution </w:t>
            </w:r>
            <w:r w:rsidR="00C94C35" w:rsidRPr="004D57EB">
              <w:rPr>
                <w:bCs/>
              </w:rPr>
              <w:t>circuit</w:t>
            </w:r>
            <w:r w:rsidR="00730108" w:rsidRPr="004D57EB">
              <w:rPr>
                <w:bCs/>
              </w:rPr>
              <w:t>(</w:t>
            </w:r>
            <w:r w:rsidR="00C94C35" w:rsidRPr="004D57EB">
              <w:rPr>
                <w:bCs/>
              </w:rPr>
              <w:t>s</w:t>
            </w:r>
            <w:r w:rsidR="00730108" w:rsidRPr="004D57EB">
              <w:t>)</w:t>
            </w:r>
            <w:r w:rsidR="695FA28E" w:rsidRPr="004D57EB">
              <w:t>.</w:t>
            </w:r>
          </w:p>
          <w:p w14:paraId="75BCD431" w14:textId="65F5E414" w:rsidR="00CD6E61" w:rsidRPr="00E06B81" w:rsidRDefault="00E06B81" w:rsidP="00D6111C">
            <w:pPr>
              <w:numPr>
                <w:ilvl w:val="0"/>
                <w:numId w:val="29"/>
              </w:numPr>
              <w:ind w:left="1140"/>
            </w:pPr>
            <w:r w:rsidRPr="004D57EB">
              <w:t>Provides information described in Section I.C.</w:t>
            </w:r>
            <w:r w:rsidRPr="004D57EB" w:rsidDel="007209AC">
              <w:t xml:space="preserve"> </w:t>
            </w:r>
          </w:p>
        </w:tc>
        <w:tc>
          <w:tcPr>
            <w:tcW w:w="1342" w:type="dxa"/>
          </w:tcPr>
          <w:p w14:paraId="68253FE7" w14:textId="47BCC84A" w:rsidR="00CD6E61" w:rsidRPr="00616F23" w:rsidRDefault="00CD6E61" w:rsidP="00D6111C">
            <w:pPr>
              <w:spacing w:before="120"/>
              <w:rPr>
                <w:b/>
              </w:rPr>
            </w:pPr>
            <w:r w:rsidRPr="00616F23">
              <w:rPr>
                <w:b/>
              </w:rPr>
              <w:t>15</w:t>
            </w:r>
          </w:p>
        </w:tc>
      </w:tr>
      <w:tr w:rsidR="00913C50" w:rsidRPr="00616F23" w14:paraId="3B428C3F" w14:textId="77777777" w:rsidTr="00C03AF1">
        <w:trPr>
          <w:cantSplit/>
        </w:trPr>
        <w:tc>
          <w:tcPr>
            <w:tcW w:w="8362" w:type="dxa"/>
          </w:tcPr>
          <w:p w14:paraId="06F9EFAD" w14:textId="77777777" w:rsidR="00913C50" w:rsidRPr="004D57EB" w:rsidRDefault="00913C50" w:rsidP="00D6111C">
            <w:pPr>
              <w:numPr>
                <w:ilvl w:val="0"/>
                <w:numId w:val="63"/>
              </w:numPr>
              <w:spacing w:before="120"/>
              <w:rPr>
                <w:rFonts w:cs="Times New Roman"/>
                <w:b/>
                <w:bCs/>
                <w:smallCaps/>
              </w:rPr>
            </w:pPr>
            <w:r w:rsidRPr="004D57EB">
              <w:rPr>
                <w:b/>
              </w:rPr>
              <w:lastRenderedPageBreak/>
              <w:t xml:space="preserve">Technical Approach </w:t>
            </w:r>
          </w:p>
          <w:p w14:paraId="36A20845" w14:textId="3F811A3E" w:rsidR="0040539D" w:rsidRPr="004D57EB" w:rsidRDefault="00913C50" w:rsidP="00D6111C">
            <w:pPr>
              <w:numPr>
                <w:ilvl w:val="0"/>
                <w:numId w:val="100"/>
              </w:numPr>
              <w:ind w:left="1140"/>
            </w:pPr>
            <w:r w:rsidRPr="004D57EB">
              <w:t>The application describes the technique, approach, and methods to be used in performing the work described in the Scope of Work</w:t>
            </w:r>
            <w:r w:rsidR="00A1386D" w:rsidRPr="004D57EB">
              <w:t xml:space="preserve">, </w:t>
            </w:r>
            <w:r w:rsidR="0040539D" w:rsidRPr="004D57EB">
              <w:t>includ</w:t>
            </w:r>
            <w:r w:rsidR="00A1386D" w:rsidRPr="004D57EB">
              <w:t>ing</w:t>
            </w:r>
            <w:r w:rsidR="0040539D" w:rsidRPr="004D57EB">
              <w:t>:</w:t>
            </w:r>
          </w:p>
          <w:p w14:paraId="6CCF7301" w14:textId="63495165" w:rsidR="008D4106" w:rsidRPr="004D57EB" w:rsidRDefault="008D4106" w:rsidP="00D6111C">
            <w:pPr>
              <w:numPr>
                <w:ilvl w:val="1"/>
                <w:numId w:val="122"/>
              </w:numPr>
              <w:ind w:left="1500"/>
            </w:pPr>
            <w:r w:rsidRPr="004D57EB">
              <w:rPr>
                <w:b/>
                <w:bCs/>
              </w:rPr>
              <w:t xml:space="preserve">Utility Integration Plan: </w:t>
            </w:r>
            <w:r w:rsidRPr="004D57EB">
              <w:t>Describes</w:t>
            </w:r>
            <w:r w:rsidR="00A64A35" w:rsidRPr="004D57EB">
              <w:t xml:space="preserve"> the plan to </w:t>
            </w:r>
            <w:r w:rsidR="00407F16" w:rsidRPr="004D57EB">
              <w:t>integrate with relevant IOU systems, including DERMS platforms, to enable real-time coordination and delivery of distribution-level grid services.</w:t>
            </w:r>
            <w:r w:rsidR="002E1C91" w:rsidRPr="004D57EB">
              <w:t xml:space="preserve"> The plan should address:</w:t>
            </w:r>
          </w:p>
          <w:p w14:paraId="2E59A297" w14:textId="26A4EF2A" w:rsidR="002E4F17" w:rsidRPr="004D57EB" w:rsidRDefault="00954797" w:rsidP="00D6111C">
            <w:pPr>
              <w:numPr>
                <w:ilvl w:val="2"/>
                <w:numId w:val="122"/>
              </w:numPr>
              <w:ind w:left="1860"/>
            </w:pPr>
            <w:r w:rsidRPr="004D57EB">
              <w:t xml:space="preserve">How </w:t>
            </w:r>
            <w:r w:rsidR="002E4F17" w:rsidRPr="004D57EB">
              <w:t>the applicant will access the necessary utility data and operational constraints</w:t>
            </w:r>
          </w:p>
          <w:p w14:paraId="3FBF537F" w14:textId="2077F45A" w:rsidR="002E4F17" w:rsidRPr="004D57EB" w:rsidRDefault="002E4F17" w:rsidP="00D6111C">
            <w:pPr>
              <w:numPr>
                <w:ilvl w:val="2"/>
                <w:numId w:val="122"/>
              </w:numPr>
              <w:ind w:left="1860"/>
            </w:pPr>
            <w:r w:rsidRPr="004D57EB">
              <w:t>How the VPP will exchange control signals with the IOU</w:t>
            </w:r>
          </w:p>
          <w:p w14:paraId="29F30468" w14:textId="34E5EF39" w:rsidR="002E4F17" w:rsidRPr="004D57EB" w:rsidRDefault="002E4F17" w:rsidP="00D6111C">
            <w:pPr>
              <w:numPr>
                <w:ilvl w:val="2"/>
                <w:numId w:val="122"/>
              </w:numPr>
              <w:ind w:left="1860"/>
            </w:pPr>
            <w:r w:rsidRPr="004D57EB">
              <w:t>Any existing or planned agreements with the IOU to support integration</w:t>
            </w:r>
          </w:p>
          <w:p w14:paraId="6AFCD861" w14:textId="74171EF7" w:rsidR="002E4F17" w:rsidRPr="004D57EB" w:rsidRDefault="002E4F17" w:rsidP="00D6111C">
            <w:pPr>
              <w:numPr>
                <w:ilvl w:val="2"/>
                <w:numId w:val="122"/>
              </w:numPr>
              <w:ind w:left="1860"/>
            </w:pPr>
            <w:r w:rsidRPr="004D57EB">
              <w:t>How the applicant will validate VPP performance in coordination with the IOU</w:t>
            </w:r>
          </w:p>
          <w:p w14:paraId="2B321B8C" w14:textId="3D9DE10D" w:rsidR="00F66DC3" w:rsidRPr="004D57EB" w:rsidRDefault="00F66DC3" w:rsidP="00D6111C">
            <w:pPr>
              <w:numPr>
                <w:ilvl w:val="1"/>
                <w:numId w:val="122"/>
              </w:numPr>
              <w:ind w:left="1500"/>
            </w:pPr>
            <w:r w:rsidRPr="004D57EB">
              <w:rPr>
                <w:b/>
                <w:bCs/>
              </w:rPr>
              <w:t>Technical Features:</w:t>
            </w:r>
            <w:r w:rsidRPr="004D57EB">
              <w:t xml:space="preserve"> Describe</w:t>
            </w:r>
            <w:r w:rsidR="003902B6" w:rsidRPr="004D57EB">
              <w:t>s</w:t>
            </w:r>
            <w:r w:rsidRPr="004D57EB">
              <w:t xml:space="preserve"> the proposed VPP</w:t>
            </w:r>
            <w:r w:rsidR="00207536" w:rsidRPr="004D57EB">
              <w:t>(</w:t>
            </w:r>
            <w:r w:rsidR="000B547E" w:rsidRPr="004D57EB">
              <w:t>s</w:t>
            </w:r>
            <w:r w:rsidR="00207536" w:rsidRPr="004D57EB">
              <w:t>)</w:t>
            </w:r>
            <w:r w:rsidRPr="004D57EB">
              <w:t>, including the controls and communications and the ability for DSO</w:t>
            </w:r>
            <w:r w:rsidR="000B547E" w:rsidRPr="004D57EB">
              <w:t>s</w:t>
            </w:r>
            <w:r w:rsidRPr="004D57EB">
              <w:t xml:space="preserve"> to optimize IBDERs to provide distribution-level grid services</w:t>
            </w:r>
            <w:r w:rsidR="00AA0A7B" w:rsidRPr="004D57EB">
              <w:t>.</w:t>
            </w:r>
          </w:p>
          <w:p w14:paraId="3D6C6157" w14:textId="5906E88F" w:rsidR="00913C50" w:rsidRPr="004D57EB" w:rsidRDefault="002F68B3" w:rsidP="00D6111C">
            <w:pPr>
              <w:numPr>
                <w:ilvl w:val="1"/>
                <w:numId w:val="122"/>
              </w:numPr>
              <w:ind w:left="1500"/>
            </w:pPr>
            <w:r w:rsidRPr="004D57EB">
              <w:rPr>
                <w:b/>
              </w:rPr>
              <w:t>Participation Model:</w:t>
            </w:r>
            <w:r w:rsidRPr="004D57EB">
              <w:t xml:space="preserve"> Describe</w:t>
            </w:r>
            <w:r w:rsidR="003902B6" w:rsidRPr="004D57EB">
              <w:t>s</w:t>
            </w:r>
            <w:r w:rsidRPr="004D57EB">
              <w:t xml:space="preserve"> the participation model (e.g</w:t>
            </w:r>
            <w:r w:rsidR="46F5080E" w:rsidRPr="004D57EB">
              <w:t>.</w:t>
            </w:r>
            <w:r w:rsidR="59864AEC" w:rsidRPr="004D57EB">
              <w:t>,</w:t>
            </w:r>
            <w:r w:rsidRPr="004D57EB">
              <w:t xml:space="preserve"> utility-led, aggregator-drivel model, hybrid) for managing the aggregations of IBDERs</w:t>
            </w:r>
            <w:r w:rsidR="000241AE" w:rsidRPr="004D57EB">
              <w:t xml:space="preserve"> </w:t>
            </w:r>
            <w:r w:rsidR="00951828" w:rsidRPr="004D57EB">
              <w:t>and the plan for coordinating with the IOUs/DSOs</w:t>
            </w:r>
            <w:r w:rsidR="00252730" w:rsidRPr="004D57EB">
              <w:t>.</w:t>
            </w:r>
          </w:p>
          <w:p w14:paraId="745B60FC" w14:textId="37245BC4" w:rsidR="00252730" w:rsidRPr="004D57EB" w:rsidRDefault="009277C8" w:rsidP="00D6111C">
            <w:pPr>
              <w:numPr>
                <w:ilvl w:val="1"/>
                <w:numId w:val="122"/>
              </w:numPr>
              <w:ind w:left="1500"/>
            </w:pPr>
            <w:r w:rsidRPr="004D57EB">
              <w:rPr>
                <w:b/>
              </w:rPr>
              <w:t>Targeted Substation or Circuit(s):</w:t>
            </w:r>
            <w:r w:rsidRPr="004D57EB">
              <w:rPr>
                <w:bCs/>
              </w:rPr>
              <w:t xml:space="preserve"> Provide</w:t>
            </w:r>
            <w:r w:rsidR="003902B6" w:rsidRPr="004D57EB">
              <w:rPr>
                <w:bCs/>
              </w:rPr>
              <w:t>s</w:t>
            </w:r>
            <w:r w:rsidRPr="004D57EB">
              <w:rPr>
                <w:bCs/>
              </w:rPr>
              <w:t xml:space="preserve"> a specific substation or distribution circuit(s) that will be targeted for the demonstration. Why was the substation/distribution circuit(s) selected? What potential grid services </w:t>
            </w:r>
            <w:r w:rsidR="37322A25" w:rsidRPr="004D57EB">
              <w:t xml:space="preserve">needed by the substation/distribution circuit(s) </w:t>
            </w:r>
            <w:r w:rsidRPr="004D57EB">
              <w:rPr>
                <w:bCs/>
              </w:rPr>
              <w:t xml:space="preserve">can </w:t>
            </w:r>
            <w:r w:rsidR="46C65060" w:rsidRPr="004D57EB">
              <w:t>the VPP</w:t>
            </w:r>
            <w:r w:rsidR="008249E2" w:rsidRPr="004D57EB">
              <w:t>(s)</w:t>
            </w:r>
            <w:r w:rsidRPr="004D57EB">
              <w:rPr>
                <w:bCs/>
              </w:rPr>
              <w:t xml:space="preserve"> provide</w:t>
            </w:r>
            <w:r w:rsidR="00252730" w:rsidRPr="004D57EB">
              <w:rPr>
                <w:bCs/>
              </w:rPr>
              <w:t>?</w:t>
            </w:r>
          </w:p>
          <w:p w14:paraId="66804444" w14:textId="35A4ABE1" w:rsidR="00252730" w:rsidRPr="004D57EB" w:rsidRDefault="00252730" w:rsidP="00D6111C">
            <w:pPr>
              <w:numPr>
                <w:ilvl w:val="1"/>
                <w:numId w:val="122"/>
              </w:numPr>
              <w:ind w:left="1500"/>
            </w:pPr>
            <w:r w:rsidRPr="004D57EB">
              <w:rPr>
                <w:b/>
              </w:rPr>
              <w:t>Enrollment:</w:t>
            </w:r>
            <w:r w:rsidRPr="004D57EB">
              <w:rPr>
                <w:bCs/>
              </w:rPr>
              <w:t xml:space="preserve"> Provide</w:t>
            </w:r>
            <w:r w:rsidR="003902B6" w:rsidRPr="004D57EB">
              <w:rPr>
                <w:bCs/>
              </w:rPr>
              <w:t>s</w:t>
            </w:r>
            <w:r w:rsidRPr="004D57EB">
              <w:rPr>
                <w:bCs/>
              </w:rPr>
              <w:t xml:space="preserve"> information on the process of developing its strategy to acquire customers</w:t>
            </w:r>
            <w:r w:rsidR="009277C8" w:rsidRPr="004D57EB">
              <w:rPr>
                <w:bCs/>
              </w:rPr>
              <w:t>.</w:t>
            </w:r>
          </w:p>
          <w:p w14:paraId="37CEE73E" w14:textId="0962947C" w:rsidR="00252730" w:rsidRPr="004D57EB" w:rsidRDefault="00C47E08" w:rsidP="00D6111C">
            <w:pPr>
              <w:numPr>
                <w:ilvl w:val="1"/>
                <w:numId w:val="122"/>
              </w:numPr>
              <w:ind w:left="1500"/>
            </w:pPr>
            <w:r w:rsidRPr="004D57EB">
              <w:rPr>
                <w:b/>
                <w:bCs/>
              </w:rPr>
              <w:t>Size of Proposed System:</w:t>
            </w:r>
            <w:r w:rsidRPr="004D57EB">
              <w:t xml:space="preserve"> </w:t>
            </w:r>
            <w:r w:rsidR="00D42E04" w:rsidRPr="004D57EB">
              <w:t>D</w:t>
            </w:r>
            <w:r w:rsidRPr="004D57EB">
              <w:t>escribe</w:t>
            </w:r>
            <w:r w:rsidR="003902B6" w:rsidRPr="004D57EB">
              <w:t>s</w:t>
            </w:r>
            <w:r w:rsidRPr="004D57EB">
              <w:t xml:space="preserve"> the target number of IBDERs, the amount of generation capacity (kW), storage capacity (kWh), and the number and location of buildings involved</w:t>
            </w:r>
            <w:r w:rsidR="009277C8" w:rsidRPr="004D57EB">
              <w:t>.</w:t>
            </w:r>
          </w:p>
          <w:p w14:paraId="01DF27DE" w14:textId="77777777" w:rsidR="00913C50" w:rsidRPr="004D57EB" w:rsidRDefault="00913C50" w:rsidP="00D6111C">
            <w:pPr>
              <w:numPr>
                <w:ilvl w:val="0"/>
                <w:numId w:val="100"/>
              </w:numPr>
              <w:ind w:left="1140"/>
            </w:pPr>
            <w:r w:rsidRPr="004D57EB">
              <w:t>The Scope of Work identifies goals, objectives, and deliverables, details the work to be performed, and aligns with the information presented in Project Narrative.</w:t>
            </w:r>
          </w:p>
          <w:p w14:paraId="69091A48" w14:textId="77777777" w:rsidR="00913C50" w:rsidRPr="004D57EB" w:rsidRDefault="00913C50" w:rsidP="00D6111C">
            <w:pPr>
              <w:numPr>
                <w:ilvl w:val="0"/>
                <w:numId w:val="100"/>
              </w:numPr>
              <w:ind w:left="1140"/>
            </w:pPr>
            <w:r w:rsidRPr="004D57EB">
              <w:t>The application identifies the reliability that the project and site recommendations as described will be carried out if funds are awarded.</w:t>
            </w:r>
          </w:p>
          <w:p w14:paraId="1D422390" w14:textId="3BCC3072" w:rsidR="00913C50" w:rsidRPr="004D57EB" w:rsidRDefault="00913C50" w:rsidP="00D6111C">
            <w:pPr>
              <w:numPr>
                <w:ilvl w:val="0"/>
                <w:numId w:val="100"/>
              </w:numPr>
              <w:ind w:left="1140"/>
            </w:pPr>
            <w:r w:rsidRPr="004D57EB">
              <w:t>Identifies and discusses factors critical for success, in addition to risks, barriers, and limitations (e.g.</w:t>
            </w:r>
            <w:r w:rsidR="56F9934B" w:rsidRPr="004D57EB">
              <w:t>,</w:t>
            </w:r>
            <w:r w:rsidRPr="004D57EB">
              <w:t xml:space="preserve"> loss of demonstration site, key subrecipient).  Provides a plan to address them. </w:t>
            </w:r>
          </w:p>
          <w:p w14:paraId="0D5B08E8" w14:textId="77777777" w:rsidR="00913C50" w:rsidRPr="004D57EB" w:rsidRDefault="00913C50" w:rsidP="00D6111C">
            <w:pPr>
              <w:numPr>
                <w:ilvl w:val="0"/>
                <w:numId w:val="100"/>
              </w:numPr>
              <w:ind w:left="1140"/>
            </w:pPr>
            <w:r w:rsidRPr="004D57EB">
              <w:t>Discusses the degree to which the proposed work is technically feasible and achievable within the proposed Project Schedule and the key activities schedule in Section I.E.</w:t>
            </w:r>
          </w:p>
          <w:p w14:paraId="323992B7" w14:textId="2BBA7295" w:rsidR="00913C50" w:rsidRPr="004D57EB" w:rsidRDefault="00913C50" w:rsidP="00D6111C">
            <w:pPr>
              <w:numPr>
                <w:ilvl w:val="0"/>
                <w:numId w:val="100"/>
              </w:numPr>
              <w:ind w:left="1140"/>
            </w:pPr>
            <w:r w:rsidRPr="004D57EB">
              <w:lastRenderedPageBreak/>
              <w:t>Describes the technology transfer plan to assess and advance the commercial viability of the technology.</w:t>
            </w:r>
          </w:p>
          <w:p w14:paraId="32EF7662" w14:textId="77777777" w:rsidR="00913C50" w:rsidRPr="004D57EB" w:rsidRDefault="00913C50" w:rsidP="00D6111C">
            <w:pPr>
              <w:numPr>
                <w:ilvl w:val="0"/>
                <w:numId w:val="100"/>
              </w:numPr>
              <w:ind w:left="1140"/>
            </w:pPr>
            <w:r w:rsidRPr="004D57EB">
              <w:t>Provides a clear and plausible measurement and verification plan that describes how energy savings and other benefits specified in the application will be determined and measured.</w:t>
            </w:r>
          </w:p>
          <w:p w14:paraId="279D5ED3" w14:textId="77777777" w:rsidR="00913C50" w:rsidRPr="004D57EB" w:rsidRDefault="00913C50" w:rsidP="00D6111C">
            <w:pPr>
              <w:numPr>
                <w:ilvl w:val="0"/>
                <w:numId w:val="100"/>
              </w:numPr>
              <w:ind w:left="1140"/>
              <w:rPr>
                <w:rFonts w:cs="Times New Roman"/>
                <w:b/>
                <w:smallCaps/>
              </w:rPr>
            </w:pPr>
            <w:r w:rsidRPr="004D57EB">
              <w:t>Provides information documenting progress towards achieving compliance with the California Environmental Quality Act (CEQA) by addressing the areas in Section I.I and Section III.C.7.</w:t>
            </w:r>
          </w:p>
          <w:p w14:paraId="570F9A05" w14:textId="095C23A6" w:rsidR="00913C50" w:rsidRPr="004D57EB" w:rsidRDefault="00DB66C3" w:rsidP="00D6111C">
            <w:pPr>
              <w:numPr>
                <w:ilvl w:val="0"/>
                <w:numId w:val="100"/>
              </w:numPr>
              <w:ind w:left="1140"/>
              <w:rPr>
                <w:rFonts w:cs="Times New Roman"/>
                <w:b/>
                <w:smallCaps/>
              </w:rPr>
            </w:pPr>
            <w:r w:rsidRPr="004D57EB">
              <w:t>Provides information described in Section I.C</w:t>
            </w:r>
            <w:r w:rsidR="00921A12" w:rsidRPr="004D57EB">
              <w:t>.</w:t>
            </w:r>
            <w:r w:rsidRPr="004D57EB" w:rsidDel="00520068">
              <w:t xml:space="preserve"> </w:t>
            </w:r>
          </w:p>
        </w:tc>
        <w:tc>
          <w:tcPr>
            <w:tcW w:w="1342" w:type="dxa"/>
          </w:tcPr>
          <w:p w14:paraId="27EB817E" w14:textId="77777777" w:rsidR="00913C50" w:rsidRPr="00616F23" w:rsidRDefault="00913C50" w:rsidP="00D6111C">
            <w:pPr>
              <w:spacing w:before="120"/>
              <w:rPr>
                <w:b/>
              </w:rPr>
            </w:pPr>
            <w:r w:rsidRPr="00616F23">
              <w:rPr>
                <w:b/>
              </w:rPr>
              <w:lastRenderedPageBreak/>
              <w:t>25</w:t>
            </w:r>
          </w:p>
          <w:p w14:paraId="0C9495C6" w14:textId="77777777" w:rsidR="00913C50" w:rsidRPr="00616F23" w:rsidRDefault="00913C50" w:rsidP="00D6111C">
            <w:pPr>
              <w:spacing w:before="120"/>
              <w:rPr>
                <w:b/>
              </w:rPr>
            </w:pPr>
          </w:p>
        </w:tc>
      </w:tr>
      <w:tr w:rsidR="00616F23" w:rsidRPr="00616F23" w14:paraId="5BFD93C5" w14:textId="77777777" w:rsidTr="00C03AF1">
        <w:trPr>
          <w:cantSplit/>
          <w:trHeight w:val="422"/>
        </w:trPr>
        <w:tc>
          <w:tcPr>
            <w:tcW w:w="8362" w:type="dxa"/>
          </w:tcPr>
          <w:p w14:paraId="7DEECFA7" w14:textId="77777777" w:rsidR="00616F23" w:rsidRPr="004D57EB" w:rsidRDefault="00616F23" w:rsidP="00D6111C">
            <w:pPr>
              <w:numPr>
                <w:ilvl w:val="0"/>
                <w:numId w:val="63"/>
              </w:numPr>
              <w:spacing w:before="120"/>
              <w:rPr>
                <w:rFonts w:cs="Times New Roman"/>
                <w:b/>
                <w:bCs/>
                <w:smallCaps/>
              </w:rPr>
            </w:pPr>
            <w:bookmarkStart w:id="242" w:name="_Toc366671203"/>
            <w:r w:rsidRPr="004D57EB">
              <w:rPr>
                <w:b/>
              </w:rPr>
              <w:t>Impacts and Benefits for California</w:t>
            </w:r>
            <w:bookmarkEnd w:id="242"/>
            <w:r w:rsidRPr="004D57EB">
              <w:rPr>
                <w:b/>
              </w:rPr>
              <w:t xml:space="preserve"> IOU Ratepayers </w:t>
            </w:r>
          </w:p>
          <w:p w14:paraId="39D1E45B" w14:textId="4D1EED86" w:rsidR="00616F23" w:rsidRPr="004D57EB" w:rsidRDefault="00616F23" w:rsidP="00D6111C">
            <w:pPr>
              <w:numPr>
                <w:ilvl w:val="0"/>
                <w:numId w:val="31"/>
              </w:numPr>
              <w:spacing w:after="60"/>
              <w:ind w:left="1140"/>
            </w:pPr>
            <w:r w:rsidRPr="004D57EB">
              <w:t xml:space="preserve">Explains how the proposed project will benefit California Investor-Owned Utility (IOU) ratepayers and provides clear, plausible, and justifiable (quantitative preferred) potential benefits. </w:t>
            </w:r>
            <w:r w:rsidR="3F3F6B1F" w:rsidRPr="004D57EB">
              <w:t>Estimates the non-energy benefits such as emissions reductions, localized health impacts, infrastructure resiliency, cost reduction, and increased safety.</w:t>
            </w:r>
            <w:r w:rsidR="73F2594E" w:rsidRPr="004D57EB">
              <w:t xml:space="preserve"> </w:t>
            </w:r>
            <w:r w:rsidRPr="004D57EB">
              <w:t xml:space="preserve">Estimates the energy benefits including: </w:t>
            </w:r>
          </w:p>
          <w:p w14:paraId="560D013D" w14:textId="095CB784" w:rsidR="003D0FC6" w:rsidRPr="004D57EB" w:rsidRDefault="003D0FC6" w:rsidP="00D6111C">
            <w:pPr>
              <w:numPr>
                <w:ilvl w:val="1"/>
                <w:numId w:val="53"/>
              </w:numPr>
              <w:spacing w:after="60"/>
            </w:pPr>
            <w:r w:rsidRPr="004D57EB">
              <w:t>Distribution-level power quality services such as frequency and voltage support</w:t>
            </w:r>
            <w:r w:rsidR="00F81B30" w:rsidRPr="004D57EB">
              <w:t>.</w:t>
            </w:r>
          </w:p>
          <w:p w14:paraId="5B291A63" w14:textId="05BDC2D2" w:rsidR="00525A21" w:rsidRPr="004D57EB" w:rsidRDefault="00525A21" w:rsidP="00D6111C">
            <w:pPr>
              <w:numPr>
                <w:ilvl w:val="1"/>
                <w:numId w:val="53"/>
              </w:numPr>
              <w:spacing w:after="60"/>
            </w:pPr>
            <w:r w:rsidRPr="004D57EB">
              <w:t>Congestion management such as deferring distribution upgrades, increasing solar hosting capacity, and increasing EV charging capacity.</w:t>
            </w:r>
          </w:p>
          <w:p w14:paraId="2013C4C0" w14:textId="0D363EA2" w:rsidR="00616F23" w:rsidRPr="004D57EB" w:rsidRDefault="002F179E" w:rsidP="00D6111C">
            <w:pPr>
              <w:numPr>
                <w:ilvl w:val="1"/>
                <w:numId w:val="53"/>
              </w:numPr>
              <w:spacing w:after="60"/>
            </w:pPr>
            <w:r w:rsidRPr="004D57EB">
              <w:t>Wholesale market participation such as peak load reduction.</w:t>
            </w:r>
          </w:p>
          <w:p w14:paraId="316FC4E7" w14:textId="77777777" w:rsidR="00616F23" w:rsidRPr="004D57EB" w:rsidRDefault="00616F23" w:rsidP="00D6111C">
            <w:pPr>
              <w:numPr>
                <w:ilvl w:val="0"/>
                <w:numId w:val="31"/>
              </w:numPr>
              <w:spacing w:after="60"/>
              <w:ind w:left="1140"/>
            </w:pPr>
            <w:r w:rsidRPr="004D57EB">
              <w:t xml:space="preserve">States the timeframe, assumptions with sources, and calculations for the estimated benefits, and explains their reasonableness. Include baseline or “business as usual” over timeframe. </w:t>
            </w:r>
          </w:p>
          <w:p w14:paraId="1DB1EDCF" w14:textId="395F8FDE" w:rsidR="00616F23" w:rsidRPr="004D57EB" w:rsidRDefault="00616F23" w:rsidP="00D6111C">
            <w:pPr>
              <w:numPr>
                <w:ilvl w:val="0"/>
                <w:numId w:val="31"/>
              </w:numPr>
              <w:spacing w:after="60"/>
              <w:ind w:left="1140"/>
            </w:pPr>
            <w:r w:rsidRPr="004D57EB">
              <w:t>Explains the path-to-market strategy including near-term (i.e</w:t>
            </w:r>
            <w:r w:rsidR="73F2594E" w:rsidRPr="004D57EB">
              <w:t>.</w:t>
            </w:r>
            <w:r w:rsidR="0E9CD68D" w:rsidRPr="004D57EB">
              <w:t>,</w:t>
            </w:r>
            <w:r w:rsidRPr="004D57EB">
              <w:t xml:space="preserve"> initial target markets), mid-term, and long-term markets for the technology, size and penetration or deployment rates, and underlying assumptions.</w:t>
            </w:r>
          </w:p>
          <w:p w14:paraId="7A9C8222" w14:textId="0D8C71E1" w:rsidR="00616F23" w:rsidRPr="004D57EB" w:rsidRDefault="00616F23" w:rsidP="00D6111C">
            <w:pPr>
              <w:numPr>
                <w:ilvl w:val="0"/>
                <w:numId w:val="31"/>
              </w:numPr>
              <w:spacing w:after="60"/>
              <w:ind w:left="1140"/>
            </w:pPr>
            <w:r w:rsidRPr="004D57EB">
              <w:t>Identifies the expected financial performance (e.g</w:t>
            </w:r>
            <w:r w:rsidR="73F2594E" w:rsidRPr="004D57EB">
              <w:t>.</w:t>
            </w:r>
            <w:r w:rsidR="16C51F01" w:rsidRPr="004D57EB">
              <w:t>,</w:t>
            </w:r>
            <w:r w:rsidRPr="004D57EB">
              <w:t xml:space="preserve"> payback period, </w:t>
            </w:r>
            <w:r w:rsidR="73F2594E" w:rsidRPr="004D57EB">
              <w:t>R</w:t>
            </w:r>
            <w:r w:rsidR="6C9D56D4" w:rsidRPr="004D57EB">
              <w:t xml:space="preserve">eturn on </w:t>
            </w:r>
            <w:r w:rsidR="73F2594E" w:rsidRPr="004D57EB">
              <w:t>I</w:t>
            </w:r>
            <w:r w:rsidR="41B99438" w:rsidRPr="004D57EB">
              <w:t>nvestment</w:t>
            </w:r>
            <w:r w:rsidRPr="004D57EB">
              <w:t xml:space="preserve">) of the demonstration at scale. </w:t>
            </w:r>
          </w:p>
          <w:p w14:paraId="577E2910" w14:textId="21785BB2" w:rsidR="001F343F" w:rsidRPr="004D57EB" w:rsidRDefault="00B935D8" w:rsidP="00D6111C">
            <w:pPr>
              <w:numPr>
                <w:ilvl w:val="1"/>
                <w:numId w:val="31"/>
              </w:numPr>
              <w:spacing w:after="60"/>
              <w:ind w:left="1500"/>
            </w:pPr>
            <w:r w:rsidRPr="004D57EB">
              <w:t xml:space="preserve">Discuss </w:t>
            </w:r>
            <w:r w:rsidR="295A1DB5" w:rsidRPr="004D57EB">
              <w:t xml:space="preserve">whether and </w:t>
            </w:r>
            <w:r w:rsidRPr="004D57EB">
              <w:t>how the proposed VPP</w:t>
            </w:r>
            <w:r w:rsidR="008249E2" w:rsidRPr="004D57EB">
              <w:t>(s)</w:t>
            </w:r>
            <w:r w:rsidRPr="004D57EB">
              <w:t xml:space="preserve"> will remain operational and continue delivering grid support services beyond the agreement term if the research provided confirms its cost-effectiveness.</w:t>
            </w:r>
          </w:p>
          <w:p w14:paraId="11482DE3" w14:textId="0492D0C6" w:rsidR="00FF1E8E" w:rsidRPr="004D57EB" w:rsidRDefault="00616F23" w:rsidP="00D6111C">
            <w:pPr>
              <w:pStyle w:val="ListParagraph"/>
              <w:numPr>
                <w:ilvl w:val="0"/>
                <w:numId w:val="31"/>
              </w:numPr>
              <w:spacing w:after="60"/>
              <w:ind w:left="1140"/>
            </w:pPr>
            <w:r w:rsidRPr="004D57EB">
              <w:t xml:space="preserve">Identifies the specific programs </w:t>
            </w:r>
            <w:r w:rsidR="034428D1" w:rsidRPr="004D57EB">
              <w:t>that</w:t>
            </w:r>
            <w:r w:rsidRPr="004D57EB">
              <w:t xml:space="preserve"> the technology intends to leverage </w:t>
            </w:r>
            <w:r w:rsidRPr="004D57EB">
              <w:rPr>
                <w:i/>
              </w:rPr>
              <w:t>(e.g</w:t>
            </w:r>
            <w:r w:rsidR="73F2594E" w:rsidRPr="004D57EB">
              <w:rPr>
                <w:i/>
                <w:iCs/>
              </w:rPr>
              <w:t>.</w:t>
            </w:r>
            <w:r w:rsidR="27BF55BF" w:rsidRPr="004D57EB">
              <w:rPr>
                <w:i/>
                <w:iCs/>
              </w:rPr>
              <w:t>,</w:t>
            </w:r>
            <w:r w:rsidRPr="004D57EB">
              <w:rPr>
                <w:i/>
              </w:rPr>
              <w:t xml:space="preserve"> IOU rebates</w:t>
            </w:r>
            <w:r w:rsidR="00A77ED5" w:rsidRPr="004D57EB">
              <w:rPr>
                <w:i/>
              </w:rPr>
              <w:t>/incentives</w:t>
            </w:r>
            <w:r w:rsidRPr="004D57EB">
              <w:rPr>
                <w:i/>
              </w:rPr>
              <w:t>, demand response,</w:t>
            </w:r>
            <w:r w:rsidR="00F21180" w:rsidRPr="004D57EB">
              <w:rPr>
                <w:i/>
              </w:rPr>
              <w:t xml:space="preserve"> time-of-use optimization, resilience and backup power</w:t>
            </w:r>
            <w:r w:rsidR="00F7477B" w:rsidRPr="004D57EB">
              <w:rPr>
                <w:i/>
              </w:rPr>
              <w:t>, electrification in</w:t>
            </w:r>
            <w:r w:rsidR="0006326F" w:rsidRPr="004D57EB">
              <w:rPr>
                <w:i/>
              </w:rPr>
              <w:t>i</w:t>
            </w:r>
            <w:r w:rsidR="00F7477B" w:rsidRPr="004D57EB">
              <w:rPr>
                <w:i/>
              </w:rPr>
              <w:t>tiatives</w:t>
            </w:r>
            <w:r w:rsidRPr="004D57EB">
              <w:rPr>
                <w:i/>
              </w:rPr>
              <w:t>) and extent to which technology meets program requirements.</w:t>
            </w:r>
          </w:p>
        </w:tc>
        <w:tc>
          <w:tcPr>
            <w:tcW w:w="1342" w:type="dxa"/>
          </w:tcPr>
          <w:p w14:paraId="19152A1F" w14:textId="77777777" w:rsidR="00616F23" w:rsidRPr="00616F23" w:rsidRDefault="00616F23" w:rsidP="00D6111C">
            <w:pPr>
              <w:spacing w:before="120"/>
            </w:pPr>
            <w:r w:rsidRPr="00616F23">
              <w:rPr>
                <w:b/>
              </w:rPr>
              <w:t>20</w:t>
            </w:r>
          </w:p>
        </w:tc>
      </w:tr>
      <w:tr w:rsidR="00616F23" w:rsidRPr="00616F23" w14:paraId="7C1D615A" w14:textId="77777777" w:rsidTr="00C03AF1">
        <w:trPr>
          <w:cantSplit/>
          <w:trHeight w:val="1052"/>
        </w:trPr>
        <w:tc>
          <w:tcPr>
            <w:tcW w:w="8362" w:type="dxa"/>
          </w:tcPr>
          <w:p w14:paraId="2A1AC25C" w14:textId="77777777" w:rsidR="00616F23" w:rsidRPr="004D57EB" w:rsidRDefault="00616F23" w:rsidP="00D6111C">
            <w:pPr>
              <w:numPr>
                <w:ilvl w:val="0"/>
                <w:numId w:val="63"/>
              </w:numPr>
              <w:spacing w:before="120"/>
              <w:rPr>
                <w:rFonts w:cs="Times New Roman"/>
                <w:b/>
                <w:bCs/>
                <w:smallCaps/>
              </w:rPr>
            </w:pPr>
            <w:bookmarkStart w:id="243" w:name="_Toc366671205"/>
            <w:r w:rsidRPr="004D57EB">
              <w:rPr>
                <w:b/>
              </w:rPr>
              <w:lastRenderedPageBreak/>
              <w:t>Team Qualifications, Capabilities, and Resources</w:t>
            </w:r>
            <w:bookmarkEnd w:id="243"/>
          </w:p>
          <w:p w14:paraId="5F9F1C6F" w14:textId="658F4EB1" w:rsidR="00616F23" w:rsidRPr="004D57EB" w:rsidRDefault="00616F23" w:rsidP="00D6111C">
            <w:pPr>
              <w:ind w:left="720"/>
            </w:pPr>
            <w:r w:rsidRPr="004D57EB">
              <w:t xml:space="preserve">Evaluations of ongoing or previous projects </w:t>
            </w:r>
            <w:r w:rsidR="00467B48" w:rsidRPr="004D57EB">
              <w:t xml:space="preserve">including project performance </w:t>
            </w:r>
            <w:r w:rsidR="00F600DC" w:rsidRPr="004D57EB">
              <w:t xml:space="preserve">by applicant and team members </w:t>
            </w:r>
            <w:r w:rsidRPr="004D57EB">
              <w:t>will be used in scoring for this criterion.</w:t>
            </w:r>
            <w:r w:rsidR="004849ED" w:rsidRPr="004D57EB">
              <w:t xml:space="preserve"> </w:t>
            </w:r>
          </w:p>
          <w:p w14:paraId="7612C66E" w14:textId="78C08D0C" w:rsidR="00616F23" w:rsidRPr="004D57EB" w:rsidRDefault="00616F23" w:rsidP="00D6111C">
            <w:pPr>
              <w:numPr>
                <w:ilvl w:val="0"/>
                <w:numId w:val="32"/>
              </w:numPr>
              <w:ind w:left="1140"/>
            </w:pPr>
            <w:r w:rsidRPr="004D57EB">
              <w:t xml:space="preserve">Identifies credentials of </w:t>
            </w:r>
            <w:r w:rsidR="003A445B" w:rsidRPr="004D57EB">
              <w:t>applicant</w:t>
            </w:r>
            <w:r w:rsidRPr="004D57EB">
              <w:t xml:space="preserve"> and any sub</w:t>
            </w:r>
            <w:r w:rsidR="00A01B6B" w:rsidRPr="004D57EB">
              <w:t>recipient and sub-subrecipient</w:t>
            </w:r>
            <w:r w:rsidRPr="004D57EB">
              <w:t xml:space="preserve"> key personnel, including the project manager, principal investigator and technology and knowledge transfer lead </w:t>
            </w:r>
            <w:r w:rsidRPr="004D57EB">
              <w:rPr>
                <w:i/>
              </w:rPr>
              <w:t>(include this information in the Project Team Form</w:t>
            </w:r>
            <w:r w:rsidR="005E4AB4" w:rsidRPr="004D57EB">
              <w:rPr>
                <w:i/>
              </w:rPr>
              <w:t xml:space="preserve"> Attachment</w:t>
            </w:r>
            <w:r w:rsidRPr="004D57EB">
              <w:rPr>
                <w:i/>
              </w:rPr>
              <w:t>).</w:t>
            </w:r>
          </w:p>
          <w:p w14:paraId="495370AF" w14:textId="4BB96A04" w:rsidR="00616F23" w:rsidRPr="004D57EB" w:rsidRDefault="00616F23" w:rsidP="00D6111C">
            <w:pPr>
              <w:numPr>
                <w:ilvl w:val="0"/>
                <w:numId w:val="32"/>
              </w:numPr>
              <w:ind w:left="1140"/>
            </w:pPr>
            <w:r w:rsidRPr="004D57EB">
              <w:t xml:space="preserve">Demonstrates that the project team </w:t>
            </w:r>
            <w:r w:rsidRPr="004D57EB">
              <w:rPr>
                <w:i/>
              </w:rPr>
              <w:t xml:space="preserve">including </w:t>
            </w:r>
            <w:r w:rsidR="70E1D757" w:rsidRPr="004D57EB">
              <w:rPr>
                <w:i/>
                <w:iCs/>
              </w:rPr>
              <w:t xml:space="preserve">the </w:t>
            </w:r>
            <w:r w:rsidRPr="004D57EB">
              <w:rPr>
                <w:i/>
              </w:rPr>
              <w:t>Community</w:t>
            </w:r>
            <w:r w:rsidR="0E030AB7" w:rsidRPr="004D57EB">
              <w:rPr>
                <w:i/>
                <w:iCs/>
              </w:rPr>
              <w:t>-</w:t>
            </w:r>
            <w:r w:rsidRPr="004D57EB">
              <w:rPr>
                <w:i/>
              </w:rPr>
              <w:t>Based Organization</w:t>
            </w:r>
            <w:r w:rsidR="2BD33B7B" w:rsidRPr="004D57EB">
              <w:rPr>
                <w:i/>
                <w:iCs/>
              </w:rPr>
              <w:t>(s)</w:t>
            </w:r>
            <w:r w:rsidRPr="004D57EB">
              <w:t xml:space="preserve"> has appropriate qualifications, experience, financial stability and capability to complete the project.</w:t>
            </w:r>
          </w:p>
          <w:p w14:paraId="2116B3D5" w14:textId="77777777" w:rsidR="00616F23" w:rsidRPr="004D57EB" w:rsidRDefault="00616F23" w:rsidP="00D6111C">
            <w:pPr>
              <w:numPr>
                <w:ilvl w:val="0"/>
                <w:numId w:val="32"/>
              </w:numPr>
              <w:ind w:left="1140"/>
            </w:pPr>
            <w:r w:rsidRPr="004D57EB">
              <w:t>Explains the team structure and how various tasks will be managed and coordinated.</w:t>
            </w:r>
          </w:p>
          <w:p w14:paraId="7EFDA613" w14:textId="77777777" w:rsidR="00616F23" w:rsidRPr="004D57EB" w:rsidRDefault="00616F23" w:rsidP="00D6111C">
            <w:pPr>
              <w:numPr>
                <w:ilvl w:val="0"/>
                <w:numId w:val="32"/>
              </w:numPr>
              <w:ind w:left="1140"/>
            </w:pPr>
            <w:r w:rsidRPr="004D57EB">
              <w:t>Describes the facilities, infrastructure, and resources available that directly support the project.</w:t>
            </w:r>
          </w:p>
          <w:p w14:paraId="63D933D7" w14:textId="77777777" w:rsidR="00616F23" w:rsidRPr="004D57EB" w:rsidRDefault="00616F23" w:rsidP="00D6111C">
            <w:pPr>
              <w:numPr>
                <w:ilvl w:val="0"/>
                <w:numId w:val="32"/>
              </w:numPr>
              <w:ind w:left="1140"/>
            </w:pPr>
            <w:r w:rsidRPr="004D57EB">
              <w:t>Describes the team’s history of successfully completing projects in the past 10 years including subsequent deployments and commercialization.</w:t>
            </w:r>
          </w:p>
        </w:tc>
        <w:tc>
          <w:tcPr>
            <w:tcW w:w="1342" w:type="dxa"/>
          </w:tcPr>
          <w:p w14:paraId="1EA6B293" w14:textId="77777777" w:rsidR="00616F23" w:rsidRPr="004D57EB" w:rsidRDefault="00616F23" w:rsidP="00D6111C">
            <w:pPr>
              <w:spacing w:before="60" w:after="0"/>
              <w:rPr>
                <w:b/>
              </w:rPr>
            </w:pPr>
            <w:r w:rsidRPr="004D57EB">
              <w:rPr>
                <w:b/>
              </w:rPr>
              <w:t>15</w:t>
            </w:r>
          </w:p>
        </w:tc>
      </w:tr>
      <w:tr w:rsidR="00616F23" w:rsidRPr="00616F23" w14:paraId="451B9CE8" w14:textId="77777777" w:rsidTr="00C03AF1">
        <w:trPr>
          <w:cantSplit/>
          <w:trHeight w:val="485"/>
        </w:trPr>
        <w:tc>
          <w:tcPr>
            <w:tcW w:w="8362" w:type="dxa"/>
            <w:shd w:val="clear" w:color="auto" w:fill="D9D9D9" w:themeFill="background1" w:themeFillShade="D9"/>
          </w:tcPr>
          <w:p w14:paraId="0E2CC37E" w14:textId="05832368" w:rsidR="00616F23" w:rsidRPr="00616F23" w:rsidRDefault="00616F23" w:rsidP="00D6111C">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D6111C">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D6111C">
            <w:pPr>
              <w:spacing w:after="0"/>
              <w:rPr>
                <w:b/>
              </w:rPr>
            </w:pPr>
          </w:p>
          <w:p w14:paraId="234910F0" w14:textId="19EE34B6" w:rsidR="00616F23" w:rsidRPr="00616F23" w:rsidRDefault="00B70183" w:rsidP="00D6111C">
            <w:pPr>
              <w:rPr>
                <w:b/>
              </w:rPr>
            </w:pPr>
            <w:r>
              <w:rPr>
                <w:b/>
              </w:rPr>
              <w:t>75</w:t>
            </w:r>
          </w:p>
        </w:tc>
      </w:tr>
      <w:tr w:rsidR="00616F23" w:rsidRPr="00616F23" w14:paraId="0E076536" w14:textId="77777777" w:rsidTr="00C03AF1">
        <w:trPr>
          <w:cantSplit/>
        </w:trPr>
        <w:tc>
          <w:tcPr>
            <w:tcW w:w="8362" w:type="dxa"/>
            <w:tcBorders>
              <w:bottom w:val="single" w:sz="4" w:space="0" w:color="auto"/>
            </w:tcBorders>
          </w:tcPr>
          <w:p w14:paraId="4F5F4254" w14:textId="77777777" w:rsidR="00616F23" w:rsidRPr="00616F23" w:rsidRDefault="00616F23" w:rsidP="00D6111C">
            <w:pPr>
              <w:numPr>
                <w:ilvl w:val="0"/>
                <w:numId w:val="63"/>
              </w:numPr>
              <w:spacing w:before="120"/>
              <w:rPr>
                <w:rFonts w:cs="Times New Roman"/>
                <w:b/>
                <w:bCs/>
                <w:smallCaps/>
              </w:rPr>
            </w:pPr>
            <w:r w:rsidRPr="00616F23">
              <w:rPr>
                <w:b/>
              </w:rPr>
              <w:t>Budget and Cost-Effectiveness</w:t>
            </w:r>
          </w:p>
          <w:p w14:paraId="14806663" w14:textId="4F83086F" w:rsidR="00616F23" w:rsidRPr="00616F23" w:rsidRDefault="00616F23" w:rsidP="00D6111C">
            <w:pPr>
              <w:numPr>
                <w:ilvl w:val="0"/>
                <w:numId w:val="33"/>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D6111C">
            <w:pPr>
              <w:numPr>
                <w:ilvl w:val="0"/>
                <w:numId w:val="33"/>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D6111C">
            <w:pPr>
              <w:numPr>
                <w:ilvl w:val="0"/>
                <w:numId w:val="33"/>
              </w:numPr>
              <w:spacing w:before="120" w:after="0"/>
              <w:ind w:left="1140"/>
            </w:pPr>
            <w:r w:rsidRPr="00616F23">
              <w:t xml:space="preserve">Justifies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D6111C">
            <w:pPr>
              <w:numPr>
                <w:ilvl w:val="0"/>
                <w:numId w:val="33"/>
              </w:numPr>
              <w:spacing w:before="120"/>
              <w:ind w:left="1138"/>
            </w:pPr>
            <w:r w:rsidRPr="00616F23">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D6111C">
            <w:pPr>
              <w:numPr>
                <w:ilvl w:val="0"/>
                <w:numId w:val="33"/>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D6111C">
            <w:pPr>
              <w:numPr>
                <w:ilvl w:val="0"/>
                <w:numId w:val="33"/>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D6111C">
            <w:pPr>
              <w:spacing w:before="120"/>
              <w:rPr>
                <w:b/>
              </w:rPr>
            </w:pPr>
            <w:r w:rsidRPr="00616F23">
              <w:rPr>
                <w:b/>
              </w:rPr>
              <w:t>10</w:t>
            </w:r>
          </w:p>
        </w:tc>
      </w:tr>
      <w:tr w:rsidR="00616F23" w:rsidRPr="00616F23" w14:paraId="2634BEF4" w14:textId="77777777" w:rsidTr="00C03AF1">
        <w:trPr>
          <w:cantSplit/>
        </w:trPr>
        <w:tc>
          <w:tcPr>
            <w:tcW w:w="8362" w:type="dxa"/>
            <w:tcBorders>
              <w:top w:val="single" w:sz="4" w:space="0" w:color="auto"/>
              <w:bottom w:val="single" w:sz="4" w:space="0" w:color="auto"/>
            </w:tcBorders>
          </w:tcPr>
          <w:p w14:paraId="4CC292F2" w14:textId="77777777" w:rsidR="00616F23" w:rsidRPr="00616F23" w:rsidRDefault="00616F23" w:rsidP="00D6111C">
            <w:pPr>
              <w:numPr>
                <w:ilvl w:val="0"/>
                <w:numId w:val="63"/>
              </w:numPr>
              <w:spacing w:before="120"/>
              <w:rPr>
                <w:rFonts w:cs="Times New Roman"/>
                <w:b/>
                <w:bCs/>
                <w:smallCaps/>
              </w:rPr>
            </w:pPr>
            <w:r w:rsidRPr="00616F23">
              <w:rPr>
                <w:b/>
              </w:rPr>
              <w:lastRenderedPageBreak/>
              <w:t>CEC Funds Spent in California</w:t>
            </w:r>
          </w:p>
          <w:p w14:paraId="5F8C2EF2" w14:textId="3066FC35" w:rsidR="00616F23" w:rsidRPr="00616F23" w:rsidRDefault="00616F23" w:rsidP="00D6111C">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D6111C">
            <w:pPr>
              <w:tabs>
                <w:tab w:val="left" w:pos="1170"/>
              </w:tabs>
              <w:autoSpaceDE w:val="0"/>
              <w:autoSpaceDN w:val="0"/>
              <w:adjustRightInd w:val="0"/>
              <w:spacing w:after="0"/>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D6111C">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493E0F0D"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D6111C">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D6111C">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D6111C">
            <w:pPr>
              <w:spacing w:before="120"/>
              <w:rPr>
                <w:b/>
              </w:rPr>
            </w:pPr>
            <w:r w:rsidRPr="00616F23">
              <w:rPr>
                <w:b/>
              </w:rPr>
              <w:t>10</w:t>
            </w:r>
          </w:p>
        </w:tc>
      </w:tr>
      <w:tr w:rsidR="00616F23" w:rsidRPr="00616F23" w14:paraId="5C7435AF" w14:textId="77777777" w:rsidTr="00C03AF1">
        <w:trPr>
          <w:cantSplit/>
        </w:trPr>
        <w:tc>
          <w:tcPr>
            <w:tcW w:w="8362" w:type="dxa"/>
            <w:tcBorders>
              <w:top w:val="single" w:sz="4" w:space="0" w:color="auto"/>
              <w:bottom w:val="nil"/>
            </w:tcBorders>
          </w:tcPr>
          <w:p w14:paraId="508E4FE3" w14:textId="77777777" w:rsidR="00616F23" w:rsidRPr="00616F23" w:rsidRDefault="00616F23" w:rsidP="00D6111C">
            <w:pPr>
              <w:numPr>
                <w:ilvl w:val="0"/>
                <w:numId w:val="63"/>
              </w:numPr>
              <w:spacing w:before="120"/>
              <w:rPr>
                <w:rFonts w:cs="Times New Roman"/>
                <w:b/>
                <w:bCs/>
                <w:smallCaps/>
              </w:rPr>
            </w:pPr>
            <w:r w:rsidRPr="00616F23">
              <w:rPr>
                <w:b/>
              </w:rPr>
              <w:t>Ratio of Direct Labor to Indirect Costs</w:t>
            </w:r>
          </w:p>
          <w:p w14:paraId="7E9B889C" w14:textId="77777777" w:rsidR="00616F23" w:rsidRPr="00616F23" w:rsidRDefault="00616F23" w:rsidP="00D6111C">
            <w:pPr>
              <w:spacing w:before="120"/>
              <w:ind w:left="330"/>
            </w:pPr>
            <w:r w:rsidRPr="00616F23">
              <w:t>The score for this criterion will be calculated by the following formula:</w:t>
            </w:r>
          </w:p>
          <w:bookmarkStart w:id="244" w:name="_Hlk176351599"/>
          <w:p w14:paraId="0F8A3DF4" w14:textId="77777777" w:rsidR="00616F23" w:rsidRPr="00616F23" w:rsidRDefault="00000000" w:rsidP="00D6111C">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44"/>
          </w:p>
          <w:p w14:paraId="45776A58" w14:textId="77777777" w:rsidR="00616F23" w:rsidRPr="00616F23" w:rsidRDefault="00616F23" w:rsidP="00D6111C">
            <w:pPr>
              <w:spacing w:before="120"/>
              <w:ind w:left="330"/>
            </w:pPr>
            <w:r w:rsidRPr="00616F23">
              <w:br/>
              <w:t>This ratio will then be multiplied by the maximum possible points for this criterion and rounded to two decimal places.</w:t>
            </w:r>
          </w:p>
          <w:p w14:paraId="11378E5C" w14:textId="5842A87B" w:rsidR="00616F23" w:rsidRPr="00616F23" w:rsidRDefault="00616F23" w:rsidP="00D6111C">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D6111C">
            <w:pPr>
              <w:spacing w:before="120"/>
              <w:rPr>
                <w:b/>
              </w:rPr>
            </w:pPr>
            <w:r w:rsidRPr="00616F23">
              <w:rPr>
                <w:b/>
              </w:rPr>
              <w:t>5</w:t>
            </w:r>
          </w:p>
        </w:tc>
      </w:tr>
      <w:tr w:rsidR="00616F23" w:rsidRPr="00616F23" w14:paraId="5C7EE7A9" w14:textId="77777777" w:rsidTr="00C03AF1">
        <w:trPr>
          <w:cantSplit/>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D6111C">
            <w:pPr>
              <w:spacing w:before="120" w:after="0"/>
              <w:rPr>
                <w:b/>
              </w:rPr>
            </w:pPr>
            <w:r w:rsidRPr="00616F23">
              <w:rPr>
                <w:b/>
              </w:rPr>
              <w:t>Total Possible Points</w:t>
            </w:r>
            <w:r w:rsidR="002228F9">
              <w:rPr>
                <w:b/>
              </w:rPr>
              <w:t xml:space="preserve"> </w:t>
            </w:r>
            <w:r w:rsidR="002228F9" w:rsidRPr="002228F9">
              <w:rPr>
                <w:b/>
              </w:rPr>
              <w:t>for Criteria 1-7</w:t>
            </w:r>
          </w:p>
          <w:p w14:paraId="32AA563E" w14:textId="72BCCFBF" w:rsidR="00ED68F1" w:rsidRPr="00616F23" w:rsidRDefault="00616F23" w:rsidP="00D6111C">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D6111C">
            <w:pPr>
              <w:spacing w:after="0"/>
              <w:rPr>
                <w:b/>
              </w:rPr>
            </w:pPr>
          </w:p>
          <w:p w14:paraId="6B274495" w14:textId="477FCD44" w:rsidR="00616F23" w:rsidRPr="00616F23" w:rsidRDefault="00616F23" w:rsidP="00D6111C">
            <w:pPr>
              <w:rPr>
                <w:b/>
              </w:rPr>
            </w:pPr>
            <w:r w:rsidRPr="00616F23">
              <w:rPr>
                <w:b/>
              </w:rPr>
              <w:t>1</w:t>
            </w:r>
            <w:r w:rsidR="007079BC">
              <w:rPr>
                <w:b/>
              </w:rPr>
              <w:t>00</w:t>
            </w:r>
          </w:p>
        </w:tc>
      </w:tr>
      <w:tr w:rsidR="00616F23" w:rsidRPr="00616F23" w14:paraId="2437E81D" w14:textId="77777777" w:rsidTr="00C03AF1">
        <w:trPr>
          <w:cantSplit/>
          <w:trHeight w:val="647"/>
        </w:trPr>
        <w:tc>
          <w:tcPr>
            <w:tcW w:w="8362" w:type="dxa"/>
          </w:tcPr>
          <w:p w14:paraId="26E1D26A" w14:textId="2BD617FC" w:rsidR="00616F23" w:rsidRPr="00F5012E" w:rsidRDefault="00616F23" w:rsidP="00D6111C">
            <w:pPr>
              <w:keepNext/>
              <w:numPr>
                <w:ilvl w:val="0"/>
                <w:numId w:val="63"/>
              </w:numPr>
              <w:spacing w:before="120"/>
              <w:rPr>
                <w:b/>
                <w:szCs w:val="22"/>
              </w:rPr>
            </w:pPr>
            <w:r w:rsidRPr="00F5012E">
              <w:rPr>
                <w:b/>
                <w:szCs w:val="22"/>
              </w:rPr>
              <w:lastRenderedPageBreak/>
              <w:t>Benefits to Disadvantaged/Low-Income Communities and Localized Health Impacts</w:t>
            </w:r>
          </w:p>
        </w:tc>
        <w:tc>
          <w:tcPr>
            <w:tcW w:w="1342" w:type="dxa"/>
          </w:tcPr>
          <w:p w14:paraId="4051FBDB" w14:textId="77777777" w:rsidR="00616F23" w:rsidRPr="00616F23" w:rsidRDefault="00616F23" w:rsidP="00D6111C">
            <w:pPr>
              <w:keepNext/>
              <w:spacing w:before="120" w:after="0"/>
              <w:rPr>
                <w:b/>
              </w:rPr>
            </w:pPr>
          </w:p>
        </w:tc>
      </w:tr>
      <w:tr w:rsidR="00616F23" w:rsidRPr="00616F23" w14:paraId="40220E93" w14:textId="77777777" w:rsidTr="00C03AF1">
        <w:trPr>
          <w:cantSplit/>
          <w:trHeight w:val="4007"/>
        </w:trPr>
        <w:tc>
          <w:tcPr>
            <w:tcW w:w="8362" w:type="dxa"/>
          </w:tcPr>
          <w:p w14:paraId="0FD05510" w14:textId="2BF54E49" w:rsidR="00616F23" w:rsidRPr="00F5012E" w:rsidRDefault="000138B2" w:rsidP="00D6111C">
            <w:pPr>
              <w:spacing w:before="60"/>
              <w:ind w:left="790" w:hanging="450"/>
              <w:rPr>
                <w:szCs w:val="22"/>
              </w:rPr>
            </w:pPr>
            <w:r w:rsidRPr="00F5012E">
              <w:rPr>
                <w:szCs w:val="22"/>
              </w:rPr>
              <w:t>8</w:t>
            </w:r>
            <w:r w:rsidR="00943E11" w:rsidRPr="00F5012E">
              <w:rPr>
                <w:szCs w:val="22"/>
              </w:rPr>
              <w:t xml:space="preserve">.1 </w:t>
            </w:r>
            <w:r w:rsidR="00616F23" w:rsidRPr="00F5012E">
              <w:rPr>
                <w:szCs w:val="22"/>
              </w:rPr>
              <w:t>Benefits to Disadvantaged/Low-Income Communities</w:t>
            </w:r>
          </w:p>
          <w:p w14:paraId="465C06F3" w14:textId="77777777" w:rsidR="00616F23" w:rsidRPr="00F5012E" w:rsidRDefault="00616F23" w:rsidP="00D6111C">
            <w:pPr>
              <w:numPr>
                <w:ilvl w:val="0"/>
                <w:numId w:val="64"/>
              </w:numPr>
              <w:spacing w:before="60"/>
              <w:rPr>
                <w:szCs w:val="22"/>
              </w:rPr>
            </w:pPr>
            <w:r w:rsidRPr="00F5012E">
              <w:rPr>
                <w:szCs w:val="22"/>
              </w:rPr>
              <w:t>Identifies and describes the energy and economic needs of the community based on project location, and what steps the applicant has taken to identify those needs.</w:t>
            </w:r>
          </w:p>
          <w:p w14:paraId="538384B3" w14:textId="77777777" w:rsidR="00616F23" w:rsidRPr="00F5012E" w:rsidRDefault="00616F23" w:rsidP="00D6111C">
            <w:pPr>
              <w:numPr>
                <w:ilvl w:val="0"/>
                <w:numId w:val="64"/>
              </w:numPr>
              <w:spacing w:before="60"/>
              <w:rPr>
                <w:szCs w:val="22"/>
              </w:rPr>
            </w:pPr>
            <w:r w:rsidRPr="00F5012E">
              <w:rPr>
                <w:szCs w:val="22"/>
              </w:rPr>
              <w:t>Identifies and describes how the project will increase access to clean energy or sustainability technologies for the local community.</w:t>
            </w:r>
            <w:r w:rsidRPr="00F5012E" w:rsidDel="00DF4610">
              <w:rPr>
                <w:szCs w:val="22"/>
              </w:rPr>
              <w:t xml:space="preserve"> </w:t>
            </w:r>
          </w:p>
          <w:p w14:paraId="77869A7F" w14:textId="77777777" w:rsidR="00616F23" w:rsidRPr="00F5012E" w:rsidRDefault="00616F23" w:rsidP="00D6111C">
            <w:pPr>
              <w:numPr>
                <w:ilvl w:val="0"/>
                <w:numId w:val="64"/>
              </w:numPr>
              <w:spacing w:before="60"/>
              <w:rPr>
                <w:szCs w:val="22"/>
              </w:rPr>
            </w:pPr>
            <w:r w:rsidRPr="00F5012E">
              <w:rPr>
                <w:szCs w:val="22"/>
              </w:rPr>
              <w:t>Identifies and describes how the proposed project will improve opportunities for economic impact including customer bill savings, job creation, collaborating and contracting with micro-, local, and small-businesses, economic development, and expanding community investment.</w:t>
            </w:r>
          </w:p>
          <w:p w14:paraId="4F373B77" w14:textId="38295E3A" w:rsidR="0066371B" w:rsidRPr="00F5012E" w:rsidRDefault="0066371B" w:rsidP="00D6111C">
            <w:pPr>
              <w:numPr>
                <w:ilvl w:val="0"/>
                <w:numId w:val="64"/>
              </w:numPr>
              <w:spacing w:before="60"/>
            </w:pPr>
            <w:r w:rsidRPr="00F5012E">
              <w:t>Identifies how the impacted community will be in engaged in project implementation.</w:t>
            </w:r>
          </w:p>
          <w:p w14:paraId="01E1E151" w14:textId="086F7531" w:rsidR="00616F23" w:rsidRPr="00F5012E" w:rsidRDefault="00616F23" w:rsidP="00D6111C">
            <w:pPr>
              <w:numPr>
                <w:ilvl w:val="0"/>
                <w:numId w:val="64"/>
              </w:numPr>
              <w:spacing w:before="60"/>
            </w:pPr>
            <w:r w:rsidRPr="00F5012E">
              <w:t>Identifies how the projects’ primary beneficiaries are residents of the identified disadvantaged/low</w:t>
            </w:r>
            <w:r w:rsidR="11D0CBAA" w:rsidRPr="00F5012E">
              <w:t>-</w:t>
            </w:r>
            <w:r w:rsidRPr="00F5012E">
              <w:t>income community(ies) and describes how they will directly benefit from the project outcomes.</w:t>
            </w:r>
          </w:p>
        </w:tc>
        <w:tc>
          <w:tcPr>
            <w:tcW w:w="1342" w:type="dxa"/>
          </w:tcPr>
          <w:p w14:paraId="518D988C" w14:textId="77777777" w:rsidR="00616F23" w:rsidRPr="00616F23" w:rsidRDefault="00616F23" w:rsidP="00D6111C">
            <w:pPr>
              <w:spacing w:before="60" w:after="0"/>
              <w:rPr>
                <w:color w:val="000000"/>
                <w:szCs w:val="22"/>
              </w:rPr>
            </w:pPr>
            <w:r w:rsidRPr="00616F23">
              <w:rPr>
                <w:color w:val="000000"/>
                <w:szCs w:val="22"/>
              </w:rPr>
              <w:t>15</w:t>
            </w:r>
          </w:p>
        </w:tc>
      </w:tr>
      <w:tr w:rsidR="00616F23" w:rsidRPr="00616F23" w14:paraId="1831AA6C" w14:textId="77777777" w:rsidTr="00C03AF1">
        <w:trPr>
          <w:cantSplit/>
          <w:trHeight w:val="2312"/>
        </w:trPr>
        <w:tc>
          <w:tcPr>
            <w:tcW w:w="8362" w:type="dxa"/>
          </w:tcPr>
          <w:p w14:paraId="7595F477" w14:textId="77777777" w:rsidR="00616F23" w:rsidRPr="00616F23" w:rsidRDefault="00616F23" w:rsidP="00D6111C">
            <w:pPr>
              <w:numPr>
                <w:ilvl w:val="1"/>
                <w:numId w:val="63"/>
              </w:numPr>
              <w:spacing w:before="60"/>
              <w:ind w:left="875" w:hanging="515"/>
              <w:rPr>
                <w:color w:val="000000"/>
                <w:szCs w:val="22"/>
              </w:rPr>
            </w:pPr>
            <w:r w:rsidRPr="00616F23">
              <w:rPr>
                <w:color w:val="000000"/>
                <w:szCs w:val="22"/>
              </w:rPr>
              <w:t>Community Engagement Efforts</w:t>
            </w:r>
          </w:p>
          <w:p w14:paraId="14D07BFC" w14:textId="77777777" w:rsidR="00616F23" w:rsidRPr="00616F23" w:rsidRDefault="00616F23" w:rsidP="00D6111C">
            <w:pPr>
              <w:numPr>
                <w:ilvl w:val="0"/>
                <w:numId w:val="73"/>
              </w:numPr>
              <w:spacing w:before="60"/>
              <w:rPr>
                <w:color w:val="000000"/>
                <w:szCs w:val="22"/>
              </w:rPr>
            </w:pPr>
            <w:r w:rsidRPr="00616F23">
              <w:rPr>
                <w:color w:val="000000"/>
                <w:szCs w:val="22"/>
              </w:rPr>
              <w:t>Identifies how community input was solicited and considered in the design of the project.</w:t>
            </w:r>
          </w:p>
          <w:p w14:paraId="1D3124AD" w14:textId="77777777" w:rsidR="00616F23" w:rsidRPr="00616F23" w:rsidRDefault="00616F23" w:rsidP="00D6111C">
            <w:pPr>
              <w:numPr>
                <w:ilvl w:val="0"/>
                <w:numId w:val="73"/>
              </w:numPr>
              <w:spacing w:before="60"/>
              <w:rPr>
                <w:color w:val="000000"/>
                <w:szCs w:val="22"/>
              </w:rPr>
            </w:pPr>
            <w:r w:rsidRPr="00616F23">
              <w:rPr>
                <w:color w:val="000000"/>
                <w:szCs w:val="22"/>
              </w:rPr>
              <w:t>Identifies and describes how the impacted community will be engaged in project implementation.</w:t>
            </w:r>
          </w:p>
          <w:p w14:paraId="3A0481E4" w14:textId="7294B3C8" w:rsidR="00407EB1" w:rsidRDefault="003F6C2B" w:rsidP="00D6111C">
            <w:pPr>
              <w:numPr>
                <w:ilvl w:val="0"/>
                <w:numId w:val="73"/>
              </w:numPr>
              <w:spacing w:before="60"/>
              <w:rPr>
                <w:color w:val="000000"/>
              </w:rPr>
            </w:pPr>
            <w:r w:rsidRPr="50016988">
              <w:rPr>
                <w:color w:val="000000" w:themeColor="text1"/>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616F23" w:rsidRDefault="00616F23" w:rsidP="00D6111C">
            <w:pPr>
              <w:numPr>
                <w:ilvl w:val="0"/>
                <w:numId w:val="73"/>
              </w:numPr>
              <w:spacing w:before="60"/>
              <w:rPr>
                <w:color w:val="000000"/>
                <w:szCs w:val="22"/>
              </w:rPr>
            </w:pPr>
            <w:r w:rsidRPr="00616F23">
              <w:rPr>
                <w:color w:val="000000"/>
                <w:szCs w:val="22"/>
              </w:rPr>
              <w:t>Identifies how the project, if successful, will build community capacity.</w:t>
            </w:r>
          </w:p>
        </w:tc>
        <w:tc>
          <w:tcPr>
            <w:tcW w:w="1342" w:type="dxa"/>
          </w:tcPr>
          <w:p w14:paraId="316C0612" w14:textId="77777777" w:rsidR="00616F23" w:rsidRPr="00616F23" w:rsidRDefault="00616F23" w:rsidP="00D6111C">
            <w:pPr>
              <w:spacing w:before="60" w:after="0"/>
              <w:rPr>
                <w:color w:val="000000"/>
                <w:szCs w:val="22"/>
              </w:rPr>
            </w:pPr>
            <w:r w:rsidRPr="00616F23">
              <w:rPr>
                <w:color w:val="000000"/>
                <w:szCs w:val="22"/>
              </w:rPr>
              <w:t>10</w:t>
            </w:r>
          </w:p>
        </w:tc>
      </w:tr>
      <w:tr w:rsidR="00616F23" w:rsidRPr="00616F23" w14:paraId="283E2AE5" w14:textId="77777777" w:rsidTr="00C03AF1">
        <w:trPr>
          <w:cantSplit/>
          <w:trHeight w:val="647"/>
        </w:trPr>
        <w:tc>
          <w:tcPr>
            <w:tcW w:w="8362" w:type="dxa"/>
          </w:tcPr>
          <w:p w14:paraId="4463A875" w14:textId="77777777" w:rsidR="00616F23" w:rsidRPr="00616F23" w:rsidRDefault="00616F23" w:rsidP="00D6111C">
            <w:pPr>
              <w:numPr>
                <w:ilvl w:val="1"/>
                <w:numId w:val="63"/>
              </w:numPr>
              <w:spacing w:before="60"/>
              <w:ind w:left="875" w:hanging="515"/>
              <w:rPr>
                <w:color w:val="000000"/>
                <w:szCs w:val="22"/>
              </w:rPr>
            </w:pPr>
            <w:r w:rsidRPr="00616F23">
              <w:rPr>
                <w:color w:val="000000"/>
                <w:szCs w:val="22"/>
              </w:rPr>
              <w:lastRenderedPageBreak/>
              <w:t>Localized Health Impacts</w:t>
            </w:r>
          </w:p>
          <w:p w14:paraId="3E426553" w14:textId="77777777" w:rsidR="00616F23" w:rsidRPr="00616F23" w:rsidRDefault="00616F23" w:rsidP="00D6111C">
            <w:pPr>
              <w:numPr>
                <w:ilvl w:val="0"/>
                <w:numId w:val="65"/>
              </w:numPr>
              <w:spacing w:before="60"/>
              <w:rPr>
                <w:color w:val="000000"/>
                <w:szCs w:val="22"/>
              </w:rPr>
            </w:pPr>
            <w:r w:rsidRPr="00616F23">
              <w:rPr>
                <w:color w:val="000000"/>
                <w:szCs w:val="22"/>
              </w:rPr>
              <w:t>Summarizes the potential localized health benefits and impacts of the proposed project and provides reasonable analysis and assumptions</w:t>
            </w:r>
            <w:r w:rsidR="00943E11">
              <w:rPr>
                <w:color w:val="000000"/>
                <w:szCs w:val="22"/>
              </w:rPr>
              <w:t xml:space="preserve"> </w:t>
            </w:r>
            <w:r w:rsidR="00943E11">
              <w:rPr>
                <w:color w:val="000000" w:themeColor="text1"/>
                <w:szCs w:val="22"/>
              </w:rPr>
              <w:t>to support the findings</w:t>
            </w:r>
            <w:r w:rsidRPr="00616F23">
              <w:rPr>
                <w:color w:val="000000"/>
                <w:szCs w:val="22"/>
              </w:rPr>
              <w:t>.</w:t>
            </w:r>
          </w:p>
          <w:p w14:paraId="1435EC4F" w14:textId="77777777" w:rsidR="00616F23" w:rsidRPr="00616F23" w:rsidRDefault="00616F23" w:rsidP="00D6111C">
            <w:pPr>
              <w:numPr>
                <w:ilvl w:val="0"/>
                <w:numId w:val="65"/>
              </w:numPr>
              <w:spacing w:before="60"/>
              <w:rPr>
                <w:color w:val="000000"/>
                <w:szCs w:val="22"/>
              </w:rPr>
            </w:pPr>
            <w:r w:rsidRPr="00616F23">
              <w:rPr>
                <w:color w:val="000000"/>
                <w:szCs w:val="22"/>
              </w:rPr>
              <w:t>Identifies how the proposed project will reduce or not otherwise impact the community’s exposure to pollutants and the adverse environmental conditions caused by pollution and/or climate change. If projects have no impacts in this criterion, provide justification for why impacts are neutral.</w:t>
            </w:r>
          </w:p>
          <w:p w14:paraId="73B74D4A" w14:textId="0209295D" w:rsidR="00616F23" w:rsidRPr="00616F23" w:rsidRDefault="00616F23" w:rsidP="00D6111C">
            <w:pPr>
              <w:numPr>
                <w:ilvl w:val="0"/>
                <w:numId w:val="65"/>
              </w:numPr>
              <w:spacing w:before="60"/>
              <w:rPr>
                <w:color w:val="000000"/>
                <w:szCs w:val="22"/>
              </w:rPr>
            </w:pPr>
            <w:r w:rsidRPr="00616F23">
              <w:rPr>
                <w:color w:val="000000"/>
                <w:szCs w:val="22"/>
              </w:rPr>
              <w:t xml:space="preserve">Identifies health-related Energy Equity indicators and/or health-related factors in CalEnviroscreen </w:t>
            </w:r>
            <w:r w:rsidR="00C43F0B">
              <w:rPr>
                <w:color w:val="000000"/>
                <w:szCs w:val="22"/>
              </w:rPr>
              <w:t>4</w:t>
            </w:r>
            <w:r w:rsidRPr="00616F23">
              <w:rPr>
                <w:color w:val="000000"/>
                <w:szCs w:val="22"/>
              </w:rPr>
              <w:t>.0</w:t>
            </w:r>
            <w:r w:rsidRPr="00616F23">
              <w:rPr>
                <w:rFonts w:cs="Times New Roman"/>
                <w:color w:val="000000"/>
                <w:szCs w:val="22"/>
                <w:vertAlign w:val="superscript"/>
              </w:rPr>
              <w:footnoteReference w:id="31"/>
            </w:r>
            <w:r w:rsidRPr="00616F23">
              <w:rPr>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616F23" w:rsidRDefault="00616F23" w:rsidP="00D6111C">
            <w:pPr>
              <w:spacing w:before="60" w:after="0"/>
              <w:rPr>
                <w:color w:val="000000"/>
                <w:szCs w:val="22"/>
              </w:rPr>
            </w:pPr>
            <w:r w:rsidRPr="00616F23">
              <w:rPr>
                <w:color w:val="000000"/>
                <w:szCs w:val="22"/>
              </w:rPr>
              <w:t>15</w:t>
            </w:r>
          </w:p>
        </w:tc>
      </w:tr>
      <w:tr w:rsidR="00616F23" w:rsidRPr="00616F23" w14:paraId="6675788D" w14:textId="77777777" w:rsidTr="00C03AF1">
        <w:trPr>
          <w:cantSplit/>
          <w:trHeight w:val="647"/>
        </w:trPr>
        <w:tc>
          <w:tcPr>
            <w:tcW w:w="8362" w:type="dxa"/>
          </w:tcPr>
          <w:p w14:paraId="7400659C" w14:textId="77777777" w:rsidR="00616F23" w:rsidRPr="00616F23" w:rsidRDefault="00616F23" w:rsidP="00D6111C">
            <w:pPr>
              <w:numPr>
                <w:ilvl w:val="1"/>
                <w:numId w:val="63"/>
              </w:numPr>
              <w:spacing w:before="60"/>
              <w:ind w:left="971" w:hanging="611"/>
              <w:rPr>
                <w:color w:val="000000"/>
                <w:szCs w:val="22"/>
              </w:rPr>
            </w:pPr>
            <w:r w:rsidRPr="00616F23">
              <w:rPr>
                <w:color w:val="000000"/>
                <w:szCs w:val="22"/>
              </w:rPr>
              <w:t>Technology Replicability</w:t>
            </w:r>
          </w:p>
          <w:p w14:paraId="4E470A61" w14:textId="77777777" w:rsidR="00616F23" w:rsidRPr="00616F23" w:rsidRDefault="00616F23" w:rsidP="00D6111C">
            <w:pPr>
              <w:numPr>
                <w:ilvl w:val="0"/>
                <w:numId w:val="71"/>
              </w:numPr>
              <w:spacing w:before="60"/>
              <w:rPr>
                <w:color w:val="000000"/>
                <w:szCs w:val="22"/>
              </w:rPr>
            </w:pPr>
            <w:r w:rsidRPr="00616F23">
              <w:rPr>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616F23" w:rsidRDefault="00616F23" w:rsidP="00D6111C">
            <w:pPr>
              <w:spacing w:before="60" w:after="0"/>
              <w:rPr>
                <w:color w:val="000000"/>
                <w:szCs w:val="22"/>
              </w:rPr>
            </w:pPr>
            <w:r w:rsidRPr="00616F23">
              <w:rPr>
                <w:color w:val="000000"/>
                <w:szCs w:val="22"/>
              </w:rPr>
              <w:t>5</w:t>
            </w:r>
          </w:p>
        </w:tc>
      </w:tr>
      <w:tr w:rsidR="00616F23" w:rsidRPr="00616F23" w14:paraId="0CF4FA96" w14:textId="77777777" w:rsidTr="00C03AF1">
        <w:trPr>
          <w:cantSplit/>
          <w:trHeight w:val="647"/>
        </w:trPr>
        <w:tc>
          <w:tcPr>
            <w:tcW w:w="8362" w:type="dxa"/>
          </w:tcPr>
          <w:p w14:paraId="439EAA97" w14:textId="77777777" w:rsidR="00616F23" w:rsidRPr="00616F23" w:rsidRDefault="00616F23" w:rsidP="00D6111C">
            <w:pPr>
              <w:numPr>
                <w:ilvl w:val="1"/>
                <w:numId w:val="63"/>
              </w:numPr>
              <w:spacing w:before="60"/>
              <w:ind w:left="971" w:hanging="611"/>
              <w:rPr>
                <w:color w:val="000000"/>
                <w:szCs w:val="22"/>
              </w:rPr>
            </w:pPr>
            <w:r w:rsidRPr="00616F23">
              <w:rPr>
                <w:color w:val="000000"/>
                <w:szCs w:val="22"/>
              </w:rPr>
              <w:t>Project Support Letters</w:t>
            </w:r>
          </w:p>
          <w:p w14:paraId="390335E0" w14:textId="712CC7A4" w:rsidR="00616F23" w:rsidRPr="00616F23" w:rsidRDefault="00943E11" w:rsidP="00D6111C">
            <w:pPr>
              <w:numPr>
                <w:ilvl w:val="0"/>
                <w:numId w:val="72"/>
              </w:numPr>
              <w:spacing w:before="60"/>
              <w:rPr>
                <w:color w:val="000000"/>
              </w:rPr>
            </w:pPr>
            <w:r w:rsidRPr="50016988">
              <w:rPr>
                <w:color w:val="000000" w:themeColor="text1"/>
              </w:rPr>
              <w:t>Includes letters of support from technology partners, community</w:t>
            </w:r>
            <w:r w:rsidR="45AB0FEE" w:rsidRPr="50016988">
              <w:rPr>
                <w:color w:val="000000" w:themeColor="text1"/>
              </w:rPr>
              <w:t>-</w:t>
            </w:r>
            <w:r w:rsidRPr="50016988">
              <w:rPr>
                <w:color w:val="000000" w:themeColor="text1"/>
              </w:rPr>
              <w:t>based organizations, environmental justice organizations, or other partners that demonstrate their belief that the proposed project will lead to increased equity, and is both feasible, and commercially viable in the identified low-income and/or disadvantaged community</w:t>
            </w:r>
            <w:r w:rsidR="00616F23" w:rsidRPr="50016988">
              <w:rPr>
                <w:color w:val="000000" w:themeColor="text1"/>
              </w:rPr>
              <w:t>.</w:t>
            </w:r>
          </w:p>
        </w:tc>
        <w:tc>
          <w:tcPr>
            <w:tcW w:w="1342" w:type="dxa"/>
          </w:tcPr>
          <w:p w14:paraId="4B36B61B" w14:textId="77777777" w:rsidR="00616F23" w:rsidRPr="00616F23" w:rsidRDefault="00616F23" w:rsidP="00D6111C">
            <w:pPr>
              <w:spacing w:before="60" w:after="0"/>
              <w:rPr>
                <w:color w:val="000000"/>
                <w:szCs w:val="22"/>
              </w:rPr>
            </w:pPr>
            <w:r w:rsidRPr="00616F23">
              <w:rPr>
                <w:color w:val="000000"/>
                <w:szCs w:val="22"/>
              </w:rPr>
              <w:t>5</w:t>
            </w:r>
          </w:p>
        </w:tc>
      </w:tr>
      <w:tr w:rsidR="00616F23" w:rsidRPr="00616F23" w14:paraId="7E8E4792" w14:textId="77777777" w:rsidTr="00C03AF1">
        <w:trPr>
          <w:cantSplit/>
          <w:trHeight w:val="647"/>
        </w:trPr>
        <w:tc>
          <w:tcPr>
            <w:tcW w:w="8362" w:type="dxa"/>
            <w:tcBorders>
              <w:bottom w:val="single" w:sz="4" w:space="0" w:color="auto"/>
            </w:tcBorders>
            <w:shd w:val="clear" w:color="auto" w:fill="D9D9D9" w:themeFill="background1" w:themeFillShade="D9"/>
          </w:tcPr>
          <w:p w14:paraId="2D3DF8A0" w14:textId="1AE83FD2" w:rsidR="00616F23" w:rsidRPr="00616F23" w:rsidRDefault="00616F23" w:rsidP="00D6111C">
            <w:pPr>
              <w:spacing w:before="60" w:after="0"/>
              <w:rPr>
                <w:b/>
              </w:rPr>
            </w:pPr>
            <w:r w:rsidRPr="00616F23">
              <w:rPr>
                <w:b/>
              </w:rPr>
              <w:t xml:space="preserve">Total Possible Points for </w:t>
            </w:r>
            <w:r w:rsidR="00A771B7">
              <w:rPr>
                <w:b/>
              </w:rPr>
              <w:t>C</w:t>
            </w:r>
            <w:r w:rsidRPr="00616F23">
              <w:rPr>
                <w:b/>
              </w:rPr>
              <w:t>riteri</w:t>
            </w:r>
            <w:r w:rsidR="00A771B7">
              <w:rPr>
                <w:b/>
              </w:rPr>
              <w:t>on</w:t>
            </w:r>
            <w:r w:rsidRPr="00616F23">
              <w:rPr>
                <w:b/>
              </w:rPr>
              <w:t xml:space="preserve"> </w:t>
            </w:r>
            <w:r w:rsidR="001F750D">
              <w:rPr>
                <w:b/>
              </w:rPr>
              <w:t>8</w:t>
            </w:r>
          </w:p>
          <w:p w14:paraId="3D77EB71" w14:textId="38BF1BD6" w:rsidR="00616F23" w:rsidRPr="00616F23" w:rsidRDefault="00616F23" w:rsidP="00D6111C">
            <w:pPr>
              <w:spacing w:before="60" w:after="60"/>
              <w:rPr>
                <w:b/>
                <w:szCs w:val="22"/>
                <w:highlight w:val="lightGray"/>
              </w:rPr>
            </w:pPr>
            <w:r w:rsidRPr="00616F23">
              <w:rPr>
                <w:b/>
              </w:rPr>
              <w:t>(Minimum Passing Score for Criteri</w:t>
            </w:r>
            <w:r w:rsidR="008C1535">
              <w:rPr>
                <w:b/>
              </w:rPr>
              <w:t>on</w:t>
            </w:r>
            <w:r w:rsidRPr="00616F23">
              <w:rPr>
                <w:b/>
              </w:rPr>
              <w:t xml:space="preserve"> </w:t>
            </w:r>
            <w:r w:rsidR="00C639F0">
              <w:rPr>
                <w:b/>
              </w:rPr>
              <w:t>8</w:t>
            </w:r>
            <w:r w:rsidRPr="00616F23">
              <w:rPr>
                <w:b/>
              </w:rPr>
              <w:t xml:space="preserve"> is 70% or 35.00 points)</w:t>
            </w:r>
          </w:p>
        </w:tc>
        <w:tc>
          <w:tcPr>
            <w:tcW w:w="1342" w:type="dxa"/>
            <w:tcBorders>
              <w:bottom w:val="single" w:sz="4" w:space="0" w:color="auto"/>
            </w:tcBorders>
            <w:shd w:val="clear" w:color="auto" w:fill="D9D9D9" w:themeFill="background1" w:themeFillShade="D9"/>
            <w:vAlign w:val="center"/>
          </w:tcPr>
          <w:p w14:paraId="3C90154F" w14:textId="77777777" w:rsidR="00616F23" w:rsidRPr="00616F23" w:rsidRDefault="00616F23" w:rsidP="00D6111C">
            <w:pPr>
              <w:spacing w:before="60" w:after="0"/>
              <w:rPr>
                <w:b/>
                <w:highlight w:val="lightGray"/>
              </w:rPr>
            </w:pPr>
            <w:r w:rsidRPr="00616F23">
              <w:rPr>
                <w:b/>
                <w:highlight w:val="lightGray"/>
              </w:rPr>
              <w:t>50</w:t>
            </w:r>
          </w:p>
        </w:tc>
      </w:tr>
      <w:tr w:rsidR="00616F23" w:rsidRPr="00616F23" w14:paraId="74C3D832" w14:textId="77777777" w:rsidTr="00C03AF1">
        <w:trPr>
          <w:cantSplit/>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D6111C">
            <w:pPr>
              <w:spacing w:after="0"/>
              <w:rPr>
                <w:b/>
                <w:sz w:val="28"/>
              </w:rPr>
            </w:pPr>
            <w:r w:rsidRPr="00490F13">
              <w:rPr>
                <w:b/>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4574AFF2" w:rsidR="00616F23" w:rsidRPr="00490F13" w:rsidRDefault="00616F23" w:rsidP="00D6111C">
            <w:pPr>
              <w:spacing w:before="60" w:after="0"/>
              <w:rPr>
                <w:b/>
                <w:sz w:val="28"/>
              </w:rPr>
            </w:pPr>
            <w:r w:rsidRPr="00490F13">
              <w:rPr>
                <w:b/>
                <w:sz w:val="28"/>
              </w:rPr>
              <w:t>15</w:t>
            </w:r>
            <w:r w:rsidR="00C639F0" w:rsidRPr="00490F13">
              <w:rPr>
                <w:b/>
                <w:sz w:val="28"/>
              </w:rPr>
              <w:t>0</w:t>
            </w:r>
          </w:p>
        </w:tc>
      </w:tr>
    </w:tbl>
    <w:p w14:paraId="379DA734" w14:textId="77777777" w:rsidR="00CE5562" w:rsidRDefault="00CE5562" w:rsidP="00D6111C">
      <w:pPr>
        <w:rPr>
          <w:b/>
          <w:caps/>
          <w:u w:val="single"/>
        </w:rPr>
      </w:pPr>
    </w:p>
    <w:sectPr w:rsidR="00CE5562" w:rsidSect="00E219A8">
      <w:headerReference w:type="default" r:id="rId40"/>
      <w:footerReference w:type="default" r:id="rId4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99E2" w14:textId="77777777" w:rsidR="00BE59D7" w:rsidRDefault="00BE59D7">
      <w:r>
        <w:separator/>
      </w:r>
    </w:p>
  </w:endnote>
  <w:endnote w:type="continuationSeparator" w:id="0">
    <w:p w14:paraId="3A5D8A22" w14:textId="77777777" w:rsidR="00BE59D7" w:rsidRDefault="00BE59D7">
      <w:r>
        <w:continuationSeparator/>
      </w:r>
    </w:p>
  </w:endnote>
  <w:endnote w:type="continuationNotice" w:id="1">
    <w:p w14:paraId="70E723D8" w14:textId="77777777" w:rsidR="00BE59D7" w:rsidRDefault="00BE5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B14" w14:textId="77777777" w:rsidR="00C421DA" w:rsidRDefault="00C4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C98F" w14:textId="58491655" w:rsidR="00580534" w:rsidRPr="00342657" w:rsidRDefault="00513338">
    <w:pPr>
      <w:pStyle w:val="Footer"/>
    </w:pPr>
    <w:r w:rsidRPr="000058E1">
      <w:rPr>
        <w:strike/>
      </w:rPr>
      <w:t>Oct</w:t>
    </w:r>
    <w:r w:rsidR="00342657" w:rsidRPr="000058E1">
      <w:rPr>
        <w:strike/>
      </w:rPr>
      <w:t>ober</w:t>
    </w:r>
    <w:r w:rsidR="000058E1">
      <w:t xml:space="preserve"> </w:t>
    </w:r>
    <w:r w:rsidR="00111335">
      <w:rPr>
        <w:b/>
        <w:bCs/>
      </w:rPr>
      <w:t>Dec</w:t>
    </w:r>
    <w:r w:rsidR="000058E1" w:rsidRPr="000058E1">
      <w:rPr>
        <w:b/>
        <w:bCs/>
      </w:rPr>
      <w:t>ember</w:t>
    </w:r>
    <w:r w:rsidR="00342657" w:rsidRPr="00342657">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C6DB" w14:textId="77777777" w:rsidR="00C421DA" w:rsidRDefault="00C42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F62" w14:textId="1B2B50FB" w:rsidR="00B24483" w:rsidRPr="00122853" w:rsidRDefault="00B24483" w:rsidP="00B24483">
    <w:pPr>
      <w:tabs>
        <w:tab w:val="left" w:pos="0"/>
        <w:tab w:val="center" w:pos="4680"/>
        <w:tab w:val="right" w:pos="9360"/>
      </w:tabs>
      <w:rPr>
        <w:sz w:val="20"/>
        <w:szCs w:val="16"/>
      </w:rPr>
    </w:pPr>
    <w:r w:rsidRPr="00122853">
      <w:rPr>
        <w:sz w:val="20"/>
        <w:szCs w:val="16"/>
      </w:rPr>
      <w:t xml:space="preserve">EPIC </w:t>
    </w:r>
    <w:r>
      <w:rPr>
        <w:sz w:val="20"/>
        <w:szCs w:val="16"/>
      </w:rPr>
      <w:t xml:space="preserve">ECAMS </w:t>
    </w:r>
    <w:r w:rsidRPr="00122853">
      <w:rPr>
        <w:sz w:val="20"/>
        <w:szCs w:val="16"/>
      </w:rPr>
      <w:t>Temp</w:t>
    </w:r>
    <w:r>
      <w:rPr>
        <w:sz w:val="20"/>
        <w:szCs w:val="16"/>
      </w:rPr>
      <w:t>.</w:t>
    </w:r>
    <w:r w:rsidRPr="00122853">
      <w:rPr>
        <w:sz w:val="20"/>
        <w:szCs w:val="16"/>
      </w:rPr>
      <w:t xml:space="preserve"> </w:t>
    </w:r>
    <w:r>
      <w:rPr>
        <w:sz w:val="20"/>
        <w:szCs w:val="16"/>
      </w:rPr>
      <w:t>May</w:t>
    </w:r>
    <w:r w:rsidRPr="00122853">
      <w:rPr>
        <w:sz w:val="20"/>
        <w:szCs w:val="16"/>
      </w:rPr>
      <w:t xml:space="preserve"> 202</w:t>
    </w:r>
    <w:r>
      <w:rPr>
        <w:sz w:val="20"/>
        <w:szCs w:val="16"/>
      </w:rPr>
      <w:t>5</w:t>
    </w:r>
    <w:r w:rsidRPr="00122853">
      <w:rPr>
        <w:sz w:val="20"/>
        <w:szCs w:val="16"/>
      </w:rPr>
      <w:t xml:space="preserve"> Q</w:t>
    </w:r>
    <w:r>
      <w:rPr>
        <w:sz w:val="20"/>
        <w:szCs w:val="16"/>
      </w:rPr>
      <w:t>2</w:t>
    </w:r>
    <w:r>
      <w:rPr>
        <w:sz w:val="20"/>
        <w:szCs w:val="16"/>
      </w:rPr>
      <w:tab/>
    </w:r>
    <w:r w:rsidRPr="00122853">
      <w:rPr>
        <w:sz w:val="20"/>
        <w:szCs w:val="16"/>
      </w:rPr>
      <w:t xml:space="preserve">Page </w:t>
    </w:r>
    <w:r w:rsidR="00E139FF" w:rsidRPr="00E139FF">
      <w:rPr>
        <w:sz w:val="20"/>
        <w:szCs w:val="16"/>
        <w:shd w:val="clear" w:color="auto" w:fill="E6E6E6"/>
      </w:rPr>
      <w:fldChar w:fldCharType="begin"/>
    </w:r>
    <w:r w:rsidR="00E139FF" w:rsidRPr="00E139FF">
      <w:rPr>
        <w:sz w:val="20"/>
        <w:szCs w:val="16"/>
        <w:shd w:val="clear" w:color="auto" w:fill="E6E6E6"/>
      </w:rPr>
      <w:instrText xml:space="preserve"> PAGE  \* roman  \* MERGEFORMAT </w:instrText>
    </w:r>
    <w:r w:rsidR="00E139FF" w:rsidRPr="00E139FF">
      <w:rPr>
        <w:sz w:val="20"/>
        <w:szCs w:val="16"/>
        <w:shd w:val="clear" w:color="auto" w:fill="E6E6E6"/>
      </w:rPr>
      <w:fldChar w:fldCharType="separate"/>
    </w:r>
    <w:r w:rsidR="00E139FF" w:rsidRPr="00E139FF">
      <w:rPr>
        <w:noProof/>
        <w:sz w:val="20"/>
        <w:szCs w:val="16"/>
        <w:shd w:val="clear" w:color="auto" w:fill="E6E6E6"/>
      </w:rPr>
      <w:t>i</w:t>
    </w:r>
    <w:r w:rsidR="00E139FF" w:rsidRPr="00E139FF">
      <w:rPr>
        <w:sz w:val="20"/>
        <w:szCs w:val="16"/>
        <w:shd w:val="clear" w:color="auto" w:fill="E6E6E6"/>
      </w:rPr>
      <w:fldChar w:fldCharType="end"/>
    </w:r>
    <w:r w:rsidRPr="00E139FF">
      <w:rPr>
        <w:sz w:val="20"/>
        <w:szCs w:val="16"/>
        <w:shd w:val="clear" w:color="auto" w:fill="E6E6E6"/>
      </w:rPr>
      <w:t xml:space="preserve"> </w:t>
    </w:r>
    <w:r>
      <w:rPr>
        <w:sz w:val="20"/>
        <w:szCs w:val="16"/>
      </w:rPr>
      <w:tab/>
    </w:r>
    <w:r w:rsidRPr="00122853">
      <w:rPr>
        <w:sz w:val="20"/>
        <w:szCs w:val="16"/>
      </w:rPr>
      <w:t>GFO-</w:t>
    </w:r>
    <w:r w:rsidRPr="00414A5C">
      <w:rPr>
        <w:sz w:val="20"/>
        <w:szCs w:val="16"/>
      </w:rPr>
      <w:t>XX</w:t>
    </w:r>
    <w:r w:rsidRPr="00122853">
      <w:rPr>
        <w:sz w:val="20"/>
        <w:szCs w:val="16"/>
      </w:rPr>
      <w:t>-</w:t>
    </w:r>
    <w:r w:rsidRPr="00414A5C">
      <w:rPr>
        <w:sz w:val="20"/>
        <w:szCs w:val="16"/>
      </w:rPr>
      <w:t>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D327" w14:textId="0745FBF8" w:rsidR="006E3269" w:rsidRDefault="00342657" w:rsidP="009C0AA1">
    <w:pPr>
      <w:tabs>
        <w:tab w:val="left" w:pos="0"/>
        <w:tab w:val="center" w:pos="4680"/>
        <w:tab w:val="right" w:pos="9360"/>
      </w:tabs>
      <w:spacing w:after="0"/>
      <w:rPr>
        <w:sz w:val="20"/>
        <w:szCs w:val="16"/>
      </w:rPr>
    </w:pPr>
    <w:r w:rsidRPr="00BF01FD">
      <w:rPr>
        <w:strike/>
        <w:sz w:val="20"/>
        <w:szCs w:val="16"/>
      </w:rPr>
      <w:t>October</w:t>
    </w:r>
    <w:r w:rsidR="00BF01FD">
      <w:rPr>
        <w:sz w:val="20"/>
        <w:szCs w:val="16"/>
      </w:rPr>
      <w:t xml:space="preserve"> </w:t>
    </w:r>
    <w:r w:rsidR="00111335">
      <w:rPr>
        <w:b/>
        <w:bCs/>
        <w:sz w:val="20"/>
        <w:szCs w:val="16"/>
      </w:rPr>
      <w:t>Dec</w:t>
    </w:r>
    <w:r w:rsidR="00BF01FD" w:rsidRPr="00BF01FD">
      <w:rPr>
        <w:b/>
        <w:bCs/>
        <w:sz w:val="20"/>
        <w:szCs w:val="16"/>
      </w:rPr>
      <w:t>ember</w:t>
    </w:r>
    <w:r>
      <w:rPr>
        <w:sz w:val="20"/>
        <w:szCs w:val="16"/>
      </w:rPr>
      <w:t xml:space="preserve"> 2025</w:t>
    </w:r>
    <w:r w:rsidR="006E3269">
      <w:rPr>
        <w:sz w:val="20"/>
        <w:szCs w:val="16"/>
      </w:rPr>
      <w:tab/>
    </w:r>
    <w:r w:rsidR="006E3269" w:rsidRPr="00122853">
      <w:rPr>
        <w:sz w:val="20"/>
        <w:szCs w:val="16"/>
      </w:rPr>
      <w:t xml:space="preserve">Page </w:t>
    </w:r>
    <w:r w:rsidR="006E3269">
      <w:rPr>
        <w:sz w:val="20"/>
        <w:szCs w:val="16"/>
        <w:shd w:val="clear" w:color="auto" w:fill="E6E6E6"/>
      </w:rPr>
      <w:fldChar w:fldCharType="begin"/>
    </w:r>
    <w:r w:rsidR="006E3269">
      <w:rPr>
        <w:sz w:val="20"/>
        <w:szCs w:val="16"/>
        <w:shd w:val="clear" w:color="auto" w:fill="E6E6E6"/>
      </w:rPr>
      <w:instrText xml:space="preserve"> PAGE  \* roman  \* MERGEFORMAT </w:instrText>
    </w:r>
    <w:r w:rsidR="006E3269">
      <w:rPr>
        <w:sz w:val="20"/>
        <w:szCs w:val="16"/>
        <w:shd w:val="clear" w:color="auto" w:fill="E6E6E6"/>
      </w:rPr>
      <w:fldChar w:fldCharType="separate"/>
    </w:r>
    <w:r w:rsidR="006E3269">
      <w:rPr>
        <w:noProof/>
        <w:sz w:val="20"/>
        <w:szCs w:val="16"/>
        <w:shd w:val="clear" w:color="auto" w:fill="E6E6E6"/>
      </w:rPr>
      <w:t>iii</w:t>
    </w:r>
    <w:r w:rsidR="006E3269">
      <w:rPr>
        <w:sz w:val="20"/>
        <w:szCs w:val="16"/>
        <w:shd w:val="clear" w:color="auto" w:fill="E6E6E6"/>
      </w:rPr>
      <w:fldChar w:fldCharType="end"/>
    </w:r>
    <w:r w:rsidR="006E3269" w:rsidRPr="00E139FF">
      <w:rPr>
        <w:sz w:val="20"/>
        <w:szCs w:val="16"/>
        <w:shd w:val="clear" w:color="auto" w:fill="E6E6E6"/>
      </w:rPr>
      <w:t xml:space="preserve"> </w:t>
    </w:r>
    <w:r w:rsidR="006E3269">
      <w:rPr>
        <w:sz w:val="20"/>
        <w:szCs w:val="16"/>
      </w:rPr>
      <w:tab/>
    </w:r>
    <w:r w:rsidR="006E3269" w:rsidRPr="00122853">
      <w:rPr>
        <w:sz w:val="20"/>
        <w:szCs w:val="16"/>
      </w:rPr>
      <w:t>GFO-</w:t>
    </w:r>
    <w:r w:rsidR="00A014DA">
      <w:rPr>
        <w:sz w:val="20"/>
        <w:szCs w:val="16"/>
      </w:rPr>
      <w:t>25-302</w:t>
    </w:r>
    <w:r w:rsidR="003331E9" w:rsidRPr="00EC5E8D">
      <w:rPr>
        <w:b/>
        <w:bCs/>
        <w:sz w:val="20"/>
        <w:szCs w:val="16"/>
        <w:u w:val="single"/>
      </w:rPr>
      <w:t>-0</w:t>
    </w:r>
    <w:r w:rsidR="00BF01FD">
      <w:rPr>
        <w:b/>
        <w:bCs/>
        <w:sz w:val="20"/>
        <w:szCs w:val="16"/>
        <w:u w:val="single"/>
      </w:rPr>
      <w:t>2</w:t>
    </w:r>
  </w:p>
  <w:p w14:paraId="0940157D" w14:textId="77777777" w:rsidR="000B6521" w:rsidRPr="009C0AA1" w:rsidRDefault="000B6521" w:rsidP="009C0AA1">
    <w:pPr>
      <w:tabs>
        <w:tab w:val="left" w:pos="0"/>
        <w:tab w:val="center" w:pos="4680"/>
        <w:tab w:val="right" w:pos="9360"/>
      </w:tabs>
      <w:spacing w:after="0"/>
      <w:rPr>
        <w:bCs/>
        <w:sz w:val="20"/>
        <w:szCs w:val="16"/>
      </w:rPr>
    </w:pPr>
    <w:r>
      <w:rPr>
        <w:sz w:val="20"/>
        <w:szCs w:val="16"/>
      </w:rPr>
      <w:tab/>
    </w:r>
    <w:r>
      <w:rPr>
        <w:sz w:val="20"/>
        <w:szCs w:val="16"/>
      </w:rPr>
      <w:tab/>
    </w:r>
    <w:r w:rsidRPr="009C0AA1">
      <w:rPr>
        <w:bCs/>
        <w:sz w:val="20"/>
        <w:szCs w:val="16"/>
      </w:rPr>
      <w:t>Coordinated Holistic Orchestration</w:t>
    </w:r>
  </w:p>
  <w:p w14:paraId="2A4865F1" w14:textId="37466F2F" w:rsidR="000B6521" w:rsidRPr="00B722F5" w:rsidRDefault="000B6521" w:rsidP="009C0AA1">
    <w:pPr>
      <w:tabs>
        <w:tab w:val="left" w:pos="0"/>
        <w:tab w:val="center" w:pos="4680"/>
        <w:tab w:val="right" w:pos="9360"/>
      </w:tabs>
      <w:spacing w:after="0"/>
      <w:rPr>
        <w:bCs/>
        <w:sz w:val="20"/>
        <w:szCs w:val="16"/>
      </w:rPr>
    </w:pPr>
    <w:r w:rsidRPr="009C0AA1">
      <w:rPr>
        <w:bCs/>
        <w:sz w:val="20"/>
        <w:szCs w:val="16"/>
      </w:rPr>
      <w:tab/>
    </w:r>
    <w:r w:rsidRPr="009C0AA1">
      <w:rPr>
        <w:bCs/>
        <w:sz w:val="20"/>
        <w:szCs w:val="16"/>
      </w:rPr>
      <w:tab/>
      <w:t xml:space="preserve"> of Inverter-based Resources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BFF" w14:textId="0593192C" w:rsidR="006E3269" w:rsidRPr="003C30E6" w:rsidRDefault="00971695" w:rsidP="009C0AA1">
    <w:pPr>
      <w:tabs>
        <w:tab w:val="left" w:pos="0"/>
        <w:tab w:val="center" w:pos="4680"/>
        <w:tab w:val="right" w:pos="9360"/>
      </w:tabs>
      <w:spacing w:after="0"/>
      <w:rPr>
        <w:sz w:val="20"/>
        <w:szCs w:val="16"/>
      </w:rPr>
    </w:pPr>
    <w:r w:rsidRPr="002F0B3B">
      <w:rPr>
        <w:strike/>
        <w:sz w:val="20"/>
        <w:szCs w:val="16"/>
      </w:rPr>
      <w:t>October</w:t>
    </w:r>
    <w:r w:rsidRPr="000058E1">
      <w:rPr>
        <w:sz w:val="20"/>
        <w:szCs w:val="16"/>
      </w:rPr>
      <w:t xml:space="preserve"> </w:t>
    </w:r>
    <w:r w:rsidR="004C294E">
      <w:rPr>
        <w:b/>
        <w:bCs/>
        <w:sz w:val="20"/>
        <w:szCs w:val="16"/>
      </w:rPr>
      <w:t>Dec</w:t>
    </w:r>
    <w:r w:rsidR="002F0B3B" w:rsidRPr="000058E1">
      <w:rPr>
        <w:b/>
        <w:bCs/>
        <w:sz w:val="20"/>
        <w:szCs w:val="16"/>
      </w:rPr>
      <w:t>ember</w:t>
    </w:r>
    <w:r w:rsidR="002F0B3B">
      <w:rPr>
        <w:sz w:val="20"/>
        <w:szCs w:val="16"/>
      </w:rPr>
      <w:t xml:space="preserve"> </w:t>
    </w:r>
    <w:r w:rsidRPr="003C30E6">
      <w:rPr>
        <w:sz w:val="20"/>
        <w:szCs w:val="16"/>
      </w:rPr>
      <w:t>2025</w:t>
    </w:r>
    <w:r w:rsidR="006E3269" w:rsidRPr="003C30E6">
      <w:rPr>
        <w:sz w:val="20"/>
        <w:szCs w:val="16"/>
      </w:rPr>
      <w:tab/>
      <w:t xml:space="preserve">Page </w:t>
    </w:r>
    <w:r w:rsidR="006E3269" w:rsidRPr="003C30E6">
      <w:rPr>
        <w:sz w:val="20"/>
        <w:szCs w:val="16"/>
        <w:shd w:val="clear" w:color="auto" w:fill="E6E6E6"/>
      </w:rPr>
      <w:fldChar w:fldCharType="begin"/>
    </w:r>
    <w:r w:rsidR="006E3269" w:rsidRPr="003C30E6">
      <w:rPr>
        <w:sz w:val="20"/>
        <w:szCs w:val="16"/>
        <w:shd w:val="clear" w:color="auto" w:fill="E6E6E6"/>
      </w:rPr>
      <w:instrText xml:space="preserve"> PAGE  \* Arabic  \* MERGEFORMAT </w:instrText>
    </w:r>
    <w:r w:rsidR="006E3269" w:rsidRPr="003C30E6">
      <w:rPr>
        <w:sz w:val="20"/>
        <w:szCs w:val="16"/>
        <w:shd w:val="clear" w:color="auto" w:fill="E6E6E6"/>
      </w:rPr>
      <w:fldChar w:fldCharType="separate"/>
    </w:r>
    <w:r w:rsidR="006E3269" w:rsidRPr="003C30E6">
      <w:rPr>
        <w:noProof/>
        <w:sz w:val="20"/>
        <w:szCs w:val="16"/>
        <w:shd w:val="clear" w:color="auto" w:fill="E6E6E6"/>
      </w:rPr>
      <w:t>1</w:t>
    </w:r>
    <w:r w:rsidR="006E3269" w:rsidRPr="003C30E6">
      <w:rPr>
        <w:sz w:val="20"/>
        <w:szCs w:val="16"/>
        <w:shd w:val="clear" w:color="auto" w:fill="E6E6E6"/>
      </w:rPr>
      <w:fldChar w:fldCharType="end"/>
    </w:r>
    <w:r w:rsidR="006E3269" w:rsidRPr="003C30E6">
      <w:rPr>
        <w:sz w:val="20"/>
        <w:szCs w:val="16"/>
        <w:shd w:val="clear" w:color="auto" w:fill="E6E6E6"/>
      </w:rPr>
      <w:t xml:space="preserve"> </w:t>
    </w:r>
    <w:r w:rsidR="006E3269" w:rsidRPr="003C30E6">
      <w:rPr>
        <w:sz w:val="20"/>
        <w:szCs w:val="16"/>
      </w:rPr>
      <w:tab/>
      <w:t>GFO-</w:t>
    </w:r>
    <w:r w:rsidR="00B722F5" w:rsidRPr="003C30E6">
      <w:rPr>
        <w:sz w:val="20"/>
        <w:szCs w:val="16"/>
      </w:rPr>
      <w:t>25-302</w:t>
    </w:r>
    <w:r w:rsidR="003859FB" w:rsidRPr="00EC5E8D">
      <w:rPr>
        <w:b/>
        <w:bCs/>
        <w:sz w:val="20"/>
        <w:szCs w:val="16"/>
        <w:u w:val="single"/>
      </w:rPr>
      <w:t>-0</w:t>
    </w:r>
    <w:r w:rsidR="002F0B3B">
      <w:rPr>
        <w:b/>
        <w:bCs/>
        <w:sz w:val="20"/>
        <w:szCs w:val="16"/>
        <w:u w:val="single"/>
      </w:rPr>
      <w:t>2</w:t>
    </w:r>
  </w:p>
  <w:p w14:paraId="7D0CCA7D" w14:textId="77777777" w:rsidR="00456010" w:rsidRDefault="003C30E6" w:rsidP="003C30E6">
    <w:pPr>
      <w:tabs>
        <w:tab w:val="left" w:pos="0"/>
        <w:tab w:val="center" w:pos="4680"/>
        <w:tab w:val="right" w:pos="9360"/>
      </w:tabs>
      <w:spacing w:after="0"/>
      <w:rPr>
        <w:sz w:val="20"/>
        <w:szCs w:val="16"/>
      </w:rPr>
    </w:pPr>
    <w:r w:rsidRPr="003C30E6">
      <w:rPr>
        <w:sz w:val="20"/>
        <w:szCs w:val="16"/>
      </w:rPr>
      <w:tab/>
    </w:r>
    <w:r w:rsidRPr="003C30E6">
      <w:rPr>
        <w:sz w:val="20"/>
        <w:szCs w:val="16"/>
      </w:rPr>
      <w:tab/>
    </w:r>
    <w:r w:rsidRPr="009C0AA1">
      <w:rPr>
        <w:sz w:val="20"/>
        <w:szCs w:val="16"/>
      </w:rPr>
      <w:t>Coordinated Holistic Orchestration</w:t>
    </w:r>
  </w:p>
  <w:p w14:paraId="57FF3321" w14:textId="5D1F89DB" w:rsidR="00B722F5" w:rsidRPr="003C30E6" w:rsidRDefault="00456010" w:rsidP="009C0AA1">
    <w:pPr>
      <w:tabs>
        <w:tab w:val="left" w:pos="0"/>
        <w:tab w:val="center" w:pos="4680"/>
        <w:tab w:val="right" w:pos="9360"/>
      </w:tabs>
      <w:spacing w:after="0"/>
      <w:rPr>
        <w:sz w:val="20"/>
        <w:szCs w:val="16"/>
      </w:rPr>
    </w:pPr>
    <w:r>
      <w:rPr>
        <w:sz w:val="20"/>
        <w:szCs w:val="16"/>
      </w:rPr>
      <w:tab/>
    </w:r>
    <w:r>
      <w:rPr>
        <w:sz w:val="20"/>
        <w:szCs w:val="16"/>
      </w:rPr>
      <w:tab/>
    </w:r>
    <w:r w:rsidR="003C30E6" w:rsidRPr="009C0AA1">
      <w:rPr>
        <w:sz w:val="20"/>
        <w:szCs w:val="16"/>
      </w:rPr>
      <w:t>of Inverter-based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791D" w14:textId="77777777" w:rsidR="00BE59D7" w:rsidRDefault="00BE59D7">
      <w:r>
        <w:separator/>
      </w:r>
    </w:p>
  </w:footnote>
  <w:footnote w:type="continuationSeparator" w:id="0">
    <w:p w14:paraId="6761E96E" w14:textId="77777777" w:rsidR="00BE59D7" w:rsidRDefault="00BE59D7">
      <w:r>
        <w:continuationSeparator/>
      </w:r>
    </w:p>
  </w:footnote>
  <w:footnote w:type="continuationNotice" w:id="1">
    <w:p w14:paraId="1EE59327" w14:textId="77777777" w:rsidR="00BE59D7" w:rsidRDefault="00BE59D7">
      <w:pPr>
        <w:spacing w:after="0"/>
      </w:pPr>
    </w:p>
  </w:footnote>
  <w:footnote w:id="2">
    <w:p w14:paraId="3A73D15C" w14:textId="77777777" w:rsidR="50016988" w:rsidRDefault="50016988" w:rsidP="50016988">
      <w:pPr>
        <w:pStyle w:val="FootnoteText"/>
      </w:pPr>
      <w:r w:rsidRPr="50016988">
        <w:rPr>
          <w:rStyle w:val="FootnoteReference"/>
        </w:rPr>
        <w:footnoteRef/>
      </w:r>
      <w:r>
        <w:t xml:space="preserve"> California Energy Commission Electric Program Investment Charge 2021-2025 Investment Plan is available at </w:t>
      </w:r>
      <w:hyperlink r:id="rId1">
        <w:r w:rsidRPr="50016988">
          <w:rPr>
            <w:rStyle w:val="Hyperlink"/>
            <w:rFonts w:cs="Arial"/>
          </w:rPr>
          <w:t>https://efiling.energy.ca.gov/GetDocument.aspx?tn=251159&amp;DocumentContentId=86103</w:t>
        </w:r>
      </w:hyperlink>
      <w:r>
        <w:t xml:space="preserve"> </w:t>
      </w:r>
    </w:p>
  </w:footnote>
  <w:footnote w:id="3">
    <w:p w14:paraId="2ECABA8F" w14:textId="77777777" w:rsidR="00877723" w:rsidRDefault="00877723" w:rsidP="00877723">
      <w:pPr>
        <w:pStyle w:val="FootnoteText"/>
      </w:pPr>
      <w:r>
        <w:rPr>
          <w:rStyle w:val="FootnoteReference"/>
        </w:rPr>
        <w:footnoteRef/>
      </w:r>
      <w:r>
        <w:t xml:space="preserve"> </w:t>
      </w:r>
      <w:r w:rsidRPr="00CE1E94">
        <w:t>https://apps.cpuc.ca.gov/apex/f?p=401:56:0::NO:RP,57,RIR:P5_PROCEEDING_SELECT:R2106017</w:t>
      </w:r>
    </w:p>
  </w:footnote>
  <w:footnote w:id="4">
    <w:p w14:paraId="6DAB3630" w14:textId="64087221" w:rsidR="001D48B8" w:rsidRDefault="001D48B8" w:rsidP="001D48B8">
      <w:pPr>
        <w:pStyle w:val="FootnoteText"/>
      </w:pPr>
      <w:r>
        <w:rPr>
          <w:rStyle w:val="FootnoteReference"/>
        </w:rPr>
        <w:footnoteRef/>
      </w:r>
      <w:r w:rsidR="00B1286D">
        <w:t xml:space="preserve"> </w:t>
      </w:r>
      <w:r w:rsidR="00B1286D" w:rsidRPr="00B1286D">
        <w:t>https://standards.ieee.org/ieee/1547/5915/</w:t>
      </w:r>
    </w:p>
  </w:footnote>
  <w:footnote w:id="5">
    <w:p w14:paraId="19134AE3" w14:textId="0759D172" w:rsidR="008D3C50" w:rsidRDefault="008D3C50" w:rsidP="008D3C50">
      <w:pPr>
        <w:pStyle w:val="FootnoteText"/>
      </w:pPr>
      <w:r>
        <w:rPr>
          <w:rStyle w:val="FootnoteReference"/>
        </w:rPr>
        <w:footnoteRef/>
      </w:r>
      <w:r>
        <w:t xml:space="preserve"> </w:t>
      </w:r>
      <w:r w:rsidRPr="00B1286D">
        <w:t>https://standards.ieee.org/ieee/</w:t>
      </w:r>
      <w:r>
        <w:t>2030.5</w:t>
      </w:r>
      <w:r w:rsidRPr="00B1286D">
        <w:t>/</w:t>
      </w:r>
      <w:r>
        <w:t>11216</w:t>
      </w:r>
      <w:r w:rsidRPr="00B1286D">
        <w:t>/</w:t>
      </w:r>
    </w:p>
  </w:footnote>
  <w:footnote w:id="6">
    <w:p w14:paraId="6C3271C6" w14:textId="0D8D1FDD" w:rsidR="00BD32A3" w:rsidRDefault="00BD32A3" w:rsidP="00BD32A3">
      <w:pPr>
        <w:pStyle w:val="FootnoteText"/>
      </w:pPr>
      <w:r>
        <w:rPr>
          <w:rStyle w:val="FootnoteReference"/>
        </w:rPr>
        <w:footnoteRef/>
      </w:r>
      <w:r>
        <w:t xml:space="preserve"> </w:t>
      </w:r>
      <w:r w:rsidRPr="00BD32A3">
        <w:t>https://standards.ieee.org/ieee/1815.2/7731/</w:t>
      </w:r>
    </w:p>
  </w:footnote>
  <w:footnote w:id="7">
    <w:p w14:paraId="7F46EDFD" w14:textId="217AAD81" w:rsidR="00C85780" w:rsidRDefault="00C85780" w:rsidP="00C85780">
      <w:pPr>
        <w:pStyle w:val="FootnoteText"/>
      </w:pPr>
      <w:r>
        <w:rPr>
          <w:rStyle w:val="FootnoteReference"/>
        </w:rPr>
        <w:footnoteRef/>
      </w:r>
      <w:r>
        <w:t xml:space="preserve"> </w:t>
      </w:r>
      <w:r w:rsidR="009F656F" w:rsidRPr="009F656F">
        <w:t>https://sagroups.ieee.org/1547-10/</w:t>
      </w:r>
    </w:p>
  </w:footnote>
  <w:footnote w:id="8">
    <w:p w14:paraId="4C0D281B" w14:textId="06138FDA" w:rsidR="0090790C" w:rsidRDefault="0090790C" w:rsidP="0090790C">
      <w:pPr>
        <w:pStyle w:val="FootnoteText"/>
      </w:pPr>
      <w:r>
        <w:rPr>
          <w:rStyle w:val="FootnoteReference"/>
        </w:rPr>
        <w:footnoteRef/>
      </w:r>
      <w:r>
        <w:t xml:space="preserve"> </w:t>
      </w:r>
      <w:r w:rsidR="00EF666F" w:rsidRPr="00EF666F">
        <w:t>https://webstore.ansi.org/standards/ul/ansiul29002023</w:t>
      </w:r>
    </w:p>
  </w:footnote>
  <w:footnote w:id="9">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0">
    <w:p w14:paraId="66AE8602" w14:textId="41B797FA" w:rsidR="00AA19C0" w:rsidRDefault="00AA19C0" w:rsidP="00A511B4">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Section </w:t>
      </w:r>
      <w:r>
        <w:t>G</w:t>
      </w:r>
      <w:r w:rsidRPr="00887889">
        <w:t xml:space="preserve"> at any time prior to </w:t>
      </w:r>
      <w:r>
        <w:t>5:00 p.m. of the</w:t>
      </w:r>
      <w:r w:rsidRPr="00887889">
        <w:t xml:space="preserve"> application deadline</w:t>
      </w:r>
      <w:r>
        <w:t xml:space="preserve"> date</w:t>
      </w:r>
      <w:r w:rsidRPr="00887889">
        <w:t xml:space="preserve">.  Please see Section </w:t>
      </w:r>
      <w:r>
        <w:t>G</w:t>
      </w:r>
      <w:r w:rsidRPr="00887889">
        <w:t xml:space="preserve"> for additional information.</w:t>
      </w:r>
    </w:p>
  </w:footnote>
  <w:footnote w:id="11">
    <w:p w14:paraId="56D86954" w14:textId="77777777" w:rsidR="00AA19C0" w:rsidRDefault="00AA19C0"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2">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3">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4">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5">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16">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7">
    <w:p w14:paraId="4B1A6B17" w14:textId="77777777" w:rsidR="00576F60" w:rsidRDefault="00576F60" w:rsidP="00576F60">
      <w:pPr>
        <w:pStyle w:val="FootnoteText"/>
      </w:pPr>
      <w:r>
        <w:rPr>
          <w:rStyle w:val="FootnoteReference"/>
        </w:rPr>
        <w:footnoteRef/>
      </w:r>
      <w:r>
        <w:t xml:space="preserve"> Public Resources Code § 25711.6.  </w:t>
      </w:r>
    </w:p>
  </w:footnote>
  <w:footnote w:id="18">
    <w:p w14:paraId="4F8B2533" w14:textId="77777777" w:rsidR="00576F60" w:rsidRDefault="00576F60" w:rsidP="00576F60">
      <w:pPr>
        <w:pStyle w:val="FootnoteText"/>
      </w:pPr>
      <w:r>
        <w:rPr>
          <w:rStyle w:val="FootnoteReference"/>
        </w:rPr>
        <w:footnoteRef/>
      </w:r>
      <w:r>
        <w:t xml:space="preserve"> Public Resources Code § 25711.5. </w:t>
      </w:r>
    </w:p>
  </w:footnote>
  <w:footnote w:id="19">
    <w:p w14:paraId="281EF92F" w14:textId="77777777" w:rsidR="00576F60" w:rsidRDefault="00576F60" w:rsidP="00576F60">
      <w:pPr>
        <w:pStyle w:val="FootnoteText"/>
      </w:pPr>
      <w:r>
        <w:rPr>
          <w:rStyle w:val="FootnoteReference"/>
        </w:rPr>
        <w:footnoteRef/>
      </w:r>
      <w:r>
        <w:t xml:space="preserve"> Public Resources Code § 25711.6.  </w:t>
      </w:r>
    </w:p>
  </w:footnote>
  <w:footnote w:id="20">
    <w:p w14:paraId="7F49C182" w14:textId="77777777" w:rsidR="00B477E6" w:rsidRDefault="00B477E6" w:rsidP="00B477E6">
      <w:pPr>
        <w:pStyle w:val="FootnoteText"/>
      </w:pPr>
      <w:r>
        <w:rPr>
          <w:rStyle w:val="FootnoteReference"/>
        </w:rPr>
        <w:footnoteRef/>
      </w:r>
      <w:r>
        <w:t xml:space="preserve"> AB 32 (Statutes of 2006, chapter 488)</w:t>
      </w:r>
    </w:p>
  </w:footnote>
  <w:footnote w:id="21">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2">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3">
    <w:p w14:paraId="1BBE4853" w14:textId="3EA78C21" w:rsidR="00660D14" w:rsidRDefault="00660D14" w:rsidP="00660D14">
      <w:pPr>
        <w:pStyle w:val="FootnoteText"/>
      </w:pPr>
      <w:r>
        <w:rPr>
          <w:rStyle w:val="FootnoteReference"/>
        </w:rPr>
        <w:footnoteRef/>
      </w:r>
      <w:r>
        <w:t xml:space="preserve"> </w:t>
      </w:r>
      <w:r w:rsidRPr="00660D14">
        <w:t>https://efiling.energy.ca.gov/GetDocument.aspx?tn=239311</w:t>
      </w:r>
    </w:p>
  </w:footnote>
  <w:footnote w:id="24">
    <w:p w14:paraId="1C628F2F" w14:textId="508468D0" w:rsidR="00100132" w:rsidRDefault="00100132" w:rsidP="00100132">
      <w:pPr>
        <w:pStyle w:val="FootnoteText"/>
      </w:pPr>
      <w:r>
        <w:rPr>
          <w:rStyle w:val="FootnoteReference"/>
        </w:rPr>
        <w:footnoteRef/>
      </w:r>
      <w:r>
        <w:t xml:space="preserve"> </w:t>
      </w:r>
      <w:r w:rsidR="00825FC1" w:rsidRPr="00825FC1">
        <w:t>https://efiling.energy.ca.gov/GetDocument.aspx?tn=241599</w:t>
      </w:r>
    </w:p>
  </w:footnote>
  <w:footnote w:id="25">
    <w:p w14:paraId="79B882BE" w14:textId="77777777" w:rsidR="001A79D4" w:rsidRDefault="001A79D4" w:rsidP="001A79D4">
      <w:pPr>
        <w:pStyle w:val="FootnoteText"/>
      </w:pPr>
      <w:r>
        <w:rPr>
          <w:rStyle w:val="FootnoteReference"/>
        </w:rPr>
        <w:footnoteRef/>
      </w:r>
      <w:r>
        <w:t xml:space="preserve"> SB 350 (Statutes of 2015, chapter 547)</w:t>
      </w:r>
    </w:p>
  </w:footnote>
  <w:footnote w:id="26">
    <w:p w14:paraId="4656548C" w14:textId="77777777" w:rsidR="00580534" w:rsidRDefault="00580534" w:rsidP="00BA3BBD">
      <w:pPr>
        <w:pStyle w:val="FootnoteText"/>
      </w:pPr>
      <w:r>
        <w:rPr>
          <w:rStyle w:val="FootnoteReference"/>
        </w:rPr>
        <w:footnoteRef/>
      </w:r>
      <w:r>
        <w:t xml:space="preserve"> AB 2514 (Statutes of 2010, chapter 469)</w:t>
      </w:r>
    </w:p>
  </w:footnote>
  <w:footnote w:id="27">
    <w:p w14:paraId="079D9AED" w14:textId="77777777" w:rsidR="00161149" w:rsidRDefault="00161149" w:rsidP="00161149">
      <w:pPr>
        <w:pStyle w:val="FootnoteText"/>
      </w:pPr>
      <w:r>
        <w:rPr>
          <w:rStyle w:val="FootnoteReference"/>
        </w:rPr>
        <w:footnoteRef/>
      </w:r>
      <w:r>
        <w:t xml:space="preserve"> </w:t>
      </w:r>
      <w:r w:rsidRPr="00107365">
        <w:t>https://docs.cpuc.ca.gov/PublishedDocs/Published/G000/M467/K470/467470758.PDF</w:t>
      </w:r>
    </w:p>
  </w:footnote>
  <w:footnote w:id="2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9">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3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31">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A135" w14:textId="77777777" w:rsidR="00C421DA" w:rsidRDefault="00C4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E17A9C" w14:paraId="5DACD82B" w14:textId="77777777" w:rsidTr="59E17A9C">
      <w:trPr>
        <w:trHeight w:val="300"/>
      </w:trPr>
      <w:tc>
        <w:tcPr>
          <w:tcW w:w="3120" w:type="dxa"/>
        </w:tcPr>
        <w:p w14:paraId="26A988A1" w14:textId="3DBD4247" w:rsidR="59E17A9C" w:rsidRDefault="59E17A9C" w:rsidP="59E17A9C">
          <w:pPr>
            <w:pStyle w:val="Header"/>
            <w:ind w:left="-115"/>
          </w:pPr>
        </w:p>
      </w:tc>
      <w:tc>
        <w:tcPr>
          <w:tcW w:w="3120" w:type="dxa"/>
        </w:tcPr>
        <w:p w14:paraId="360531B2" w14:textId="15F718A6" w:rsidR="59E17A9C" w:rsidRDefault="59E17A9C" w:rsidP="59E17A9C">
          <w:pPr>
            <w:pStyle w:val="Header"/>
            <w:jc w:val="center"/>
          </w:pPr>
        </w:p>
      </w:tc>
      <w:tc>
        <w:tcPr>
          <w:tcW w:w="3120" w:type="dxa"/>
        </w:tcPr>
        <w:p w14:paraId="4CEF5AD6" w14:textId="31C81CC2" w:rsidR="59E17A9C" w:rsidRDefault="59E17A9C" w:rsidP="59E17A9C">
          <w:pPr>
            <w:pStyle w:val="Header"/>
            <w:ind w:right="-115"/>
            <w:jc w:val="right"/>
          </w:pPr>
        </w:p>
      </w:tc>
    </w:tr>
  </w:tbl>
  <w:p w14:paraId="3BBC0F70" w14:textId="20FBD723" w:rsidR="59E17A9C" w:rsidRDefault="59E17A9C" w:rsidP="59E1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A1B5" w14:textId="77777777" w:rsidR="00C421DA" w:rsidRDefault="00C42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E17A9C" w14:paraId="7EB6FAB0" w14:textId="77777777" w:rsidTr="59E17A9C">
      <w:trPr>
        <w:trHeight w:val="300"/>
      </w:trPr>
      <w:tc>
        <w:tcPr>
          <w:tcW w:w="3120" w:type="dxa"/>
        </w:tcPr>
        <w:p w14:paraId="51912ED2" w14:textId="3BBA4C91" w:rsidR="59E17A9C" w:rsidRDefault="59E17A9C" w:rsidP="59E17A9C">
          <w:pPr>
            <w:pStyle w:val="Header"/>
            <w:ind w:left="-115"/>
          </w:pPr>
        </w:p>
      </w:tc>
      <w:tc>
        <w:tcPr>
          <w:tcW w:w="3120" w:type="dxa"/>
        </w:tcPr>
        <w:p w14:paraId="7117774E" w14:textId="5BA884F6" w:rsidR="59E17A9C" w:rsidRDefault="59E17A9C" w:rsidP="59E17A9C">
          <w:pPr>
            <w:pStyle w:val="Header"/>
            <w:jc w:val="center"/>
          </w:pPr>
        </w:p>
      </w:tc>
      <w:tc>
        <w:tcPr>
          <w:tcW w:w="3120" w:type="dxa"/>
        </w:tcPr>
        <w:p w14:paraId="230C1944" w14:textId="6FA53F0C" w:rsidR="59E17A9C" w:rsidRDefault="59E17A9C" w:rsidP="59E17A9C">
          <w:pPr>
            <w:pStyle w:val="Header"/>
            <w:ind w:right="-115"/>
            <w:jc w:val="right"/>
          </w:pPr>
        </w:p>
      </w:tc>
    </w:tr>
  </w:tbl>
  <w:p w14:paraId="40A2ED08" w14:textId="098D9652" w:rsidR="59E17A9C" w:rsidRDefault="59E17A9C" w:rsidP="59E17A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E17A9C" w14:paraId="60372F26" w14:textId="77777777" w:rsidTr="59E17A9C">
      <w:trPr>
        <w:trHeight w:val="300"/>
      </w:trPr>
      <w:tc>
        <w:tcPr>
          <w:tcW w:w="3120" w:type="dxa"/>
        </w:tcPr>
        <w:p w14:paraId="263BD732" w14:textId="6085D9D5" w:rsidR="59E17A9C" w:rsidRDefault="59E17A9C" w:rsidP="59E17A9C">
          <w:pPr>
            <w:pStyle w:val="Header"/>
            <w:ind w:left="-115"/>
          </w:pPr>
        </w:p>
      </w:tc>
      <w:tc>
        <w:tcPr>
          <w:tcW w:w="3120" w:type="dxa"/>
        </w:tcPr>
        <w:p w14:paraId="676D5FE8" w14:textId="5D4D85CD" w:rsidR="59E17A9C" w:rsidRDefault="59E17A9C" w:rsidP="59E17A9C">
          <w:pPr>
            <w:pStyle w:val="Header"/>
            <w:jc w:val="center"/>
          </w:pPr>
        </w:p>
      </w:tc>
      <w:tc>
        <w:tcPr>
          <w:tcW w:w="3120" w:type="dxa"/>
        </w:tcPr>
        <w:p w14:paraId="52A6786F" w14:textId="307EB536" w:rsidR="59E17A9C" w:rsidRDefault="59E17A9C" w:rsidP="59E17A9C">
          <w:pPr>
            <w:pStyle w:val="Header"/>
            <w:ind w:right="-115"/>
            <w:jc w:val="right"/>
          </w:pPr>
        </w:p>
      </w:tc>
    </w:tr>
  </w:tbl>
  <w:p w14:paraId="6FF1781D" w14:textId="35C23953" w:rsidR="59E17A9C" w:rsidRDefault="59E17A9C" w:rsidP="59E17A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E17A9C" w14:paraId="15871C92" w14:textId="77777777" w:rsidTr="59E17A9C">
      <w:trPr>
        <w:trHeight w:val="300"/>
      </w:trPr>
      <w:tc>
        <w:tcPr>
          <w:tcW w:w="3120" w:type="dxa"/>
        </w:tcPr>
        <w:p w14:paraId="220C8CC4" w14:textId="56941E42" w:rsidR="59E17A9C" w:rsidRDefault="59E17A9C" w:rsidP="59E17A9C">
          <w:pPr>
            <w:pStyle w:val="Header"/>
            <w:ind w:left="-115"/>
          </w:pPr>
        </w:p>
      </w:tc>
      <w:tc>
        <w:tcPr>
          <w:tcW w:w="3120" w:type="dxa"/>
        </w:tcPr>
        <w:p w14:paraId="58B0BF75" w14:textId="3F57AB8B" w:rsidR="59E17A9C" w:rsidRDefault="59E17A9C" w:rsidP="59E17A9C">
          <w:pPr>
            <w:pStyle w:val="Header"/>
            <w:jc w:val="center"/>
          </w:pPr>
        </w:p>
      </w:tc>
      <w:tc>
        <w:tcPr>
          <w:tcW w:w="3120" w:type="dxa"/>
        </w:tcPr>
        <w:p w14:paraId="2BBD8AA5" w14:textId="2823B222" w:rsidR="59E17A9C" w:rsidRDefault="59E17A9C" w:rsidP="59E17A9C">
          <w:pPr>
            <w:pStyle w:val="Header"/>
            <w:ind w:right="-115"/>
            <w:jc w:val="right"/>
          </w:pPr>
        </w:p>
      </w:tc>
    </w:tr>
  </w:tbl>
  <w:p w14:paraId="3033A8BB" w14:textId="30CB93EE" w:rsidR="59E17A9C" w:rsidRDefault="59E17A9C" w:rsidP="59E1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43C9C"/>
    <w:multiLevelType w:val="hybridMultilevel"/>
    <w:tmpl w:val="653C2438"/>
    <w:lvl w:ilvl="0" w:tplc="FFFFFFFF">
      <w:start w:val="1"/>
      <w:numFmt w:val="lowerLetter"/>
      <w:lvlText w:val="%1."/>
      <w:lvlJc w:val="left"/>
      <w:pPr>
        <w:ind w:left="720" w:hanging="360"/>
      </w:pPr>
      <w:rPr>
        <w:rFonts w:hint="default"/>
        <w:b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C0E0F"/>
    <w:multiLevelType w:val="hybridMultilevel"/>
    <w:tmpl w:val="4EB03BC0"/>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1">
      <w:start w:val="1"/>
      <w:numFmt w:val="bullet"/>
      <w:lvlText w:val=""/>
      <w:lvlJc w:val="left"/>
      <w:pPr>
        <w:ind w:left="10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201DF9"/>
    <w:multiLevelType w:val="hybridMultilevel"/>
    <w:tmpl w:val="238619F6"/>
    <w:lvl w:ilvl="0" w:tplc="738092BC">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6952A10"/>
    <w:multiLevelType w:val="hybridMultilevel"/>
    <w:tmpl w:val="6D4C6496"/>
    <w:lvl w:ilvl="0" w:tplc="48740016">
      <w:start w:val="1"/>
      <w:numFmt w:val="bullet"/>
      <w:lvlText w:val="·"/>
      <w:lvlJc w:val="left"/>
      <w:pPr>
        <w:ind w:left="720" w:hanging="360"/>
      </w:pPr>
      <w:rPr>
        <w:rFonts w:ascii="Symbol" w:hAnsi="Symbol" w:hint="default"/>
      </w:rPr>
    </w:lvl>
    <w:lvl w:ilvl="1" w:tplc="9996B8B6">
      <w:start w:val="1"/>
      <w:numFmt w:val="bullet"/>
      <w:lvlText w:val="o"/>
      <w:lvlJc w:val="left"/>
      <w:pPr>
        <w:ind w:left="1440" w:hanging="360"/>
      </w:pPr>
      <w:rPr>
        <w:rFonts w:ascii="Courier New" w:hAnsi="Courier New" w:hint="default"/>
      </w:rPr>
    </w:lvl>
    <w:lvl w:ilvl="2" w:tplc="93EAE336">
      <w:start w:val="1"/>
      <w:numFmt w:val="bullet"/>
      <w:lvlText w:val=""/>
      <w:lvlJc w:val="left"/>
      <w:pPr>
        <w:ind w:left="2160" w:hanging="360"/>
      </w:pPr>
      <w:rPr>
        <w:rFonts w:ascii="Wingdings" w:hAnsi="Wingdings" w:hint="default"/>
      </w:rPr>
    </w:lvl>
    <w:lvl w:ilvl="3" w:tplc="24E01D6C">
      <w:start w:val="1"/>
      <w:numFmt w:val="bullet"/>
      <w:lvlText w:val=""/>
      <w:lvlJc w:val="left"/>
      <w:pPr>
        <w:ind w:left="2880" w:hanging="360"/>
      </w:pPr>
      <w:rPr>
        <w:rFonts w:ascii="Symbol" w:hAnsi="Symbol" w:hint="default"/>
      </w:rPr>
    </w:lvl>
    <w:lvl w:ilvl="4" w:tplc="FE06DF96">
      <w:start w:val="1"/>
      <w:numFmt w:val="bullet"/>
      <w:lvlText w:val="o"/>
      <w:lvlJc w:val="left"/>
      <w:pPr>
        <w:ind w:left="3600" w:hanging="360"/>
      </w:pPr>
      <w:rPr>
        <w:rFonts w:ascii="Courier New" w:hAnsi="Courier New" w:hint="default"/>
      </w:rPr>
    </w:lvl>
    <w:lvl w:ilvl="5" w:tplc="098CAAF2">
      <w:start w:val="1"/>
      <w:numFmt w:val="bullet"/>
      <w:lvlText w:val=""/>
      <w:lvlJc w:val="left"/>
      <w:pPr>
        <w:ind w:left="4320" w:hanging="360"/>
      </w:pPr>
      <w:rPr>
        <w:rFonts w:ascii="Wingdings" w:hAnsi="Wingdings" w:hint="default"/>
      </w:rPr>
    </w:lvl>
    <w:lvl w:ilvl="6" w:tplc="7724160C">
      <w:start w:val="1"/>
      <w:numFmt w:val="bullet"/>
      <w:lvlText w:val=""/>
      <w:lvlJc w:val="left"/>
      <w:pPr>
        <w:ind w:left="5040" w:hanging="360"/>
      </w:pPr>
      <w:rPr>
        <w:rFonts w:ascii="Symbol" w:hAnsi="Symbol" w:hint="default"/>
      </w:rPr>
    </w:lvl>
    <w:lvl w:ilvl="7" w:tplc="3796C74A">
      <w:start w:val="1"/>
      <w:numFmt w:val="bullet"/>
      <w:lvlText w:val="o"/>
      <w:lvlJc w:val="left"/>
      <w:pPr>
        <w:ind w:left="5760" w:hanging="360"/>
      </w:pPr>
      <w:rPr>
        <w:rFonts w:ascii="Courier New" w:hAnsi="Courier New" w:hint="default"/>
      </w:rPr>
    </w:lvl>
    <w:lvl w:ilvl="8" w:tplc="E4120930">
      <w:start w:val="1"/>
      <w:numFmt w:val="bullet"/>
      <w:lvlText w:val=""/>
      <w:lvlJc w:val="left"/>
      <w:pPr>
        <w:ind w:left="6480" w:hanging="360"/>
      </w:pPr>
      <w:rPr>
        <w:rFonts w:ascii="Wingdings" w:hAnsi="Wingdings" w:hint="default"/>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586664"/>
    <w:multiLevelType w:val="hybridMultilevel"/>
    <w:tmpl w:val="42367364"/>
    <w:lvl w:ilvl="0" w:tplc="2AB6F32E">
      <w:start w:val="1"/>
      <w:numFmt w:val="decimal"/>
      <w:lvlText w:val="%1."/>
      <w:lvlJc w:val="left"/>
      <w:pPr>
        <w:ind w:left="720" w:hanging="360"/>
      </w:pPr>
    </w:lvl>
    <w:lvl w:ilvl="1" w:tplc="AC10980C">
      <w:start w:val="1"/>
      <w:numFmt w:val="lowerLetter"/>
      <w:lvlText w:val="%2."/>
      <w:lvlJc w:val="left"/>
      <w:pPr>
        <w:ind w:left="1440" w:hanging="360"/>
      </w:pPr>
    </w:lvl>
    <w:lvl w:ilvl="2" w:tplc="73AE723C">
      <w:start w:val="1"/>
      <w:numFmt w:val="lowerRoman"/>
      <w:lvlText w:val="%3."/>
      <w:lvlJc w:val="right"/>
      <w:pPr>
        <w:ind w:left="2160" w:hanging="180"/>
      </w:pPr>
    </w:lvl>
    <w:lvl w:ilvl="3" w:tplc="DEBEB73A">
      <w:start w:val="1"/>
      <w:numFmt w:val="decimal"/>
      <w:lvlText w:val="%4."/>
      <w:lvlJc w:val="left"/>
      <w:pPr>
        <w:ind w:left="2880" w:hanging="360"/>
      </w:pPr>
    </w:lvl>
    <w:lvl w:ilvl="4" w:tplc="B0680AE6">
      <w:start w:val="1"/>
      <w:numFmt w:val="lowerLetter"/>
      <w:lvlText w:val="%5."/>
      <w:lvlJc w:val="left"/>
      <w:pPr>
        <w:ind w:left="3600" w:hanging="360"/>
      </w:pPr>
    </w:lvl>
    <w:lvl w:ilvl="5" w:tplc="86C00C30">
      <w:start w:val="1"/>
      <w:numFmt w:val="lowerRoman"/>
      <w:lvlText w:val="%6."/>
      <w:lvlJc w:val="right"/>
      <w:pPr>
        <w:ind w:left="4320" w:hanging="180"/>
      </w:pPr>
    </w:lvl>
    <w:lvl w:ilvl="6" w:tplc="E4A88E92">
      <w:start w:val="1"/>
      <w:numFmt w:val="decimal"/>
      <w:lvlText w:val="%7."/>
      <w:lvlJc w:val="left"/>
      <w:pPr>
        <w:ind w:left="5040" w:hanging="360"/>
      </w:pPr>
    </w:lvl>
    <w:lvl w:ilvl="7" w:tplc="DF22B334">
      <w:start w:val="1"/>
      <w:numFmt w:val="lowerLetter"/>
      <w:lvlText w:val="%8."/>
      <w:lvlJc w:val="left"/>
      <w:pPr>
        <w:ind w:left="5760" w:hanging="360"/>
      </w:pPr>
    </w:lvl>
    <w:lvl w:ilvl="8" w:tplc="430CB9DA">
      <w:start w:val="1"/>
      <w:numFmt w:val="lowerRoman"/>
      <w:lvlText w:val="%9."/>
      <w:lvlJc w:val="right"/>
      <w:pPr>
        <w:ind w:left="6480" w:hanging="180"/>
      </w:pPr>
    </w:lvl>
  </w:abstractNum>
  <w:abstractNum w:abstractNumId="17" w15:restartNumberingAfterBreak="0">
    <w:nsid w:val="11EF1F91"/>
    <w:multiLevelType w:val="hybridMultilevel"/>
    <w:tmpl w:val="1C903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80A5F"/>
    <w:multiLevelType w:val="hybridMultilevel"/>
    <w:tmpl w:val="068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1B5B93"/>
    <w:multiLevelType w:val="hybridMultilevel"/>
    <w:tmpl w:val="B422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3D3ACB"/>
    <w:multiLevelType w:val="hybridMultilevel"/>
    <w:tmpl w:val="45C8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1237C6"/>
    <w:multiLevelType w:val="hybridMultilevel"/>
    <w:tmpl w:val="E68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39A36E"/>
    <w:multiLevelType w:val="hybridMultilevel"/>
    <w:tmpl w:val="EFC89188"/>
    <w:lvl w:ilvl="0" w:tplc="A03A452A">
      <w:start w:val="1"/>
      <w:numFmt w:val="bullet"/>
      <w:lvlText w:val="·"/>
      <w:lvlJc w:val="left"/>
      <w:pPr>
        <w:ind w:left="720" w:hanging="360"/>
      </w:pPr>
      <w:rPr>
        <w:rFonts w:ascii="Symbol" w:hAnsi="Symbol" w:hint="default"/>
      </w:rPr>
    </w:lvl>
    <w:lvl w:ilvl="1" w:tplc="A816E828">
      <w:start w:val="1"/>
      <w:numFmt w:val="bullet"/>
      <w:lvlText w:val="o"/>
      <w:lvlJc w:val="left"/>
      <w:pPr>
        <w:ind w:left="1440" w:hanging="360"/>
      </w:pPr>
      <w:rPr>
        <w:rFonts w:ascii="Courier New" w:hAnsi="Courier New" w:hint="default"/>
      </w:rPr>
    </w:lvl>
    <w:lvl w:ilvl="2" w:tplc="EFFE98A6">
      <w:start w:val="1"/>
      <w:numFmt w:val="bullet"/>
      <w:lvlText w:val=""/>
      <w:lvlJc w:val="left"/>
      <w:pPr>
        <w:ind w:left="2160" w:hanging="360"/>
      </w:pPr>
      <w:rPr>
        <w:rFonts w:ascii="Wingdings" w:hAnsi="Wingdings" w:hint="default"/>
      </w:rPr>
    </w:lvl>
    <w:lvl w:ilvl="3" w:tplc="BDE216A2">
      <w:start w:val="1"/>
      <w:numFmt w:val="bullet"/>
      <w:lvlText w:val=""/>
      <w:lvlJc w:val="left"/>
      <w:pPr>
        <w:ind w:left="2880" w:hanging="360"/>
      </w:pPr>
      <w:rPr>
        <w:rFonts w:ascii="Symbol" w:hAnsi="Symbol" w:hint="default"/>
      </w:rPr>
    </w:lvl>
    <w:lvl w:ilvl="4" w:tplc="8474F068">
      <w:start w:val="1"/>
      <w:numFmt w:val="bullet"/>
      <w:lvlText w:val="o"/>
      <w:lvlJc w:val="left"/>
      <w:pPr>
        <w:ind w:left="3600" w:hanging="360"/>
      </w:pPr>
      <w:rPr>
        <w:rFonts w:ascii="Courier New" w:hAnsi="Courier New" w:hint="default"/>
      </w:rPr>
    </w:lvl>
    <w:lvl w:ilvl="5" w:tplc="4C607D2C">
      <w:start w:val="1"/>
      <w:numFmt w:val="bullet"/>
      <w:lvlText w:val=""/>
      <w:lvlJc w:val="left"/>
      <w:pPr>
        <w:ind w:left="4320" w:hanging="360"/>
      </w:pPr>
      <w:rPr>
        <w:rFonts w:ascii="Wingdings" w:hAnsi="Wingdings" w:hint="default"/>
      </w:rPr>
    </w:lvl>
    <w:lvl w:ilvl="6" w:tplc="9B86F45A">
      <w:start w:val="1"/>
      <w:numFmt w:val="bullet"/>
      <w:lvlText w:val=""/>
      <w:lvlJc w:val="left"/>
      <w:pPr>
        <w:ind w:left="5040" w:hanging="360"/>
      </w:pPr>
      <w:rPr>
        <w:rFonts w:ascii="Symbol" w:hAnsi="Symbol" w:hint="default"/>
      </w:rPr>
    </w:lvl>
    <w:lvl w:ilvl="7" w:tplc="CE0E6F52">
      <w:start w:val="1"/>
      <w:numFmt w:val="bullet"/>
      <w:lvlText w:val="o"/>
      <w:lvlJc w:val="left"/>
      <w:pPr>
        <w:ind w:left="5760" w:hanging="360"/>
      </w:pPr>
      <w:rPr>
        <w:rFonts w:ascii="Courier New" w:hAnsi="Courier New" w:hint="default"/>
      </w:rPr>
    </w:lvl>
    <w:lvl w:ilvl="8" w:tplc="0C9AC082">
      <w:start w:val="1"/>
      <w:numFmt w:val="bullet"/>
      <w:lvlText w:val=""/>
      <w:lvlJc w:val="left"/>
      <w:pPr>
        <w:ind w:left="6480" w:hanging="360"/>
      </w:pPr>
      <w:rPr>
        <w:rFonts w:ascii="Wingdings" w:hAnsi="Wingdings" w:hint="default"/>
      </w:rPr>
    </w:lvl>
  </w:abstractNum>
  <w:abstractNum w:abstractNumId="32" w15:restartNumberingAfterBreak="0">
    <w:nsid w:val="233B267B"/>
    <w:multiLevelType w:val="hybridMultilevel"/>
    <w:tmpl w:val="BA38749C"/>
    <w:lvl w:ilvl="0" w:tplc="E63E9432">
      <w:start w:val="1"/>
      <w:numFmt w:val="bullet"/>
      <w:lvlText w:val="·"/>
      <w:lvlJc w:val="left"/>
      <w:pPr>
        <w:ind w:left="720" w:hanging="360"/>
      </w:pPr>
      <w:rPr>
        <w:rFonts w:ascii="Symbol" w:hAnsi="Symbol" w:hint="default"/>
      </w:rPr>
    </w:lvl>
    <w:lvl w:ilvl="1" w:tplc="E534B40A">
      <w:start w:val="1"/>
      <w:numFmt w:val="bullet"/>
      <w:lvlText w:val="o"/>
      <w:lvlJc w:val="left"/>
      <w:pPr>
        <w:ind w:left="1440" w:hanging="360"/>
      </w:pPr>
      <w:rPr>
        <w:rFonts w:ascii="Courier New" w:hAnsi="Courier New" w:hint="default"/>
      </w:rPr>
    </w:lvl>
    <w:lvl w:ilvl="2" w:tplc="85CC5D72">
      <w:start w:val="1"/>
      <w:numFmt w:val="bullet"/>
      <w:lvlText w:val=""/>
      <w:lvlJc w:val="left"/>
      <w:pPr>
        <w:ind w:left="2160" w:hanging="360"/>
      </w:pPr>
      <w:rPr>
        <w:rFonts w:ascii="Wingdings" w:hAnsi="Wingdings" w:hint="default"/>
      </w:rPr>
    </w:lvl>
    <w:lvl w:ilvl="3" w:tplc="435C9708">
      <w:start w:val="1"/>
      <w:numFmt w:val="bullet"/>
      <w:lvlText w:val=""/>
      <w:lvlJc w:val="left"/>
      <w:pPr>
        <w:ind w:left="2880" w:hanging="360"/>
      </w:pPr>
      <w:rPr>
        <w:rFonts w:ascii="Symbol" w:hAnsi="Symbol" w:hint="default"/>
      </w:rPr>
    </w:lvl>
    <w:lvl w:ilvl="4" w:tplc="AB161DCE">
      <w:start w:val="1"/>
      <w:numFmt w:val="bullet"/>
      <w:lvlText w:val="o"/>
      <w:lvlJc w:val="left"/>
      <w:pPr>
        <w:ind w:left="3600" w:hanging="360"/>
      </w:pPr>
      <w:rPr>
        <w:rFonts w:ascii="Courier New" w:hAnsi="Courier New" w:hint="default"/>
      </w:rPr>
    </w:lvl>
    <w:lvl w:ilvl="5" w:tplc="EC948BB0">
      <w:start w:val="1"/>
      <w:numFmt w:val="bullet"/>
      <w:lvlText w:val=""/>
      <w:lvlJc w:val="left"/>
      <w:pPr>
        <w:ind w:left="4320" w:hanging="360"/>
      </w:pPr>
      <w:rPr>
        <w:rFonts w:ascii="Wingdings" w:hAnsi="Wingdings" w:hint="default"/>
      </w:rPr>
    </w:lvl>
    <w:lvl w:ilvl="6" w:tplc="67022230">
      <w:start w:val="1"/>
      <w:numFmt w:val="bullet"/>
      <w:lvlText w:val=""/>
      <w:lvlJc w:val="left"/>
      <w:pPr>
        <w:ind w:left="5040" w:hanging="360"/>
      </w:pPr>
      <w:rPr>
        <w:rFonts w:ascii="Symbol" w:hAnsi="Symbol" w:hint="default"/>
      </w:rPr>
    </w:lvl>
    <w:lvl w:ilvl="7" w:tplc="FE4C65FE">
      <w:start w:val="1"/>
      <w:numFmt w:val="bullet"/>
      <w:lvlText w:val="o"/>
      <w:lvlJc w:val="left"/>
      <w:pPr>
        <w:ind w:left="5760" w:hanging="360"/>
      </w:pPr>
      <w:rPr>
        <w:rFonts w:ascii="Courier New" w:hAnsi="Courier New" w:hint="default"/>
      </w:rPr>
    </w:lvl>
    <w:lvl w:ilvl="8" w:tplc="32F2DCCC">
      <w:start w:val="1"/>
      <w:numFmt w:val="bullet"/>
      <w:lvlText w:val=""/>
      <w:lvlJc w:val="left"/>
      <w:pPr>
        <w:ind w:left="6480" w:hanging="360"/>
      </w:pPr>
      <w:rPr>
        <w:rFonts w:ascii="Wingdings" w:hAnsi="Wingdings" w:hint="default"/>
      </w:rPr>
    </w:lvl>
  </w:abstractNum>
  <w:abstractNum w:abstractNumId="33" w15:restartNumberingAfterBreak="0">
    <w:nsid w:val="23D842AF"/>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9BACF2"/>
    <w:multiLevelType w:val="hybridMultilevel"/>
    <w:tmpl w:val="E3C47E8E"/>
    <w:lvl w:ilvl="0" w:tplc="7EA87280">
      <w:start w:val="1"/>
      <w:numFmt w:val="bullet"/>
      <w:lvlText w:val="·"/>
      <w:lvlJc w:val="left"/>
      <w:pPr>
        <w:ind w:left="720" w:hanging="360"/>
      </w:pPr>
      <w:rPr>
        <w:rFonts w:ascii="Symbol" w:hAnsi="Symbol" w:hint="default"/>
      </w:rPr>
    </w:lvl>
    <w:lvl w:ilvl="1" w:tplc="00728878">
      <w:start w:val="1"/>
      <w:numFmt w:val="bullet"/>
      <w:lvlText w:val="o"/>
      <w:lvlJc w:val="left"/>
      <w:pPr>
        <w:ind w:left="1440" w:hanging="360"/>
      </w:pPr>
      <w:rPr>
        <w:rFonts w:ascii="Courier New" w:hAnsi="Courier New" w:hint="default"/>
      </w:rPr>
    </w:lvl>
    <w:lvl w:ilvl="2" w:tplc="CAE8B5C6">
      <w:start w:val="1"/>
      <w:numFmt w:val="bullet"/>
      <w:lvlText w:val=""/>
      <w:lvlJc w:val="left"/>
      <w:pPr>
        <w:ind w:left="2160" w:hanging="360"/>
      </w:pPr>
      <w:rPr>
        <w:rFonts w:ascii="Wingdings" w:hAnsi="Wingdings" w:hint="default"/>
      </w:rPr>
    </w:lvl>
    <w:lvl w:ilvl="3" w:tplc="1ED2C38C">
      <w:start w:val="1"/>
      <w:numFmt w:val="bullet"/>
      <w:lvlText w:val=""/>
      <w:lvlJc w:val="left"/>
      <w:pPr>
        <w:ind w:left="2880" w:hanging="360"/>
      </w:pPr>
      <w:rPr>
        <w:rFonts w:ascii="Symbol" w:hAnsi="Symbol" w:hint="default"/>
      </w:rPr>
    </w:lvl>
    <w:lvl w:ilvl="4" w:tplc="4D7CDC66">
      <w:start w:val="1"/>
      <w:numFmt w:val="bullet"/>
      <w:lvlText w:val="o"/>
      <w:lvlJc w:val="left"/>
      <w:pPr>
        <w:ind w:left="3600" w:hanging="360"/>
      </w:pPr>
      <w:rPr>
        <w:rFonts w:ascii="Courier New" w:hAnsi="Courier New" w:hint="default"/>
      </w:rPr>
    </w:lvl>
    <w:lvl w:ilvl="5" w:tplc="B2E0EEE6">
      <w:start w:val="1"/>
      <w:numFmt w:val="bullet"/>
      <w:lvlText w:val=""/>
      <w:lvlJc w:val="left"/>
      <w:pPr>
        <w:ind w:left="4320" w:hanging="360"/>
      </w:pPr>
      <w:rPr>
        <w:rFonts w:ascii="Wingdings" w:hAnsi="Wingdings" w:hint="default"/>
      </w:rPr>
    </w:lvl>
    <w:lvl w:ilvl="6" w:tplc="8F6A49BE">
      <w:start w:val="1"/>
      <w:numFmt w:val="bullet"/>
      <w:lvlText w:val=""/>
      <w:lvlJc w:val="left"/>
      <w:pPr>
        <w:ind w:left="5040" w:hanging="360"/>
      </w:pPr>
      <w:rPr>
        <w:rFonts w:ascii="Symbol" w:hAnsi="Symbol" w:hint="default"/>
      </w:rPr>
    </w:lvl>
    <w:lvl w:ilvl="7" w:tplc="7BFCDAF0">
      <w:start w:val="1"/>
      <w:numFmt w:val="bullet"/>
      <w:lvlText w:val="o"/>
      <w:lvlJc w:val="left"/>
      <w:pPr>
        <w:ind w:left="5760" w:hanging="360"/>
      </w:pPr>
      <w:rPr>
        <w:rFonts w:ascii="Courier New" w:hAnsi="Courier New" w:hint="default"/>
      </w:rPr>
    </w:lvl>
    <w:lvl w:ilvl="8" w:tplc="A4747EB6">
      <w:start w:val="1"/>
      <w:numFmt w:val="bullet"/>
      <w:lvlText w:val=""/>
      <w:lvlJc w:val="left"/>
      <w:pPr>
        <w:ind w:left="6480" w:hanging="360"/>
      </w:pPr>
      <w:rPr>
        <w:rFonts w:ascii="Wingdings" w:hAnsi="Wingdings" w:hint="default"/>
      </w:rPr>
    </w:lvl>
  </w:abstractNum>
  <w:abstractNum w:abstractNumId="35"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6AA0B40"/>
    <w:multiLevelType w:val="hybridMultilevel"/>
    <w:tmpl w:val="C466F2D6"/>
    <w:lvl w:ilvl="0" w:tplc="86308266">
      <w:start w:val="1"/>
      <w:numFmt w:val="lowerLetter"/>
      <w:lvlText w:val="%1."/>
      <w:lvlJc w:val="left"/>
      <w:pPr>
        <w:ind w:left="720" w:hanging="360"/>
      </w:pPr>
      <w:rPr>
        <w:rFonts w:hint="default"/>
        <w:b w:val="0"/>
        <w:color w:val="auto"/>
      </w:rPr>
    </w:lvl>
    <w:lvl w:ilvl="1" w:tplc="0409000F">
      <w:start w:val="1"/>
      <w:numFmt w:val="decimal"/>
      <w:lvlText w:val="%2."/>
      <w:lvlJc w:val="left"/>
      <w:pPr>
        <w:ind w:left="720" w:hanging="360"/>
      </w:p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1" w15:restartNumberingAfterBreak="0">
    <w:nsid w:val="2F103CB2"/>
    <w:multiLevelType w:val="hybridMultilevel"/>
    <w:tmpl w:val="077C9EBE"/>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1B">
      <w:start w:val="1"/>
      <w:numFmt w:val="lowerRoman"/>
      <w:lvlText w:val="%4."/>
      <w:lvlJc w:val="right"/>
      <w:pPr>
        <w:ind w:left="2880" w:hanging="360"/>
      </w:pPr>
      <w:rPr>
        <w:rFonts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43" w15:restartNumberingAfterBreak="0">
    <w:nsid w:val="323736C0"/>
    <w:multiLevelType w:val="hybridMultilevel"/>
    <w:tmpl w:val="51103E6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41E1545"/>
    <w:multiLevelType w:val="multilevel"/>
    <w:tmpl w:val="D1FAE90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750C09"/>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9CE4423"/>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AFCEE"/>
    <w:multiLevelType w:val="hybridMultilevel"/>
    <w:tmpl w:val="D4F40AC4"/>
    <w:lvl w:ilvl="0" w:tplc="4350A206">
      <w:start w:val="1"/>
      <w:numFmt w:val="bullet"/>
      <w:lvlText w:val="·"/>
      <w:lvlJc w:val="left"/>
      <w:pPr>
        <w:ind w:left="720" w:hanging="360"/>
      </w:pPr>
      <w:rPr>
        <w:rFonts w:ascii="Symbol" w:hAnsi="Symbol" w:hint="default"/>
      </w:rPr>
    </w:lvl>
    <w:lvl w:ilvl="1" w:tplc="5D8EAE3E">
      <w:start w:val="1"/>
      <w:numFmt w:val="bullet"/>
      <w:lvlText w:val="o"/>
      <w:lvlJc w:val="left"/>
      <w:pPr>
        <w:ind w:left="1440" w:hanging="360"/>
      </w:pPr>
      <w:rPr>
        <w:rFonts w:ascii="Courier New" w:hAnsi="Courier New" w:hint="default"/>
      </w:rPr>
    </w:lvl>
    <w:lvl w:ilvl="2" w:tplc="14B247A8">
      <w:start w:val="1"/>
      <w:numFmt w:val="bullet"/>
      <w:lvlText w:val=""/>
      <w:lvlJc w:val="left"/>
      <w:pPr>
        <w:ind w:left="2160" w:hanging="360"/>
      </w:pPr>
      <w:rPr>
        <w:rFonts w:ascii="Wingdings" w:hAnsi="Wingdings" w:hint="default"/>
      </w:rPr>
    </w:lvl>
    <w:lvl w:ilvl="3" w:tplc="6A9C43E4">
      <w:start w:val="1"/>
      <w:numFmt w:val="bullet"/>
      <w:lvlText w:val=""/>
      <w:lvlJc w:val="left"/>
      <w:pPr>
        <w:ind w:left="2880" w:hanging="360"/>
      </w:pPr>
      <w:rPr>
        <w:rFonts w:ascii="Symbol" w:hAnsi="Symbol" w:hint="default"/>
      </w:rPr>
    </w:lvl>
    <w:lvl w:ilvl="4" w:tplc="0B68EEB0">
      <w:start w:val="1"/>
      <w:numFmt w:val="bullet"/>
      <w:lvlText w:val="o"/>
      <w:lvlJc w:val="left"/>
      <w:pPr>
        <w:ind w:left="3600" w:hanging="360"/>
      </w:pPr>
      <w:rPr>
        <w:rFonts w:ascii="Courier New" w:hAnsi="Courier New" w:hint="default"/>
      </w:rPr>
    </w:lvl>
    <w:lvl w:ilvl="5" w:tplc="8C562E20">
      <w:start w:val="1"/>
      <w:numFmt w:val="bullet"/>
      <w:lvlText w:val=""/>
      <w:lvlJc w:val="left"/>
      <w:pPr>
        <w:ind w:left="4320" w:hanging="360"/>
      </w:pPr>
      <w:rPr>
        <w:rFonts w:ascii="Wingdings" w:hAnsi="Wingdings" w:hint="default"/>
      </w:rPr>
    </w:lvl>
    <w:lvl w:ilvl="6" w:tplc="FDF2D606">
      <w:start w:val="1"/>
      <w:numFmt w:val="bullet"/>
      <w:lvlText w:val=""/>
      <w:lvlJc w:val="left"/>
      <w:pPr>
        <w:ind w:left="5040" w:hanging="360"/>
      </w:pPr>
      <w:rPr>
        <w:rFonts w:ascii="Symbol" w:hAnsi="Symbol" w:hint="default"/>
      </w:rPr>
    </w:lvl>
    <w:lvl w:ilvl="7" w:tplc="460C9B8E">
      <w:start w:val="1"/>
      <w:numFmt w:val="bullet"/>
      <w:lvlText w:val="o"/>
      <w:lvlJc w:val="left"/>
      <w:pPr>
        <w:ind w:left="5760" w:hanging="360"/>
      </w:pPr>
      <w:rPr>
        <w:rFonts w:ascii="Courier New" w:hAnsi="Courier New" w:hint="default"/>
      </w:rPr>
    </w:lvl>
    <w:lvl w:ilvl="8" w:tplc="40DA7A3E">
      <w:start w:val="1"/>
      <w:numFmt w:val="bullet"/>
      <w:lvlText w:val=""/>
      <w:lvlJc w:val="left"/>
      <w:pPr>
        <w:ind w:left="6480" w:hanging="360"/>
      </w:pPr>
      <w:rPr>
        <w:rFonts w:ascii="Wingdings" w:hAnsi="Wingdings" w:hint="default"/>
      </w:rPr>
    </w:lvl>
  </w:abstractNum>
  <w:abstractNum w:abstractNumId="5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5"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8"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9"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C54172"/>
    <w:multiLevelType w:val="hybridMultilevel"/>
    <w:tmpl w:val="D53C0308"/>
    <w:lvl w:ilvl="0" w:tplc="DB641B08">
      <w:start w:val="2"/>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514C2"/>
    <w:multiLevelType w:val="hybridMultilevel"/>
    <w:tmpl w:val="2C2277AE"/>
    <w:lvl w:ilvl="0" w:tplc="04090019">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F275869"/>
    <w:multiLevelType w:val="hybridMultilevel"/>
    <w:tmpl w:val="46F82EC8"/>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1D72698"/>
    <w:multiLevelType w:val="hybridMultilevel"/>
    <w:tmpl w:val="F3C8D916"/>
    <w:lvl w:ilvl="0" w:tplc="BD2CC4BE">
      <w:start w:val="1"/>
      <w:numFmt w:val="bullet"/>
      <w:lvlText w:val="·"/>
      <w:lvlJc w:val="left"/>
      <w:pPr>
        <w:ind w:left="720" w:hanging="360"/>
      </w:pPr>
      <w:rPr>
        <w:rFonts w:ascii="Symbol" w:hAnsi="Symbol" w:hint="default"/>
      </w:rPr>
    </w:lvl>
    <w:lvl w:ilvl="1" w:tplc="5712B284">
      <w:start w:val="1"/>
      <w:numFmt w:val="bullet"/>
      <w:lvlText w:val="o"/>
      <w:lvlJc w:val="left"/>
      <w:pPr>
        <w:ind w:left="1440" w:hanging="360"/>
      </w:pPr>
      <w:rPr>
        <w:rFonts w:ascii="Courier New" w:hAnsi="Courier New" w:hint="default"/>
      </w:rPr>
    </w:lvl>
    <w:lvl w:ilvl="2" w:tplc="2976EEC6">
      <w:start w:val="1"/>
      <w:numFmt w:val="bullet"/>
      <w:lvlText w:val=""/>
      <w:lvlJc w:val="left"/>
      <w:pPr>
        <w:ind w:left="2160" w:hanging="360"/>
      </w:pPr>
      <w:rPr>
        <w:rFonts w:ascii="Wingdings" w:hAnsi="Wingdings" w:hint="default"/>
      </w:rPr>
    </w:lvl>
    <w:lvl w:ilvl="3" w:tplc="E014D984">
      <w:start w:val="1"/>
      <w:numFmt w:val="bullet"/>
      <w:lvlText w:val=""/>
      <w:lvlJc w:val="left"/>
      <w:pPr>
        <w:ind w:left="2880" w:hanging="360"/>
      </w:pPr>
      <w:rPr>
        <w:rFonts w:ascii="Symbol" w:hAnsi="Symbol" w:hint="default"/>
      </w:rPr>
    </w:lvl>
    <w:lvl w:ilvl="4" w:tplc="573ABE36">
      <w:start w:val="1"/>
      <w:numFmt w:val="bullet"/>
      <w:lvlText w:val="o"/>
      <w:lvlJc w:val="left"/>
      <w:pPr>
        <w:ind w:left="3600" w:hanging="360"/>
      </w:pPr>
      <w:rPr>
        <w:rFonts w:ascii="Courier New" w:hAnsi="Courier New" w:hint="default"/>
      </w:rPr>
    </w:lvl>
    <w:lvl w:ilvl="5" w:tplc="BD1A0ED2">
      <w:start w:val="1"/>
      <w:numFmt w:val="bullet"/>
      <w:lvlText w:val=""/>
      <w:lvlJc w:val="left"/>
      <w:pPr>
        <w:ind w:left="4320" w:hanging="360"/>
      </w:pPr>
      <w:rPr>
        <w:rFonts w:ascii="Wingdings" w:hAnsi="Wingdings" w:hint="default"/>
      </w:rPr>
    </w:lvl>
    <w:lvl w:ilvl="6" w:tplc="F3A80AF4">
      <w:start w:val="1"/>
      <w:numFmt w:val="bullet"/>
      <w:lvlText w:val=""/>
      <w:lvlJc w:val="left"/>
      <w:pPr>
        <w:ind w:left="5040" w:hanging="360"/>
      </w:pPr>
      <w:rPr>
        <w:rFonts w:ascii="Symbol" w:hAnsi="Symbol" w:hint="default"/>
      </w:rPr>
    </w:lvl>
    <w:lvl w:ilvl="7" w:tplc="92066D34">
      <w:start w:val="1"/>
      <w:numFmt w:val="bullet"/>
      <w:lvlText w:val="o"/>
      <w:lvlJc w:val="left"/>
      <w:pPr>
        <w:ind w:left="5760" w:hanging="360"/>
      </w:pPr>
      <w:rPr>
        <w:rFonts w:ascii="Courier New" w:hAnsi="Courier New" w:hint="default"/>
      </w:rPr>
    </w:lvl>
    <w:lvl w:ilvl="8" w:tplc="DBD29742">
      <w:start w:val="1"/>
      <w:numFmt w:val="bullet"/>
      <w:lvlText w:val=""/>
      <w:lvlJc w:val="left"/>
      <w:pPr>
        <w:ind w:left="6480" w:hanging="360"/>
      </w:pPr>
      <w:rPr>
        <w:rFonts w:ascii="Wingdings" w:hAnsi="Wingdings" w:hint="default"/>
      </w:rPr>
    </w:lvl>
  </w:abstractNum>
  <w:abstractNum w:abstractNumId="67" w15:restartNumberingAfterBreak="0">
    <w:nsid w:val="534F470F"/>
    <w:multiLevelType w:val="hybridMultilevel"/>
    <w:tmpl w:val="45A8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A95025"/>
    <w:multiLevelType w:val="hybridMultilevel"/>
    <w:tmpl w:val="E7E8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7B0F4DC"/>
    <w:multiLevelType w:val="hybridMultilevel"/>
    <w:tmpl w:val="FAD2E5B0"/>
    <w:lvl w:ilvl="0" w:tplc="3522ACB2">
      <w:start w:val="1"/>
      <w:numFmt w:val="bullet"/>
      <w:lvlText w:val="·"/>
      <w:lvlJc w:val="left"/>
      <w:pPr>
        <w:ind w:left="720" w:hanging="360"/>
      </w:pPr>
      <w:rPr>
        <w:rFonts w:ascii="Symbol" w:hAnsi="Symbol" w:hint="default"/>
      </w:rPr>
    </w:lvl>
    <w:lvl w:ilvl="1" w:tplc="BD10BEF8">
      <w:start w:val="1"/>
      <w:numFmt w:val="bullet"/>
      <w:lvlText w:val="o"/>
      <w:lvlJc w:val="left"/>
      <w:pPr>
        <w:ind w:left="1440" w:hanging="360"/>
      </w:pPr>
      <w:rPr>
        <w:rFonts w:ascii="Courier New" w:hAnsi="Courier New" w:hint="default"/>
      </w:rPr>
    </w:lvl>
    <w:lvl w:ilvl="2" w:tplc="C472F3F2">
      <w:start w:val="1"/>
      <w:numFmt w:val="bullet"/>
      <w:lvlText w:val=""/>
      <w:lvlJc w:val="left"/>
      <w:pPr>
        <w:ind w:left="2160" w:hanging="360"/>
      </w:pPr>
      <w:rPr>
        <w:rFonts w:ascii="Wingdings" w:hAnsi="Wingdings" w:hint="default"/>
      </w:rPr>
    </w:lvl>
    <w:lvl w:ilvl="3" w:tplc="311C6200">
      <w:start w:val="1"/>
      <w:numFmt w:val="bullet"/>
      <w:lvlText w:val=""/>
      <w:lvlJc w:val="left"/>
      <w:pPr>
        <w:ind w:left="2880" w:hanging="360"/>
      </w:pPr>
      <w:rPr>
        <w:rFonts w:ascii="Symbol" w:hAnsi="Symbol" w:hint="default"/>
      </w:rPr>
    </w:lvl>
    <w:lvl w:ilvl="4" w:tplc="0214226A">
      <w:start w:val="1"/>
      <w:numFmt w:val="bullet"/>
      <w:lvlText w:val="o"/>
      <w:lvlJc w:val="left"/>
      <w:pPr>
        <w:ind w:left="3600" w:hanging="360"/>
      </w:pPr>
      <w:rPr>
        <w:rFonts w:ascii="Courier New" w:hAnsi="Courier New" w:hint="default"/>
      </w:rPr>
    </w:lvl>
    <w:lvl w:ilvl="5" w:tplc="9118F0B4">
      <w:start w:val="1"/>
      <w:numFmt w:val="bullet"/>
      <w:lvlText w:val=""/>
      <w:lvlJc w:val="left"/>
      <w:pPr>
        <w:ind w:left="4320" w:hanging="360"/>
      </w:pPr>
      <w:rPr>
        <w:rFonts w:ascii="Wingdings" w:hAnsi="Wingdings" w:hint="default"/>
      </w:rPr>
    </w:lvl>
    <w:lvl w:ilvl="6" w:tplc="B18CEE3E">
      <w:start w:val="1"/>
      <w:numFmt w:val="bullet"/>
      <w:lvlText w:val=""/>
      <w:lvlJc w:val="left"/>
      <w:pPr>
        <w:ind w:left="5040" w:hanging="360"/>
      </w:pPr>
      <w:rPr>
        <w:rFonts w:ascii="Symbol" w:hAnsi="Symbol" w:hint="default"/>
      </w:rPr>
    </w:lvl>
    <w:lvl w:ilvl="7" w:tplc="49C452E8">
      <w:start w:val="1"/>
      <w:numFmt w:val="bullet"/>
      <w:lvlText w:val="o"/>
      <w:lvlJc w:val="left"/>
      <w:pPr>
        <w:ind w:left="5760" w:hanging="360"/>
      </w:pPr>
      <w:rPr>
        <w:rFonts w:ascii="Courier New" w:hAnsi="Courier New" w:hint="default"/>
      </w:rPr>
    </w:lvl>
    <w:lvl w:ilvl="8" w:tplc="0B309B02">
      <w:start w:val="1"/>
      <w:numFmt w:val="bullet"/>
      <w:lvlText w:val=""/>
      <w:lvlJc w:val="left"/>
      <w:pPr>
        <w:ind w:left="6480" w:hanging="360"/>
      </w:pPr>
      <w:rPr>
        <w:rFonts w:ascii="Wingdings" w:hAnsi="Wingdings" w:hint="default"/>
      </w:rPr>
    </w:lvl>
  </w:abstractNum>
  <w:abstractNum w:abstractNumId="74"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042F3C"/>
    <w:multiLevelType w:val="hybridMultilevel"/>
    <w:tmpl w:val="2EDC201C"/>
    <w:lvl w:ilvl="0" w:tplc="264ECC02">
      <w:start w:val="1"/>
      <w:numFmt w:val="bullet"/>
      <w:lvlText w:val="·"/>
      <w:lvlJc w:val="left"/>
      <w:pPr>
        <w:ind w:left="720" w:hanging="360"/>
      </w:pPr>
      <w:rPr>
        <w:rFonts w:ascii="Symbol" w:hAnsi="Symbol" w:hint="default"/>
      </w:rPr>
    </w:lvl>
    <w:lvl w:ilvl="1" w:tplc="EA206A9C">
      <w:start w:val="1"/>
      <w:numFmt w:val="bullet"/>
      <w:lvlText w:val="o"/>
      <w:lvlJc w:val="left"/>
      <w:pPr>
        <w:ind w:left="1440" w:hanging="360"/>
      </w:pPr>
      <w:rPr>
        <w:rFonts w:ascii="Courier New" w:hAnsi="Courier New" w:hint="default"/>
      </w:rPr>
    </w:lvl>
    <w:lvl w:ilvl="2" w:tplc="417A46C6">
      <w:start w:val="1"/>
      <w:numFmt w:val="bullet"/>
      <w:lvlText w:val=""/>
      <w:lvlJc w:val="left"/>
      <w:pPr>
        <w:ind w:left="2160" w:hanging="360"/>
      </w:pPr>
      <w:rPr>
        <w:rFonts w:ascii="Wingdings" w:hAnsi="Wingdings" w:hint="default"/>
      </w:rPr>
    </w:lvl>
    <w:lvl w:ilvl="3" w:tplc="AC3C2BD8">
      <w:start w:val="1"/>
      <w:numFmt w:val="bullet"/>
      <w:lvlText w:val=""/>
      <w:lvlJc w:val="left"/>
      <w:pPr>
        <w:ind w:left="2880" w:hanging="360"/>
      </w:pPr>
      <w:rPr>
        <w:rFonts w:ascii="Symbol" w:hAnsi="Symbol" w:hint="default"/>
      </w:rPr>
    </w:lvl>
    <w:lvl w:ilvl="4" w:tplc="5090FAA0">
      <w:start w:val="1"/>
      <w:numFmt w:val="bullet"/>
      <w:lvlText w:val="o"/>
      <w:lvlJc w:val="left"/>
      <w:pPr>
        <w:ind w:left="3600" w:hanging="360"/>
      </w:pPr>
      <w:rPr>
        <w:rFonts w:ascii="Courier New" w:hAnsi="Courier New" w:hint="default"/>
      </w:rPr>
    </w:lvl>
    <w:lvl w:ilvl="5" w:tplc="5FC819AC">
      <w:start w:val="1"/>
      <w:numFmt w:val="bullet"/>
      <w:lvlText w:val=""/>
      <w:lvlJc w:val="left"/>
      <w:pPr>
        <w:ind w:left="4320" w:hanging="360"/>
      </w:pPr>
      <w:rPr>
        <w:rFonts w:ascii="Wingdings" w:hAnsi="Wingdings" w:hint="default"/>
      </w:rPr>
    </w:lvl>
    <w:lvl w:ilvl="6" w:tplc="49B6320E">
      <w:start w:val="1"/>
      <w:numFmt w:val="bullet"/>
      <w:lvlText w:val=""/>
      <w:lvlJc w:val="left"/>
      <w:pPr>
        <w:ind w:left="5040" w:hanging="360"/>
      </w:pPr>
      <w:rPr>
        <w:rFonts w:ascii="Symbol" w:hAnsi="Symbol" w:hint="default"/>
      </w:rPr>
    </w:lvl>
    <w:lvl w:ilvl="7" w:tplc="932EE7F2">
      <w:start w:val="1"/>
      <w:numFmt w:val="bullet"/>
      <w:lvlText w:val="o"/>
      <w:lvlJc w:val="left"/>
      <w:pPr>
        <w:ind w:left="5760" w:hanging="360"/>
      </w:pPr>
      <w:rPr>
        <w:rFonts w:ascii="Courier New" w:hAnsi="Courier New" w:hint="default"/>
      </w:rPr>
    </w:lvl>
    <w:lvl w:ilvl="8" w:tplc="B5DC43FA">
      <w:start w:val="1"/>
      <w:numFmt w:val="bullet"/>
      <w:lvlText w:val=""/>
      <w:lvlJc w:val="left"/>
      <w:pPr>
        <w:ind w:left="6480" w:hanging="360"/>
      </w:pPr>
      <w:rPr>
        <w:rFonts w:ascii="Wingdings" w:hAnsi="Wingdings" w:hint="default"/>
      </w:rPr>
    </w:lvl>
  </w:abstractNum>
  <w:abstractNum w:abstractNumId="77"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79" w15:restartNumberingAfterBreak="0">
    <w:nsid w:val="5C896A51"/>
    <w:multiLevelType w:val="hybridMultilevel"/>
    <w:tmpl w:val="5A365896"/>
    <w:lvl w:ilvl="0" w:tplc="D68672DE">
      <w:start w:val="1"/>
      <w:numFmt w:val="bullet"/>
      <w:lvlText w:val="·"/>
      <w:lvlJc w:val="left"/>
      <w:pPr>
        <w:ind w:left="720" w:hanging="360"/>
      </w:pPr>
      <w:rPr>
        <w:rFonts w:ascii="Symbol" w:hAnsi="Symbol" w:hint="default"/>
      </w:rPr>
    </w:lvl>
    <w:lvl w:ilvl="1" w:tplc="1C5C6A90">
      <w:start w:val="1"/>
      <w:numFmt w:val="bullet"/>
      <w:lvlText w:val="o"/>
      <w:lvlJc w:val="left"/>
      <w:pPr>
        <w:ind w:left="1440" w:hanging="360"/>
      </w:pPr>
      <w:rPr>
        <w:rFonts w:ascii="Courier New" w:hAnsi="Courier New" w:hint="default"/>
      </w:rPr>
    </w:lvl>
    <w:lvl w:ilvl="2" w:tplc="8A8EEEFC">
      <w:start w:val="1"/>
      <w:numFmt w:val="bullet"/>
      <w:lvlText w:val=""/>
      <w:lvlJc w:val="left"/>
      <w:pPr>
        <w:ind w:left="2160" w:hanging="360"/>
      </w:pPr>
      <w:rPr>
        <w:rFonts w:ascii="Wingdings" w:hAnsi="Wingdings" w:hint="default"/>
      </w:rPr>
    </w:lvl>
    <w:lvl w:ilvl="3" w:tplc="D07A6B06">
      <w:start w:val="1"/>
      <w:numFmt w:val="bullet"/>
      <w:lvlText w:val=""/>
      <w:lvlJc w:val="left"/>
      <w:pPr>
        <w:ind w:left="2880" w:hanging="360"/>
      </w:pPr>
      <w:rPr>
        <w:rFonts w:ascii="Symbol" w:hAnsi="Symbol" w:hint="default"/>
      </w:rPr>
    </w:lvl>
    <w:lvl w:ilvl="4" w:tplc="5E8EC2EA">
      <w:start w:val="1"/>
      <w:numFmt w:val="bullet"/>
      <w:lvlText w:val="o"/>
      <w:lvlJc w:val="left"/>
      <w:pPr>
        <w:ind w:left="3600" w:hanging="360"/>
      </w:pPr>
      <w:rPr>
        <w:rFonts w:ascii="Courier New" w:hAnsi="Courier New" w:hint="default"/>
      </w:rPr>
    </w:lvl>
    <w:lvl w:ilvl="5" w:tplc="39004072">
      <w:start w:val="1"/>
      <w:numFmt w:val="bullet"/>
      <w:lvlText w:val=""/>
      <w:lvlJc w:val="left"/>
      <w:pPr>
        <w:ind w:left="4320" w:hanging="360"/>
      </w:pPr>
      <w:rPr>
        <w:rFonts w:ascii="Wingdings" w:hAnsi="Wingdings" w:hint="default"/>
      </w:rPr>
    </w:lvl>
    <w:lvl w:ilvl="6" w:tplc="E7182F30">
      <w:start w:val="1"/>
      <w:numFmt w:val="bullet"/>
      <w:lvlText w:val=""/>
      <w:lvlJc w:val="left"/>
      <w:pPr>
        <w:ind w:left="5040" w:hanging="360"/>
      </w:pPr>
      <w:rPr>
        <w:rFonts w:ascii="Symbol" w:hAnsi="Symbol" w:hint="default"/>
      </w:rPr>
    </w:lvl>
    <w:lvl w:ilvl="7" w:tplc="8C38C9E4">
      <w:start w:val="1"/>
      <w:numFmt w:val="bullet"/>
      <w:lvlText w:val="o"/>
      <w:lvlJc w:val="left"/>
      <w:pPr>
        <w:ind w:left="5760" w:hanging="360"/>
      </w:pPr>
      <w:rPr>
        <w:rFonts w:ascii="Courier New" w:hAnsi="Courier New" w:hint="default"/>
      </w:rPr>
    </w:lvl>
    <w:lvl w:ilvl="8" w:tplc="A3EE89A4">
      <w:start w:val="1"/>
      <w:numFmt w:val="bullet"/>
      <w:lvlText w:val=""/>
      <w:lvlJc w:val="left"/>
      <w:pPr>
        <w:ind w:left="6480" w:hanging="360"/>
      </w:pPr>
      <w:rPr>
        <w:rFonts w:ascii="Wingdings" w:hAnsi="Wingdings" w:hint="default"/>
      </w:rPr>
    </w:lvl>
  </w:abstractNum>
  <w:abstractNum w:abstractNumId="8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1"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2" w15:restartNumberingAfterBreak="0">
    <w:nsid w:val="5FD822EA"/>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3F63B9"/>
    <w:multiLevelType w:val="hybridMultilevel"/>
    <w:tmpl w:val="C9B0F236"/>
    <w:styleLink w:val="RFP"/>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6BF813B"/>
    <w:multiLevelType w:val="hybridMultilevel"/>
    <w:tmpl w:val="1FD6C606"/>
    <w:lvl w:ilvl="0" w:tplc="4BF69CF0">
      <w:start w:val="1"/>
      <w:numFmt w:val="bullet"/>
      <w:lvlText w:val="·"/>
      <w:lvlJc w:val="left"/>
      <w:pPr>
        <w:ind w:left="720" w:hanging="360"/>
      </w:pPr>
      <w:rPr>
        <w:rFonts w:ascii="Symbol" w:hAnsi="Symbol" w:hint="default"/>
      </w:rPr>
    </w:lvl>
    <w:lvl w:ilvl="1" w:tplc="42623120">
      <w:start w:val="1"/>
      <w:numFmt w:val="bullet"/>
      <w:lvlText w:val="o"/>
      <w:lvlJc w:val="left"/>
      <w:pPr>
        <w:ind w:left="1440" w:hanging="360"/>
      </w:pPr>
      <w:rPr>
        <w:rFonts w:ascii="Courier New" w:hAnsi="Courier New" w:hint="default"/>
      </w:rPr>
    </w:lvl>
    <w:lvl w:ilvl="2" w:tplc="E70EACAA">
      <w:start w:val="1"/>
      <w:numFmt w:val="bullet"/>
      <w:lvlText w:val=""/>
      <w:lvlJc w:val="left"/>
      <w:pPr>
        <w:ind w:left="2160" w:hanging="360"/>
      </w:pPr>
      <w:rPr>
        <w:rFonts w:ascii="Wingdings" w:hAnsi="Wingdings" w:hint="default"/>
      </w:rPr>
    </w:lvl>
    <w:lvl w:ilvl="3" w:tplc="AB72C926">
      <w:start w:val="1"/>
      <w:numFmt w:val="bullet"/>
      <w:lvlText w:val=""/>
      <w:lvlJc w:val="left"/>
      <w:pPr>
        <w:ind w:left="2880" w:hanging="360"/>
      </w:pPr>
      <w:rPr>
        <w:rFonts w:ascii="Symbol" w:hAnsi="Symbol" w:hint="default"/>
      </w:rPr>
    </w:lvl>
    <w:lvl w:ilvl="4" w:tplc="4D24E7EC">
      <w:start w:val="1"/>
      <w:numFmt w:val="bullet"/>
      <w:lvlText w:val="o"/>
      <w:lvlJc w:val="left"/>
      <w:pPr>
        <w:ind w:left="3600" w:hanging="360"/>
      </w:pPr>
      <w:rPr>
        <w:rFonts w:ascii="Courier New" w:hAnsi="Courier New" w:hint="default"/>
      </w:rPr>
    </w:lvl>
    <w:lvl w:ilvl="5" w:tplc="FED833E6">
      <w:start w:val="1"/>
      <w:numFmt w:val="bullet"/>
      <w:lvlText w:val=""/>
      <w:lvlJc w:val="left"/>
      <w:pPr>
        <w:ind w:left="4320" w:hanging="360"/>
      </w:pPr>
      <w:rPr>
        <w:rFonts w:ascii="Wingdings" w:hAnsi="Wingdings" w:hint="default"/>
      </w:rPr>
    </w:lvl>
    <w:lvl w:ilvl="6" w:tplc="68166AC0">
      <w:start w:val="1"/>
      <w:numFmt w:val="bullet"/>
      <w:lvlText w:val=""/>
      <w:lvlJc w:val="left"/>
      <w:pPr>
        <w:ind w:left="5040" w:hanging="360"/>
      </w:pPr>
      <w:rPr>
        <w:rFonts w:ascii="Symbol" w:hAnsi="Symbol" w:hint="default"/>
      </w:rPr>
    </w:lvl>
    <w:lvl w:ilvl="7" w:tplc="D626F99A">
      <w:start w:val="1"/>
      <w:numFmt w:val="bullet"/>
      <w:lvlText w:val="o"/>
      <w:lvlJc w:val="left"/>
      <w:pPr>
        <w:ind w:left="5760" w:hanging="360"/>
      </w:pPr>
      <w:rPr>
        <w:rFonts w:ascii="Courier New" w:hAnsi="Courier New" w:hint="default"/>
      </w:rPr>
    </w:lvl>
    <w:lvl w:ilvl="8" w:tplc="47AC06FE">
      <w:start w:val="1"/>
      <w:numFmt w:val="bullet"/>
      <w:lvlText w:val=""/>
      <w:lvlJc w:val="left"/>
      <w:pPr>
        <w:ind w:left="6480" w:hanging="360"/>
      </w:pPr>
      <w:rPr>
        <w:rFonts w:ascii="Wingdings" w:hAnsi="Wingdings" w:hint="default"/>
      </w:rPr>
    </w:lvl>
  </w:abstractNum>
  <w:abstractNum w:abstractNumId="88"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B7BD70"/>
    <w:multiLevelType w:val="hybridMultilevel"/>
    <w:tmpl w:val="8110A9E8"/>
    <w:lvl w:ilvl="0" w:tplc="951034DE">
      <w:start w:val="1"/>
      <w:numFmt w:val="bullet"/>
      <w:lvlText w:val="·"/>
      <w:lvlJc w:val="left"/>
      <w:pPr>
        <w:ind w:left="720" w:hanging="360"/>
      </w:pPr>
      <w:rPr>
        <w:rFonts w:ascii="Symbol" w:hAnsi="Symbol" w:hint="default"/>
      </w:rPr>
    </w:lvl>
    <w:lvl w:ilvl="1" w:tplc="8CD2EBC4">
      <w:start w:val="1"/>
      <w:numFmt w:val="bullet"/>
      <w:lvlText w:val="o"/>
      <w:lvlJc w:val="left"/>
      <w:pPr>
        <w:ind w:left="1440" w:hanging="360"/>
      </w:pPr>
      <w:rPr>
        <w:rFonts w:ascii="Courier New" w:hAnsi="Courier New" w:hint="default"/>
      </w:rPr>
    </w:lvl>
    <w:lvl w:ilvl="2" w:tplc="3F54D58C">
      <w:start w:val="1"/>
      <w:numFmt w:val="bullet"/>
      <w:lvlText w:val=""/>
      <w:lvlJc w:val="left"/>
      <w:pPr>
        <w:ind w:left="2160" w:hanging="360"/>
      </w:pPr>
      <w:rPr>
        <w:rFonts w:ascii="Wingdings" w:hAnsi="Wingdings" w:hint="default"/>
      </w:rPr>
    </w:lvl>
    <w:lvl w:ilvl="3" w:tplc="07186E94">
      <w:start w:val="1"/>
      <w:numFmt w:val="bullet"/>
      <w:lvlText w:val=""/>
      <w:lvlJc w:val="left"/>
      <w:pPr>
        <w:ind w:left="2880" w:hanging="360"/>
      </w:pPr>
      <w:rPr>
        <w:rFonts w:ascii="Symbol" w:hAnsi="Symbol" w:hint="default"/>
      </w:rPr>
    </w:lvl>
    <w:lvl w:ilvl="4" w:tplc="A0B85FCE">
      <w:start w:val="1"/>
      <w:numFmt w:val="bullet"/>
      <w:lvlText w:val="o"/>
      <w:lvlJc w:val="left"/>
      <w:pPr>
        <w:ind w:left="3600" w:hanging="360"/>
      </w:pPr>
      <w:rPr>
        <w:rFonts w:ascii="Courier New" w:hAnsi="Courier New" w:hint="default"/>
      </w:rPr>
    </w:lvl>
    <w:lvl w:ilvl="5" w:tplc="E59A06E6">
      <w:start w:val="1"/>
      <w:numFmt w:val="bullet"/>
      <w:lvlText w:val=""/>
      <w:lvlJc w:val="left"/>
      <w:pPr>
        <w:ind w:left="4320" w:hanging="360"/>
      </w:pPr>
      <w:rPr>
        <w:rFonts w:ascii="Wingdings" w:hAnsi="Wingdings" w:hint="default"/>
      </w:rPr>
    </w:lvl>
    <w:lvl w:ilvl="6" w:tplc="ECB6934C">
      <w:start w:val="1"/>
      <w:numFmt w:val="bullet"/>
      <w:lvlText w:val=""/>
      <w:lvlJc w:val="left"/>
      <w:pPr>
        <w:ind w:left="5040" w:hanging="360"/>
      </w:pPr>
      <w:rPr>
        <w:rFonts w:ascii="Symbol" w:hAnsi="Symbol" w:hint="default"/>
      </w:rPr>
    </w:lvl>
    <w:lvl w:ilvl="7" w:tplc="5E02F47C">
      <w:start w:val="1"/>
      <w:numFmt w:val="bullet"/>
      <w:lvlText w:val="o"/>
      <w:lvlJc w:val="left"/>
      <w:pPr>
        <w:ind w:left="5760" w:hanging="360"/>
      </w:pPr>
      <w:rPr>
        <w:rFonts w:ascii="Courier New" w:hAnsi="Courier New" w:hint="default"/>
      </w:rPr>
    </w:lvl>
    <w:lvl w:ilvl="8" w:tplc="C19AA7D2">
      <w:start w:val="1"/>
      <w:numFmt w:val="bullet"/>
      <w:lvlText w:val=""/>
      <w:lvlJc w:val="left"/>
      <w:pPr>
        <w:ind w:left="6480" w:hanging="360"/>
      </w:pPr>
      <w:rPr>
        <w:rFonts w:ascii="Wingdings" w:hAnsi="Wingdings" w:hint="default"/>
      </w:rPr>
    </w:lvl>
  </w:abstractNum>
  <w:abstractNum w:abstractNumId="90"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C107945"/>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A710CD"/>
    <w:multiLevelType w:val="hybridMultilevel"/>
    <w:tmpl w:val="2BE8CA9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3" w15:restartNumberingAfterBreak="0">
    <w:nsid w:val="6F36415A"/>
    <w:multiLevelType w:val="hybridMultilevel"/>
    <w:tmpl w:val="BA6680C8"/>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A01564"/>
    <w:multiLevelType w:val="hybridMultilevel"/>
    <w:tmpl w:val="A4FCCE64"/>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B3209C"/>
    <w:multiLevelType w:val="hybridMultilevel"/>
    <w:tmpl w:val="446AFF58"/>
    <w:styleLink w:val="StyleNumberedLeft25Hanging075"/>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94B33"/>
    <w:multiLevelType w:val="hybridMultilevel"/>
    <w:tmpl w:val="CE02BE3A"/>
    <w:lvl w:ilvl="0" w:tplc="540E3190">
      <w:start w:val="1"/>
      <w:numFmt w:val="decimal"/>
      <w:lvlText w:val="%1."/>
      <w:lvlJc w:val="left"/>
      <w:pPr>
        <w:ind w:left="720" w:hanging="360"/>
      </w:pPr>
    </w:lvl>
    <w:lvl w:ilvl="1" w:tplc="C60403D4">
      <w:start w:val="1"/>
      <w:numFmt w:val="lowerLetter"/>
      <w:lvlText w:val="%2."/>
      <w:lvlJc w:val="left"/>
      <w:pPr>
        <w:ind w:left="1440" w:hanging="360"/>
      </w:pPr>
    </w:lvl>
    <w:lvl w:ilvl="2" w:tplc="5C86EF40">
      <w:start w:val="1"/>
      <w:numFmt w:val="lowerRoman"/>
      <w:lvlText w:val="%3."/>
      <w:lvlJc w:val="right"/>
      <w:pPr>
        <w:ind w:left="2160" w:hanging="180"/>
      </w:pPr>
    </w:lvl>
    <w:lvl w:ilvl="3" w:tplc="FD6A4D90">
      <w:start w:val="1"/>
      <w:numFmt w:val="decimal"/>
      <w:lvlText w:val="%4."/>
      <w:lvlJc w:val="left"/>
      <w:pPr>
        <w:ind w:left="2880" w:hanging="360"/>
      </w:pPr>
    </w:lvl>
    <w:lvl w:ilvl="4" w:tplc="E7BEF3D4">
      <w:start w:val="1"/>
      <w:numFmt w:val="lowerLetter"/>
      <w:lvlText w:val="%5."/>
      <w:lvlJc w:val="left"/>
      <w:pPr>
        <w:ind w:left="3600" w:hanging="360"/>
      </w:pPr>
    </w:lvl>
    <w:lvl w:ilvl="5" w:tplc="C5CE112C">
      <w:start w:val="1"/>
      <w:numFmt w:val="lowerRoman"/>
      <w:lvlText w:val="%6."/>
      <w:lvlJc w:val="right"/>
      <w:pPr>
        <w:ind w:left="4320" w:hanging="180"/>
      </w:pPr>
    </w:lvl>
    <w:lvl w:ilvl="6" w:tplc="13ECCACC">
      <w:start w:val="1"/>
      <w:numFmt w:val="decimal"/>
      <w:lvlText w:val="%7."/>
      <w:lvlJc w:val="left"/>
      <w:pPr>
        <w:ind w:left="5040" w:hanging="360"/>
      </w:pPr>
    </w:lvl>
    <w:lvl w:ilvl="7" w:tplc="9D46198A">
      <w:start w:val="1"/>
      <w:numFmt w:val="lowerLetter"/>
      <w:lvlText w:val="%8."/>
      <w:lvlJc w:val="left"/>
      <w:pPr>
        <w:ind w:left="5760" w:hanging="360"/>
      </w:pPr>
    </w:lvl>
    <w:lvl w:ilvl="8" w:tplc="1ABAA538">
      <w:start w:val="1"/>
      <w:numFmt w:val="lowerRoman"/>
      <w:lvlText w:val="%9."/>
      <w:lvlJc w:val="right"/>
      <w:pPr>
        <w:ind w:left="6480" w:hanging="180"/>
      </w:pPr>
    </w:lvl>
  </w:abstractNum>
  <w:abstractNum w:abstractNumId="101"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02"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6C76FFD"/>
    <w:multiLevelType w:val="hybridMultilevel"/>
    <w:tmpl w:val="79EA9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5"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C79712F"/>
    <w:multiLevelType w:val="hybridMultilevel"/>
    <w:tmpl w:val="90DE1EB8"/>
    <w:lvl w:ilvl="0" w:tplc="6FD0197E">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E664C2"/>
    <w:multiLevelType w:val="hybridMultilevel"/>
    <w:tmpl w:val="79E49C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A61ACE"/>
    <w:multiLevelType w:val="hybridMultilevel"/>
    <w:tmpl w:val="1E004A2C"/>
    <w:lvl w:ilvl="0" w:tplc="FFFFFFFF">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E097A70"/>
    <w:multiLevelType w:val="hybridMultilevel"/>
    <w:tmpl w:val="F62C9F9C"/>
    <w:styleLink w:val="StyleNumbered11ptLeft025Hanging05"/>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2AEC6C"/>
    <w:multiLevelType w:val="hybridMultilevel"/>
    <w:tmpl w:val="5C50EC16"/>
    <w:lvl w:ilvl="0" w:tplc="8DD8273E">
      <w:start w:val="1"/>
      <w:numFmt w:val="bullet"/>
      <w:lvlText w:val="·"/>
      <w:lvlJc w:val="left"/>
      <w:pPr>
        <w:ind w:left="720" w:hanging="360"/>
      </w:pPr>
      <w:rPr>
        <w:rFonts w:ascii="Symbol" w:hAnsi="Symbol" w:hint="default"/>
      </w:rPr>
    </w:lvl>
    <w:lvl w:ilvl="1" w:tplc="E60029C8">
      <w:start w:val="1"/>
      <w:numFmt w:val="bullet"/>
      <w:lvlText w:val="o"/>
      <w:lvlJc w:val="left"/>
      <w:pPr>
        <w:ind w:left="1440" w:hanging="360"/>
      </w:pPr>
      <w:rPr>
        <w:rFonts w:ascii="Courier New" w:hAnsi="Courier New" w:hint="default"/>
      </w:rPr>
    </w:lvl>
    <w:lvl w:ilvl="2" w:tplc="2BCE0020">
      <w:start w:val="1"/>
      <w:numFmt w:val="bullet"/>
      <w:lvlText w:val=""/>
      <w:lvlJc w:val="left"/>
      <w:pPr>
        <w:ind w:left="2160" w:hanging="360"/>
      </w:pPr>
      <w:rPr>
        <w:rFonts w:ascii="Wingdings" w:hAnsi="Wingdings" w:hint="default"/>
      </w:rPr>
    </w:lvl>
    <w:lvl w:ilvl="3" w:tplc="2ACC3CA8">
      <w:start w:val="1"/>
      <w:numFmt w:val="bullet"/>
      <w:lvlText w:val=""/>
      <w:lvlJc w:val="left"/>
      <w:pPr>
        <w:ind w:left="2880" w:hanging="360"/>
      </w:pPr>
      <w:rPr>
        <w:rFonts w:ascii="Symbol" w:hAnsi="Symbol" w:hint="default"/>
      </w:rPr>
    </w:lvl>
    <w:lvl w:ilvl="4" w:tplc="75C21282">
      <w:start w:val="1"/>
      <w:numFmt w:val="bullet"/>
      <w:lvlText w:val="o"/>
      <w:lvlJc w:val="left"/>
      <w:pPr>
        <w:ind w:left="3600" w:hanging="360"/>
      </w:pPr>
      <w:rPr>
        <w:rFonts w:ascii="Courier New" w:hAnsi="Courier New" w:hint="default"/>
      </w:rPr>
    </w:lvl>
    <w:lvl w:ilvl="5" w:tplc="7082AE0E">
      <w:start w:val="1"/>
      <w:numFmt w:val="bullet"/>
      <w:lvlText w:val=""/>
      <w:lvlJc w:val="left"/>
      <w:pPr>
        <w:ind w:left="4320" w:hanging="360"/>
      </w:pPr>
      <w:rPr>
        <w:rFonts w:ascii="Wingdings" w:hAnsi="Wingdings" w:hint="default"/>
      </w:rPr>
    </w:lvl>
    <w:lvl w:ilvl="6" w:tplc="F17A8C0E">
      <w:start w:val="1"/>
      <w:numFmt w:val="bullet"/>
      <w:lvlText w:val=""/>
      <w:lvlJc w:val="left"/>
      <w:pPr>
        <w:ind w:left="5040" w:hanging="360"/>
      </w:pPr>
      <w:rPr>
        <w:rFonts w:ascii="Symbol" w:hAnsi="Symbol" w:hint="default"/>
      </w:rPr>
    </w:lvl>
    <w:lvl w:ilvl="7" w:tplc="6A5495F2">
      <w:start w:val="1"/>
      <w:numFmt w:val="bullet"/>
      <w:lvlText w:val="o"/>
      <w:lvlJc w:val="left"/>
      <w:pPr>
        <w:ind w:left="5760" w:hanging="360"/>
      </w:pPr>
      <w:rPr>
        <w:rFonts w:ascii="Courier New" w:hAnsi="Courier New" w:hint="default"/>
      </w:rPr>
    </w:lvl>
    <w:lvl w:ilvl="8" w:tplc="FBFC995A">
      <w:start w:val="1"/>
      <w:numFmt w:val="bullet"/>
      <w:lvlText w:val=""/>
      <w:lvlJc w:val="left"/>
      <w:pPr>
        <w:ind w:left="6480" w:hanging="360"/>
      </w:pPr>
      <w:rPr>
        <w:rFonts w:ascii="Wingdings" w:hAnsi="Wingdings" w:hint="default"/>
      </w:rPr>
    </w:lvl>
  </w:abstractNum>
  <w:abstractNum w:abstractNumId="112" w15:restartNumberingAfterBreak="0">
    <w:nsid w:val="7EC645C1"/>
    <w:multiLevelType w:val="hybridMultilevel"/>
    <w:tmpl w:val="9FD2E39E"/>
    <w:lvl w:ilvl="0" w:tplc="13DA0792">
      <w:start w:val="1"/>
      <w:numFmt w:val="decimal"/>
      <w:lvlText w:val="%1."/>
      <w:lvlJc w:val="left"/>
      <w:pPr>
        <w:tabs>
          <w:tab w:val="num" w:pos="720"/>
        </w:tabs>
        <w:ind w:left="720" w:hanging="720"/>
      </w:pPr>
    </w:lvl>
    <w:lvl w:ilvl="1" w:tplc="C0D68B1E">
      <w:start w:val="1"/>
      <w:numFmt w:val="decimal"/>
      <w:lvlText w:val="%2."/>
      <w:lvlJc w:val="left"/>
      <w:pPr>
        <w:tabs>
          <w:tab w:val="num" w:pos="1440"/>
        </w:tabs>
        <w:ind w:left="1440" w:hanging="720"/>
      </w:pPr>
    </w:lvl>
    <w:lvl w:ilvl="2" w:tplc="7EBA47A6">
      <w:start w:val="1"/>
      <w:numFmt w:val="decimal"/>
      <w:lvlText w:val="%3."/>
      <w:lvlJc w:val="left"/>
      <w:pPr>
        <w:tabs>
          <w:tab w:val="num" w:pos="2160"/>
        </w:tabs>
        <w:ind w:left="2160" w:hanging="720"/>
      </w:pPr>
    </w:lvl>
    <w:lvl w:ilvl="3" w:tplc="0ABAF71C">
      <w:start w:val="1"/>
      <w:numFmt w:val="decimal"/>
      <w:lvlText w:val="%4."/>
      <w:lvlJc w:val="left"/>
      <w:pPr>
        <w:tabs>
          <w:tab w:val="num" w:pos="2880"/>
        </w:tabs>
        <w:ind w:left="2880" w:hanging="720"/>
      </w:pPr>
    </w:lvl>
    <w:lvl w:ilvl="4" w:tplc="A19458E4">
      <w:start w:val="1"/>
      <w:numFmt w:val="decimal"/>
      <w:lvlText w:val="%5."/>
      <w:lvlJc w:val="left"/>
      <w:pPr>
        <w:tabs>
          <w:tab w:val="num" w:pos="3600"/>
        </w:tabs>
        <w:ind w:left="3600" w:hanging="720"/>
      </w:pPr>
    </w:lvl>
    <w:lvl w:ilvl="5" w:tplc="92380CA0">
      <w:start w:val="1"/>
      <w:numFmt w:val="decimal"/>
      <w:lvlText w:val="%6."/>
      <w:lvlJc w:val="left"/>
      <w:pPr>
        <w:tabs>
          <w:tab w:val="num" w:pos="4320"/>
        </w:tabs>
        <w:ind w:left="4320" w:hanging="720"/>
      </w:pPr>
    </w:lvl>
    <w:lvl w:ilvl="6" w:tplc="BFAA8A64">
      <w:start w:val="1"/>
      <w:numFmt w:val="decimal"/>
      <w:lvlText w:val="%7."/>
      <w:lvlJc w:val="left"/>
      <w:pPr>
        <w:tabs>
          <w:tab w:val="num" w:pos="5040"/>
        </w:tabs>
        <w:ind w:left="5040" w:hanging="720"/>
      </w:pPr>
    </w:lvl>
    <w:lvl w:ilvl="7" w:tplc="954E74C2">
      <w:start w:val="1"/>
      <w:numFmt w:val="decimal"/>
      <w:lvlText w:val="%8."/>
      <w:lvlJc w:val="left"/>
      <w:pPr>
        <w:tabs>
          <w:tab w:val="num" w:pos="5760"/>
        </w:tabs>
        <w:ind w:left="5760" w:hanging="720"/>
      </w:pPr>
    </w:lvl>
    <w:lvl w:ilvl="8" w:tplc="C1FEDD44">
      <w:start w:val="1"/>
      <w:numFmt w:val="decimal"/>
      <w:lvlText w:val="%9."/>
      <w:lvlJc w:val="left"/>
      <w:pPr>
        <w:tabs>
          <w:tab w:val="num" w:pos="6480"/>
        </w:tabs>
        <w:ind w:left="6480" w:hanging="720"/>
      </w:pPr>
    </w:lvl>
  </w:abstractNum>
  <w:abstractNum w:abstractNumId="113" w15:restartNumberingAfterBreak="0">
    <w:nsid w:val="7F203C81"/>
    <w:multiLevelType w:val="hybridMultilevel"/>
    <w:tmpl w:val="5F4AEE24"/>
    <w:styleLink w:val="RFP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49577">
    <w:abstractNumId w:val="73"/>
  </w:num>
  <w:num w:numId="2" w16cid:durableId="1028943278">
    <w:abstractNumId w:val="111"/>
  </w:num>
  <w:num w:numId="3" w16cid:durableId="1051881205">
    <w:abstractNumId w:val="87"/>
  </w:num>
  <w:num w:numId="4" w16cid:durableId="563221731">
    <w:abstractNumId w:val="66"/>
  </w:num>
  <w:num w:numId="5" w16cid:durableId="1248998829">
    <w:abstractNumId w:val="89"/>
  </w:num>
  <w:num w:numId="6" w16cid:durableId="1619604378">
    <w:abstractNumId w:val="31"/>
  </w:num>
  <w:num w:numId="7" w16cid:durableId="1379089130">
    <w:abstractNumId w:val="100"/>
  </w:num>
  <w:num w:numId="8" w16cid:durableId="1780955186">
    <w:abstractNumId w:val="52"/>
  </w:num>
  <w:num w:numId="9" w16cid:durableId="914439494">
    <w:abstractNumId w:val="79"/>
  </w:num>
  <w:num w:numId="10" w16cid:durableId="1927575275">
    <w:abstractNumId w:val="34"/>
  </w:num>
  <w:num w:numId="11" w16cid:durableId="182399917">
    <w:abstractNumId w:val="9"/>
  </w:num>
  <w:num w:numId="12" w16cid:durableId="1158114126">
    <w:abstractNumId w:val="32"/>
  </w:num>
  <w:num w:numId="13" w16cid:durableId="2093578654">
    <w:abstractNumId w:val="76"/>
  </w:num>
  <w:num w:numId="14" w16cid:durableId="376315913">
    <w:abstractNumId w:val="16"/>
  </w:num>
  <w:num w:numId="15" w16cid:durableId="2145659804">
    <w:abstractNumId w:val="6"/>
  </w:num>
  <w:num w:numId="16" w16cid:durableId="348990932">
    <w:abstractNumId w:val="4"/>
  </w:num>
  <w:num w:numId="17" w16cid:durableId="414403302">
    <w:abstractNumId w:val="91"/>
  </w:num>
  <w:num w:numId="18" w16cid:durableId="1863006552">
    <w:abstractNumId w:val="82"/>
  </w:num>
  <w:num w:numId="19" w16cid:durableId="1433894320">
    <w:abstractNumId w:val="50"/>
  </w:num>
  <w:num w:numId="20" w16cid:durableId="1975670263">
    <w:abstractNumId w:val="51"/>
  </w:num>
  <w:num w:numId="21" w16cid:durableId="1393891825">
    <w:abstractNumId w:val="103"/>
  </w:num>
  <w:num w:numId="22" w16cid:durableId="1329745735">
    <w:abstractNumId w:val="14"/>
  </w:num>
  <w:num w:numId="23" w16cid:durableId="1497918250">
    <w:abstractNumId w:val="39"/>
  </w:num>
  <w:num w:numId="24" w16cid:durableId="968051669">
    <w:abstractNumId w:val="77"/>
  </w:num>
  <w:num w:numId="25" w16cid:durableId="382798739">
    <w:abstractNumId w:val="13"/>
  </w:num>
  <w:num w:numId="26" w16cid:durableId="773987175">
    <w:abstractNumId w:val="40"/>
  </w:num>
  <w:num w:numId="27" w16cid:durableId="75129231">
    <w:abstractNumId w:val="105"/>
  </w:num>
  <w:num w:numId="28" w16cid:durableId="1290823988">
    <w:abstractNumId w:val="72"/>
  </w:num>
  <w:num w:numId="29" w16cid:durableId="367922653">
    <w:abstractNumId w:val="63"/>
  </w:num>
  <w:num w:numId="30" w16cid:durableId="713313470">
    <w:abstractNumId w:val="106"/>
  </w:num>
  <w:num w:numId="31" w16cid:durableId="1563322527">
    <w:abstractNumId w:val="93"/>
  </w:num>
  <w:num w:numId="32" w16cid:durableId="145974020">
    <w:abstractNumId w:val="108"/>
  </w:num>
  <w:num w:numId="33" w16cid:durableId="578828865">
    <w:abstractNumId w:val="110"/>
  </w:num>
  <w:num w:numId="34" w16cid:durableId="681007723">
    <w:abstractNumId w:val="99"/>
  </w:num>
  <w:num w:numId="35" w16cid:durableId="1810320010">
    <w:abstractNumId w:val="85"/>
  </w:num>
  <w:num w:numId="36" w16cid:durableId="1868370836">
    <w:abstractNumId w:val="113"/>
  </w:num>
  <w:num w:numId="37" w16cid:durableId="1694919123">
    <w:abstractNumId w:val="59"/>
  </w:num>
  <w:num w:numId="38" w16cid:durableId="172384342">
    <w:abstractNumId w:val="74"/>
  </w:num>
  <w:num w:numId="39" w16cid:durableId="380174393">
    <w:abstractNumId w:val="65"/>
  </w:num>
  <w:num w:numId="40" w16cid:durableId="1644192159">
    <w:abstractNumId w:val="44"/>
  </w:num>
  <w:num w:numId="41" w16cid:durableId="1007748755">
    <w:abstractNumId w:val="96"/>
  </w:num>
  <w:num w:numId="42" w16cid:durableId="602690251">
    <w:abstractNumId w:val="98"/>
  </w:num>
  <w:num w:numId="43" w16cid:durableId="1572960621">
    <w:abstractNumId w:val="18"/>
  </w:num>
  <w:num w:numId="44" w16cid:durableId="997998318">
    <w:abstractNumId w:val="22"/>
  </w:num>
  <w:num w:numId="45" w16cid:durableId="347102172">
    <w:abstractNumId w:val="48"/>
  </w:num>
  <w:num w:numId="46" w16cid:durableId="532697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476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8927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123627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64817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688360">
    <w:abstractNumId w:val="37"/>
  </w:num>
  <w:num w:numId="52" w16cid:durableId="898325348">
    <w:abstractNumId w:val="25"/>
  </w:num>
  <w:num w:numId="53" w16cid:durableId="1348366798">
    <w:abstractNumId w:val="12"/>
  </w:num>
  <w:num w:numId="54" w16cid:durableId="1551263892">
    <w:abstractNumId w:val="60"/>
  </w:num>
  <w:num w:numId="55" w16cid:durableId="669212898">
    <w:abstractNumId w:val="88"/>
  </w:num>
  <w:num w:numId="56" w16cid:durableId="1802259065">
    <w:abstractNumId w:val="46"/>
  </w:num>
  <w:num w:numId="57" w16cid:durableId="919757368">
    <w:abstractNumId w:val="96"/>
    <w:lvlOverride w:ilvl="0">
      <w:startOverride w:val="1"/>
    </w:lvlOverride>
  </w:num>
  <w:num w:numId="58" w16cid:durableId="980034435">
    <w:abstractNumId w:val="3"/>
  </w:num>
  <w:num w:numId="59" w16cid:durableId="297147207">
    <w:abstractNumId w:val="86"/>
  </w:num>
  <w:num w:numId="60" w16cid:durableId="694818080">
    <w:abstractNumId w:val="107"/>
  </w:num>
  <w:num w:numId="61" w16cid:durableId="115369325">
    <w:abstractNumId w:val="27"/>
  </w:num>
  <w:num w:numId="62" w16cid:durableId="1753114903">
    <w:abstractNumId w:val="26"/>
  </w:num>
  <w:num w:numId="63" w16cid:durableId="1336306399">
    <w:abstractNumId w:val="45"/>
  </w:num>
  <w:num w:numId="64" w16cid:durableId="1936941594">
    <w:abstractNumId w:val="81"/>
  </w:num>
  <w:num w:numId="65" w16cid:durableId="2122338891">
    <w:abstractNumId w:val="54"/>
  </w:num>
  <w:num w:numId="66" w16cid:durableId="1238399967">
    <w:abstractNumId w:val="20"/>
  </w:num>
  <w:num w:numId="67" w16cid:durableId="821702331">
    <w:abstractNumId w:val="70"/>
  </w:num>
  <w:num w:numId="68" w16cid:durableId="428891212">
    <w:abstractNumId w:val="95"/>
  </w:num>
  <w:num w:numId="69" w16cid:durableId="804080141">
    <w:abstractNumId w:val="38"/>
  </w:num>
  <w:num w:numId="70" w16cid:durableId="1337999512">
    <w:abstractNumId w:val="69"/>
  </w:num>
  <w:num w:numId="71" w16cid:durableId="1178233753">
    <w:abstractNumId w:val="57"/>
  </w:num>
  <w:num w:numId="72" w16cid:durableId="209344026">
    <w:abstractNumId w:val="58"/>
  </w:num>
  <w:num w:numId="73" w16cid:durableId="1693070443">
    <w:abstractNumId w:val="80"/>
  </w:num>
  <w:num w:numId="74" w16cid:durableId="369958406">
    <w:abstractNumId w:val="11"/>
  </w:num>
  <w:num w:numId="75" w16cid:durableId="1190023356">
    <w:abstractNumId w:val="0"/>
  </w:num>
  <w:num w:numId="76" w16cid:durableId="1037002317">
    <w:abstractNumId w:val="68"/>
  </w:num>
  <w:num w:numId="77" w16cid:durableId="792869770">
    <w:abstractNumId w:val="30"/>
  </w:num>
  <w:num w:numId="78" w16cid:durableId="1901091335">
    <w:abstractNumId w:val="21"/>
  </w:num>
  <w:num w:numId="79" w16cid:durableId="483393835">
    <w:abstractNumId w:val="17"/>
  </w:num>
  <w:num w:numId="80" w16cid:durableId="37630388">
    <w:abstractNumId w:val="42"/>
  </w:num>
  <w:num w:numId="81" w16cid:durableId="1802069735">
    <w:abstractNumId w:val="53"/>
  </w:num>
  <w:num w:numId="82" w16cid:durableId="963972181">
    <w:abstractNumId w:val="78"/>
  </w:num>
  <w:num w:numId="83" w16cid:durableId="1649435739">
    <w:abstractNumId w:val="75"/>
  </w:num>
  <w:num w:numId="84" w16cid:durableId="1017384276">
    <w:abstractNumId w:val="19"/>
  </w:num>
  <w:num w:numId="85" w16cid:durableId="305741569">
    <w:abstractNumId w:val="64"/>
  </w:num>
  <w:num w:numId="86" w16cid:durableId="34547305">
    <w:abstractNumId w:val="97"/>
  </w:num>
  <w:num w:numId="87" w16cid:durableId="983654632">
    <w:abstractNumId w:val="56"/>
  </w:num>
  <w:num w:numId="88" w16cid:durableId="179440753">
    <w:abstractNumId w:val="55"/>
  </w:num>
  <w:num w:numId="89" w16cid:durableId="1375422241">
    <w:abstractNumId w:val="83"/>
  </w:num>
  <w:num w:numId="90" w16cid:durableId="1222448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6698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581468">
    <w:abstractNumId w:val="84"/>
  </w:num>
  <w:num w:numId="93" w16cid:durableId="522286440">
    <w:abstractNumId w:val="61"/>
  </w:num>
  <w:num w:numId="94" w16cid:durableId="186963878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254007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98644">
    <w:abstractNumId w:val="49"/>
  </w:num>
  <w:num w:numId="97" w16cid:durableId="551616713">
    <w:abstractNumId w:val="112"/>
  </w:num>
  <w:num w:numId="98" w16cid:durableId="722681818">
    <w:abstractNumId w:val="33"/>
  </w:num>
  <w:num w:numId="99" w16cid:durableId="586306456">
    <w:abstractNumId w:val="15"/>
  </w:num>
  <w:num w:numId="100" w16cid:durableId="1503396570">
    <w:abstractNumId w:val="36"/>
  </w:num>
  <w:num w:numId="101" w16cid:durableId="679817681">
    <w:abstractNumId w:val="96"/>
  </w:num>
  <w:num w:numId="102" w16cid:durableId="495999223">
    <w:abstractNumId w:val="104"/>
  </w:num>
  <w:num w:numId="103" w16cid:durableId="1065297052">
    <w:abstractNumId w:val="1"/>
  </w:num>
  <w:num w:numId="104" w16cid:durableId="1012028545">
    <w:abstractNumId w:val="90"/>
  </w:num>
  <w:num w:numId="105" w16cid:durableId="324750062">
    <w:abstractNumId w:val="47"/>
  </w:num>
  <w:num w:numId="106" w16cid:durableId="2070306255">
    <w:abstractNumId w:val="8"/>
  </w:num>
  <w:num w:numId="107" w16cid:durableId="1440560960">
    <w:abstractNumId w:val="102"/>
  </w:num>
  <w:num w:numId="108" w16cid:durableId="170217761">
    <w:abstractNumId w:val="10"/>
  </w:num>
  <w:num w:numId="109" w16cid:durableId="2074110540">
    <w:abstractNumId w:val="29"/>
  </w:num>
  <w:num w:numId="110" w16cid:durableId="691808538">
    <w:abstractNumId w:val="2"/>
  </w:num>
  <w:num w:numId="111" w16cid:durableId="251814225">
    <w:abstractNumId w:val="23"/>
  </w:num>
  <w:num w:numId="112" w16cid:durableId="1145317917">
    <w:abstractNumId w:val="67"/>
  </w:num>
  <w:num w:numId="113" w16cid:durableId="644236445">
    <w:abstractNumId w:val="92"/>
  </w:num>
  <w:num w:numId="114" w16cid:durableId="1882982590">
    <w:abstractNumId w:val="24"/>
  </w:num>
  <w:num w:numId="115" w16cid:durableId="144664152">
    <w:abstractNumId w:val="28"/>
  </w:num>
  <w:num w:numId="116" w16cid:durableId="2061900506">
    <w:abstractNumId w:val="109"/>
  </w:num>
  <w:num w:numId="117" w16cid:durableId="496069186">
    <w:abstractNumId w:val="43"/>
  </w:num>
  <w:num w:numId="118" w16cid:durableId="1053041692">
    <w:abstractNumId w:val="94"/>
  </w:num>
  <w:num w:numId="119" w16cid:durableId="792939963">
    <w:abstractNumId w:val="62"/>
  </w:num>
  <w:num w:numId="120" w16cid:durableId="938678630">
    <w:abstractNumId w:val="41"/>
  </w:num>
  <w:num w:numId="121" w16cid:durableId="1962153752">
    <w:abstractNumId w:val="7"/>
  </w:num>
  <w:num w:numId="122" w16cid:durableId="1940140015">
    <w:abstractNumId w:val="5"/>
  </w:num>
  <w:num w:numId="123" w16cid:durableId="9527701">
    <w:abstractNumId w:val="71"/>
  </w:num>
  <w:num w:numId="124" w16cid:durableId="1589843829">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12B"/>
    <w:rsid w:val="00001424"/>
    <w:rsid w:val="0000172D"/>
    <w:rsid w:val="0000172F"/>
    <w:rsid w:val="0000175F"/>
    <w:rsid w:val="000018AD"/>
    <w:rsid w:val="00001FCE"/>
    <w:rsid w:val="000022E8"/>
    <w:rsid w:val="000023A4"/>
    <w:rsid w:val="000023C0"/>
    <w:rsid w:val="0000277D"/>
    <w:rsid w:val="00002793"/>
    <w:rsid w:val="00002CC4"/>
    <w:rsid w:val="00003543"/>
    <w:rsid w:val="00003593"/>
    <w:rsid w:val="00003B2D"/>
    <w:rsid w:val="00003BC0"/>
    <w:rsid w:val="00003F42"/>
    <w:rsid w:val="00004A1C"/>
    <w:rsid w:val="00004C4C"/>
    <w:rsid w:val="00004DF2"/>
    <w:rsid w:val="00004FFA"/>
    <w:rsid w:val="00005864"/>
    <w:rsid w:val="000058E1"/>
    <w:rsid w:val="00005A4A"/>
    <w:rsid w:val="00005A8F"/>
    <w:rsid w:val="00005D53"/>
    <w:rsid w:val="00005E7A"/>
    <w:rsid w:val="00005EBF"/>
    <w:rsid w:val="0000604D"/>
    <w:rsid w:val="0000689C"/>
    <w:rsid w:val="0000701B"/>
    <w:rsid w:val="0000779E"/>
    <w:rsid w:val="00007CE1"/>
    <w:rsid w:val="00007D1F"/>
    <w:rsid w:val="00007FF3"/>
    <w:rsid w:val="00010A17"/>
    <w:rsid w:val="00010A82"/>
    <w:rsid w:val="00010E66"/>
    <w:rsid w:val="000114B3"/>
    <w:rsid w:val="000124A3"/>
    <w:rsid w:val="00012510"/>
    <w:rsid w:val="0001353A"/>
    <w:rsid w:val="00013878"/>
    <w:rsid w:val="000138B2"/>
    <w:rsid w:val="00013A9C"/>
    <w:rsid w:val="00013CF0"/>
    <w:rsid w:val="000143FF"/>
    <w:rsid w:val="0001460E"/>
    <w:rsid w:val="00014A29"/>
    <w:rsid w:val="00014E00"/>
    <w:rsid w:val="00015220"/>
    <w:rsid w:val="00015877"/>
    <w:rsid w:val="00015CEA"/>
    <w:rsid w:val="00016303"/>
    <w:rsid w:val="000164B3"/>
    <w:rsid w:val="00016FC9"/>
    <w:rsid w:val="00017560"/>
    <w:rsid w:val="00017D6D"/>
    <w:rsid w:val="00017E44"/>
    <w:rsid w:val="00017EB7"/>
    <w:rsid w:val="00020361"/>
    <w:rsid w:val="00020529"/>
    <w:rsid w:val="00020728"/>
    <w:rsid w:val="00020B8B"/>
    <w:rsid w:val="00020ECA"/>
    <w:rsid w:val="000212BB"/>
    <w:rsid w:val="000215D9"/>
    <w:rsid w:val="0002166D"/>
    <w:rsid w:val="00021F8B"/>
    <w:rsid w:val="00022296"/>
    <w:rsid w:val="000223D6"/>
    <w:rsid w:val="00022641"/>
    <w:rsid w:val="0002270D"/>
    <w:rsid w:val="00022914"/>
    <w:rsid w:val="000229B2"/>
    <w:rsid w:val="00022D65"/>
    <w:rsid w:val="00022FB9"/>
    <w:rsid w:val="0002309F"/>
    <w:rsid w:val="00023357"/>
    <w:rsid w:val="0002354C"/>
    <w:rsid w:val="00023855"/>
    <w:rsid w:val="00023867"/>
    <w:rsid w:val="000239C8"/>
    <w:rsid w:val="000239EE"/>
    <w:rsid w:val="00023BBE"/>
    <w:rsid w:val="00023D02"/>
    <w:rsid w:val="000241AE"/>
    <w:rsid w:val="000241C8"/>
    <w:rsid w:val="00024416"/>
    <w:rsid w:val="00024C3E"/>
    <w:rsid w:val="00025540"/>
    <w:rsid w:val="00025A53"/>
    <w:rsid w:val="00025CE4"/>
    <w:rsid w:val="00025DB1"/>
    <w:rsid w:val="00025DD0"/>
    <w:rsid w:val="0002606D"/>
    <w:rsid w:val="000264F9"/>
    <w:rsid w:val="00026B28"/>
    <w:rsid w:val="00026C92"/>
    <w:rsid w:val="00026CA4"/>
    <w:rsid w:val="00026D9E"/>
    <w:rsid w:val="00026FA3"/>
    <w:rsid w:val="000274C3"/>
    <w:rsid w:val="0002750F"/>
    <w:rsid w:val="0002752A"/>
    <w:rsid w:val="000276B1"/>
    <w:rsid w:val="000277C2"/>
    <w:rsid w:val="00027C22"/>
    <w:rsid w:val="000305F5"/>
    <w:rsid w:val="00030B75"/>
    <w:rsid w:val="00030B87"/>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66C"/>
    <w:rsid w:val="00033751"/>
    <w:rsid w:val="000338A1"/>
    <w:rsid w:val="00033908"/>
    <w:rsid w:val="000339C2"/>
    <w:rsid w:val="0003496A"/>
    <w:rsid w:val="00034C55"/>
    <w:rsid w:val="00035147"/>
    <w:rsid w:val="000351CB"/>
    <w:rsid w:val="000354B4"/>
    <w:rsid w:val="0003596D"/>
    <w:rsid w:val="00035BF1"/>
    <w:rsid w:val="00035F37"/>
    <w:rsid w:val="0003609F"/>
    <w:rsid w:val="000364D5"/>
    <w:rsid w:val="0003656F"/>
    <w:rsid w:val="00036604"/>
    <w:rsid w:val="00036618"/>
    <w:rsid w:val="00036791"/>
    <w:rsid w:val="00036ADC"/>
    <w:rsid w:val="000370BB"/>
    <w:rsid w:val="000377E3"/>
    <w:rsid w:val="00037EF7"/>
    <w:rsid w:val="00040579"/>
    <w:rsid w:val="00040A20"/>
    <w:rsid w:val="00040B75"/>
    <w:rsid w:val="00040D26"/>
    <w:rsid w:val="00040DAA"/>
    <w:rsid w:val="00040E61"/>
    <w:rsid w:val="000414A3"/>
    <w:rsid w:val="000419E4"/>
    <w:rsid w:val="000419FF"/>
    <w:rsid w:val="000422BB"/>
    <w:rsid w:val="00042482"/>
    <w:rsid w:val="0004261D"/>
    <w:rsid w:val="0004267B"/>
    <w:rsid w:val="000426A8"/>
    <w:rsid w:val="0004276E"/>
    <w:rsid w:val="00042DCB"/>
    <w:rsid w:val="00043246"/>
    <w:rsid w:val="0004356A"/>
    <w:rsid w:val="00043BE8"/>
    <w:rsid w:val="000447F1"/>
    <w:rsid w:val="00044959"/>
    <w:rsid w:val="00044DF2"/>
    <w:rsid w:val="0004506B"/>
    <w:rsid w:val="0004587B"/>
    <w:rsid w:val="000458D4"/>
    <w:rsid w:val="00045ED8"/>
    <w:rsid w:val="00045EE4"/>
    <w:rsid w:val="0004617A"/>
    <w:rsid w:val="000465A1"/>
    <w:rsid w:val="00046D36"/>
    <w:rsid w:val="00047588"/>
    <w:rsid w:val="00047717"/>
    <w:rsid w:val="00047761"/>
    <w:rsid w:val="00047A5B"/>
    <w:rsid w:val="00047E93"/>
    <w:rsid w:val="000500F7"/>
    <w:rsid w:val="0005017E"/>
    <w:rsid w:val="000504A1"/>
    <w:rsid w:val="00050A62"/>
    <w:rsid w:val="00050BDA"/>
    <w:rsid w:val="00050BFA"/>
    <w:rsid w:val="00050CC8"/>
    <w:rsid w:val="00050EB6"/>
    <w:rsid w:val="00050F5A"/>
    <w:rsid w:val="00051017"/>
    <w:rsid w:val="000518B2"/>
    <w:rsid w:val="000518CF"/>
    <w:rsid w:val="0005192A"/>
    <w:rsid w:val="000519C3"/>
    <w:rsid w:val="000519CF"/>
    <w:rsid w:val="00051C75"/>
    <w:rsid w:val="00051D64"/>
    <w:rsid w:val="00051E1C"/>
    <w:rsid w:val="0005211E"/>
    <w:rsid w:val="00052194"/>
    <w:rsid w:val="000524C8"/>
    <w:rsid w:val="000526C3"/>
    <w:rsid w:val="00052827"/>
    <w:rsid w:val="000528E0"/>
    <w:rsid w:val="00052B4F"/>
    <w:rsid w:val="00052C7B"/>
    <w:rsid w:val="00053BEC"/>
    <w:rsid w:val="00053D10"/>
    <w:rsid w:val="000541B6"/>
    <w:rsid w:val="00054670"/>
    <w:rsid w:val="00054F51"/>
    <w:rsid w:val="00054FF6"/>
    <w:rsid w:val="00055531"/>
    <w:rsid w:val="00055903"/>
    <w:rsid w:val="0005684F"/>
    <w:rsid w:val="0005688E"/>
    <w:rsid w:val="00056D6A"/>
    <w:rsid w:val="0005732D"/>
    <w:rsid w:val="00057527"/>
    <w:rsid w:val="000576AE"/>
    <w:rsid w:val="00057768"/>
    <w:rsid w:val="00057859"/>
    <w:rsid w:val="0006069C"/>
    <w:rsid w:val="00060914"/>
    <w:rsid w:val="00060D67"/>
    <w:rsid w:val="00060E2C"/>
    <w:rsid w:val="00060FDE"/>
    <w:rsid w:val="00061323"/>
    <w:rsid w:val="000615A2"/>
    <w:rsid w:val="00062EE3"/>
    <w:rsid w:val="00063170"/>
    <w:rsid w:val="00063223"/>
    <w:rsid w:val="0006326F"/>
    <w:rsid w:val="0006335A"/>
    <w:rsid w:val="00063593"/>
    <w:rsid w:val="00063EB6"/>
    <w:rsid w:val="00063F67"/>
    <w:rsid w:val="00064449"/>
    <w:rsid w:val="00064472"/>
    <w:rsid w:val="00064663"/>
    <w:rsid w:val="0006483F"/>
    <w:rsid w:val="00064AED"/>
    <w:rsid w:val="00064BE6"/>
    <w:rsid w:val="00065492"/>
    <w:rsid w:val="00065A2B"/>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3B6"/>
    <w:rsid w:val="0007175C"/>
    <w:rsid w:val="00071B26"/>
    <w:rsid w:val="000722C6"/>
    <w:rsid w:val="000724E4"/>
    <w:rsid w:val="000725B1"/>
    <w:rsid w:val="00072901"/>
    <w:rsid w:val="00072B68"/>
    <w:rsid w:val="00072BAB"/>
    <w:rsid w:val="00072D4D"/>
    <w:rsid w:val="0007304A"/>
    <w:rsid w:val="00073114"/>
    <w:rsid w:val="0007396E"/>
    <w:rsid w:val="00073ABA"/>
    <w:rsid w:val="0007495B"/>
    <w:rsid w:val="00074B86"/>
    <w:rsid w:val="00074BBF"/>
    <w:rsid w:val="000752AD"/>
    <w:rsid w:val="0007551C"/>
    <w:rsid w:val="000756FB"/>
    <w:rsid w:val="000758F0"/>
    <w:rsid w:val="00075A45"/>
    <w:rsid w:val="00075AFE"/>
    <w:rsid w:val="00075CF0"/>
    <w:rsid w:val="00075D2B"/>
    <w:rsid w:val="0007647A"/>
    <w:rsid w:val="00076A0E"/>
    <w:rsid w:val="00076BD7"/>
    <w:rsid w:val="00077074"/>
    <w:rsid w:val="000770CF"/>
    <w:rsid w:val="000772E5"/>
    <w:rsid w:val="00077743"/>
    <w:rsid w:val="00077C2A"/>
    <w:rsid w:val="000801D1"/>
    <w:rsid w:val="000802B8"/>
    <w:rsid w:val="000807CF"/>
    <w:rsid w:val="000809C6"/>
    <w:rsid w:val="0008166D"/>
    <w:rsid w:val="00081F87"/>
    <w:rsid w:val="00082155"/>
    <w:rsid w:val="00082374"/>
    <w:rsid w:val="000823E5"/>
    <w:rsid w:val="0008285A"/>
    <w:rsid w:val="000828F4"/>
    <w:rsid w:val="00082E4C"/>
    <w:rsid w:val="00082E73"/>
    <w:rsid w:val="000832C5"/>
    <w:rsid w:val="00083382"/>
    <w:rsid w:val="00083638"/>
    <w:rsid w:val="00083720"/>
    <w:rsid w:val="00083D0F"/>
    <w:rsid w:val="00084094"/>
    <w:rsid w:val="00084500"/>
    <w:rsid w:val="000846B3"/>
    <w:rsid w:val="000849A1"/>
    <w:rsid w:val="00084B95"/>
    <w:rsid w:val="00085407"/>
    <w:rsid w:val="00085FE8"/>
    <w:rsid w:val="00086DFB"/>
    <w:rsid w:val="00086E98"/>
    <w:rsid w:val="0008749B"/>
    <w:rsid w:val="0008754A"/>
    <w:rsid w:val="00087E0C"/>
    <w:rsid w:val="00087E47"/>
    <w:rsid w:val="000902B3"/>
    <w:rsid w:val="000904AA"/>
    <w:rsid w:val="00090B5B"/>
    <w:rsid w:val="00090B69"/>
    <w:rsid w:val="00090BDE"/>
    <w:rsid w:val="00090CA1"/>
    <w:rsid w:val="00090EE4"/>
    <w:rsid w:val="000911EB"/>
    <w:rsid w:val="00091A74"/>
    <w:rsid w:val="00091E33"/>
    <w:rsid w:val="00091E59"/>
    <w:rsid w:val="00091EE3"/>
    <w:rsid w:val="00091FF9"/>
    <w:rsid w:val="000921BB"/>
    <w:rsid w:val="000921CD"/>
    <w:rsid w:val="00092648"/>
    <w:rsid w:val="000926C5"/>
    <w:rsid w:val="00092950"/>
    <w:rsid w:val="000929BA"/>
    <w:rsid w:val="0009345D"/>
    <w:rsid w:val="00093A04"/>
    <w:rsid w:val="00093D90"/>
    <w:rsid w:val="00093EDE"/>
    <w:rsid w:val="00093EEF"/>
    <w:rsid w:val="00093F25"/>
    <w:rsid w:val="000943F8"/>
    <w:rsid w:val="0009455C"/>
    <w:rsid w:val="00094CA8"/>
    <w:rsid w:val="00094FCA"/>
    <w:rsid w:val="00095093"/>
    <w:rsid w:val="00095153"/>
    <w:rsid w:val="000957CE"/>
    <w:rsid w:val="0009592E"/>
    <w:rsid w:val="00095B32"/>
    <w:rsid w:val="00095BF3"/>
    <w:rsid w:val="00096570"/>
    <w:rsid w:val="0009657D"/>
    <w:rsid w:val="000965C0"/>
    <w:rsid w:val="0009680D"/>
    <w:rsid w:val="00097264"/>
    <w:rsid w:val="00097BE8"/>
    <w:rsid w:val="000A01E6"/>
    <w:rsid w:val="000A0410"/>
    <w:rsid w:val="000A0945"/>
    <w:rsid w:val="000A1035"/>
    <w:rsid w:val="000A1A1B"/>
    <w:rsid w:val="000A1AB8"/>
    <w:rsid w:val="000A22F2"/>
    <w:rsid w:val="000A234C"/>
    <w:rsid w:val="000A246B"/>
    <w:rsid w:val="000A27E1"/>
    <w:rsid w:val="000A2A60"/>
    <w:rsid w:val="000A2D2A"/>
    <w:rsid w:val="000A3175"/>
    <w:rsid w:val="000A32E6"/>
    <w:rsid w:val="000A3353"/>
    <w:rsid w:val="000A348D"/>
    <w:rsid w:val="000A35D8"/>
    <w:rsid w:val="000A3600"/>
    <w:rsid w:val="000A3CF8"/>
    <w:rsid w:val="000A3D9F"/>
    <w:rsid w:val="000A4000"/>
    <w:rsid w:val="000A4E50"/>
    <w:rsid w:val="000A56FA"/>
    <w:rsid w:val="000A5CA2"/>
    <w:rsid w:val="000A5E5D"/>
    <w:rsid w:val="000A64C4"/>
    <w:rsid w:val="000A678A"/>
    <w:rsid w:val="000A6F06"/>
    <w:rsid w:val="000A700E"/>
    <w:rsid w:val="000A744C"/>
    <w:rsid w:val="000A7C6E"/>
    <w:rsid w:val="000A7C94"/>
    <w:rsid w:val="000B019E"/>
    <w:rsid w:val="000B053E"/>
    <w:rsid w:val="000B0697"/>
    <w:rsid w:val="000B07EA"/>
    <w:rsid w:val="000B0D33"/>
    <w:rsid w:val="000B0D93"/>
    <w:rsid w:val="000B10F9"/>
    <w:rsid w:val="000B13BF"/>
    <w:rsid w:val="000B1715"/>
    <w:rsid w:val="000B1747"/>
    <w:rsid w:val="000B17EB"/>
    <w:rsid w:val="000B19FC"/>
    <w:rsid w:val="000B1A21"/>
    <w:rsid w:val="000B1E55"/>
    <w:rsid w:val="000B2632"/>
    <w:rsid w:val="000B3033"/>
    <w:rsid w:val="000B3120"/>
    <w:rsid w:val="000B325A"/>
    <w:rsid w:val="000B3587"/>
    <w:rsid w:val="000B3DB3"/>
    <w:rsid w:val="000B444E"/>
    <w:rsid w:val="000B4F05"/>
    <w:rsid w:val="000B5031"/>
    <w:rsid w:val="000B5232"/>
    <w:rsid w:val="000B547E"/>
    <w:rsid w:val="000B54A8"/>
    <w:rsid w:val="000B5A6E"/>
    <w:rsid w:val="000B5E0C"/>
    <w:rsid w:val="000B5E14"/>
    <w:rsid w:val="000B5E9E"/>
    <w:rsid w:val="000B648E"/>
    <w:rsid w:val="000B6521"/>
    <w:rsid w:val="000B6676"/>
    <w:rsid w:val="000B6E64"/>
    <w:rsid w:val="000B7A82"/>
    <w:rsid w:val="000B7ADC"/>
    <w:rsid w:val="000B7B3F"/>
    <w:rsid w:val="000B7DF2"/>
    <w:rsid w:val="000C0561"/>
    <w:rsid w:val="000C0972"/>
    <w:rsid w:val="000C0BBB"/>
    <w:rsid w:val="000C0CF1"/>
    <w:rsid w:val="000C0D7B"/>
    <w:rsid w:val="000C0F67"/>
    <w:rsid w:val="000C1234"/>
    <w:rsid w:val="000C1260"/>
    <w:rsid w:val="000C1814"/>
    <w:rsid w:val="000C1D17"/>
    <w:rsid w:val="000C20A6"/>
    <w:rsid w:val="000C23EF"/>
    <w:rsid w:val="000C33E2"/>
    <w:rsid w:val="000C3AD4"/>
    <w:rsid w:val="000C46E7"/>
    <w:rsid w:val="000C4729"/>
    <w:rsid w:val="000C4B31"/>
    <w:rsid w:val="000C4CB2"/>
    <w:rsid w:val="000C4D8C"/>
    <w:rsid w:val="000C4E32"/>
    <w:rsid w:val="000C505A"/>
    <w:rsid w:val="000C50B6"/>
    <w:rsid w:val="000C5C1E"/>
    <w:rsid w:val="000C5DC3"/>
    <w:rsid w:val="000C642F"/>
    <w:rsid w:val="000C65F8"/>
    <w:rsid w:val="000C686B"/>
    <w:rsid w:val="000C7157"/>
    <w:rsid w:val="000C72F7"/>
    <w:rsid w:val="000C750C"/>
    <w:rsid w:val="000C754E"/>
    <w:rsid w:val="000C7728"/>
    <w:rsid w:val="000C78EB"/>
    <w:rsid w:val="000C7B51"/>
    <w:rsid w:val="000C7CA0"/>
    <w:rsid w:val="000C7F64"/>
    <w:rsid w:val="000D00C7"/>
    <w:rsid w:val="000D0490"/>
    <w:rsid w:val="000D07C0"/>
    <w:rsid w:val="000D095C"/>
    <w:rsid w:val="000D1040"/>
    <w:rsid w:val="000D14E1"/>
    <w:rsid w:val="000D14F3"/>
    <w:rsid w:val="000D1583"/>
    <w:rsid w:val="000D15E6"/>
    <w:rsid w:val="000D1AA3"/>
    <w:rsid w:val="000D1C50"/>
    <w:rsid w:val="000D1D06"/>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369"/>
    <w:rsid w:val="000E4520"/>
    <w:rsid w:val="000E45EC"/>
    <w:rsid w:val="000E494D"/>
    <w:rsid w:val="000E4CB3"/>
    <w:rsid w:val="000E4D70"/>
    <w:rsid w:val="000E4DF0"/>
    <w:rsid w:val="000E5180"/>
    <w:rsid w:val="000E5593"/>
    <w:rsid w:val="000E5C73"/>
    <w:rsid w:val="000E5EFB"/>
    <w:rsid w:val="000E62B3"/>
    <w:rsid w:val="000E6E9B"/>
    <w:rsid w:val="000E6EE4"/>
    <w:rsid w:val="000E71F8"/>
    <w:rsid w:val="000E799C"/>
    <w:rsid w:val="000E7EB6"/>
    <w:rsid w:val="000F02A9"/>
    <w:rsid w:val="000F03D8"/>
    <w:rsid w:val="000F04B2"/>
    <w:rsid w:val="000F04CC"/>
    <w:rsid w:val="000F060D"/>
    <w:rsid w:val="000F0C7E"/>
    <w:rsid w:val="000F0F1F"/>
    <w:rsid w:val="000F1029"/>
    <w:rsid w:val="000F1AF5"/>
    <w:rsid w:val="000F1B9B"/>
    <w:rsid w:val="000F2054"/>
    <w:rsid w:val="000F2237"/>
    <w:rsid w:val="000F22E6"/>
    <w:rsid w:val="000F25FE"/>
    <w:rsid w:val="000F2909"/>
    <w:rsid w:val="000F2BC4"/>
    <w:rsid w:val="000F2CD4"/>
    <w:rsid w:val="000F2D53"/>
    <w:rsid w:val="000F2E9A"/>
    <w:rsid w:val="000F2F2A"/>
    <w:rsid w:val="000F3142"/>
    <w:rsid w:val="000F316F"/>
    <w:rsid w:val="000F351E"/>
    <w:rsid w:val="000F397B"/>
    <w:rsid w:val="000F44BF"/>
    <w:rsid w:val="000F487C"/>
    <w:rsid w:val="000F4C84"/>
    <w:rsid w:val="000F4E1D"/>
    <w:rsid w:val="000F4ED8"/>
    <w:rsid w:val="000F503C"/>
    <w:rsid w:val="000F565B"/>
    <w:rsid w:val="000F5CD1"/>
    <w:rsid w:val="000F6AD3"/>
    <w:rsid w:val="000F6C48"/>
    <w:rsid w:val="000F6FBD"/>
    <w:rsid w:val="000F7255"/>
    <w:rsid w:val="000F7C02"/>
    <w:rsid w:val="00100132"/>
    <w:rsid w:val="00100234"/>
    <w:rsid w:val="001002F0"/>
    <w:rsid w:val="001008BD"/>
    <w:rsid w:val="00100E12"/>
    <w:rsid w:val="001012ED"/>
    <w:rsid w:val="00101A33"/>
    <w:rsid w:val="00101BCB"/>
    <w:rsid w:val="00101DBA"/>
    <w:rsid w:val="0010206F"/>
    <w:rsid w:val="001024B9"/>
    <w:rsid w:val="00103627"/>
    <w:rsid w:val="00103807"/>
    <w:rsid w:val="00103C54"/>
    <w:rsid w:val="00103D29"/>
    <w:rsid w:val="00103EA3"/>
    <w:rsid w:val="00103EB3"/>
    <w:rsid w:val="00103F35"/>
    <w:rsid w:val="00104041"/>
    <w:rsid w:val="00104487"/>
    <w:rsid w:val="001044F1"/>
    <w:rsid w:val="00105013"/>
    <w:rsid w:val="0010504E"/>
    <w:rsid w:val="0010522E"/>
    <w:rsid w:val="001053CC"/>
    <w:rsid w:val="001055CC"/>
    <w:rsid w:val="001056B7"/>
    <w:rsid w:val="00105B4F"/>
    <w:rsid w:val="0010622D"/>
    <w:rsid w:val="001063B7"/>
    <w:rsid w:val="0010665E"/>
    <w:rsid w:val="00106808"/>
    <w:rsid w:val="00106A1F"/>
    <w:rsid w:val="00106F36"/>
    <w:rsid w:val="001072C7"/>
    <w:rsid w:val="0010756E"/>
    <w:rsid w:val="00107A55"/>
    <w:rsid w:val="00107A5A"/>
    <w:rsid w:val="00107EC3"/>
    <w:rsid w:val="00107F4A"/>
    <w:rsid w:val="0011060C"/>
    <w:rsid w:val="001107F0"/>
    <w:rsid w:val="00110ABE"/>
    <w:rsid w:val="00110FEC"/>
    <w:rsid w:val="001110CA"/>
    <w:rsid w:val="00111335"/>
    <w:rsid w:val="00111433"/>
    <w:rsid w:val="00111487"/>
    <w:rsid w:val="001114BC"/>
    <w:rsid w:val="00111C51"/>
    <w:rsid w:val="00111E04"/>
    <w:rsid w:val="00111F20"/>
    <w:rsid w:val="0011222B"/>
    <w:rsid w:val="0011262D"/>
    <w:rsid w:val="0011349D"/>
    <w:rsid w:val="00113FD8"/>
    <w:rsid w:val="00114668"/>
    <w:rsid w:val="00114967"/>
    <w:rsid w:val="00114F11"/>
    <w:rsid w:val="0011579C"/>
    <w:rsid w:val="001159BB"/>
    <w:rsid w:val="00115A4C"/>
    <w:rsid w:val="00115BAF"/>
    <w:rsid w:val="00115D35"/>
    <w:rsid w:val="0011611B"/>
    <w:rsid w:val="00116574"/>
    <w:rsid w:val="00116778"/>
    <w:rsid w:val="00116B62"/>
    <w:rsid w:val="00116D36"/>
    <w:rsid w:val="00116F87"/>
    <w:rsid w:val="00117059"/>
    <w:rsid w:val="00117380"/>
    <w:rsid w:val="0011784D"/>
    <w:rsid w:val="001201FA"/>
    <w:rsid w:val="001202A1"/>
    <w:rsid w:val="001208CB"/>
    <w:rsid w:val="00120ABA"/>
    <w:rsid w:val="00120D43"/>
    <w:rsid w:val="00120EEA"/>
    <w:rsid w:val="0012143D"/>
    <w:rsid w:val="00121ADB"/>
    <w:rsid w:val="00121BAF"/>
    <w:rsid w:val="00121C91"/>
    <w:rsid w:val="0012284A"/>
    <w:rsid w:val="00122853"/>
    <w:rsid w:val="0012344E"/>
    <w:rsid w:val="001235A7"/>
    <w:rsid w:val="00123BE0"/>
    <w:rsid w:val="00123E78"/>
    <w:rsid w:val="00124CDF"/>
    <w:rsid w:val="00124DC6"/>
    <w:rsid w:val="00124EFA"/>
    <w:rsid w:val="001250DA"/>
    <w:rsid w:val="00125125"/>
    <w:rsid w:val="001258B9"/>
    <w:rsid w:val="001259EC"/>
    <w:rsid w:val="00125BB4"/>
    <w:rsid w:val="00125D60"/>
    <w:rsid w:val="00125E37"/>
    <w:rsid w:val="00125E7A"/>
    <w:rsid w:val="00126BB8"/>
    <w:rsid w:val="001270D6"/>
    <w:rsid w:val="00127309"/>
    <w:rsid w:val="00127CBB"/>
    <w:rsid w:val="00130249"/>
    <w:rsid w:val="00130529"/>
    <w:rsid w:val="0013053A"/>
    <w:rsid w:val="00131200"/>
    <w:rsid w:val="00131660"/>
    <w:rsid w:val="00131CA0"/>
    <w:rsid w:val="00131EC7"/>
    <w:rsid w:val="001323DA"/>
    <w:rsid w:val="001323FE"/>
    <w:rsid w:val="001324F7"/>
    <w:rsid w:val="0013286C"/>
    <w:rsid w:val="0013294A"/>
    <w:rsid w:val="00132EDF"/>
    <w:rsid w:val="001331AC"/>
    <w:rsid w:val="00133275"/>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1D2F"/>
    <w:rsid w:val="001422C0"/>
    <w:rsid w:val="001425E5"/>
    <w:rsid w:val="00142770"/>
    <w:rsid w:val="0014284F"/>
    <w:rsid w:val="00142AAE"/>
    <w:rsid w:val="00142B20"/>
    <w:rsid w:val="00142C15"/>
    <w:rsid w:val="00142D75"/>
    <w:rsid w:val="00142F7A"/>
    <w:rsid w:val="00143187"/>
    <w:rsid w:val="00143827"/>
    <w:rsid w:val="00143853"/>
    <w:rsid w:val="00144481"/>
    <w:rsid w:val="0014502C"/>
    <w:rsid w:val="001450A2"/>
    <w:rsid w:val="00145131"/>
    <w:rsid w:val="00145750"/>
    <w:rsid w:val="0014681E"/>
    <w:rsid w:val="00146CFB"/>
    <w:rsid w:val="00147290"/>
    <w:rsid w:val="0014740C"/>
    <w:rsid w:val="00147459"/>
    <w:rsid w:val="001474ED"/>
    <w:rsid w:val="00147D4E"/>
    <w:rsid w:val="001503EF"/>
    <w:rsid w:val="00150602"/>
    <w:rsid w:val="001511EC"/>
    <w:rsid w:val="00151438"/>
    <w:rsid w:val="001514CE"/>
    <w:rsid w:val="0015168B"/>
    <w:rsid w:val="0015191F"/>
    <w:rsid w:val="00151ACC"/>
    <w:rsid w:val="00151E9B"/>
    <w:rsid w:val="0015264A"/>
    <w:rsid w:val="001530DA"/>
    <w:rsid w:val="001531DE"/>
    <w:rsid w:val="00153335"/>
    <w:rsid w:val="00153BAE"/>
    <w:rsid w:val="0015445F"/>
    <w:rsid w:val="00154867"/>
    <w:rsid w:val="00154959"/>
    <w:rsid w:val="00154B1A"/>
    <w:rsid w:val="00154F83"/>
    <w:rsid w:val="00155E01"/>
    <w:rsid w:val="00156733"/>
    <w:rsid w:val="001567D9"/>
    <w:rsid w:val="00156D58"/>
    <w:rsid w:val="001571C9"/>
    <w:rsid w:val="001575E8"/>
    <w:rsid w:val="00157618"/>
    <w:rsid w:val="00157755"/>
    <w:rsid w:val="00157B2C"/>
    <w:rsid w:val="00157E14"/>
    <w:rsid w:val="00157FC4"/>
    <w:rsid w:val="00160BD5"/>
    <w:rsid w:val="00161149"/>
    <w:rsid w:val="0016127D"/>
    <w:rsid w:val="00161B10"/>
    <w:rsid w:val="00162002"/>
    <w:rsid w:val="00162290"/>
    <w:rsid w:val="00162357"/>
    <w:rsid w:val="00162503"/>
    <w:rsid w:val="00162D3F"/>
    <w:rsid w:val="00162DE3"/>
    <w:rsid w:val="001631BC"/>
    <w:rsid w:val="001635C2"/>
    <w:rsid w:val="00163BD0"/>
    <w:rsid w:val="00163CEB"/>
    <w:rsid w:val="00164C23"/>
    <w:rsid w:val="00164D10"/>
    <w:rsid w:val="00164F58"/>
    <w:rsid w:val="001653D6"/>
    <w:rsid w:val="00165EEA"/>
    <w:rsid w:val="0016675D"/>
    <w:rsid w:val="00166A96"/>
    <w:rsid w:val="00166B7F"/>
    <w:rsid w:val="00166EF6"/>
    <w:rsid w:val="0016739E"/>
    <w:rsid w:val="00167E0B"/>
    <w:rsid w:val="00170AE5"/>
    <w:rsid w:val="00170C5B"/>
    <w:rsid w:val="00170D9A"/>
    <w:rsid w:val="00170DAC"/>
    <w:rsid w:val="00171052"/>
    <w:rsid w:val="0017116F"/>
    <w:rsid w:val="001711A6"/>
    <w:rsid w:val="00171296"/>
    <w:rsid w:val="00171AE8"/>
    <w:rsid w:val="00171B4F"/>
    <w:rsid w:val="00171C0E"/>
    <w:rsid w:val="00171C27"/>
    <w:rsid w:val="00172025"/>
    <w:rsid w:val="00172027"/>
    <w:rsid w:val="001722AE"/>
    <w:rsid w:val="0017273F"/>
    <w:rsid w:val="00172864"/>
    <w:rsid w:val="00172B73"/>
    <w:rsid w:val="00172C26"/>
    <w:rsid w:val="00172E6A"/>
    <w:rsid w:val="00172F4E"/>
    <w:rsid w:val="001730D8"/>
    <w:rsid w:val="0017312E"/>
    <w:rsid w:val="00173275"/>
    <w:rsid w:val="00173327"/>
    <w:rsid w:val="00173585"/>
    <w:rsid w:val="00174461"/>
    <w:rsid w:val="0017460D"/>
    <w:rsid w:val="00174DB4"/>
    <w:rsid w:val="0017549A"/>
    <w:rsid w:val="00175604"/>
    <w:rsid w:val="0017584F"/>
    <w:rsid w:val="00175A77"/>
    <w:rsid w:val="00175B7F"/>
    <w:rsid w:val="0017631F"/>
    <w:rsid w:val="00176363"/>
    <w:rsid w:val="00176431"/>
    <w:rsid w:val="00176ACE"/>
    <w:rsid w:val="00176B8C"/>
    <w:rsid w:val="00177164"/>
    <w:rsid w:val="001771EB"/>
    <w:rsid w:val="001773CA"/>
    <w:rsid w:val="0017745D"/>
    <w:rsid w:val="001775A4"/>
    <w:rsid w:val="001777D3"/>
    <w:rsid w:val="0017786C"/>
    <w:rsid w:val="00177CBB"/>
    <w:rsid w:val="00177E2A"/>
    <w:rsid w:val="001801DA"/>
    <w:rsid w:val="00180200"/>
    <w:rsid w:val="0018049E"/>
    <w:rsid w:val="001808A2"/>
    <w:rsid w:val="00180D57"/>
    <w:rsid w:val="00181169"/>
    <w:rsid w:val="00181467"/>
    <w:rsid w:val="00181A75"/>
    <w:rsid w:val="00181BC5"/>
    <w:rsid w:val="00181DBA"/>
    <w:rsid w:val="00181EB6"/>
    <w:rsid w:val="0018230F"/>
    <w:rsid w:val="0018242F"/>
    <w:rsid w:val="0018253C"/>
    <w:rsid w:val="0018292A"/>
    <w:rsid w:val="00182B35"/>
    <w:rsid w:val="00182C15"/>
    <w:rsid w:val="00182FEF"/>
    <w:rsid w:val="00183370"/>
    <w:rsid w:val="0018348F"/>
    <w:rsid w:val="001834FE"/>
    <w:rsid w:val="00183942"/>
    <w:rsid w:val="00183D20"/>
    <w:rsid w:val="00184386"/>
    <w:rsid w:val="001845CB"/>
    <w:rsid w:val="00184AF6"/>
    <w:rsid w:val="0018567B"/>
    <w:rsid w:val="00185A32"/>
    <w:rsid w:val="00186108"/>
    <w:rsid w:val="001861EA"/>
    <w:rsid w:val="00186264"/>
    <w:rsid w:val="0018637E"/>
    <w:rsid w:val="001866BE"/>
    <w:rsid w:val="00186837"/>
    <w:rsid w:val="00186A4E"/>
    <w:rsid w:val="00186AC7"/>
    <w:rsid w:val="00186E80"/>
    <w:rsid w:val="001871F2"/>
    <w:rsid w:val="0018727C"/>
    <w:rsid w:val="00187CC9"/>
    <w:rsid w:val="00187D1E"/>
    <w:rsid w:val="001905F1"/>
    <w:rsid w:val="0019071E"/>
    <w:rsid w:val="00190809"/>
    <w:rsid w:val="001908BB"/>
    <w:rsid w:val="0019090F"/>
    <w:rsid w:val="001913A6"/>
    <w:rsid w:val="00191DA3"/>
    <w:rsid w:val="0019239B"/>
    <w:rsid w:val="0019288A"/>
    <w:rsid w:val="001931A0"/>
    <w:rsid w:val="00193AB0"/>
    <w:rsid w:val="00193F48"/>
    <w:rsid w:val="0019444B"/>
    <w:rsid w:val="00194E6F"/>
    <w:rsid w:val="0019510E"/>
    <w:rsid w:val="001952E2"/>
    <w:rsid w:val="0019534B"/>
    <w:rsid w:val="00195DAD"/>
    <w:rsid w:val="00196188"/>
    <w:rsid w:val="0019657F"/>
    <w:rsid w:val="00196608"/>
    <w:rsid w:val="00196A31"/>
    <w:rsid w:val="00196D4E"/>
    <w:rsid w:val="00196F16"/>
    <w:rsid w:val="00197044"/>
    <w:rsid w:val="001970B9"/>
    <w:rsid w:val="001973A5"/>
    <w:rsid w:val="00197522"/>
    <w:rsid w:val="001977F4"/>
    <w:rsid w:val="00197A4B"/>
    <w:rsid w:val="00197B4F"/>
    <w:rsid w:val="00197D80"/>
    <w:rsid w:val="00197FA3"/>
    <w:rsid w:val="001A0375"/>
    <w:rsid w:val="001A0434"/>
    <w:rsid w:val="001A0D64"/>
    <w:rsid w:val="001A0EE2"/>
    <w:rsid w:val="001A0FBA"/>
    <w:rsid w:val="001A10FF"/>
    <w:rsid w:val="001A1159"/>
    <w:rsid w:val="001A1BD2"/>
    <w:rsid w:val="001A1C2D"/>
    <w:rsid w:val="001A1CB5"/>
    <w:rsid w:val="001A1FA3"/>
    <w:rsid w:val="001A2B3B"/>
    <w:rsid w:val="001A2D60"/>
    <w:rsid w:val="001A3288"/>
    <w:rsid w:val="001A384C"/>
    <w:rsid w:val="001A3ECA"/>
    <w:rsid w:val="001A417C"/>
    <w:rsid w:val="001A489A"/>
    <w:rsid w:val="001A4B58"/>
    <w:rsid w:val="001A4D79"/>
    <w:rsid w:val="001A4DDE"/>
    <w:rsid w:val="001A4FA6"/>
    <w:rsid w:val="001A57C8"/>
    <w:rsid w:val="001A5BA5"/>
    <w:rsid w:val="001A6984"/>
    <w:rsid w:val="001A69B1"/>
    <w:rsid w:val="001A6AB5"/>
    <w:rsid w:val="001A74AA"/>
    <w:rsid w:val="001A756E"/>
    <w:rsid w:val="001A77DE"/>
    <w:rsid w:val="001A79D4"/>
    <w:rsid w:val="001A7B35"/>
    <w:rsid w:val="001A7E4C"/>
    <w:rsid w:val="001B1C17"/>
    <w:rsid w:val="001B239C"/>
    <w:rsid w:val="001B2544"/>
    <w:rsid w:val="001B26FB"/>
    <w:rsid w:val="001B277D"/>
    <w:rsid w:val="001B27F6"/>
    <w:rsid w:val="001B2C66"/>
    <w:rsid w:val="001B309A"/>
    <w:rsid w:val="001B32AE"/>
    <w:rsid w:val="001B40E4"/>
    <w:rsid w:val="001B452A"/>
    <w:rsid w:val="001B47C6"/>
    <w:rsid w:val="001B4C67"/>
    <w:rsid w:val="001B4E0B"/>
    <w:rsid w:val="001B540A"/>
    <w:rsid w:val="001B54B8"/>
    <w:rsid w:val="001B55AA"/>
    <w:rsid w:val="001B572E"/>
    <w:rsid w:val="001B597E"/>
    <w:rsid w:val="001B5BDC"/>
    <w:rsid w:val="001B5CE7"/>
    <w:rsid w:val="001B5D0E"/>
    <w:rsid w:val="001B6C6C"/>
    <w:rsid w:val="001B6ED4"/>
    <w:rsid w:val="001B7001"/>
    <w:rsid w:val="001B72B2"/>
    <w:rsid w:val="001B7929"/>
    <w:rsid w:val="001C051E"/>
    <w:rsid w:val="001C062F"/>
    <w:rsid w:val="001C073B"/>
    <w:rsid w:val="001C1007"/>
    <w:rsid w:val="001C1101"/>
    <w:rsid w:val="001C1102"/>
    <w:rsid w:val="001C177F"/>
    <w:rsid w:val="001C1C6A"/>
    <w:rsid w:val="001C1E6D"/>
    <w:rsid w:val="001C231E"/>
    <w:rsid w:val="001C2A68"/>
    <w:rsid w:val="001C2D56"/>
    <w:rsid w:val="001C3119"/>
    <w:rsid w:val="001C3589"/>
    <w:rsid w:val="001C398B"/>
    <w:rsid w:val="001C3A45"/>
    <w:rsid w:val="001C3D7A"/>
    <w:rsid w:val="001C3FFB"/>
    <w:rsid w:val="001C424B"/>
    <w:rsid w:val="001C4405"/>
    <w:rsid w:val="001C54FF"/>
    <w:rsid w:val="001C55CF"/>
    <w:rsid w:val="001C587C"/>
    <w:rsid w:val="001C59C4"/>
    <w:rsid w:val="001C5CD1"/>
    <w:rsid w:val="001C600C"/>
    <w:rsid w:val="001C756D"/>
    <w:rsid w:val="001C7867"/>
    <w:rsid w:val="001C78C8"/>
    <w:rsid w:val="001C7D64"/>
    <w:rsid w:val="001D071A"/>
    <w:rsid w:val="001D0887"/>
    <w:rsid w:val="001D0B63"/>
    <w:rsid w:val="001D0E2B"/>
    <w:rsid w:val="001D0E69"/>
    <w:rsid w:val="001D0EF7"/>
    <w:rsid w:val="001D0FAD"/>
    <w:rsid w:val="001D1029"/>
    <w:rsid w:val="001D10FF"/>
    <w:rsid w:val="001D1163"/>
    <w:rsid w:val="001D1353"/>
    <w:rsid w:val="001D13F6"/>
    <w:rsid w:val="001D15BA"/>
    <w:rsid w:val="001D16C3"/>
    <w:rsid w:val="001D173A"/>
    <w:rsid w:val="001D1B81"/>
    <w:rsid w:val="001D1D4B"/>
    <w:rsid w:val="001D1D9D"/>
    <w:rsid w:val="001D2A4B"/>
    <w:rsid w:val="001D2C13"/>
    <w:rsid w:val="001D2C4B"/>
    <w:rsid w:val="001D2D1A"/>
    <w:rsid w:val="001D3021"/>
    <w:rsid w:val="001D33E2"/>
    <w:rsid w:val="001D3567"/>
    <w:rsid w:val="001D3907"/>
    <w:rsid w:val="001D3974"/>
    <w:rsid w:val="001D43D8"/>
    <w:rsid w:val="001D441A"/>
    <w:rsid w:val="001D44A7"/>
    <w:rsid w:val="001D45A9"/>
    <w:rsid w:val="001D4697"/>
    <w:rsid w:val="001D4713"/>
    <w:rsid w:val="001D4749"/>
    <w:rsid w:val="001D48B8"/>
    <w:rsid w:val="001D4AE2"/>
    <w:rsid w:val="001D5148"/>
    <w:rsid w:val="001D561C"/>
    <w:rsid w:val="001D57CC"/>
    <w:rsid w:val="001D5981"/>
    <w:rsid w:val="001D5AA5"/>
    <w:rsid w:val="001D5C20"/>
    <w:rsid w:val="001D5D2F"/>
    <w:rsid w:val="001D63C7"/>
    <w:rsid w:val="001D68BB"/>
    <w:rsid w:val="001D6C10"/>
    <w:rsid w:val="001D6D08"/>
    <w:rsid w:val="001D740D"/>
    <w:rsid w:val="001D77BF"/>
    <w:rsid w:val="001D792B"/>
    <w:rsid w:val="001E0053"/>
    <w:rsid w:val="001E185B"/>
    <w:rsid w:val="001E1EFA"/>
    <w:rsid w:val="001E21A6"/>
    <w:rsid w:val="001E22EC"/>
    <w:rsid w:val="001E2694"/>
    <w:rsid w:val="001E2729"/>
    <w:rsid w:val="001E2E20"/>
    <w:rsid w:val="001E34BD"/>
    <w:rsid w:val="001E369D"/>
    <w:rsid w:val="001E3708"/>
    <w:rsid w:val="001E3D7A"/>
    <w:rsid w:val="001E40CB"/>
    <w:rsid w:val="001E40FD"/>
    <w:rsid w:val="001E43D3"/>
    <w:rsid w:val="001E479F"/>
    <w:rsid w:val="001E51F5"/>
    <w:rsid w:val="001E527A"/>
    <w:rsid w:val="001E5579"/>
    <w:rsid w:val="001E5D7E"/>
    <w:rsid w:val="001E5E9F"/>
    <w:rsid w:val="001E600E"/>
    <w:rsid w:val="001E6BF2"/>
    <w:rsid w:val="001E707B"/>
    <w:rsid w:val="001E7283"/>
    <w:rsid w:val="001E7A10"/>
    <w:rsid w:val="001E7CA8"/>
    <w:rsid w:val="001F0017"/>
    <w:rsid w:val="001F0147"/>
    <w:rsid w:val="001F04A0"/>
    <w:rsid w:val="001F0624"/>
    <w:rsid w:val="001F0E34"/>
    <w:rsid w:val="001F0EDC"/>
    <w:rsid w:val="001F0F8A"/>
    <w:rsid w:val="001F12BF"/>
    <w:rsid w:val="001F186A"/>
    <w:rsid w:val="001F1882"/>
    <w:rsid w:val="001F1D1B"/>
    <w:rsid w:val="001F250F"/>
    <w:rsid w:val="001F25CA"/>
    <w:rsid w:val="001F2889"/>
    <w:rsid w:val="001F2CD8"/>
    <w:rsid w:val="001F343F"/>
    <w:rsid w:val="001F3D48"/>
    <w:rsid w:val="001F408F"/>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AE5"/>
    <w:rsid w:val="00200E56"/>
    <w:rsid w:val="00201A7A"/>
    <w:rsid w:val="00201C9E"/>
    <w:rsid w:val="002023AC"/>
    <w:rsid w:val="0020251F"/>
    <w:rsid w:val="00202783"/>
    <w:rsid w:val="002027F7"/>
    <w:rsid w:val="00203645"/>
    <w:rsid w:val="00203822"/>
    <w:rsid w:val="00203CE8"/>
    <w:rsid w:val="00203D60"/>
    <w:rsid w:val="00203DAC"/>
    <w:rsid w:val="00203E65"/>
    <w:rsid w:val="00203EC9"/>
    <w:rsid w:val="0020490E"/>
    <w:rsid w:val="00204A95"/>
    <w:rsid w:val="00204AD6"/>
    <w:rsid w:val="00204D58"/>
    <w:rsid w:val="00205555"/>
    <w:rsid w:val="00205F27"/>
    <w:rsid w:val="00205FC9"/>
    <w:rsid w:val="00206043"/>
    <w:rsid w:val="0020678B"/>
    <w:rsid w:val="0020690A"/>
    <w:rsid w:val="00207536"/>
    <w:rsid w:val="00207941"/>
    <w:rsid w:val="00207AB1"/>
    <w:rsid w:val="00207C8A"/>
    <w:rsid w:val="0021031C"/>
    <w:rsid w:val="00210BAF"/>
    <w:rsid w:val="00210CDC"/>
    <w:rsid w:val="00211321"/>
    <w:rsid w:val="00211DF3"/>
    <w:rsid w:val="00211EF1"/>
    <w:rsid w:val="00212015"/>
    <w:rsid w:val="0021251F"/>
    <w:rsid w:val="00212599"/>
    <w:rsid w:val="002125C4"/>
    <w:rsid w:val="00212EB8"/>
    <w:rsid w:val="0021344D"/>
    <w:rsid w:val="00213484"/>
    <w:rsid w:val="00213C07"/>
    <w:rsid w:val="00213DF1"/>
    <w:rsid w:val="002141FD"/>
    <w:rsid w:val="0021468C"/>
    <w:rsid w:val="00214701"/>
    <w:rsid w:val="00214707"/>
    <w:rsid w:val="00214FCC"/>
    <w:rsid w:val="00214FD2"/>
    <w:rsid w:val="002156BE"/>
    <w:rsid w:val="00215CC8"/>
    <w:rsid w:val="00215EE6"/>
    <w:rsid w:val="0021601F"/>
    <w:rsid w:val="00216B1A"/>
    <w:rsid w:val="00216E4F"/>
    <w:rsid w:val="00216F0F"/>
    <w:rsid w:val="00216F5F"/>
    <w:rsid w:val="00217383"/>
    <w:rsid w:val="0021799B"/>
    <w:rsid w:val="00217A81"/>
    <w:rsid w:val="00217ADA"/>
    <w:rsid w:val="00217BF6"/>
    <w:rsid w:val="00220017"/>
    <w:rsid w:val="00220704"/>
    <w:rsid w:val="00220748"/>
    <w:rsid w:val="002209B3"/>
    <w:rsid w:val="00221060"/>
    <w:rsid w:val="0022108C"/>
    <w:rsid w:val="0022112B"/>
    <w:rsid w:val="002218E9"/>
    <w:rsid w:val="00221B71"/>
    <w:rsid w:val="00222093"/>
    <w:rsid w:val="002226A7"/>
    <w:rsid w:val="002226D6"/>
    <w:rsid w:val="002227B7"/>
    <w:rsid w:val="00222849"/>
    <w:rsid w:val="002228F9"/>
    <w:rsid w:val="00222CA8"/>
    <w:rsid w:val="00222DFC"/>
    <w:rsid w:val="00222EDD"/>
    <w:rsid w:val="00223024"/>
    <w:rsid w:val="002231C5"/>
    <w:rsid w:val="002237A2"/>
    <w:rsid w:val="0022409B"/>
    <w:rsid w:val="00224465"/>
    <w:rsid w:val="0022461C"/>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0737"/>
    <w:rsid w:val="00230FA8"/>
    <w:rsid w:val="00231568"/>
    <w:rsid w:val="002328A7"/>
    <w:rsid w:val="00232BED"/>
    <w:rsid w:val="00232C01"/>
    <w:rsid w:val="002334C2"/>
    <w:rsid w:val="00233619"/>
    <w:rsid w:val="002337DF"/>
    <w:rsid w:val="00233A04"/>
    <w:rsid w:val="00233B85"/>
    <w:rsid w:val="00233C2B"/>
    <w:rsid w:val="002342BF"/>
    <w:rsid w:val="0023443B"/>
    <w:rsid w:val="0023460C"/>
    <w:rsid w:val="002346EE"/>
    <w:rsid w:val="00234E66"/>
    <w:rsid w:val="0023518D"/>
    <w:rsid w:val="00235409"/>
    <w:rsid w:val="002356B8"/>
    <w:rsid w:val="0023597F"/>
    <w:rsid w:val="00236126"/>
    <w:rsid w:val="00236333"/>
    <w:rsid w:val="00236965"/>
    <w:rsid w:val="00237261"/>
    <w:rsid w:val="002373EC"/>
    <w:rsid w:val="00237538"/>
    <w:rsid w:val="00237DAF"/>
    <w:rsid w:val="00240032"/>
    <w:rsid w:val="002403B6"/>
    <w:rsid w:val="00240A8F"/>
    <w:rsid w:val="00240A99"/>
    <w:rsid w:val="00240E14"/>
    <w:rsid w:val="00240FC4"/>
    <w:rsid w:val="002412BB"/>
    <w:rsid w:val="00241BC4"/>
    <w:rsid w:val="00241C05"/>
    <w:rsid w:val="00241F3D"/>
    <w:rsid w:val="00242182"/>
    <w:rsid w:val="00242194"/>
    <w:rsid w:val="0024224F"/>
    <w:rsid w:val="00242366"/>
    <w:rsid w:val="00242439"/>
    <w:rsid w:val="002427B2"/>
    <w:rsid w:val="00242C36"/>
    <w:rsid w:val="00242F03"/>
    <w:rsid w:val="0024360A"/>
    <w:rsid w:val="002438EE"/>
    <w:rsid w:val="00243E04"/>
    <w:rsid w:val="002441C8"/>
    <w:rsid w:val="00244367"/>
    <w:rsid w:val="0024445E"/>
    <w:rsid w:val="00245207"/>
    <w:rsid w:val="0024536D"/>
    <w:rsid w:val="0024546A"/>
    <w:rsid w:val="002454EE"/>
    <w:rsid w:val="00246320"/>
    <w:rsid w:val="002466DD"/>
    <w:rsid w:val="002467BE"/>
    <w:rsid w:val="00246E30"/>
    <w:rsid w:val="00246F11"/>
    <w:rsid w:val="00247560"/>
    <w:rsid w:val="0024770C"/>
    <w:rsid w:val="00247B22"/>
    <w:rsid w:val="00247D75"/>
    <w:rsid w:val="00247EF7"/>
    <w:rsid w:val="00247F05"/>
    <w:rsid w:val="002501BA"/>
    <w:rsid w:val="00250AFE"/>
    <w:rsid w:val="00250EED"/>
    <w:rsid w:val="00251283"/>
    <w:rsid w:val="0025172A"/>
    <w:rsid w:val="00251D27"/>
    <w:rsid w:val="00251E03"/>
    <w:rsid w:val="0025242E"/>
    <w:rsid w:val="00252730"/>
    <w:rsid w:val="0025290A"/>
    <w:rsid w:val="002529C4"/>
    <w:rsid w:val="00253148"/>
    <w:rsid w:val="0025333D"/>
    <w:rsid w:val="00253401"/>
    <w:rsid w:val="0025372A"/>
    <w:rsid w:val="00253850"/>
    <w:rsid w:val="0025392C"/>
    <w:rsid w:val="0025405B"/>
    <w:rsid w:val="00254B6C"/>
    <w:rsid w:val="002550BD"/>
    <w:rsid w:val="00255204"/>
    <w:rsid w:val="00255739"/>
    <w:rsid w:val="0025598A"/>
    <w:rsid w:val="00255D9B"/>
    <w:rsid w:val="00255DE7"/>
    <w:rsid w:val="0025630A"/>
    <w:rsid w:val="002563F5"/>
    <w:rsid w:val="00256481"/>
    <w:rsid w:val="0025664C"/>
    <w:rsid w:val="0025667C"/>
    <w:rsid w:val="00256A93"/>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63A"/>
    <w:rsid w:val="002629C3"/>
    <w:rsid w:val="00262AFB"/>
    <w:rsid w:val="00262BED"/>
    <w:rsid w:val="00262C9C"/>
    <w:rsid w:val="00262F5B"/>
    <w:rsid w:val="002638DF"/>
    <w:rsid w:val="00263ABF"/>
    <w:rsid w:val="00263F83"/>
    <w:rsid w:val="00264050"/>
    <w:rsid w:val="00264367"/>
    <w:rsid w:val="0026441B"/>
    <w:rsid w:val="0026445A"/>
    <w:rsid w:val="00264511"/>
    <w:rsid w:val="002645C1"/>
    <w:rsid w:val="00264D7F"/>
    <w:rsid w:val="00264F06"/>
    <w:rsid w:val="00265851"/>
    <w:rsid w:val="00265FE1"/>
    <w:rsid w:val="00266327"/>
    <w:rsid w:val="0026664A"/>
    <w:rsid w:val="002666B0"/>
    <w:rsid w:val="00266A31"/>
    <w:rsid w:val="00266CE4"/>
    <w:rsid w:val="00266DA5"/>
    <w:rsid w:val="00267198"/>
    <w:rsid w:val="0026721F"/>
    <w:rsid w:val="002674BE"/>
    <w:rsid w:val="00267544"/>
    <w:rsid w:val="002676F3"/>
    <w:rsid w:val="00267DAB"/>
    <w:rsid w:val="002708EB"/>
    <w:rsid w:val="00270E7C"/>
    <w:rsid w:val="00270F38"/>
    <w:rsid w:val="00270F71"/>
    <w:rsid w:val="0027122A"/>
    <w:rsid w:val="00271306"/>
    <w:rsid w:val="002713B3"/>
    <w:rsid w:val="00271500"/>
    <w:rsid w:val="00271699"/>
    <w:rsid w:val="00271A08"/>
    <w:rsid w:val="00271C16"/>
    <w:rsid w:val="00271EE8"/>
    <w:rsid w:val="00271FAD"/>
    <w:rsid w:val="00272844"/>
    <w:rsid w:val="002729A4"/>
    <w:rsid w:val="00272C33"/>
    <w:rsid w:val="00272D1D"/>
    <w:rsid w:val="002737D0"/>
    <w:rsid w:val="0027393D"/>
    <w:rsid w:val="00273CF6"/>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26E"/>
    <w:rsid w:val="002773E6"/>
    <w:rsid w:val="002774C5"/>
    <w:rsid w:val="0027770F"/>
    <w:rsid w:val="00277738"/>
    <w:rsid w:val="002779B7"/>
    <w:rsid w:val="002779BD"/>
    <w:rsid w:val="00277FCD"/>
    <w:rsid w:val="00280005"/>
    <w:rsid w:val="002804CD"/>
    <w:rsid w:val="0028096F"/>
    <w:rsid w:val="00280C3E"/>
    <w:rsid w:val="002814E7"/>
    <w:rsid w:val="0028152B"/>
    <w:rsid w:val="002815A1"/>
    <w:rsid w:val="0028164B"/>
    <w:rsid w:val="002816DD"/>
    <w:rsid w:val="002818E0"/>
    <w:rsid w:val="00281B9D"/>
    <w:rsid w:val="00282012"/>
    <w:rsid w:val="00282CA7"/>
    <w:rsid w:val="00282E60"/>
    <w:rsid w:val="00283569"/>
    <w:rsid w:val="002839A8"/>
    <w:rsid w:val="00283C2C"/>
    <w:rsid w:val="00283FC7"/>
    <w:rsid w:val="0028432A"/>
    <w:rsid w:val="00284377"/>
    <w:rsid w:val="002847AA"/>
    <w:rsid w:val="00284CC1"/>
    <w:rsid w:val="00284E1F"/>
    <w:rsid w:val="00285364"/>
    <w:rsid w:val="002853A1"/>
    <w:rsid w:val="00285B61"/>
    <w:rsid w:val="00285CED"/>
    <w:rsid w:val="00285E47"/>
    <w:rsid w:val="0028605F"/>
    <w:rsid w:val="00286350"/>
    <w:rsid w:val="002865AE"/>
    <w:rsid w:val="0028676A"/>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1FE3"/>
    <w:rsid w:val="00292848"/>
    <w:rsid w:val="00292C07"/>
    <w:rsid w:val="00292D9E"/>
    <w:rsid w:val="0029371D"/>
    <w:rsid w:val="0029378D"/>
    <w:rsid w:val="002937B8"/>
    <w:rsid w:val="00293E6C"/>
    <w:rsid w:val="00294532"/>
    <w:rsid w:val="00294541"/>
    <w:rsid w:val="00294880"/>
    <w:rsid w:val="002948E9"/>
    <w:rsid w:val="00294D21"/>
    <w:rsid w:val="00294E96"/>
    <w:rsid w:val="0029521B"/>
    <w:rsid w:val="0029532D"/>
    <w:rsid w:val="002953A8"/>
    <w:rsid w:val="00295A6A"/>
    <w:rsid w:val="00295BBC"/>
    <w:rsid w:val="002960A6"/>
    <w:rsid w:val="002967F9"/>
    <w:rsid w:val="00296B66"/>
    <w:rsid w:val="002971EE"/>
    <w:rsid w:val="0029796E"/>
    <w:rsid w:val="00297DE2"/>
    <w:rsid w:val="00297F70"/>
    <w:rsid w:val="002A0228"/>
    <w:rsid w:val="002A0405"/>
    <w:rsid w:val="002A0448"/>
    <w:rsid w:val="002A0891"/>
    <w:rsid w:val="002A1377"/>
    <w:rsid w:val="002A142F"/>
    <w:rsid w:val="002A1431"/>
    <w:rsid w:val="002A15EE"/>
    <w:rsid w:val="002A174A"/>
    <w:rsid w:val="002A21DF"/>
    <w:rsid w:val="002A2A91"/>
    <w:rsid w:val="002A2DB6"/>
    <w:rsid w:val="002A2DE3"/>
    <w:rsid w:val="002A36D6"/>
    <w:rsid w:val="002A3D79"/>
    <w:rsid w:val="002A40E1"/>
    <w:rsid w:val="002A44BC"/>
    <w:rsid w:val="002A49BD"/>
    <w:rsid w:val="002A50FB"/>
    <w:rsid w:val="002A53E1"/>
    <w:rsid w:val="002A5638"/>
    <w:rsid w:val="002A5897"/>
    <w:rsid w:val="002A5AC9"/>
    <w:rsid w:val="002A5F06"/>
    <w:rsid w:val="002A600E"/>
    <w:rsid w:val="002A657C"/>
    <w:rsid w:val="002A659E"/>
    <w:rsid w:val="002A687D"/>
    <w:rsid w:val="002A68F9"/>
    <w:rsid w:val="002A6AB6"/>
    <w:rsid w:val="002A6E19"/>
    <w:rsid w:val="002A6F49"/>
    <w:rsid w:val="002A6F6A"/>
    <w:rsid w:val="002A75BC"/>
    <w:rsid w:val="002A75BD"/>
    <w:rsid w:val="002A7931"/>
    <w:rsid w:val="002A7B8E"/>
    <w:rsid w:val="002A7BDC"/>
    <w:rsid w:val="002A7D25"/>
    <w:rsid w:val="002B057A"/>
    <w:rsid w:val="002B0588"/>
    <w:rsid w:val="002B0706"/>
    <w:rsid w:val="002B0952"/>
    <w:rsid w:val="002B0DEE"/>
    <w:rsid w:val="002B0FC8"/>
    <w:rsid w:val="002B14DD"/>
    <w:rsid w:val="002B1979"/>
    <w:rsid w:val="002B1AEF"/>
    <w:rsid w:val="002B20CA"/>
    <w:rsid w:val="002B3154"/>
    <w:rsid w:val="002B39AA"/>
    <w:rsid w:val="002B3F47"/>
    <w:rsid w:val="002B3FDF"/>
    <w:rsid w:val="002B42DB"/>
    <w:rsid w:val="002B4389"/>
    <w:rsid w:val="002B4431"/>
    <w:rsid w:val="002B4A36"/>
    <w:rsid w:val="002B506E"/>
    <w:rsid w:val="002B5269"/>
    <w:rsid w:val="002B57DD"/>
    <w:rsid w:val="002B5808"/>
    <w:rsid w:val="002B5883"/>
    <w:rsid w:val="002B5D80"/>
    <w:rsid w:val="002B624A"/>
    <w:rsid w:val="002B632F"/>
    <w:rsid w:val="002B635A"/>
    <w:rsid w:val="002B67B2"/>
    <w:rsid w:val="002B76A3"/>
    <w:rsid w:val="002B78D7"/>
    <w:rsid w:val="002C002A"/>
    <w:rsid w:val="002C002D"/>
    <w:rsid w:val="002C011E"/>
    <w:rsid w:val="002C021D"/>
    <w:rsid w:val="002C074C"/>
    <w:rsid w:val="002C0870"/>
    <w:rsid w:val="002C09B2"/>
    <w:rsid w:val="002C0F7E"/>
    <w:rsid w:val="002C12A3"/>
    <w:rsid w:val="002C136F"/>
    <w:rsid w:val="002C1714"/>
    <w:rsid w:val="002C1AEA"/>
    <w:rsid w:val="002C1D84"/>
    <w:rsid w:val="002C1ED2"/>
    <w:rsid w:val="002C1F1D"/>
    <w:rsid w:val="002C206F"/>
    <w:rsid w:val="002C20BE"/>
    <w:rsid w:val="002C21AC"/>
    <w:rsid w:val="002C274E"/>
    <w:rsid w:val="002C27A1"/>
    <w:rsid w:val="002C2D82"/>
    <w:rsid w:val="002C2F79"/>
    <w:rsid w:val="002C3006"/>
    <w:rsid w:val="002C336A"/>
    <w:rsid w:val="002C3768"/>
    <w:rsid w:val="002C476A"/>
    <w:rsid w:val="002C4D71"/>
    <w:rsid w:val="002C58ED"/>
    <w:rsid w:val="002C5FDA"/>
    <w:rsid w:val="002C6011"/>
    <w:rsid w:val="002C60FB"/>
    <w:rsid w:val="002C61A0"/>
    <w:rsid w:val="002C646A"/>
    <w:rsid w:val="002C663D"/>
    <w:rsid w:val="002C6B86"/>
    <w:rsid w:val="002C6F52"/>
    <w:rsid w:val="002C70D0"/>
    <w:rsid w:val="002C780D"/>
    <w:rsid w:val="002C78C9"/>
    <w:rsid w:val="002C7B63"/>
    <w:rsid w:val="002D00E6"/>
    <w:rsid w:val="002D00F4"/>
    <w:rsid w:val="002D0A64"/>
    <w:rsid w:val="002D0B05"/>
    <w:rsid w:val="002D0D01"/>
    <w:rsid w:val="002D0E78"/>
    <w:rsid w:val="002D13A8"/>
    <w:rsid w:val="002D15B3"/>
    <w:rsid w:val="002D1850"/>
    <w:rsid w:val="002D18F8"/>
    <w:rsid w:val="002D1B6F"/>
    <w:rsid w:val="002D1CE4"/>
    <w:rsid w:val="002D1DF5"/>
    <w:rsid w:val="002D1E22"/>
    <w:rsid w:val="002D1E9C"/>
    <w:rsid w:val="002D21B0"/>
    <w:rsid w:val="002D2B62"/>
    <w:rsid w:val="002D2B77"/>
    <w:rsid w:val="002D3179"/>
    <w:rsid w:val="002D36A2"/>
    <w:rsid w:val="002D3B86"/>
    <w:rsid w:val="002D3DAB"/>
    <w:rsid w:val="002D3F63"/>
    <w:rsid w:val="002D4469"/>
    <w:rsid w:val="002D46F7"/>
    <w:rsid w:val="002D5211"/>
    <w:rsid w:val="002D52E8"/>
    <w:rsid w:val="002D5394"/>
    <w:rsid w:val="002D5453"/>
    <w:rsid w:val="002D548B"/>
    <w:rsid w:val="002D5A53"/>
    <w:rsid w:val="002D5F08"/>
    <w:rsid w:val="002D6282"/>
    <w:rsid w:val="002D65B5"/>
    <w:rsid w:val="002D6987"/>
    <w:rsid w:val="002D721D"/>
    <w:rsid w:val="002D73B5"/>
    <w:rsid w:val="002D7839"/>
    <w:rsid w:val="002D7F79"/>
    <w:rsid w:val="002E014D"/>
    <w:rsid w:val="002E02C1"/>
    <w:rsid w:val="002E0302"/>
    <w:rsid w:val="002E068E"/>
    <w:rsid w:val="002E0E55"/>
    <w:rsid w:val="002E1412"/>
    <w:rsid w:val="002E16BB"/>
    <w:rsid w:val="002E1763"/>
    <w:rsid w:val="002E1C91"/>
    <w:rsid w:val="002E1D98"/>
    <w:rsid w:val="002E1EBF"/>
    <w:rsid w:val="002E2464"/>
    <w:rsid w:val="002E2F93"/>
    <w:rsid w:val="002E30E0"/>
    <w:rsid w:val="002E358C"/>
    <w:rsid w:val="002E37A9"/>
    <w:rsid w:val="002E3C90"/>
    <w:rsid w:val="002E403E"/>
    <w:rsid w:val="002E4A43"/>
    <w:rsid w:val="002E4CDC"/>
    <w:rsid w:val="002E4F05"/>
    <w:rsid w:val="002E4F17"/>
    <w:rsid w:val="002E53E7"/>
    <w:rsid w:val="002E5661"/>
    <w:rsid w:val="002E572A"/>
    <w:rsid w:val="002E5B51"/>
    <w:rsid w:val="002E635F"/>
    <w:rsid w:val="002E65A3"/>
    <w:rsid w:val="002E65B5"/>
    <w:rsid w:val="002E6712"/>
    <w:rsid w:val="002E697B"/>
    <w:rsid w:val="002E6A73"/>
    <w:rsid w:val="002E735C"/>
    <w:rsid w:val="002E7476"/>
    <w:rsid w:val="002E747E"/>
    <w:rsid w:val="002E7C5C"/>
    <w:rsid w:val="002E7D30"/>
    <w:rsid w:val="002F015D"/>
    <w:rsid w:val="002F01FD"/>
    <w:rsid w:val="002F0271"/>
    <w:rsid w:val="002F0B3B"/>
    <w:rsid w:val="002F0EBD"/>
    <w:rsid w:val="002F0FB3"/>
    <w:rsid w:val="002F106F"/>
    <w:rsid w:val="002F1104"/>
    <w:rsid w:val="002F179E"/>
    <w:rsid w:val="002F19E5"/>
    <w:rsid w:val="002F1E71"/>
    <w:rsid w:val="002F1F06"/>
    <w:rsid w:val="002F1FF7"/>
    <w:rsid w:val="002F2411"/>
    <w:rsid w:val="002F291B"/>
    <w:rsid w:val="002F3053"/>
    <w:rsid w:val="002F32AF"/>
    <w:rsid w:val="002F33A5"/>
    <w:rsid w:val="002F3623"/>
    <w:rsid w:val="002F45EA"/>
    <w:rsid w:val="002F4AE9"/>
    <w:rsid w:val="002F50B3"/>
    <w:rsid w:val="002F5231"/>
    <w:rsid w:val="002F530F"/>
    <w:rsid w:val="002F5373"/>
    <w:rsid w:val="002F5423"/>
    <w:rsid w:val="002F54DE"/>
    <w:rsid w:val="002F56C3"/>
    <w:rsid w:val="002F5B18"/>
    <w:rsid w:val="002F5E65"/>
    <w:rsid w:val="002F621A"/>
    <w:rsid w:val="002F64C4"/>
    <w:rsid w:val="002F68B3"/>
    <w:rsid w:val="002F68ED"/>
    <w:rsid w:val="002F78EF"/>
    <w:rsid w:val="002F7992"/>
    <w:rsid w:val="002F7A6C"/>
    <w:rsid w:val="002F7CA8"/>
    <w:rsid w:val="0030019B"/>
    <w:rsid w:val="003004A6"/>
    <w:rsid w:val="003005EB"/>
    <w:rsid w:val="00300802"/>
    <w:rsid w:val="00300856"/>
    <w:rsid w:val="00300B16"/>
    <w:rsid w:val="00300C54"/>
    <w:rsid w:val="0030133C"/>
    <w:rsid w:val="00301679"/>
    <w:rsid w:val="00301A14"/>
    <w:rsid w:val="00302099"/>
    <w:rsid w:val="00302275"/>
    <w:rsid w:val="00302296"/>
    <w:rsid w:val="003024AC"/>
    <w:rsid w:val="0030277E"/>
    <w:rsid w:val="003027D2"/>
    <w:rsid w:val="00302A05"/>
    <w:rsid w:val="00302C05"/>
    <w:rsid w:val="00302EE3"/>
    <w:rsid w:val="00303321"/>
    <w:rsid w:val="003034A6"/>
    <w:rsid w:val="003035F3"/>
    <w:rsid w:val="003036CF"/>
    <w:rsid w:val="003038BD"/>
    <w:rsid w:val="00303FDF"/>
    <w:rsid w:val="0030403C"/>
    <w:rsid w:val="00304486"/>
    <w:rsid w:val="003047EB"/>
    <w:rsid w:val="00304FF7"/>
    <w:rsid w:val="00305197"/>
    <w:rsid w:val="0030582E"/>
    <w:rsid w:val="00305A1C"/>
    <w:rsid w:val="003064BF"/>
    <w:rsid w:val="00306CCA"/>
    <w:rsid w:val="00306DBF"/>
    <w:rsid w:val="00307526"/>
    <w:rsid w:val="003075AA"/>
    <w:rsid w:val="00307C8D"/>
    <w:rsid w:val="00310170"/>
    <w:rsid w:val="00310341"/>
    <w:rsid w:val="003105FF"/>
    <w:rsid w:val="00310A2C"/>
    <w:rsid w:val="003110A4"/>
    <w:rsid w:val="0031141A"/>
    <w:rsid w:val="0031176C"/>
    <w:rsid w:val="00311C79"/>
    <w:rsid w:val="00311E88"/>
    <w:rsid w:val="0031236C"/>
    <w:rsid w:val="00312552"/>
    <w:rsid w:val="00312A26"/>
    <w:rsid w:val="00312D0A"/>
    <w:rsid w:val="00312DAD"/>
    <w:rsid w:val="00312ED6"/>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C63"/>
    <w:rsid w:val="00315D02"/>
    <w:rsid w:val="00315D13"/>
    <w:rsid w:val="00316019"/>
    <w:rsid w:val="00316409"/>
    <w:rsid w:val="0031643B"/>
    <w:rsid w:val="00316569"/>
    <w:rsid w:val="0031675E"/>
    <w:rsid w:val="00316A0D"/>
    <w:rsid w:val="00316A79"/>
    <w:rsid w:val="00316CD0"/>
    <w:rsid w:val="00316DD2"/>
    <w:rsid w:val="00317037"/>
    <w:rsid w:val="00317FC5"/>
    <w:rsid w:val="00320174"/>
    <w:rsid w:val="0032096B"/>
    <w:rsid w:val="00320A32"/>
    <w:rsid w:val="003219EB"/>
    <w:rsid w:val="00321EA8"/>
    <w:rsid w:val="003225F6"/>
    <w:rsid w:val="00322C8D"/>
    <w:rsid w:val="00322E5D"/>
    <w:rsid w:val="00322EAC"/>
    <w:rsid w:val="00322EBE"/>
    <w:rsid w:val="00322F59"/>
    <w:rsid w:val="00322FDF"/>
    <w:rsid w:val="0032300D"/>
    <w:rsid w:val="00323014"/>
    <w:rsid w:val="00323317"/>
    <w:rsid w:val="0032334C"/>
    <w:rsid w:val="00323DE8"/>
    <w:rsid w:val="003240C2"/>
    <w:rsid w:val="0032493E"/>
    <w:rsid w:val="00324D33"/>
    <w:rsid w:val="00324D8D"/>
    <w:rsid w:val="0032507C"/>
    <w:rsid w:val="0032513A"/>
    <w:rsid w:val="00325520"/>
    <w:rsid w:val="003258CA"/>
    <w:rsid w:val="00325BB0"/>
    <w:rsid w:val="00325C9B"/>
    <w:rsid w:val="00325F63"/>
    <w:rsid w:val="00325F96"/>
    <w:rsid w:val="0032659D"/>
    <w:rsid w:val="00326741"/>
    <w:rsid w:val="00326889"/>
    <w:rsid w:val="00326EC6"/>
    <w:rsid w:val="0032736F"/>
    <w:rsid w:val="00327659"/>
    <w:rsid w:val="00327871"/>
    <w:rsid w:val="00327BE5"/>
    <w:rsid w:val="00327E8B"/>
    <w:rsid w:val="00330145"/>
    <w:rsid w:val="0033018A"/>
    <w:rsid w:val="003308A2"/>
    <w:rsid w:val="00331A0D"/>
    <w:rsid w:val="00331B4B"/>
    <w:rsid w:val="00331F7F"/>
    <w:rsid w:val="003323CC"/>
    <w:rsid w:val="003329CB"/>
    <w:rsid w:val="00332D18"/>
    <w:rsid w:val="00332FAB"/>
    <w:rsid w:val="003331E9"/>
    <w:rsid w:val="00333369"/>
    <w:rsid w:val="00333859"/>
    <w:rsid w:val="00333938"/>
    <w:rsid w:val="003341F5"/>
    <w:rsid w:val="0033437E"/>
    <w:rsid w:val="00334A54"/>
    <w:rsid w:val="00334B03"/>
    <w:rsid w:val="00334B2C"/>
    <w:rsid w:val="00334CBE"/>
    <w:rsid w:val="00334D7E"/>
    <w:rsid w:val="0033500C"/>
    <w:rsid w:val="0033547C"/>
    <w:rsid w:val="003355DD"/>
    <w:rsid w:val="00335B0F"/>
    <w:rsid w:val="00336067"/>
    <w:rsid w:val="00336225"/>
    <w:rsid w:val="0033640A"/>
    <w:rsid w:val="0033642C"/>
    <w:rsid w:val="0033665F"/>
    <w:rsid w:val="00336A61"/>
    <w:rsid w:val="00336C58"/>
    <w:rsid w:val="00336D85"/>
    <w:rsid w:val="003379B5"/>
    <w:rsid w:val="00337A86"/>
    <w:rsid w:val="00340519"/>
    <w:rsid w:val="00340824"/>
    <w:rsid w:val="00340BEC"/>
    <w:rsid w:val="00340D32"/>
    <w:rsid w:val="00340FCD"/>
    <w:rsid w:val="003413A6"/>
    <w:rsid w:val="0034141F"/>
    <w:rsid w:val="00341644"/>
    <w:rsid w:val="003416B7"/>
    <w:rsid w:val="003417AD"/>
    <w:rsid w:val="00341961"/>
    <w:rsid w:val="003421CD"/>
    <w:rsid w:val="003422F0"/>
    <w:rsid w:val="003425A4"/>
    <w:rsid w:val="0034260F"/>
    <w:rsid w:val="00342657"/>
    <w:rsid w:val="0034297F"/>
    <w:rsid w:val="0034338B"/>
    <w:rsid w:val="00343795"/>
    <w:rsid w:val="00343A6C"/>
    <w:rsid w:val="0034451C"/>
    <w:rsid w:val="00344790"/>
    <w:rsid w:val="00344986"/>
    <w:rsid w:val="00344A07"/>
    <w:rsid w:val="00344C38"/>
    <w:rsid w:val="00344C39"/>
    <w:rsid w:val="00344C79"/>
    <w:rsid w:val="00344FF1"/>
    <w:rsid w:val="003452F8"/>
    <w:rsid w:val="003454F3"/>
    <w:rsid w:val="00345569"/>
    <w:rsid w:val="00345849"/>
    <w:rsid w:val="00345A01"/>
    <w:rsid w:val="00345E61"/>
    <w:rsid w:val="00345E69"/>
    <w:rsid w:val="003460E0"/>
    <w:rsid w:val="0034614B"/>
    <w:rsid w:val="003467D3"/>
    <w:rsid w:val="0034690D"/>
    <w:rsid w:val="00346AD4"/>
    <w:rsid w:val="00346D21"/>
    <w:rsid w:val="00346E42"/>
    <w:rsid w:val="00347279"/>
    <w:rsid w:val="00347397"/>
    <w:rsid w:val="003477BE"/>
    <w:rsid w:val="0034786C"/>
    <w:rsid w:val="00347948"/>
    <w:rsid w:val="00347D2E"/>
    <w:rsid w:val="00350ADD"/>
    <w:rsid w:val="003510D2"/>
    <w:rsid w:val="00351813"/>
    <w:rsid w:val="00351C11"/>
    <w:rsid w:val="00351C3E"/>
    <w:rsid w:val="00351DA0"/>
    <w:rsid w:val="00351EB8"/>
    <w:rsid w:val="00352578"/>
    <w:rsid w:val="003527E0"/>
    <w:rsid w:val="00352A91"/>
    <w:rsid w:val="00352E68"/>
    <w:rsid w:val="0035316A"/>
    <w:rsid w:val="00353303"/>
    <w:rsid w:val="00353546"/>
    <w:rsid w:val="00353579"/>
    <w:rsid w:val="0035362D"/>
    <w:rsid w:val="0035386E"/>
    <w:rsid w:val="0035406F"/>
    <w:rsid w:val="0035448E"/>
    <w:rsid w:val="00354722"/>
    <w:rsid w:val="0035485F"/>
    <w:rsid w:val="003548FE"/>
    <w:rsid w:val="00354B5A"/>
    <w:rsid w:val="00354E3A"/>
    <w:rsid w:val="003557A3"/>
    <w:rsid w:val="003557D2"/>
    <w:rsid w:val="00355CAF"/>
    <w:rsid w:val="00356EF6"/>
    <w:rsid w:val="0035724F"/>
    <w:rsid w:val="003572BE"/>
    <w:rsid w:val="00357764"/>
    <w:rsid w:val="00357990"/>
    <w:rsid w:val="00357C93"/>
    <w:rsid w:val="00360517"/>
    <w:rsid w:val="0036067B"/>
    <w:rsid w:val="003609EA"/>
    <w:rsid w:val="00360F2C"/>
    <w:rsid w:val="00360F57"/>
    <w:rsid w:val="00360FA4"/>
    <w:rsid w:val="003621DB"/>
    <w:rsid w:val="0036264A"/>
    <w:rsid w:val="003631BC"/>
    <w:rsid w:val="003634AC"/>
    <w:rsid w:val="00363774"/>
    <w:rsid w:val="0036389C"/>
    <w:rsid w:val="0036393A"/>
    <w:rsid w:val="00363AC1"/>
    <w:rsid w:val="0036409F"/>
    <w:rsid w:val="0036433A"/>
    <w:rsid w:val="003648D3"/>
    <w:rsid w:val="00364D5A"/>
    <w:rsid w:val="00364DCE"/>
    <w:rsid w:val="0036579D"/>
    <w:rsid w:val="00365A6E"/>
    <w:rsid w:val="00365DFC"/>
    <w:rsid w:val="00365EAD"/>
    <w:rsid w:val="00365FAE"/>
    <w:rsid w:val="003660B1"/>
    <w:rsid w:val="00366251"/>
    <w:rsid w:val="00366284"/>
    <w:rsid w:val="003664A3"/>
    <w:rsid w:val="00366643"/>
    <w:rsid w:val="003666DB"/>
    <w:rsid w:val="00366791"/>
    <w:rsid w:val="0036682B"/>
    <w:rsid w:val="00366E0D"/>
    <w:rsid w:val="003676D2"/>
    <w:rsid w:val="003677B9"/>
    <w:rsid w:val="003679AF"/>
    <w:rsid w:val="00367AC3"/>
    <w:rsid w:val="00370449"/>
    <w:rsid w:val="00370573"/>
    <w:rsid w:val="0037093A"/>
    <w:rsid w:val="0037094B"/>
    <w:rsid w:val="00370EE6"/>
    <w:rsid w:val="0037109D"/>
    <w:rsid w:val="00371187"/>
    <w:rsid w:val="0037167C"/>
    <w:rsid w:val="003716E5"/>
    <w:rsid w:val="00371CAC"/>
    <w:rsid w:val="003720BA"/>
    <w:rsid w:val="003721A4"/>
    <w:rsid w:val="00372CB9"/>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1C4"/>
    <w:rsid w:val="003752BE"/>
    <w:rsid w:val="0037555C"/>
    <w:rsid w:val="0037556A"/>
    <w:rsid w:val="0037563E"/>
    <w:rsid w:val="00375942"/>
    <w:rsid w:val="00375D7B"/>
    <w:rsid w:val="00375E99"/>
    <w:rsid w:val="00376AA9"/>
    <w:rsid w:val="00376F9F"/>
    <w:rsid w:val="00377314"/>
    <w:rsid w:val="0037765A"/>
    <w:rsid w:val="003777C4"/>
    <w:rsid w:val="00377A57"/>
    <w:rsid w:val="00377C8B"/>
    <w:rsid w:val="00377D6E"/>
    <w:rsid w:val="0038009F"/>
    <w:rsid w:val="003800DE"/>
    <w:rsid w:val="00380253"/>
    <w:rsid w:val="003802E0"/>
    <w:rsid w:val="003809A5"/>
    <w:rsid w:val="00380F2D"/>
    <w:rsid w:val="00381A45"/>
    <w:rsid w:val="00381D96"/>
    <w:rsid w:val="00381E3B"/>
    <w:rsid w:val="00381F52"/>
    <w:rsid w:val="003820FC"/>
    <w:rsid w:val="003825E6"/>
    <w:rsid w:val="00382B44"/>
    <w:rsid w:val="00382F39"/>
    <w:rsid w:val="0038326A"/>
    <w:rsid w:val="003832F7"/>
    <w:rsid w:val="00383A5D"/>
    <w:rsid w:val="00383E1F"/>
    <w:rsid w:val="00384778"/>
    <w:rsid w:val="00384E3D"/>
    <w:rsid w:val="00384E5F"/>
    <w:rsid w:val="00384E84"/>
    <w:rsid w:val="003857FD"/>
    <w:rsid w:val="003859FB"/>
    <w:rsid w:val="00385C44"/>
    <w:rsid w:val="00385F44"/>
    <w:rsid w:val="0038600A"/>
    <w:rsid w:val="0038608B"/>
    <w:rsid w:val="00386250"/>
    <w:rsid w:val="0038708A"/>
    <w:rsid w:val="003871FA"/>
    <w:rsid w:val="00387402"/>
    <w:rsid w:val="0038773B"/>
    <w:rsid w:val="0038784D"/>
    <w:rsid w:val="00387A14"/>
    <w:rsid w:val="00387A90"/>
    <w:rsid w:val="00387ADB"/>
    <w:rsid w:val="00387EA7"/>
    <w:rsid w:val="00387EED"/>
    <w:rsid w:val="003902B6"/>
    <w:rsid w:val="0039059E"/>
    <w:rsid w:val="0039068C"/>
    <w:rsid w:val="00390BBC"/>
    <w:rsid w:val="00390BF9"/>
    <w:rsid w:val="00390D8C"/>
    <w:rsid w:val="003913EE"/>
    <w:rsid w:val="0039152F"/>
    <w:rsid w:val="003924A1"/>
    <w:rsid w:val="003925C6"/>
    <w:rsid w:val="00392745"/>
    <w:rsid w:val="003927D1"/>
    <w:rsid w:val="003929BE"/>
    <w:rsid w:val="00392CEE"/>
    <w:rsid w:val="00392E82"/>
    <w:rsid w:val="0039341B"/>
    <w:rsid w:val="00393461"/>
    <w:rsid w:val="003935EF"/>
    <w:rsid w:val="00393779"/>
    <w:rsid w:val="00393A74"/>
    <w:rsid w:val="00393B70"/>
    <w:rsid w:val="00393DD6"/>
    <w:rsid w:val="00393EBF"/>
    <w:rsid w:val="00393F43"/>
    <w:rsid w:val="00394191"/>
    <w:rsid w:val="00394385"/>
    <w:rsid w:val="003945BA"/>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1E67"/>
    <w:rsid w:val="003A2108"/>
    <w:rsid w:val="003A251E"/>
    <w:rsid w:val="003A29AE"/>
    <w:rsid w:val="003A2A80"/>
    <w:rsid w:val="003A2BA9"/>
    <w:rsid w:val="003A2C3A"/>
    <w:rsid w:val="003A2DD7"/>
    <w:rsid w:val="003A2FBF"/>
    <w:rsid w:val="003A2FCD"/>
    <w:rsid w:val="003A30E3"/>
    <w:rsid w:val="003A3221"/>
    <w:rsid w:val="003A3B27"/>
    <w:rsid w:val="003A40D6"/>
    <w:rsid w:val="003A4333"/>
    <w:rsid w:val="003A445B"/>
    <w:rsid w:val="003A4967"/>
    <w:rsid w:val="003A4DC6"/>
    <w:rsid w:val="003A4E24"/>
    <w:rsid w:val="003A50FA"/>
    <w:rsid w:val="003A5161"/>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6DC"/>
    <w:rsid w:val="003B1DB0"/>
    <w:rsid w:val="003B1FEF"/>
    <w:rsid w:val="003B24B0"/>
    <w:rsid w:val="003B265A"/>
    <w:rsid w:val="003B2BF3"/>
    <w:rsid w:val="003B2DBE"/>
    <w:rsid w:val="003B2E2B"/>
    <w:rsid w:val="003B2EC6"/>
    <w:rsid w:val="003B331A"/>
    <w:rsid w:val="003B341D"/>
    <w:rsid w:val="003B36E5"/>
    <w:rsid w:val="003B36F7"/>
    <w:rsid w:val="003B39B2"/>
    <w:rsid w:val="003B3DDD"/>
    <w:rsid w:val="003B3E3B"/>
    <w:rsid w:val="003B3ED3"/>
    <w:rsid w:val="003B43C4"/>
    <w:rsid w:val="003B44D9"/>
    <w:rsid w:val="003B4B60"/>
    <w:rsid w:val="003B50E3"/>
    <w:rsid w:val="003B527B"/>
    <w:rsid w:val="003B58A6"/>
    <w:rsid w:val="003B58F6"/>
    <w:rsid w:val="003B5B95"/>
    <w:rsid w:val="003B61BA"/>
    <w:rsid w:val="003B68A9"/>
    <w:rsid w:val="003B6A4F"/>
    <w:rsid w:val="003B6FF8"/>
    <w:rsid w:val="003B7020"/>
    <w:rsid w:val="003B72CB"/>
    <w:rsid w:val="003B7447"/>
    <w:rsid w:val="003B744C"/>
    <w:rsid w:val="003B7DEF"/>
    <w:rsid w:val="003C00AF"/>
    <w:rsid w:val="003C07FE"/>
    <w:rsid w:val="003C0C2D"/>
    <w:rsid w:val="003C0DFF"/>
    <w:rsid w:val="003C111A"/>
    <w:rsid w:val="003C1212"/>
    <w:rsid w:val="003C1369"/>
    <w:rsid w:val="003C13E1"/>
    <w:rsid w:val="003C1639"/>
    <w:rsid w:val="003C1835"/>
    <w:rsid w:val="003C19D7"/>
    <w:rsid w:val="003C1A2E"/>
    <w:rsid w:val="003C1B9A"/>
    <w:rsid w:val="003C1E70"/>
    <w:rsid w:val="003C1E74"/>
    <w:rsid w:val="003C227B"/>
    <w:rsid w:val="003C2325"/>
    <w:rsid w:val="003C23F4"/>
    <w:rsid w:val="003C283F"/>
    <w:rsid w:val="003C2C7C"/>
    <w:rsid w:val="003C2E93"/>
    <w:rsid w:val="003C2F8A"/>
    <w:rsid w:val="003C30E6"/>
    <w:rsid w:val="003C48E2"/>
    <w:rsid w:val="003C4B2E"/>
    <w:rsid w:val="003C4B83"/>
    <w:rsid w:val="003C5A9C"/>
    <w:rsid w:val="003C5BC7"/>
    <w:rsid w:val="003C6349"/>
    <w:rsid w:val="003C6364"/>
    <w:rsid w:val="003C6769"/>
    <w:rsid w:val="003C6B0E"/>
    <w:rsid w:val="003C6C9A"/>
    <w:rsid w:val="003C6FF3"/>
    <w:rsid w:val="003C71A6"/>
    <w:rsid w:val="003C72D8"/>
    <w:rsid w:val="003C730D"/>
    <w:rsid w:val="003C78A0"/>
    <w:rsid w:val="003C7B3C"/>
    <w:rsid w:val="003D0090"/>
    <w:rsid w:val="003D00D4"/>
    <w:rsid w:val="003D0575"/>
    <w:rsid w:val="003D0FC6"/>
    <w:rsid w:val="003D1490"/>
    <w:rsid w:val="003D14D9"/>
    <w:rsid w:val="003D1DA4"/>
    <w:rsid w:val="003D214C"/>
    <w:rsid w:val="003D2209"/>
    <w:rsid w:val="003D22CE"/>
    <w:rsid w:val="003D2350"/>
    <w:rsid w:val="003D2418"/>
    <w:rsid w:val="003D2A76"/>
    <w:rsid w:val="003D2ACC"/>
    <w:rsid w:val="003D2ADC"/>
    <w:rsid w:val="003D2FD6"/>
    <w:rsid w:val="003D3256"/>
    <w:rsid w:val="003D36B1"/>
    <w:rsid w:val="003D37F8"/>
    <w:rsid w:val="003D38B0"/>
    <w:rsid w:val="003D3F82"/>
    <w:rsid w:val="003D417E"/>
    <w:rsid w:val="003D42FB"/>
    <w:rsid w:val="003D4357"/>
    <w:rsid w:val="003D43E7"/>
    <w:rsid w:val="003D4A19"/>
    <w:rsid w:val="003D4B43"/>
    <w:rsid w:val="003D5563"/>
    <w:rsid w:val="003D5588"/>
    <w:rsid w:val="003D579E"/>
    <w:rsid w:val="003D5D41"/>
    <w:rsid w:val="003D6319"/>
    <w:rsid w:val="003D6602"/>
    <w:rsid w:val="003D6927"/>
    <w:rsid w:val="003D6ED2"/>
    <w:rsid w:val="003D7182"/>
    <w:rsid w:val="003D73D4"/>
    <w:rsid w:val="003D7D6F"/>
    <w:rsid w:val="003E0125"/>
    <w:rsid w:val="003E0231"/>
    <w:rsid w:val="003E04F2"/>
    <w:rsid w:val="003E081E"/>
    <w:rsid w:val="003E0C50"/>
    <w:rsid w:val="003E0DC0"/>
    <w:rsid w:val="003E12BD"/>
    <w:rsid w:val="003E1870"/>
    <w:rsid w:val="003E18EB"/>
    <w:rsid w:val="003E1A10"/>
    <w:rsid w:val="003E1CA6"/>
    <w:rsid w:val="003E20D8"/>
    <w:rsid w:val="003E22AD"/>
    <w:rsid w:val="003E253F"/>
    <w:rsid w:val="003E25E0"/>
    <w:rsid w:val="003E286E"/>
    <w:rsid w:val="003E2DDA"/>
    <w:rsid w:val="003E2FA7"/>
    <w:rsid w:val="003E311C"/>
    <w:rsid w:val="003E32C6"/>
    <w:rsid w:val="003E33AF"/>
    <w:rsid w:val="003E3420"/>
    <w:rsid w:val="003E34CC"/>
    <w:rsid w:val="003E35B7"/>
    <w:rsid w:val="003E362C"/>
    <w:rsid w:val="003E3896"/>
    <w:rsid w:val="003E3ADC"/>
    <w:rsid w:val="003E3D8C"/>
    <w:rsid w:val="003E3E06"/>
    <w:rsid w:val="003E44B6"/>
    <w:rsid w:val="003E47F2"/>
    <w:rsid w:val="003E4AF2"/>
    <w:rsid w:val="003E4F6D"/>
    <w:rsid w:val="003E4F80"/>
    <w:rsid w:val="003E52B2"/>
    <w:rsid w:val="003E534D"/>
    <w:rsid w:val="003E58BB"/>
    <w:rsid w:val="003E5AE6"/>
    <w:rsid w:val="003E5C62"/>
    <w:rsid w:val="003E5E72"/>
    <w:rsid w:val="003E6148"/>
    <w:rsid w:val="003E6297"/>
    <w:rsid w:val="003E66C0"/>
    <w:rsid w:val="003E68BB"/>
    <w:rsid w:val="003E6D28"/>
    <w:rsid w:val="003E6D61"/>
    <w:rsid w:val="003E721D"/>
    <w:rsid w:val="003E7DC7"/>
    <w:rsid w:val="003E7FD1"/>
    <w:rsid w:val="003F00F4"/>
    <w:rsid w:val="003F012D"/>
    <w:rsid w:val="003F08BA"/>
    <w:rsid w:val="003F0C1D"/>
    <w:rsid w:val="003F0EA0"/>
    <w:rsid w:val="003F0FCD"/>
    <w:rsid w:val="003F10FF"/>
    <w:rsid w:val="003F1162"/>
    <w:rsid w:val="003F11D9"/>
    <w:rsid w:val="003F13A3"/>
    <w:rsid w:val="003F1759"/>
    <w:rsid w:val="003F26F1"/>
    <w:rsid w:val="003F2778"/>
    <w:rsid w:val="003F2D69"/>
    <w:rsid w:val="003F3C38"/>
    <w:rsid w:val="003F3FA2"/>
    <w:rsid w:val="003F4529"/>
    <w:rsid w:val="003F45AB"/>
    <w:rsid w:val="003F46AF"/>
    <w:rsid w:val="003F4894"/>
    <w:rsid w:val="003F4FDD"/>
    <w:rsid w:val="003F51B1"/>
    <w:rsid w:val="003F552C"/>
    <w:rsid w:val="003F568D"/>
    <w:rsid w:val="003F5AE6"/>
    <w:rsid w:val="003F5B02"/>
    <w:rsid w:val="003F5E1D"/>
    <w:rsid w:val="003F607B"/>
    <w:rsid w:val="003F6147"/>
    <w:rsid w:val="003F657D"/>
    <w:rsid w:val="003F65AA"/>
    <w:rsid w:val="003F66B1"/>
    <w:rsid w:val="003F6C2B"/>
    <w:rsid w:val="003F6C60"/>
    <w:rsid w:val="003F6F73"/>
    <w:rsid w:val="003F7152"/>
    <w:rsid w:val="003F7482"/>
    <w:rsid w:val="003F7667"/>
    <w:rsid w:val="003F7D4D"/>
    <w:rsid w:val="003F7DF3"/>
    <w:rsid w:val="004000E1"/>
    <w:rsid w:val="00400200"/>
    <w:rsid w:val="00400238"/>
    <w:rsid w:val="00400698"/>
    <w:rsid w:val="00400953"/>
    <w:rsid w:val="00400AA0"/>
    <w:rsid w:val="00401079"/>
    <w:rsid w:val="00401540"/>
    <w:rsid w:val="00401DFF"/>
    <w:rsid w:val="004026EF"/>
    <w:rsid w:val="0040286E"/>
    <w:rsid w:val="00402E98"/>
    <w:rsid w:val="004037EB"/>
    <w:rsid w:val="0040380B"/>
    <w:rsid w:val="00403C24"/>
    <w:rsid w:val="00403D01"/>
    <w:rsid w:val="004043CE"/>
    <w:rsid w:val="0040465C"/>
    <w:rsid w:val="0040478A"/>
    <w:rsid w:val="00404834"/>
    <w:rsid w:val="00404B01"/>
    <w:rsid w:val="00404C17"/>
    <w:rsid w:val="00404D1B"/>
    <w:rsid w:val="00405145"/>
    <w:rsid w:val="0040539D"/>
    <w:rsid w:val="004053ED"/>
    <w:rsid w:val="00405687"/>
    <w:rsid w:val="00405885"/>
    <w:rsid w:val="00405958"/>
    <w:rsid w:val="00405F15"/>
    <w:rsid w:val="004060CD"/>
    <w:rsid w:val="004063BC"/>
    <w:rsid w:val="0040653E"/>
    <w:rsid w:val="0040658E"/>
    <w:rsid w:val="004066F8"/>
    <w:rsid w:val="00406AD2"/>
    <w:rsid w:val="00406B8A"/>
    <w:rsid w:val="00407A4A"/>
    <w:rsid w:val="00407EB1"/>
    <w:rsid w:val="00407F16"/>
    <w:rsid w:val="00407F46"/>
    <w:rsid w:val="004100D0"/>
    <w:rsid w:val="004101B7"/>
    <w:rsid w:val="0041081C"/>
    <w:rsid w:val="00410C9E"/>
    <w:rsid w:val="00410DB9"/>
    <w:rsid w:val="004110FB"/>
    <w:rsid w:val="00411173"/>
    <w:rsid w:val="00411500"/>
    <w:rsid w:val="004116CD"/>
    <w:rsid w:val="004117E4"/>
    <w:rsid w:val="00411CEF"/>
    <w:rsid w:val="00412026"/>
    <w:rsid w:val="0041232D"/>
    <w:rsid w:val="00412399"/>
    <w:rsid w:val="00412902"/>
    <w:rsid w:val="00412DD5"/>
    <w:rsid w:val="0041389A"/>
    <w:rsid w:val="00413E21"/>
    <w:rsid w:val="0041444A"/>
    <w:rsid w:val="00414664"/>
    <w:rsid w:val="00414A5C"/>
    <w:rsid w:val="00414DC3"/>
    <w:rsid w:val="00415115"/>
    <w:rsid w:val="0041522C"/>
    <w:rsid w:val="004156DA"/>
    <w:rsid w:val="00416876"/>
    <w:rsid w:val="00416E5D"/>
    <w:rsid w:val="00416E9E"/>
    <w:rsid w:val="00416F2B"/>
    <w:rsid w:val="0041776A"/>
    <w:rsid w:val="00417ACE"/>
    <w:rsid w:val="00417B6A"/>
    <w:rsid w:val="00417BD8"/>
    <w:rsid w:val="004200E3"/>
    <w:rsid w:val="0042061F"/>
    <w:rsid w:val="00420BFA"/>
    <w:rsid w:val="00420FF0"/>
    <w:rsid w:val="004210C3"/>
    <w:rsid w:val="00421778"/>
    <w:rsid w:val="004217D3"/>
    <w:rsid w:val="00421C81"/>
    <w:rsid w:val="00421FF1"/>
    <w:rsid w:val="0042201E"/>
    <w:rsid w:val="004222F7"/>
    <w:rsid w:val="00422380"/>
    <w:rsid w:val="00422C2A"/>
    <w:rsid w:val="00422DC6"/>
    <w:rsid w:val="004230C2"/>
    <w:rsid w:val="004232C3"/>
    <w:rsid w:val="00423780"/>
    <w:rsid w:val="00423975"/>
    <w:rsid w:val="004245DC"/>
    <w:rsid w:val="0042468D"/>
    <w:rsid w:val="004249C7"/>
    <w:rsid w:val="00424A56"/>
    <w:rsid w:val="00424A73"/>
    <w:rsid w:val="00425302"/>
    <w:rsid w:val="0042594E"/>
    <w:rsid w:val="00425AB4"/>
    <w:rsid w:val="00425DF7"/>
    <w:rsid w:val="00425F86"/>
    <w:rsid w:val="004262ED"/>
    <w:rsid w:val="004269AB"/>
    <w:rsid w:val="00426A4F"/>
    <w:rsid w:val="00426C1E"/>
    <w:rsid w:val="00426C35"/>
    <w:rsid w:val="00426D73"/>
    <w:rsid w:val="00426EFE"/>
    <w:rsid w:val="004270E4"/>
    <w:rsid w:val="004270EA"/>
    <w:rsid w:val="00427342"/>
    <w:rsid w:val="00427361"/>
    <w:rsid w:val="00427417"/>
    <w:rsid w:val="00427593"/>
    <w:rsid w:val="004305A7"/>
    <w:rsid w:val="004305B7"/>
    <w:rsid w:val="00430891"/>
    <w:rsid w:val="00430B21"/>
    <w:rsid w:val="004311E6"/>
    <w:rsid w:val="0043139D"/>
    <w:rsid w:val="00431427"/>
    <w:rsid w:val="00431540"/>
    <w:rsid w:val="0043154F"/>
    <w:rsid w:val="0043171A"/>
    <w:rsid w:val="004317F0"/>
    <w:rsid w:val="00431B9F"/>
    <w:rsid w:val="00431C7A"/>
    <w:rsid w:val="00431D49"/>
    <w:rsid w:val="00431F5A"/>
    <w:rsid w:val="0043204D"/>
    <w:rsid w:val="0043262C"/>
    <w:rsid w:val="00432F71"/>
    <w:rsid w:val="004337C7"/>
    <w:rsid w:val="00433AEA"/>
    <w:rsid w:val="00433E0C"/>
    <w:rsid w:val="00434289"/>
    <w:rsid w:val="0043460E"/>
    <w:rsid w:val="0043461F"/>
    <w:rsid w:val="00434899"/>
    <w:rsid w:val="004348D0"/>
    <w:rsid w:val="00434926"/>
    <w:rsid w:val="00434B54"/>
    <w:rsid w:val="00434E3E"/>
    <w:rsid w:val="00435880"/>
    <w:rsid w:val="004358F7"/>
    <w:rsid w:val="00435BFF"/>
    <w:rsid w:val="00435C8C"/>
    <w:rsid w:val="004369A2"/>
    <w:rsid w:val="00436C32"/>
    <w:rsid w:val="004372A5"/>
    <w:rsid w:val="00437377"/>
    <w:rsid w:val="00437564"/>
    <w:rsid w:val="00437686"/>
    <w:rsid w:val="004378A9"/>
    <w:rsid w:val="0044009D"/>
    <w:rsid w:val="0044036A"/>
    <w:rsid w:val="0044047F"/>
    <w:rsid w:val="0044049F"/>
    <w:rsid w:val="0044058E"/>
    <w:rsid w:val="00440AA5"/>
    <w:rsid w:val="00440CCA"/>
    <w:rsid w:val="00441094"/>
    <w:rsid w:val="0044145F"/>
    <w:rsid w:val="00442059"/>
    <w:rsid w:val="00442BF1"/>
    <w:rsid w:val="00442C68"/>
    <w:rsid w:val="00442E03"/>
    <w:rsid w:val="004430AF"/>
    <w:rsid w:val="00443957"/>
    <w:rsid w:val="00443C54"/>
    <w:rsid w:val="0044418C"/>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3DF"/>
    <w:rsid w:val="00451D25"/>
    <w:rsid w:val="00451F58"/>
    <w:rsid w:val="00451FF7"/>
    <w:rsid w:val="004520E4"/>
    <w:rsid w:val="0045266D"/>
    <w:rsid w:val="00452AAC"/>
    <w:rsid w:val="00452E19"/>
    <w:rsid w:val="0045384F"/>
    <w:rsid w:val="00453CD1"/>
    <w:rsid w:val="00453D37"/>
    <w:rsid w:val="00453F01"/>
    <w:rsid w:val="00454128"/>
    <w:rsid w:val="00454284"/>
    <w:rsid w:val="0045487B"/>
    <w:rsid w:val="004554EF"/>
    <w:rsid w:val="00455888"/>
    <w:rsid w:val="004559F6"/>
    <w:rsid w:val="00455A01"/>
    <w:rsid w:val="00455A47"/>
    <w:rsid w:val="00455DCF"/>
    <w:rsid w:val="00455E6E"/>
    <w:rsid w:val="00455EC9"/>
    <w:rsid w:val="00456010"/>
    <w:rsid w:val="004563F1"/>
    <w:rsid w:val="004565AB"/>
    <w:rsid w:val="00456829"/>
    <w:rsid w:val="00456EAA"/>
    <w:rsid w:val="004570E9"/>
    <w:rsid w:val="004604E6"/>
    <w:rsid w:val="004605E6"/>
    <w:rsid w:val="004609AA"/>
    <w:rsid w:val="00461107"/>
    <w:rsid w:val="004611F6"/>
    <w:rsid w:val="00461BE0"/>
    <w:rsid w:val="00462464"/>
    <w:rsid w:val="004624A3"/>
    <w:rsid w:val="004624D0"/>
    <w:rsid w:val="00462912"/>
    <w:rsid w:val="00462A82"/>
    <w:rsid w:val="00463001"/>
    <w:rsid w:val="004632D6"/>
    <w:rsid w:val="0046362A"/>
    <w:rsid w:val="004639EF"/>
    <w:rsid w:val="00463A8E"/>
    <w:rsid w:val="00463B01"/>
    <w:rsid w:val="00463DD7"/>
    <w:rsid w:val="00463E0B"/>
    <w:rsid w:val="00464559"/>
    <w:rsid w:val="00464C65"/>
    <w:rsid w:val="0046501E"/>
    <w:rsid w:val="00465182"/>
    <w:rsid w:val="00465254"/>
    <w:rsid w:val="00465258"/>
    <w:rsid w:val="00465773"/>
    <w:rsid w:val="00465C78"/>
    <w:rsid w:val="00465E16"/>
    <w:rsid w:val="004661CE"/>
    <w:rsid w:val="00466715"/>
    <w:rsid w:val="004670BF"/>
    <w:rsid w:val="00467925"/>
    <w:rsid w:val="00467945"/>
    <w:rsid w:val="00467B48"/>
    <w:rsid w:val="00470121"/>
    <w:rsid w:val="00470137"/>
    <w:rsid w:val="00470336"/>
    <w:rsid w:val="00470593"/>
    <w:rsid w:val="004706A4"/>
    <w:rsid w:val="00470F61"/>
    <w:rsid w:val="004713AA"/>
    <w:rsid w:val="0047155C"/>
    <w:rsid w:val="0047159E"/>
    <w:rsid w:val="00471F8D"/>
    <w:rsid w:val="00472119"/>
    <w:rsid w:val="0047253A"/>
    <w:rsid w:val="004729EA"/>
    <w:rsid w:val="00472AEA"/>
    <w:rsid w:val="00472C00"/>
    <w:rsid w:val="00472D3B"/>
    <w:rsid w:val="00472E7A"/>
    <w:rsid w:val="00472EFF"/>
    <w:rsid w:val="00473212"/>
    <w:rsid w:val="004732BD"/>
    <w:rsid w:val="00473445"/>
    <w:rsid w:val="00473929"/>
    <w:rsid w:val="00473935"/>
    <w:rsid w:val="00473E97"/>
    <w:rsid w:val="00473EB2"/>
    <w:rsid w:val="00473ED4"/>
    <w:rsid w:val="00473F46"/>
    <w:rsid w:val="0047486E"/>
    <w:rsid w:val="004748C1"/>
    <w:rsid w:val="00474D23"/>
    <w:rsid w:val="00474F2D"/>
    <w:rsid w:val="004750CC"/>
    <w:rsid w:val="004754C7"/>
    <w:rsid w:val="0047559B"/>
    <w:rsid w:val="00475892"/>
    <w:rsid w:val="00475A4B"/>
    <w:rsid w:val="00475BD6"/>
    <w:rsid w:val="00475C43"/>
    <w:rsid w:val="00475CD8"/>
    <w:rsid w:val="00475F0E"/>
    <w:rsid w:val="0047617B"/>
    <w:rsid w:val="0047685D"/>
    <w:rsid w:val="00476BFC"/>
    <w:rsid w:val="00477229"/>
    <w:rsid w:val="00477539"/>
    <w:rsid w:val="00477748"/>
    <w:rsid w:val="004778EE"/>
    <w:rsid w:val="0047790A"/>
    <w:rsid w:val="004779A4"/>
    <w:rsid w:val="00477C46"/>
    <w:rsid w:val="00477ECC"/>
    <w:rsid w:val="0048084A"/>
    <w:rsid w:val="004809A3"/>
    <w:rsid w:val="004817D3"/>
    <w:rsid w:val="00481D6F"/>
    <w:rsid w:val="00481F35"/>
    <w:rsid w:val="00482309"/>
    <w:rsid w:val="0048275F"/>
    <w:rsid w:val="00483C37"/>
    <w:rsid w:val="00484542"/>
    <w:rsid w:val="0048471D"/>
    <w:rsid w:val="0048497C"/>
    <w:rsid w:val="004849ED"/>
    <w:rsid w:val="00484E40"/>
    <w:rsid w:val="00484E7A"/>
    <w:rsid w:val="004853EA"/>
    <w:rsid w:val="00485687"/>
    <w:rsid w:val="0048578E"/>
    <w:rsid w:val="00485DEE"/>
    <w:rsid w:val="00485E11"/>
    <w:rsid w:val="00486162"/>
    <w:rsid w:val="00486281"/>
    <w:rsid w:val="004864DE"/>
    <w:rsid w:val="0048661B"/>
    <w:rsid w:val="004868E7"/>
    <w:rsid w:val="00486926"/>
    <w:rsid w:val="00486CFD"/>
    <w:rsid w:val="00487508"/>
    <w:rsid w:val="00487BFA"/>
    <w:rsid w:val="004905BF"/>
    <w:rsid w:val="00490F13"/>
    <w:rsid w:val="00491107"/>
    <w:rsid w:val="00491610"/>
    <w:rsid w:val="00491AE6"/>
    <w:rsid w:val="0049237F"/>
    <w:rsid w:val="004925D4"/>
    <w:rsid w:val="004928FB"/>
    <w:rsid w:val="00493386"/>
    <w:rsid w:val="00493984"/>
    <w:rsid w:val="00493BC1"/>
    <w:rsid w:val="00494230"/>
    <w:rsid w:val="004949E7"/>
    <w:rsid w:val="00494B83"/>
    <w:rsid w:val="00494EAB"/>
    <w:rsid w:val="00495022"/>
    <w:rsid w:val="00495036"/>
    <w:rsid w:val="004950BC"/>
    <w:rsid w:val="00495109"/>
    <w:rsid w:val="004953B4"/>
    <w:rsid w:val="00495FC2"/>
    <w:rsid w:val="00495FF9"/>
    <w:rsid w:val="0049610E"/>
    <w:rsid w:val="00496333"/>
    <w:rsid w:val="00496F3A"/>
    <w:rsid w:val="00497323"/>
    <w:rsid w:val="0049776E"/>
    <w:rsid w:val="00497A89"/>
    <w:rsid w:val="00497A9F"/>
    <w:rsid w:val="00497C01"/>
    <w:rsid w:val="00497D65"/>
    <w:rsid w:val="00497EF2"/>
    <w:rsid w:val="004A073E"/>
    <w:rsid w:val="004A0926"/>
    <w:rsid w:val="004A0EA6"/>
    <w:rsid w:val="004A131C"/>
    <w:rsid w:val="004A14AD"/>
    <w:rsid w:val="004A17D2"/>
    <w:rsid w:val="004A1ADF"/>
    <w:rsid w:val="004A1C47"/>
    <w:rsid w:val="004A2740"/>
    <w:rsid w:val="004A27C1"/>
    <w:rsid w:val="004A281A"/>
    <w:rsid w:val="004A2983"/>
    <w:rsid w:val="004A3032"/>
    <w:rsid w:val="004A329C"/>
    <w:rsid w:val="004A385C"/>
    <w:rsid w:val="004A390E"/>
    <w:rsid w:val="004A42B0"/>
    <w:rsid w:val="004A43C8"/>
    <w:rsid w:val="004A484D"/>
    <w:rsid w:val="004A48C6"/>
    <w:rsid w:val="004A4F1C"/>
    <w:rsid w:val="004A532B"/>
    <w:rsid w:val="004A5475"/>
    <w:rsid w:val="004A5621"/>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D5"/>
    <w:rsid w:val="004B1329"/>
    <w:rsid w:val="004B1445"/>
    <w:rsid w:val="004B149D"/>
    <w:rsid w:val="004B160A"/>
    <w:rsid w:val="004B1645"/>
    <w:rsid w:val="004B1A0F"/>
    <w:rsid w:val="004B1A22"/>
    <w:rsid w:val="004B1A7C"/>
    <w:rsid w:val="004B1F6C"/>
    <w:rsid w:val="004B2204"/>
    <w:rsid w:val="004B221F"/>
    <w:rsid w:val="004B240B"/>
    <w:rsid w:val="004B24DB"/>
    <w:rsid w:val="004B2610"/>
    <w:rsid w:val="004B28C9"/>
    <w:rsid w:val="004B2FDF"/>
    <w:rsid w:val="004B3045"/>
    <w:rsid w:val="004B33A0"/>
    <w:rsid w:val="004B34FE"/>
    <w:rsid w:val="004B37AB"/>
    <w:rsid w:val="004B38A2"/>
    <w:rsid w:val="004B3BA7"/>
    <w:rsid w:val="004B3BF4"/>
    <w:rsid w:val="004B4105"/>
    <w:rsid w:val="004B4903"/>
    <w:rsid w:val="004B4D2A"/>
    <w:rsid w:val="004B4D9C"/>
    <w:rsid w:val="004B5166"/>
    <w:rsid w:val="004B524E"/>
    <w:rsid w:val="004B53DC"/>
    <w:rsid w:val="004B5454"/>
    <w:rsid w:val="004B5D27"/>
    <w:rsid w:val="004B646D"/>
    <w:rsid w:val="004B6507"/>
    <w:rsid w:val="004B65D1"/>
    <w:rsid w:val="004B66AF"/>
    <w:rsid w:val="004B6714"/>
    <w:rsid w:val="004B6925"/>
    <w:rsid w:val="004B6BDB"/>
    <w:rsid w:val="004B6C8F"/>
    <w:rsid w:val="004B72D9"/>
    <w:rsid w:val="004B73C7"/>
    <w:rsid w:val="004B787C"/>
    <w:rsid w:val="004B7B9D"/>
    <w:rsid w:val="004B7D31"/>
    <w:rsid w:val="004C00AA"/>
    <w:rsid w:val="004C01D7"/>
    <w:rsid w:val="004C06FD"/>
    <w:rsid w:val="004C0743"/>
    <w:rsid w:val="004C0B6E"/>
    <w:rsid w:val="004C0CD0"/>
    <w:rsid w:val="004C0CF0"/>
    <w:rsid w:val="004C0DC7"/>
    <w:rsid w:val="004C121B"/>
    <w:rsid w:val="004C214D"/>
    <w:rsid w:val="004C2389"/>
    <w:rsid w:val="004C24C8"/>
    <w:rsid w:val="004C294D"/>
    <w:rsid w:val="004C294E"/>
    <w:rsid w:val="004C2B45"/>
    <w:rsid w:val="004C2F89"/>
    <w:rsid w:val="004C33AC"/>
    <w:rsid w:val="004C42DF"/>
    <w:rsid w:val="004C44AF"/>
    <w:rsid w:val="004C458E"/>
    <w:rsid w:val="004C46B5"/>
    <w:rsid w:val="004C4836"/>
    <w:rsid w:val="004C4915"/>
    <w:rsid w:val="004C4B7B"/>
    <w:rsid w:val="004C55C5"/>
    <w:rsid w:val="004C588A"/>
    <w:rsid w:val="004C5B53"/>
    <w:rsid w:val="004C5ED4"/>
    <w:rsid w:val="004C5F24"/>
    <w:rsid w:val="004C63A8"/>
    <w:rsid w:val="004C668B"/>
    <w:rsid w:val="004C6774"/>
    <w:rsid w:val="004C7587"/>
    <w:rsid w:val="004C762E"/>
    <w:rsid w:val="004C7777"/>
    <w:rsid w:val="004C79B8"/>
    <w:rsid w:val="004C7AB4"/>
    <w:rsid w:val="004D01FE"/>
    <w:rsid w:val="004D0273"/>
    <w:rsid w:val="004D085D"/>
    <w:rsid w:val="004D0A67"/>
    <w:rsid w:val="004D0F5D"/>
    <w:rsid w:val="004D117F"/>
    <w:rsid w:val="004D1185"/>
    <w:rsid w:val="004D22FB"/>
    <w:rsid w:val="004D2388"/>
    <w:rsid w:val="004D2701"/>
    <w:rsid w:val="004D287A"/>
    <w:rsid w:val="004D2A60"/>
    <w:rsid w:val="004D2BC3"/>
    <w:rsid w:val="004D32FA"/>
    <w:rsid w:val="004D336F"/>
    <w:rsid w:val="004D354D"/>
    <w:rsid w:val="004D38E1"/>
    <w:rsid w:val="004D3908"/>
    <w:rsid w:val="004D3DB5"/>
    <w:rsid w:val="004D46C1"/>
    <w:rsid w:val="004D496F"/>
    <w:rsid w:val="004D4BA6"/>
    <w:rsid w:val="004D5111"/>
    <w:rsid w:val="004D51F6"/>
    <w:rsid w:val="004D5288"/>
    <w:rsid w:val="004D57EB"/>
    <w:rsid w:val="004D5D2B"/>
    <w:rsid w:val="004D6366"/>
    <w:rsid w:val="004D6C67"/>
    <w:rsid w:val="004D6FD1"/>
    <w:rsid w:val="004D709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287C"/>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861"/>
    <w:rsid w:val="004E7B63"/>
    <w:rsid w:val="004E7DA8"/>
    <w:rsid w:val="004F03CD"/>
    <w:rsid w:val="004F0572"/>
    <w:rsid w:val="004F10DF"/>
    <w:rsid w:val="004F11A0"/>
    <w:rsid w:val="004F1AA8"/>
    <w:rsid w:val="004F2083"/>
    <w:rsid w:val="004F24BD"/>
    <w:rsid w:val="004F2A08"/>
    <w:rsid w:val="004F2C55"/>
    <w:rsid w:val="004F35D8"/>
    <w:rsid w:val="004F426D"/>
    <w:rsid w:val="004F43BD"/>
    <w:rsid w:val="004F4494"/>
    <w:rsid w:val="004F44F4"/>
    <w:rsid w:val="004F4641"/>
    <w:rsid w:val="004F47AB"/>
    <w:rsid w:val="004F492E"/>
    <w:rsid w:val="004F494F"/>
    <w:rsid w:val="004F4B7D"/>
    <w:rsid w:val="004F5038"/>
    <w:rsid w:val="004F51E8"/>
    <w:rsid w:val="004F5D22"/>
    <w:rsid w:val="004F5F63"/>
    <w:rsid w:val="004F5FD9"/>
    <w:rsid w:val="004F633B"/>
    <w:rsid w:val="004F652D"/>
    <w:rsid w:val="004F6851"/>
    <w:rsid w:val="004F6BDD"/>
    <w:rsid w:val="004F6D8E"/>
    <w:rsid w:val="004F761D"/>
    <w:rsid w:val="004F764C"/>
    <w:rsid w:val="004F7907"/>
    <w:rsid w:val="00500832"/>
    <w:rsid w:val="00500C05"/>
    <w:rsid w:val="00501516"/>
    <w:rsid w:val="00501C74"/>
    <w:rsid w:val="00501F4D"/>
    <w:rsid w:val="00502895"/>
    <w:rsid w:val="005028D9"/>
    <w:rsid w:val="00502B9E"/>
    <w:rsid w:val="00502F6F"/>
    <w:rsid w:val="005030A4"/>
    <w:rsid w:val="005030E9"/>
    <w:rsid w:val="00503427"/>
    <w:rsid w:val="00503D10"/>
    <w:rsid w:val="00503F96"/>
    <w:rsid w:val="005040F4"/>
    <w:rsid w:val="00504605"/>
    <w:rsid w:val="00504645"/>
    <w:rsid w:val="0050478F"/>
    <w:rsid w:val="00504948"/>
    <w:rsid w:val="00504A8E"/>
    <w:rsid w:val="00504D8F"/>
    <w:rsid w:val="005050BD"/>
    <w:rsid w:val="00505370"/>
    <w:rsid w:val="00505541"/>
    <w:rsid w:val="00505742"/>
    <w:rsid w:val="005057AB"/>
    <w:rsid w:val="00505B89"/>
    <w:rsid w:val="00505E89"/>
    <w:rsid w:val="00505F4C"/>
    <w:rsid w:val="00506107"/>
    <w:rsid w:val="005062C4"/>
    <w:rsid w:val="00506807"/>
    <w:rsid w:val="005069C5"/>
    <w:rsid w:val="00506A13"/>
    <w:rsid w:val="00506B7A"/>
    <w:rsid w:val="00507584"/>
    <w:rsid w:val="00507995"/>
    <w:rsid w:val="00507A18"/>
    <w:rsid w:val="00507D75"/>
    <w:rsid w:val="00510283"/>
    <w:rsid w:val="005104ED"/>
    <w:rsid w:val="005105C1"/>
    <w:rsid w:val="005108F4"/>
    <w:rsid w:val="005110D8"/>
    <w:rsid w:val="005112C3"/>
    <w:rsid w:val="005116B9"/>
    <w:rsid w:val="005117CA"/>
    <w:rsid w:val="00511904"/>
    <w:rsid w:val="00511EA4"/>
    <w:rsid w:val="00511F81"/>
    <w:rsid w:val="005128D4"/>
    <w:rsid w:val="00512DAD"/>
    <w:rsid w:val="00512FA6"/>
    <w:rsid w:val="0051309E"/>
    <w:rsid w:val="00513338"/>
    <w:rsid w:val="005139EB"/>
    <w:rsid w:val="00513B09"/>
    <w:rsid w:val="00513B67"/>
    <w:rsid w:val="00513CD1"/>
    <w:rsid w:val="00513DA2"/>
    <w:rsid w:val="005141E1"/>
    <w:rsid w:val="005149DC"/>
    <w:rsid w:val="00514A0C"/>
    <w:rsid w:val="00514C5C"/>
    <w:rsid w:val="00514CC0"/>
    <w:rsid w:val="00515843"/>
    <w:rsid w:val="00515853"/>
    <w:rsid w:val="00515B11"/>
    <w:rsid w:val="00515E0A"/>
    <w:rsid w:val="00515F66"/>
    <w:rsid w:val="00515F82"/>
    <w:rsid w:val="005161B8"/>
    <w:rsid w:val="0051625A"/>
    <w:rsid w:val="0051635F"/>
    <w:rsid w:val="0051648D"/>
    <w:rsid w:val="0051660F"/>
    <w:rsid w:val="005166FE"/>
    <w:rsid w:val="00516870"/>
    <w:rsid w:val="00516CDE"/>
    <w:rsid w:val="00516E22"/>
    <w:rsid w:val="005171C0"/>
    <w:rsid w:val="0051731C"/>
    <w:rsid w:val="00517780"/>
    <w:rsid w:val="005178BD"/>
    <w:rsid w:val="0051791A"/>
    <w:rsid w:val="005179D5"/>
    <w:rsid w:val="00517CF5"/>
    <w:rsid w:val="00520068"/>
    <w:rsid w:val="00520710"/>
    <w:rsid w:val="00520753"/>
    <w:rsid w:val="00520808"/>
    <w:rsid w:val="005216A3"/>
    <w:rsid w:val="005216C6"/>
    <w:rsid w:val="00521DBA"/>
    <w:rsid w:val="0052248C"/>
    <w:rsid w:val="00522966"/>
    <w:rsid w:val="00522A78"/>
    <w:rsid w:val="00522B4C"/>
    <w:rsid w:val="00522B9C"/>
    <w:rsid w:val="005231C6"/>
    <w:rsid w:val="005233F0"/>
    <w:rsid w:val="005234A0"/>
    <w:rsid w:val="0052497F"/>
    <w:rsid w:val="00524BA6"/>
    <w:rsid w:val="00525121"/>
    <w:rsid w:val="005253A1"/>
    <w:rsid w:val="0052555B"/>
    <w:rsid w:val="00525A21"/>
    <w:rsid w:val="00525E31"/>
    <w:rsid w:val="005265E2"/>
    <w:rsid w:val="00526612"/>
    <w:rsid w:val="005268BC"/>
    <w:rsid w:val="00526CB8"/>
    <w:rsid w:val="00526DFF"/>
    <w:rsid w:val="00526E61"/>
    <w:rsid w:val="00526EA2"/>
    <w:rsid w:val="00526FE5"/>
    <w:rsid w:val="005270AC"/>
    <w:rsid w:val="00527202"/>
    <w:rsid w:val="0052725B"/>
    <w:rsid w:val="00527724"/>
    <w:rsid w:val="00527F7C"/>
    <w:rsid w:val="0053074A"/>
    <w:rsid w:val="00530815"/>
    <w:rsid w:val="00531013"/>
    <w:rsid w:val="005313D2"/>
    <w:rsid w:val="005314C5"/>
    <w:rsid w:val="005316C6"/>
    <w:rsid w:val="005318AD"/>
    <w:rsid w:val="00531DC6"/>
    <w:rsid w:val="00531FB7"/>
    <w:rsid w:val="00532027"/>
    <w:rsid w:val="0053234F"/>
    <w:rsid w:val="005328D6"/>
    <w:rsid w:val="005332F2"/>
    <w:rsid w:val="00533652"/>
    <w:rsid w:val="00534111"/>
    <w:rsid w:val="00534404"/>
    <w:rsid w:val="0053466B"/>
    <w:rsid w:val="005348BE"/>
    <w:rsid w:val="0053493A"/>
    <w:rsid w:val="00534CD0"/>
    <w:rsid w:val="005350C1"/>
    <w:rsid w:val="00535194"/>
    <w:rsid w:val="005355B2"/>
    <w:rsid w:val="005355E8"/>
    <w:rsid w:val="0053560B"/>
    <w:rsid w:val="005358C5"/>
    <w:rsid w:val="00536427"/>
    <w:rsid w:val="005364DC"/>
    <w:rsid w:val="00536AA0"/>
    <w:rsid w:val="00536B69"/>
    <w:rsid w:val="00537182"/>
    <w:rsid w:val="005371C3"/>
    <w:rsid w:val="00537538"/>
    <w:rsid w:val="005378AE"/>
    <w:rsid w:val="005378F3"/>
    <w:rsid w:val="0053792E"/>
    <w:rsid w:val="00537C2F"/>
    <w:rsid w:val="00537C61"/>
    <w:rsid w:val="00537D22"/>
    <w:rsid w:val="00537EB8"/>
    <w:rsid w:val="00540090"/>
    <w:rsid w:val="00540131"/>
    <w:rsid w:val="0054026A"/>
    <w:rsid w:val="005403B9"/>
    <w:rsid w:val="00540919"/>
    <w:rsid w:val="00540D87"/>
    <w:rsid w:val="00541351"/>
    <w:rsid w:val="00541595"/>
    <w:rsid w:val="0054164D"/>
    <w:rsid w:val="005417A3"/>
    <w:rsid w:val="00541AE1"/>
    <w:rsid w:val="00541B38"/>
    <w:rsid w:val="00541B6E"/>
    <w:rsid w:val="005427F5"/>
    <w:rsid w:val="005428DA"/>
    <w:rsid w:val="00542941"/>
    <w:rsid w:val="00542B04"/>
    <w:rsid w:val="00542B21"/>
    <w:rsid w:val="00542C56"/>
    <w:rsid w:val="005432A7"/>
    <w:rsid w:val="00543A5B"/>
    <w:rsid w:val="00543ADF"/>
    <w:rsid w:val="00543E9D"/>
    <w:rsid w:val="005443A5"/>
    <w:rsid w:val="0054447A"/>
    <w:rsid w:val="00544764"/>
    <w:rsid w:val="00544F1E"/>
    <w:rsid w:val="005451B9"/>
    <w:rsid w:val="00545411"/>
    <w:rsid w:val="005457FA"/>
    <w:rsid w:val="00545872"/>
    <w:rsid w:val="00545A0E"/>
    <w:rsid w:val="00545CC0"/>
    <w:rsid w:val="00545EEA"/>
    <w:rsid w:val="00546099"/>
    <w:rsid w:val="00546611"/>
    <w:rsid w:val="00546BD4"/>
    <w:rsid w:val="005471F7"/>
    <w:rsid w:val="00547906"/>
    <w:rsid w:val="00547B69"/>
    <w:rsid w:val="00547BE6"/>
    <w:rsid w:val="0055016D"/>
    <w:rsid w:val="00550272"/>
    <w:rsid w:val="00550383"/>
    <w:rsid w:val="005506F0"/>
    <w:rsid w:val="00550F3C"/>
    <w:rsid w:val="00551E4B"/>
    <w:rsid w:val="005522EA"/>
    <w:rsid w:val="0055242D"/>
    <w:rsid w:val="005528EF"/>
    <w:rsid w:val="00552C6C"/>
    <w:rsid w:val="0055327C"/>
    <w:rsid w:val="005534D3"/>
    <w:rsid w:val="00554129"/>
    <w:rsid w:val="005546C2"/>
    <w:rsid w:val="00554BC5"/>
    <w:rsid w:val="00554CC0"/>
    <w:rsid w:val="005551B3"/>
    <w:rsid w:val="005559C7"/>
    <w:rsid w:val="00555A0E"/>
    <w:rsid w:val="00555C4C"/>
    <w:rsid w:val="005564A4"/>
    <w:rsid w:val="005564FE"/>
    <w:rsid w:val="00556585"/>
    <w:rsid w:val="00556AF9"/>
    <w:rsid w:val="00556D17"/>
    <w:rsid w:val="005572D1"/>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84D"/>
    <w:rsid w:val="00562B9B"/>
    <w:rsid w:val="00563343"/>
    <w:rsid w:val="00563C4C"/>
    <w:rsid w:val="005642F8"/>
    <w:rsid w:val="00564821"/>
    <w:rsid w:val="00564896"/>
    <w:rsid w:val="00564AFD"/>
    <w:rsid w:val="00564B3E"/>
    <w:rsid w:val="00565345"/>
    <w:rsid w:val="00565806"/>
    <w:rsid w:val="00565A00"/>
    <w:rsid w:val="00565BA9"/>
    <w:rsid w:val="00565EEB"/>
    <w:rsid w:val="005668F6"/>
    <w:rsid w:val="00566944"/>
    <w:rsid w:val="00566E92"/>
    <w:rsid w:val="005670A5"/>
    <w:rsid w:val="005678E9"/>
    <w:rsid w:val="00567BBE"/>
    <w:rsid w:val="00567C13"/>
    <w:rsid w:val="00567D52"/>
    <w:rsid w:val="00567E03"/>
    <w:rsid w:val="0057001D"/>
    <w:rsid w:val="00570319"/>
    <w:rsid w:val="0057043B"/>
    <w:rsid w:val="00570722"/>
    <w:rsid w:val="00570947"/>
    <w:rsid w:val="00571196"/>
    <w:rsid w:val="0057138B"/>
    <w:rsid w:val="00571494"/>
    <w:rsid w:val="0057169A"/>
    <w:rsid w:val="00571944"/>
    <w:rsid w:val="00571986"/>
    <w:rsid w:val="00571E83"/>
    <w:rsid w:val="005724E8"/>
    <w:rsid w:val="00572602"/>
    <w:rsid w:val="0057285B"/>
    <w:rsid w:val="00572E44"/>
    <w:rsid w:val="005732E4"/>
    <w:rsid w:val="005735AD"/>
    <w:rsid w:val="00573665"/>
    <w:rsid w:val="00573721"/>
    <w:rsid w:val="00573B16"/>
    <w:rsid w:val="00573DC8"/>
    <w:rsid w:val="00573F4C"/>
    <w:rsid w:val="005741F4"/>
    <w:rsid w:val="00574808"/>
    <w:rsid w:val="00574912"/>
    <w:rsid w:val="00574985"/>
    <w:rsid w:val="00574EFA"/>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11E"/>
    <w:rsid w:val="005813DB"/>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4C0C"/>
    <w:rsid w:val="00585313"/>
    <w:rsid w:val="00585330"/>
    <w:rsid w:val="00585471"/>
    <w:rsid w:val="00585618"/>
    <w:rsid w:val="00585743"/>
    <w:rsid w:val="00585E40"/>
    <w:rsid w:val="00585F5A"/>
    <w:rsid w:val="005860CD"/>
    <w:rsid w:val="00586105"/>
    <w:rsid w:val="005861AE"/>
    <w:rsid w:val="00586295"/>
    <w:rsid w:val="00586392"/>
    <w:rsid w:val="005868B0"/>
    <w:rsid w:val="0058699C"/>
    <w:rsid w:val="00587069"/>
    <w:rsid w:val="005875D2"/>
    <w:rsid w:val="00590010"/>
    <w:rsid w:val="00590093"/>
    <w:rsid w:val="0059011C"/>
    <w:rsid w:val="00590A09"/>
    <w:rsid w:val="00590E48"/>
    <w:rsid w:val="00590E61"/>
    <w:rsid w:val="00590FA0"/>
    <w:rsid w:val="00591110"/>
    <w:rsid w:val="00591502"/>
    <w:rsid w:val="00592025"/>
    <w:rsid w:val="005922B5"/>
    <w:rsid w:val="005925EB"/>
    <w:rsid w:val="00592E22"/>
    <w:rsid w:val="00593DC8"/>
    <w:rsid w:val="00593E32"/>
    <w:rsid w:val="00593F15"/>
    <w:rsid w:val="005940D6"/>
    <w:rsid w:val="00594408"/>
    <w:rsid w:val="00594642"/>
    <w:rsid w:val="005946A9"/>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BF1"/>
    <w:rsid w:val="005A1CC8"/>
    <w:rsid w:val="005A212F"/>
    <w:rsid w:val="005A279A"/>
    <w:rsid w:val="005A2D3C"/>
    <w:rsid w:val="005A2DF5"/>
    <w:rsid w:val="005A3050"/>
    <w:rsid w:val="005A3136"/>
    <w:rsid w:val="005A3A51"/>
    <w:rsid w:val="005A3B62"/>
    <w:rsid w:val="005A3ED8"/>
    <w:rsid w:val="005A409F"/>
    <w:rsid w:val="005A4231"/>
    <w:rsid w:val="005A49F3"/>
    <w:rsid w:val="005A4B8E"/>
    <w:rsid w:val="005A4E3C"/>
    <w:rsid w:val="005A54C0"/>
    <w:rsid w:val="005A5B4F"/>
    <w:rsid w:val="005A5C0A"/>
    <w:rsid w:val="005A5C19"/>
    <w:rsid w:val="005A5ED5"/>
    <w:rsid w:val="005A617E"/>
    <w:rsid w:val="005A6240"/>
    <w:rsid w:val="005A6290"/>
    <w:rsid w:val="005A6622"/>
    <w:rsid w:val="005A6CBE"/>
    <w:rsid w:val="005A6DEC"/>
    <w:rsid w:val="005A7099"/>
    <w:rsid w:val="005A75D4"/>
    <w:rsid w:val="005A7637"/>
    <w:rsid w:val="005A7C58"/>
    <w:rsid w:val="005A7DF9"/>
    <w:rsid w:val="005A7EA3"/>
    <w:rsid w:val="005B0185"/>
    <w:rsid w:val="005B0511"/>
    <w:rsid w:val="005B052D"/>
    <w:rsid w:val="005B073B"/>
    <w:rsid w:val="005B0883"/>
    <w:rsid w:val="005B0DF1"/>
    <w:rsid w:val="005B0EBB"/>
    <w:rsid w:val="005B0F1C"/>
    <w:rsid w:val="005B0F77"/>
    <w:rsid w:val="005B117A"/>
    <w:rsid w:val="005B1348"/>
    <w:rsid w:val="005B163B"/>
    <w:rsid w:val="005B182E"/>
    <w:rsid w:val="005B19A0"/>
    <w:rsid w:val="005B1A2D"/>
    <w:rsid w:val="005B1B6F"/>
    <w:rsid w:val="005B1D50"/>
    <w:rsid w:val="005B28C1"/>
    <w:rsid w:val="005B2AA6"/>
    <w:rsid w:val="005B2E1A"/>
    <w:rsid w:val="005B2E25"/>
    <w:rsid w:val="005B33EA"/>
    <w:rsid w:val="005B36D1"/>
    <w:rsid w:val="005B376C"/>
    <w:rsid w:val="005B3EB2"/>
    <w:rsid w:val="005B40B0"/>
    <w:rsid w:val="005B43B2"/>
    <w:rsid w:val="005B4448"/>
    <w:rsid w:val="005B44B8"/>
    <w:rsid w:val="005B4FB2"/>
    <w:rsid w:val="005B5526"/>
    <w:rsid w:val="005B581C"/>
    <w:rsid w:val="005B69B7"/>
    <w:rsid w:val="005B6D65"/>
    <w:rsid w:val="005B70A3"/>
    <w:rsid w:val="005B7124"/>
    <w:rsid w:val="005B7374"/>
    <w:rsid w:val="005B739E"/>
    <w:rsid w:val="005B73D3"/>
    <w:rsid w:val="005B73DC"/>
    <w:rsid w:val="005B7716"/>
    <w:rsid w:val="005B7719"/>
    <w:rsid w:val="005B77E7"/>
    <w:rsid w:val="005B7ACF"/>
    <w:rsid w:val="005B7F68"/>
    <w:rsid w:val="005C0039"/>
    <w:rsid w:val="005C03F3"/>
    <w:rsid w:val="005C1691"/>
    <w:rsid w:val="005C1DEC"/>
    <w:rsid w:val="005C2B60"/>
    <w:rsid w:val="005C2D14"/>
    <w:rsid w:val="005C32D9"/>
    <w:rsid w:val="005C339A"/>
    <w:rsid w:val="005C3520"/>
    <w:rsid w:val="005C35DB"/>
    <w:rsid w:val="005C3B17"/>
    <w:rsid w:val="005C46DB"/>
    <w:rsid w:val="005C4A09"/>
    <w:rsid w:val="005C4BB8"/>
    <w:rsid w:val="005C4E00"/>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D01D1"/>
    <w:rsid w:val="005D0B0F"/>
    <w:rsid w:val="005D15D4"/>
    <w:rsid w:val="005D15FF"/>
    <w:rsid w:val="005D1BD5"/>
    <w:rsid w:val="005D235E"/>
    <w:rsid w:val="005D2665"/>
    <w:rsid w:val="005D2E67"/>
    <w:rsid w:val="005D30A3"/>
    <w:rsid w:val="005D30BD"/>
    <w:rsid w:val="005D3B9B"/>
    <w:rsid w:val="005D3F50"/>
    <w:rsid w:val="005D40BC"/>
    <w:rsid w:val="005D416D"/>
    <w:rsid w:val="005D42F3"/>
    <w:rsid w:val="005D4B24"/>
    <w:rsid w:val="005D4C2E"/>
    <w:rsid w:val="005D5518"/>
    <w:rsid w:val="005D59C5"/>
    <w:rsid w:val="005D6195"/>
    <w:rsid w:val="005D63C5"/>
    <w:rsid w:val="005D63F7"/>
    <w:rsid w:val="005D674D"/>
    <w:rsid w:val="005D679D"/>
    <w:rsid w:val="005D6E05"/>
    <w:rsid w:val="005D6E0C"/>
    <w:rsid w:val="005D70C1"/>
    <w:rsid w:val="005D75BC"/>
    <w:rsid w:val="005D78BF"/>
    <w:rsid w:val="005D7E20"/>
    <w:rsid w:val="005E0074"/>
    <w:rsid w:val="005E0248"/>
    <w:rsid w:val="005E06C0"/>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36B"/>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5DE"/>
    <w:rsid w:val="005E5DC6"/>
    <w:rsid w:val="005E614C"/>
    <w:rsid w:val="005E61C8"/>
    <w:rsid w:val="005E627C"/>
    <w:rsid w:val="005E6394"/>
    <w:rsid w:val="005E6585"/>
    <w:rsid w:val="005E6C94"/>
    <w:rsid w:val="005E70DB"/>
    <w:rsid w:val="005E725C"/>
    <w:rsid w:val="005E72B0"/>
    <w:rsid w:val="005E7491"/>
    <w:rsid w:val="005E76CE"/>
    <w:rsid w:val="005E7973"/>
    <w:rsid w:val="005E7DE2"/>
    <w:rsid w:val="005F0037"/>
    <w:rsid w:val="005F05CD"/>
    <w:rsid w:val="005F05DC"/>
    <w:rsid w:val="005F0A4B"/>
    <w:rsid w:val="005F0ACC"/>
    <w:rsid w:val="005F0C5C"/>
    <w:rsid w:val="005F0C5F"/>
    <w:rsid w:val="005F101E"/>
    <w:rsid w:val="005F1208"/>
    <w:rsid w:val="005F1477"/>
    <w:rsid w:val="005F1525"/>
    <w:rsid w:val="005F15DD"/>
    <w:rsid w:val="005F1A6B"/>
    <w:rsid w:val="005F1ED8"/>
    <w:rsid w:val="005F20F5"/>
    <w:rsid w:val="005F21D4"/>
    <w:rsid w:val="005F245E"/>
    <w:rsid w:val="005F2500"/>
    <w:rsid w:val="005F29B4"/>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36E"/>
    <w:rsid w:val="005F6B2B"/>
    <w:rsid w:val="005F6BCF"/>
    <w:rsid w:val="005F6D72"/>
    <w:rsid w:val="005F7055"/>
    <w:rsid w:val="005F72A5"/>
    <w:rsid w:val="005F7426"/>
    <w:rsid w:val="005F74F1"/>
    <w:rsid w:val="005F76F7"/>
    <w:rsid w:val="005F781A"/>
    <w:rsid w:val="005F7BEA"/>
    <w:rsid w:val="005F7BF7"/>
    <w:rsid w:val="005F7F03"/>
    <w:rsid w:val="005F7F06"/>
    <w:rsid w:val="00600660"/>
    <w:rsid w:val="00600D61"/>
    <w:rsid w:val="00600DCF"/>
    <w:rsid w:val="00600EA8"/>
    <w:rsid w:val="0060107B"/>
    <w:rsid w:val="00601A18"/>
    <w:rsid w:val="00601AAC"/>
    <w:rsid w:val="00601B54"/>
    <w:rsid w:val="00602273"/>
    <w:rsid w:val="0060280B"/>
    <w:rsid w:val="00602927"/>
    <w:rsid w:val="006029A1"/>
    <w:rsid w:val="00602B79"/>
    <w:rsid w:val="00602C82"/>
    <w:rsid w:val="006035A8"/>
    <w:rsid w:val="0060369C"/>
    <w:rsid w:val="0060415B"/>
    <w:rsid w:val="00604683"/>
    <w:rsid w:val="0060490D"/>
    <w:rsid w:val="00604D73"/>
    <w:rsid w:val="00604F9D"/>
    <w:rsid w:val="006052C4"/>
    <w:rsid w:val="006056CF"/>
    <w:rsid w:val="006059B7"/>
    <w:rsid w:val="00605C4F"/>
    <w:rsid w:val="00605CC9"/>
    <w:rsid w:val="006063AF"/>
    <w:rsid w:val="006065CC"/>
    <w:rsid w:val="00606770"/>
    <w:rsid w:val="00606A59"/>
    <w:rsid w:val="00606BD5"/>
    <w:rsid w:val="00606E95"/>
    <w:rsid w:val="00606F60"/>
    <w:rsid w:val="006074F4"/>
    <w:rsid w:val="00607671"/>
    <w:rsid w:val="00607BB6"/>
    <w:rsid w:val="006102B2"/>
    <w:rsid w:val="00610508"/>
    <w:rsid w:val="00610542"/>
    <w:rsid w:val="00610783"/>
    <w:rsid w:val="00610BEE"/>
    <w:rsid w:val="006116A3"/>
    <w:rsid w:val="00611A4E"/>
    <w:rsid w:val="006126B2"/>
    <w:rsid w:val="00612799"/>
    <w:rsid w:val="00612853"/>
    <w:rsid w:val="00612898"/>
    <w:rsid w:val="0061290D"/>
    <w:rsid w:val="006129B7"/>
    <w:rsid w:val="006129D9"/>
    <w:rsid w:val="00612B2E"/>
    <w:rsid w:val="00612E17"/>
    <w:rsid w:val="00612EAD"/>
    <w:rsid w:val="00612F8B"/>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27"/>
    <w:rsid w:val="00616534"/>
    <w:rsid w:val="006167EA"/>
    <w:rsid w:val="00616EC5"/>
    <w:rsid w:val="00616F23"/>
    <w:rsid w:val="006172D6"/>
    <w:rsid w:val="0061733D"/>
    <w:rsid w:val="0061746A"/>
    <w:rsid w:val="00617582"/>
    <w:rsid w:val="006175E1"/>
    <w:rsid w:val="006179BA"/>
    <w:rsid w:val="00620065"/>
    <w:rsid w:val="00620ACE"/>
    <w:rsid w:val="00620F66"/>
    <w:rsid w:val="00621253"/>
    <w:rsid w:val="00621465"/>
    <w:rsid w:val="00621583"/>
    <w:rsid w:val="006218DE"/>
    <w:rsid w:val="00621A59"/>
    <w:rsid w:val="00621C6D"/>
    <w:rsid w:val="00622376"/>
    <w:rsid w:val="00622B5A"/>
    <w:rsid w:val="00622BE6"/>
    <w:rsid w:val="00622C09"/>
    <w:rsid w:val="00622CF2"/>
    <w:rsid w:val="0062300A"/>
    <w:rsid w:val="00623078"/>
    <w:rsid w:val="006231C5"/>
    <w:rsid w:val="0062322C"/>
    <w:rsid w:val="0062347E"/>
    <w:rsid w:val="00623873"/>
    <w:rsid w:val="00623A00"/>
    <w:rsid w:val="0062463A"/>
    <w:rsid w:val="00624855"/>
    <w:rsid w:val="00624B3C"/>
    <w:rsid w:val="00624F21"/>
    <w:rsid w:val="0062504B"/>
    <w:rsid w:val="006250B4"/>
    <w:rsid w:val="0062512A"/>
    <w:rsid w:val="00625255"/>
    <w:rsid w:val="00625809"/>
    <w:rsid w:val="00625C55"/>
    <w:rsid w:val="00625DCD"/>
    <w:rsid w:val="00626C63"/>
    <w:rsid w:val="006273A6"/>
    <w:rsid w:val="006273D4"/>
    <w:rsid w:val="00627ABA"/>
    <w:rsid w:val="0063049B"/>
    <w:rsid w:val="00630981"/>
    <w:rsid w:val="00630DAC"/>
    <w:rsid w:val="00632389"/>
    <w:rsid w:val="006325AD"/>
    <w:rsid w:val="006327C5"/>
    <w:rsid w:val="00632DD9"/>
    <w:rsid w:val="00633509"/>
    <w:rsid w:val="006335F9"/>
    <w:rsid w:val="0063378F"/>
    <w:rsid w:val="00633857"/>
    <w:rsid w:val="00633997"/>
    <w:rsid w:val="006339AD"/>
    <w:rsid w:val="00633F9D"/>
    <w:rsid w:val="00633FC9"/>
    <w:rsid w:val="006340D5"/>
    <w:rsid w:val="006341C2"/>
    <w:rsid w:val="0063440B"/>
    <w:rsid w:val="0063450D"/>
    <w:rsid w:val="00634652"/>
    <w:rsid w:val="00634695"/>
    <w:rsid w:val="00634B62"/>
    <w:rsid w:val="00634CDD"/>
    <w:rsid w:val="00635A6C"/>
    <w:rsid w:val="00635D62"/>
    <w:rsid w:val="00636897"/>
    <w:rsid w:val="006368D7"/>
    <w:rsid w:val="00636A3D"/>
    <w:rsid w:val="006372BC"/>
    <w:rsid w:val="006378A4"/>
    <w:rsid w:val="00637FC7"/>
    <w:rsid w:val="00640658"/>
    <w:rsid w:val="006406F6"/>
    <w:rsid w:val="00640CA1"/>
    <w:rsid w:val="0064141B"/>
    <w:rsid w:val="006421B5"/>
    <w:rsid w:val="00642539"/>
    <w:rsid w:val="0064254F"/>
    <w:rsid w:val="006425DF"/>
    <w:rsid w:val="00642777"/>
    <w:rsid w:val="00642841"/>
    <w:rsid w:val="006428D6"/>
    <w:rsid w:val="00643BF2"/>
    <w:rsid w:val="00643D9B"/>
    <w:rsid w:val="00643E17"/>
    <w:rsid w:val="006441EF"/>
    <w:rsid w:val="0064452D"/>
    <w:rsid w:val="0064466F"/>
    <w:rsid w:val="00644B6C"/>
    <w:rsid w:val="006453E7"/>
    <w:rsid w:val="0064553B"/>
    <w:rsid w:val="006455D3"/>
    <w:rsid w:val="0064596C"/>
    <w:rsid w:val="00645D76"/>
    <w:rsid w:val="00645D91"/>
    <w:rsid w:val="006465F7"/>
    <w:rsid w:val="00646BE5"/>
    <w:rsid w:val="00646EB5"/>
    <w:rsid w:val="0064725A"/>
    <w:rsid w:val="00647410"/>
    <w:rsid w:val="00647E0E"/>
    <w:rsid w:val="00647F98"/>
    <w:rsid w:val="00651893"/>
    <w:rsid w:val="006519B9"/>
    <w:rsid w:val="00651B00"/>
    <w:rsid w:val="00652089"/>
    <w:rsid w:val="006520B8"/>
    <w:rsid w:val="006520E3"/>
    <w:rsid w:val="00652482"/>
    <w:rsid w:val="00652A81"/>
    <w:rsid w:val="00652B21"/>
    <w:rsid w:val="00653336"/>
    <w:rsid w:val="006533C6"/>
    <w:rsid w:val="00653495"/>
    <w:rsid w:val="0065359E"/>
    <w:rsid w:val="006539B7"/>
    <w:rsid w:val="00653F1F"/>
    <w:rsid w:val="00654678"/>
    <w:rsid w:val="0065470C"/>
    <w:rsid w:val="006548A4"/>
    <w:rsid w:val="00654BBD"/>
    <w:rsid w:val="00654EFB"/>
    <w:rsid w:val="00655245"/>
    <w:rsid w:val="0065529E"/>
    <w:rsid w:val="00655623"/>
    <w:rsid w:val="006557C4"/>
    <w:rsid w:val="006558A6"/>
    <w:rsid w:val="0065594C"/>
    <w:rsid w:val="00655DE5"/>
    <w:rsid w:val="00655EAC"/>
    <w:rsid w:val="00655F3A"/>
    <w:rsid w:val="0065630D"/>
    <w:rsid w:val="00656386"/>
    <w:rsid w:val="00656511"/>
    <w:rsid w:val="0065687D"/>
    <w:rsid w:val="00656958"/>
    <w:rsid w:val="0065699E"/>
    <w:rsid w:val="00656A01"/>
    <w:rsid w:val="00656AEE"/>
    <w:rsid w:val="00656DB6"/>
    <w:rsid w:val="00657185"/>
    <w:rsid w:val="0065742F"/>
    <w:rsid w:val="00657BD6"/>
    <w:rsid w:val="00657D1E"/>
    <w:rsid w:val="00657DB6"/>
    <w:rsid w:val="00657DB7"/>
    <w:rsid w:val="00657E32"/>
    <w:rsid w:val="0066028C"/>
    <w:rsid w:val="00660334"/>
    <w:rsid w:val="00660D14"/>
    <w:rsid w:val="00660F37"/>
    <w:rsid w:val="0066133B"/>
    <w:rsid w:val="00661C38"/>
    <w:rsid w:val="006621BD"/>
    <w:rsid w:val="00662655"/>
    <w:rsid w:val="00662C1D"/>
    <w:rsid w:val="00662DEC"/>
    <w:rsid w:val="00662F77"/>
    <w:rsid w:val="0066371B"/>
    <w:rsid w:val="006638D9"/>
    <w:rsid w:val="00663E39"/>
    <w:rsid w:val="00664381"/>
    <w:rsid w:val="006643EF"/>
    <w:rsid w:val="00664676"/>
    <w:rsid w:val="006647D9"/>
    <w:rsid w:val="0066481F"/>
    <w:rsid w:val="00664C11"/>
    <w:rsid w:val="0066524B"/>
    <w:rsid w:val="006652A2"/>
    <w:rsid w:val="0066569C"/>
    <w:rsid w:val="00665E75"/>
    <w:rsid w:val="00666697"/>
    <w:rsid w:val="0066669B"/>
    <w:rsid w:val="006667C4"/>
    <w:rsid w:val="00666856"/>
    <w:rsid w:val="0066689A"/>
    <w:rsid w:val="006673A6"/>
    <w:rsid w:val="00667405"/>
    <w:rsid w:val="006674AA"/>
    <w:rsid w:val="0066785A"/>
    <w:rsid w:val="00667F5E"/>
    <w:rsid w:val="00670985"/>
    <w:rsid w:val="00670C7B"/>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6D8"/>
    <w:rsid w:val="00674A04"/>
    <w:rsid w:val="00674B15"/>
    <w:rsid w:val="0067542B"/>
    <w:rsid w:val="006754AB"/>
    <w:rsid w:val="006755DF"/>
    <w:rsid w:val="0067561C"/>
    <w:rsid w:val="006758C2"/>
    <w:rsid w:val="006758FA"/>
    <w:rsid w:val="00675910"/>
    <w:rsid w:val="006760A1"/>
    <w:rsid w:val="006760F9"/>
    <w:rsid w:val="00676C18"/>
    <w:rsid w:val="00676C3B"/>
    <w:rsid w:val="00676E99"/>
    <w:rsid w:val="0067719D"/>
    <w:rsid w:val="00677D2B"/>
    <w:rsid w:val="00677F36"/>
    <w:rsid w:val="006800FE"/>
    <w:rsid w:val="00680379"/>
    <w:rsid w:val="0068052A"/>
    <w:rsid w:val="00680BB5"/>
    <w:rsid w:val="00680DBA"/>
    <w:rsid w:val="00681104"/>
    <w:rsid w:val="00681166"/>
    <w:rsid w:val="00681203"/>
    <w:rsid w:val="006818DE"/>
    <w:rsid w:val="00681984"/>
    <w:rsid w:val="00681C2B"/>
    <w:rsid w:val="006821E0"/>
    <w:rsid w:val="00682ACE"/>
    <w:rsid w:val="006833C5"/>
    <w:rsid w:val="006835FB"/>
    <w:rsid w:val="006836ED"/>
    <w:rsid w:val="00683707"/>
    <w:rsid w:val="006839D3"/>
    <w:rsid w:val="00683C05"/>
    <w:rsid w:val="0068415B"/>
    <w:rsid w:val="00684564"/>
    <w:rsid w:val="006849D3"/>
    <w:rsid w:val="00684BC6"/>
    <w:rsid w:val="006859D7"/>
    <w:rsid w:val="006859EF"/>
    <w:rsid w:val="00685BF9"/>
    <w:rsid w:val="00686D5C"/>
    <w:rsid w:val="00686F74"/>
    <w:rsid w:val="0068716A"/>
    <w:rsid w:val="006872A9"/>
    <w:rsid w:val="006874FB"/>
    <w:rsid w:val="00687703"/>
    <w:rsid w:val="0068780B"/>
    <w:rsid w:val="0068F780"/>
    <w:rsid w:val="0069017B"/>
    <w:rsid w:val="006904B5"/>
    <w:rsid w:val="00690FC8"/>
    <w:rsid w:val="006910D3"/>
    <w:rsid w:val="00691135"/>
    <w:rsid w:val="006911F0"/>
    <w:rsid w:val="006916EA"/>
    <w:rsid w:val="0069196B"/>
    <w:rsid w:val="00691F5C"/>
    <w:rsid w:val="00692261"/>
    <w:rsid w:val="00692309"/>
    <w:rsid w:val="006929CE"/>
    <w:rsid w:val="006942FF"/>
    <w:rsid w:val="00694345"/>
    <w:rsid w:val="006943EB"/>
    <w:rsid w:val="00694926"/>
    <w:rsid w:val="0069496E"/>
    <w:rsid w:val="00694DDB"/>
    <w:rsid w:val="00695269"/>
    <w:rsid w:val="00695440"/>
    <w:rsid w:val="006955C8"/>
    <w:rsid w:val="00695D18"/>
    <w:rsid w:val="006965AE"/>
    <w:rsid w:val="00696A46"/>
    <w:rsid w:val="00696BD0"/>
    <w:rsid w:val="00696D0B"/>
    <w:rsid w:val="00696F67"/>
    <w:rsid w:val="00697302"/>
    <w:rsid w:val="006973E2"/>
    <w:rsid w:val="006974BC"/>
    <w:rsid w:val="00697704"/>
    <w:rsid w:val="006A0142"/>
    <w:rsid w:val="006A05DF"/>
    <w:rsid w:val="006A05F9"/>
    <w:rsid w:val="006A0B59"/>
    <w:rsid w:val="006A0D23"/>
    <w:rsid w:val="006A0F59"/>
    <w:rsid w:val="006A1529"/>
    <w:rsid w:val="006A15CE"/>
    <w:rsid w:val="006A18E7"/>
    <w:rsid w:val="006A1C08"/>
    <w:rsid w:val="006A1FC8"/>
    <w:rsid w:val="006A2023"/>
    <w:rsid w:val="006A2566"/>
    <w:rsid w:val="006A25CB"/>
    <w:rsid w:val="006A2A47"/>
    <w:rsid w:val="006A2B28"/>
    <w:rsid w:val="006A2D8D"/>
    <w:rsid w:val="006A30F6"/>
    <w:rsid w:val="006A3130"/>
    <w:rsid w:val="006A35CF"/>
    <w:rsid w:val="006A39FB"/>
    <w:rsid w:val="006A3C4D"/>
    <w:rsid w:val="006A3C89"/>
    <w:rsid w:val="006A44B7"/>
    <w:rsid w:val="006A4A8F"/>
    <w:rsid w:val="006A4DF0"/>
    <w:rsid w:val="006A4E92"/>
    <w:rsid w:val="006A59B0"/>
    <w:rsid w:val="006A5A09"/>
    <w:rsid w:val="006A5B00"/>
    <w:rsid w:val="006A5D71"/>
    <w:rsid w:val="006A606A"/>
    <w:rsid w:val="006A60E0"/>
    <w:rsid w:val="006A6492"/>
    <w:rsid w:val="006A676D"/>
    <w:rsid w:val="006A6961"/>
    <w:rsid w:val="006A6B72"/>
    <w:rsid w:val="006A703A"/>
    <w:rsid w:val="006A70B9"/>
    <w:rsid w:val="006A7128"/>
    <w:rsid w:val="006A73C5"/>
    <w:rsid w:val="006B007A"/>
    <w:rsid w:val="006B018E"/>
    <w:rsid w:val="006B04DB"/>
    <w:rsid w:val="006B1046"/>
    <w:rsid w:val="006B159E"/>
    <w:rsid w:val="006B16A7"/>
    <w:rsid w:val="006B1E02"/>
    <w:rsid w:val="006B21A0"/>
    <w:rsid w:val="006B2296"/>
    <w:rsid w:val="006B2932"/>
    <w:rsid w:val="006B29B6"/>
    <w:rsid w:val="006B2A5B"/>
    <w:rsid w:val="006B3BA0"/>
    <w:rsid w:val="006B4124"/>
    <w:rsid w:val="006B439D"/>
    <w:rsid w:val="006B4C64"/>
    <w:rsid w:val="006B4FC2"/>
    <w:rsid w:val="006B50FD"/>
    <w:rsid w:val="006B520A"/>
    <w:rsid w:val="006B5376"/>
    <w:rsid w:val="006B5461"/>
    <w:rsid w:val="006B54A4"/>
    <w:rsid w:val="006B553E"/>
    <w:rsid w:val="006B556A"/>
    <w:rsid w:val="006B67F9"/>
    <w:rsid w:val="006B6C4D"/>
    <w:rsid w:val="006B7286"/>
    <w:rsid w:val="006B7447"/>
    <w:rsid w:val="006B7453"/>
    <w:rsid w:val="006B74F2"/>
    <w:rsid w:val="006B7FE4"/>
    <w:rsid w:val="006C06D5"/>
    <w:rsid w:val="006C0909"/>
    <w:rsid w:val="006C090A"/>
    <w:rsid w:val="006C0DF1"/>
    <w:rsid w:val="006C14F1"/>
    <w:rsid w:val="006C167F"/>
    <w:rsid w:val="006C2207"/>
    <w:rsid w:val="006C230D"/>
    <w:rsid w:val="006C315B"/>
    <w:rsid w:val="006C31CD"/>
    <w:rsid w:val="006C31FD"/>
    <w:rsid w:val="006C329F"/>
    <w:rsid w:val="006C36F7"/>
    <w:rsid w:val="006C3E78"/>
    <w:rsid w:val="006C410E"/>
    <w:rsid w:val="006C42C6"/>
    <w:rsid w:val="006C45E7"/>
    <w:rsid w:val="006C4CFB"/>
    <w:rsid w:val="006C4EDF"/>
    <w:rsid w:val="006C547D"/>
    <w:rsid w:val="006C6004"/>
    <w:rsid w:val="006C6191"/>
    <w:rsid w:val="006C6533"/>
    <w:rsid w:val="006C6792"/>
    <w:rsid w:val="006C7172"/>
    <w:rsid w:val="006C7203"/>
    <w:rsid w:val="006C7517"/>
    <w:rsid w:val="006C7B41"/>
    <w:rsid w:val="006C7E21"/>
    <w:rsid w:val="006D0324"/>
    <w:rsid w:val="006D08A4"/>
    <w:rsid w:val="006D0C96"/>
    <w:rsid w:val="006D0E3A"/>
    <w:rsid w:val="006D0FE4"/>
    <w:rsid w:val="006D160E"/>
    <w:rsid w:val="006D1A00"/>
    <w:rsid w:val="006D1DA3"/>
    <w:rsid w:val="006D1F3B"/>
    <w:rsid w:val="006D1F99"/>
    <w:rsid w:val="006D2C19"/>
    <w:rsid w:val="006D2DD1"/>
    <w:rsid w:val="006D3787"/>
    <w:rsid w:val="006D37CA"/>
    <w:rsid w:val="006D39B8"/>
    <w:rsid w:val="006D3FFA"/>
    <w:rsid w:val="006D45D0"/>
    <w:rsid w:val="006D4A68"/>
    <w:rsid w:val="006D551D"/>
    <w:rsid w:val="006D5AF5"/>
    <w:rsid w:val="006D5C2F"/>
    <w:rsid w:val="006D5C5E"/>
    <w:rsid w:val="006D5DBE"/>
    <w:rsid w:val="006D5EB4"/>
    <w:rsid w:val="006D5F1A"/>
    <w:rsid w:val="006D63BA"/>
    <w:rsid w:val="006D6A7B"/>
    <w:rsid w:val="006D6B03"/>
    <w:rsid w:val="006D6BE5"/>
    <w:rsid w:val="006D6E14"/>
    <w:rsid w:val="006D704D"/>
    <w:rsid w:val="006D7C1B"/>
    <w:rsid w:val="006D7DAD"/>
    <w:rsid w:val="006D7E22"/>
    <w:rsid w:val="006D7F42"/>
    <w:rsid w:val="006E042A"/>
    <w:rsid w:val="006E1736"/>
    <w:rsid w:val="006E183B"/>
    <w:rsid w:val="006E1E33"/>
    <w:rsid w:val="006E26CC"/>
    <w:rsid w:val="006E2841"/>
    <w:rsid w:val="006E2A88"/>
    <w:rsid w:val="006E2DD3"/>
    <w:rsid w:val="006E3269"/>
    <w:rsid w:val="006E3A05"/>
    <w:rsid w:val="006E3A29"/>
    <w:rsid w:val="006E3F27"/>
    <w:rsid w:val="006E3F85"/>
    <w:rsid w:val="006E421F"/>
    <w:rsid w:val="006E464A"/>
    <w:rsid w:val="006E4A71"/>
    <w:rsid w:val="006E4FF2"/>
    <w:rsid w:val="006E526C"/>
    <w:rsid w:val="006E5358"/>
    <w:rsid w:val="006E5946"/>
    <w:rsid w:val="006E597D"/>
    <w:rsid w:val="006E59C9"/>
    <w:rsid w:val="006E6019"/>
    <w:rsid w:val="006E6081"/>
    <w:rsid w:val="006E62EC"/>
    <w:rsid w:val="006E6327"/>
    <w:rsid w:val="006E6647"/>
    <w:rsid w:val="006E6949"/>
    <w:rsid w:val="006E6982"/>
    <w:rsid w:val="006E69B9"/>
    <w:rsid w:val="006E69FA"/>
    <w:rsid w:val="006E7946"/>
    <w:rsid w:val="006E7C0B"/>
    <w:rsid w:val="006E7C81"/>
    <w:rsid w:val="006F00BA"/>
    <w:rsid w:val="006F048A"/>
    <w:rsid w:val="006F0666"/>
    <w:rsid w:val="006F0853"/>
    <w:rsid w:val="006F096E"/>
    <w:rsid w:val="006F10F8"/>
    <w:rsid w:val="006F1205"/>
    <w:rsid w:val="006F17AD"/>
    <w:rsid w:val="006F1915"/>
    <w:rsid w:val="006F1F58"/>
    <w:rsid w:val="006F2832"/>
    <w:rsid w:val="006F30A3"/>
    <w:rsid w:val="006F30E3"/>
    <w:rsid w:val="006F34CF"/>
    <w:rsid w:val="006F3510"/>
    <w:rsid w:val="006F35ED"/>
    <w:rsid w:val="006F3646"/>
    <w:rsid w:val="006F3897"/>
    <w:rsid w:val="006F38DF"/>
    <w:rsid w:val="006F39CA"/>
    <w:rsid w:val="006F3D9A"/>
    <w:rsid w:val="006F4428"/>
    <w:rsid w:val="006F4463"/>
    <w:rsid w:val="006F4854"/>
    <w:rsid w:val="006F4CE0"/>
    <w:rsid w:val="006F4CFC"/>
    <w:rsid w:val="006F4DAA"/>
    <w:rsid w:val="006F571B"/>
    <w:rsid w:val="006F5CC0"/>
    <w:rsid w:val="006F6007"/>
    <w:rsid w:val="006F6046"/>
    <w:rsid w:val="006F6330"/>
    <w:rsid w:val="006F6443"/>
    <w:rsid w:val="006F6620"/>
    <w:rsid w:val="006F6647"/>
    <w:rsid w:val="006F6897"/>
    <w:rsid w:val="006F6920"/>
    <w:rsid w:val="006F6CB8"/>
    <w:rsid w:val="006F6EC3"/>
    <w:rsid w:val="006F6F42"/>
    <w:rsid w:val="006F70E8"/>
    <w:rsid w:val="006F79AA"/>
    <w:rsid w:val="00700215"/>
    <w:rsid w:val="00700A35"/>
    <w:rsid w:val="007011DF"/>
    <w:rsid w:val="00701451"/>
    <w:rsid w:val="00701645"/>
    <w:rsid w:val="00701999"/>
    <w:rsid w:val="00701A5C"/>
    <w:rsid w:val="00701C1B"/>
    <w:rsid w:val="00701C85"/>
    <w:rsid w:val="0070262D"/>
    <w:rsid w:val="00702A77"/>
    <w:rsid w:val="00702E2A"/>
    <w:rsid w:val="00703222"/>
    <w:rsid w:val="007032F9"/>
    <w:rsid w:val="007033AB"/>
    <w:rsid w:val="007033BA"/>
    <w:rsid w:val="00703459"/>
    <w:rsid w:val="00704304"/>
    <w:rsid w:val="00704413"/>
    <w:rsid w:val="00704B70"/>
    <w:rsid w:val="00704C8D"/>
    <w:rsid w:val="00705033"/>
    <w:rsid w:val="00705703"/>
    <w:rsid w:val="00705840"/>
    <w:rsid w:val="007058BF"/>
    <w:rsid w:val="00705D02"/>
    <w:rsid w:val="00705EC8"/>
    <w:rsid w:val="007065BB"/>
    <w:rsid w:val="007066AA"/>
    <w:rsid w:val="0070672A"/>
    <w:rsid w:val="00706860"/>
    <w:rsid w:val="00706A71"/>
    <w:rsid w:val="00706B8D"/>
    <w:rsid w:val="00706C8A"/>
    <w:rsid w:val="00707266"/>
    <w:rsid w:val="007074AB"/>
    <w:rsid w:val="0070770D"/>
    <w:rsid w:val="00707882"/>
    <w:rsid w:val="007079BC"/>
    <w:rsid w:val="007079C8"/>
    <w:rsid w:val="00710036"/>
    <w:rsid w:val="0071009B"/>
    <w:rsid w:val="007102C1"/>
    <w:rsid w:val="00710840"/>
    <w:rsid w:val="00710983"/>
    <w:rsid w:val="00710B64"/>
    <w:rsid w:val="00710DE5"/>
    <w:rsid w:val="007114A4"/>
    <w:rsid w:val="007118CC"/>
    <w:rsid w:val="0071219A"/>
    <w:rsid w:val="007122ED"/>
    <w:rsid w:val="00712558"/>
    <w:rsid w:val="007126C1"/>
    <w:rsid w:val="00712852"/>
    <w:rsid w:val="00712C64"/>
    <w:rsid w:val="00712C93"/>
    <w:rsid w:val="007130DD"/>
    <w:rsid w:val="00713198"/>
    <w:rsid w:val="00714136"/>
    <w:rsid w:val="007143AA"/>
    <w:rsid w:val="007144FA"/>
    <w:rsid w:val="0071468F"/>
    <w:rsid w:val="00714D30"/>
    <w:rsid w:val="00714D49"/>
    <w:rsid w:val="00714DB6"/>
    <w:rsid w:val="0071554C"/>
    <w:rsid w:val="007159B4"/>
    <w:rsid w:val="00715BF4"/>
    <w:rsid w:val="00715EDF"/>
    <w:rsid w:val="0071643C"/>
    <w:rsid w:val="00716543"/>
    <w:rsid w:val="0071682E"/>
    <w:rsid w:val="00717165"/>
    <w:rsid w:val="0071721E"/>
    <w:rsid w:val="0071747E"/>
    <w:rsid w:val="00717EA1"/>
    <w:rsid w:val="00717F3E"/>
    <w:rsid w:val="007200ED"/>
    <w:rsid w:val="00720194"/>
    <w:rsid w:val="007205D6"/>
    <w:rsid w:val="007206C5"/>
    <w:rsid w:val="007206D0"/>
    <w:rsid w:val="007207BB"/>
    <w:rsid w:val="007209AC"/>
    <w:rsid w:val="00720D68"/>
    <w:rsid w:val="00720DFB"/>
    <w:rsid w:val="0072131D"/>
    <w:rsid w:val="00721377"/>
    <w:rsid w:val="00721483"/>
    <w:rsid w:val="00721504"/>
    <w:rsid w:val="007215D7"/>
    <w:rsid w:val="00721ABB"/>
    <w:rsid w:val="00721B17"/>
    <w:rsid w:val="007220A6"/>
    <w:rsid w:val="00722172"/>
    <w:rsid w:val="007231DD"/>
    <w:rsid w:val="00723532"/>
    <w:rsid w:val="00723E7C"/>
    <w:rsid w:val="007241CF"/>
    <w:rsid w:val="007244F0"/>
    <w:rsid w:val="007245BF"/>
    <w:rsid w:val="00724629"/>
    <w:rsid w:val="007248A1"/>
    <w:rsid w:val="0072493D"/>
    <w:rsid w:val="00724D6A"/>
    <w:rsid w:val="00724DC8"/>
    <w:rsid w:val="007250BF"/>
    <w:rsid w:val="00725885"/>
    <w:rsid w:val="00725B2F"/>
    <w:rsid w:val="0072600A"/>
    <w:rsid w:val="007265A4"/>
    <w:rsid w:val="00726D74"/>
    <w:rsid w:val="00726F42"/>
    <w:rsid w:val="007274E4"/>
    <w:rsid w:val="00727B27"/>
    <w:rsid w:val="00727E59"/>
    <w:rsid w:val="00730108"/>
    <w:rsid w:val="00730127"/>
    <w:rsid w:val="00730A2C"/>
    <w:rsid w:val="00730C29"/>
    <w:rsid w:val="00730D4B"/>
    <w:rsid w:val="00730F14"/>
    <w:rsid w:val="007312BD"/>
    <w:rsid w:val="007318BC"/>
    <w:rsid w:val="00731978"/>
    <w:rsid w:val="007323DD"/>
    <w:rsid w:val="00732657"/>
    <w:rsid w:val="00733375"/>
    <w:rsid w:val="007333F0"/>
    <w:rsid w:val="00733455"/>
    <w:rsid w:val="00733651"/>
    <w:rsid w:val="00733829"/>
    <w:rsid w:val="00733A66"/>
    <w:rsid w:val="00733F02"/>
    <w:rsid w:val="0073414B"/>
    <w:rsid w:val="007344EA"/>
    <w:rsid w:val="00734517"/>
    <w:rsid w:val="00734B62"/>
    <w:rsid w:val="00734C0C"/>
    <w:rsid w:val="00735BD6"/>
    <w:rsid w:val="00735C25"/>
    <w:rsid w:val="00735E97"/>
    <w:rsid w:val="00735F30"/>
    <w:rsid w:val="00735F5B"/>
    <w:rsid w:val="00736178"/>
    <w:rsid w:val="00736332"/>
    <w:rsid w:val="0073662A"/>
    <w:rsid w:val="007369C2"/>
    <w:rsid w:val="00736A26"/>
    <w:rsid w:val="00736A5C"/>
    <w:rsid w:val="007370FB"/>
    <w:rsid w:val="00737110"/>
    <w:rsid w:val="00737B62"/>
    <w:rsid w:val="00740241"/>
    <w:rsid w:val="007402DB"/>
    <w:rsid w:val="0074071F"/>
    <w:rsid w:val="00740879"/>
    <w:rsid w:val="00741349"/>
    <w:rsid w:val="00742350"/>
    <w:rsid w:val="0074290F"/>
    <w:rsid w:val="00742AE4"/>
    <w:rsid w:val="00742B11"/>
    <w:rsid w:val="00742BEB"/>
    <w:rsid w:val="00742F34"/>
    <w:rsid w:val="00743BBD"/>
    <w:rsid w:val="00743F0A"/>
    <w:rsid w:val="007445B5"/>
    <w:rsid w:val="0074476B"/>
    <w:rsid w:val="00744835"/>
    <w:rsid w:val="00744A6E"/>
    <w:rsid w:val="007454CD"/>
    <w:rsid w:val="007457F2"/>
    <w:rsid w:val="007467F4"/>
    <w:rsid w:val="007468B2"/>
    <w:rsid w:val="00746A42"/>
    <w:rsid w:val="00746B63"/>
    <w:rsid w:val="00746E55"/>
    <w:rsid w:val="00747884"/>
    <w:rsid w:val="0075033A"/>
    <w:rsid w:val="00750EAF"/>
    <w:rsid w:val="0075163D"/>
    <w:rsid w:val="00751AFB"/>
    <w:rsid w:val="00751CCC"/>
    <w:rsid w:val="0075281F"/>
    <w:rsid w:val="00752846"/>
    <w:rsid w:val="007528B1"/>
    <w:rsid w:val="00752C40"/>
    <w:rsid w:val="00753051"/>
    <w:rsid w:val="007532C2"/>
    <w:rsid w:val="007532DB"/>
    <w:rsid w:val="007535B9"/>
    <w:rsid w:val="0075360F"/>
    <w:rsid w:val="007538DD"/>
    <w:rsid w:val="007538E0"/>
    <w:rsid w:val="00753A3F"/>
    <w:rsid w:val="00753C62"/>
    <w:rsid w:val="00753FC0"/>
    <w:rsid w:val="00754543"/>
    <w:rsid w:val="00754851"/>
    <w:rsid w:val="007549F9"/>
    <w:rsid w:val="00754D5C"/>
    <w:rsid w:val="00754EE2"/>
    <w:rsid w:val="00754FD9"/>
    <w:rsid w:val="007551AB"/>
    <w:rsid w:val="00755248"/>
    <w:rsid w:val="00755392"/>
    <w:rsid w:val="007556B2"/>
    <w:rsid w:val="0075582D"/>
    <w:rsid w:val="0075592E"/>
    <w:rsid w:val="00755C8F"/>
    <w:rsid w:val="00755E1F"/>
    <w:rsid w:val="0075613F"/>
    <w:rsid w:val="00756429"/>
    <w:rsid w:val="0075644B"/>
    <w:rsid w:val="00756976"/>
    <w:rsid w:val="00756BAC"/>
    <w:rsid w:val="00756BD6"/>
    <w:rsid w:val="007570E7"/>
    <w:rsid w:val="00757132"/>
    <w:rsid w:val="00757453"/>
    <w:rsid w:val="007575DC"/>
    <w:rsid w:val="007576F9"/>
    <w:rsid w:val="0075794F"/>
    <w:rsid w:val="00757B9E"/>
    <w:rsid w:val="00757EDA"/>
    <w:rsid w:val="00757FDA"/>
    <w:rsid w:val="007606B3"/>
    <w:rsid w:val="007609C3"/>
    <w:rsid w:val="007614B1"/>
    <w:rsid w:val="00761542"/>
    <w:rsid w:val="007617B4"/>
    <w:rsid w:val="007618C3"/>
    <w:rsid w:val="00761AC8"/>
    <w:rsid w:val="007621CF"/>
    <w:rsid w:val="00762464"/>
    <w:rsid w:val="00762465"/>
    <w:rsid w:val="007627F1"/>
    <w:rsid w:val="007628A1"/>
    <w:rsid w:val="007628DA"/>
    <w:rsid w:val="00762937"/>
    <w:rsid w:val="00763094"/>
    <w:rsid w:val="00763102"/>
    <w:rsid w:val="0076336F"/>
    <w:rsid w:val="00763B49"/>
    <w:rsid w:val="00763BD8"/>
    <w:rsid w:val="00763C24"/>
    <w:rsid w:val="00763C89"/>
    <w:rsid w:val="00763D8B"/>
    <w:rsid w:val="00763FF4"/>
    <w:rsid w:val="00764231"/>
    <w:rsid w:val="00764925"/>
    <w:rsid w:val="00764BBE"/>
    <w:rsid w:val="00764BD1"/>
    <w:rsid w:val="00764C03"/>
    <w:rsid w:val="00764DFD"/>
    <w:rsid w:val="0076542D"/>
    <w:rsid w:val="00765568"/>
    <w:rsid w:val="00765604"/>
    <w:rsid w:val="00765689"/>
    <w:rsid w:val="00765AAF"/>
    <w:rsid w:val="00765B2C"/>
    <w:rsid w:val="00765CAA"/>
    <w:rsid w:val="0076621B"/>
    <w:rsid w:val="0076669D"/>
    <w:rsid w:val="00766891"/>
    <w:rsid w:val="00767322"/>
    <w:rsid w:val="0076781F"/>
    <w:rsid w:val="007678E0"/>
    <w:rsid w:val="00767B19"/>
    <w:rsid w:val="00767BD5"/>
    <w:rsid w:val="00767CB9"/>
    <w:rsid w:val="00767DE4"/>
    <w:rsid w:val="00770079"/>
    <w:rsid w:val="00770537"/>
    <w:rsid w:val="0077076B"/>
    <w:rsid w:val="00770797"/>
    <w:rsid w:val="00770AAF"/>
    <w:rsid w:val="007713E7"/>
    <w:rsid w:val="0077143C"/>
    <w:rsid w:val="00771780"/>
    <w:rsid w:val="00771A62"/>
    <w:rsid w:val="0077205A"/>
    <w:rsid w:val="007720F9"/>
    <w:rsid w:val="00772B9C"/>
    <w:rsid w:val="007732E9"/>
    <w:rsid w:val="007735E1"/>
    <w:rsid w:val="007739CE"/>
    <w:rsid w:val="00773D78"/>
    <w:rsid w:val="00773DFD"/>
    <w:rsid w:val="0077414D"/>
    <w:rsid w:val="0077453D"/>
    <w:rsid w:val="007747DE"/>
    <w:rsid w:val="00775283"/>
    <w:rsid w:val="00775C1B"/>
    <w:rsid w:val="00775C54"/>
    <w:rsid w:val="007760B5"/>
    <w:rsid w:val="00776B8D"/>
    <w:rsid w:val="00776C87"/>
    <w:rsid w:val="00776E3A"/>
    <w:rsid w:val="00777347"/>
    <w:rsid w:val="00777395"/>
    <w:rsid w:val="007773B4"/>
    <w:rsid w:val="00777599"/>
    <w:rsid w:val="007775EF"/>
    <w:rsid w:val="00777808"/>
    <w:rsid w:val="00777845"/>
    <w:rsid w:val="007801B7"/>
    <w:rsid w:val="0078047D"/>
    <w:rsid w:val="00780524"/>
    <w:rsid w:val="00780762"/>
    <w:rsid w:val="00780B83"/>
    <w:rsid w:val="00781109"/>
    <w:rsid w:val="007811BD"/>
    <w:rsid w:val="007813BC"/>
    <w:rsid w:val="00781871"/>
    <w:rsid w:val="00781BDB"/>
    <w:rsid w:val="0078204F"/>
    <w:rsid w:val="007821A2"/>
    <w:rsid w:val="00782323"/>
    <w:rsid w:val="00782364"/>
    <w:rsid w:val="0078256B"/>
    <w:rsid w:val="00782576"/>
    <w:rsid w:val="007831CB"/>
    <w:rsid w:val="007838D0"/>
    <w:rsid w:val="00783A4E"/>
    <w:rsid w:val="00784653"/>
    <w:rsid w:val="00784A66"/>
    <w:rsid w:val="00784AB5"/>
    <w:rsid w:val="00784BDA"/>
    <w:rsid w:val="00785B3B"/>
    <w:rsid w:val="00785BD1"/>
    <w:rsid w:val="00786118"/>
    <w:rsid w:val="0078665F"/>
    <w:rsid w:val="00786D20"/>
    <w:rsid w:val="0078716C"/>
    <w:rsid w:val="0078728E"/>
    <w:rsid w:val="007872D7"/>
    <w:rsid w:val="007874E4"/>
    <w:rsid w:val="00787875"/>
    <w:rsid w:val="0078790C"/>
    <w:rsid w:val="00787E88"/>
    <w:rsid w:val="007902F3"/>
    <w:rsid w:val="007907CC"/>
    <w:rsid w:val="0079098D"/>
    <w:rsid w:val="00790A2E"/>
    <w:rsid w:val="00790F41"/>
    <w:rsid w:val="00791268"/>
    <w:rsid w:val="007912BA"/>
    <w:rsid w:val="00791468"/>
    <w:rsid w:val="00791FF2"/>
    <w:rsid w:val="00792137"/>
    <w:rsid w:val="00792356"/>
    <w:rsid w:val="007928B7"/>
    <w:rsid w:val="00792AD3"/>
    <w:rsid w:val="00792BB8"/>
    <w:rsid w:val="00793AD7"/>
    <w:rsid w:val="00793D8E"/>
    <w:rsid w:val="00793E54"/>
    <w:rsid w:val="00793EFB"/>
    <w:rsid w:val="00793FD7"/>
    <w:rsid w:val="007941FE"/>
    <w:rsid w:val="00794431"/>
    <w:rsid w:val="007946E6"/>
    <w:rsid w:val="00794A07"/>
    <w:rsid w:val="00794B68"/>
    <w:rsid w:val="00794D25"/>
    <w:rsid w:val="007951B3"/>
    <w:rsid w:val="007951D2"/>
    <w:rsid w:val="007957B5"/>
    <w:rsid w:val="0079581E"/>
    <w:rsid w:val="0079588F"/>
    <w:rsid w:val="00795960"/>
    <w:rsid w:val="00795C6E"/>
    <w:rsid w:val="00795C9B"/>
    <w:rsid w:val="007963EB"/>
    <w:rsid w:val="00796471"/>
    <w:rsid w:val="0079652D"/>
    <w:rsid w:val="0079657B"/>
    <w:rsid w:val="00796894"/>
    <w:rsid w:val="00796ACA"/>
    <w:rsid w:val="0079721C"/>
    <w:rsid w:val="00797429"/>
    <w:rsid w:val="00797459"/>
    <w:rsid w:val="0079754B"/>
    <w:rsid w:val="0079776A"/>
    <w:rsid w:val="00797827"/>
    <w:rsid w:val="00797DD0"/>
    <w:rsid w:val="00797F98"/>
    <w:rsid w:val="007A016D"/>
    <w:rsid w:val="007A0380"/>
    <w:rsid w:val="007A06B2"/>
    <w:rsid w:val="007A090B"/>
    <w:rsid w:val="007A0912"/>
    <w:rsid w:val="007A1248"/>
    <w:rsid w:val="007A1AF8"/>
    <w:rsid w:val="007A1C85"/>
    <w:rsid w:val="007A1E67"/>
    <w:rsid w:val="007A20DF"/>
    <w:rsid w:val="007A2434"/>
    <w:rsid w:val="007A245C"/>
    <w:rsid w:val="007A29C5"/>
    <w:rsid w:val="007A383B"/>
    <w:rsid w:val="007A3871"/>
    <w:rsid w:val="007A3A60"/>
    <w:rsid w:val="007A3A7B"/>
    <w:rsid w:val="007A3BC0"/>
    <w:rsid w:val="007A4622"/>
    <w:rsid w:val="007A48AB"/>
    <w:rsid w:val="007A4BDA"/>
    <w:rsid w:val="007A4D8C"/>
    <w:rsid w:val="007A5053"/>
    <w:rsid w:val="007A5101"/>
    <w:rsid w:val="007A5178"/>
    <w:rsid w:val="007A52C3"/>
    <w:rsid w:val="007A54B9"/>
    <w:rsid w:val="007A5876"/>
    <w:rsid w:val="007A5A7F"/>
    <w:rsid w:val="007A5FFA"/>
    <w:rsid w:val="007A6117"/>
    <w:rsid w:val="007A6230"/>
    <w:rsid w:val="007A6243"/>
    <w:rsid w:val="007A6269"/>
    <w:rsid w:val="007A6458"/>
    <w:rsid w:val="007A6669"/>
    <w:rsid w:val="007A6BF6"/>
    <w:rsid w:val="007A6CBB"/>
    <w:rsid w:val="007A6DDA"/>
    <w:rsid w:val="007A6E61"/>
    <w:rsid w:val="007A7437"/>
    <w:rsid w:val="007A77DA"/>
    <w:rsid w:val="007A7FAA"/>
    <w:rsid w:val="007B00F5"/>
    <w:rsid w:val="007B054A"/>
    <w:rsid w:val="007B054F"/>
    <w:rsid w:val="007B0E10"/>
    <w:rsid w:val="007B1453"/>
    <w:rsid w:val="007B19FD"/>
    <w:rsid w:val="007B1CE5"/>
    <w:rsid w:val="007B1E8E"/>
    <w:rsid w:val="007B216B"/>
    <w:rsid w:val="007B253D"/>
    <w:rsid w:val="007B2568"/>
    <w:rsid w:val="007B29C8"/>
    <w:rsid w:val="007B34B4"/>
    <w:rsid w:val="007B3923"/>
    <w:rsid w:val="007B3B02"/>
    <w:rsid w:val="007B3CCE"/>
    <w:rsid w:val="007B3E3C"/>
    <w:rsid w:val="007B3F4C"/>
    <w:rsid w:val="007B3F78"/>
    <w:rsid w:val="007B417E"/>
    <w:rsid w:val="007B4411"/>
    <w:rsid w:val="007B478A"/>
    <w:rsid w:val="007B4B4A"/>
    <w:rsid w:val="007B4B8D"/>
    <w:rsid w:val="007B4E43"/>
    <w:rsid w:val="007B4F8A"/>
    <w:rsid w:val="007B55FA"/>
    <w:rsid w:val="007B57DD"/>
    <w:rsid w:val="007B57FD"/>
    <w:rsid w:val="007B5882"/>
    <w:rsid w:val="007B5C4D"/>
    <w:rsid w:val="007B668C"/>
    <w:rsid w:val="007B6B67"/>
    <w:rsid w:val="007B6D79"/>
    <w:rsid w:val="007B6E4F"/>
    <w:rsid w:val="007B6F4A"/>
    <w:rsid w:val="007B7565"/>
    <w:rsid w:val="007B760E"/>
    <w:rsid w:val="007B76BC"/>
    <w:rsid w:val="007B7791"/>
    <w:rsid w:val="007C02AB"/>
    <w:rsid w:val="007C04D7"/>
    <w:rsid w:val="007C0534"/>
    <w:rsid w:val="007C079B"/>
    <w:rsid w:val="007C083B"/>
    <w:rsid w:val="007C086C"/>
    <w:rsid w:val="007C097A"/>
    <w:rsid w:val="007C0E6C"/>
    <w:rsid w:val="007C10B6"/>
    <w:rsid w:val="007C11B1"/>
    <w:rsid w:val="007C138B"/>
    <w:rsid w:val="007C14A3"/>
    <w:rsid w:val="007C1C17"/>
    <w:rsid w:val="007C1E4F"/>
    <w:rsid w:val="007C2016"/>
    <w:rsid w:val="007C20E4"/>
    <w:rsid w:val="007C2185"/>
    <w:rsid w:val="007C27D3"/>
    <w:rsid w:val="007C2B38"/>
    <w:rsid w:val="007C2B93"/>
    <w:rsid w:val="007C2C05"/>
    <w:rsid w:val="007C38C3"/>
    <w:rsid w:val="007C3DE2"/>
    <w:rsid w:val="007C4063"/>
    <w:rsid w:val="007C40C5"/>
    <w:rsid w:val="007C44C9"/>
    <w:rsid w:val="007C4610"/>
    <w:rsid w:val="007C4A65"/>
    <w:rsid w:val="007C50BB"/>
    <w:rsid w:val="007C51DA"/>
    <w:rsid w:val="007C5696"/>
    <w:rsid w:val="007C5698"/>
    <w:rsid w:val="007C5706"/>
    <w:rsid w:val="007C570E"/>
    <w:rsid w:val="007C5C8B"/>
    <w:rsid w:val="007C60B0"/>
    <w:rsid w:val="007C63CC"/>
    <w:rsid w:val="007C68AE"/>
    <w:rsid w:val="007C7E4C"/>
    <w:rsid w:val="007C7EBA"/>
    <w:rsid w:val="007C7EE4"/>
    <w:rsid w:val="007D051F"/>
    <w:rsid w:val="007D11FD"/>
    <w:rsid w:val="007D12BA"/>
    <w:rsid w:val="007D1376"/>
    <w:rsid w:val="007D15F8"/>
    <w:rsid w:val="007D1CA7"/>
    <w:rsid w:val="007D20F4"/>
    <w:rsid w:val="007D2361"/>
    <w:rsid w:val="007D23BB"/>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BE2"/>
    <w:rsid w:val="007D7E75"/>
    <w:rsid w:val="007E0369"/>
    <w:rsid w:val="007E04FC"/>
    <w:rsid w:val="007E05B1"/>
    <w:rsid w:val="007E09D0"/>
    <w:rsid w:val="007E0A9D"/>
    <w:rsid w:val="007E0ADC"/>
    <w:rsid w:val="007E0F25"/>
    <w:rsid w:val="007E1216"/>
    <w:rsid w:val="007E123F"/>
    <w:rsid w:val="007E1635"/>
    <w:rsid w:val="007E19D6"/>
    <w:rsid w:val="007E1C7C"/>
    <w:rsid w:val="007E223C"/>
    <w:rsid w:val="007E22AE"/>
    <w:rsid w:val="007E29FA"/>
    <w:rsid w:val="007E2A56"/>
    <w:rsid w:val="007E2B39"/>
    <w:rsid w:val="007E2FDD"/>
    <w:rsid w:val="007E3AA3"/>
    <w:rsid w:val="007E40F4"/>
    <w:rsid w:val="007E41D6"/>
    <w:rsid w:val="007E4551"/>
    <w:rsid w:val="007E4676"/>
    <w:rsid w:val="007E4A50"/>
    <w:rsid w:val="007E517E"/>
    <w:rsid w:val="007E5346"/>
    <w:rsid w:val="007E61A6"/>
    <w:rsid w:val="007E628F"/>
    <w:rsid w:val="007E62CE"/>
    <w:rsid w:val="007E645B"/>
    <w:rsid w:val="007E6756"/>
    <w:rsid w:val="007E6BA5"/>
    <w:rsid w:val="007E6FD8"/>
    <w:rsid w:val="007E7741"/>
    <w:rsid w:val="007E7A77"/>
    <w:rsid w:val="007E7D5B"/>
    <w:rsid w:val="007E7F4F"/>
    <w:rsid w:val="007F001D"/>
    <w:rsid w:val="007F0570"/>
    <w:rsid w:val="007F0690"/>
    <w:rsid w:val="007F0AAB"/>
    <w:rsid w:val="007F0B38"/>
    <w:rsid w:val="007F0DC9"/>
    <w:rsid w:val="007F0E41"/>
    <w:rsid w:val="007F1693"/>
    <w:rsid w:val="007F176C"/>
    <w:rsid w:val="007F1B6C"/>
    <w:rsid w:val="007F1BBE"/>
    <w:rsid w:val="007F1D3B"/>
    <w:rsid w:val="007F2305"/>
    <w:rsid w:val="007F2991"/>
    <w:rsid w:val="007F2B25"/>
    <w:rsid w:val="007F3203"/>
    <w:rsid w:val="007F37F1"/>
    <w:rsid w:val="007F3995"/>
    <w:rsid w:val="007F4484"/>
    <w:rsid w:val="007F46F0"/>
    <w:rsid w:val="007F4BCB"/>
    <w:rsid w:val="007F4D04"/>
    <w:rsid w:val="007F4FE7"/>
    <w:rsid w:val="007F50FE"/>
    <w:rsid w:val="007F56B8"/>
    <w:rsid w:val="007F5715"/>
    <w:rsid w:val="007F574B"/>
    <w:rsid w:val="007F5B2A"/>
    <w:rsid w:val="007F5B86"/>
    <w:rsid w:val="007F5C63"/>
    <w:rsid w:val="007F5F8B"/>
    <w:rsid w:val="007F6423"/>
    <w:rsid w:val="007F652F"/>
    <w:rsid w:val="007F667B"/>
    <w:rsid w:val="007F695D"/>
    <w:rsid w:val="007F6B35"/>
    <w:rsid w:val="007F6F02"/>
    <w:rsid w:val="007F7271"/>
    <w:rsid w:val="007F74C9"/>
    <w:rsid w:val="007F7A7D"/>
    <w:rsid w:val="007F7C85"/>
    <w:rsid w:val="008004E4"/>
    <w:rsid w:val="0080052B"/>
    <w:rsid w:val="008008DE"/>
    <w:rsid w:val="00800A77"/>
    <w:rsid w:val="008011C0"/>
    <w:rsid w:val="008011F4"/>
    <w:rsid w:val="008012BE"/>
    <w:rsid w:val="00801DD8"/>
    <w:rsid w:val="00801FA9"/>
    <w:rsid w:val="00802207"/>
    <w:rsid w:val="0080280B"/>
    <w:rsid w:val="00802986"/>
    <w:rsid w:val="00802B0C"/>
    <w:rsid w:val="00802B16"/>
    <w:rsid w:val="008030D4"/>
    <w:rsid w:val="00803647"/>
    <w:rsid w:val="008038BA"/>
    <w:rsid w:val="00803B10"/>
    <w:rsid w:val="00804184"/>
    <w:rsid w:val="00804326"/>
    <w:rsid w:val="0080467C"/>
    <w:rsid w:val="008048AA"/>
    <w:rsid w:val="008056C4"/>
    <w:rsid w:val="00806163"/>
    <w:rsid w:val="00806477"/>
    <w:rsid w:val="008064C5"/>
    <w:rsid w:val="00806C19"/>
    <w:rsid w:val="00807176"/>
    <w:rsid w:val="008071DB"/>
    <w:rsid w:val="0080751E"/>
    <w:rsid w:val="00807889"/>
    <w:rsid w:val="008100A7"/>
    <w:rsid w:val="0081043E"/>
    <w:rsid w:val="00810C3C"/>
    <w:rsid w:val="00810CE7"/>
    <w:rsid w:val="00811409"/>
    <w:rsid w:val="00811415"/>
    <w:rsid w:val="008116ED"/>
    <w:rsid w:val="00811ED4"/>
    <w:rsid w:val="0081207C"/>
    <w:rsid w:val="00812170"/>
    <w:rsid w:val="00812389"/>
    <w:rsid w:val="00812C42"/>
    <w:rsid w:val="00812E9F"/>
    <w:rsid w:val="00813134"/>
    <w:rsid w:val="008134A6"/>
    <w:rsid w:val="00813BED"/>
    <w:rsid w:val="00813E7B"/>
    <w:rsid w:val="00813FD4"/>
    <w:rsid w:val="0081409B"/>
    <w:rsid w:val="008145C8"/>
    <w:rsid w:val="008146FB"/>
    <w:rsid w:val="00814874"/>
    <w:rsid w:val="008149C0"/>
    <w:rsid w:val="00814E9F"/>
    <w:rsid w:val="008153B5"/>
    <w:rsid w:val="00815759"/>
    <w:rsid w:val="0081578D"/>
    <w:rsid w:val="00815BB1"/>
    <w:rsid w:val="00815BC9"/>
    <w:rsid w:val="00816249"/>
    <w:rsid w:val="00816773"/>
    <w:rsid w:val="008168BB"/>
    <w:rsid w:val="0081691B"/>
    <w:rsid w:val="008171B8"/>
    <w:rsid w:val="008177D8"/>
    <w:rsid w:val="00817F79"/>
    <w:rsid w:val="0082032B"/>
    <w:rsid w:val="00820496"/>
    <w:rsid w:val="0082054E"/>
    <w:rsid w:val="008207C9"/>
    <w:rsid w:val="00820E0E"/>
    <w:rsid w:val="00821195"/>
    <w:rsid w:val="008213E7"/>
    <w:rsid w:val="0082151A"/>
    <w:rsid w:val="008215F2"/>
    <w:rsid w:val="00821B1E"/>
    <w:rsid w:val="00821F77"/>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E97"/>
    <w:rsid w:val="00823F27"/>
    <w:rsid w:val="008240DB"/>
    <w:rsid w:val="0082435A"/>
    <w:rsid w:val="008249E2"/>
    <w:rsid w:val="00824C75"/>
    <w:rsid w:val="00824E16"/>
    <w:rsid w:val="00825030"/>
    <w:rsid w:val="008250E6"/>
    <w:rsid w:val="0082593B"/>
    <w:rsid w:val="00825DAD"/>
    <w:rsid w:val="00825DB8"/>
    <w:rsid w:val="00825E5C"/>
    <w:rsid w:val="00825FC1"/>
    <w:rsid w:val="00826003"/>
    <w:rsid w:val="008260BB"/>
    <w:rsid w:val="0082620B"/>
    <w:rsid w:val="0082629E"/>
    <w:rsid w:val="00826792"/>
    <w:rsid w:val="00826B3F"/>
    <w:rsid w:val="00827185"/>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8BC"/>
    <w:rsid w:val="0083690A"/>
    <w:rsid w:val="00836C74"/>
    <w:rsid w:val="008372AB"/>
    <w:rsid w:val="00837326"/>
    <w:rsid w:val="00837750"/>
    <w:rsid w:val="00837F7A"/>
    <w:rsid w:val="008407F6"/>
    <w:rsid w:val="0084082C"/>
    <w:rsid w:val="0084091E"/>
    <w:rsid w:val="0084094A"/>
    <w:rsid w:val="00840D3C"/>
    <w:rsid w:val="00840DBF"/>
    <w:rsid w:val="00840EF8"/>
    <w:rsid w:val="00841302"/>
    <w:rsid w:val="008413D9"/>
    <w:rsid w:val="0084211D"/>
    <w:rsid w:val="0084248F"/>
    <w:rsid w:val="00842663"/>
    <w:rsid w:val="00842800"/>
    <w:rsid w:val="00842AC5"/>
    <w:rsid w:val="00842E84"/>
    <w:rsid w:val="0084366A"/>
    <w:rsid w:val="0084475B"/>
    <w:rsid w:val="00844B53"/>
    <w:rsid w:val="008453C7"/>
    <w:rsid w:val="008464B0"/>
    <w:rsid w:val="0084659E"/>
    <w:rsid w:val="008466AF"/>
    <w:rsid w:val="00846BE4"/>
    <w:rsid w:val="00846D02"/>
    <w:rsid w:val="0084752E"/>
    <w:rsid w:val="008475A6"/>
    <w:rsid w:val="0084766A"/>
    <w:rsid w:val="008479D3"/>
    <w:rsid w:val="00847EA3"/>
    <w:rsid w:val="00850149"/>
    <w:rsid w:val="00850291"/>
    <w:rsid w:val="008503C0"/>
    <w:rsid w:val="00850926"/>
    <w:rsid w:val="00851248"/>
    <w:rsid w:val="0085138F"/>
    <w:rsid w:val="00851B3B"/>
    <w:rsid w:val="00852686"/>
    <w:rsid w:val="008526FA"/>
    <w:rsid w:val="008529D3"/>
    <w:rsid w:val="00852D80"/>
    <w:rsid w:val="00852E59"/>
    <w:rsid w:val="00853E24"/>
    <w:rsid w:val="00854071"/>
    <w:rsid w:val="008543EE"/>
    <w:rsid w:val="00854AAA"/>
    <w:rsid w:val="00854CD3"/>
    <w:rsid w:val="00854E52"/>
    <w:rsid w:val="00855038"/>
    <w:rsid w:val="0085531F"/>
    <w:rsid w:val="0085551E"/>
    <w:rsid w:val="00855805"/>
    <w:rsid w:val="008559B5"/>
    <w:rsid w:val="00855C68"/>
    <w:rsid w:val="00855E9E"/>
    <w:rsid w:val="00856094"/>
    <w:rsid w:val="008560AA"/>
    <w:rsid w:val="008561A1"/>
    <w:rsid w:val="008563C6"/>
    <w:rsid w:val="008564B8"/>
    <w:rsid w:val="00856871"/>
    <w:rsid w:val="00856908"/>
    <w:rsid w:val="00857206"/>
    <w:rsid w:val="008572CC"/>
    <w:rsid w:val="0085757B"/>
    <w:rsid w:val="008575B5"/>
    <w:rsid w:val="008578AC"/>
    <w:rsid w:val="00860462"/>
    <w:rsid w:val="008605C7"/>
    <w:rsid w:val="00860A4E"/>
    <w:rsid w:val="00860B77"/>
    <w:rsid w:val="00860E4D"/>
    <w:rsid w:val="00860ED2"/>
    <w:rsid w:val="0086109A"/>
    <w:rsid w:val="0086137E"/>
    <w:rsid w:val="008617DA"/>
    <w:rsid w:val="008618EE"/>
    <w:rsid w:val="00861A92"/>
    <w:rsid w:val="00861C4A"/>
    <w:rsid w:val="00861C8C"/>
    <w:rsid w:val="00861CF7"/>
    <w:rsid w:val="00861DC6"/>
    <w:rsid w:val="00861F15"/>
    <w:rsid w:val="00861FD8"/>
    <w:rsid w:val="00862238"/>
    <w:rsid w:val="00862760"/>
    <w:rsid w:val="00862925"/>
    <w:rsid w:val="008629EA"/>
    <w:rsid w:val="00862BE5"/>
    <w:rsid w:val="008633D1"/>
    <w:rsid w:val="008637CA"/>
    <w:rsid w:val="00863A1F"/>
    <w:rsid w:val="00863D3D"/>
    <w:rsid w:val="00863DCB"/>
    <w:rsid w:val="00864121"/>
    <w:rsid w:val="008643CD"/>
    <w:rsid w:val="0086455C"/>
    <w:rsid w:val="00864882"/>
    <w:rsid w:val="00864B1E"/>
    <w:rsid w:val="00864E00"/>
    <w:rsid w:val="008653C0"/>
    <w:rsid w:val="0086560B"/>
    <w:rsid w:val="00866389"/>
    <w:rsid w:val="0086669D"/>
    <w:rsid w:val="00866BB5"/>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A36"/>
    <w:rsid w:val="00871C2F"/>
    <w:rsid w:val="00871E7C"/>
    <w:rsid w:val="008728AB"/>
    <w:rsid w:val="008728C5"/>
    <w:rsid w:val="00872A98"/>
    <w:rsid w:val="00873078"/>
    <w:rsid w:val="0087351E"/>
    <w:rsid w:val="0087391C"/>
    <w:rsid w:val="00873BEA"/>
    <w:rsid w:val="00873CE9"/>
    <w:rsid w:val="00873EFE"/>
    <w:rsid w:val="0087416D"/>
    <w:rsid w:val="00874364"/>
    <w:rsid w:val="008745BC"/>
    <w:rsid w:val="008748C8"/>
    <w:rsid w:val="008749D6"/>
    <w:rsid w:val="00874A5E"/>
    <w:rsid w:val="00874CA8"/>
    <w:rsid w:val="00874EA3"/>
    <w:rsid w:val="00874F5C"/>
    <w:rsid w:val="00874FA2"/>
    <w:rsid w:val="00875003"/>
    <w:rsid w:val="0087503F"/>
    <w:rsid w:val="00875431"/>
    <w:rsid w:val="00876005"/>
    <w:rsid w:val="00876312"/>
    <w:rsid w:val="00876780"/>
    <w:rsid w:val="00876F92"/>
    <w:rsid w:val="0087736B"/>
    <w:rsid w:val="00877723"/>
    <w:rsid w:val="00877E24"/>
    <w:rsid w:val="00877F7F"/>
    <w:rsid w:val="00877F92"/>
    <w:rsid w:val="008805A0"/>
    <w:rsid w:val="008810DD"/>
    <w:rsid w:val="008816CE"/>
    <w:rsid w:val="008816FB"/>
    <w:rsid w:val="00881C10"/>
    <w:rsid w:val="00881E44"/>
    <w:rsid w:val="00881E9A"/>
    <w:rsid w:val="008822AF"/>
    <w:rsid w:val="00882316"/>
    <w:rsid w:val="008823B2"/>
    <w:rsid w:val="00882417"/>
    <w:rsid w:val="008826C3"/>
    <w:rsid w:val="00882854"/>
    <w:rsid w:val="00882CA6"/>
    <w:rsid w:val="00882FB9"/>
    <w:rsid w:val="0088313C"/>
    <w:rsid w:val="00883578"/>
    <w:rsid w:val="00883CB6"/>
    <w:rsid w:val="00883CE1"/>
    <w:rsid w:val="0088412A"/>
    <w:rsid w:val="00884411"/>
    <w:rsid w:val="008847A2"/>
    <w:rsid w:val="008849AA"/>
    <w:rsid w:val="00884D37"/>
    <w:rsid w:val="00885170"/>
    <w:rsid w:val="0088526F"/>
    <w:rsid w:val="00885666"/>
    <w:rsid w:val="0088606B"/>
    <w:rsid w:val="008861FD"/>
    <w:rsid w:val="008864A2"/>
    <w:rsid w:val="0088692F"/>
    <w:rsid w:val="0088695F"/>
    <w:rsid w:val="008869C4"/>
    <w:rsid w:val="00886CC9"/>
    <w:rsid w:val="008870D5"/>
    <w:rsid w:val="008877E7"/>
    <w:rsid w:val="00887889"/>
    <w:rsid w:val="008878DB"/>
    <w:rsid w:val="00887928"/>
    <w:rsid w:val="00887E26"/>
    <w:rsid w:val="0089002D"/>
    <w:rsid w:val="00890569"/>
    <w:rsid w:val="00890C31"/>
    <w:rsid w:val="00890D19"/>
    <w:rsid w:val="008918D5"/>
    <w:rsid w:val="0089192D"/>
    <w:rsid w:val="00891CAD"/>
    <w:rsid w:val="00891D54"/>
    <w:rsid w:val="00891FAB"/>
    <w:rsid w:val="00892162"/>
    <w:rsid w:val="008921EB"/>
    <w:rsid w:val="0089266D"/>
    <w:rsid w:val="008927E9"/>
    <w:rsid w:val="00892AA3"/>
    <w:rsid w:val="00893081"/>
    <w:rsid w:val="0089311F"/>
    <w:rsid w:val="008937E7"/>
    <w:rsid w:val="00893AAC"/>
    <w:rsid w:val="008941C5"/>
    <w:rsid w:val="0089461C"/>
    <w:rsid w:val="00894729"/>
    <w:rsid w:val="008948E6"/>
    <w:rsid w:val="00894FFE"/>
    <w:rsid w:val="008951AA"/>
    <w:rsid w:val="00895492"/>
    <w:rsid w:val="00895658"/>
    <w:rsid w:val="0089567E"/>
    <w:rsid w:val="0089604C"/>
    <w:rsid w:val="00896485"/>
    <w:rsid w:val="00896921"/>
    <w:rsid w:val="00896B04"/>
    <w:rsid w:val="00896CC0"/>
    <w:rsid w:val="00896DA5"/>
    <w:rsid w:val="00896EA5"/>
    <w:rsid w:val="00897291"/>
    <w:rsid w:val="008978C0"/>
    <w:rsid w:val="008979CE"/>
    <w:rsid w:val="00897B88"/>
    <w:rsid w:val="00897CBB"/>
    <w:rsid w:val="00897D58"/>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1C7C"/>
    <w:rsid w:val="008A2AB9"/>
    <w:rsid w:val="008A2AF6"/>
    <w:rsid w:val="008A329C"/>
    <w:rsid w:val="008A3433"/>
    <w:rsid w:val="008A362F"/>
    <w:rsid w:val="008A3C30"/>
    <w:rsid w:val="008A3DEB"/>
    <w:rsid w:val="008A4124"/>
    <w:rsid w:val="008A417D"/>
    <w:rsid w:val="008A4770"/>
    <w:rsid w:val="008A4E26"/>
    <w:rsid w:val="008A4EDC"/>
    <w:rsid w:val="008A5333"/>
    <w:rsid w:val="008A539F"/>
    <w:rsid w:val="008A56AB"/>
    <w:rsid w:val="008A58A2"/>
    <w:rsid w:val="008A5944"/>
    <w:rsid w:val="008A61BD"/>
    <w:rsid w:val="008A689B"/>
    <w:rsid w:val="008A6BD9"/>
    <w:rsid w:val="008A6D39"/>
    <w:rsid w:val="008A6F4F"/>
    <w:rsid w:val="008A7648"/>
    <w:rsid w:val="008B086D"/>
    <w:rsid w:val="008B0B04"/>
    <w:rsid w:val="008B0BAF"/>
    <w:rsid w:val="008B0C1D"/>
    <w:rsid w:val="008B106E"/>
    <w:rsid w:val="008B15A1"/>
    <w:rsid w:val="008B1721"/>
    <w:rsid w:val="008B17A9"/>
    <w:rsid w:val="008B22BA"/>
    <w:rsid w:val="008B2503"/>
    <w:rsid w:val="008B2505"/>
    <w:rsid w:val="008B2592"/>
    <w:rsid w:val="008B27CF"/>
    <w:rsid w:val="008B2922"/>
    <w:rsid w:val="008B2C4C"/>
    <w:rsid w:val="008B2E5E"/>
    <w:rsid w:val="008B366F"/>
    <w:rsid w:val="008B3681"/>
    <w:rsid w:val="008B3896"/>
    <w:rsid w:val="008B3C32"/>
    <w:rsid w:val="008B3D88"/>
    <w:rsid w:val="008B456E"/>
    <w:rsid w:val="008B4704"/>
    <w:rsid w:val="008B48B6"/>
    <w:rsid w:val="008B48F4"/>
    <w:rsid w:val="008B491B"/>
    <w:rsid w:val="008B4C18"/>
    <w:rsid w:val="008B4C5A"/>
    <w:rsid w:val="008B4E97"/>
    <w:rsid w:val="008B5055"/>
    <w:rsid w:val="008B5254"/>
    <w:rsid w:val="008B5263"/>
    <w:rsid w:val="008B5B91"/>
    <w:rsid w:val="008B602A"/>
    <w:rsid w:val="008B60E0"/>
    <w:rsid w:val="008B615C"/>
    <w:rsid w:val="008B61BB"/>
    <w:rsid w:val="008B64EF"/>
    <w:rsid w:val="008B66AE"/>
    <w:rsid w:val="008B675D"/>
    <w:rsid w:val="008B6829"/>
    <w:rsid w:val="008B6B9D"/>
    <w:rsid w:val="008B73B6"/>
    <w:rsid w:val="008B7A15"/>
    <w:rsid w:val="008B7A3B"/>
    <w:rsid w:val="008C0141"/>
    <w:rsid w:val="008C021F"/>
    <w:rsid w:val="008C0A71"/>
    <w:rsid w:val="008C0C78"/>
    <w:rsid w:val="008C0F2E"/>
    <w:rsid w:val="008C14DB"/>
    <w:rsid w:val="008C1535"/>
    <w:rsid w:val="008C1952"/>
    <w:rsid w:val="008C1C67"/>
    <w:rsid w:val="008C2407"/>
    <w:rsid w:val="008C268A"/>
    <w:rsid w:val="008C2699"/>
    <w:rsid w:val="008C2D60"/>
    <w:rsid w:val="008C3138"/>
    <w:rsid w:val="008C3348"/>
    <w:rsid w:val="008C360C"/>
    <w:rsid w:val="008C3771"/>
    <w:rsid w:val="008C3D13"/>
    <w:rsid w:val="008C47AF"/>
    <w:rsid w:val="008C4AD9"/>
    <w:rsid w:val="008C5188"/>
    <w:rsid w:val="008C57A1"/>
    <w:rsid w:val="008C57CD"/>
    <w:rsid w:val="008C5C64"/>
    <w:rsid w:val="008C5CD2"/>
    <w:rsid w:val="008C617C"/>
    <w:rsid w:val="008C6B86"/>
    <w:rsid w:val="008C6E70"/>
    <w:rsid w:val="008C73C3"/>
    <w:rsid w:val="008C7618"/>
    <w:rsid w:val="008C7742"/>
    <w:rsid w:val="008C7B96"/>
    <w:rsid w:val="008C7C72"/>
    <w:rsid w:val="008D0661"/>
    <w:rsid w:val="008D071A"/>
    <w:rsid w:val="008D094E"/>
    <w:rsid w:val="008D0E58"/>
    <w:rsid w:val="008D1473"/>
    <w:rsid w:val="008D1D90"/>
    <w:rsid w:val="008D1DBC"/>
    <w:rsid w:val="008D1DC1"/>
    <w:rsid w:val="008D26AC"/>
    <w:rsid w:val="008D2BB8"/>
    <w:rsid w:val="008D2DF4"/>
    <w:rsid w:val="008D32D9"/>
    <w:rsid w:val="008D33BE"/>
    <w:rsid w:val="008D3624"/>
    <w:rsid w:val="008D368A"/>
    <w:rsid w:val="008D396F"/>
    <w:rsid w:val="008D3A2C"/>
    <w:rsid w:val="008D3C50"/>
    <w:rsid w:val="008D3CED"/>
    <w:rsid w:val="008D3D58"/>
    <w:rsid w:val="008D4106"/>
    <w:rsid w:val="008D4138"/>
    <w:rsid w:val="008D421D"/>
    <w:rsid w:val="008D4B83"/>
    <w:rsid w:val="008D4CBE"/>
    <w:rsid w:val="008D4F40"/>
    <w:rsid w:val="008D5131"/>
    <w:rsid w:val="008D53FA"/>
    <w:rsid w:val="008D5A2B"/>
    <w:rsid w:val="008D60A8"/>
    <w:rsid w:val="008D6656"/>
    <w:rsid w:val="008D6972"/>
    <w:rsid w:val="008D6A58"/>
    <w:rsid w:val="008D6D71"/>
    <w:rsid w:val="008D6DF8"/>
    <w:rsid w:val="008D6EBB"/>
    <w:rsid w:val="008D786D"/>
    <w:rsid w:val="008D7E4E"/>
    <w:rsid w:val="008D7F6D"/>
    <w:rsid w:val="008E0190"/>
    <w:rsid w:val="008E05E1"/>
    <w:rsid w:val="008E06BA"/>
    <w:rsid w:val="008E0B1B"/>
    <w:rsid w:val="008E11BB"/>
    <w:rsid w:val="008E19ED"/>
    <w:rsid w:val="008E1A61"/>
    <w:rsid w:val="008E1B05"/>
    <w:rsid w:val="008E1C00"/>
    <w:rsid w:val="008E2295"/>
    <w:rsid w:val="008E2975"/>
    <w:rsid w:val="008E2C0F"/>
    <w:rsid w:val="008E3100"/>
    <w:rsid w:val="008E32D7"/>
    <w:rsid w:val="008E3385"/>
    <w:rsid w:val="008E338D"/>
    <w:rsid w:val="008E38AF"/>
    <w:rsid w:val="008E4339"/>
    <w:rsid w:val="008E465B"/>
    <w:rsid w:val="008E4E25"/>
    <w:rsid w:val="008E4FA3"/>
    <w:rsid w:val="008E558C"/>
    <w:rsid w:val="008E581E"/>
    <w:rsid w:val="008E5821"/>
    <w:rsid w:val="008E5D63"/>
    <w:rsid w:val="008E615B"/>
    <w:rsid w:val="008E61EA"/>
    <w:rsid w:val="008E7180"/>
    <w:rsid w:val="008E7250"/>
    <w:rsid w:val="008E73F4"/>
    <w:rsid w:val="008E76ED"/>
    <w:rsid w:val="008E7753"/>
    <w:rsid w:val="008F0929"/>
    <w:rsid w:val="008F0F5B"/>
    <w:rsid w:val="008F1369"/>
    <w:rsid w:val="008F1BC9"/>
    <w:rsid w:val="008F2115"/>
    <w:rsid w:val="008F21A7"/>
    <w:rsid w:val="008F24D7"/>
    <w:rsid w:val="008F2622"/>
    <w:rsid w:val="008F2EBC"/>
    <w:rsid w:val="008F2F3C"/>
    <w:rsid w:val="008F32ED"/>
    <w:rsid w:val="008F33AD"/>
    <w:rsid w:val="008F3752"/>
    <w:rsid w:val="008F3F50"/>
    <w:rsid w:val="008F43BD"/>
    <w:rsid w:val="008F4828"/>
    <w:rsid w:val="008F4A0E"/>
    <w:rsid w:val="008F4EAD"/>
    <w:rsid w:val="008F511C"/>
    <w:rsid w:val="008F52E9"/>
    <w:rsid w:val="008F5376"/>
    <w:rsid w:val="008F559B"/>
    <w:rsid w:val="008F58D1"/>
    <w:rsid w:val="008F5DB5"/>
    <w:rsid w:val="008F5DEF"/>
    <w:rsid w:val="008F5EC3"/>
    <w:rsid w:val="008F5F5A"/>
    <w:rsid w:val="008F619F"/>
    <w:rsid w:val="008F6C5E"/>
    <w:rsid w:val="008F6D85"/>
    <w:rsid w:val="008F6E63"/>
    <w:rsid w:val="008F72F0"/>
    <w:rsid w:val="008F77C3"/>
    <w:rsid w:val="008F7913"/>
    <w:rsid w:val="008F7B7F"/>
    <w:rsid w:val="008F7E9F"/>
    <w:rsid w:val="008F7EC4"/>
    <w:rsid w:val="0090063B"/>
    <w:rsid w:val="00900663"/>
    <w:rsid w:val="00900CDC"/>
    <w:rsid w:val="00900E18"/>
    <w:rsid w:val="00900F8F"/>
    <w:rsid w:val="00901414"/>
    <w:rsid w:val="009017DF"/>
    <w:rsid w:val="00901A59"/>
    <w:rsid w:val="00901FAD"/>
    <w:rsid w:val="00902535"/>
    <w:rsid w:val="0090258A"/>
    <w:rsid w:val="00902666"/>
    <w:rsid w:val="009027C5"/>
    <w:rsid w:val="00902A78"/>
    <w:rsid w:val="00902B8F"/>
    <w:rsid w:val="009030AD"/>
    <w:rsid w:val="009033D6"/>
    <w:rsid w:val="009037D1"/>
    <w:rsid w:val="00903E77"/>
    <w:rsid w:val="0090428B"/>
    <w:rsid w:val="009048C4"/>
    <w:rsid w:val="00905871"/>
    <w:rsid w:val="00905A38"/>
    <w:rsid w:val="00905AC4"/>
    <w:rsid w:val="00905C5F"/>
    <w:rsid w:val="00905D29"/>
    <w:rsid w:val="00905E6F"/>
    <w:rsid w:val="009063AD"/>
    <w:rsid w:val="009064EE"/>
    <w:rsid w:val="00906603"/>
    <w:rsid w:val="0090710B"/>
    <w:rsid w:val="009073AA"/>
    <w:rsid w:val="009076CD"/>
    <w:rsid w:val="009076E5"/>
    <w:rsid w:val="0090790C"/>
    <w:rsid w:val="00907D61"/>
    <w:rsid w:val="00907E7C"/>
    <w:rsid w:val="00907F17"/>
    <w:rsid w:val="009101FC"/>
    <w:rsid w:val="00910449"/>
    <w:rsid w:val="009106C2"/>
    <w:rsid w:val="0091072E"/>
    <w:rsid w:val="00910916"/>
    <w:rsid w:val="00910A0F"/>
    <w:rsid w:val="00910F65"/>
    <w:rsid w:val="009112B3"/>
    <w:rsid w:val="009117CC"/>
    <w:rsid w:val="009119B9"/>
    <w:rsid w:val="00911A6A"/>
    <w:rsid w:val="00911DCF"/>
    <w:rsid w:val="009125F2"/>
    <w:rsid w:val="00912770"/>
    <w:rsid w:val="009129D6"/>
    <w:rsid w:val="00912CE7"/>
    <w:rsid w:val="00912D2F"/>
    <w:rsid w:val="00912D53"/>
    <w:rsid w:val="00912E47"/>
    <w:rsid w:val="00912E5D"/>
    <w:rsid w:val="0091308D"/>
    <w:rsid w:val="009130D3"/>
    <w:rsid w:val="009132B9"/>
    <w:rsid w:val="00913796"/>
    <w:rsid w:val="009137AA"/>
    <w:rsid w:val="00913837"/>
    <w:rsid w:val="00913C50"/>
    <w:rsid w:val="009142CE"/>
    <w:rsid w:val="009146C3"/>
    <w:rsid w:val="009146F0"/>
    <w:rsid w:val="009148D7"/>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BC5"/>
    <w:rsid w:val="00917D32"/>
    <w:rsid w:val="00917D38"/>
    <w:rsid w:val="00917D4A"/>
    <w:rsid w:val="00917F27"/>
    <w:rsid w:val="009201BB"/>
    <w:rsid w:val="009205C3"/>
    <w:rsid w:val="009205F0"/>
    <w:rsid w:val="009208E6"/>
    <w:rsid w:val="00920A45"/>
    <w:rsid w:val="00920C93"/>
    <w:rsid w:val="00920CF0"/>
    <w:rsid w:val="00920E8B"/>
    <w:rsid w:val="0092140D"/>
    <w:rsid w:val="00921A12"/>
    <w:rsid w:val="00921ADC"/>
    <w:rsid w:val="00921B10"/>
    <w:rsid w:val="009221D6"/>
    <w:rsid w:val="00922B62"/>
    <w:rsid w:val="00922E4F"/>
    <w:rsid w:val="0092321D"/>
    <w:rsid w:val="009236A3"/>
    <w:rsid w:val="00923B20"/>
    <w:rsid w:val="00924146"/>
    <w:rsid w:val="00924290"/>
    <w:rsid w:val="00924488"/>
    <w:rsid w:val="009246E1"/>
    <w:rsid w:val="0092486A"/>
    <w:rsid w:val="00924FB4"/>
    <w:rsid w:val="00925900"/>
    <w:rsid w:val="00925C6A"/>
    <w:rsid w:val="00925F8F"/>
    <w:rsid w:val="009262B0"/>
    <w:rsid w:val="009262FF"/>
    <w:rsid w:val="00926640"/>
    <w:rsid w:val="009267BB"/>
    <w:rsid w:val="009267E7"/>
    <w:rsid w:val="009272C2"/>
    <w:rsid w:val="009277C8"/>
    <w:rsid w:val="00927885"/>
    <w:rsid w:val="00927F26"/>
    <w:rsid w:val="00930A3B"/>
    <w:rsid w:val="00930EDF"/>
    <w:rsid w:val="00930FF1"/>
    <w:rsid w:val="009311DA"/>
    <w:rsid w:val="00931522"/>
    <w:rsid w:val="009318A2"/>
    <w:rsid w:val="00931B63"/>
    <w:rsid w:val="00931FE3"/>
    <w:rsid w:val="0093236C"/>
    <w:rsid w:val="00932401"/>
    <w:rsid w:val="00932780"/>
    <w:rsid w:val="00932913"/>
    <w:rsid w:val="009329D4"/>
    <w:rsid w:val="00932DAC"/>
    <w:rsid w:val="00932E32"/>
    <w:rsid w:val="00932EDE"/>
    <w:rsid w:val="009336CE"/>
    <w:rsid w:val="009336D9"/>
    <w:rsid w:val="00933766"/>
    <w:rsid w:val="00933C13"/>
    <w:rsid w:val="00933D00"/>
    <w:rsid w:val="0093474F"/>
    <w:rsid w:val="00935469"/>
    <w:rsid w:val="0093577D"/>
    <w:rsid w:val="009357B5"/>
    <w:rsid w:val="00935AD4"/>
    <w:rsid w:val="00935C40"/>
    <w:rsid w:val="00935FA2"/>
    <w:rsid w:val="00936197"/>
    <w:rsid w:val="0093641A"/>
    <w:rsid w:val="0093651E"/>
    <w:rsid w:val="00936A97"/>
    <w:rsid w:val="00936E17"/>
    <w:rsid w:val="009370C1"/>
    <w:rsid w:val="009371C5"/>
    <w:rsid w:val="009400CC"/>
    <w:rsid w:val="0094024E"/>
    <w:rsid w:val="00940291"/>
    <w:rsid w:val="00940FCD"/>
    <w:rsid w:val="00941033"/>
    <w:rsid w:val="00941216"/>
    <w:rsid w:val="0094124F"/>
    <w:rsid w:val="009412B8"/>
    <w:rsid w:val="00941365"/>
    <w:rsid w:val="009414BA"/>
    <w:rsid w:val="0094168F"/>
    <w:rsid w:val="009420BA"/>
    <w:rsid w:val="00942309"/>
    <w:rsid w:val="009427BB"/>
    <w:rsid w:val="009429B8"/>
    <w:rsid w:val="00943014"/>
    <w:rsid w:val="009430CD"/>
    <w:rsid w:val="0094368B"/>
    <w:rsid w:val="00943DB7"/>
    <w:rsid w:val="00943E11"/>
    <w:rsid w:val="00943FC5"/>
    <w:rsid w:val="0094406C"/>
    <w:rsid w:val="009441CE"/>
    <w:rsid w:val="009441FD"/>
    <w:rsid w:val="00944355"/>
    <w:rsid w:val="0094436C"/>
    <w:rsid w:val="0094449F"/>
    <w:rsid w:val="00944C9D"/>
    <w:rsid w:val="00944D81"/>
    <w:rsid w:val="00945237"/>
    <w:rsid w:val="00945302"/>
    <w:rsid w:val="009453A8"/>
    <w:rsid w:val="0094578B"/>
    <w:rsid w:val="009459A4"/>
    <w:rsid w:val="009459E5"/>
    <w:rsid w:val="00945D94"/>
    <w:rsid w:val="0094615F"/>
    <w:rsid w:val="00946252"/>
    <w:rsid w:val="009463C3"/>
    <w:rsid w:val="00946415"/>
    <w:rsid w:val="00946A52"/>
    <w:rsid w:val="00946B00"/>
    <w:rsid w:val="00946F0C"/>
    <w:rsid w:val="0094716F"/>
    <w:rsid w:val="0094742D"/>
    <w:rsid w:val="0094777E"/>
    <w:rsid w:val="009478EF"/>
    <w:rsid w:val="00947EA3"/>
    <w:rsid w:val="009500EF"/>
    <w:rsid w:val="0095029F"/>
    <w:rsid w:val="00951531"/>
    <w:rsid w:val="00951828"/>
    <w:rsid w:val="009522D3"/>
    <w:rsid w:val="0095246C"/>
    <w:rsid w:val="009525B2"/>
    <w:rsid w:val="00952671"/>
    <w:rsid w:val="009529AA"/>
    <w:rsid w:val="00952D7B"/>
    <w:rsid w:val="00952F25"/>
    <w:rsid w:val="00952F9D"/>
    <w:rsid w:val="00952FB3"/>
    <w:rsid w:val="00953021"/>
    <w:rsid w:val="0095330D"/>
    <w:rsid w:val="00953331"/>
    <w:rsid w:val="00953362"/>
    <w:rsid w:val="009534F9"/>
    <w:rsid w:val="00953CA0"/>
    <w:rsid w:val="009540AC"/>
    <w:rsid w:val="0095448E"/>
    <w:rsid w:val="009546C7"/>
    <w:rsid w:val="00954797"/>
    <w:rsid w:val="00954E5A"/>
    <w:rsid w:val="0095525F"/>
    <w:rsid w:val="00955741"/>
    <w:rsid w:val="00955845"/>
    <w:rsid w:val="00955C90"/>
    <w:rsid w:val="00955F3A"/>
    <w:rsid w:val="009563FF"/>
    <w:rsid w:val="00956477"/>
    <w:rsid w:val="00957922"/>
    <w:rsid w:val="00957A64"/>
    <w:rsid w:val="00960D30"/>
    <w:rsid w:val="0096113E"/>
    <w:rsid w:val="0096156B"/>
    <w:rsid w:val="00961991"/>
    <w:rsid w:val="00961AE2"/>
    <w:rsid w:val="0096221C"/>
    <w:rsid w:val="00962DDC"/>
    <w:rsid w:val="00962E15"/>
    <w:rsid w:val="0096393E"/>
    <w:rsid w:val="009647E9"/>
    <w:rsid w:val="00964810"/>
    <w:rsid w:val="009648B7"/>
    <w:rsid w:val="00964AC2"/>
    <w:rsid w:val="00965037"/>
    <w:rsid w:val="009650FE"/>
    <w:rsid w:val="0096573A"/>
    <w:rsid w:val="009664EC"/>
    <w:rsid w:val="00966A8E"/>
    <w:rsid w:val="00966E8F"/>
    <w:rsid w:val="009674F2"/>
    <w:rsid w:val="0096758C"/>
    <w:rsid w:val="00967668"/>
    <w:rsid w:val="00967689"/>
    <w:rsid w:val="00967708"/>
    <w:rsid w:val="00967C91"/>
    <w:rsid w:val="00967DA0"/>
    <w:rsid w:val="0097030C"/>
    <w:rsid w:val="00970341"/>
    <w:rsid w:val="0097049D"/>
    <w:rsid w:val="00970522"/>
    <w:rsid w:val="00970719"/>
    <w:rsid w:val="0097079C"/>
    <w:rsid w:val="00970D67"/>
    <w:rsid w:val="00970EB5"/>
    <w:rsid w:val="00971581"/>
    <w:rsid w:val="00971695"/>
    <w:rsid w:val="009719B6"/>
    <w:rsid w:val="00971AAF"/>
    <w:rsid w:val="00971BD4"/>
    <w:rsid w:val="00972297"/>
    <w:rsid w:val="0097245F"/>
    <w:rsid w:val="00972506"/>
    <w:rsid w:val="00972862"/>
    <w:rsid w:val="00972EE0"/>
    <w:rsid w:val="00972EE6"/>
    <w:rsid w:val="00972F16"/>
    <w:rsid w:val="00973007"/>
    <w:rsid w:val="00973116"/>
    <w:rsid w:val="0097340D"/>
    <w:rsid w:val="009736E3"/>
    <w:rsid w:val="00973711"/>
    <w:rsid w:val="0097381B"/>
    <w:rsid w:val="00973D4F"/>
    <w:rsid w:val="00973E17"/>
    <w:rsid w:val="00974210"/>
    <w:rsid w:val="00974500"/>
    <w:rsid w:val="0097461A"/>
    <w:rsid w:val="0097491A"/>
    <w:rsid w:val="00974949"/>
    <w:rsid w:val="00974CF0"/>
    <w:rsid w:val="00974E41"/>
    <w:rsid w:val="009752B6"/>
    <w:rsid w:val="009760C7"/>
    <w:rsid w:val="00976915"/>
    <w:rsid w:val="00976C5C"/>
    <w:rsid w:val="00977077"/>
    <w:rsid w:val="009772AC"/>
    <w:rsid w:val="00977E60"/>
    <w:rsid w:val="00977EDB"/>
    <w:rsid w:val="0098011B"/>
    <w:rsid w:val="009801E1"/>
    <w:rsid w:val="009804C1"/>
    <w:rsid w:val="0098068D"/>
    <w:rsid w:val="0098098C"/>
    <w:rsid w:val="0098099D"/>
    <w:rsid w:val="00980F24"/>
    <w:rsid w:val="009812A8"/>
    <w:rsid w:val="00981F69"/>
    <w:rsid w:val="00982A00"/>
    <w:rsid w:val="00982E78"/>
    <w:rsid w:val="00982EA9"/>
    <w:rsid w:val="009835B3"/>
    <w:rsid w:val="00983626"/>
    <w:rsid w:val="0098368D"/>
    <w:rsid w:val="0098380C"/>
    <w:rsid w:val="00983A4F"/>
    <w:rsid w:val="00983D2D"/>
    <w:rsid w:val="0098409D"/>
    <w:rsid w:val="009844BD"/>
    <w:rsid w:val="0098462D"/>
    <w:rsid w:val="009846D6"/>
    <w:rsid w:val="00985832"/>
    <w:rsid w:val="00985879"/>
    <w:rsid w:val="00985C9B"/>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2B1"/>
    <w:rsid w:val="00990604"/>
    <w:rsid w:val="009906E0"/>
    <w:rsid w:val="00991085"/>
    <w:rsid w:val="0099127F"/>
    <w:rsid w:val="00991308"/>
    <w:rsid w:val="00991817"/>
    <w:rsid w:val="009919C2"/>
    <w:rsid w:val="00992450"/>
    <w:rsid w:val="00992DDC"/>
    <w:rsid w:val="00992EBB"/>
    <w:rsid w:val="00993B63"/>
    <w:rsid w:val="00993C11"/>
    <w:rsid w:val="00994138"/>
    <w:rsid w:val="00994190"/>
    <w:rsid w:val="00994544"/>
    <w:rsid w:val="009945C8"/>
    <w:rsid w:val="00994765"/>
    <w:rsid w:val="0099494B"/>
    <w:rsid w:val="00995159"/>
    <w:rsid w:val="0099537A"/>
    <w:rsid w:val="00995503"/>
    <w:rsid w:val="0099568B"/>
    <w:rsid w:val="009956DC"/>
    <w:rsid w:val="00995EB0"/>
    <w:rsid w:val="00995EEF"/>
    <w:rsid w:val="0099616D"/>
    <w:rsid w:val="009969B8"/>
    <w:rsid w:val="00996BAC"/>
    <w:rsid w:val="00996D49"/>
    <w:rsid w:val="009971E1"/>
    <w:rsid w:val="0099753F"/>
    <w:rsid w:val="009978FE"/>
    <w:rsid w:val="00997D13"/>
    <w:rsid w:val="009A00CE"/>
    <w:rsid w:val="009A052B"/>
    <w:rsid w:val="009A07CF"/>
    <w:rsid w:val="009A0AE8"/>
    <w:rsid w:val="009A16D3"/>
    <w:rsid w:val="009A1722"/>
    <w:rsid w:val="009A1737"/>
    <w:rsid w:val="009A19FB"/>
    <w:rsid w:val="009A1A2C"/>
    <w:rsid w:val="009A23B2"/>
    <w:rsid w:val="009A23C5"/>
    <w:rsid w:val="009A2582"/>
    <w:rsid w:val="009A2778"/>
    <w:rsid w:val="009A292F"/>
    <w:rsid w:val="009A2ECF"/>
    <w:rsid w:val="009A37D1"/>
    <w:rsid w:val="009A37E8"/>
    <w:rsid w:val="009A390B"/>
    <w:rsid w:val="009A3E2C"/>
    <w:rsid w:val="009A3E9A"/>
    <w:rsid w:val="009A3F69"/>
    <w:rsid w:val="009A4C64"/>
    <w:rsid w:val="009A4D85"/>
    <w:rsid w:val="009A5477"/>
    <w:rsid w:val="009A5C50"/>
    <w:rsid w:val="009A5D02"/>
    <w:rsid w:val="009A63B2"/>
    <w:rsid w:val="009A64DE"/>
    <w:rsid w:val="009A6990"/>
    <w:rsid w:val="009A69EB"/>
    <w:rsid w:val="009A6B1B"/>
    <w:rsid w:val="009A6BFD"/>
    <w:rsid w:val="009A6F9A"/>
    <w:rsid w:val="009A79EE"/>
    <w:rsid w:val="009A7AB3"/>
    <w:rsid w:val="009A7E67"/>
    <w:rsid w:val="009A7F86"/>
    <w:rsid w:val="009B06D0"/>
    <w:rsid w:val="009B09AB"/>
    <w:rsid w:val="009B0A6F"/>
    <w:rsid w:val="009B0ED4"/>
    <w:rsid w:val="009B13FF"/>
    <w:rsid w:val="009B17B2"/>
    <w:rsid w:val="009B17BE"/>
    <w:rsid w:val="009B2284"/>
    <w:rsid w:val="009B286F"/>
    <w:rsid w:val="009B319A"/>
    <w:rsid w:val="009B32F3"/>
    <w:rsid w:val="009B35DD"/>
    <w:rsid w:val="009B3724"/>
    <w:rsid w:val="009B38E0"/>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69A"/>
    <w:rsid w:val="009B7B14"/>
    <w:rsid w:val="009B7B4B"/>
    <w:rsid w:val="009B7F13"/>
    <w:rsid w:val="009C0AA1"/>
    <w:rsid w:val="009C0C7A"/>
    <w:rsid w:val="009C18F4"/>
    <w:rsid w:val="009C19FC"/>
    <w:rsid w:val="009C1F84"/>
    <w:rsid w:val="009C2176"/>
    <w:rsid w:val="009C2290"/>
    <w:rsid w:val="009C2E99"/>
    <w:rsid w:val="009C3597"/>
    <w:rsid w:val="009C36C1"/>
    <w:rsid w:val="009C3BD2"/>
    <w:rsid w:val="009C3CAE"/>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B7"/>
    <w:rsid w:val="009C6EF9"/>
    <w:rsid w:val="009C73D0"/>
    <w:rsid w:val="009C7477"/>
    <w:rsid w:val="009C7B32"/>
    <w:rsid w:val="009D0618"/>
    <w:rsid w:val="009D0A56"/>
    <w:rsid w:val="009D0D09"/>
    <w:rsid w:val="009D0EB0"/>
    <w:rsid w:val="009D111B"/>
    <w:rsid w:val="009D12B7"/>
    <w:rsid w:val="009D14E0"/>
    <w:rsid w:val="009D1509"/>
    <w:rsid w:val="009D1641"/>
    <w:rsid w:val="009D1F77"/>
    <w:rsid w:val="009D2A4F"/>
    <w:rsid w:val="009D2B0D"/>
    <w:rsid w:val="009D2F9B"/>
    <w:rsid w:val="009D3237"/>
    <w:rsid w:val="009D3BC2"/>
    <w:rsid w:val="009D43A6"/>
    <w:rsid w:val="009D4576"/>
    <w:rsid w:val="009D4A17"/>
    <w:rsid w:val="009D4ED0"/>
    <w:rsid w:val="009D4F37"/>
    <w:rsid w:val="009D4F95"/>
    <w:rsid w:val="009D512D"/>
    <w:rsid w:val="009D5A8A"/>
    <w:rsid w:val="009D5AF6"/>
    <w:rsid w:val="009D5BF3"/>
    <w:rsid w:val="009D5FE5"/>
    <w:rsid w:val="009D6054"/>
    <w:rsid w:val="009D649E"/>
    <w:rsid w:val="009D64B0"/>
    <w:rsid w:val="009D6574"/>
    <w:rsid w:val="009D6A7E"/>
    <w:rsid w:val="009D6B58"/>
    <w:rsid w:val="009D70E0"/>
    <w:rsid w:val="009D7713"/>
    <w:rsid w:val="009D7B31"/>
    <w:rsid w:val="009D7D6B"/>
    <w:rsid w:val="009E0191"/>
    <w:rsid w:val="009E02FB"/>
    <w:rsid w:val="009E034B"/>
    <w:rsid w:val="009E0429"/>
    <w:rsid w:val="009E058F"/>
    <w:rsid w:val="009E07CA"/>
    <w:rsid w:val="009E0E9E"/>
    <w:rsid w:val="009E13C8"/>
    <w:rsid w:val="009E165B"/>
    <w:rsid w:val="009E1944"/>
    <w:rsid w:val="009E1B40"/>
    <w:rsid w:val="009E1B75"/>
    <w:rsid w:val="009E2816"/>
    <w:rsid w:val="009E2AC0"/>
    <w:rsid w:val="009E2D43"/>
    <w:rsid w:val="009E2FE7"/>
    <w:rsid w:val="009E31B3"/>
    <w:rsid w:val="009E3684"/>
    <w:rsid w:val="009E3868"/>
    <w:rsid w:val="009E3FC6"/>
    <w:rsid w:val="009E41C3"/>
    <w:rsid w:val="009E437F"/>
    <w:rsid w:val="009E4C7A"/>
    <w:rsid w:val="009E5300"/>
    <w:rsid w:val="009E5A65"/>
    <w:rsid w:val="009E5CC3"/>
    <w:rsid w:val="009E693B"/>
    <w:rsid w:val="009E69D0"/>
    <w:rsid w:val="009E6B17"/>
    <w:rsid w:val="009E6D0B"/>
    <w:rsid w:val="009E6F09"/>
    <w:rsid w:val="009E772A"/>
    <w:rsid w:val="009E79ED"/>
    <w:rsid w:val="009E7F4F"/>
    <w:rsid w:val="009F0459"/>
    <w:rsid w:val="009F06CF"/>
    <w:rsid w:val="009F075A"/>
    <w:rsid w:val="009F09BC"/>
    <w:rsid w:val="009F09C1"/>
    <w:rsid w:val="009F09C2"/>
    <w:rsid w:val="009F0FB3"/>
    <w:rsid w:val="009F1017"/>
    <w:rsid w:val="009F1068"/>
    <w:rsid w:val="009F10A8"/>
    <w:rsid w:val="009F16B3"/>
    <w:rsid w:val="009F17CD"/>
    <w:rsid w:val="009F17F9"/>
    <w:rsid w:val="009F1936"/>
    <w:rsid w:val="009F22B2"/>
    <w:rsid w:val="009F22F4"/>
    <w:rsid w:val="009F2AC5"/>
    <w:rsid w:val="009F2E49"/>
    <w:rsid w:val="009F2ECA"/>
    <w:rsid w:val="009F34A0"/>
    <w:rsid w:val="009F3A36"/>
    <w:rsid w:val="009F3CE7"/>
    <w:rsid w:val="009F42B4"/>
    <w:rsid w:val="009F43DB"/>
    <w:rsid w:val="009F473E"/>
    <w:rsid w:val="009F4CA1"/>
    <w:rsid w:val="009F4FA8"/>
    <w:rsid w:val="009F55FD"/>
    <w:rsid w:val="009F60A9"/>
    <w:rsid w:val="009F616E"/>
    <w:rsid w:val="009F656F"/>
    <w:rsid w:val="009F6677"/>
    <w:rsid w:val="009F6BC1"/>
    <w:rsid w:val="009F6FFB"/>
    <w:rsid w:val="009F702B"/>
    <w:rsid w:val="009F72F0"/>
    <w:rsid w:val="009F7934"/>
    <w:rsid w:val="009F7FF9"/>
    <w:rsid w:val="00A00198"/>
    <w:rsid w:val="00A004C7"/>
    <w:rsid w:val="00A0057D"/>
    <w:rsid w:val="00A00EC9"/>
    <w:rsid w:val="00A014DA"/>
    <w:rsid w:val="00A0160E"/>
    <w:rsid w:val="00A01A0B"/>
    <w:rsid w:val="00A01B6B"/>
    <w:rsid w:val="00A01CE9"/>
    <w:rsid w:val="00A01D38"/>
    <w:rsid w:val="00A01E7D"/>
    <w:rsid w:val="00A01F5B"/>
    <w:rsid w:val="00A02071"/>
    <w:rsid w:val="00A025B2"/>
    <w:rsid w:val="00A026D3"/>
    <w:rsid w:val="00A0279D"/>
    <w:rsid w:val="00A02C2F"/>
    <w:rsid w:val="00A02F6C"/>
    <w:rsid w:val="00A02FA7"/>
    <w:rsid w:val="00A02FC4"/>
    <w:rsid w:val="00A0327F"/>
    <w:rsid w:val="00A032C2"/>
    <w:rsid w:val="00A03314"/>
    <w:rsid w:val="00A03775"/>
    <w:rsid w:val="00A03B54"/>
    <w:rsid w:val="00A04040"/>
    <w:rsid w:val="00A048C8"/>
    <w:rsid w:val="00A0502F"/>
    <w:rsid w:val="00A055EF"/>
    <w:rsid w:val="00A05757"/>
    <w:rsid w:val="00A05920"/>
    <w:rsid w:val="00A064B2"/>
    <w:rsid w:val="00A06513"/>
    <w:rsid w:val="00A06563"/>
    <w:rsid w:val="00A074A4"/>
    <w:rsid w:val="00A07678"/>
    <w:rsid w:val="00A077F0"/>
    <w:rsid w:val="00A07801"/>
    <w:rsid w:val="00A0799B"/>
    <w:rsid w:val="00A07A03"/>
    <w:rsid w:val="00A07ECC"/>
    <w:rsid w:val="00A1013B"/>
    <w:rsid w:val="00A1030B"/>
    <w:rsid w:val="00A10337"/>
    <w:rsid w:val="00A104AE"/>
    <w:rsid w:val="00A104D8"/>
    <w:rsid w:val="00A105DD"/>
    <w:rsid w:val="00A10B55"/>
    <w:rsid w:val="00A10CB4"/>
    <w:rsid w:val="00A1133A"/>
    <w:rsid w:val="00A11517"/>
    <w:rsid w:val="00A115BA"/>
    <w:rsid w:val="00A11850"/>
    <w:rsid w:val="00A118AE"/>
    <w:rsid w:val="00A119A8"/>
    <w:rsid w:val="00A11DF4"/>
    <w:rsid w:val="00A128B4"/>
    <w:rsid w:val="00A12CB4"/>
    <w:rsid w:val="00A12F55"/>
    <w:rsid w:val="00A12F6A"/>
    <w:rsid w:val="00A13439"/>
    <w:rsid w:val="00A1386D"/>
    <w:rsid w:val="00A13B1A"/>
    <w:rsid w:val="00A13C79"/>
    <w:rsid w:val="00A145A5"/>
    <w:rsid w:val="00A145A8"/>
    <w:rsid w:val="00A1468B"/>
    <w:rsid w:val="00A146ED"/>
    <w:rsid w:val="00A14C92"/>
    <w:rsid w:val="00A152AF"/>
    <w:rsid w:val="00A1547E"/>
    <w:rsid w:val="00A15A7C"/>
    <w:rsid w:val="00A15C32"/>
    <w:rsid w:val="00A1612B"/>
    <w:rsid w:val="00A16413"/>
    <w:rsid w:val="00A16684"/>
    <w:rsid w:val="00A16CE4"/>
    <w:rsid w:val="00A173B4"/>
    <w:rsid w:val="00A175D3"/>
    <w:rsid w:val="00A17C46"/>
    <w:rsid w:val="00A17ECE"/>
    <w:rsid w:val="00A20309"/>
    <w:rsid w:val="00A208FA"/>
    <w:rsid w:val="00A209A3"/>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4B6"/>
    <w:rsid w:val="00A25823"/>
    <w:rsid w:val="00A25A7F"/>
    <w:rsid w:val="00A25CAF"/>
    <w:rsid w:val="00A2616F"/>
    <w:rsid w:val="00A2635D"/>
    <w:rsid w:val="00A26481"/>
    <w:rsid w:val="00A26883"/>
    <w:rsid w:val="00A27877"/>
    <w:rsid w:val="00A30171"/>
    <w:rsid w:val="00A301BB"/>
    <w:rsid w:val="00A30616"/>
    <w:rsid w:val="00A3091A"/>
    <w:rsid w:val="00A30A48"/>
    <w:rsid w:val="00A30EC8"/>
    <w:rsid w:val="00A3107A"/>
    <w:rsid w:val="00A31104"/>
    <w:rsid w:val="00A32135"/>
    <w:rsid w:val="00A32461"/>
    <w:rsid w:val="00A3249E"/>
    <w:rsid w:val="00A32C14"/>
    <w:rsid w:val="00A330B7"/>
    <w:rsid w:val="00A33A3D"/>
    <w:rsid w:val="00A33E32"/>
    <w:rsid w:val="00A34502"/>
    <w:rsid w:val="00A34619"/>
    <w:rsid w:val="00A34AF7"/>
    <w:rsid w:val="00A34BFF"/>
    <w:rsid w:val="00A34FE0"/>
    <w:rsid w:val="00A34FFF"/>
    <w:rsid w:val="00A350ED"/>
    <w:rsid w:val="00A359E5"/>
    <w:rsid w:val="00A35AB7"/>
    <w:rsid w:val="00A3601F"/>
    <w:rsid w:val="00A36183"/>
    <w:rsid w:val="00A361C8"/>
    <w:rsid w:val="00A363C2"/>
    <w:rsid w:val="00A365EC"/>
    <w:rsid w:val="00A365FB"/>
    <w:rsid w:val="00A36735"/>
    <w:rsid w:val="00A36878"/>
    <w:rsid w:val="00A36A68"/>
    <w:rsid w:val="00A37173"/>
    <w:rsid w:val="00A37839"/>
    <w:rsid w:val="00A37F9D"/>
    <w:rsid w:val="00A37FAB"/>
    <w:rsid w:val="00A407D6"/>
    <w:rsid w:val="00A408E7"/>
    <w:rsid w:val="00A40937"/>
    <w:rsid w:val="00A409BC"/>
    <w:rsid w:val="00A40E01"/>
    <w:rsid w:val="00A41607"/>
    <w:rsid w:val="00A4179F"/>
    <w:rsid w:val="00A418C0"/>
    <w:rsid w:val="00A41ABD"/>
    <w:rsid w:val="00A41ACF"/>
    <w:rsid w:val="00A42028"/>
    <w:rsid w:val="00A42594"/>
    <w:rsid w:val="00A42990"/>
    <w:rsid w:val="00A42B18"/>
    <w:rsid w:val="00A4304E"/>
    <w:rsid w:val="00A4304F"/>
    <w:rsid w:val="00A434A8"/>
    <w:rsid w:val="00A437FE"/>
    <w:rsid w:val="00A43AB6"/>
    <w:rsid w:val="00A43B64"/>
    <w:rsid w:val="00A44426"/>
    <w:rsid w:val="00A4489D"/>
    <w:rsid w:val="00A448F9"/>
    <w:rsid w:val="00A4516D"/>
    <w:rsid w:val="00A45270"/>
    <w:rsid w:val="00A452CE"/>
    <w:rsid w:val="00A454FC"/>
    <w:rsid w:val="00A45718"/>
    <w:rsid w:val="00A45E04"/>
    <w:rsid w:val="00A46405"/>
    <w:rsid w:val="00A46EE0"/>
    <w:rsid w:val="00A47043"/>
    <w:rsid w:val="00A474EC"/>
    <w:rsid w:val="00A5003B"/>
    <w:rsid w:val="00A500C9"/>
    <w:rsid w:val="00A50122"/>
    <w:rsid w:val="00A50391"/>
    <w:rsid w:val="00A5044D"/>
    <w:rsid w:val="00A504D2"/>
    <w:rsid w:val="00A504EE"/>
    <w:rsid w:val="00A508C5"/>
    <w:rsid w:val="00A50B17"/>
    <w:rsid w:val="00A50F97"/>
    <w:rsid w:val="00A511B4"/>
    <w:rsid w:val="00A51349"/>
    <w:rsid w:val="00A51460"/>
    <w:rsid w:val="00A51482"/>
    <w:rsid w:val="00A51BC6"/>
    <w:rsid w:val="00A527B4"/>
    <w:rsid w:val="00A52851"/>
    <w:rsid w:val="00A52861"/>
    <w:rsid w:val="00A52B3C"/>
    <w:rsid w:val="00A52C34"/>
    <w:rsid w:val="00A52D33"/>
    <w:rsid w:val="00A52ED0"/>
    <w:rsid w:val="00A533CB"/>
    <w:rsid w:val="00A535A6"/>
    <w:rsid w:val="00A53814"/>
    <w:rsid w:val="00A53D28"/>
    <w:rsid w:val="00A54CC5"/>
    <w:rsid w:val="00A54EA0"/>
    <w:rsid w:val="00A55C43"/>
    <w:rsid w:val="00A55D53"/>
    <w:rsid w:val="00A55F45"/>
    <w:rsid w:val="00A56AEE"/>
    <w:rsid w:val="00A56B96"/>
    <w:rsid w:val="00A56C0C"/>
    <w:rsid w:val="00A56C0D"/>
    <w:rsid w:val="00A56C12"/>
    <w:rsid w:val="00A57071"/>
    <w:rsid w:val="00A573FA"/>
    <w:rsid w:val="00A57755"/>
    <w:rsid w:val="00A579D1"/>
    <w:rsid w:val="00A57FF1"/>
    <w:rsid w:val="00A600F8"/>
    <w:rsid w:val="00A6046C"/>
    <w:rsid w:val="00A60540"/>
    <w:rsid w:val="00A60C1C"/>
    <w:rsid w:val="00A614D3"/>
    <w:rsid w:val="00A616AB"/>
    <w:rsid w:val="00A61E28"/>
    <w:rsid w:val="00A6230B"/>
    <w:rsid w:val="00A62512"/>
    <w:rsid w:val="00A6257B"/>
    <w:rsid w:val="00A62A2F"/>
    <w:rsid w:val="00A63493"/>
    <w:rsid w:val="00A638D1"/>
    <w:rsid w:val="00A64163"/>
    <w:rsid w:val="00A64A35"/>
    <w:rsid w:val="00A64AE2"/>
    <w:rsid w:val="00A64EC6"/>
    <w:rsid w:val="00A64F23"/>
    <w:rsid w:val="00A6529F"/>
    <w:rsid w:val="00A6539E"/>
    <w:rsid w:val="00A6553D"/>
    <w:rsid w:val="00A656BB"/>
    <w:rsid w:val="00A65744"/>
    <w:rsid w:val="00A657E8"/>
    <w:rsid w:val="00A6666B"/>
    <w:rsid w:val="00A67586"/>
    <w:rsid w:val="00A676DE"/>
    <w:rsid w:val="00A677DA"/>
    <w:rsid w:val="00A67816"/>
    <w:rsid w:val="00A67B49"/>
    <w:rsid w:val="00A701BE"/>
    <w:rsid w:val="00A703F0"/>
    <w:rsid w:val="00A70AFE"/>
    <w:rsid w:val="00A71E05"/>
    <w:rsid w:val="00A72179"/>
    <w:rsid w:val="00A7233F"/>
    <w:rsid w:val="00A72369"/>
    <w:rsid w:val="00A724C1"/>
    <w:rsid w:val="00A7260F"/>
    <w:rsid w:val="00A726F7"/>
    <w:rsid w:val="00A72CE2"/>
    <w:rsid w:val="00A7305C"/>
    <w:rsid w:val="00A730BB"/>
    <w:rsid w:val="00A7386E"/>
    <w:rsid w:val="00A73BE0"/>
    <w:rsid w:val="00A73FF1"/>
    <w:rsid w:val="00A742E5"/>
    <w:rsid w:val="00A74794"/>
    <w:rsid w:val="00A74B2C"/>
    <w:rsid w:val="00A74CBF"/>
    <w:rsid w:val="00A74D0E"/>
    <w:rsid w:val="00A74E8F"/>
    <w:rsid w:val="00A756BA"/>
    <w:rsid w:val="00A757D8"/>
    <w:rsid w:val="00A75922"/>
    <w:rsid w:val="00A7607C"/>
    <w:rsid w:val="00A7645A"/>
    <w:rsid w:val="00A769C8"/>
    <w:rsid w:val="00A76B0E"/>
    <w:rsid w:val="00A76F65"/>
    <w:rsid w:val="00A771B7"/>
    <w:rsid w:val="00A7742E"/>
    <w:rsid w:val="00A7754D"/>
    <w:rsid w:val="00A7756F"/>
    <w:rsid w:val="00A77BFD"/>
    <w:rsid w:val="00A77C81"/>
    <w:rsid w:val="00A77ED5"/>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460"/>
    <w:rsid w:val="00A838CD"/>
    <w:rsid w:val="00A83A60"/>
    <w:rsid w:val="00A83DE4"/>
    <w:rsid w:val="00A8400D"/>
    <w:rsid w:val="00A845A3"/>
    <w:rsid w:val="00A84802"/>
    <w:rsid w:val="00A84811"/>
    <w:rsid w:val="00A849CA"/>
    <w:rsid w:val="00A84AF7"/>
    <w:rsid w:val="00A84F59"/>
    <w:rsid w:val="00A85290"/>
    <w:rsid w:val="00A8604B"/>
    <w:rsid w:val="00A8616C"/>
    <w:rsid w:val="00A86185"/>
    <w:rsid w:val="00A86451"/>
    <w:rsid w:val="00A86CF5"/>
    <w:rsid w:val="00A87739"/>
    <w:rsid w:val="00A87940"/>
    <w:rsid w:val="00A87F9E"/>
    <w:rsid w:val="00A9019C"/>
    <w:rsid w:val="00A90362"/>
    <w:rsid w:val="00A90C41"/>
    <w:rsid w:val="00A90FE5"/>
    <w:rsid w:val="00A912A4"/>
    <w:rsid w:val="00A914A8"/>
    <w:rsid w:val="00A91667"/>
    <w:rsid w:val="00A91A9B"/>
    <w:rsid w:val="00A9303A"/>
    <w:rsid w:val="00A930C0"/>
    <w:rsid w:val="00A934BD"/>
    <w:rsid w:val="00A93852"/>
    <w:rsid w:val="00A940C0"/>
    <w:rsid w:val="00A941CC"/>
    <w:rsid w:val="00A943A9"/>
    <w:rsid w:val="00A94578"/>
    <w:rsid w:val="00A949F9"/>
    <w:rsid w:val="00A94C9F"/>
    <w:rsid w:val="00A95085"/>
    <w:rsid w:val="00A95711"/>
    <w:rsid w:val="00A95D22"/>
    <w:rsid w:val="00A9618F"/>
    <w:rsid w:val="00A96222"/>
    <w:rsid w:val="00A96277"/>
    <w:rsid w:val="00A963A3"/>
    <w:rsid w:val="00A966E6"/>
    <w:rsid w:val="00A96AC8"/>
    <w:rsid w:val="00A96ADC"/>
    <w:rsid w:val="00A96F2C"/>
    <w:rsid w:val="00A97308"/>
    <w:rsid w:val="00A975A9"/>
    <w:rsid w:val="00A97692"/>
    <w:rsid w:val="00A97CA7"/>
    <w:rsid w:val="00A97FB6"/>
    <w:rsid w:val="00AA024E"/>
    <w:rsid w:val="00AA062A"/>
    <w:rsid w:val="00AA0A5E"/>
    <w:rsid w:val="00AA0A7B"/>
    <w:rsid w:val="00AA0BA2"/>
    <w:rsid w:val="00AA0BD2"/>
    <w:rsid w:val="00AA0C9D"/>
    <w:rsid w:val="00AA0F73"/>
    <w:rsid w:val="00AA0F80"/>
    <w:rsid w:val="00AA1168"/>
    <w:rsid w:val="00AA116A"/>
    <w:rsid w:val="00AA14BB"/>
    <w:rsid w:val="00AA157F"/>
    <w:rsid w:val="00AA17C9"/>
    <w:rsid w:val="00AA19C0"/>
    <w:rsid w:val="00AA2029"/>
    <w:rsid w:val="00AA2255"/>
    <w:rsid w:val="00AA2434"/>
    <w:rsid w:val="00AA2436"/>
    <w:rsid w:val="00AA246B"/>
    <w:rsid w:val="00AA28BC"/>
    <w:rsid w:val="00AA2BFD"/>
    <w:rsid w:val="00AA2DE9"/>
    <w:rsid w:val="00AA39F9"/>
    <w:rsid w:val="00AA3B4A"/>
    <w:rsid w:val="00AA3FB0"/>
    <w:rsid w:val="00AA46D0"/>
    <w:rsid w:val="00AA48F7"/>
    <w:rsid w:val="00AA5F4D"/>
    <w:rsid w:val="00AA6097"/>
    <w:rsid w:val="00AA64D0"/>
    <w:rsid w:val="00AA6542"/>
    <w:rsid w:val="00AA657A"/>
    <w:rsid w:val="00AA68F3"/>
    <w:rsid w:val="00AA6929"/>
    <w:rsid w:val="00AA6DAC"/>
    <w:rsid w:val="00AA737D"/>
    <w:rsid w:val="00AA75AB"/>
    <w:rsid w:val="00AA7A17"/>
    <w:rsid w:val="00AA7B3B"/>
    <w:rsid w:val="00AA7D1A"/>
    <w:rsid w:val="00AB00B3"/>
    <w:rsid w:val="00AB028A"/>
    <w:rsid w:val="00AB02B2"/>
    <w:rsid w:val="00AB0363"/>
    <w:rsid w:val="00AB05BB"/>
    <w:rsid w:val="00AB05BE"/>
    <w:rsid w:val="00AB0FB9"/>
    <w:rsid w:val="00AB13EB"/>
    <w:rsid w:val="00AB1A60"/>
    <w:rsid w:val="00AB1C4D"/>
    <w:rsid w:val="00AB2850"/>
    <w:rsid w:val="00AB2B89"/>
    <w:rsid w:val="00AB2E6C"/>
    <w:rsid w:val="00AB30AB"/>
    <w:rsid w:val="00AB351E"/>
    <w:rsid w:val="00AB356A"/>
    <w:rsid w:val="00AB3786"/>
    <w:rsid w:val="00AB40AD"/>
    <w:rsid w:val="00AB4B0D"/>
    <w:rsid w:val="00AB5E4B"/>
    <w:rsid w:val="00AB5F74"/>
    <w:rsid w:val="00AB628C"/>
    <w:rsid w:val="00AB6523"/>
    <w:rsid w:val="00AB673A"/>
    <w:rsid w:val="00AB691E"/>
    <w:rsid w:val="00AB6BC8"/>
    <w:rsid w:val="00AB7619"/>
    <w:rsid w:val="00AB7D2D"/>
    <w:rsid w:val="00AB7F11"/>
    <w:rsid w:val="00AC0AFC"/>
    <w:rsid w:val="00AC1151"/>
    <w:rsid w:val="00AC1475"/>
    <w:rsid w:val="00AC14F5"/>
    <w:rsid w:val="00AC15EB"/>
    <w:rsid w:val="00AC1635"/>
    <w:rsid w:val="00AC1705"/>
    <w:rsid w:val="00AC17B4"/>
    <w:rsid w:val="00AC18C4"/>
    <w:rsid w:val="00AC19C1"/>
    <w:rsid w:val="00AC26A3"/>
    <w:rsid w:val="00AC26C0"/>
    <w:rsid w:val="00AC3140"/>
    <w:rsid w:val="00AC314B"/>
    <w:rsid w:val="00AC31A9"/>
    <w:rsid w:val="00AC31AC"/>
    <w:rsid w:val="00AC327F"/>
    <w:rsid w:val="00AC34E5"/>
    <w:rsid w:val="00AC35E9"/>
    <w:rsid w:val="00AC3816"/>
    <w:rsid w:val="00AC3896"/>
    <w:rsid w:val="00AC397C"/>
    <w:rsid w:val="00AC42BA"/>
    <w:rsid w:val="00AC4504"/>
    <w:rsid w:val="00AC46AD"/>
    <w:rsid w:val="00AC4804"/>
    <w:rsid w:val="00AC495E"/>
    <w:rsid w:val="00AC4BBD"/>
    <w:rsid w:val="00AC4DAE"/>
    <w:rsid w:val="00AC4F0F"/>
    <w:rsid w:val="00AC4F77"/>
    <w:rsid w:val="00AC579F"/>
    <w:rsid w:val="00AC5974"/>
    <w:rsid w:val="00AC5BB4"/>
    <w:rsid w:val="00AC6022"/>
    <w:rsid w:val="00AC6096"/>
    <w:rsid w:val="00AC60B8"/>
    <w:rsid w:val="00AC616A"/>
    <w:rsid w:val="00AC6199"/>
    <w:rsid w:val="00AC6459"/>
    <w:rsid w:val="00AC6771"/>
    <w:rsid w:val="00AC6C57"/>
    <w:rsid w:val="00AC70F4"/>
    <w:rsid w:val="00AC72B0"/>
    <w:rsid w:val="00AC7BBA"/>
    <w:rsid w:val="00AD0BB2"/>
    <w:rsid w:val="00AD0D0E"/>
    <w:rsid w:val="00AD10A1"/>
    <w:rsid w:val="00AD123E"/>
    <w:rsid w:val="00AD15B4"/>
    <w:rsid w:val="00AD1CE0"/>
    <w:rsid w:val="00AD28A6"/>
    <w:rsid w:val="00AD2D4A"/>
    <w:rsid w:val="00AD2E76"/>
    <w:rsid w:val="00AD30F0"/>
    <w:rsid w:val="00AD31A7"/>
    <w:rsid w:val="00AD3814"/>
    <w:rsid w:val="00AD3852"/>
    <w:rsid w:val="00AD3919"/>
    <w:rsid w:val="00AD3E97"/>
    <w:rsid w:val="00AD421B"/>
    <w:rsid w:val="00AD43F9"/>
    <w:rsid w:val="00AD4540"/>
    <w:rsid w:val="00AD4C6D"/>
    <w:rsid w:val="00AD4D51"/>
    <w:rsid w:val="00AD4D6B"/>
    <w:rsid w:val="00AD54C9"/>
    <w:rsid w:val="00AD5520"/>
    <w:rsid w:val="00AD5816"/>
    <w:rsid w:val="00AD58A6"/>
    <w:rsid w:val="00AD591E"/>
    <w:rsid w:val="00AD5AC6"/>
    <w:rsid w:val="00AD5C69"/>
    <w:rsid w:val="00AD6931"/>
    <w:rsid w:val="00AD693C"/>
    <w:rsid w:val="00AD6A54"/>
    <w:rsid w:val="00AD7085"/>
    <w:rsid w:val="00AD7087"/>
    <w:rsid w:val="00AD7240"/>
    <w:rsid w:val="00AD73FD"/>
    <w:rsid w:val="00AD7505"/>
    <w:rsid w:val="00AD7BD9"/>
    <w:rsid w:val="00AD7EDA"/>
    <w:rsid w:val="00AE0138"/>
    <w:rsid w:val="00AE08A4"/>
    <w:rsid w:val="00AE0EA2"/>
    <w:rsid w:val="00AE1140"/>
    <w:rsid w:val="00AE1210"/>
    <w:rsid w:val="00AE124F"/>
    <w:rsid w:val="00AE13A8"/>
    <w:rsid w:val="00AE144F"/>
    <w:rsid w:val="00AE21B6"/>
    <w:rsid w:val="00AE2E11"/>
    <w:rsid w:val="00AE2EEC"/>
    <w:rsid w:val="00AE2EF1"/>
    <w:rsid w:val="00AE2F71"/>
    <w:rsid w:val="00AE347B"/>
    <w:rsid w:val="00AE349B"/>
    <w:rsid w:val="00AE3837"/>
    <w:rsid w:val="00AE3973"/>
    <w:rsid w:val="00AE3A41"/>
    <w:rsid w:val="00AE3AE2"/>
    <w:rsid w:val="00AE3C0C"/>
    <w:rsid w:val="00AE41F3"/>
    <w:rsid w:val="00AE481E"/>
    <w:rsid w:val="00AE482C"/>
    <w:rsid w:val="00AE499E"/>
    <w:rsid w:val="00AE4E3A"/>
    <w:rsid w:val="00AE4E81"/>
    <w:rsid w:val="00AE5080"/>
    <w:rsid w:val="00AE5259"/>
    <w:rsid w:val="00AE593C"/>
    <w:rsid w:val="00AE5FE3"/>
    <w:rsid w:val="00AE6116"/>
    <w:rsid w:val="00AE7B75"/>
    <w:rsid w:val="00AF0922"/>
    <w:rsid w:val="00AF0B8B"/>
    <w:rsid w:val="00AF0C34"/>
    <w:rsid w:val="00AF1013"/>
    <w:rsid w:val="00AF10D8"/>
    <w:rsid w:val="00AF10DA"/>
    <w:rsid w:val="00AF19B1"/>
    <w:rsid w:val="00AF1BCF"/>
    <w:rsid w:val="00AF1CA9"/>
    <w:rsid w:val="00AF1FC1"/>
    <w:rsid w:val="00AF24E4"/>
    <w:rsid w:val="00AF27E0"/>
    <w:rsid w:val="00AF2A62"/>
    <w:rsid w:val="00AF2AE1"/>
    <w:rsid w:val="00AF3093"/>
    <w:rsid w:val="00AF31DB"/>
    <w:rsid w:val="00AF397F"/>
    <w:rsid w:val="00AF3CB4"/>
    <w:rsid w:val="00AF4B12"/>
    <w:rsid w:val="00AF4B79"/>
    <w:rsid w:val="00AF4C8E"/>
    <w:rsid w:val="00AF4D81"/>
    <w:rsid w:val="00AF4DB6"/>
    <w:rsid w:val="00AF5058"/>
    <w:rsid w:val="00AF5991"/>
    <w:rsid w:val="00AF59A0"/>
    <w:rsid w:val="00AF5C03"/>
    <w:rsid w:val="00AF5D5B"/>
    <w:rsid w:val="00AF6BA7"/>
    <w:rsid w:val="00AF6F4C"/>
    <w:rsid w:val="00AF70C4"/>
    <w:rsid w:val="00AF74A5"/>
    <w:rsid w:val="00AF7DC2"/>
    <w:rsid w:val="00AF7EC4"/>
    <w:rsid w:val="00B000E5"/>
    <w:rsid w:val="00B002A2"/>
    <w:rsid w:val="00B0045B"/>
    <w:rsid w:val="00B0074C"/>
    <w:rsid w:val="00B008B9"/>
    <w:rsid w:val="00B008D0"/>
    <w:rsid w:val="00B0148E"/>
    <w:rsid w:val="00B0195D"/>
    <w:rsid w:val="00B01E25"/>
    <w:rsid w:val="00B02165"/>
    <w:rsid w:val="00B0235F"/>
    <w:rsid w:val="00B02478"/>
    <w:rsid w:val="00B02A9E"/>
    <w:rsid w:val="00B02B7A"/>
    <w:rsid w:val="00B02E72"/>
    <w:rsid w:val="00B03435"/>
    <w:rsid w:val="00B0429D"/>
    <w:rsid w:val="00B04557"/>
    <w:rsid w:val="00B047AD"/>
    <w:rsid w:val="00B04A32"/>
    <w:rsid w:val="00B04D78"/>
    <w:rsid w:val="00B04D91"/>
    <w:rsid w:val="00B04FF1"/>
    <w:rsid w:val="00B054FA"/>
    <w:rsid w:val="00B06231"/>
    <w:rsid w:val="00B06482"/>
    <w:rsid w:val="00B06576"/>
    <w:rsid w:val="00B066B3"/>
    <w:rsid w:val="00B0677C"/>
    <w:rsid w:val="00B068EE"/>
    <w:rsid w:val="00B06936"/>
    <w:rsid w:val="00B069DD"/>
    <w:rsid w:val="00B06C10"/>
    <w:rsid w:val="00B06C19"/>
    <w:rsid w:val="00B06DB5"/>
    <w:rsid w:val="00B06F5B"/>
    <w:rsid w:val="00B0751A"/>
    <w:rsid w:val="00B07557"/>
    <w:rsid w:val="00B07622"/>
    <w:rsid w:val="00B0769D"/>
    <w:rsid w:val="00B07A29"/>
    <w:rsid w:val="00B07DAA"/>
    <w:rsid w:val="00B10011"/>
    <w:rsid w:val="00B102FD"/>
    <w:rsid w:val="00B10BF6"/>
    <w:rsid w:val="00B10FC8"/>
    <w:rsid w:val="00B112A3"/>
    <w:rsid w:val="00B11959"/>
    <w:rsid w:val="00B11A1F"/>
    <w:rsid w:val="00B11DB1"/>
    <w:rsid w:val="00B11F85"/>
    <w:rsid w:val="00B1208C"/>
    <w:rsid w:val="00B12779"/>
    <w:rsid w:val="00B12837"/>
    <w:rsid w:val="00B1286D"/>
    <w:rsid w:val="00B12A5D"/>
    <w:rsid w:val="00B12E7B"/>
    <w:rsid w:val="00B13162"/>
    <w:rsid w:val="00B13391"/>
    <w:rsid w:val="00B13397"/>
    <w:rsid w:val="00B13BC2"/>
    <w:rsid w:val="00B13E98"/>
    <w:rsid w:val="00B1414C"/>
    <w:rsid w:val="00B1481D"/>
    <w:rsid w:val="00B149DE"/>
    <w:rsid w:val="00B14A99"/>
    <w:rsid w:val="00B152AA"/>
    <w:rsid w:val="00B15529"/>
    <w:rsid w:val="00B160CE"/>
    <w:rsid w:val="00B1656A"/>
    <w:rsid w:val="00B1686C"/>
    <w:rsid w:val="00B1698E"/>
    <w:rsid w:val="00B17332"/>
    <w:rsid w:val="00B17801"/>
    <w:rsid w:val="00B17868"/>
    <w:rsid w:val="00B17879"/>
    <w:rsid w:val="00B17927"/>
    <w:rsid w:val="00B17BFF"/>
    <w:rsid w:val="00B205AC"/>
    <w:rsid w:val="00B206FA"/>
    <w:rsid w:val="00B207BE"/>
    <w:rsid w:val="00B20919"/>
    <w:rsid w:val="00B20EE8"/>
    <w:rsid w:val="00B20F07"/>
    <w:rsid w:val="00B21BBB"/>
    <w:rsid w:val="00B21CB1"/>
    <w:rsid w:val="00B22A9A"/>
    <w:rsid w:val="00B22D32"/>
    <w:rsid w:val="00B22D7F"/>
    <w:rsid w:val="00B22E5E"/>
    <w:rsid w:val="00B23701"/>
    <w:rsid w:val="00B238B6"/>
    <w:rsid w:val="00B23992"/>
    <w:rsid w:val="00B23C23"/>
    <w:rsid w:val="00B243C5"/>
    <w:rsid w:val="00B243DE"/>
    <w:rsid w:val="00B24483"/>
    <w:rsid w:val="00B24689"/>
    <w:rsid w:val="00B24A7B"/>
    <w:rsid w:val="00B24EF5"/>
    <w:rsid w:val="00B24F6B"/>
    <w:rsid w:val="00B25280"/>
    <w:rsid w:val="00B25373"/>
    <w:rsid w:val="00B25403"/>
    <w:rsid w:val="00B254F0"/>
    <w:rsid w:val="00B25A21"/>
    <w:rsid w:val="00B25D90"/>
    <w:rsid w:val="00B25EC2"/>
    <w:rsid w:val="00B26012"/>
    <w:rsid w:val="00B26126"/>
    <w:rsid w:val="00B263DD"/>
    <w:rsid w:val="00B2692C"/>
    <w:rsid w:val="00B26D4D"/>
    <w:rsid w:val="00B272C3"/>
    <w:rsid w:val="00B27542"/>
    <w:rsid w:val="00B2773B"/>
    <w:rsid w:val="00B27927"/>
    <w:rsid w:val="00B30618"/>
    <w:rsid w:val="00B30C0C"/>
    <w:rsid w:val="00B30C7D"/>
    <w:rsid w:val="00B31596"/>
    <w:rsid w:val="00B31916"/>
    <w:rsid w:val="00B3198D"/>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B78"/>
    <w:rsid w:val="00B35C99"/>
    <w:rsid w:val="00B35DC7"/>
    <w:rsid w:val="00B3602E"/>
    <w:rsid w:val="00B362AB"/>
    <w:rsid w:val="00B365D2"/>
    <w:rsid w:val="00B365DE"/>
    <w:rsid w:val="00B36709"/>
    <w:rsid w:val="00B367F2"/>
    <w:rsid w:val="00B36893"/>
    <w:rsid w:val="00B36A80"/>
    <w:rsid w:val="00B36E66"/>
    <w:rsid w:val="00B36E68"/>
    <w:rsid w:val="00B37139"/>
    <w:rsid w:val="00B37B96"/>
    <w:rsid w:val="00B37C32"/>
    <w:rsid w:val="00B401BD"/>
    <w:rsid w:val="00B4041F"/>
    <w:rsid w:val="00B40FBD"/>
    <w:rsid w:val="00B4106D"/>
    <w:rsid w:val="00B41658"/>
    <w:rsid w:val="00B41F1F"/>
    <w:rsid w:val="00B4242F"/>
    <w:rsid w:val="00B428B9"/>
    <w:rsid w:val="00B42BA7"/>
    <w:rsid w:val="00B42DA3"/>
    <w:rsid w:val="00B42FCD"/>
    <w:rsid w:val="00B4351C"/>
    <w:rsid w:val="00B43A1E"/>
    <w:rsid w:val="00B43C24"/>
    <w:rsid w:val="00B4408A"/>
    <w:rsid w:val="00B44223"/>
    <w:rsid w:val="00B442C0"/>
    <w:rsid w:val="00B44301"/>
    <w:rsid w:val="00B44323"/>
    <w:rsid w:val="00B449E1"/>
    <w:rsid w:val="00B44C78"/>
    <w:rsid w:val="00B456D2"/>
    <w:rsid w:val="00B45766"/>
    <w:rsid w:val="00B45A76"/>
    <w:rsid w:val="00B45A7C"/>
    <w:rsid w:val="00B45D12"/>
    <w:rsid w:val="00B45FCE"/>
    <w:rsid w:val="00B46056"/>
    <w:rsid w:val="00B46075"/>
    <w:rsid w:val="00B46517"/>
    <w:rsid w:val="00B46BD2"/>
    <w:rsid w:val="00B46F2F"/>
    <w:rsid w:val="00B476B5"/>
    <w:rsid w:val="00B477E6"/>
    <w:rsid w:val="00B478B9"/>
    <w:rsid w:val="00B47D10"/>
    <w:rsid w:val="00B500C3"/>
    <w:rsid w:val="00B507CD"/>
    <w:rsid w:val="00B509FC"/>
    <w:rsid w:val="00B50D35"/>
    <w:rsid w:val="00B51047"/>
    <w:rsid w:val="00B512E5"/>
    <w:rsid w:val="00B51345"/>
    <w:rsid w:val="00B513CA"/>
    <w:rsid w:val="00B5171F"/>
    <w:rsid w:val="00B51A58"/>
    <w:rsid w:val="00B51BA6"/>
    <w:rsid w:val="00B51FC2"/>
    <w:rsid w:val="00B523BC"/>
    <w:rsid w:val="00B524D1"/>
    <w:rsid w:val="00B52730"/>
    <w:rsid w:val="00B52881"/>
    <w:rsid w:val="00B52EF9"/>
    <w:rsid w:val="00B5312A"/>
    <w:rsid w:val="00B536AB"/>
    <w:rsid w:val="00B53937"/>
    <w:rsid w:val="00B53A39"/>
    <w:rsid w:val="00B53BB3"/>
    <w:rsid w:val="00B53D3A"/>
    <w:rsid w:val="00B54165"/>
    <w:rsid w:val="00B54673"/>
    <w:rsid w:val="00B54C46"/>
    <w:rsid w:val="00B55390"/>
    <w:rsid w:val="00B55568"/>
    <w:rsid w:val="00B555BF"/>
    <w:rsid w:val="00B5570E"/>
    <w:rsid w:val="00B55AB3"/>
    <w:rsid w:val="00B55C6C"/>
    <w:rsid w:val="00B56002"/>
    <w:rsid w:val="00B5611C"/>
    <w:rsid w:val="00B56A0F"/>
    <w:rsid w:val="00B57114"/>
    <w:rsid w:val="00B57259"/>
    <w:rsid w:val="00B57584"/>
    <w:rsid w:val="00B575BE"/>
    <w:rsid w:val="00B577A8"/>
    <w:rsid w:val="00B5797B"/>
    <w:rsid w:val="00B57AA0"/>
    <w:rsid w:val="00B600AB"/>
    <w:rsid w:val="00B603E1"/>
    <w:rsid w:val="00B60512"/>
    <w:rsid w:val="00B6057C"/>
    <w:rsid w:val="00B6089E"/>
    <w:rsid w:val="00B60BA6"/>
    <w:rsid w:val="00B614C8"/>
    <w:rsid w:val="00B617B5"/>
    <w:rsid w:val="00B61FA9"/>
    <w:rsid w:val="00B6206E"/>
    <w:rsid w:val="00B62C19"/>
    <w:rsid w:val="00B6314C"/>
    <w:rsid w:val="00B63917"/>
    <w:rsid w:val="00B63DFC"/>
    <w:rsid w:val="00B63FB4"/>
    <w:rsid w:val="00B6401D"/>
    <w:rsid w:val="00B6433B"/>
    <w:rsid w:val="00B645A4"/>
    <w:rsid w:val="00B6473A"/>
    <w:rsid w:val="00B64DED"/>
    <w:rsid w:val="00B6520F"/>
    <w:rsid w:val="00B669D4"/>
    <w:rsid w:val="00B67038"/>
    <w:rsid w:val="00B6726D"/>
    <w:rsid w:val="00B67796"/>
    <w:rsid w:val="00B67CE5"/>
    <w:rsid w:val="00B70029"/>
    <w:rsid w:val="00B7006E"/>
    <w:rsid w:val="00B70081"/>
    <w:rsid w:val="00B700DD"/>
    <w:rsid w:val="00B70155"/>
    <w:rsid w:val="00B70183"/>
    <w:rsid w:val="00B703F3"/>
    <w:rsid w:val="00B70C9E"/>
    <w:rsid w:val="00B70CCF"/>
    <w:rsid w:val="00B71686"/>
    <w:rsid w:val="00B718ED"/>
    <w:rsid w:val="00B71B49"/>
    <w:rsid w:val="00B71DA6"/>
    <w:rsid w:val="00B71DE1"/>
    <w:rsid w:val="00B71F53"/>
    <w:rsid w:val="00B71F65"/>
    <w:rsid w:val="00B7201F"/>
    <w:rsid w:val="00B7228D"/>
    <w:rsid w:val="00B722F5"/>
    <w:rsid w:val="00B7242B"/>
    <w:rsid w:val="00B727C4"/>
    <w:rsid w:val="00B72A17"/>
    <w:rsid w:val="00B72CD2"/>
    <w:rsid w:val="00B72D64"/>
    <w:rsid w:val="00B73744"/>
    <w:rsid w:val="00B73C89"/>
    <w:rsid w:val="00B73E12"/>
    <w:rsid w:val="00B74582"/>
    <w:rsid w:val="00B74ABA"/>
    <w:rsid w:val="00B74AF7"/>
    <w:rsid w:val="00B74C7E"/>
    <w:rsid w:val="00B74E1E"/>
    <w:rsid w:val="00B7521A"/>
    <w:rsid w:val="00B75371"/>
    <w:rsid w:val="00B75573"/>
    <w:rsid w:val="00B75AD6"/>
    <w:rsid w:val="00B75C9F"/>
    <w:rsid w:val="00B76325"/>
    <w:rsid w:val="00B76975"/>
    <w:rsid w:val="00B769EC"/>
    <w:rsid w:val="00B771A1"/>
    <w:rsid w:val="00B772FB"/>
    <w:rsid w:val="00B773D3"/>
    <w:rsid w:val="00B77601"/>
    <w:rsid w:val="00B778C5"/>
    <w:rsid w:val="00B77C4B"/>
    <w:rsid w:val="00B77EF7"/>
    <w:rsid w:val="00B80309"/>
    <w:rsid w:val="00B8036E"/>
    <w:rsid w:val="00B80630"/>
    <w:rsid w:val="00B80B9B"/>
    <w:rsid w:val="00B81080"/>
    <w:rsid w:val="00B812A5"/>
    <w:rsid w:val="00B819DB"/>
    <w:rsid w:val="00B81C8B"/>
    <w:rsid w:val="00B81D01"/>
    <w:rsid w:val="00B82004"/>
    <w:rsid w:val="00B82287"/>
    <w:rsid w:val="00B8241D"/>
    <w:rsid w:val="00B827A4"/>
    <w:rsid w:val="00B82DD3"/>
    <w:rsid w:val="00B831C3"/>
    <w:rsid w:val="00B83250"/>
    <w:rsid w:val="00B8327C"/>
    <w:rsid w:val="00B83989"/>
    <w:rsid w:val="00B83A0D"/>
    <w:rsid w:val="00B83D3B"/>
    <w:rsid w:val="00B83F18"/>
    <w:rsid w:val="00B84094"/>
    <w:rsid w:val="00B84122"/>
    <w:rsid w:val="00B84628"/>
    <w:rsid w:val="00B84A64"/>
    <w:rsid w:val="00B84CB0"/>
    <w:rsid w:val="00B84D00"/>
    <w:rsid w:val="00B84FFE"/>
    <w:rsid w:val="00B851DC"/>
    <w:rsid w:val="00B851DF"/>
    <w:rsid w:val="00B85516"/>
    <w:rsid w:val="00B85B63"/>
    <w:rsid w:val="00B85D61"/>
    <w:rsid w:val="00B8610E"/>
    <w:rsid w:val="00B86290"/>
    <w:rsid w:val="00B8675C"/>
    <w:rsid w:val="00B86E79"/>
    <w:rsid w:val="00B86F22"/>
    <w:rsid w:val="00B86F63"/>
    <w:rsid w:val="00B8723F"/>
    <w:rsid w:val="00B8775F"/>
    <w:rsid w:val="00B87A9F"/>
    <w:rsid w:val="00B90255"/>
    <w:rsid w:val="00B90772"/>
    <w:rsid w:val="00B90E32"/>
    <w:rsid w:val="00B90E3E"/>
    <w:rsid w:val="00B9178E"/>
    <w:rsid w:val="00B91D61"/>
    <w:rsid w:val="00B91EEC"/>
    <w:rsid w:val="00B91F8D"/>
    <w:rsid w:val="00B9210D"/>
    <w:rsid w:val="00B92377"/>
    <w:rsid w:val="00B92835"/>
    <w:rsid w:val="00B92AEC"/>
    <w:rsid w:val="00B92B3B"/>
    <w:rsid w:val="00B92FC1"/>
    <w:rsid w:val="00B930C8"/>
    <w:rsid w:val="00B935D8"/>
    <w:rsid w:val="00B938AD"/>
    <w:rsid w:val="00B94136"/>
    <w:rsid w:val="00B942E5"/>
    <w:rsid w:val="00B94637"/>
    <w:rsid w:val="00B949C2"/>
    <w:rsid w:val="00B94C7C"/>
    <w:rsid w:val="00B94F9E"/>
    <w:rsid w:val="00B9549B"/>
    <w:rsid w:val="00B95E21"/>
    <w:rsid w:val="00B962FD"/>
    <w:rsid w:val="00B964A9"/>
    <w:rsid w:val="00B9651C"/>
    <w:rsid w:val="00B9661B"/>
    <w:rsid w:val="00B967A8"/>
    <w:rsid w:val="00B967DC"/>
    <w:rsid w:val="00B96F70"/>
    <w:rsid w:val="00B971C4"/>
    <w:rsid w:val="00B975CD"/>
    <w:rsid w:val="00B977C4"/>
    <w:rsid w:val="00B97865"/>
    <w:rsid w:val="00B97DBF"/>
    <w:rsid w:val="00B97EDF"/>
    <w:rsid w:val="00BA056A"/>
    <w:rsid w:val="00BA0596"/>
    <w:rsid w:val="00BA0667"/>
    <w:rsid w:val="00BA072A"/>
    <w:rsid w:val="00BA09E3"/>
    <w:rsid w:val="00BA0D3B"/>
    <w:rsid w:val="00BA0DA9"/>
    <w:rsid w:val="00BA0DAF"/>
    <w:rsid w:val="00BA0F8C"/>
    <w:rsid w:val="00BA1343"/>
    <w:rsid w:val="00BA142F"/>
    <w:rsid w:val="00BA1700"/>
    <w:rsid w:val="00BA1861"/>
    <w:rsid w:val="00BA1C48"/>
    <w:rsid w:val="00BA1E05"/>
    <w:rsid w:val="00BA1E9B"/>
    <w:rsid w:val="00BA1EC6"/>
    <w:rsid w:val="00BA2003"/>
    <w:rsid w:val="00BA25C8"/>
    <w:rsid w:val="00BA2A38"/>
    <w:rsid w:val="00BA2E05"/>
    <w:rsid w:val="00BA39AA"/>
    <w:rsid w:val="00BA3B16"/>
    <w:rsid w:val="00BA3BBD"/>
    <w:rsid w:val="00BA451C"/>
    <w:rsid w:val="00BA4692"/>
    <w:rsid w:val="00BA4936"/>
    <w:rsid w:val="00BA5065"/>
    <w:rsid w:val="00BA50EB"/>
    <w:rsid w:val="00BA584C"/>
    <w:rsid w:val="00BA61D2"/>
    <w:rsid w:val="00BA62D7"/>
    <w:rsid w:val="00BA63D9"/>
    <w:rsid w:val="00BA695A"/>
    <w:rsid w:val="00BA6D06"/>
    <w:rsid w:val="00BA6DD3"/>
    <w:rsid w:val="00BA7684"/>
    <w:rsid w:val="00BA77AD"/>
    <w:rsid w:val="00BA77DF"/>
    <w:rsid w:val="00BA7A1D"/>
    <w:rsid w:val="00BA7C19"/>
    <w:rsid w:val="00BA7C7F"/>
    <w:rsid w:val="00BB03B6"/>
    <w:rsid w:val="00BB03BC"/>
    <w:rsid w:val="00BB056C"/>
    <w:rsid w:val="00BB076A"/>
    <w:rsid w:val="00BB0CE6"/>
    <w:rsid w:val="00BB113D"/>
    <w:rsid w:val="00BB12EF"/>
    <w:rsid w:val="00BB130E"/>
    <w:rsid w:val="00BB18AC"/>
    <w:rsid w:val="00BB2028"/>
    <w:rsid w:val="00BB2154"/>
    <w:rsid w:val="00BB29A7"/>
    <w:rsid w:val="00BB2AD1"/>
    <w:rsid w:val="00BB2E67"/>
    <w:rsid w:val="00BB396E"/>
    <w:rsid w:val="00BB3DD6"/>
    <w:rsid w:val="00BB4833"/>
    <w:rsid w:val="00BB4A9C"/>
    <w:rsid w:val="00BB4F28"/>
    <w:rsid w:val="00BB5023"/>
    <w:rsid w:val="00BB5145"/>
    <w:rsid w:val="00BB57D0"/>
    <w:rsid w:val="00BB5B08"/>
    <w:rsid w:val="00BB5EA2"/>
    <w:rsid w:val="00BB5FCE"/>
    <w:rsid w:val="00BB61DB"/>
    <w:rsid w:val="00BB6663"/>
    <w:rsid w:val="00BB6E63"/>
    <w:rsid w:val="00BB71A3"/>
    <w:rsid w:val="00BB71E8"/>
    <w:rsid w:val="00BB75B0"/>
    <w:rsid w:val="00BB776A"/>
    <w:rsid w:val="00BB7AFF"/>
    <w:rsid w:val="00BB7B2E"/>
    <w:rsid w:val="00BB7F2D"/>
    <w:rsid w:val="00BC0676"/>
    <w:rsid w:val="00BC09F1"/>
    <w:rsid w:val="00BC0A05"/>
    <w:rsid w:val="00BC0F1F"/>
    <w:rsid w:val="00BC1121"/>
    <w:rsid w:val="00BC141E"/>
    <w:rsid w:val="00BC2239"/>
    <w:rsid w:val="00BC24EB"/>
    <w:rsid w:val="00BC2833"/>
    <w:rsid w:val="00BC28D0"/>
    <w:rsid w:val="00BC2B7D"/>
    <w:rsid w:val="00BC2D7B"/>
    <w:rsid w:val="00BC3715"/>
    <w:rsid w:val="00BC376B"/>
    <w:rsid w:val="00BC3AE1"/>
    <w:rsid w:val="00BC4152"/>
    <w:rsid w:val="00BC417C"/>
    <w:rsid w:val="00BC42C3"/>
    <w:rsid w:val="00BC4484"/>
    <w:rsid w:val="00BC4842"/>
    <w:rsid w:val="00BC4FEC"/>
    <w:rsid w:val="00BC52F3"/>
    <w:rsid w:val="00BC536E"/>
    <w:rsid w:val="00BC5713"/>
    <w:rsid w:val="00BC585E"/>
    <w:rsid w:val="00BC5885"/>
    <w:rsid w:val="00BC65A8"/>
    <w:rsid w:val="00BC65C6"/>
    <w:rsid w:val="00BC6633"/>
    <w:rsid w:val="00BC677F"/>
    <w:rsid w:val="00BC6D36"/>
    <w:rsid w:val="00BC7340"/>
    <w:rsid w:val="00BC7594"/>
    <w:rsid w:val="00BC7DE9"/>
    <w:rsid w:val="00BC7FC1"/>
    <w:rsid w:val="00BD0070"/>
    <w:rsid w:val="00BD0615"/>
    <w:rsid w:val="00BD06F3"/>
    <w:rsid w:val="00BD0752"/>
    <w:rsid w:val="00BD089C"/>
    <w:rsid w:val="00BD08DA"/>
    <w:rsid w:val="00BD08FD"/>
    <w:rsid w:val="00BD0A9A"/>
    <w:rsid w:val="00BD0DA3"/>
    <w:rsid w:val="00BD0EC0"/>
    <w:rsid w:val="00BD1497"/>
    <w:rsid w:val="00BD1555"/>
    <w:rsid w:val="00BD15E7"/>
    <w:rsid w:val="00BD1A0A"/>
    <w:rsid w:val="00BD1C2D"/>
    <w:rsid w:val="00BD1C7B"/>
    <w:rsid w:val="00BD1CD2"/>
    <w:rsid w:val="00BD1E6A"/>
    <w:rsid w:val="00BD1EB7"/>
    <w:rsid w:val="00BD207C"/>
    <w:rsid w:val="00BD26FE"/>
    <w:rsid w:val="00BD29F2"/>
    <w:rsid w:val="00BD2AE9"/>
    <w:rsid w:val="00BD2B15"/>
    <w:rsid w:val="00BD2D47"/>
    <w:rsid w:val="00BD32A3"/>
    <w:rsid w:val="00BD3323"/>
    <w:rsid w:val="00BD36C9"/>
    <w:rsid w:val="00BD3B5D"/>
    <w:rsid w:val="00BD3BB9"/>
    <w:rsid w:val="00BD40ED"/>
    <w:rsid w:val="00BD4132"/>
    <w:rsid w:val="00BD41AC"/>
    <w:rsid w:val="00BD4343"/>
    <w:rsid w:val="00BD468A"/>
    <w:rsid w:val="00BD4A11"/>
    <w:rsid w:val="00BD4F5D"/>
    <w:rsid w:val="00BD5217"/>
    <w:rsid w:val="00BD5414"/>
    <w:rsid w:val="00BD58CD"/>
    <w:rsid w:val="00BD5F4D"/>
    <w:rsid w:val="00BD6086"/>
    <w:rsid w:val="00BD6C79"/>
    <w:rsid w:val="00BD6E2E"/>
    <w:rsid w:val="00BD7094"/>
    <w:rsid w:val="00BD720F"/>
    <w:rsid w:val="00BD7700"/>
    <w:rsid w:val="00BD7816"/>
    <w:rsid w:val="00BD78A1"/>
    <w:rsid w:val="00BD7B27"/>
    <w:rsid w:val="00BD7BC1"/>
    <w:rsid w:val="00BD7C34"/>
    <w:rsid w:val="00BD7C62"/>
    <w:rsid w:val="00BD7D9B"/>
    <w:rsid w:val="00BD7FBD"/>
    <w:rsid w:val="00BE0078"/>
    <w:rsid w:val="00BE08E5"/>
    <w:rsid w:val="00BE123D"/>
    <w:rsid w:val="00BE1278"/>
    <w:rsid w:val="00BE1320"/>
    <w:rsid w:val="00BE14A0"/>
    <w:rsid w:val="00BE17D1"/>
    <w:rsid w:val="00BE1EB5"/>
    <w:rsid w:val="00BE1F42"/>
    <w:rsid w:val="00BE2372"/>
    <w:rsid w:val="00BE2395"/>
    <w:rsid w:val="00BE2545"/>
    <w:rsid w:val="00BE291F"/>
    <w:rsid w:val="00BE2AD9"/>
    <w:rsid w:val="00BE2ED0"/>
    <w:rsid w:val="00BE2F3D"/>
    <w:rsid w:val="00BE32BD"/>
    <w:rsid w:val="00BE3BAC"/>
    <w:rsid w:val="00BE3C58"/>
    <w:rsid w:val="00BE3D0E"/>
    <w:rsid w:val="00BE4633"/>
    <w:rsid w:val="00BE48B9"/>
    <w:rsid w:val="00BE491F"/>
    <w:rsid w:val="00BE56F6"/>
    <w:rsid w:val="00BE59C3"/>
    <w:rsid w:val="00BE59D7"/>
    <w:rsid w:val="00BE5C3F"/>
    <w:rsid w:val="00BE5D3B"/>
    <w:rsid w:val="00BE61C9"/>
    <w:rsid w:val="00BE6380"/>
    <w:rsid w:val="00BE6466"/>
    <w:rsid w:val="00BE64A5"/>
    <w:rsid w:val="00BE6AB6"/>
    <w:rsid w:val="00BE6BE4"/>
    <w:rsid w:val="00BE6F60"/>
    <w:rsid w:val="00BE6FC3"/>
    <w:rsid w:val="00BE724A"/>
    <w:rsid w:val="00BE726E"/>
    <w:rsid w:val="00BE7549"/>
    <w:rsid w:val="00BE7646"/>
    <w:rsid w:val="00BE7818"/>
    <w:rsid w:val="00BE7AA1"/>
    <w:rsid w:val="00BE7BC2"/>
    <w:rsid w:val="00BE7EA3"/>
    <w:rsid w:val="00BF017D"/>
    <w:rsid w:val="00BF01FD"/>
    <w:rsid w:val="00BF031E"/>
    <w:rsid w:val="00BF0492"/>
    <w:rsid w:val="00BF0622"/>
    <w:rsid w:val="00BF064A"/>
    <w:rsid w:val="00BF0D37"/>
    <w:rsid w:val="00BF115E"/>
    <w:rsid w:val="00BF1C3B"/>
    <w:rsid w:val="00BF1D88"/>
    <w:rsid w:val="00BF2D53"/>
    <w:rsid w:val="00BF30EB"/>
    <w:rsid w:val="00BF3448"/>
    <w:rsid w:val="00BF3465"/>
    <w:rsid w:val="00BF387D"/>
    <w:rsid w:val="00BF4015"/>
    <w:rsid w:val="00BF422B"/>
    <w:rsid w:val="00BF42FA"/>
    <w:rsid w:val="00BF4385"/>
    <w:rsid w:val="00BF4683"/>
    <w:rsid w:val="00BF4849"/>
    <w:rsid w:val="00BF48B5"/>
    <w:rsid w:val="00BF49E8"/>
    <w:rsid w:val="00BF4AD5"/>
    <w:rsid w:val="00BF4E04"/>
    <w:rsid w:val="00BF51B5"/>
    <w:rsid w:val="00BF548B"/>
    <w:rsid w:val="00BF550E"/>
    <w:rsid w:val="00BF56D7"/>
    <w:rsid w:val="00BF5736"/>
    <w:rsid w:val="00BF5A47"/>
    <w:rsid w:val="00BF5F6E"/>
    <w:rsid w:val="00BF61B7"/>
    <w:rsid w:val="00BF66BD"/>
    <w:rsid w:val="00BF6868"/>
    <w:rsid w:val="00BF6A2A"/>
    <w:rsid w:val="00BF6B39"/>
    <w:rsid w:val="00BF6C04"/>
    <w:rsid w:val="00BF7667"/>
    <w:rsid w:val="00BF76D8"/>
    <w:rsid w:val="00BF7AC4"/>
    <w:rsid w:val="00BF7B3B"/>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AF1"/>
    <w:rsid w:val="00C03D30"/>
    <w:rsid w:val="00C041D0"/>
    <w:rsid w:val="00C04BAA"/>
    <w:rsid w:val="00C0501B"/>
    <w:rsid w:val="00C05093"/>
    <w:rsid w:val="00C05460"/>
    <w:rsid w:val="00C0642D"/>
    <w:rsid w:val="00C06564"/>
    <w:rsid w:val="00C06628"/>
    <w:rsid w:val="00C067FC"/>
    <w:rsid w:val="00C06ED4"/>
    <w:rsid w:val="00C06EEE"/>
    <w:rsid w:val="00C0700A"/>
    <w:rsid w:val="00C0750A"/>
    <w:rsid w:val="00C07686"/>
    <w:rsid w:val="00C07BC1"/>
    <w:rsid w:val="00C07F85"/>
    <w:rsid w:val="00C1039F"/>
    <w:rsid w:val="00C108E9"/>
    <w:rsid w:val="00C10BBA"/>
    <w:rsid w:val="00C10E6E"/>
    <w:rsid w:val="00C10FFE"/>
    <w:rsid w:val="00C1139A"/>
    <w:rsid w:val="00C116C4"/>
    <w:rsid w:val="00C11D51"/>
    <w:rsid w:val="00C120FC"/>
    <w:rsid w:val="00C12182"/>
    <w:rsid w:val="00C1237D"/>
    <w:rsid w:val="00C128E1"/>
    <w:rsid w:val="00C12993"/>
    <w:rsid w:val="00C12A99"/>
    <w:rsid w:val="00C13010"/>
    <w:rsid w:val="00C13066"/>
    <w:rsid w:val="00C13888"/>
    <w:rsid w:val="00C13A7B"/>
    <w:rsid w:val="00C13C6D"/>
    <w:rsid w:val="00C1445C"/>
    <w:rsid w:val="00C14C68"/>
    <w:rsid w:val="00C14FB2"/>
    <w:rsid w:val="00C1503E"/>
    <w:rsid w:val="00C15952"/>
    <w:rsid w:val="00C159DE"/>
    <w:rsid w:val="00C15E98"/>
    <w:rsid w:val="00C15EA7"/>
    <w:rsid w:val="00C1611B"/>
    <w:rsid w:val="00C170C6"/>
    <w:rsid w:val="00C17483"/>
    <w:rsid w:val="00C174D0"/>
    <w:rsid w:val="00C1765B"/>
    <w:rsid w:val="00C17EB0"/>
    <w:rsid w:val="00C17FF6"/>
    <w:rsid w:val="00C2020F"/>
    <w:rsid w:val="00C20301"/>
    <w:rsid w:val="00C2057A"/>
    <w:rsid w:val="00C20936"/>
    <w:rsid w:val="00C20C90"/>
    <w:rsid w:val="00C211D5"/>
    <w:rsid w:val="00C215DA"/>
    <w:rsid w:val="00C2187B"/>
    <w:rsid w:val="00C21D62"/>
    <w:rsid w:val="00C21E4F"/>
    <w:rsid w:val="00C21F41"/>
    <w:rsid w:val="00C2239B"/>
    <w:rsid w:val="00C226E3"/>
    <w:rsid w:val="00C22C23"/>
    <w:rsid w:val="00C22F7E"/>
    <w:rsid w:val="00C23167"/>
    <w:rsid w:val="00C23507"/>
    <w:rsid w:val="00C23802"/>
    <w:rsid w:val="00C24218"/>
    <w:rsid w:val="00C243AD"/>
    <w:rsid w:val="00C24522"/>
    <w:rsid w:val="00C2479C"/>
    <w:rsid w:val="00C247E2"/>
    <w:rsid w:val="00C24A3E"/>
    <w:rsid w:val="00C24EAE"/>
    <w:rsid w:val="00C24FB7"/>
    <w:rsid w:val="00C253F5"/>
    <w:rsid w:val="00C25787"/>
    <w:rsid w:val="00C258E4"/>
    <w:rsid w:val="00C26294"/>
    <w:rsid w:val="00C264A2"/>
    <w:rsid w:val="00C264F4"/>
    <w:rsid w:val="00C2685C"/>
    <w:rsid w:val="00C26E59"/>
    <w:rsid w:val="00C2738D"/>
    <w:rsid w:val="00C275F6"/>
    <w:rsid w:val="00C27827"/>
    <w:rsid w:val="00C27DA5"/>
    <w:rsid w:val="00C302DB"/>
    <w:rsid w:val="00C30447"/>
    <w:rsid w:val="00C308B6"/>
    <w:rsid w:val="00C30A9F"/>
    <w:rsid w:val="00C30EAE"/>
    <w:rsid w:val="00C31422"/>
    <w:rsid w:val="00C315F5"/>
    <w:rsid w:val="00C31669"/>
    <w:rsid w:val="00C31853"/>
    <w:rsid w:val="00C31BD3"/>
    <w:rsid w:val="00C31BDD"/>
    <w:rsid w:val="00C31C1D"/>
    <w:rsid w:val="00C31ECF"/>
    <w:rsid w:val="00C31EDA"/>
    <w:rsid w:val="00C31FB7"/>
    <w:rsid w:val="00C3225D"/>
    <w:rsid w:val="00C325B6"/>
    <w:rsid w:val="00C326AC"/>
    <w:rsid w:val="00C32861"/>
    <w:rsid w:val="00C32CEB"/>
    <w:rsid w:val="00C32E89"/>
    <w:rsid w:val="00C330B7"/>
    <w:rsid w:val="00C33598"/>
    <w:rsid w:val="00C337E8"/>
    <w:rsid w:val="00C337F6"/>
    <w:rsid w:val="00C33F29"/>
    <w:rsid w:val="00C34081"/>
    <w:rsid w:val="00C3408F"/>
    <w:rsid w:val="00C34354"/>
    <w:rsid w:val="00C346C7"/>
    <w:rsid w:val="00C349F6"/>
    <w:rsid w:val="00C34F18"/>
    <w:rsid w:val="00C360FF"/>
    <w:rsid w:val="00C362F0"/>
    <w:rsid w:val="00C369C4"/>
    <w:rsid w:val="00C36BFE"/>
    <w:rsid w:val="00C36CCE"/>
    <w:rsid w:val="00C36F55"/>
    <w:rsid w:val="00C37273"/>
    <w:rsid w:val="00C372EB"/>
    <w:rsid w:val="00C373AE"/>
    <w:rsid w:val="00C37683"/>
    <w:rsid w:val="00C37750"/>
    <w:rsid w:val="00C37765"/>
    <w:rsid w:val="00C37DC7"/>
    <w:rsid w:val="00C40576"/>
    <w:rsid w:val="00C40590"/>
    <w:rsid w:val="00C407FD"/>
    <w:rsid w:val="00C4082B"/>
    <w:rsid w:val="00C408FB"/>
    <w:rsid w:val="00C40A25"/>
    <w:rsid w:val="00C40BFC"/>
    <w:rsid w:val="00C41342"/>
    <w:rsid w:val="00C4186A"/>
    <w:rsid w:val="00C418C1"/>
    <w:rsid w:val="00C41CC1"/>
    <w:rsid w:val="00C421DA"/>
    <w:rsid w:val="00C4272F"/>
    <w:rsid w:val="00C42B66"/>
    <w:rsid w:val="00C42CE4"/>
    <w:rsid w:val="00C42E2C"/>
    <w:rsid w:val="00C434B4"/>
    <w:rsid w:val="00C43882"/>
    <w:rsid w:val="00C43887"/>
    <w:rsid w:val="00C43D05"/>
    <w:rsid w:val="00C43F0B"/>
    <w:rsid w:val="00C4439D"/>
    <w:rsid w:val="00C44C5A"/>
    <w:rsid w:val="00C450A3"/>
    <w:rsid w:val="00C45995"/>
    <w:rsid w:val="00C459B2"/>
    <w:rsid w:val="00C45AA7"/>
    <w:rsid w:val="00C45B22"/>
    <w:rsid w:val="00C460C3"/>
    <w:rsid w:val="00C462CF"/>
    <w:rsid w:val="00C46733"/>
    <w:rsid w:val="00C46F3A"/>
    <w:rsid w:val="00C46FE9"/>
    <w:rsid w:val="00C47118"/>
    <w:rsid w:val="00C472AA"/>
    <w:rsid w:val="00C47AA9"/>
    <w:rsid w:val="00C47E08"/>
    <w:rsid w:val="00C47F3C"/>
    <w:rsid w:val="00C508DC"/>
    <w:rsid w:val="00C50C41"/>
    <w:rsid w:val="00C5133B"/>
    <w:rsid w:val="00C514BB"/>
    <w:rsid w:val="00C518E2"/>
    <w:rsid w:val="00C51A05"/>
    <w:rsid w:val="00C51AF7"/>
    <w:rsid w:val="00C51CCB"/>
    <w:rsid w:val="00C5200B"/>
    <w:rsid w:val="00C527FA"/>
    <w:rsid w:val="00C52819"/>
    <w:rsid w:val="00C5306D"/>
    <w:rsid w:val="00C53835"/>
    <w:rsid w:val="00C53B3D"/>
    <w:rsid w:val="00C53C9D"/>
    <w:rsid w:val="00C53E15"/>
    <w:rsid w:val="00C5459C"/>
    <w:rsid w:val="00C546A0"/>
    <w:rsid w:val="00C557F4"/>
    <w:rsid w:val="00C558E8"/>
    <w:rsid w:val="00C55D25"/>
    <w:rsid w:val="00C56473"/>
    <w:rsid w:val="00C5652E"/>
    <w:rsid w:val="00C57CEC"/>
    <w:rsid w:val="00C57DAE"/>
    <w:rsid w:val="00C6007B"/>
    <w:rsid w:val="00C605F2"/>
    <w:rsid w:val="00C6070E"/>
    <w:rsid w:val="00C60730"/>
    <w:rsid w:val="00C60BC7"/>
    <w:rsid w:val="00C6105E"/>
    <w:rsid w:val="00C61794"/>
    <w:rsid w:val="00C61888"/>
    <w:rsid w:val="00C62021"/>
    <w:rsid w:val="00C62053"/>
    <w:rsid w:val="00C62568"/>
    <w:rsid w:val="00C62913"/>
    <w:rsid w:val="00C62D1A"/>
    <w:rsid w:val="00C62EFF"/>
    <w:rsid w:val="00C6316A"/>
    <w:rsid w:val="00C631E2"/>
    <w:rsid w:val="00C632A9"/>
    <w:rsid w:val="00C639F0"/>
    <w:rsid w:val="00C6409E"/>
    <w:rsid w:val="00C64900"/>
    <w:rsid w:val="00C649FB"/>
    <w:rsid w:val="00C64B81"/>
    <w:rsid w:val="00C64E5A"/>
    <w:rsid w:val="00C64E75"/>
    <w:rsid w:val="00C64EA5"/>
    <w:rsid w:val="00C64FDD"/>
    <w:rsid w:val="00C6551F"/>
    <w:rsid w:val="00C65533"/>
    <w:rsid w:val="00C6565F"/>
    <w:rsid w:val="00C656DE"/>
    <w:rsid w:val="00C65810"/>
    <w:rsid w:val="00C65C34"/>
    <w:rsid w:val="00C65C43"/>
    <w:rsid w:val="00C66147"/>
    <w:rsid w:val="00C66228"/>
    <w:rsid w:val="00C66815"/>
    <w:rsid w:val="00C66894"/>
    <w:rsid w:val="00C66D34"/>
    <w:rsid w:val="00C66FD4"/>
    <w:rsid w:val="00C67865"/>
    <w:rsid w:val="00C700B2"/>
    <w:rsid w:val="00C70BCB"/>
    <w:rsid w:val="00C7140F"/>
    <w:rsid w:val="00C71CAE"/>
    <w:rsid w:val="00C71EF3"/>
    <w:rsid w:val="00C71F6F"/>
    <w:rsid w:val="00C7211D"/>
    <w:rsid w:val="00C72294"/>
    <w:rsid w:val="00C724EA"/>
    <w:rsid w:val="00C726AF"/>
    <w:rsid w:val="00C728AC"/>
    <w:rsid w:val="00C728B1"/>
    <w:rsid w:val="00C72955"/>
    <w:rsid w:val="00C72A54"/>
    <w:rsid w:val="00C72B53"/>
    <w:rsid w:val="00C72CF6"/>
    <w:rsid w:val="00C73061"/>
    <w:rsid w:val="00C7313D"/>
    <w:rsid w:val="00C73316"/>
    <w:rsid w:val="00C73792"/>
    <w:rsid w:val="00C73A26"/>
    <w:rsid w:val="00C73D8E"/>
    <w:rsid w:val="00C73E61"/>
    <w:rsid w:val="00C73F8E"/>
    <w:rsid w:val="00C7431B"/>
    <w:rsid w:val="00C7431D"/>
    <w:rsid w:val="00C75003"/>
    <w:rsid w:val="00C751A5"/>
    <w:rsid w:val="00C751B9"/>
    <w:rsid w:val="00C75B4A"/>
    <w:rsid w:val="00C75C25"/>
    <w:rsid w:val="00C75CBA"/>
    <w:rsid w:val="00C75EB2"/>
    <w:rsid w:val="00C7656F"/>
    <w:rsid w:val="00C767F4"/>
    <w:rsid w:val="00C76833"/>
    <w:rsid w:val="00C76B4C"/>
    <w:rsid w:val="00C77331"/>
    <w:rsid w:val="00C773E5"/>
    <w:rsid w:val="00C77A2B"/>
    <w:rsid w:val="00C77C6D"/>
    <w:rsid w:val="00C804A6"/>
    <w:rsid w:val="00C805A9"/>
    <w:rsid w:val="00C80DE7"/>
    <w:rsid w:val="00C813F6"/>
    <w:rsid w:val="00C81862"/>
    <w:rsid w:val="00C81AA2"/>
    <w:rsid w:val="00C81D7C"/>
    <w:rsid w:val="00C81EBC"/>
    <w:rsid w:val="00C8254A"/>
    <w:rsid w:val="00C82703"/>
    <w:rsid w:val="00C82737"/>
    <w:rsid w:val="00C82956"/>
    <w:rsid w:val="00C82993"/>
    <w:rsid w:val="00C82B30"/>
    <w:rsid w:val="00C834A4"/>
    <w:rsid w:val="00C837D5"/>
    <w:rsid w:val="00C838F6"/>
    <w:rsid w:val="00C83F3F"/>
    <w:rsid w:val="00C84393"/>
    <w:rsid w:val="00C8470C"/>
    <w:rsid w:val="00C84CD9"/>
    <w:rsid w:val="00C84DD9"/>
    <w:rsid w:val="00C851A4"/>
    <w:rsid w:val="00C85204"/>
    <w:rsid w:val="00C85780"/>
    <w:rsid w:val="00C857B2"/>
    <w:rsid w:val="00C85934"/>
    <w:rsid w:val="00C85A16"/>
    <w:rsid w:val="00C85F37"/>
    <w:rsid w:val="00C868B0"/>
    <w:rsid w:val="00C86B78"/>
    <w:rsid w:val="00C86CB5"/>
    <w:rsid w:val="00C86DE6"/>
    <w:rsid w:val="00C870AF"/>
    <w:rsid w:val="00C871E4"/>
    <w:rsid w:val="00C87387"/>
    <w:rsid w:val="00C873A6"/>
    <w:rsid w:val="00C8778D"/>
    <w:rsid w:val="00C87917"/>
    <w:rsid w:val="00C879AD"/>
    <w:rsid w:val="00C87A7D"/>
    <w:rsid w:val="00C87D65"/>
    <w:rsid w:val="00C903C9"/>
    <w:rsid w:val="00C907B6"/>
    <w:rsid w:val="00C90D0E"/>
    <w:rsid w:val="00C90F19"/>
    <w:rsid w:val="00C912C1"/>
    <w:rsid w:val="00C91EF4"/>
    <w:rsid w:val="00C92756"/>
    <w:rsid w:val="00C92C46"/>
    <w:rsid w:val="00C92CA8"/>
    <w:rsid w:val="00C92D7C"/>
    <w:rsid w:val="00C92FF6"/>
    <w:rsid w:val="00C934D9"/>
    <w:rsid w:val="00C93A31"/>
    <w:rsid w:val="00C93F14"/>
    <w:rsid w:val="00C93FE8"/>
    <w:rsid w:val="00C94417"/>
    <w:rsid w:val="00C9483B"/>
    <w:rsid w:val="00C9486F"/>
    <w:rsid w:val="00C94C35"/>
    <w:rsid w:val="00C94D43"/>
    <w:rsid w:val="00C94DB7"/>
    <w:rsid w:val="00C95219"/>
    <w:rsid w:val="00C956F4"/>
    <w:rsid w:val="00C95748"/>
    <w:rsid w:val="00C95A9C"/>
    <w:rsid w:val="00C95BE5"/>
    <w:rsid w:val="00C95ECC"/>
    <w:rsid w:val="00C96061"/>
    <w:rsid w:val="00C9627A"/>
    <w:rsid w:val="00C964D7"/>
    <w:rsid w:val="00C965C2"/>
    <w:rsid w:val="00C968D7"/>
    <w:rsid w:val="00C96907"/>
    <w:rsid w:val="00C970BB"/>
    <w:rsid w:val="00C97195"/>
    <w:rsid w:val="00C971E1"/>
    <w:rsid w:val="00C97983"/>
    <w:rsid w:val="00C97F20"/>
    <w:rsid w:val="00CA0343"/>
    <w:rsid w:val="00CA0485"/>
    <w:rsid w:val="00CA06FF"/>
    <w:rsid w:val="00CA0A10"/>
    <w:rsid w:val="00CA0BB3"/>
    <w:rsid w:val="00CA1036"/>
    <w:rsid w:val="00CA152E"/>
    <w:rsid w:val="00CA18FF"/>
    <w:rsid w:val="00CA1DE5"/>
    <w:rsid w:val="00CA2012"/>
    <w:rsid w:val="00CA23DD"/>
    <w:rsid w:val="00CA2491"/>
    <w:rsid w:val="00CA268D"/>
    <w:rsid w:val="00CA2ABF"/>
    <w:rsid w:val="00CA41DA"/>
    <w:rsid w:val="00CA425E"/>
    <w:rsid w:val="00CA4334"/>
    <w:rsid w:val="00CA43BC"/>
    <w:rsid w:val="00CA4474"/>
    <w:rsid w:val="00CA4715"/>
    <w:rsid w:val="00CA4E84"/>
    <w:rsid w:val="00CA58C3"/>
    <w:rsid w:val="00CA5FAA"/>
    <w:rsid w:val="00CA65A6"/>
    <w:rsid w:val="00CA6BF6"/>
    <w:rsid w:val="00CA6F33"/>
    <w:rsid w:val="00CA713C"/>
    <w:rsid w:val="00CA73E6"/>
    <w:rsid w:val="00CA767A"/>
    <w:rsid w:val="00CA7B49"/>
    <w:rsid w:val="00CA7C5C"/>
    <w:rsid w:val="00CB0353"/>
    <w:rsid w:val="00CB0AC8"/>
    <w:rsid w:val="00CB0C0B"/>
    <w:rsid w:val="00CB0C10"/>
    <w:rsid w:val="00CB0F78"/>
    <w:rsid w:val="00CB164C"/>
    <w:rsid w:val="00CB17F2"/>
    <w:rsid w:val="00CB2060"/>
    <w:rsid w:val="00CB2541"/>
    <w:rsid w:val="00CB284F"/>
    <w:rsid w:val="00CB2EF5"/>
    <w:rsid w:val="00CB2FB9"/>
    <w:rsid w:val="00CB34A4"/>
    <w:rsid w:val="00CB34DC"/>
    <w:rsid w:val="00CB3CCF"/>
    <w:rsid w:val="00CB3D66"/>
    <w:rsid w:val="00CB3EE1"/>
    <w:rsid w:val="00CB424C"/>
    <w:rsid w:val="00CB4440"/>
    <w:rsid w:val="00CB447A"/>
    <w:rsid w:val="00CB4750"/>
    <w:rsid w:val="00CB484E"/>
    <w:rsid w:val="00CB4BCF"/>
    <w:rsid w:val="00CB4F18"/>
    <w:rsid w:val="00CB51BA"/>
    <w:rsid w:val="00CB523C"/>
    <w:rsid w:val="00CB59F2"/>
    <w:rsid w:val="00CB5F2D"/>
    <w:rsid w:val="00CB6125"/>
    <w:rsid w:val="00CB6DFE"/>
    <w:rsid w:val="00CB705C"/>
    <w:rsid w:val="00CB796E"/>
    <w:rsid w:val="00CB7F7F"/>
    <w:rsid w:val="00CC066D"/>
    <w:rsid w:val="00CC0D0D"/>
    <w:rsid w:val="00CC0F03"/>
    <w:rsid w:val="00CC124E"/>
    <w:rsid w:val="00CC1385"/>
    <w:rsid w:val="00CC1917"/>
    <w:rsid w:val="00CC19A1"/>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4E68"/>
    <w:rsid w:val="00CC5033"/>
    <w:rsid w:val="00CC5234"/>
    <w:rsid w:val="00CC559A"/>
    <w:rsid w:val="00CC61AC"/>
    <w:rsid w:val="00CC6D98"/>
    <w:rsid w:val="00CC6DFC"/>
    <w:rsid w:val="00CC6F3C"/>
    <w:rsid w:val="00CC710A"/>
    <w:rsid w:val="00CC73CA"/>
    <w:rsid w:val="00CC7463"/>
    <w:rsid w:val="00CC746C"/>
    <w:rsid w:val="00CD0206"/>
    <w:rsid w:val="00CD040C"/>
    <w:rsid w:val="00CD044F"/>
    <w:rsid w:val="00CD04D3"/>
    <w:rsid w:val="00CD1036"/>
    <w:rsid w:val="00CD1074"/>
    <w:rsid w:val="00CD1098"/>
    <w:rsid w:val="00CD1A0F"/>
    <w:rsid w:val="00CD1A76"/>
    <w:rsid w:val="00CD1AE6"/>
    <w:rsid w:val="00CD1C48"/>
    <w:rsid w:val="00CD1DAF"/>
    <w:rsid w:val="00CD2295"/>
    <w:rsid w:val="00CD240A"/>
    <w:rsid w:val="00CD253B"/>
    <w:rsid w:val="00CD3158"/>
    <w:rsid w:val="00CD389F"/>
    <w:rsid w:val="00CD4060"/>
    <w:rsid w:val="00CD4B7D"/>
    <w:rsid w:val="00CD4DE6"/>
    <w:rsid w:val="00CD4FA5"/>
    <w:rsid w:val="00CD5882"/>
    <w:rsid w:val="00CD5BAA"/>
    <w:rsid w:val="00CD5F28"/>
    <w:rsid w:val="00CD6A9F"/>
    <w:rsid w:val="00CD6AC4"/>
    <w:rsid w:val="00CD6CAD"/>
    <w:rsid w:val="00CD6E61"/>
    <w:rsid w:val="00CD72C5"/>
    <w:rsid w:val="00CD7499"/>
    <w:rsid w:val="00CD7DDD"/>
    <w:rsid w:val="00CD7EDE"/>
    <w:rsid w:val="00CE02D0"/>
    <w:rsid w:val="00CE0351"/>
    <w:rsid w:val="00CE0646"/>
    <w:rsid w:val="00CE07AF"/>
    <w:rsid w:val="00CE0871"/>
    <w:rsid w:val="00CE09FA"/>
    <w:rsid w:val="00CE0DA8"/>
    <w:rsid w:val="00CE1544"/>
    <w:rsid w:val="00CE1857"/>
    <w:rsid w:val="00CE1BC3"/>
    <w:rsid w:val="00CE1D19"/>
    <w:rsid w:val="00CE222C"/>
    <w:rsid w:val="00CE2474"/>
    <w:rsid w:val="00CE3194"/>
    <w:rsid w:val="00CE3E28"/>
    <w:rsid w:val="00CE4200"/>
    <w:rsid w:val="00CE43A5"/>
    <w:rsid w:val="00CE4B12"/>
    <w:rsid w:val="00CE4B86"/>
    <w:rsid w:val="00CE4ECF"/>
    <w:rsid w:val="00CE5028"/>
    <w:rsid w:val="00CE5182"/>
    <w:rsid w:val="00CE5562"/>
    <w:rsid w:val="00CE55DB"/>
    <w:rsid w:val="00CE61FD"/>
    <w:rsid w:val="00CE6606"/>
    <w:rsid w:val="00CE661E"/>
    <w:rsid w:val="00CE68D9"/>
    <w:rsid w:val="00CE6D71"/>
    <w:rsid w:val="00CE73EF"/>
    <w:rsid w:val="00CE7628"/>
    <w:rsid w:val="00CE7AC6"/>
    <w:rsid w:val="00CE7E34"/>
    <w:rsid w:val="00CF02E8"/>
    <w:rsid w:val="00CF05EC"/>
    <w:rsid w:val="00CF09FA"/>
    <w:rsid w:val="00CF0ED0"/>
    <w:rsid w:val="00CF1105"/>
    <w:rsid w:val="00CF11A6"/>
    <w:rsid w:val="00CF11D6"/>
    <w:rsid w:val="00CF19E2"/>
    <w:rsid w:val="00CF1A8C"/>
    <w:rsid w:val="00CF255E"/>
    <w:rsid w:val="00CF3470"/>
    <w:rsid w:val="00CF374E"/>
    <w:rsid w:val="00CF3E24"/>
    <w:rsid w:val="00CF40E7"/>
    <w:rsid w:val="00CF4761"/>
    <w:rsid w:val="00CF4FA9"/>
    <w:rsid w:val="00CF4FB8"/>
    <w:rsid w:val="00CF5DA6"/>
    <w:rsid w:val="00CF5F04"/>
    <w:rsid w:val="00CF60B7"/>
    <w:rsid w:val="00CF684E"/>
    <w:rsid w:val="00CF689A"/>
    <w:rsid w:val="00CF6DED"/>
    <w:rsid w:val="00CF6E50"/>
    <w:rsid w:val="00CF73FE"/>
    <w:rsid w:val="00CF742C"/>
    <w:rsid w:val="00CF7573"/>
    <w:rsid w:val="00CF776F"/>
    <w:rsid w:val="00CF79B0"/>
    <w:rsid w:val="00CF7CF6"/>
    <w:rsid w:val="00CF7EE1"/>
    <w:rsid w:val="00D005C2"/>
    <w:rsid w:val="00D008D6"/>
    <w:rsid w:val="00D00A5E"/>
    <w:rsid w:val="00D00BD3"/>
    <w:rsid w:val="00D01205"/>
    <w:rsid w:val="00D012C4"/>
    <w:rsid w:val="00D013E1"/>
    <w:rsid w:val="00D0149B"/>
    <w:rsid w:val="00D016C3"/>
    <w:rsid w:val="00D01833"/>
    <w:rsid w:val="00D01A87"/>
    <w:rsid w:val="00D022E9"/>
    <w:rsid w:val="00D0279E"/>
    <w:rsid w:val="00D02AC5"/>
    <w:rsid w:val="00D02CD5"/>
    <w:rsid w:val="00D0330D"/>
    <w:rsid w:val="00D0348D"/>
    <w:rsid w:val="00D03824"/>
    <w:rsid w:val="00D03871"/>
    <w:rsid w:val="00D039B6"/>
    <w:rsid w:val="00D03A53"/>
    <w:rsid w:val="00D03E74"/>
    <w:rsid w:val="00D03F6A"/>
    <w:rsid w:val="00D04392"/>
    <w:rsid w:val="00D045DD"/>
    <w:rsid w:val="00D05330"/>
    <w:rsid w:val="00D0539B"/>
    <w:rsid w:val="00D055DE"/>
    <w:rsid w:val="00D05828"/>
    <w:rsid w:val="00D0582D"/>
    <w:rsid w:val="00D0588E"/>
    <w:rsid w:val="00D06554"/>
    <w:rsid w:val="00D069D0"/>
    <w:rsid w:val="00D06E3E"/>
    <w:rsid w:val="00D07845"/>
    <w:rsid w:val="00D07A98"/>
    <w:rsid w:val="00D07E13"/>
    <w:rsid w:val="00D07E68"/>
    <w:rsid w:val="00D102AF"/>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4186"/>
    <w:rsid w:val="00D141E9"/>
    <w:rsid w:val="00D14202"/>
    <w:rsid w:val="00D143C5"/>
    <w:rsid w:val="00D144CA"/>
    <w:rsid w:val="00D1451B"/>
    <w:rsid w:val="00D14982"/>
    <w:rsid w:val="00D14CE1"/>
    <w:rsid w:val="00D14E68"/>
    <w:rsid w:val="00D14F32"/>
    <w:rsid w:val="00D15116"/>
    <w:rsid w:val="00D1511B"/>
    <w:rsid w:val="00D15135"/>
    <w:rsid w:val="00D1577D"/>
    <w:rsid w:val="00D157D1"/>
    <w:rsid w:val="00D15DD1"/>
    <w:rsid w:val="00D162F1"/>
    <w:rsid w:val="00D16655"/>
    <w:rsid w:val="00D16B74"/>
    <w:rsid w:val="00D170F2"/>
    <w:rsid w:val="00D1717A"/>
    <w:rsid w:val="00D173DE"/>
    <w:rsid w:val="00D1758B"/>
    <w:rsid w:val="00D17C1B"/>
    <w:rsid w:val="00D17C91"/>
    <w:rsid w:val="00D2042F"/>
    <w:rsid w:val="00D205CD"/>
    <w:rsid w:val="00D206DD"/>
    <w:rsid w:val="00D20F46"/>
    <w:rsid w:val="00D212D3"/>
    <w:rsid w:val="00D2153D"/>
    <w:rsid w:val="00D215D7"/>
    <w:rsid w:val="00D21E0E"/>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58C9"/>
    <w:rsid w:val="00D26390"/>
    <w:rsid w:val="00D26A8A"/>
    <w:rsid w:val="00D273CA"/>
    <w:rsid w:val="00D274C3"/>
    <w:rsid w:val="00D27A0B"/>
    <w:rsid w:val="00D27B36"/>
    <w:rsid w:val="00D30869"/>
    <w:rsid w:val="00D30DE3"/>
    <w:rsid w:val="00D314AB"/>
    <w:rsid w:val="00D318B8"/>
    <w:rsid w:val="00D323DE"/>
    <w:rsid w:val="00D328D4"/>
    <w:rsid w:val="00D32925"/>
    <w:rsid w:val="00D329FE"/>
    <w:rsid w:val="00D32D58"/>
    <w:rsid w:val="00D332F3"/>
    <w:rsid w:val="00D33422"/>
    <w:rsid w:val="00D336AA"/>
    <w:rsid w:val="00D336B0"/>
    <w:rsid w:val="00D33A35"/>
    <w:rsid w:val="00D33E1C"/>
    <w:rsid w:val="00D3513C"/>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21B"/>
    <w:rsid w:val="00D4082E"/>
    <w:rsid w:val="00D408E4"/>
    <w:rsid w:val="00D41004"/>
    <w:rsid w:val="00D417A5"/>
    <w:rsid w:val="00D41826"/>
    <w:rsid w:val="00D418C2"/>
    <w:rsid w:val="00D41A90"/>
    <w:rsid w:val="00D41E27"/>
    <w:rsid w:val="00D420E4"/>
    <w:rsid w:val="00D42A4E"/>
    <w:rsid w:val="00D42DBC"/>
    <w:rsid w:val="00D42E04"/>
    <w:rsid w:val="00D42F46"/>
    <w:rsid w:val="00D43179"/>
    <w:rsid w:val="00D435BD"/>
    <w:rsid w:val="00D43C96"/>
    <w:rsid w:val="00D43D17"/>
    <w:rsid w:val="00D43D31"/>
    <w:rsid w:val="00D43F3C"/>
    <w:rsid w:val="00D44203"/>
    <w:rsid w:val="00D447C4"/>
    <w:rsid w:val="00D44A2C"/>
    <w:rsid w:val="00D44F47"/>
    <w:rsid w:val="00D44FBA"/>
    <w:rsid w:val="00D44FC9"/>
    <w:rsid w:val="00D4511C"/>
    <w:rsid w:val="00D4511D"/>
    <w:rsid w:val="00D45339"/>
    <w:rsid w:val="00D455AC"/>
    <w:rsid w:val="00D45E02"/>
    <w:rsid w:val="00D46549"/>
    <w:rsid w:val="00D466BF"/>
    <w:rsid w:val="00D46A5B"/>
    <w:rsid w:val="00D46C3D"/>
    <w:rsid w:val="00D46E51"/>
    <w:rsid w:val="00D47170"/>
    <w:rsid w:val="00D47506"/>
    <w:rsid w:val="00D4758D"/>
    <w:rsid w:val="00D47FAD"/>
    <w:rsid w:val="00D50008"/>
    <w:rsid w:val="00D50946"/>
    <w:rsid w:val="00D50C02"/>
    <w:rsid w:val="00D50E49"/>
    <w:rsid w:val="00D512E7"/>
    <w:rsid w:val="00D5132B"/>
    <w:rsid w:val="00D51351"/>
    <w:rsid w:val="00D513FA"/>
    <w:rsid w:val="00D51641"/>
    <w:rsid w:val="00D51FD7"/>
    <w:rsid w:val="00D524E1"/>
    <w:rsid w:val="00D52654"/>
    <w:rsid w:val="00D52ECE"/>
    <w:rsid w:val="00D52F10"/>
    <w:rsid w:val="00D531CA"/>
    <w:rsid w:val="00D53B51"/>
    <w:rsid w:val="00D53BCA"/>
    <w:rsid w:val="00D53D5D"/>
    <w:rsid w:val="00D542AC"/>
    <w:rsid w:val="00D543BE"/>
    <w:rsid w:val="00D545D4"/>
    <w:rsid w:val="00D54675"/>
    <w:rsid w:val="00D552F8"/>
    <w:rsid w:val="00D5569E"/>
    <w:rsid w:val="00D55D2D"/>
    <w:rsid w:val="00D55FD7"/>
    <w:rsid w:val="00D56B7D"/>
    <w:rsid w:val="00D56F3F"/>
    <w:rsid w:val="00D5709A"/>
    <w:rsid w:val="00D5773A"/>
    <w:rsid w:val="00D57897"/>
    <w:rsid w:val="00D57923"/>
    <w:rsid w:val="00D603D8"/>
    <w:rsid w:val="00D6111C"/>
    <w:rsid w:val="00D6123D"/>
    <w:rsid w:val="00D6152A"/>
    <w:rsid w:val="00D61539"/>
    <w:rsid w:val="00D61727"/>
    <w:rsid w:val="00D61F7C"/>
    <w:rsid w:val="00D6215F"/>
    <w:rsid w:val="00D622DC"/>
    <w:rsid w:val="00D625A3"/>
    <w:rsid w:val="00D62709"/>
    <w:rsid w:val="00D62972"/>
    <w:rsid w:val="00D62C85"/>
    <w:rsid w:val="00D62F30"/>
    <w:rsid w:val="00D62FA4"/>
    <w:rsid w:val="00D632F9"/>
    <w:rsid w:val="00D63431"/>
    <w:rsid w:val="00D63A9F"/>
    <w:rsid w:val="00D63B99"/>
    <w:rsid w:val="00D63D72"/>
    <w:rsid w:val="00D64A64"/>
    <w:rsid w:val="00D64ED5"/>
    <w:rsid w:val="00D64FE5"/>
    <w:rsid w:val="00D65466"/>
    <w:rsid w:val="00D65507"/>
    <w:rsid w:val="00D655B3"/>
    <w:rsid w:val="00D66154"/>
    <w:rsid w:val="00D66462"/>
    <w:rsid w:val="00D66D53"/>
    <w:rsid w:val="00D67334"/>
    <w:rsid w:val="00D67517"/>
    <w:rsid w:val="00D675A7"/>
    <w:rsid w:val="00D67715"/>
    <w:rsid w:val="00D67E6A"/>
    <w:rsid w:val="00D7029D"/>
    <w:rsid w:val="00D70393"/>
    <w:rsid w:val="00D70627"/>
    <w:rsid w:val="00D70D9B"/>
    <w:rsid w:val="00D71186"/>
    <w:rsid w:val="00D717F5"/>
    <w:rsid w:val="00D71A1F"/>
    <w:rsid w:val="00D71D54"/>
    <w:rsid w:val="00D72392"/>
    <w:rsid w:val="00D72496"/>
    <w:rsid w:val="00D7272C"/>
    <w:rsid w:val="00D72842"/>
    <w:rsid w:val="00D72B6D"/>
    <w:rsid w:val="00D72DF9"/>
    <w:rsid w:val="00D72EB1"/>
    <w:rsid w:val="00D73580"/>
    <w:rsid w:val="00D73788"/>
    <w:rsid w:val="00D7379C"/>
    <w:rsid w:val="00D74232"/>
    <w:rsid w:val="00D74383"/>
    <w:rsid w:val="00D74DBE"/>
    <w:rsid w:val="00D74E10"/>
    <w:rsid w:val="00D74FD3"/>
    <w:rsid w:val="00D752FA"/>
    <w:rsid w:val="00D75460"/>
    <w:rsid w:val="00D757BE"/>
    <w:rsid w:val="00D75AB5"/>
    <w:rsid w:val="00D75DCA"/>
    <w:rsid w:val="00D761CA"/>
    <w:rsid w:val="00D761CD"/>
    <w:rsid w:val="00D7635D"/>
    <w:rsid w:val="00D763AC"/>
    <w:rsid w:val="00D76BFC"/>
    <w:rsid w:val="00D76C21"/>
    <w:rsid w:val="00D76DD8"/>
    <w:rsid w:val="00D77025"/>
    <w:rsid w:val="00D7748A"/>
    <w:rsid w:val="00D7751C"/>
    <w:rsid w:val="00D779C3"/>
    <w:rsid w:val="00D77CD1"/>
    <w:rsid w:val="00D80420"/>
    <w:rsid w:val="00D8053E"/>
    <w:rsid w:val="00D80B48"/>
    <w:rsid w:val="00D81134"/>
    <w:rsid w:val="00D813D7"/>
    <w:rsid w:val="00D815D6"/>
    <w:rsid w:val="00D81F79"/>
    <w:rsid w:val="00D82313"/>
    <w:rsid w:val="00D8236E"/>
    <w:rsid w:val="00D823CE"/>
    <w:rsid w:val="00D82630"/>
    <w:rsid w:val="00D82671"/>
    <w:rsid w:val="00D83115"/>
    <w:rsid w:val="00D8328C"/>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70E"/>
    <w:rsid w:val="00D92F9F"/>
    <w:rsid w:val="00D93036"/>
    <w:rsid w:val="00D9396B"/>
    <w:rsid w:val="00D93A5F"/>
    <w:rsid w:val="00D93B08"/>
    <w:rsid w:val="00D942A7"/>
    <w:rsid w:val="00D945B2"/>
    <w:rsid w:val="00D949C2"/>
    <w:rsid w:val="00D94EBE"/>
    <w:rsid w:val="00D94FEE"/>
    <w:rsid w:val="00D95106"/>
    <w:rsid w:val="00D954FE"/>
    <w:rsid w:val="00D95B8C"/>
    <w:rsid w:val="00D95DBA"/>
    <w:rsid w:val="00D95F2A"/>
    <w:rsid w:val="00D96043"/>
    <w:rsid w:val="00D96590"/>
    <w:rsid w:val="00D96B93"/>
    <w:rsid w:val="00D96D04"/>
    <w:rsid w:val="00D96E85"/>
    <w:rsid w:val="00D96F5B"/>
    <w:rsid w:val="00D9721A"/>
    <w:rsid w:val="00D97444"/>
    <w:rsid w:val="00D974B8"/>
    <w:rsid w:val="00D977A1"/>
    <w:rsid w:val="00DA015F"/>
    <w:rsid w:val="00DA06A8"/>
    <w:rsid w:val="00DA0C85"/>
    <w:rsid w:val="00DA0E4F"/>
    <w:rsid w:val="00DA111A"/>
    <w:rsid w:val="00DA16D2"/>
    <w:rsid w:val="00DA18B3"/>
    <w:rsid w:val="00DA1D22"/>
    <w:rsid w:val="00DA1E5B"/>
    <w:rsid w:val="00DA208A"/>
    <w:rsid w:val="00DA20CA"/>
    <w:rsid w:val="00DA220B"/>
    <w:rsid w:val="00DA2564"/>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B5"/>
    <w:rsid w:val="00DA5332"/>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963"/>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6C3"/>
    <w:rsid w:val="00DB6794"/>
    <w:rsid w:val="00DB6DB4"/>
    <w:rsid w:val="00DB6ECE"/>
    <w:rsid w:val="00DB6F68"/>
    <w:rsid w:val="00DB723D"/>
    <w:rsid w:val="00DB7292"/>
    <w:rsid w:val="00DB741F"/>
    <w:rsid w:val="00DB750F"/>
    <w:rsid w:val="00DB7FA7"/>
    <w:rsid w:val="00DC015B"/>
    <w:rsid w:val="00DC0187"/>
    <w:rsid w:val="00DC0522"/>
    <w:rsid w:val="00DC0552"/>
    <w:rsid w:val="00DC0D9A"/>
    <w:rsid w:val="00DC171F"/>
    <w:rsid w:val="00DC1C99"/>
    <w:rsid w:val="00DC1CF3"/>
    <w:rsid w:val="00DC2AC1"/>
    <w:rsid w:val="00DC3400"/>
    <w:rsid w:val="00DC36BA"/>
    <w:rsid w:val="00DC3A64"/>
    <w:rsid w:val="00DC3BCD"/>
    <w:rsid w:val="00DC4680"/>
    <w:rsid w:val="00DC47EE"/>
    <w:rsid w:val="00DC4AAC"/>
    <w:rsid w:val="00DC54F4"/>
    <w:rsid w:val="00DC579E"/>
    <w:rsid w:val="00DC59B7"/>
    <w:rsid w:val="00DC6FD4"/>
    <w:rsid w:val="00DC7412"/>
    <w:rsid w:val="00DC7623"/>
    <w:rsid w:val="00DC76FA"/>
    <w:rsid w:val="00DD0247"/>
    <w:rsid w:val="00DD04C4"/>
    <w:rsid w:val="00DD0541"/>
    <w:rsid w:val="00DD0548"/>
    <w:rsid w:val="00DD0759"/>
    <w:rsid w:val="00DD0845"/>
    <w:rsid w:val="00DD0973"/>
    <w:rsid w:val="00DD09FC"/>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F2"/>
    <w:rsid w:val="00DD2BA9"/>
    <w:rsid w:val="00DD2E7D"/>
    <w:rsid w:val="00DD335C"/>
    <w:rsid w:val="00DD33F2"/>
    <w:rsid w:val="00DD3574"/>
    <w:rsid w:val="00DD3E64"/>
    <w:rsid w:val="00DD4BCC"/>
    <w:rsid w:val="00DD524B"/>
    <w:rsid w:val="00DD53E9"/>
    <w:rsid w:val="00DD5C91"/>
    <w:rsid w:val="00DD62BA"/>
    <w:rsid w:val="00DD64D3"/>
    <w:rsid w:val="00DD6604"/>
    <w:rsid w:val="00DD677B"/>
    <w:rsid w:val="00DD67D7"/>
    <w:rsid w:val="00DD6B02"/>
    <w:rsid w:val="00DD7219"/>
    <w:rsid w:val="00DD7245"/>
    <w:rsid w:val="00DD72FA"/>
    <w:rsid w:val="00DD7A12"/>
    <w:rsid w:val="00DD7A84"/>
    <w:rsid w:val="00DD7D2B"/>
    <w:rsid w:val="00DE090D"/>
    <w:rsid w:val="00DE0FF7"/>
    <w:rsid w:val="00DE151B"/>
    <w:rsid w:val="00DE151E"/>
    <w:rsid w:val="00DE1955"/>
    <w:rsid w:val="00DE1AFB"/>
    <w:rsid w:val="00DE1B00"/>
    <w:rsid w:val="00DE1CBD"/>
    <w:rsid w:val="00DE2516"/>
    <w:rsid w:val="00DE261A"/>
    <w:rsid w:val="00DE269C"/>
    <w:rsid w:val="00DE2F4E"/>
    <w:rsid w:val="00DE3060"/>
    <w:rsid w:val="00DE3590"/>
    <w:rsid w:val="00DE41D1"/>
    <w:rsid w:val="00DE45D8"/>
    <w:rsid w:val="00DE45E9"/>
    <w:rsid w:val="00DE5292"/>
    <w:rsid w:val="00DE53E1"/>
    <w:rsid w:val="00DE56C2"/>
    <w:rsid w:val="00DE5731"/>
    <w:rsid w:val="00DE57D1"/>
    <w:rsid w:val="00DE59CF"/>
    <w:rsid w:val="00DE6142"/>
    <w:rsid w:val="00DE614E"/>
    <w:rsid w:val="00DE61D6"/>
    <w:rsid w:val="00DE6462"/>
    <w:rsid w:val="00DE670A"/>
    <w:rsid w:val="00DE69F4"/>
    <w:rsid w:val="00DE6A95"/>
    <w:rsid w:val="00DE6E06"/>
    <w:rsid w:val="00DE6ED8"/>
    <w:rsid w:val="00DE763A"/>
    <w:rsid w:val="00DE7787"/>
    <w:rsid w:val="00DE7A4D"/>
    <w:rsid w:val="00DE7E0B"/>
    <w:rsid w:val="00DF0205"/>
    <w:rsid w:val="00DF0969"/>
    <w:rsid w:val="00DF1023"/>
    <w:rsid w:val="00DF168B"/>
    <w:rsid w:val="00DF175D"/>
    <w:rsid w:val="00DF1A2C"/>
    <w:rsid w:val="00DF1E61"/>
    <w:rsid w:val="00DF1E8B"/>
    <w:rsid w:val="00DF2040"/>
    <w:rsid w:val="00DF20D4"/>
    <w:rsid w:val="00DF25EF"/>
    <w:rsid w:val="00DF27A8"/>
    <w:rsid w:val="00DF2A48"/>
    <w:rsid w:val="00DF2EEC"/>
    <w:rsid w:val="00DF2F66"/>
    <w:rsid w:val="00DF30DB"/>
    <w:rsid w:val="00DF3271"/>
    <w:rsid w:val="00DF34CF"/>
    <w:rsid w:val="00DF34D1"/>
    <w:rsid w:val="00DF3690"/>
    <w:rsid w:val="00DF37AE"/>
    <w:rsid w:val="00DF3ADA"/>
    <w:rsid w:val="00DF470A"/>
    <w:rsid w:val="00DF4AF1"/>
    <w:rsid w:val="00DF50BD"/>
    <w:rsid w:val="00DF520D"/>
    <w:rsid w:val="00DF52B0"/>
    <w:rsid w:val="00DF6301"/>
    <w:rsid w:val="00DF69E9"/>
    <w:rsid w:val="00DF71C9"/>
    <w:rsid w:val="00DF74D1"/>
    <w:rsid w:val="00DF7F09"/>
    <w:rsid w:val="00E000D2"/>
    <w:rsid w:val="00E00250"/>
    <w:rsid w:val="00E00623"/>
    <w:rsid w:val="00E007CF"/>
    <w:rsid w:val="00E00920"/>
    <w:rsid w:val="00E00A21"/>
    <w:rsid w:val="00E00B16"/>
    <w:rsid w:val="00E00BAE"/>
    <w:rsid w:val="00E00D89"/>
    <w:rsid w:val="00E00F88"/>
    <w:rsid w:val="00E019DA"/>
    <w:rsid w:val="00E01ADD"/>
    <w:rsid w:val="00E01BCE"/>
    <w:rsid w:val="00E01BEB"/>
    <w:rsid w:val="00E01D3E"/>
    <w:rsid w:val="00E01EF0"/>
    <w:rsid w:val="00E022BB"/>
    <w:rsid w:val="00E0231D"/>
    <w:rsid w:val="00E02AAC"/>
    <w:rsid w:val="00E0335C"/>
    <w:rsid w:val="00E035CC"/>
    <w:rsid w:val="00E03837"/>
    <w:rsid w:val="00E039E4"/>
    <w:rsid w:val="00E03A64"/>
    <w:rsid w:val="00E03F6C"/>
    <w:rsid w:val="00E03F88"/>
    <w:rsid w:val="00E04245"/>
    <w:rsid w:val="00E047F0"/>
    <w:rsid w:val="00E05312"/>
    <w:rsid w:val="00E05330"/>
    <w:rsid w:val="00E055A4"/>
    <w:rsid w:val="00E06917"/>
    <w:rsid w:val="00E06B81"/>
    <w:rsid w:val="00E06B8B"/>
    <w:rsid w:val="00E06FC2"/>
    <w:rsid w:val="00E07043"/>
    <w:rsid w:val="00E071EA"/>
    <w:rsid w:val="00E0720C"/>
    <w:rsid w:val="00E077C1"/>
    <w:rsid w:val="00E07BE2"/>
    <w:rsid w:val="00E105A8"/>
    <w:rsid w:val="00E106BA"/>
    <w:rsid w:val="00E10785"/>
    <w:rsid w:val="00E108DB"/>
    <w:rsid w:val="00E10B74"/>
    <w:rsid w:val="00E1154C"/>
    <w:rsid w:val="00E11703"/>
    <w:rsid w:val="00E11B32"/>
    <w:rsid w:val="00E11EAB"/>
    <w:rsid w:val="00E12043"/>
    <w:rsid w:val="00E12163"/>
    <w:rsid w:val="00E12272"/>
    <w:rsid w:val="00E12284"/>
    <w:rsid w:val="00E12706"/>
    <w:rsid w:val="00E12923"/>
    <w:rsid w:val="00E12FB5"/>
    <w:rsid w:val="00E131A1"/>
    <w:rsid w:val="00E13674"/>
    <w:rsid w:val="00E139FF"/>
    <w:rsid w:val="00E13C05"/>
    <w:rsid w:val="00E13E5A"/>
    <w:rsid w:val="00E14641"/>
    <w:rsid w:val="00E1524F"/>
    <w:rsid w:val="00E15902"/>
    <w:rsid w:val="00E159BB"/>
    <w:rsid w:val="00E15E05"/>
    <w:rsid w:val="00E164BD"/>
    <w:rsid w:val="00E168D3"/>
    <w:rsid w:val="00E16AEE"/>
    <w:rsid w:val="00E16D5F"/>
    <w:rsid w:val="00E16E74"/>
    <w:rsid w:val="00E17020"/>
    <w:rsid w:val="00E17239"/>
    <w:rsid w:val="00E17329"/>
    <w:rsid w:val="00E17703"/>
    <w:rsid w:val="00E178BE"/>
    <w:rsid w:val="00E17D7B"/>
    <w:rsid w:val="00E17DC0"/>
    <w:rsid w:val="00E17EB4"/>
    <w:rsid w:val="00E17FA3"/>
    <w:rsid w:val="00E20830"/>
    <w:rsid w:val="00E20B33"/>
    <w:rsid w:val="00E2104C"/>
    <w:rsid w:val="00E21157"/>
    <w:rsid w:val="00E212C2"/>
    <w:rsid w:val="00E21555"/>
    <w:rsid w:val="00E2179F"/>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28A"/>
    <w:rsid w:val="00E24771"/>
    <w:rsid w:val="00E24AB7"/>
    <w:rsid w:val="00E24B18"/>
    <w:rsid w:val="00E24BEC"/>
    <w:rsid w:val="00E24F18"/>
    <w:rsid w:val="00E254A6"/>
    <w:rsid w:val="00E254D9"/>
    <w:rsid w:val="00E25F43"/>
    <w:rsid w:val="00E25F59"/>
    <w:rsid w:val="00E25F97"/>
    <w:rsid w:val="00E25FEB"/>
    <w:rsid w:val="00E265B4"/>
    <w:rsid w:val="00E266F7"/>
    <w:rsid w:val="00E26E9B"/>
    <w:rsid w:val="00E26EA5"/>
    <w:rsid w:val="00E26EEA"/>
    <w:rsid w:val="00E2735F"/>
    <w:rsid w:val="00E27DB4"/>
    <w:rsid w:val="00E30328"/>
    <w:rsid w:val="00E30536"/>
    <w:rsid w:val="00E31A05"/>
    <w:rsid w:val="00E31AE9"/>
    <w:rsid w:val="00E32C52"/>
    <w:rsid w:val="00E32E11"/>
    <w:rsid w:val="00E33436"/>
    <w:rsid w:val="00E337D2"/>
    <w:rsid w:val="00E33966"/>
    <w:rsid w:val="00E339AA"/>
    <w:rsid w:val="00E33E66"/>
    <w:rsid w:val="00E34255"/>
    <w:rsid w:val="00E34A44"/>
    <w:rsid w:val="00E34C8C"/>
    <w:rsid w:val="00E353FD"/>
    <w:rsid w:val="00E35580"/>
    <w:rsid w:val="00E3586B"/>
    <w:rsid w:val="00E35E73"/>
    <w:rsid w:val="00E3682B"/>
    <w:rsid w:val="00E36920"/>
    <w:rsid w:val="00E36BFC"/>
    <w:rsid w:val="00E36D9E"/>
    <w:rsid w:val="00E36DE5"/>
    <w:rsid w:val="00E36EFA"/>
    <w:rsid w:val="00E370FA"/>
    <w:rsid w:val="00E371C0"/>
    <w:rsid w:val="00E373C3"/>
    <w:rsid w:val="00E374F8"/>
    <w:rsid w:val="00E3762F"/>
    <w:rsid w:val="00E37827"/>
    <w:rsid w:val="00E37B1B"/>
    <w:rsid w:val="00E37B76"/>
    <w:rsid w:val="00E37BEE"/>
    <w:rsid w:val="00E37C87"/>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2EAA"/>
    <w:rsid w:val="00E437C7"/>
    <w:rsid w:val="00E437CD"/>
    <w:rsid w:val="00E43927"/>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661"/>
    <w:rsid w:val="00E46AF8"/>
    <w:rsid w:val="00E46D20"/>
    <w:rsid w:val="00E46F16"/>
    <w:rsid w:val="00E46F59"/>
    <w:rsid w:val="00E46FB1"/>
    <w:rsid w:val="00E47768"/>
    <w:rsid w:val="00E47A09"/>
    <w:rsid w:val="00E47C73"/>
    <w:rsid w:val="00E47D1D"/>
    <w:rsid w:val="00E47D52"/>
    <w:rsid w:val="00E47EF6"/>
    <w:rsid w:val="00E50074"/>
    <w:rsid w:val="00E506A8"/>
    <w:rsid w:val="00E5071A"/>
    <w:rsid w:val="00E5098B"/>
    <w:rsid w:val="00E50ED3"/>
    <w:rsid w:val="00E512DC"/>
    <w:rsid w:val="00E51346"/>
    <w:rsid w:val="00E51723"/>
    <w:rsid w:val="00E5181F"/>
    <w:rsid w:val="00E51970"/>
    <w:rsid w:val="00E51A50"/>
    <w:rsid w:val="00E51D6E"/>
    <w:rsid w:val="00E51F35"/>
    <w:rsid w:val="00E5213E"/>
    <w:rsid w:val="00E521D0"/>
    <w:rsid w:val="00E52491"/>
    <w:rsid w:val="00E5312A"/>
    <w:rsid w:val="00E53C9C"/>
    <w:rsid w:val="00E5496D"/>
    <w:rsid w:val="00E54C45"/>
    <w:rsid w:val="00E5539D"/>
    <w:rsid w:val="00E5579D"/>
    <w:rsid w:val="00E56B67"/>
    <w:rsid w:val="00E56C07"/>
    <w:rsid w:val="00E56CB5"/>
    <w:rsid w:val="00E56D78"/>
    <w:rsid w:val="00E572A2"/>
    <w:rsid w:val="00E5770D"/>
    <w:rsid w:val="00E6005E"/>
    <w:rsid w:val="00E602D2"/>
    <w:rsid w:val="00E60D4D"/>
    <w:rsid w:val="00E60DB4"/>
    <w:rsid w:val="00E60DF5"/>
    <w:rsid w:val="00E61005"/>
    <w:rsid w:val="00E6109F"/>
    <w:rsid w:val="00E610F8"/>
    <w:rsid w:val="00E613D4"/>
    <w:rsid w:val="00E61641"/>
    <w:rsid w:val="00E6195A"/>
    <w:rsid w:val="00E619D8"/>
    <w:rsid w:val="00E62A27"/>
    <w:rsid w:val="00E62EC8"/>
    <w:rsid w:val="00E632DA"/>
    <w:rsid w:val="00E633F1"/>
    <w:rsid w:val="00E6340D"/>
    <w:rsid w:val="00E63927"/>
    <w:rsid w:val="00E63A8B"/>
    <w:rsid w:val="00E63B22"/>
    <w:rsid w:val="00E64314"/>
    <w:rsid w:val="00E64420"/>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71D5"/>
    <w:rsid w:val="00E6799F"/>
    <w:rsid w:val="00E67E91"/>
    <w:rsid w:val="00E7066C"/>
    <w:rsid w:val="00E70882"/>
    <w:rsid w:val="00E70A75"/>
    <w:rsid w:val="00E70E8D"/>
    <w:rsid w:val="00E71125"/>
    <w:rsid w:val="00E71674"/>
    <w:rsid w:val="00E719CB"/>
    <w:rsid w:val="00E71C94"/>
    <w:rsid w:val="00E71CB0"/>
    <w:rsid w:val="00E71D19"/>
    <w:rsid w:val="00E7228B"/>
    <w:rsid w:val="00E729FB"/>
    <w:rsid w:val="00E72A08"/>
    <w:rsid w:val="00E72C61"/>
    <w:rsid w:val="00E73972"/>
    <w:rsid w:val="00E73DF0"/>
    <w:rsid w:val="00E7418E"/>
    <w:rsid w:val="00E742FA"/>
    <w:rsid w:val="00E7432A"/>
    <w:rsid w:val="00E745A2"/>
    <w:rsid w:val="00E74724"/>
    <w:rsid w:val="00E747FA"/>
    <w:rsid w:val="00E7484E"/>
    <w:rsid w:val="00E74B5A"/>
    <w:rsid w:val="00E74F42"/>
    <w:rsid w:val="00E75007"/>
    <w:rsid w:val="00E750BE"/>
    <w:rsid w:val="00E7517A"/>
    <w:rsid w:val="00E751A1"/>
    <w:rsid w:val="00E75242"/>
    <w:rsid w:val="00E75313"/>
    <w:rsid w:val="00E75797"/>
    <w:rsid w:val="00E75F62"/>
    <w:rsid w:val="00E75F68"/>
    <w:rsid w:val="00E763C7"/>
    <w:rsid w:val="00E76767"/>
    <w:rsid w:val="00E76B00"/>
    <w:rsid w:val="00E77050"/>
    <w:rsid w:val="00E77249"/>
    <w:rsid w:val="00E77625"/>
    <w:rsid w:val="00E7779C"/>
    <w:rsid w:val="00E8050F"/>
    <w:rsid w:val="00E80576"/>
    <w:rsid w:val="00E8065B"/>
    <w:rsid w:val="00E80CE8"/>
    <w:rsid w:val="00E81542"/>
    <w:rsid w:val="00E8170E"/>
    <w:rsid w:val="00E82281"/>
    <w:rsid w:val="00E823EC"/>
    <w:rsid w:val="00E82A62"/>
    <w:rsid w:val="00E82AA0"/>
    <w:rsid w:val="00E82ABF"/>
    <w:rsid w:val="00E82C10"/>
    <w:rsid w:val="00E8300C"/>
    <w:rsid w:val="00E8310F"/>
    <w:rsid w:val="00E832E9"/>
    <w:rsid w:val="00E8379E"/>
    <w:rsid w:val="00E83BB4"/>
    <w:rsid w:val="00E83BF0"/>
    <w:rsid w:val="00E83D5A"/>
    <w:rsid w:val="00E84058"/>
    <w:rsid w:val="00E843E2"/>
    <w:rsid w:val="00E844CE"/>
    <w:rsid w:val="00E8464B"/>
    <w:rsid w:val="00E846CC"/>
    <w:rsid w:val="00E8479D"/>
    <w:rsid w:val="00E84888"/>
    <w:rsid w:val="00E851A4"/>
    <w:rsid w:val="00E8523F"/>
    <w:rsid w:val="00E85304"/>
    <w:rsid w:val="00E854E1"/>
    <w:rsid w:val="00E855CE"/>
    <w:rsid w:val="00E85687"/>
    <w:rsid w:val="00E8580C"/>
    <w:rsid w:val="00E85A04"/>
    <w:rsid w:val="00E85B0F"/>
    <w:rsid w:val="00E8617A"/>
    <w:rsid w:val="00E86ADE"/>
    <w:rsid w:val="00E86C27"/>
    <w:rsid w:val="00E86DD5"/>
    <w:rsid w:val="00E872FC"/>
    <w:rsid w:val="00E87351"/>
    <w:rsid w:val="00E87C5D"/>
    <w:rsid w:val="00E90654"/>
    <w:rsid w:val="00E90B61"/>
    <w:rsid w:val="00E90B93"/>
    <w:rsid w:val="00E915AE"/>
    <w:rsid w:val="00E91A98"/>
    <w:rsid w:val="00E92350"/>
    <w:rsid w:val="00E92807"/>
    <w:rsid w:val="00E9285C"/>
    <w:rsid w:val="00E928FD"/>
    <w:rsid w:val="00E92927"/>
    <w:rsid w:val="00E92CC0"/>
    <w:rsid w:val="00E92FE2"/>
    <w:rsid w:val="00E93145"/>
    <w:rsid w:val="00E93336"/>
    <w:rsid w:val="00E936D8"/>
    <w:rsid w:val="00E93AD9"/>
    <w:rsid w:val="00E93DD2"/>
    <w:rsid w:val="00E94148"/>
    <w:rsid w:val="00E944E5"/>
    <w:rsid w:val="00E947E8"/>
    <w:rsid w:val="00E9486C"/>
    <w:rsid w:val="00E949DA"/>
    <w:rsid w:val="00E94CF1"/>
    <w:rsid w:val="00E951BD"/>
    <w:rsid w:val="00E95362"/>
    <w:rsid w:val="00E954F9"/>
    <w:rsid w:val="00E95673"/>
    <w:rsid w:val="00E956B5"/>
    <w:rsid w:val="00E96433"/>
    <w:rsid w:val="00E96789"/>
    <w:rsid w:val="00E9682D"/>
    <w:rsid w:val="00E9682E"/>
    <w:rsid w:val="00E96FDD"/>
    <w:rsid w:val="00E97698"/>
    <w:rsid w:val="00EA00CC"/>
    <w:rsid w:val="00EA0242"/>
    <w:rsid w:val="00EA03C9"/>
    <w:rsid w:val="00EA08F8"/>
    <w:rsid w:val="00EA0A36"/>
    <w:rsid w:val="00EA0B4E"/>
    <w:rsid w:val="00EA0DCF"/>
    <w:rsid w:val="00EA0E4D"/>
    <w:rsid w:val="00EA1ED5"/>
    <w:rsid w:val="00EA2601"/>
    <w:rsid w:val="00EA2688"/>
    <w:rsid w:val="00EA3838"/>
    <w:rsid w:val="00EA393A"/>
    <w:rsid w:val="00EA3CAF"/>
    <w:rsid w:val="00EA4181"/>
    <w:rsid w:val="00EA4472"/>
    <w:rsid w:val="00EA496D"/>
    <w:rsid w:val="00EA4CF5"/>
    <w:rsid w:val="00EA4D08"/>
    <w:rsid w:val="00EA4D12"/>
    <w:rsid w:val="00EA4DD4"/>
    <w:rsid w:val="00EA4E6D"/>
    <w:rsid w:val="00EA4F5D"/>
    <w:rsid w:val="00EA539F"/>
    <w:rsid w:val="00EA542B"/>
    <w:rsid w:val="00EA5B6B"/>
    <w:rsid w:val="00EA6542"/>
    <w:rsid w:val="00EA6BFB"/>
    <w:rsid w:val="00EA6C04"/>
    <w:rsid w:val="00EA7601"/>
    <w:rsid w:val="00EA764D"/>
    <w:rsid w:val="00EA787F"/>
    <w:rsid w:val="00EA7AC2"/>
    <w:rsid w:val="00EB0550"/>
    <w:rsid w:val="00EB0970"/>
    <w:rsid w:val="00EB1D1E"/>
    <w:rsid w:val="00EB1E63"/>
    <w:rsid w:val="00EB200C"/>
    <w:rsid w:val="00EB2173"/>
    <w:rsid w:val="00EB2658"/>
    <w:rsid w:val="00EB2BEF"/>
    <w:rsid w:val="00EB2DF3"/>
    <w:rsid w:val="00EB2F0E"/>
    <w:rsid w:val="00EB329A"/>
    <w:rsid w:val="00EB3E59"/>
    <w:rsid w:val="00EB465C"/>
    <w:rsid w:val="00EB498C"/>
    <w:rsid w:val="00EB4A0E"/>
    <w:rsid w:val="00EB4A28"/>
    <w:rsid w:val="00EB4A95"/>
    <w:rsid w:val="00EB4FBE"/>
    <w:rsid w:val="00EB5033"/>
    <w:rsid w:val="00EB52AA"/>
    <w:rsid w:val="00EB53AC"/>
    <w:rsid w:val="00EB53E2"/>
    <w:rsid w:val="00EB5510"/>
    <w:rsid w:val="00EB5A96"/>
    <w:rsid w:val="00EB60D7"/>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443"/>
    <w:rsid w:val="00EC352B"/>
    <w:rsid w:val="00EC40B9"/>
    <w:rsid w:val="00EC4B23"/>
    <w:rsid w:val="00EC4EA2"/>
    <w:rsid w:val="00EC5730"/>
    <w:rsid w:val="00EC57F6"/>
    <w:rsid w:val="00EC5E8D"/>
    <w:rsid w:val="00EC5FDB"/>
    <w:rsid w:val="00EC665C"/>
    <w:rsid w:val="00EC66C0"/>
    <w:rsid w:val="00EC705A"/>
    <w:rsid w:val="00EC70A6"/>
    <w:rsid w:val="00EC715A"/>
    <w:rsid w:val="00EC7169"/>
    <w:rsid w:val="00EC769A"/>
    <w:rsid w:val="00EC7C92"/>
    <w:rsid w:val="00ED0093"/>
    <w:rsid w:val="00ED1289"/>
    <w:rsid w:val="00ED16A7"/>
    <w:rsid w:val="00ED17E5"/>
    <w:rsid w:val="00ED233F"/>
    <w:rsid w:val="00ED2491"/>
    <w:rsid w:val="00ED26AF"/>
    <w:rsid w:val="00ED2894"/>
    <w:rsid w:val="00ED2A9D"/>
    <w:rsid w:val="00ED33F3"/>
    <w:rsid w:val="00ED35AA"/>
    <w:rsid w:val="00ED38E6"/>
    <w:rsid w:val="00ED3AB7"/>
    <w:rsid w:val="00ED3EB4"/>
    <w:rsid w:val="00ED4454"/>
    <w:rsid w:val="00ED500F"/>
    <w:rsid w:val="00ED5160"/>
    <w:rsid w:val="00ED5203"/>
    <w:rsid w:val="00ED5475"/>
    <w:rsid w:val="00ED55D9"/>
    <w:rsid w:val="00ED584A"/>
    <w:rsid w:val="00ED5A22"/>
    <w:rsid w:val="00ED689C"/>
    <w:rsid w:val="00ED68F1"/>
    <w:rsid w:val="00ED6912"/>
    <w:rsid w:val="00ED6EC0"/>
    <w:rsid w:val="00ED6F5F"/>
    <w:rsid w:val="00ED72FF"/>
    <w:rsid w:val="00ED76A2"/>
    <w:rsid w:val="00ED7923"/>
    <w:rsid w:val="00ED7B3C"/>
    <w:rsid w:val="00ED7C36"/>
    <w:rsid w:val="00ED7CB9"/>
    <w:rsid w:val="00EE05CB"/>
    <w:rsid w:val="00EE06A7"/>
    <w:rsid w:val="00EE10B1"/>
    <w:rsid w:val="00EE1F6E"/>
    <w:rsid w:val="00EE2262"/>
    <w:rsid w:val="00EE24D3"/>
    <w:rsid w:val="00EE2C0C"/>
    <w:rsid w:val="00EE3318"/>
    <w:rsid w:val="00EE33FD"/>
    <w:rsid w:val="00EE3573"/>
    <w:rsid w:val="00EE3874"/>
    <w:rsid w:val="00EE39A1"/>
    <w:rsid w:val="00EE3E2D"/>
    <w:rsid w:val="00EE44E4"/>
    <w:rsid w:val="00EE465C"/>
    <w:rsid w:val="00EE4939"/>
    <w:rsid w:val="00EE51C9"/>
    <w:rsid w:val="00EE5908"/>
    <w:rsid w:val="00EE5C86"/>
    <w:rsid w:val="00EE5D39"/>
    <w:rsid w:val="00EE686D"/>
    <w:rsid w:val="00EE6CDA"/>
    <w:rsid w:val="00EE7069"/>
    <w:rsid w:val="00EE715B"/>
    <w:rsid w:val="00EE722A"/>
    <w:rsid w:val="00EE72C9"/>
    <w:rsid w:val="00EE77E2"/>
    <w:rsid w:val="00EE7AF1"/>
    <w:rsid w:val="00EE7B80"/>
    <w:rsid w:val="00EF014D"/>
    <w:rsid w:val="00EF08B6"/>
    <w:rsid w:val="00EF107D"/>
    <w:rsid w:val="00EF1B51"/>
    <w:rsid w:val="00EF20D8"/>
    <w:rsid w:val="00EF26E8"/>
    <w:rsid w:val="00EF271B"/>
    <w:rsid w:val="00EF2875"/>
    <w:rsid w:val="00EF29B6"/>
    <w:rsid w:val="00EF2DF0"/>
    <w:rsid w:val="00EF312E"/>
    <w:rsid w:val="00EF31D4"/>
    <w:rsid w:val="00EF35DE"/>
    <w:rsid w:val="00EF3A37"/>
    <w:rsid w:val="00EF3B73"/>
    <w:rsid w:val="00EF3F96"/>
    <w:rsid w:val="00EF3FAE"/>
    <w:rsid w:val="00EF4189"/>
    <w:rsid w:val="00EF446B"/>
    <w:rsid w:val="00EF44EC"/>
    <w:rsid w:val="00EF457F"/>
    <w:rsid w:val="00EF4752"/>
    <w:rsid w:val="00EF487E"/>
    <w:rsid w:val="00EF4D38"/>
    <w:rsid w:val="00EF5141"/>
    <w:rsid w:val="00EF514B"/>
    <w:rsid w:val="00EF524F"/>
    <w:rsid w:val="00EF5339"/>
    <w:rsid w:val="00EF591D"/>
    <w:rsid w:val="00EF5DE0"/>
    <w:rsid w:val="00EF5ED9"/>
    <w:rsid w:val="00EF60F8"/>
    <w:rsid w:val="00EF62BB"/>
    <w:rsid w:val="00EF64F5"/>
    <w:rsid w:val="00EF64F7"/>
    <w:rsid w:val="00EF6640"/>
    <w:rsid w:val="00EF666F"/>
    <w:rsid w:val="00EF6B0C"/>
    <w:rsid w:val="00EF6C41"/>
    <w:rsid w:val="00EF6CFE"/>
    <w:rsid w:val="00EF6D65"/>
    <w:rsid w:val="00EF6E54"/>
    <w:rsid w:val="00EF6E95"/>
    <w:rsid w:val="00EF71C3"/>
    <w:rsid w:val="00EF720B"/>
    <w:rsid w:val="00EF77E1"/>
    <w:rsid w:val="00F0099F"/>
    <w:rsid w:val="00F00B82"/>
    <w:rsid w:val="00F00D94"/>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90A"/>
    <w:rsid w:val="00F03A93"/>
    <w:rsid w:val="00F04035"/>
    <w:rsid w:val="00F040B9"/>
    <w:rsid w:val="00F04329"/>
    <w:rsid w:val="00F0449A"/>
    <w:rsid w:val="00F04624"/>
    <w:rsid w:val="00F04E47"/>
    <w:rsid w:val="00F04E76"/>
    <w:rsid w:val="00F04F63"/>
    <w:rsid w:val="00F05039"/>
    <w:rsid w:val="00F05774"/>
    <w:rsid w:val="00F05A24"/>
    <w:rsid w:val="00F05A27"/>
    <w:rsid w:val="00F05AF2"/>
    <w:rsid w:val="00F062F6"/>
    <w:rsid w:val="00F06D11"/>
    <w:rsid w:val="00F06E12"/>
    <w:rsid w:val="00F06E95"/>
    <w:rsid w:val="00F071E3"/>
    <w:rsid w:val="00F07485"/>
    <w:rsid w:val="00F07ABE"/>
    <w:rsid w:val="00F10299"/>
    <w:rsid w:val="00F1037F"/>
    <w:rsid w:val="00F10840"/>
    <w:rsid w:val="00F108DB"/>
    <w:rsid w:val="00F111C9"/>
    <w:rsid w:val="00F1144A"/>
    <w:rsid w:val="00F116C5"/>
    <w:rsid w:val="00F11E0E"/>
    <w:rsid w:val="00F12309"/>
    <w:rsid w:val="00F12F5C"/>
    <w:rsid w:val="00F14055"/>
    <w:rsid w:val="00F140D4"/>
    <w:rsid w:val="00F1452E"/>
    <w:rsid w:val="00F145FA"/>
    <w:rsid w:val="00F147F3"/>
    <w:rsid w:val="00F14B1E"/>
    <w:rsid w:val="00F14C64"/>
    <w:rsid w:val="00F14D0E"/>
    <w:rsid w:val="00F1531B"/>
    <w:rsid w:val="00F15880"/>
    <w:rsid w:val="00F15B24"/>
    <w:rsid w:val="00F15D24"/>
    <w:rsid w:val="00F160D4"/>
    <w:rsid w:val="00F163BD"/>
    <w:rsid w:val="00F1662D"/>
    <w:rsid w:val="00F16743"/>
    <w:rsid w:val="00F16C02"/>
    <w:rsid w:val="00F16E46"/>
    <w:rsid w:val="00F16F46"/>
    <w:rsid w:val="00F174B6"/>
    <w:rsid w:val="00F17E63"/>
    <w:rsid w:val="00F20301"/>
    <w:rsid w:val="00F208F8"/>
    <w:rsid w:val="00F209CD"/>
    <w:rsid w:val="00F20C61"/>
    <w:rsid w:val="00F21180"/>
    <w:rsid w:val="00F2150B"/>
    <w:rsid w:val="00F2160B"/>
    <w:rsid w:val="00F21E54"/>
    <w:rsid w:val="00F22650"/>
    <w:rsid w:val="00F23AE4"/>
    <w:rsid w:val="00F23B77"/>
    <w:rsid w:val="00F23ECA"/>
    <w:rsid w:val="00F23FDD"/>
    <w:rsid w:val="00F24079"/>
    <w:rsid w:val="00F240EF"/>
    <w:rsid w:val="00F24939"/>
    <w:rsid w:val="00F252EF"/>
    <w:rsid w:val="00F25960"/>
    <w:rsid w:val="00F25BF9"/>
    <w:rsid w:val="00F2610C"/>
    <w:rsid w:val="00F26494"/>
    <w:rsid w:val="00F268AB"/>
    <w:rsid w:val="00F26A1C"/>
    <w:rsid w:val="00F272CC"/>
    <w:rsid w:val="00F27381"/>
    <w:rsid w:val="00F27563"/>
    <w:rsid w:val="00F277C5"/>
    <w:rsid w:val="00F2792E"/>
    <w:rsid w:val="00F279FE"/>
    <w:rsid w:val="00F27AA3"/>
    <w:rsid w:val="00F27FD6"/>
    <w:rsid w:val="00F300E0"/>
    <w:rsid w:val="00F30B94"/>
    <w:rsid w:val="00F31237"/>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4BC"/>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B25"/>
    <w:rsid w:val="00F40BF2"/>
    <w:rsid w:val="00F421E8"/>
    <w:rsid w:val="00F422E2"/>
    <w:rsid w:val="00F42C95"/>
    <w:rsid w:val="00F42EFB"/>
    <w:rsid w:val="00F42F57"/>
    <w:rsid w:val="00F433C4"/>
    <w:rsid w:val="00F43591"/>
    <w:rsid w:val="00F4388E"/>
    <w:rsid w:val="00F43EAA"/>
    <w:rsid w:val="00F4409D"/>
    <w:rsid w:val="00F446D8"/>
    <w:rsid w:val="00F447F2"/>
    <w:rsid w:val="00F44B57"/>
    <w:rsid w:val="00F4506D"/>
    <w:rsid w:val="00F45239"/>
    <w:rsid w:val="00F45280"/>
    <w:rsid w:val="00F46C84"/>
    <w:rsid w:val="00F475E9"/>
    <w:rsid w:val="00F47785"/>
    <w:rsid w:val="00F47BB6"/>
    <w:rsid w:val="00F47E48"/>
    <w:rsid w:val="00F5012E"/>
    <w:rsid w:val="00F5026F"/>
    <w:rsid w:val="00F5052E"/>
    <w:rsid w:val="00F50621"/>
    <w:rsid w:val="00F50628"/>
    <w:rsid w:val="00F509BA"/>
    <w:rsid w:val="00F5166F"/>
    <w:rsid w:val="00F51C32"/>
    <w:rsid w:val="00F51CC6"/>
    <w:rsid w:val="00F523F0"/>
    <w:rsid w:val="00F52521"/>
    <w:rsid w:val="00F52956"/>
    <w:rsid w:val="00F529B8"/>
    <w:rsid w:val="00F5307B"/>
    <w:rsid w:val="00F54500"/>
    <w:rsid w:val="00F549B2"/>
    <w:rsid w:val="00F54D3F"/>
    <w:rsid w:val="00F54E58"/>
    <w:rsid w:val="00F558AC"/>
    <w:rsid w:val="00F5590B"/>
    <w:rsid w:val="00F559DE"/>
    <w:rsid w:val="00F55A26"/>
    <w:rsid w:val="00F55B93"/>
    <w:rsid w:val="00F55BEA"/>
    <w:rsid w:val="00F55D85"/>
    <w:rsid w:val="00F56181"/>
    <w:rsid w:val="00F562FE"/>
    <w:rsid w:val="00F569E4"/>
    <w:rsid w:val="00F5711C"/>
    <w:rsid w:val="00F57244"/>
    <w:rsid w:val="00F573C3"/>
    <w:rsid w:val="00F578D0"/>
    <w:rsid w:val="00F578D6"/>
    <w:rsid w:val="00F57E6E"/>
    <w:rsid w:val="00F600DC"/>
    <w:rsid w:val="00F606D0"/>
    <w:rsid w:val="00F60B47"/>
    <w:rsid w:val="00F60F5C"/>
    <w:rsid w:val="00F61174"/>
    <w:rsid w:val="00F615BA"/>
    <w:rsid w:val="00F61754"/>
    <w:rsid w:val="00F6183A"/>
    <w:rsid w:val="00F61C1B"/>
    <w:rsid w:val="00F61C30"/>
    <w:rsid w:val="00F61DEE"/>
    <w:rsid w:val="00F61FE4"/>
    <w:rsid w:val="00F62471"/>
    <w:rsid w:val="00F62752"/>
    <w:rsid w:val="00F62942"/>
    <w:rsid w:val="00F62B5A"/>
    <w:rsid w:val="00F6341B"/>
    <w:rsid w:val="00F636EE"/>
    <w:rsid w:val="00F637E6"/>
    <w:rsid w:val="00F638E4"/>
    <w:rsid w:val="00F64207"/>
    <w:rsid w:val="00F64377"/>
    <w:rsid w:val="00F64977"/>
    <w:rsid w:val="00F64BDF"/>
    <w:rsid w:val="00F65138"/>
    <w:rsid w:val="00F651E0"/>
    <w:rsid w:val="00F6563F"/>
    <w:rsid w:val="00F6594F"/>
    <w:rsid w:val="00F65AE3"/>
    <w:rsid w:val="00F65B27"/>
    <w:rsid w:val="00F6600E"/>
    <w:rsid w:val="00F66D5C"/>
    <w:rsid w:val="00F66DC3"/>
    <w:rsid w:val="00F6737B"/>
    <w:rsid w:val="00F6738C"/>
    <w:rsid w:val="00F676DD"/>
    <w:rsid w:val="00F67CE3"/>
    <w:rsid w:val="00F67EB8"/>
    <w:rsid w:val="00F70157"/>
    <w:rsid w:val="00F704CA"/>
    <w:rsid w:val="00F709F9"/>
    <w:rsid w:val="00F70D15"/>
    <w:rsid w:val="00F70FB2"/>
    <w:rsid w:val="00F71668"/>
    <w:rsid w:val="00F71E99"/>
    <w:rsid w:val="00F71F7B"/>
    <w:rsid w:val="00F72BE4"/>
    <w:rsid w:val="00F72CFC"/>
    <w:rsid w:val="00F72F0E"/>
    <w:rsid w:val="00F7358A"/>
    <w:rsid w:val="00F73614"/>
    <w:rsid w:val="00F73748"/>
    <w:rsid w:val="00F73B2E"/>
    <w:rsid w:val="00F73CAF"/>
    <w:rsid w:val="00F7477B"/>
    <w:rsid w:val="00F748FB"/>
    <w:rsid w:val="00F74939"/>
    <w:rsid w:val="00F74CD9"/>
    <w:rsid w:val="00F751B9"/>
    <w:rsid w:val="00F7598D"/>
    <w:rsid w:val="00F75B96"/>
    <w:rsid w:val="00F75D4D"/>
    <w:rsid w:val="00F75EF8"/>
    <w:rsid w:val="00F765B1"/>
    <w:rsid w:val="00F765D4"/>
    <w:rsid w:val="00F76873"/>
    <w:rsid w:val="00F7691C"/>
    <w:rsid w:val="00F76CE9"/>
    <w:rsid w:val="00F76E3C"/>
    <w:rsid w:val="00F77290"/>
    <w:rsid w:val="00F77548"/>
    <w:rsid w:val="00F77566"/>
    <w:rsid w:val="00F77BBC"/>
    <w:rsid w:val="00F800AD"/>
    <w:rsid w:val="00F801F8"/>
    <w:rsid w:val="00F813C1"/>
    <w:rsid w:val="00F81468"/>
    <w:rsid w:val="00F814FA"/>
    <w:rsid w:val="00F8196D"/>
    <w:rsid w:val="00F81A7C"/>
    <w:rsid w:val="00F81B30"/>
    <w:rsid w:val="00F81C04"/>
    <w:rsid w:val="00F81FC8"/>
    <w:rsid w:val="00F82430"/>
    <w:rsid w:val="00F82439"/>
    <w:rsid w:val="00F82856"/>
    <w:rsid w:val="00F82872"/>
    <w:rsid w:val="00F82B35"/>
    <w:rsid w:val="00F82F3D"/>
    <w:rsid w:val="00F830BA"/>
    <w:rsid w:val="00F836FE"/>
    <w:rsid w:val="00F8393D"/>
    <w:rsid w:val="00F83AAF"/>
    <w:rsid w:val="00F83BC4"/>
    <w:rsid w:val="00F83D18"/>
    <w:rsid w:val="00F84326"/>
    <w:rsid w:val="00F84574"/>
    <w:rsid w:val="00F84ECF"/>
    <w:rsid w:val="00F854FD"/>
    <w:rsid w:val="00F85647"/>
    <w:rsid w:val="00F859FE"/>
    <w:rsid w:val="00F85BC6"/>
    <w:rsid w:val="00F85FFE"/>
    <w:rsid w:val="00F8607B"/>
    <w:rsid w:val="00F86AD8"/>
    <w:rsid w:val="00F86DD1"/>
    <w:rsid w:val="00F871F9"/>
    <w:rsid w:val="00F87417"/>
    <w:rsid w:val="00F87C31"/>
    <w:rsid w:val="00F87D3C"/>
    <w:rsid w:val="00F903D3"/>
    <w:rsid w:val="00F907BC"/>
    <w:rsid w:val="00F909E4"/>
    <w:rsid w:val="00F91068"/>
    <w:rsid w:val="00F91481"/>
    <w:rsid w:val="00F915AC"/>
    <w:rsid w:val="00F91618"/>
    <w:rsid w:val="00F91CFD"/>
    <w:rsid w:val="00F91F47"/>
    <w:rsid w:val="00F92722"/>
    <w:rsid w:val="00F929FA"/>
    <w:rsid w:val="00F92CDD"/>
    <w:rsid w:val="00F93D17"/>
    <w:rsid w:val="00F93E68"/>
    <w:rsid w:val="00F945A8"/>
    <w:rsid w:val="00F945A9"/>
    <w:rsid w:val="00F94F74"/>
    <w:rsid w:val="00F95356"/>
    <w:rsid w:val="00F955CD"/>
    <w:rsid w:val="00F957CE"/>
    <w:rsid w:val="00F9586E"/>
    <w:rsid w:val="00F95874"/>
    <w:rsid w:val="00F95C55"/>
    <w:rsid w:val="00F95EC8"/>
    <w:rsid w:val="00F96CE7"/>
    <w:rsid w:val="00F96D4A"/>
    <w:rsid w:val="00F97725"/>
    <w:rsid w:val="00F97A01"/>
    <w:rsid w:val="00FA0318"/>
    <w:rsid w:val="00FA0599"/>
    <w:rsid w:val="00FA06D7"/>
    <w:rsid w:val="00FA08AD"/>
    <w:rsid w:val="00FA0B7B"/>
    <w:rsid w:val="00FA0CC1"/>
    <w:rsid w:val="00FA0F44"/>
    <w:rsid w:val="00FA1080"/>
    <w:rsid w:val="00FA13F0"/>
    <w:rsid w:val="00FA1711"/>
    <w:rsid w:val="00FA1734"/>
    <w:rsid w:val="00FA17A4"/>
    <w:rsid w:val="00FA1A7D"/>
    <w:rsid w:val="00FA1A8E"/>
    <w:rsid w:val="00FA2064"/>
    <w:rsid w:val="00FA2476"/>
    <w:rsid w:val="00FA2789"/>
    <w:rsid w:val="00FA2DA6"/>
    <w:rsid w:val="00FA2FF5"/>
    <w:rsid w:val="00FA34C6"/>
    <w:rsid w:val="00FA352A"/>
    <w:rsid w:val="00FA367C"/>
    <w:rsid w:val="00FA36D9"/>
    <w:rsid w:val="00FA409E"/>
    <w:rsid w:val="00FA4244"/>
    <w:rsid w:val="00FA4864"/>
    <w:rsid w:val="00FA49A4"/>
    <w:rsid w:val="00FA4CE4"/>
    <w:rsid w:val="00FA50E3"/>
    <w:rsid w:val="00FA5784"/>
    <w:rsid w:val="00FA603A"/>
    <w:rsid w:val="00FA6239"/>
    <w:rsid w:val="00FA658A"/>
    <w:rsid w:val="00FA66F3"/>
    <w:rsid w:val="00FA6B8F"/>
    <w:rsid w:val="00FA6FB2"/>
    <w:rsid w:val="00FA74D6"/>
    <w:rsid w:val="00FA7B41"/>
    <w:rsid w:val="00FA7D54"/>
    <w:rsid w:val="00FB03B1"/>
    <w:rsid w:val="00FB0515"/>
    <w:rsid w:val="00FB0571"/>
    <w:rsid w:val="00FB07E5"/>
    <w:rsid w:val="00FB0DBB"/>
    <w:rsid w:val="00FB121E"/>
    <w:rsid w:val="00FB1616"/>
    <w:rsid w:val="00FB1891"/>
    <w:rsid w:val="00FB1A76"/>
    <w:rsid w:val="00FB1ACC"/>
    <w:rsid w:val="00FB1B91"/>
    <w:rsid w:val="00FB1CD3"/>
    <w:rsid w:val="00FB209E"/>
    <w:rsid w:val="00FB27E8"/>
    <w:rsid w:val="00FB3A7A"/>
    <w:rsid w:val="00FB3DF7"/>
    <w:rsid w:val="00FB3F69"/>
    <w:rsid w:val="00FB43D9"/>
    <w:rsid w:val="00FB4477"/>
    <w:rsid w:val="00FB45DE"/>
    <w:rsid w:val="00FB48C2"/>
    <w:rsid w:val="00FB4D20"/>
    <w:rsid w:val="00FB531F"/>
    <w:rsid w:val="00FB57A6"/>
    <w:rsid w:val="00FB5A02"/>
    <w:rsid w:val="00FB5CB3"/>
    <w:rsid w:val="00FB5F13"/>
    <w:rsid w:val="00FB6BF7"/>
    <w:rsid w:val="00FB7DFE"/>
    <w:rsid w:val="00FB7E38"/>
    <w:rsid w:val="00FC019F"/>
    <w:rsid w:val="00FC0686"/>
    <w:rsid w:val="00FC0CFF"/>
    <w:rsid w:val="00FC0D90"/>
    <w:rsid w:val="00FC1B74"/>
    <w:rsid w:val="00FC1E34"/>
    <w:rsid w:val="00FC2149"/>
    <w:rsid w:val="00FC223A"/>
    <w:rsid w:val="00FC2A3D"/>
    <w:rsid w:val="00FC2A59"/>
    <w:rsid w:val="00FC2D62"/>
    <w:rsid w:val="00FC2FB6"/>
    <w:rsid w:val="00FC337D"/>
    <w:rsid w:val="00FC3487"/>
    <w:rsid w:val="00FC390E"/>
    <w:rsid w:val="00FC4164"/>
    <w:rsid w:val="00FC46A2"/>
    <w:rsid w:val="00FC5829"/>
    <w:rsid w:val="00FC599A"/>
    <w:rsid w:val="00FC6DD7"/>
    <w:rsid w:val="00FC6FED"/>
    <w:rsid w:val="00FC72FE"/>
    <w:rsid w:val="00FC777C"/>
    <w:rsid w:val="00FC7991"/>
    <w:rsid w:val="00FD0CBF"/>
    <w:rsid w:val="00FD0E00"/>
    <w:rsid w:val="00FD0E08"/>
    <w:rsid w:val="00FD0E2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CD0"/>
    <w:rsid w:val="00FD3E98"/>
    <w:rsid w:val="00FD4083"/>
    <w:rsid w:val="00FD42D2"/>
    <w:rsid w:val="00FD4389"/>
    <w:rsid w:val="00FD43D1"/>
    <w:rsid w:val="00FD44F5"/>
    <w:rsid w:val="00FD46C4"/>
    <w:rsid w:val="00FD4725"/>
    <w:rsid w:val="00FD4B33"/>
    <w:rsid w:val="00FD4B4C"/>
    <w:rsid w:val="00FD4E39"/>
    <w:rsid w:val="00FD4FCF"/>
    <w:rsid w:val="00FD500E"/>
    <w:rsid w:val="00FD5063"/>
    <w:rsid w:val="00FD52C9"/>
    <w:rsid w:val="00FD531E"/>
    <w:rsid w:val="00FD5715"/>
    <w:rsid w:val="00FD590E"/>
    <w:rsid w:val="00FD5A0A"/>
    <w:rsid w:val="00FD5DDA"/>
    <w:rsid w:val="00FD5F1D"/>
    <w:rsid w:val="00FD6239"/>
    <w:rsid w:val="00FD6323"/>
    <w:rsid w:val="00FD63EE"/>
    <w:rsid w:val="00FD6417"/>
    <w:rsid w:val="00FD6C4A"/>
    <w:rsid w:val="00FD6E28"/>
    <w:rsid w:val="00FD76CE"/>
    <w:rsid w:val="00FD77C0"/>
    <w:rsid w:val="00FD7A8B"/>
    <w:rsid w:val="00FE048E"/>
    <w:rsid w:val="00FE04AC"/>
    <w:rsid w:val="00FE07AE"/>
    <w:rsid w:val="00FE07DE"/>
    <w:rsid w:val="00FE0ADC"/>
    <w:rsid w:val="00FE11BD"/>
    <w:rsid w:val="00FE146F"/>
    <w:rsid w:val="00FE1835"/>
    <w:rsid w:val="00FE1869"/>
    <w:rsid w:val="00FE1E5E"/>
    <w:rsid w:val="00FE1E61"/>
    <w:rsid w:val="00FE1E74"/>
    <w:rsid w:val="00FE22A1"/>
    <w:rsid w:val="00FE22E5"/>
    <w:rsid w:val="00FE23E2"/>
    <w:rsid w:val="00FE25E0"/>
    <w:rsid w:val="00FE2878"/>
    <w:rsid w:val="00FE2AE1"/>
    <w:rsid w:val="00FE327D"/>
    <w:rsid w:val="00FE32BA"/>
    <w:rsid w:val="00FE3534"/>
    <w:rsid w:val="00FE401F"/>
    <w:rsid w:val="00FE4115"/>
    <w:rsid w:val="00FE4989"/>
    <w:rsid w:val="00FE4B2F"/>
    <w:rsid w:val="00FE4E1A"/>
    <w:rsid w:val="00FE505A"/>
    <w:rsid w:val="00FE5361"/>
    <w:rsid w:val="00FE5DA9"/>
    <w:rsid w:val="00FE5EC6"/>
    <w:rsid w:val="00FE6518"/>
    <w:rsid w:val="00FE6546"/>
    <w:rsid w:val="00FE6632"/>
    <w:rsid w:val="00FE77F3"/>
    <w:rsid w:val="00FE7B0D"/>
    <w:rsid w:val="00FE7B1E"/>
    <w:rsid w:val="00FE7D23"/>
    <w:rsid w:val="00FE7E80"/>
    <w:rsid w:val="00FF0637"/>
    <w:rsid w:val="00FF0A51"/>
    <w:rsid w:val="00FF1E8E"/>
    <w:rsid w:val="00FF2475"/>
    <w:rsid w:val="00FF2664"/>
    <w:rsid w:val="00FF279E"/>
    <w:rsid w:val="00FF2E0A"/>
    <w:rsid w:val="00FF306C"/>
    <w:rsid w:val="00FF3170"/>
    <w:rsid w:val="00FF34D3"/>
    <w:rsid w:val="00FF368B"/>
    <w:rsid w:val="00FF3802"/>
    <w:rsid w:val="00FF3C79"/>
    <w:rsid w:val="00FF3CED"/>
    <w:rsid w:val="00FF3CEF"/>
    <w:rsid w:val="00FF3CFB"/>
    <w:rsid w:val="00FF4137"/>
    <w:rsid w:val="00FF425A"/>
    <w:rsid w:val="00FF495B"/>
    <w:rsid w:val="00FF4A2A"/>
    <w:rsid w:val="00FF4BCD"/>
    <w:rsid w:val="00FF575A"/>
    <w:rsid w:val="00FF5C74"/>
    <w:rsid w:val="00FF60F0"/>
    <w:rsid w:val="00FF60F5"/>
    <w:rsid w:val="00FF6514"/>
    <w:rsid w:val="00FF6557"/>
    <w:rsid w:val="00FF71A1"/>
    <w:rsid w:val="00FF72F6"/>
    <w:rsid w:val="00FF759F"/>
    <w:rsid w:val="00FF79B3"/>
    <w:rsid w:val="00FF7B65"/>
    <w:rsid w:val="00FF7DAF"/>
    <w:rsid w:val="00FF7E72"/>
    <w:rsid w:val="01345CD7"/>
    <w:rsid w:val="014E8439"/>
    <w:rsid w:val="01E8921C"/>
    <w:rsid w:val="022FAC50"/>
    <w:rsid w:val="034428D1"/>
    <w:rsid w:val="03B4060B"/>
    <w:rsid w:val="03B56E0B"/>
    <w:rsid w:val="03BFDD7A"/>
    <w:rsid w:val="03CA78CB"/>
    <w:rsid w:val="043AA4DE"/>
    <w:rsid w:val="04E5E0A7"/>
    <w:rsid w:val="05264E6A"/>
    <w:rsid w:val="053D9CFA"/>
    <w:rsid w:val="056BCD7C"/>
    <w:rsid w:val="05789938"/>
    <w:rsid w:val="05E38217"/>
    <w:rsid w:val="0631ED96"/>
    <w:rsid w:val="0730EFCA"/>
    <w:rsid w:val="073B31A4"/>
    <w:rsid w:val="075D57F5"/>
    <w:rsid w:val="07C5D204"/>
    <w:rsid w:val="095A2EF5"/>
    <w:rsid w:val="096E0446"/>
    <w:rsid w:val="09BEE02E"/>
    <w:rsid w:val="09D74243"/>
    <w:rsid w:val="0A12A4C3"/>
    <w:rsid w:val="0AAB3C40"/>
    <w:rsid w:val="0AC08E19"/>
    <w:rsid w:val="0AD26062"/>
    <w:rsid w:val="0B110417"/>
    <w:rsid w:val="0B92B05B"/>
    <w:rsid w:val="0BD6D26A"/>
    <w:rsid w:val="0BDB4FFF"/>
    <w:rsid w:val="0C50A85D"/>
    <w:rsid w:val="0C67BBD5"/>
    <w:rsid w:val="0CE1FEAE"/>
    <w:rsid w:val="0CEAABCC"/>
    <w:rsid w:val="0D190D89"/>
    <w:rsid w:val="0D57389E"/>
    <w:rsid w:val="0E030AB7"/>
    <w:rsid w:val="0E3221E0"/>
    <w:rsid w:val="0E9CD68D"/>
    <w:rsid w:val="0EF2730A"/>
    <w:rsid w:val="0FBD646D"/>
    <w:rsid w:val="0FC50417"/>
    <w:rsid w:val="0FEA7BA5"/>
    <w:rsid w:val="103B134A"/>
    <w:rsid w:val="10BF5D4F"/>
    <w:rsid w:val="10CEA471"/>
    <w:rsid w:val="10D9FDA6"/>
    <w:rsid w:val="111A9DC5"/>
    <w:rsid w:val="119F0F77"/>
    <w:rsid w:val="11BA457B"/>
    <w:rsid w:val="11D0CBAA"/>
    <w:rsid w:val="124E96FA"/>
    <w:rsid w:val="125A2161"/>
    <w:rsid w:val="126B035B"/>
    <w:rsid w:val="1294A8B6"/>
    <w:rsid w:val="12DD8539"/>
    <w:rsid w:val="12EA0235"/>
    <w:rsid w:val="1355F0A6"/>
    <w:rsid w:val="1379029C"/>
    <w:rsid w:val="13EF2748"/>
    <w:rsid w:val="1503B2C6"/>
    <w:rsid w:val="155B259D"/>
    <w:rsid w:val="156EBC8C"/>
    <w:rsid w:val="15AF41BE"/>
    <w:rsid w:val="15F0244A"/>
    <w:rsid w:val="169EEF5F"/>
    <w:rsid w:val="16A3702F"/>
    <w:rsid w:val="16B8936E"/>
    <w:rsid w:val="16C51F01"/>
    <w:rsid w:val="16CB01B6"/>
    <w:rsid w:val="1701C303"/>
    <w:rsid w:val="1703D2E2"/>
    <w:rsid w:val="172CB95D"/>
    <w:rsid w:val="178B9221"/>
    <w:rsid w:val="17AB5805"/>
    <w:rsid w:val="1868FD16"/>
    <w:rsid w:val="18916161"/>
    <w:rsid w:val="19A05F33"/>
    <w:rsid w:val="19A1DD8D"/>
    <w:rsid w:val="1B19D748"/>
    <w:rsid w:val="1B3CEADD"/>
    <w:rsid w:val="1B618527"/>
    <w:rsid w:val="1B67FC1F"/>
    <w:rsid w:val="1BB2DE2D"/>
    <w:rsid w:val="1BD8F52E"/>
    <w:rsid w:val="1CCFB430"/>
    <w:rsid w:val="1CD15431"/>
    <w:rsid w:val="1D1EF225"/>
    <w:rsid w:val="1D1FCBD4"/>
    <w:rsid w:val="1D5B9FCC"/>
    <w:rsid w:val="1D7C83C9"/>
    <w:rsid w:val="1DA27AB1"/>
    <w:rsid w:val="1E288A24"/>
    <w:rsid w:val="1E777AB8"/>
    <w:rsid w:val="1EA7357E"/>
    <w:rsid w:val="1F6D0319"/>
    <w:rsid w:val="1F892E44"/>
    <w:rsid w:val="1FF89D33"/>
    <w:rsid w:val="204C248D"/>
    <w:rsid w:val="209C1555"/>
    <w:rsid w:val="20DDBE9D"/>
    <w:rsid w:val="20F86CC8"/>
    <w:rsid w:val="21181931"/>
    <w:rsid w:val="22338565"/>
    <w:rsid w:val="22D9CFFB"/>
    <w:rsid w:val="22E93CA3"/>
    <w:rsid w:val="2326DAB0"/>
    <w:rsid w:val="24D1F299"/>
    <w:rsid w:val="250A4C44"/>
    <w:rsid w:val="25411199"/>
    <w:rsid w:val="25A5F92E"/>
    <w:rsid w:val="25CC9A0A"/>
    <w:rsid w:val="25DE4717"/>
    <w:rsid w:val="26729782"/>
    <w:rsid w:val="2674E6EE"/>
    <w:rsid w:val="27BF55BF"/>
    <w:rsid w:val="284D74FC"/>
    <w:rsid w:val="2860AACC"/>
    <w:rsid w:val="28A2766F"/>
    <w:rsid w:val="28C4A3C5"/>
    <w:rsid w:val="292BD8FD"/>
    <w:rsid w:val="29368F98"/>
    <w:rsid w:val="293DA9C4"/>
    <w:rsid w:val="295166EC"/>
    <w:rsid w:val="295A1DB5"/>
    <w:rsid w:val="2980DECC"/>
    <w:rsid w:val="298DF69F"/>
    <w:rsid w:val="299CD085"/>
    <w:rsid w:val="29B4C51B"/>
    <w:rsid w:val="29BE9825"/>
    <w:rsid w:val="29C81FD2"/>
    <w:rsid w:val="29E74A49"/>
    <w:rsid w:val="2A25C71E"/>
    <w:rsid w:val="2A3019A4"/>
    <w:rsid w:val="2A58898C"/>
    <w:rsid w:val="2A9ACE71"/>
    <w:rsid w:val="2AD95A16"/>
    <w:rsid w:val="2AE10C44"/>
    <w:rsid w:val="2AFBE990"/>
    <w:rsid w:val="2BCCCC0F"/>
    <w:rsid w:val="2BD33B7B"/>
    <w:rsid w:val="2C35C06A"/>
    <w:rsid w:val="2C82E315"/>
    <w:rsid w:val="2D157DB4"/>
    <w:rsid w:val="2E084C24"/>
    <w:rsid w:val="2E2F9A47"/>
    <w:rsid w:val="2E385B7A"/>
    <w:rsid w:val="2E7603A3"/>
    <w:rsid w:val="2E7C34CC"/>
    <w:rsid w:val="303E41F5"/>
    <w:rsid w:val="303F2E51"/>
    <w:rsid w:val="305C0E0B"/>
    <w:rsid w:val="30E70C15"/>
    <w:rsid w:val="30E86825"/>
    <w:rsid w:val="31712AC2"/>
    <w:rsid w:val="31C44D6B"/>
    <w:rsid w:val="31EE6864"/>
    <w:rsid w:val="32E4922E"/>
    <w:rsid w:val="3323CF32"/>
    <w:rsid w:val="33378CC0"/>
    <w:rsid w:val="33419E31"/>
    <w:rsid w:val="33957264"/>
    <w:rsid w:val="33A9FD9F"/>
    <w:rsid w:val="33FD64FF"/>
    <w:rsid w:val="3419E99C"/>
    <w:rsid w:val="342877F9"/>
    <w:rsid w:val="34B0799E"/>
    <w:rsid w:val="34B7A869"/>
    <w:rsid w:val="34CE42F6"/>
    <w:rsid w:val="34F42FFD"/>
    <w:rsid w:val="3510F273"/>
    <w:rsid w:val="35307381"/>
    <w:rsid w:val="3540128E"/>
    <w:rsid w:val="35700F52"/>
    <w:rsid w:val="35A52CD4"/>
    <w:rsid w:val="35ACF35C"/>
    <w:rsid w:val="35B440FB"/>
    <w:rsid w:val="36AE63AC"/>
    <w:rsid w:val="36C0B076"/>
    <w:rsid w:val="37322A25"/>
    <w:rsid w:val="37677967"/>
    <w:rsid w:val="37ADC18F"/>
    <w:rsid w:val="3898AAC6"/>
    <w:rsid w:val="38AF6889"/>
    <w:rsid w:val="38B43AFA"/>
    <w:rsid w:val="39062EDB"/>
    <w:rsid w:val="393D35E2"/>
    <w:rsid w:val="39A5C766"/>
    <w:rsid w:val="3B192B61"/>
    <w:rsid w:val="3B5F4544"/>
    <w:rsid w:val="3B68C44A"/>
    <w:rsid w:val="3C47703F"/>
    <w:rsid w:val="3D3ECE34"/>
    <w:rsid w:val="3D556875"/>
    <w:rsid w:val="3DAAC16A"/>
    <w:rsid w:val="3DDCF8CA"/>
    <w:rsid w:val="3E659139"/>
    <w:rsid w:val="3EC64261"/>
    <w:rsid w:val="3F251B81"/>
    <w:rsid w:val="3F3F6B1F"/>
    <w:rsid w:val="3F476D83"/>
    <w:rsid w:val="3FDAF32D"/>
    <w:rsid w:val="409694D3"/>
    <w:rsid w:val="409B2C22"/>
    <w:rsid w:val="40F6D2B5"/>
    <w:rsid w:val="413943A2"/>
    <w:rsid w:val="4186DE65"/>
    <w:rsid w:val="41B99438"/>
    <w:rsid w:val="42C9A83B"/>
    <w:rsid w:val="42E6A29B"/>
    <w:rsid w:val="434BBDFB"/>
    <w:rsid w:val="435B4AFF"/>
    <w:rsid w:val="441F0DBC"/>
    <w:rsid w:val="44606232"/>
    <w:rsid w:val="44BFE67B"/>
    <w:rsid w:val="44DD1737"/>
    <w:rsid w:val="45288A43"/>
    <w:rsid w:val="45AB0FEE"/>
    <w:rsid w:val="45D831EA"/>
    <w:rsid w:val="46181F42"/>
    <w:rsid w:val="4631D2A2"/>
    <w:rsid w:val="46752FE8"/>
    <w:rsid w:val="46C65060"/>
    <w:rsid w:val="46DC6BE2"/>
    <w:rsid w:val="46DCF259"/>
    <w:rsid w:val="46F5080E"/>
    <w:rsid w:val="47B1AA63"/>
    <w:rsid w:val="48A0081C"/>
    <w:rsid w:val="48B3AF0E"/>
    <w:rsid w:val="4920325F"/>
    <w:rsid w:val="49817C46"/>
    <w:rsid w:val="4A08459B"/>
    <w:rsid w:val="4A5A3D5B"/>
    <w:rsid w:val="4A611364"/>
    <w:rsid w:val="4A7029E3"/>
    <w:rsid w:val="4AA31CFF"/>
    <w:rsid w:val="4AA935A9"/>
    <w:rsid w:val="4B470A06"/>
    <w:rsid w:val="4B4E4111"/>
    <w:rsid w:val="4B74FD24"/>
    <w:rsid w:val="4B757882"/>
    <w:rsid w:val="4BA5E191"/>
    <w:rsid w:val="4BE2F46F"/>
    <w:rsid w:val="4BF98726"/>
    <w:rsid w:val="4C4892C8"/>
    <w:rsid w:val="4D16600B"/>
    <w:rsid w:val="4D2C651E"/>
    <w:rsid w:val="4D437387"/>
    <w:rsid w:val="4D59BB5C"/>
    <w:rsid w:val="4D77C32B"/>
    <w:rsid w:val="4DCEBAB2"/>
    <w:rsid w:val="4DE59301"/>
    <w:rsid w:val="4E152D1B"/>
    <w:rsid w:val="4EA72010"/>
    <w:rsid w:val="4FA0BF63"/>
    <w:rsid w:val="4FA92812"/>
    <w:rsid w:val="50016988"/>
    <w:rsid w:val="50217AA9"/>
    <w:rsid w:val="50366948"/>
    <w:rsid w:val="507E5071"/>
    <w:rsid w:val="512CE468"/>
    <w:rsid w:val="515AD886"/>
    <w:rsid w:val="51724679"/>
    <w:rsid w:val="517341AE"/>
    <w:rsid w:val="51963C81"/>
    <w:rsid w:val="51981ED2"/>
    <w:rsid w:val="51D1CA0C"/>
    <w:rsid w:val="51DCAED0"/>
    <w:rsid w:val="51ED6D00"/>
    <w:rsid w:val="51F9A10B"/>
    <w:rsid w:val="5223D6FB"/>
    <w:rsid w:val="522C5094"/>
    <w:rsid w:val="52B7F3D6"/>
    <w:rsid w:val="52E4813E"/>
    <w:rsid w:val="52F570D7"/>
    <w:rsid w:val="53406E22"/>
    <w:rsid w:val="53639B97"/>
    <w:rsid w:val="536ACE5F"/>
    <w:rsid w:val="53D3C5F5"/>
    <w:rsid w:val="53E1A8A2"/>
    <w:rsid w:val="53E3EC0F"/>
    <w:rsid w:val="54773739"/>
    <w:rsid w:val="55539C79"/>
    <w:rsid w:val="5579C068"/>
    <w:rsid w:val="56934C5E"/>
    <w:rsid w:val="56F9934B"/>
    <w:rsid w:val="5712F412"/>
    <w:rsid w:val="573D9AA2"/>
    <w:rsid w:val="5741562D"/>
    <w:rsid w:val="57C3CEAC"/>
    <w:rsid w:val="5886D4A6"/>
    <w:rsid w:val="58895A64"/>
    <w:rsid w:val="58A308D0"/>
    <w:rsid w:val="58ABD453"/>
    <w:rsid w:val="59864AEC"/>
    <w:rsid w:val="599566BE"/>
    <w:rsid w:val="59BBF9A9"/>
    <w:rsid w:val="59E17A9C"/>
    <w:rsid w:val="5A390292"/>
    <w:rsid w:val="5AC54798"/>
    <w:rsid w:val="5AF6B4C9"/>
    <w:rsid w:val="5B126397"/>
    <w:rsid w:val="5C3DE408"/>
    <w:rsid w:val="5C6168C5"/>
    <w:rsid w:val="5C6AC540"/>
    <w:rsid w:val="5CEA2E37"/>
    <w:rsid w:val="5D7BD7CD"/>
    <w:rsid w:val="5D970568"/>
    <w:rsid w:val="5EB39095"/>
    <w:rsid w:val="5ED493BF"/>
    <w:rsid w:val="5EE0C6D5"/>
    <w:rsid w:val="5EFA20CD"/>
    <w:rsid w:val="5F326262"/>
    <w:rsid w:val="5F7C1AD0"/>
    <w:rsid w:val="600D6B9A"/>
    <w:rsid w:val="6034289B"/>
    <w:rsid w:val="60A44150"/>
    <w:rsid w:val="60BF8593"/>
    <w:rsid w:val="60F5F709"/>
    <w:rsid w:val="617261E7"/>
    <w:rsid w:val="61860600"/>
    <w:rsid w:val="618FDDD8"/>
    <w:rsid w:val="61BC47B6"/>
    <w:rsid w:val="61D4D414"/>
    <w:rsid w:val="62A2EFFD"/>
    <w:rsid w:val="62CD84C7"/>
    <w:rsid w:val="62E6958D"/>
    <w:rsid w:val="62F91578"/>
    <w:rsid w:val="631F8D5D"/>
    <w:rsid w:val="63C106A3"/>
    <w:rsid w:val="63CBD85B"/>
    <w:rsid w:val="6447E864"/>
    <w:rsid w:val="64ED5DBC"/>
    <w:rsid w:val="6514CA94"/>
    <w:rsid w:val="654B1E08"/>
    <w:rsid w:val="655512FE"/>
    <w:rsid w:val="656D8EC5"/>
    <w:rsid w:val="65C8646E"/>
    <w:rsid w:val="66C772A7"/>
    <w:rsid w:val="6729E9EB"/>
    <w:rsid w:val="67628588"/>
    <w:rsid w:val="67A930C1"/>
    <w:rsid w:val="67DCB73B"/>
    <w:rsid w:val="687CE5CE"/>
    <w:rsid w:val="695FA28E"/>
    <w:rsid w:val="698DC541"/>
    <w:rsid w:val="69E07483"/>
    <w:rsid w:val="6A0FC3B6"/>
    <w:rsid w:val="6B2C5D6A"/>
    <w:rsid w:val="6B3B9DED"/>
    <w:rsid w:val="6B5FF752"/>
    <w:rsid w:val="6B62C015"/>
    <w:rsid w:val="6B9B0CB8"/>
    <w:rsid w:val="6BB1A11A"/>
    <w:rsid w:val="6C01DA1C"/>
    <w:rsid w:val="6C421621"/>
    <w:rsid w:val="6C9D56D4"/>
    <w:rsid w:val="6CEAAEBC"/>
    <w:rsid w:val="6CF4AA7C"/>
    <w:rsid w:val="6D053E69"/>
    <w:rsid w:val="6D11442C"/>
    <w:rsid w:val="6D6140E9"/>
    <w:rsid w:val="6D6790CB"/>
    <w:rsid w:val="6DA3313A"/>
    <w:rsid w:val="6E3A2411"/>
    <w:rsid w:val="6E4FB593"/>
    <w:rsid w:val="6ED6B112"/>
    <w:rsid w:val="6EDCEA4C"/>
    <w:rsid w:val="6F59A015"/>
    <w:rsid w:val="6FC71EA8"/>
    <w:rsid w:val="70E1D757"/>
    <w:rsid w:val="7181EDA6"/>
    <w:rsid w:val="7195785E"/>
    <w:rsid w:val="71A1E7B4"/>
    <w:rsid w:val="71C1E241"/>
    <w:rsid w:val="720401D8"/>
    <w:rsid w:val="7204E383"/>
    <w:rsid w:val="721BCCCA"/>
    <w:rsid w:val="72C303AA"/>
    <w:rsid w:val="735CB6C3"/>
    <w:rsid w:val="735CDF00"/>
    <w:rsid w:val="73F2594E"/>
    <w:rsid w:val="73FB9195"/>
    <w:rsid w:val="740B1662"/>
    <w:rsid w:val="744B555F"/>
    <w:rsid w:val="74718869"/>
    <w:rsid w:val="74C1D65D"/>
    <w:rsid w:val="74EB6563"/>
    <w:rsid w:val="752FAB3A"/>
    <w:rsid w:val="75333C3B"/>
    <w:rsid w:val="75886ABA"/>
    <w:rsid w:val="7599884C"/>
    <w:rsid w:val="75C8A68D"/>
    <w:rsid w:val="760AA81C"/>
    <w:rsid w:val="76848E97"/>
    <w:rsid w:val="76CAF922"/>
    <w:rsid w:val="76FD6195"/>
    <w:rsid w:val="775F65DD"/>
    <w:rsid w:val="77E2FD32"/>
    <w:rsid w:val="784E94B6"/>
    <w:rsid w:val="788550DD"/>
    <w:rsid w:val="7889F476"/>
    <w:rsid w:val="78D3F9CA"/>
    <w:rsid w:val="7915479B"/>
    <w:rsid w:val="791992CC"/>
    <w:rsid w:val="79AC3DA9"/>
    <w:rsid w:val="7A9C699F"/>
    <w:rsid w:val="7AD09E57"/>
    <w:rsid w:val="7D2C7392"/>
    <w:rsid w:val="7D4138C9"/>
    <w:rsid w:val="7D5088E4"/>
    <w:rsid w:val="7D51500B"/>
    <w:rsid w:val="7D8B3D12"/>
    <w:rsid w:val="7E160D89"/>
    <w:rsid w:val="7EA01284"/>
    <w:rsid w:val="7EDFB4DE"/>
    <w:rsid w:val="7F2B4966"/>
    <w:rsid w:val="7F39BDE8"/>
    <w:rsid w:val="7FAB7DBD"/>
    <w:rsid w:val="7FE0A3CB"/>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002D7E82-EC4A-4346-9265-7FE6F4A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86"/>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5"/>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0"/>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33"/>
      </w:numPr>
    </w:pPr>
  </w:style>
  <w:style w:type="numbering" w:customStyle="1" w:styleId="RFP2">
    <w:name w:val="RFP2"/>
    <w:rsid w:val="00EC33F8"/>
    <w:pPr>
      <w:numPr>
        <w:numId w:val="36"/>
      </w:numPr>
    </w:pPr>
  </w:style>
  <w:style w:type="numbering" w:customStyle="1" w:styleId="RFP">
    <w:name w:val="RFP"/>
    <w:rsid w:val="00EC33F8"/>
    <w:pPr>
      <w:numPr>
        <w:numId w:val="35"/>
      </w:numPr>
    </w:pPr>
  </w:style>
  <w:style w:type="numbering" w:customStyle="1" w:styleId="StyleNumberedLeft25Hanging075">
    <w:name w:val="Style Numbered Left: .25&quot; Hanging:  0.75&quot;"/>
    <w:rsid w:val="00EC33F8"/>
    <w:pPr>
      <w:numPr>
        <w:numId w:val="3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98">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5772859">
      <w:bodyDiv w:val="1"/>
      <w:marLeft w:val="0"/>
      <w:marRight w:val="0"/>
      <w:marTop w:val="0"/>
      <w:marBottom w:val="0"/>
      <w:divBdr>
        <w:top w:val="none" w:sz="0" w:space="0" w:color="auto"/>
        <w:left w:val="none" w:sz="0" w:space="0" w:color="auto"/>
        <w:bottom w:val="none" w:sz="0" w:space="0" w:color="auto"/>
        <w:right w:val="none" w:sz="0" w:space="0" w:color="auto"/>
      </w:divBdr>
    </w:div>
    <w:div w:id="316612677">
      <w:bodyDiv w:val="1"/>
      <w:marLeft w:val="0"/>
      <w:marRight w:val="0"/>
      <w:marTop w:val="0"/>
      <w:marBottom w:val="0"/>
      <w:divBdr>
        <w:top w:val="none" w:sz="0" w:space="0" w:color="auto"/>
        <w:left w:val="none" w:sz="0" w:space="0" w:color="auto"/>
        <w:bottom w:val="none" w:sz="0" w:space="0" w:color="auto"/>
        <w:right w:val="none" w:sz="0" w:space="0" w:color="auto"/>
      </w:divBdr>
    </w:div>
    <w:div w:id="336807129">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89620063">
      <w:bodyDiv w:val="1"/>
      <w:marLeft w:val="0"/>
      <w:marRight w:val="0"/>
      <w:marTop w:val="0"/>
      <w:marBottom w:val="0"/>
      <w:divBdr>
        <w:top w:val="none" w:sz="0" w:space="0" w:color="auto"/>
        <w:left w:val="none" w:sz="0" w:space="0" w:color="auto"/>
        <w:bottom w:val="none" w:sz="0" w:space="0" w:color="auto"/>
        <w:right w:val="none" w:sz="0" w:space="0" w:color="auto"/>
      </w:divBdr>
    </w:div>
    <w:div w:id="442000814">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39123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70163695">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92223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257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leginfo.legislature.ca.gov/faces/billTextClient.xhtml?bill_id=201520160SB350" TargetMode="External"/><Relationship Id="rId39" Type="http://schemas.openxmlformats.org/officeDocument/2006/relationships/hyperlink" Target="https://ecams.energy.ca.gov" TargetMode="External"/><Relationship Id="rId21" Type="http://schemas.openxmlformats.org/officeDocument/2006/relationships/header" Target="header5.xml"/><Relationship Id="rId34" Type="http://schemas.openxmlformats.org/officeDocument/2006/relationships/hyperlink" Target="https://www.energy.ca.gov/programs-and-topics/programs/energy-efficiency-existing-building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energy.ca.gov/appliance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CAMS.SalesforceSupport@energy.ca.gov" TargetMode="External"/><Relationship Id="rId32" Type="http://schemas.openxmlformats.org/officeDocument/2006/relationships/hyperlink" Target="https://www.cpuc.ca.gov/about-cpuc/divisions/energy-division/der-action-plan" TargetMode="External"/><Relationship Id="rId37" Type="http://schemas.openxmlformats.org/officeDocument/2006/relationships/hyperlink" Target="https://www.energy.ca.gov/programs-and-topics/programs/electric-program-investment-charge-epic-program" TargetMode="Externa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mpowerinnovation.net" TargetMode="External"/><Relationship Id="rId28" Type="http://schemas.openxmlformats.org/officeDocument/2006/relationships/hyperlink" Target="https://leginfo.legislature.ca.gov/faces/billTextClient.xhtml?bill_id=200920100AB2514" TargetMode="External"/><Relationship Id="rId36" Type="http://schemas.openxmlformats.org/officeDocument/2006/relationships/hyperlink" Target="http://www.energy.ca.gov/research/"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docs.cpuc.ca.gov/PublishedDocs/Published/G000/M496/K285/496285639.PDF"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energy.ca.gov/programs-and-topics/programs/energy-efficiency-existing-buildings" TargetMode="External"/><Relationship Id="rId30" Type="http://schemas.openxmlformats.org/officeDocument/2006/relationships/hyperlink" Target="http://www.energy.ca.gov/title24/" TargetMode="External"/><Relationship Id="rId35" Type="http://schemas.openxmlformats.org/officeDocument/2006/relationships/hyperlink" Target="https://www.energy.gov/lpo/articles/doe-releases-new-report-pathways-commercial-liftoff-virtual-power-plan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header" Target="header3.xml"/><Relationship Id="rId25" Type="http://schemas.openxmlformats.org/officeDocument/2006/relationships/hyperlink" Target="https://gis.carb.arb.ca.gov/portal/apps/experiencebuilder/experience/?id=6b4b15f8c6514733972cabdda3108348" TargetMode="External"/><Relationship Id="rId33" Type="http://schemas.openxmlformats.org/officeDocument/2006/relationships/hyperlink" Target="http://www.energy.ca.gov/energypolicy" TargetMode="External"/><Relationship Id="rId38" Type="http://schemas.openxmlformats.org/officeDocument/2006/relationships/hyperlink" Target="https://www.energy.ca.gov/showcase/energize-innov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filing.energy.ca.gov/GetDocument.aspx?tn=251159&amp;DocumentContentId=86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600ea1c144a243eceee08da9009c9e0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2e23df4de45657edda4e0e97e3d9cf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4E53D-BF1C-4AE5-8527-A0171A8F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5</TotalTime>
  <Pages>54</Pages>
  <Words>18607</Words>
  <Characters>106060</Characters>
  <Application>Microsoft Office Word</Application>
  <DocSecurity>0</DocSecurity>
  <Lines>883</Lines>
  <Paragraphs>248</Paragraphs>
  <ScaleCrop>false</ScaleCrop>
  <Company/>
  <LinksUpToDate>false</LinksUpToDate>
  <CharactersWithSpaces>124419</CharactersWithSpaces>
  <SharedDoc>false</SharedDoc>
  <HLinks>
    <vt:vector size="120" baseType="variant">
      <vt:variant>
        <vt:i4>5832718</vt:i4>
      </vt:variant>
      <vt:variant>
        <vt:i4>138</vt:i4>
      </vt:variant>
      <vt:variant>
        <vt:i4>0</vt:i4>
      </vt:variant>
      <vt:variant>
        <vt:i4>5</vt:i4>
      </vt:variant>
      <vt:variant>
        <vt:lpwstr>https://ecams.energy.ca.gov/</vt:lpwstr>
      </vt:variant>
      <vt:variant>
        <vt:lpwstr/>
      </vt:variant>
      <vt:variant>
        <vt:i4>393221</vt:i4>
      </vt:variant>
      <vt:variant>
        <vt:i4>135</vt:i4>
      </vt:variant>
      <vt:variant>
        <vt:i4>0</vt:i4>
      </vt:variant>
      <vt:variant>
        <vt:i4>5</vt:i4>
      </vt:variant>
      <vt:variant>
        <vt:lpwstr>https://www.energy.ca.gov/funding-opportunities/funding-resources</vt:lpwstr>
      </vt:variant>
      <vt:variant>
        <vt:lpwstr/>
      </vt:variant>
      <vt:variant>
        <vt:i4>7077920</vt:i4>
      </vt:variant>
      <vt:variant>
        <vt:i4>132</vt:i4>
      </vt:variant>
      <vt:variant>
        <vt:i4>0</vt:i4>
      </vt:variant>
      <vt:variant>
        <vt:i4>5</vt:i4>
      </vt:variant>
      <vt:variant>
        <vt:lpwstr>https://www.energy.ca.gov/showcase/energize-innovation</vt:lpwstr>
      </vt:variant>
      <vt:variant>
        <vt:lpwstr/>
      </vt:variant>
      <vt:variant>
        <vt:i4>3211323</vt:i4>
      </vt:variant>
      <vt:variant>
        <vt:i4>129</vt:i4>
      </vt:variant>
      <vt:variant>
        <vt:i4>0</vt:i4>
      </vt:variant>
      <vt:variant>
        <vt:i4>5</vt:i4>
      </vt:variant>
      <vt:variant>
        <vt:lpwstr>https://www.energy.ca.gov/programs-and-topics/programs/electric-program-investment-charge-epic-program</vt:lpwstr>
      </vt:variant>
      <vt:variant>
        <vt:lpwstr/>
      </vt:variant>
      <vt:variant>
        <vt:i4>4063266</vt:i4>
      </vt:variant>
      <vt:variant>
        <vt:i4>126</vt:i4>
      </vt:variant>
      <vt:variant>
        <vt:i4>0</vt:i4>
      </vt:variant>
      <vt:variant>
        <vt:i4>5</vt:i4>
      </vt:variant>
      <vt:variant>
        <vt:lpwstr>http://www.energy.ca.gov/research/</vt:lpwstr>
      </vt:variant>
      <vt:variant>
        <vt:lpwstr/>
      </vt:variant>
      <vt:variant>
        <vt:i4>720974</vt:i4>
      </vt:variant>
      <vt:variant>
        <vt:i4>123</vt:i4>
      </vt:variant>
      <vt:variant>
        <vt:i4>0</vt:i4>
      </vt:variant>
      <vt:variant>
        <vt:i4>5</vt:i4>
      </vt:variant>
      <vt:variant>
        <vt:lpwstr>https://www.energy.gov/lpo/articles/doe-releases-new-report-pathways-commercial-liftoff-virtual-power-plants</vt:lpwstr>
      </vt:variant>
      <vt:variant>
        <vt:lpwstr/>
      </vt:variant>
      <vt:variant>
        <vt:i4>7995495</vt:i4>
      </vt:variant>
      <vt:variant>
        <vt:i4>120</vt:i4>
      </vt:variant>
      <vt:variant>
        <vt:i4>0</vt:i4>
      </vt:variant>
      <vt:variant>
        <vt:i4>5</vt:i4>
      </vt:variant>
      <vt:variant>
        <vt:lpwstr>https://www.energy.ca.gov/programs-and-topics/programs/energy-efficiency-existing-buildings</vt:lpwstr>
      </vt:variant>
      <vt:variant>
        <vt:lpwstr/>
      </vt:variant>
      <vt:variant>
        <vt:i4>655451</vt:i4>
      </vt:variant>
      <vt:variant>
        <vt:i4>117</vt:i4>
      </vt:variant>
      <vt:variant>
        <vt:i4>0</vt:i4>
      </vt:variant>
      <vt:variant>
        <vt:i4>5</vt:i4>
      </vt:variant>
      <vt:variant>
        <vt:lpwstr>http://www.energy.ca.gov/energypolicy</vt:lpwstr>
      </vt:variant>
      <vt:variant>
        <vt:lpwstr/>
      </vt:variant>
      <vt:variant>
        <vt:i4>786458</vt:i4>
      </vt:variant>
      <vt:variant>
        <vt:i4>114</vt:i4>
      </vt:variant>
      <vt:variant>
        <vt:i4>0</vt:i4>
      </vt:variant>
      <vt:variant>
        <vt:i4>5</vt:i4>
      </vt:variant>
      <vt:variant>
        <vt:lpwstr>https://www.cpuc.ca.gov/about-cpuc/divisions/energy-division/der-action-plan</vt:lpwstr>
      </vt:variant>
      <vt:variant>
        <vt:lpwstr/>
      </vt:variant>
      <vt:variant>
        <vt:i4>1572937</vt:i4>
      </vt:variant>
      <vt:variant>
        <vt:i4>111</vt:i4>
      </vt:variant>
      <vt:variant>
        <vt:i4>0</vt:i4>
      </vt:variant>
      <vt:variant>
        <vt:i4>5</vt:i4>
      </vt:variant>
      <vt:variant>
        <vt:lpwstr>https://docs.cpuc.ca.gov/PublishedDocs/Published/G000/M496/K285/496285639.PDF</vt:lpwstr>
      </vt:variant>
      <vt:variant>
        <vt:lpwstr/>
      </vt:variant>
      <vt:variant>
        <vt:i4>4390927</vt:i4>
      </vt:variant>
      <vt:variant>
        <vt:i4>108</vt:i4>
      </vt:variant>
      <vt:variant>
        <vt:i4>0</vt:i4>
      </vt:variant>
      <vt:variant>
        <vt:i4>5</vt:i4>
      </vt:variant>
      <vt:variant>
        <vt:lpwstr>http://www.energy.ca.gov/title24/</vt:lpwstr>
      </vt:variant>
      <vt:variant>
        <vt:lpwstr/>
      </vt:variant>
      <vt:variant>
        <vt:i4>5111893</vt:i4>
      </vt:variant>
      <vt:variant>
        <vt:i4>105</vt:i4>
      </vt:variant>
      <vt:variant>
        <vt:i4>0</vt:i4>
      </vt:variant>
      <vt:variant>
        <vt:i4>5</vt:i4>
      </vt:variant>
      <vt:variant>
        <vt:lpwstr>http://www.energy.ca.gov/appliances/</vt:lpwstr>
      </vt:variant>
      <vt:variant>
        <vt:lpwstr/>
      </vt:variant>
      <vt:variant>
        <vt:i4>5439551</vt:i4>
      </vt:variant>
      <vt:variant>
        <vt:i4>102</vt:i4>
      </vt:variant>
      <vt:variant>
        <vt:i4>0</vt:i4>
      </vt:variant>
      <vt:variant>
        <vt:i4>5</vt:i4>
      </vt:variant>
      <vt:variant>
        <vt:lpwstr>https://leginfo.legislature.ca.gov/faces/billTextClient.xhtml?bill_id=200920100AB2514</vt:lpwstr>
      </vt:variant>
      <vt:variant>
        <vt:lpwstr/>
      </vt:variant>
      <vt:variant>
        <vt:i4>7995495</vt:i4>
      </vt:variant>
      <vt:variant>
        <vt:i4>99</vt:i4>
      </vt:variant>
      <vt:variant>
        <vt:i4>0</vt:i4>
      </vt:variant>
      <vt:variant>
        <vt:i4>5</vt:i4>
      </vt:variant>
      <vt:variant>
        <vt:lpwstr>https://www.energy.ca.gov/programs-and-topics/programs/energy-efficiency-existing-buildings</vt:lpwstr>
      </vt:variant>
      <vt:variant>
        <vt:lpwstr/>
      </vt:variant>
      <vt:variant>
        <vt:i4>4915262</vt:i4>
      </vt:variant>
      <vt:variant>
        <vt:i4>96</vt:i4>
      </vt:variant>
      <vt:variant>
        <vt:i4>0</vt:i4>
      </vt:variant>
      <vt:variant>
        <vt:i4>5</vt:i4>
      </vt:variant>
      <vt:variant>
        <vt:lpwstr>https://leginfo.legislature.ca.gov/faces/billTextClient.xhtml?bill_id=201520160SB350</vt:lpwstr>
      </vt:variant>
      <vt:variant>
        <vt:lpwstr/>
      </vt:variant>
      <vt:variant>
        <vt:i4>4980738</vt:i4>
      </vt:variant>
      <vt:variant>
        <vt:i4>93</vt:i4>
      </vt:variant>
      <vt:variant>
        <vt:i4>0</vt:i4>
      </vt:variant>
      <vt:variant>
        <vt:i4>5</vt:i4>
      </vt:variant>
      <vt:variant>
        <vt:lpwstr>https://gis.carb.arb.ca.gov/portal/apps/experiencebuilder/experience/?id=6b4b15f8c6514733972cabdda3108348</vt:lpwstr>
      </vt:variant>
      <vt:variant>
        <vt:lpwstr/>
      </vt:variant>
      <vt:variant>
        <vt:i4>5505135</vt:i4>
      </vt:variant>
      <vt:variant>
        <vt:i4>90</vt:i4>
      </vt:variant>
      <vt:variant>
        <vt:i4>0</vt:i4>
      </vt:variant>
      <vt:variant>
        <vt:i4>5</vt:i4>
      </vt:variant>
      <vt:variant>
        <vt:lpwstr>mailto:ECAMS.SalesforceSupport@energy.ca.gov</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4522015</vt:i4>
      </vt:variant>
      <vt:variant>
        <vt:i4>0</vt:i4>
      </vt:variant>
      <vt:variant>
        <vt:i4>0</vt:i4>
      </vt:variant>
      <vt:variant>
        <vt:i4>5</vt:i4>
      </vt:variant>
      <vt:variant>
        <vt:lpwstr>https://efiling.energy.ca.gov/GetDocument.aspx?tn=251159&amp;DocumentContentId=86103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Piper, Kevyn@Energy</cp:lastModifiedBy>
  <cp:revision>33</cp:revision>
  <cp:lastPrinted>2020-10-23T20:23:00Z</cp:lastPrinted>
  <dcterms:created xsi:type="dcterms:W3CDTF">2025-11-21T21:08:00Z</dcterms:created>
  <dcterms:modified xsi:type="dcterms:W3CDTF">2025-12-02T19:09:00Z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