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9B8B" w14:textId="192E4420" w:rsidR="005D043A" w:rsidRPr="0010442F" w:rsidRDefault="3D584EF5" w:rsidP="000D0E37">
      <w:pPr>
        <w:pStyle w:val="Heading1"/>
        <w:spacing w:before="0" w:after="240"/>
        <w:jc w:val="center"/>
        <w:rPr>
          <w:rFonts w:ascii="Aptos" w:hAnsi="Aptos" w:cs="Arial"/>
          <w:b/>
          <w:bCs/>
          <w:color w:val="080808"/>
        </w:rPr>
      </w:pPr>
      <w:bookmarkStart w:id="0" w:name="_Toc216776547"/>
      <w:r w:rsidRPr="0010442F">
        <w:rPr>
          <w:rFonts w:ascii="Aptos" w:hAnsi="Aptos" w:cs="Arial"/>
          <w:b/>
          <w:bCs/>
          <w:color w:val="080808"/>
        </w:rPr>
        <w:t>CERRI Program Budget Guidance</w:t>
      </w:r>
      <w:bookmarkEnd w:id="0"/>
    </w:p>
    <w:p w14:paraId="5C91DCE7" w14:textId="6E1F75CF" w:rsidR="003440CA" w:rsidRPr="0010442F" w:rsidRDefault="007E1ACC" w:rsidP="007E1ACC">
      <w:pPr>
        <w:rPr>
          <w:rFonts w:ascii="Aptos" w:hAnsi="Aptos" w:cs="Arial"/>
        </w:rPr>
      </w:pPr>
      <w:r w:rsidRPr="0010442F">
        <w:rPr>
          <w:rFonts w:ascii="Aptos" w:hAnsi="Aptos" w:cs="Arial"/>
        </w:rPr>
        <w:t>Version 1.0 Release Date</w:t>
      </w:r>
      <w:r w:rsidR="00A94947" w:rsidRPr="0010442F">
        <w:rPr>
          <w:rFonts w:ascii="Aptos" w:hAnsi="Aptos" w:cs="Arial"/>
        </w:rPr>
        <w:t>:</w:t>
      </w:r>
      <w:r w:rsidRPr="0010442F">
        <w:rPr>
          <w:rFonts w:ascii="Aptos" w:hAnsi="Aptos" w:cs="Arial"/>
        </w:rPr>
        <w:t xml:space="preserve"> </w:t>
      </w:r>
      <w:r w:rsidR="00A94947" w:rsidRPr="0010442F">
        <w:rPr>
          <w:rFonts w:ascii="Aptos" w:hAnsi="Aptos" w:cs="Arial"/>
        </w:rPr>
        <w:t>December</w:t>
      </w:r>
      <w:r w:rsidR="00E213D4" w:rsidRPr="0010442F">
        <w:rPr>
          <w:rFonts w:ascii="Aptos" w:hAnsi="Aptos" w:cs="Arial"/>
        </w:rPr>
        <w:t xml:space="preserve"> </w:t>
      </w:r>
      <w:r w:rsidRPr="0010442F">
        <w:rPr>
          <w:rFonts w:ascii="Aptos" w:hAnsi="Aptos" w:cs="Arial"/>
        </w:rPr>
        <w:t>202</w:t>
      </w:r>
      <w:r w:rsidR="007F1978" w:rsidRPr="0010442F">
        <w:rPr>
          <w:rFonts w:ascii="Aptos" w:hAnsi="Aptos" w:cs="Arial"/>
        </w:rPr>
        <w:t>5</w:t>
      </w:r>
    </w:p>
    <w:p w14:paraId="40996A87" w14:textId="21462EED" w:rsidR="00234A6C" w:rsidRPr="0010442F" w:rsidRDefault="0039300E" w:rsidP="000D0E37">
      <w:pPr>
        <w:spacing w:before="240"/>
        <w:rPr>
          <w:rFonts w:ascii="Aptos" w:eastAsia="Arial" w:hAnsi="Aptos" w:cs="Arial"/>
        </w:rPr>
      </w:pPr>
      <w:r w:rsidRPr="0010442F">
        <w:rPr>
          <w:rFonts w:ascii="Aptos" w:eastAsia="Arial" w:hAnsi="Aptos" w:cs="Arial"/>
        </w:rPr>
        <w:t xml:space="preserve">This document outlines the </w:t>
      </w:r>
      <w:r w:rsidR="00A94947" w:rsidRPr="0010442F">
        <w:rPr>
          <w:rFonts w:ascii="Aptos" w:eastAsia="Arial" w:hAnsi="Aptos" w:cs="Arial"/>
        </w:rPr>
        <w:t>Budget Guidance</w:t>
      </w:r>
      <w:r w:rsidRPr="0010442F">
        <w:rPr>
          <w:rFonts w:ascii="Aptos" w:eastAsia="Arial" w:hAnsi="Aptos" w:cs="Arial"/>
        </w:rPr>
        <w:t xml:space="preserve"> for</w:t>
      </w:r>
      <w:r w:rsidR="0066764F" w:rsidRPr="0010442F">
        <w:rPr>
          <w:rFonts w:ascii="Aptos" w:eastAsia="Arial" w:hAnsi="Aptos" w:cs="Arial"/>
        </w:rPr>
        <w:t xml:space="preserve"> </w:t>
      </w:r>
      <w:r w:rsidRPr="0010442F">
        <w:rPr>
          <w:rFonts w:ascii="Aptos" w:eastAsia="Arial" w:hAnsi="Aptos" w:cs="Arial"/>
        </w:rPr>
        <w:t>Community Energy Reliability and Resilience Investment (CERRI) Program grant recipients.</w:t>
      </w:r>
    </w:p>
    <w:p w14:paraId="5196E6EA" w14:textId="77777777" w:rsidR="00234A6C" w:rsidRPr="0010442F" w:rsidRDefault="00234A6C">
      <w:pPr>
        <w:rPr>
          <w:rFonts w:ascii="Aptos" w:eastAsia="Arial" w:hAnsi="Aptos" w:cs="Arial"/>
        </w:rPr>
      </w:pPr>
      <w:r w:rsidRPr="0010442F">
        <w:rPr>
          <w:rFonts w:ascii="Aptos" w:eastAsia="Arial" w:hAnsi="Aptos" w:cs="Arial"/>
        </w:rPr>
        <w:br w:type="page"/>
      </w:r>
    </w:p>
    <w:p w14:paraId="472851F1" w14:textId="77777777" w:rsidR="006B40FA" w:rsidRPr="0010442F" w:rsidRDefault="006B40FA" w:rsidP="000D0E37">
      <w:pPr>
        <w:spacing w:before="240"/>
        <w:rPr>
          <w:rFonts w:ascii="Aptos" w:eastAsia="Arial" w:hAnsi="Aptos" w:cs="Arial"/>
        </w:rPr>
      </w:pPr>
    </w:p>
    <w:sdt>
      <w:sdtPr>
        <w:rPr>
          <w:rFonts w:ascii="Aptos" w:eastAsiaTheme="minorEastAsia" w:hAnsi="Aptos" w:cstheme="minorBidi"/>
          <w:color w:val="auto"/>
          <w:sz w:val="22"/>
          <w:szCs w:val="22"/>
        </w:rPr>
        <w:id w:val="881826682"/>
        <w:docPartObj>
          <w:docPartGallery w:val="Table of Contents"/>
          <w:docPartUnique/>
        </w:docPartObj>
      </w:sdtPr>
      <w:sdtEndPr>
        <w:rPr>
          <w:rFonts w:cstheme="majorBidi"/>
          <w:b/>
          <w:bCs/>
          <w:color w:val="2F5496" w:themeColor="accent1" w:themeShade="BF"/>
          <w:sz w:val="26"/>
          <w:szCs w:val="26"/>
        </w:rPr>
      </w:sdtEndPr>
      <w:sdtContent>
        <w:p w14:paraId="717CC6BB" w14:textId="77777777" w:rsidR="00D373CF" w:rsidRPr="0010442F" w:rsidRDefault="00D373CF" w:rsidP="00234A6C">
          <w:pPr>
            <w:pStyle w:val="TOCHeading"/>
            <w:spacing w:after="240"/>
            <w:rPr>
              <w:rFonts w:ascii="Aptos" w:hAnsi="Aptos"/>
              <w:b/>
              <w:bCs/>
            </w:rPr>
          </w:pPr>
          <w:r w:rsidRPr="0010442F">
            <w:rPr>
              <w:rFonts w:ascii="Aptos" w:hAnsi="Aptos"/>
              <w:b/>
              <w:bCs/>
            </w:rPr>
            <w:t>Contents</w:t>
          </w:r>
        </w:p>
        <w:p w14:paraId="2D8CC099" w14:textId="0892AEA3" w:rsidR="007E7C98" w:rsidRDefault="00D373CF">
          <w:pPr>
            <w:pStyle w:val="TOC1"/>
            <w:tabs>
              <w:tab w:val="right" w:leader="dot" w:pos="9350"/>
            </w:tabs>
            <w:rPr>
              <w:rFonts w:eastAsiaTheme="minorEastAsia"/>
              <w:noProof/>
              <w:kern w:val="2"/>
              <w:sz w:val="24"/>
              <w:szCs w:val="24"/>
              <w14:ligatures w14:val="standardContextual"/>
            </w:rPr>
          </w:pPr>
          <w:r w:rsidRPr="0010442F">
            <w:rPr>
              <w:rFonts w:ascii="Aptos" w:hAnsi="Aptos"/>
            </w:rPr>
            <w:fldChar w:fldCharType="begin"/>
          </w:r>
          <w:r w:rsidRPr="0010442F">
            <w:rPr>
              <w:rFonts w:ascii="Aptos" w:hAnsi="Aptos"/>
            </w:rPr>
            <w:instrText xml:space="preserve"> TOC \o "1-3" \h \z \u </w:instrText>
          </w:r>
          <w:r w:rsidRPr="0010442F">
            <w:rPr>
              <w:rFonts w:ascii="Aptos" w:hAnsi="Aptos"/>
            </w:rPr>
            <w:fldChar w:fldCharType="separate"/>
          </w:r>
          <w:hyperlink w:anchor="_Toc216776547" w:history="1">
            <w:r w:rsidR="007E7C98" w:rsidRPr="00A40FA5">
              <w:rPr>
                <w:rStyle w:val="Hyperlink"/>
                <w:rFonts w:ascii="Aptos" w:hAnsi="Aptos" w:cs="Arial"/>
                <w:b/>
                <w:bCs/>
                <w:noProof/>
              </w:rPr>
              <w:t>CERRI Program Budget Guidance</w:t>
            </w:r>
            <w:r w:rsidR="007E7C98">
              <w:rPr>
                <w:noProof/>
                <w:webHidden/>
              </w:rPr>
              <w:tab/>
            </w:r>
            <w:r w:rsidR="007E7C98">
              <w:rPr>
                <w:noProof/>
                <w:webHidden/>
              </w:rPr>
              <w:fldChar w:fldCharType="begin"/>
            </w:r>
            <w:r w:rsidR="007E7C98">
              <w:rPr>
                <w:noProof/>
                <w:webHidden/>
              </w:rPr>
              <w:instrText xml:space="preserve"> PAGEREF _Toc216776547 \h </w:instrText>
            </w:r>
            <w:r w:rsidR="007E7C98">
              <w:rPr>
                <w:noProof/>
                <w:webHidden/>
              </w:rPr>
            </w:r>
            <w:r w:rsidR="007E7C98">
              <w:rPr>
                <w:noProof/>
                <w:webHidden/>
              </w:rPr>
              <w:fldChar w:fldCharType="separate"/>
            </w:r>
            <w:r w:rsidR="007E7C98">
              <w:rPr>
                <w:noProof/>
                <w:webHidden/>
              </w:rPr>
              <w:t>1</w:t>
            </w:r>
            <w:r w:rsidR="007E7C98">
              <w:rPr>
                <w:noProof/>
                <w:webHidden/>
              </w:rPr>
              <w:fldChar w:fldCharType="end"/>
            </w:r>
          </w:hyperlink>
        </w:p>
        <w:p w14:paraId="0BC565EE" w14:textId="54043EF4" w:rsidR="007E7C98" w:rsidRDefault="007E7C98">
          <w:pPr>
            <w:pStyle w:val="TOC2"/>
            <w:tabs>
              <w:tab w:val="right" w:leader="dot" w:pos="9350"/>
            </w:tabs>
            <w:rPr>
              <w:rFonts w:eastAsiaTheme="minorEastAsia"/>
              <w:noProof/>
              <w:kern w:val="2"/>
              <w:sz w:val="24"/>
              <w:szCs w:val="24"/>
              <w14:ligatures w14:val="standardContextual"/>
            </w:rPr>
          </w:pPr>
          <w:hyperlink w:anchor="_Toc216776548" w:history="1">
            <w:r w:rsidRPr="00A40FA5">
              <w:rPr>
                <w:rStyle w:val="Hyperlink"/>
                <w:rFonts w:ascii="Aptos" w:hAnsi="Aptos"/>
                <w:b/>
                <w:bCs/>
                <w:noProof/>
              </w:rPr>
              <w:t>BUDGET REVISIONS</w:t>
            </w:r>
            <w:r>
              <w:rPr>
                <w:noProof/>
                <w:webHidden/>
              </w:rPr>
              <w:tab/>
            </w:r>
            <w:r>
              <w:rPr>
                <w:noProof/>
                <w:webHidden/>
              </w:rPr>
              <w:fldChar w:fldCharType="begin"/>
            </w:r>
            <w:r>
              <w:rPr>
                <w:noProof/>
                <w:webHidden/>
              </w:rPr>
              <w:instrText xml:space="preserve"> PAGEREF _Toc216776548 \h </w:instrText>
            </w:r>
            <w:r>
              <w:rPr>
                <w:noProof/>
                <w:webHidden/>
              </w:rPr>
            </w:r>
            <w:r>
              <w:rPr>
                <w:noProof/>
                <w:webHidden/>
              </w:rPr>
              <w:fldChar w:fldCharType="separate"/>
            </w:r>
            <w:r>
              <w:rPr>
                <w:noProof/>
                <w:webHidden/>
              </w:rPr>
              <w:t>4</w:t>
            </w:r>
            <w:r>
              <w:rPr>
                <w:noProof/>
                <w:webHidden/>
              </w:rPr>
              <w:fldChar w:fldCharType="end"/>
            </w:r>
          </w:hyperlink>
        </w:p>
        <w:p w14:paraId="2EE425B7" w14:textId="2C25F927" w:rsidR="007E7C98" w:rsidRDefault="007E7C98">
          <w:pPr>
            <w:pStyle w:val="TOC2"/>
            <w:tabs>
              <w:tab w:val="right" w:leader="dot" w:pos="9350"/>
            </w:tabs>
            <w:rPr>
              <w:rFonts w:eastAsiaTheme="minorEastAsia"/>
              <w:noProof/>
              <w:kern w:val="2"/>
              <w:sz w:val="24"/>
              <w:szCs w:val="24"/>
              <w14:ligatures w14:val="standardContextual"/>
            </w:rPr>
          </w:pPr>
          <w:hyperlink w:anchor="_Toc216776549" w:history="1">
            <w:r w:rsidRPr="00A40FA5">
              <w:rPr>
                <w:rStyle w:val="Hyperlink"/>
                <w:rFonts w:ascii="Aptos" w:hAnsi="Aptos" w:cs="Arial"/>
                <w:b/>
                <w:bCs/>
                <w:noProof/>
              </w:rPr>
              <w:t>DIRECT LABOR</w:t>
            </w:r>
            <w:r>
              <w:rPr>
                <w:noProof/>
                <w:webHidden/>
              </w:rPr>
              <w:tab/>
            </w:r>
            <w:r>
              <w:rPr>
                <w:noProof/>
                <w:webHidden/>
              </w:rPr>
              <w:fldChar w:fldCharType="begin"/>
            </w:r>
            <w:r>
              <w:rPr>
                <w:noProof/>
                <w:webHidden/>
              </w:rPr>
              <w:instrText xml:space="preserve"> PAGEREF _Toc216776549 \h </w:instrText>
            </w:r>
            <w:r>
              <w:rPr>
                <w:noProof/>
                <w:webHidden/>
              </w:rPr>
            </w:r>
            <w:r>
              <w:rPr>
                <w:noProof/>
                <w:webHidden/>
              </w:rPr>
              <w:fldChar w:fldCharType="separate"/>
            </w:r>
            <w:r>
              <w:rPr>
                <w:noProof/>
                <w:webHidden/>
              </w:rPr>
              <w:t>4</w:t>
            </w:r>
            <w:r>
              <w:rPr>
                <w:noProof/>
                <w:webHidden/>
              </w:rPr>
              <w:fldChar w:fldCharType="end"/>
            </w:r>
          </w:hyperlink>
        </w:p>
        <w:p w14:paraId="0187B78C" w14:textId="2CD8B837"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0" w:history="1">
            <w:r w:rsidRPr="00A40FA5">
              <w:rPr>
                <w:rStyle w:val="Hyperlink"/>
              </w:rPr>
              <w:t>Direct Labor Budget Considerations</w:t>
            </w:r>
            <w:r>
              <w:rPr>
                <w:webHidden/>
              </w:rPr>
              <w:tab/>
            </w:r>
            <w:r>
              <w:rPr>
                <w:webHidden/>
              </w:rPr>
              <w:fldChar w:fldCharType="begin"/>
            </w:r>
            <w:r>
              <w:rPr>
                <w:webHidden/>
              </w:rPr>
              <w:instrText xml:space="preserve"> PAGEREF _Toc216776550 \h </w:instrText>
            </w:r>
            <w:r>
              <w:rPr>
                <w:webHidden/>
              </w:rPr>
            </w:r>
            <w:r>
              <w:rPr>
                <w:webHidden/>
              </w:rPr>
              <w:fldChar w:fldCharType="separate"/>
            </w:r>
            <w:r>
              <w:rPr>
                <w:webHidden/>
              </w:rPr>
              <w:t>4</w:t>
            </w:r>
            <w:r>
              <w:rPr>
                <w:webHidden/>
              </w:rPr>
              <w:fldChar w:fldCharType="end"/>
            </w:r>
          </w:hyperlink>
        </w:p>
        <w:p w14:paraId="4E993613" w14:textId="1088253E"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1" w:history="1">
            <w:r w:rsidRPr="00A40FA5">
              <w:rPr>
                <w:rStyle w:val="Hyperlink"/>
              </w:rPr>
              <w:t>Requirements for Acceptable Timesheets</w:t>
            </w:r>
            <w:r>
              <w:rPr>
                <w:webHidden/>
              </w:rPr>
              <w:tab/>
            </w:r>
            <w:r>
              <w:rPr>
                <w:webHidden/>
              </w:rPr>
              <w:fldChar w:fldCharType="begin"/>
            </w:r>
            <w:r>
              <w:rPr>
                <w:webHidden/>
              </w:rPr>
              <w:instrText xml:space="preserve"> PAGEREF _Toc216776551 \h </w:instrText>
            </w:r>
            <w:r>
              <w:rPr>
                <w:webHidden/>
              </w:rPr>
            </w:r>
            <w:r>
              <w:rPr>
                <w:webHidden/>
              </w:rPr>
              <w:fldChar w:fldCharType="separate"/>
            </w:r>
            <w:r>
              <w:rPr>
                <w:webHidden/>
              </w:rPr>
              <w:t>5</w:t>
            </w:r>
            <w:r>
              <w:rPr>
                <w:webHidden/>
              </w:rPr>
              <w:fldChar w:fldCharType="end"/>
            </w:r>
          </w:hyperlink>
        </w:p>
        <w:p w14:paraId="66BC43EE" w14:textId="4E2AEDB9"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2" w:history="1">
            <w:r w:rsidRPr="00A40FA5">
              <w:rPr>
                <w:rStyle w:val="Hyperlink"/>
              </w:rPr>
              <w:t>Direct Labor Invoicing Considerations</w:t>
            </w:r>
            <w:r>
              <w:rPr>
                <w:webHidden/>
              </w:rPr>
              <w:tab/>
            </w:r>
            <w:r>
              <w:rPr>
                <w:webHidden/>
              </w:rPr>
              <w:fldChar w:fldCharType="begin"/>
            </w:r>
            <w:r>
              <w:rPr>
                <w:webHidden/>
              </w:rPr>
              <w:instrText xml:space="preserve"> PAGEREF _Toc216776552 \h </w:instrText>
            </w:r>
            <w:r>
              <w:rPr>
                <w:webHidden/>
              </w:rPr>
            </w:r>
            <w:r>
              <w:rPr>
                <w:webHidden/>
              </w:rPr>
              <w:fldChar w:fldCharType="separate"/>
            </w:r>
            <w:r>
              <w:rPr>
                <w:webHidden/>
              </w:rPr>
              <w:t>5</w:t>
            </w:r>
            <w:r>
              <w:rPr>
                <w:webHidden/>
              </w:rPr>
              <w:fldChar w:fldCharType="end"/>
            </w:r>
          </w:hyperlink>
        </w:p>
        <w:p w14:paraId="5F86DC46" w14:textId="65367868" w:rsidR="007E7C98" w:rsidRDefault="007E7C98">
          <w:pPr>
            <w:pStyle w:val="TOC2"/>
            <w:tabs>
              <w:tab w:val="right" w:leader="dot" w:pos="9350"/>
            </w:tabs>
            <w:rPr>
              <w:rFonts w:eastAsiaTheme="minorEastAsia"/>
              <w:noProof/>
              <w:kern w:val="2"/>
              <w:sz w:val="24"/>
              <w:szCs w:val="24"/>
              <w14:ligatures w14:val="standardContextual"/>
            </w:rPr>
          </w:pPr>
          <w:hyperlink w:anchor="_Toc216776553" w:history="1">
            <w:r w:rsidRPr="00A40FA5">
              <w:rPr>
                <w:rStyle w:val="Hyperlink"/>
                <w:rFonts w:ascii="Aptos" w:hAnsi="Aptos"/>
                <w:b/>
                <w:bCs/>
                <w:caps/>
                <w:noProof/>
              </w:rPr>
              <w:t>Davis-Bacon Act and Prevailing Wage Requirements</w:t>
            </w:r>
            <w:r>
              <w:rPr>
                <w:noProof/>
                <w:webHidden/>
              </w:rPr>
              <w:tab/>
            </w:r>
            <w:r>
              <w:rPr>
                <w:noProof/>
                <w:webHidden/>
              </w:rPr>
              <w:fldChar w:fldCharType="begin"/>
            </w:r>
            <w:r>
              <w:rPr>
                <w:noProof/>
                <w:webHidden/>
              </w:rPr>
              <w:instrText xml:space="preserve"> PAGEREF _Toc216776553 \h </w:instrText>
            </w:r>
            <w:r>
              <w:rPr>
                <w:noProof/>
                <w:webHidden/>
              </w:rPr>
            </w:r>
            <w:r>
              <w:rPr>
                <w:noProof/>
                <w:webHidden/>
              </w:rPr>
              <w:fldChar w:fldCharType="separate"/>
            </w:r>
            <w:r>
              <w:rPr>
                <w:noProof/>
                <w:webHidden/>
              </w:rPr>
              <w:t>5</w:t>
            </w:r>
            <w:r>
              <w:rPr>
                <w:noProof/>
                <w:webHidden/>
              </w:rPr>
              <w:fldChar w:fldCharType="end"/>
            </w:r>
          </w:hyperlink>
        </w:p>
        <w:p w14:paraId="53BD48F6" w14:textId="63A56C8D"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4" w:history="1">
            <w:r w:rsidRPr="00A40FA5">
              <w:rPr>
                <w:rStyle w:val="Hyperlink"/>
              </w:rPr>
              <w:t>Davis Bacon Act</w:t>
            </w:r>
            <w:r>
              <w:rPr>
                <w:webHidden/>
              </w:rPr>
              <w:tab/>
            </w:r>
            <w:r>
              <w:rPr>
                <w:webHidden/>
              </w:rPr>
              <w:fldChar w:fldCharType="begin"/>
            </w:r>
            <w:r>
              <w:rPr>
                <w:webHidden/>
              </w:rPr>
              <w:instrText xml:space="preserve"> PAGEREF _Toc216776554 \h </w:instrText>
            </w:r>
            <w:r>
              <w:rPr>
                <w:webHidden/>
              </w:rPr>
            </w:r>
            <w:r>
              <w:rPr>
                <w:webHidden/>
              </w:rPr>
              <w:fldChar w:fldCharType="separate"/>
            </w:r>
            <w:r>
              <w:rPr>
                <w:webHidden/>
              </w:rPr>
              <w:t>6</w:t>
            </w:r>
            <w:r>
              <w:rPr>
                <w:webHidden/>
              </w:rPr>
              <w:fldChar w:fldCharType="end"/>
            </w:r>
          </w:hyperlink>
        </w:p>
        <w:p w14:paraId="1FA4F5E9" w14:textId="77ADFFC9"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5" w:history="1">
            <w:r w:rsidRPr="00A40FA5">
              <w:rPr>
                <w:rStyle w:val="Hyperlink"/>
              </w:rPr>
              <w:t>CA Prevailing Wage Requirement</w:t>
            </w:r>
            <w:r>
              <w:rPr>
                <w:webHidden/>
              </w:rPr>
              <w:tab/>
            </w:r>
            <w:r>
              <w:rPr>
                <w:webHidden/>
              </w:rPr>
              <w:fldChar w:fldCharType="begin"/>
            </w:r>
            <w:r>
              <w:rPr>
                <w:webHidden/>
              </w:rPr>
              <w:instrText xml:space="preserve"> PAGEREF _Toc216776555 \h </w:instrText>
            </w:r>
            <w:r>
              <w:rPr>
                <w:webHidden/>
              </w:rPr>
            </w:r>
            <w:r>
              <w:rPr>
                <w:webHidden/>
              </w:rPr>
              <w:fldChar w:fldCharType="separate"/>
            </w:r>
            <w:r>
              <w:rPr>
                <w:webHidden/>
              </w:rPr>
              <w:t>7</w:t>
            </w:r>
            <w:r>
              <w:rPr>
                <w:webHidden/>
              </w:rPr>
              <w:fldChar w:fldCharType="end"/>
            </w:r>
          </w:hyperlink>
        </w:p>
        <w:p w14:paraId="167ABEBE" w14:textId="0D879E7A" w:rsidR="007E7C98" w:rsidRDefault="007E7C98">
          <w:pPr>
            <w:pStyle w:val="TOC2"/>
            <w:tabs>
              <w:tab w:val="right" w:leader="dot" w:pos="9350"/>
            </w:tabs>
            <w:rPr>
              <w:rFonts w:eastAsiaTheme="minorEastAsia"/>
              <w:noProof/>
              <w:kern w:val="2"/>
              <w:sz w:val="24"/>
              <w:szCs w:val="24"/>
              <w14:ligatures w14:val="standardContextual"/>
            </w:rPr>
          </w:pPr>
          <w:hyperlink w:anchor="_Toc216776556" w:history="1">
            <w:r w:rsidRPr="00A40FA5">
              <w:rPr>
                <w:rStyle w:val="Hyperlink"/>
                <w:rFonts w:ascii="Aptos" w:hAnsi="Aptos" w:cs="Arial"/>
                <w:b/>
                <w:bCs/>
                <w:noProof/>
              </w:rPr>
              <w:t>FRINGE BENEFITS</w:t>
            </w:r>
            <w:r>
              <w:rPr>
                <w:noProof/>
                <w:webHidden/>
              </w:rPr>
              <w:tab/>
            </w:r>
            <w:r>
              <w:rPr>
                <w:noProof/>
                <w:webHidden/>
              </w:rPr>
              <w:fldChar w:fldCharType="begin"/>
            </w:r>
            <w:r>
              <w:rPr>
                <w:noProof/>
                <w:webHidden/>
              </w:rPr>
              <w:instrText xml:space="preserve"> PAGEREF _Toc216776556 \h </w:instrText>
            </w:r>
            <w:r>
              <w:rPr>
                <w:noProof/>
                <w:webHidden/>
              </w:rPr>
            </w:r>
            <w:r>
              <w:rPr>
                <w:noProof/>
                <w:webHidden/>
              </w:rPr>
              <w:fldChar w:fldCharType="separate"/>
            </w:r>
            <w:r>
              <w:rPr>
                <w:noProof/>
                <w:webHidden/>
              </w:rPr>
              <w:t>7</w:t>
            </w:r>
            <w:r>
              <w:rPr>
                <w:noProof/>
                <w:webHidden/>
              </w:rPr>
              <w:fldChar w:fldCharType="end"/>
            </w:r>
          </w:hyperlink>
        </w:p>
        <w:p w14:paraId="7DF4435B" w14:textId="2ED58C09"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7" w:history="1">
            <w:r w:rsidRPr="00A40FA5">
              <w:rPr>
                <w:rStyle w:val="Hyperlink"/>
              </w:rPr>
              <w:t>Annual Recalculation of Fringe Benefits</w:t>
            </w:r>
            <w:r>
              <w:rPr>
                <w:webHidden/>
              </w:rPr>
              <w:tab/>
            </w:r>
            <w:r>
              <w:rPr>
                <w:webHidden/>
              </w:rPr>
              <w:fldChar w:fldCharType="begin"/>
            </w:r>
            <w:r>
              <w:rPr>
                <w:webHidden/>
              </w:rPr>
              <w:instrText xml:space="preserve"> PAGEREF _Toc216776557 \h </w:instrText>
            </w:r>
            <w:r>
              <w:rPr>
                <w:webHidden/>
              </w:rPr>
            </w:r>
            <w:r>
              <w:rPr>
                <w:webHidden/>
              </w:rPr>
              <w:fldChar w:fldCharType="separate"/>
            </w:r>
            <w:r>
              <w:rPr>
                <w:webHidden/>
              </w:rPr>
              <w:t>8</w:t>
            </w:r>
            <w:r>
              <w:rPr>
                <w:webHidden/>
              </w:rPr>
              <w:fldChar w:fldCharType="end"/>
            </w:r>
          </w:hyperlink>
        </w:p>
        <w:p w14:paraId="1EC8ED13" w14:textId="68FE42F1"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8" w:history="1">
            <w:r w:rsidRPr="00A40FA5">
              <w:rPr>
                <w:rStyle w:val="Hyperlink"/>
              </w:rPr>
              <w:t>Consultants</w:t>
            </w:r>
            <w:r>
              <w:rPr>
                <w:webHidden/>
              </w:rPr>
              <w:tab/>
            </w:r>
            <w:r>
              <w:rPr>
                <w:webHidden/>
              </w:rPr>
              <w:fldChar w:fldCharType="begin"/>
            </w:r>
            <w:r>
              <w:rPr>
                <w:webHidden/>
              </w:rPr>
              <w:instrText xml:space="preserve"> PAGEREF _Toc216776558 \h </w:instrText>
            </w:r>
            <w:r>
              <w:rPr>
                <w:webHidden/>
              </w:rPr>
            </w:r>
            <w:r>
              <w:rPr>
                <w:webHidden/>
              </w:rPr>
              <w:fldChar w:fldCharType="separate"/>
            </w:r>
            <w:r>
              <w:rPr>
                <w:webHidden/>
              </w:rPr>
              <w:t>8</w:t>
            </w:r>
            <w:r>
              <w:rPr>
                <w:webHidden/>
              </w:rPr>
              <w:fldChar w:fldCharType="end"/>
            </w:r>
          </w:hyperlink>
        </w:p>
        <w:p w14:paraId="1D3BC4DA" w14:textId="287A9201"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59" w:history="1">
            <w:r w:rsidRPr="00A40FA5">
              <w:rPr>
                <w:rStyle w:val="Hyperlink"/>
              </w:rPr>
              <w:t>Acceptable Supporting Documentation</w:t>
            </w:r>
            <w:r>
              <w:rPr>
                <w:webHidden/>
              </w:rPr>
              <w:tab/>
            </w:r>
            <w:r>
              <w:rPr>
                <w:webHidden/>
              </w:rPr>
              <w:fldChar w:fldCharType="begin"/>
            </w:r>
            <w:r>
              <w:rPr>
                <w:webHidden/>
              </w:rPr>
              <w:instrText xml:space="preserve"> PAGEREF _Toc216776559 \h </w:instrText>
            </w:r>
            <w:r>
              <w:rPr>
                <w:webHidden/>
              </w:rPr>
            </w:r>
            <w:r>
              <w:rPr>
                <w:webHidden/>
              </w:rPr>
              <w:fldChar w:fldCharType="separate"/>
            </w:r>
            <w:r>
              <w:rPr>
                <w:webHidden/>
              </w:rPr>
              <w:t>8</w:t>
            </w:r>
            <w:r>
              <w:rPr>
                <w:webHidden/>
              </w:rPr>
              <w:fldChar w:fldCharType="end"/>
            </w:r>
          </w:hyperlink>
        </w:p>
        <w:p w14:paraId="18FB9599" w14:textId="107842B4"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0" w:history="1">
            <w:r w:rsidRPr="00A40FA5">
              <w:rPr>
                <w:rStyle w:val="Hyperlink"/>
              </w:rPr>
              <w:t>Invoicing Considerations</w:t>
            </w:r>
            <w:r>
              <w:rPr>
                <w:webHidden/>
              </w:rPr>
              <w:tab/>
            </w:r>
            <w:r>
              <w:rPr>
                <w:webHidden/>
              </w:rPr>
              <w:fldChar w:fldCharType="begin"/>
            </w:r>
            <w:r>
              <w:rPr>
                <w:webHidden/>
              </w:rPr>
              <w:instrText xml:space="preserve"> PAGEREF _Toc216776560 \h </w:instrText>
            </w:r>
            <w:r>
              <w:rPr>
                <w:webHidden/>
              </w:rPr>
            </w:r>
            <w:r>
              <w:rPr>
                <w:webHidden/>
              </w:rPr>
              <w:fldChar w:fldCharType="separate"/>
            </w:r>
            <w:r>
              <w:rPr>
                <w:webHidden/>
              </w:rPr>
              <w:t>8</w:t>
            </w:r>
            <w:r>
              <w:rPr>
                <w:webHidden/>
              </w:rPr>
              <w:fldChar w:fldCharType="end"/>
            </w:r>
          </w:hyperlink>
        </w:p>
        <w:p w14:paraId="06A6BD1E" w14:textId="53B813A1"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1" w:history="1">
            <w:r w:rsidRPr="00A40FA5">
              <w:rPr>
                <w:rStyle w:val="Hyperlink"/>
              </w:rPr>
              <w:t>Frin</w:t>
            </w:r>
            <w:r w:rsidRPr="00A40FA5">
              <w:rPr>
                <w:rStyle w:val="Hyperlink"/>
              </w:rPr>
              <w:t>g</w:t>
            </w:r>
            <w:r w:rsidRPr="00A40FA5">
              <w:rPr>
                <w:rStyle w:val="Hyperlink"/>
              </w:rPr>
              <w:t>e Reconciliation Form</w:t>
            </w:r>
            <w:r>
              <w:rPr>
                <w:webHidden/>
              </w:rPr>
              <w:tab/>
            </w:r>
            <w:r>
              <w:rPr>
                <w:webHidden/>
              </w:rPr>
              <w:fldChar w:fldCharType="begin"/>
            </w:r>
            <w:r>
              <w:rPr>
                <w:webHidden/>
              </w:rPr>
              <w:instrText xml:space="preserve"> PAGEREF _Toc216776561 \h </w:instrText>
            </w:r>
            <w:r>
              <w:rPr>
                <w:webHidden/>
              </w:rPr>
            </w:r>
            <w:r>
              <w:rPr>
                <w:webHidden/>
              </w:rPr>
              <w:fldChar w:fldCharType="separate"/>
            </w:r>
            <w:r>
              <w:rPr>
                <w:webHidden/>
              </w:rPr>
              <w:t>9</w:t>
            </w:r>
            <w:r>
              <w:rPr>
                <w:webHidden/>
              </w:rPr>
              <w:fldChar w:fldCharType="end"/>
            </w:r>
          </w:hyperlink>
        </w:p>
        <w:p w14:paraId="45B1D3A8" w14:textId="42ED284B" w:rsidR="007E7C98" w:rsidRDefault="007E7C98">
          <w:pPr>
            <w:pStyle w:val="TOC2"/>
            <w:tabs>
              <w:tab w:val="right" w:leader="dot" w:pos="9350"/>
            </w:tabs>
            <w:rPr>
              <w:rFonts w:eastAsiaTheme="minorEastAsia"/>
              <w:noProof/>
              <w:kern w:val="2"/>
              <w:sz w:val="24"/>
              <w:szCs w:val="24"/>
              <w14:ligatures w14:val="standardContextual"/>
            </w:rPr>
          </w:pPr>
          <w:hyperlink w:anchor="_Toc216776562" w:history="1">
            <w:r w:rsidRPr="00A40FA5">
              <w:rPr>
                <w:rStyle w:val="Hyperlink"/>
                <w:rFonts w:ascii="Aptos" w:hAnsi="Aptos" w:cs="Arial"/>
                <w:b/>
                <w:bCs/>
                <w:noProof/>
              </w:rPr>
              <w:t>TRAVEL POLICY</w:t>
            </w:r>
            <w:r>
              <w:rPr>
                <w:noProof/>
                <w:webHidden/>
              </w:rPr>
              <w:tab/>
            </w:r>
            <w:r>
              <w:rPr>
                <w:noProof/>
                <w:webHidden/>
              </w:rPr>
              <w:fldChar w:fldCharType="begin"/>
            </w:r>
            <w:r>
              <w:rPr>
                <w:noProof/>
                <w:webHidden/>
              </w:rPr>
              <w:instrText xml:space="preserve"> PAGEREF _Toc216776562 \h </w:instrText>
            </w:r>
            <w:r>
              <w:rPr>
                <w:noProof/>
                <w:webHidden/>
              </w:rPr>
            </w:r>
            <w:r>
              <w:rPr>
                <w:noProof/>
                <w:webHidden/>
              </w:rPr>
              <w:fldChar w:fldCharType="separate"/>
            </w:r>
            <w:r>
              <w:rPr>
                <w:noProof/>
                <w:webHidden/>
              </w:rPr>
              <w:t>9</w:t>
            </w:r>
            <w:r>
              <w:rPr>
                <w:noProof/>
                <w:webHidden/>
              </w:rPr>
              <w:fldChar w:fldCharType="end"/>
            </w:r>
          </w:hyperlink>
        </w:p>
        <w:p w14:paraId="5211B0DE" w14:textId="7E78BD5F"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3" w:history="1">
            <w:r w:rsidRPr="00A40FA5">
              <w:rPr>
                <w:rStyle w:val="Hyperlink"/>
              </w:rPr>
              <w:t>Receipts</w:t>
            </w:r>
            <w:r>
              <w:rPr>
                <w:webHidden/>
              </w:rPr>
              <w:tab/>
            </w:r>
            <w:r>
              <w:rPr>
                <w:webHidden/>
              </w:rPr>
              <w:fldChar w:fldCharType="begin"/>
            </w:r>
            <w:r>
              <w:rPr>
                <w:webHidden/>
              </w:rPr>
              <w:instrText xml:space="preserve"> PAGEREF _Toc216776563 \h </w:instrText>
            </w:r>
            <w:r>
              <w:rPr>
                <w:webHidden/>
              </w:rPr>
            </w:r>
            <w:r>
              <w:rPr>
                <w:webHidden/>
              </w:rPr>
              <w:fldChar w:fldCharType="separate"/>
            </w:r>
            <w:r>
              <w:rPr>
                <w:webHidden/>
              </w:rPr>
              <w:t>9</w:t>
            </w:r>
            <w:r>
              <w:rPr>
                <w:webHidden/>
              </w:rPr>
              <w:fldChar w:fldCharType="end"/>
            </w:r>
          </w:hyperlink>
        </w:p>
        <w:p w14:paraId="0BBB1084" w14:textId="7158FA17"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4" w:history="1">
            <w:r w:rsidRPr="00A40FA5">
              <w:rPr>
                <w:rStyle w:val="Hyperlink"/>
              </w:rPr>
              <w:t>Invoiced Amount Does Not Have to Match Budget Worksheet Estimates</w:t>
            </w:r>
            <w:r>
              <w:rPr>
                <w:webHidden/>
              </w:rPr>
              <w:tab/>
            </w:r>
            <w:r>
              <w:rPr>
                <w:webHidden/>
              </w:rPr>
              <w:fldChar w:fldCharType="begin"/>
            </w:r>
            <w:r>
              <w:rPr>
                <w:webHidden/>
              </w:rPr>
              <w:instrText xml:space="preserve"> PAGEREF _Toc216776564 \h </w:instrText>
            </w:r>
            <w:r>
              <w:rPr>
                <w:webHidden/>
              </w:rPr>
            </w:r>
            <w:r>
              <w:rPr>
                <w:webHidden/>
              </w:rPr>
              <w:fldChar w:fldCharType="separate"/>
            </w:r>
            <w:r>
              <w:rPr>
                <w:webHidden/>
              </w:rPr>
              <w:t>9</w:t>
            </w:r>
            <w:r>
              <w:rPr>
                <w:webHidden/>
              </w:rPr>
              <w:fldChar w:fldCharType="end"/>
            </w:r>
          </w:hyperlink>
        </w:p>
        <w:p w14:paraId="22753F98" w14:textId="11D5A8FB"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5" w:history="1">
            <w:r w:rsidRPr="00A40FA5">
              <w:rPr>
                <w:rStyle w:val="Hyperlink"/>
              </w:rPr>
              <w:t>Travel Expense Details</w:t>
            </w:r>
            <w:r>
              <w:rPr>
                <w:webHidden/>
              </w:rPr>
              <w:tab/>
            </w:r>
            <w:r>
              <w:rPr>
                <w:webHidden/>
              </w:rPr>
              <w:fldChar w:fldCharType="begin"/>
            </w:r>
            <w:r>
              <w:rPr>
                <w:webHidden/>
              </w:rPr>
              <w:instrText xml:space="preserve"> PAGEREF _Toc216776565 \h </w:instrText>
            </w:r>
            <w:r>
              <w:rPr>
                <w:webHidden/>
              </w:rPr>
            </w:r>
            <w:r>
              <w:rPr>
                <w:webHidden/>
              </w:rPr>
              <w:fldChar w:fldCharType="separate"/>
            </w:r>
            <w:r>
              <w:rPr>
                <w:webHidden/>
              </w:rPr>
              <w:t>10</w:t>
            </w:r>
            <w:r>
              <w:rPr>
                <w:webHidden/>
              </w:rPr>
              <w:fldChar w:fldCharType="end"/>
            </w:r>
          </w:hyperlink>
        </w:p>
        <w:p w14:paraId="07156112" w14:textId="0C8E809E" w:rsidR="007E7C98" w:rsidRDefault="007E7C98">
          <w:pPr>
            <w:pStyle w:val="TOC2"/>
            <w:tabs>
              <w:tab w:val="right" w:leader="dot" w:pos="9350"/>
            </w:tabs>
            <w:rPr>
              <w:rFonts w:eastAsiaTheme="minorEastAsia"/>
              <w:noProof/>
              <w:kern w:val="2"/>
              <w:sz w:val="24"/>
              <w:szCs w:val="24"/>
              <w14:ligatures w14:val="standardContextual"/>
            </w:rPr>
          </w:pPr>
          <w:hyperlink w:anchor="_Toc216776566" w:history="1">
            <w:r w:rsidRPr="00A40FA5">
              <w:rPr>
                <w:rStyle w:val="Hyperlink"/>
                <w:rFonts w:ascii="Aptos" w:hAnsi="Aptos" w:cs="Arial"/>
                <w:b/>
                <w:bCs/>
                <w:noProof/>
              </w:rPr>
              <w:t>EQUIPMENT</w:t>
            </w:r>
            <w:r>
              <w:rPr>
                <w:noProof/>
                <w:webHidden/>
              </w:rPr>
              <w:tab/>
            </w:r>
            <w:r>
              <w:rPr>
                <w:noProof/>
                <w:webHidden/>
              </w:rPr>
              <w:fldChar w:fldCharType="begin"/>
            </w:r>
            <w:r>
              <w:rPr>
                <w:noProof/>
                <w:webHidden/>
              </w:rPr>
              <w:instrText xml:space="preserve"> PAGEREF _Toc216776566 \h </w:instrText>
            </w:r>
            <w:r>
              <w:rPr>
                <w:noProof/>
                <w:webHidden/>
              </w:rPr>
            </w:r>
            <w:r>
              <w:rPr>
                <w:noProof/>
                <w:webHidden/>
              </w:rPr>
              <w:fldChar w:fldCharType="separate"/>
            </w:r>
            <w:r>
              <w:rPr>
                <w:noProof/>
                <w:webHidden/>
              </w:rPr>
              <w:t>11</w:t>
            </w:r>
            <w:r>
              <w:rPr>
                <w:noProof/>
                <w:webHidden/>
              </w:rPr>
              <w:fldChar w:fldCharType="end"/>
            </w:r>
          </w:hyperlink>
        </w:p>
        <w:p w14:paraId="5A39A184" w14:textId="7012EB82"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7" w:history="1">
            <w:r w:rsidRPr="00A40FA5">
              <w:rPr>
                <w:rStyle w:val="Hyperlink"/>
              </w:rPr>
              <w:t>Equipment Policy</w:t>
            </w:r>
            <w:r>
              <w:rPr>
                <w:webHidden/>
              </w:rPr>
              <w:tab/>
            </w:r>
            <w:r>
              <w:rPr>
                <w:webHidden/>
              </w:rPr>
              <w:fldChar w:fldCharType="begin"/>
            </w:r>
            <w:r>
              <w:rPr>
                <w:webHidden/>
              </w:rPr>
              <w:instrText xml:space="preserve"> PAGEREF _Toc216776567 \h </w:instrText>
            </w:r>
            <w:r>
              <w:rPr>
                <w:webHidden/>
              </w:rPr>
            </w:r>
            <w:r>
              <w:rPr>
                <w:webHidden/>
              </w:rPr>
              <w:fldChar w:fldCharType="separate"/>
            </w:r>
            <w:r>
              <w:rPr>
                <w:webHidden/>
              </w:rPr>
              <w:t>11</w:t>
            </w:r>
            <w:r>
              <w:rPr>
                <w:webHidden/>
              </w:rPr>
              <w:fldChar w:fldCharType="end"/>
            </w:r>
          </w:hyperlink>
        </w:p>
        <w:p w14:paraId="6FF624B5" w14:textId="1049A4F5"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8" w:history="1">
            <w:r w:rsidRPr="00A40FA5">
              <w:rPr>
                <w:rStyle w:val="Hyperlink"/>
              </w:rPr>
              <w:t>Budget Development</w:t>
            </w:r>
            <w:r>
              <w:rPr>
                <w:webHidden/>
              </w:rPr>
              <w:tab/>
            </w:r>
            <w:r>
              <w:rPr>
                <w:webHidden/>
              </w:rPr>
              <w:fldChar w:fldCharType="begin"/>
            </w:r>
            <w:r>
              <w:rPr>
                <w:webHidden/>
              </w:rPr>
              <w:instrText xml:space="preserve"> PAGEREF _Toc216776568 \h </w:instrText>
            </w:r>
            <w:r>
              <w:rPr>
                <w:webHidden/>
              </w:rPr>
            </w:r>
            <w:r>
              <w:rPr>
                <w:webHidden/>
              </w:rPr>
              <w:fldChar w:fldCharType="separate"/>
            </w:r>
            <w:r>
              <w:rPr>
                <w:webHidden/>
              </w:rPr>
              <w:t>11</w:t>
            </w:r>
            <w:r>
              <w:rPr>
                <w:webHidden/>
              </w:rPr>
              <w:fldChar w:fldCharType="end"/>
            </w:r>
          </w:hyperlink>
        </w:p>
        <w:p w14:paraId="50EB3933" w14:textId="56529F3E"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69" w:history="1">
            <w:r w:rsidRPr="00A40FA5">
              <w:rPr>
                <w:rStyle w:val="Hyperlink"/>
              </w:rPr>
              <w:t>Invoice Considerations</w:t>
            </w:r>
            <w:r>
              <w:rPr>
                <w:webHidden/>
              </w:rPr>
              <w:tab/>
            </w:r>
            <w:r>
              <w:rPr>
                <w:webHidden/>
              </w:rPr>
              <w:fldChar w:fldCharType="begin"/>
            </w:r>
            <w:r>
              <w:rPr>
                <w:webHidden/>
              </w:rPr>
              <w:instrText xml:space="preserve"> PAGEREF _Toc216776569 \h </w:instrText>
            </w:r>
            <w:r>
              <w:rPr>
                <w:webHidden/>
              </w:rPr>
            </w:r>
            <w:r>
              <w:rPr>
                <w:webHidden/>
              </w:rPr>
              <w:fldChar w:fldCharType="separate"/>
            </w:r>
            <w:r>
              <w:rPr>
                <w:webHidden/>
              </w:rPr>
              <w:t>12</w:t>
            </w:r>
            <w:r>
              <w:rPr>
                <w:webHidden/>
              </w:rPr>
              <w:fldChar w:fldCharType="end"/>
            </w:r>
          </w:hyperlink>
        </w:p>
        <w:p w14:paraId="6AFE46B2" w14:textId="23386707"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0" w:history="1">
            <w:r w:rsidRPr="00A40FA5">
              <w:rPr>
                <w:rStyle w:val="Hyperlink"/>
              </w:rPr>
              <w:t>Independent Verification of Large Equipment Expenditures</w:t>
            </w:r>
            <w:r>
              <w:rPr>
                <w:webHidden/>
              </w:rPr>
              <w:tab/>
            </w:r>
            <w:r>
              <w:rPr>
                <w:webHidden/>
              </w:rPr>
              <w:fldChar w:fldCharType="begin"/>
            </w:r>
            <w:r>
              <w:rPr>
                <w:webHidden/>
              </w:rPr>
              <w:instrText xml:space="preserve"> PAGEREF _Toc216776570 \h </w:instrText>
            </w:r>
            <w:r>
              <w:rPr>
                <w:webHidden/>
              </w:rPr>
            </w:r>
            <w:r>
              <w:rPr>
                <w:webHidden/>
              </w:rPr>
              <w:fldChar w:fldCharType="separate"/>
            </w:r>
            <w:r>
              <w:rPr>
                <w:webHidden/>
              </w:rPr>
              <w:t>13</w:t>
            </w:r>
            <w:r>
              <w:rPr>
                <w:webHidden/>
              </w:rPr>
              <w:fldChar w:fldCharType="end"/>
            </w:r>
          </w:hyperlink>
        </w:p>
        <w:p w14:paraId="37EB0D74" w14:textId="209D90EF" w:rsidR="007E7C98" w:rsidRDefault="007E7C98">
          <w:pPr>
            <w:pStyle w:val="TOC2"/>
            <w:tabs>
              <w:tab w:val="right" w:leader="dot" w:pos="9350"/>
            </w:tabs>
            <w:rPr>
              <w:rFonts w:eastAsiaTheme="minorEastAsia"/>
              <w:noProof/>
              <w:kern w:val="2"/>
              <w:sz w:val="24"/>
              <w:szCs w:val="24"/>
              <w14:ligatures w14:val="standardContextual"/>
            </w:rPr>
          </w:pPr>
          <w:hyperlink w:anchor="_Toc216776571" w:history="1">
            <w:r w:rsidRPr="00A40FA5">
              <w:rPr>
                <w:rStyle w:val="Hyperlink"/>
                <w:rFonts w:ascii="Aptos" w:hAnsi="Aptos"/>
                <w:b/>
                <w:bCs/>
                <w:noProof/>
              </w:rPr>
              <w:t>SUPPLIES</w:t>
            </w:r>
            <w:r>
              <w:rPr>
                <w:noProof/>
                <w:webHidden/>
              </w:rPr>
              <w:tab/>
            </w:r>
            <w:r>
              <w:rPr>
                <w:noProof/>
                <w:webHidden/>
              </w:rPr>
              <w:fldChar w:fldCharType="begin"/>
            </w:r>
            <w:r>
              <w:rPr>
                <w:noProof/>
                <w:webHidden/>
              </w:rPr>
              <w:instrText xml:space="preserve"> PAGEREF _Toc216776571 \h </w:instrText>
            </w:r>
            <w:r>
              <w:rPr>
                <w:noProof/>
                <w:webHidden/>
              </w:rPr>
            </w:r>
            <w:r>
              <w:rPr>
                <w:noProof/>
                <w:webHidden/>
              </w:rPr>
              <w:fldChar w:fldCharType="separate"/>
            </w:r>
            <w:r>
              <w:rPr>
                <w:noProof/>
                <w:webHidden/>
              </w:rPr>
              <w:t>13</w:t>
            </w:r>
            <w:r>
              <w:rPr>
                <w:noProof/>
                <w:webHidden/>
              </w:rPr>
              <w:fldChar w:fldCharType="end"/>
            </w:r>
          </w:hyperlink>
        </w:p>
        <w:p w14:paraId="4F6FFF78" w14:textId="12CE6C2D"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2" w:history="1">
            <w:r w:rsidRPr="00A40FA5">
              <w:rPr>
                <w:rStyle w:val="Hyperlink"/>
              </w:rPr>
              <w:t>Are Items Listed in Your Budget Proper for the Category?</w:t>
            </w:r>
            <w:r>
              <w:rPr>
                <w:webHidden/>
              </w:rPr>
              <w:tab/>
            </w:r>
            <w:r>
              <w:rPr>
                <w:webHidden/>
              </w:rPr>
              <w:fldChar w:fldCharType="begin"/>
            </w:r>
            <w:r>
              <w:rPr>
                <w:webHidden/>
              </w:rPr>
              <w:instrText xml:space="preserve"> PAGEREF _Toc216776572 \h </w:instrText>
            </w:r>
            <w:r>
              <w:rPr>
                <w:webHidden/>
              </w:rPr>
            </w:r>
            <w:r>
              <w:rPr>
                <w:webHidden/>
              </w:rPr>
              <w:fldChar w:fldCharType="separate"/>
            </w:r>
            <w:r>
              <w:rPr>
                <w:webHidden/>
              </w:rPr>
              <w:t>14</w:t>
            </w:r>
            <w:r>
              <w:rPr>
                <w:webHidden/>
              </w:rPr>
              <w:fldChar w:fldCharType="end"/>
            </w:r>
          </w:hyperlink>
        </w:p>
        <w:p w14:paraId="16A880C1" w14:textId="132A39CF"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3" w:history="1">
            <w:r w:rsidRPr="00A40FA5">
              <w:rPr>
                <w:rStyle w:val="Hyperlink"/>
              </w:rPr>
              <w:t>Supporting Documentation Required</w:t>
            </w:r>
            <w:r>
              <w:rPr>
                <w:webHidden/>
              </w:rPr>
              <w:tab/>
            </w:r>
            <w:r>
              <w:rPr>
                <w:webHidden/>
              </w:rPr>
              <w:fldChar w:fldCharType="begin"/>
            </w:r>
            <w:r>
              <w:rPr>
                <w:webHidden/>
              </w:rPr>
              <w:instrText xml:space="preserve"> PAGEREF _Toc216776573 \h </w:instrText>
            </w:r>
            <w:r>
              <w:rPr>
                <w:webHidden/>
              </w:rPr>
            </w:r>
            <w:r>
              <w:rPr>
                <w:webHidden/>
              </w:rPr>
              <w:fldChar w:fldCharType="separate"/>
            </w:r>
            <w:r>
              <w:rPr>
                <w:webHidden/>
              </w:rPr>
              <w:t>14</w:t>
            </w:r>
            <w:r>
              <w:rPr>
                <w:webHidden/>
              </w:rPr>
              <w:fldChar w:fldCharType="end"/>
            </w:r>
          </w:hyperlink>
        </w:p>
        <w:p w14:paraId="59601DA4" w14:textId="3724110E"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4" w:history="1">
            <w:r w:rsidRPr="00A40FA5">
              <w:rPr>
                <w:rStyle w:val="Hyperlink"/>
              </w:rPr>
              <w:t>Adding New Supplies to the Budget</w:t>
            </w:r>
            <w:r>
              <w:rPr>
                <w:webHidden/>
              </w:rPr>
              <w:tab/>
            </w:r>
            <w:r>
              <w:rPr>
                <w:webHidden/>
              </w:rPr>
              <w:fldChar w:fldCharType="begin"/>
            </w:r>
            <w:r>
              <w:rPr>
                <w:webHidden/>
              </w:rPr>
              <w:instrText xml:space="preserve"> PAGEREF _Toc216776574 \h </w:instrText>
            </w:r>
            <w:r>
              <w:rPr>
                <w:webHidden/>
              </w:rPr>
            </w:r>
            <w:r>
              <w:rPr>
                <w:webHidden/>
              </w:rPr>
              <w:fldChar w:fldCharType="separate"/>
            </w:r>
            <w:r>
              <w:rPr>
                <w:webHidden/>
              </w:rPr>
              <w:t>14</w:t>
            </w:r>
            <w:r>
              <w:rPr>
                <w:webHidden/>
              </w:rPr>
              <w:fldChar w:fldCharType="end"/>
            </w:r>
          </w:hyperlink>
        </w:p>
        <w:p w14:paraId="575DF8E4" w14:textId="4035321E"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5" w:history="1">
            <w:r w:rsidRPr="00A40FA5">
              <w:rPr>
                <w:rStyle w:val="Hyperlink"/>
              </w:rPr>
              <w:t>Additions Less than $5,000</w:t>
            </w:r>
            <w:r>
              <w:rPr>
                <w:webHidden/>
              </w:rPr>
              <w:tab/>
            </w:r>
            <w:r>
              <w:rPr>
                <w:webHidden/>
              </w:rPr>
              <w:fldChar w:fldCharType="begin"/>
            </w:r>
            <w:r>
              <w:rPr>
                <w:webHidden/>
              </w:rPr>
              <w:instrText xml:space="preserve"> PAGEREF _Toc216776575 \h </w:instrText>
            </w:r>
            <w:r>
              <w:rPr>
                <w:webHidden/>
              </w:rPr>
            </w:r>
            <w:r>
              <w:rPr>
                <w:webHidden/>
              </w:rPr>
              <w:fldChar w:fldCharType="separate"/>
            </w:r>
            <w:r>
              <w:rPr>
                <w:webHidden/>
              </w:rPr>
              <w:t>14</w:t>
            </w:r>
            <w:r>
              <w:rPr>
                <w:webHidden/>
              </w:rPr>
              <w:fldChar w:fldCharType="end"/>
            </w:r>
          </w:hyperlink>
        </w:p>
        <w:p w14:paraId="4B221446" w14:textId="01795B3B"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6" w:history="1">
            <w:r w:rsidRPr="00A40FA5">
              <w:rPr>
                <w:rStyle w:val="Hyperlink"/>
              </w:rPr>
              <w:t>Additions More than $5,000</w:t>
            </w:r>
            <w:r>
              <w:rPr>
                <w:webHidden/>
              </w:rPr>
              <w:tab/>
            </w:r>
            <w:r>
              <w:rPr>
                <w:webHidden/>
              </w:rPr>
              <w:fldChar w:fldCharType="begin"/>
            </w:r>
            <w:r>
              <w:rPr>
                <w:webHidden/>
              </w:rPr>
              <w:instrText xml:space="preserve"> PAGEREF _Toc216776576 \h </w:instrText>
            </w:r>
            <w:r>
              <w:rPr>
                <w:webHidden/>
              </w:rPr>
            </w:r>
            <w:r>
              <w:rPr>
                <w:webHidden/>
              </w:rPr>
              <w:fldChar w:fldCharType="separate"/>
            </w:r>
            <w:r>
              <w:rPr>
                <w:webHidden/>
              </w:rPr>
              <w:t>14</w:t>
            </w:r>
            <w:r>
              <w:rPr>
                <w:webHidden/>
              </w:rPr>
              <w:fldChar w:fldCharType="end"/>
            </w:r>
          </w:hyperlink>
        </w:p>
        <w:p w14:paraId="7570AC46" w14:textId="4C51F629" w:rsidR="007E7C98" w:rsidRDefault="007E7C98">
          <w:pPr>
            <w:pStyle w:val="TOC2"/>
            <w:tabs>
              <w:tab w:val="right" w:leader="dot" w:pos="9350"/>
            </w:tabs>
            <w:rPr>
              <w:rFonts w:eastAsiaTheme="minorEastAsia"/>
              <w:noProof/>
              <w:kern w:val="2"/>
              <w:sz w:val="24"/>
              <w:szCs w:val="24"/>
              <w14:ligatures w14:val="standardContextual"/>
            </w:rPr>
          </w:pPr>
          <w:hyperlink w:anchor="_Toc216776577" w:history="1">
            <w:r w:rsidRPr="00A40FA5">
              <w:rPr>
                <w:rStyle w:val="Hyperlink"/>
                <w:rFonts w:ascii="Aptos" w:hAnsi="Aptos"/>
                <w:b/>
                <w:bCs/>
                <w:caps/>
                <w:noProof/>
              </w:rPr>
              <w:t>Build America Buy America (BABA)</w:t>
            </w:r>
            <w:r>
              <w:rPr>
                <w:noProof/>
                <w:webHidden/>
              </w:rPr>
              <w:tab/>
            </w:r>
            <w:r>
              <w:rPr>
                <w:noProof/>
                <w:webHidden/>
              </w:rPr>
              <w:fldChar w:fldCharType="begin"/>
            </w:r>
            <w:r>
              <w:rPr>
                <w:noProof/>
                <w:webHidden/>
              </w:rPr>
              <w:instrText xml:space="preserve"> PAGEREF _Toc216776577 \h </w:instrText>
            </w:r>
            <w:r>
              <w:rPr>
                <w:noProof/>
                <w:webHidden/>
              </w:rPr>
            </w:r>
            <w:r>
              <w:rPr>
                <w:noProof/>
                <w:webHidden/>
              </w:rPr>
              <w:fldChar w:fldCharType="separate"/>
            </w:r>
            <w:r>
              <w:rPr>
                <w:noProof/>
                <w:webHidden/>
              </w:rPr>
              <w:t>15</w:t>
            </w:r>
            <w:r>
              <w:rPr>
                <w:noProof/>
                <w:webHidden/>
              </w:rPr>
              <w:fldChar w:fldCharType="end"/>
            </w:r>
          </w:hyperlink>
        </w:p>
        <w:p w14:paraId="7E8DFA61" w14:textId="3A2D4BEB"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8" w:history="1">
            <w:r w:rsidRPr="00A40FA5">
              <w:rPr>
                <w:rStyle w:val="Hyperlink"/>
              </w:rPr>
              <w:t>Waivers</w:t>
            </w:r>
            <w:r>
              <w:rPr>
                <w:webHidden/>
              </w:rPr>
              <w:tab/>
            </w:r>
            <w:r>
              <w:rPr>
                <w:webHidden/>
              </w:rPr>
              <w:fldChar w:fldCharType="begin"/>
            </w:r>
            <w:r>
              <w:rPr>
                <w:webHidden/>
              </w:rPr>
              <w:instrText xml:space="preserve"> PAGEREF _Toc216776578 \h </w:instrText>
            </w:r>
            <w:r>
              <w:rPr>
                <w:webHidden/>
              </w:rPr>
            </w:r>
            <w:r>
              <w:rPr>
                <w:webHidden/>
              </w:rPr>
              <w:fldChar w:fldCharType="separate"/>
            </w:r>
            <w:r>
              <w:rPr>
                <w:webHidden/>
              </w:rPr>
              <w:t>16</w:t>
            </w:r>
            <w:r>
              <w:rPr>
                <w:webHidden/>
              </w:rPr>
              <w:fldChar w:fldCharType="end"/>
            </w:r>
          </w:hyperlink>
        </w:p>
        <w:p w14:paraId="27CB4C4F" w14:textId="30C67BE0"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79" w:history="1">
            <w:r w:rsidRPr="00A40FA5">
              <w:rPr>
                <w:rStyle w:val="Hyperlink"/>
              </w:rPr>
              <w:t>Invoice Considerations</w:t>
            </w:r>
            <w:r>
              <w:rPr>
                <w:webHidden/>
              </w:rPr>
              <w:tab/>
            </w:r>
            <w:r>
              <w:rPr>
                <w:webHidden/>
              </w:rPr>
              <w:fldChar w:fldCharType="begin"/>
            </w:r>
            <w:r>
              <w:rPr>
                <w:webHidden/>
              </w:rPr>
              <w:instrText xml:space="preserve"> PAGEREF _Toc216776579 \h </w:instrText>
            </w:r>
            <w:r>
              <w:rPr>
                <w:webHidden/>
              </w:rPr>
            </w:r>
            <w:r>
              <w:rPr>
                <w:webHidden/>
              </w:rPr>
              <w:fldChar w:fldCharType="separate"/>
            </w:r>
            <w:r>
              <w:rPr>
                <w:webHidden/>
              </w:rPr>
              <w:t>16</w:t>
            </w:r>
            <w:r>
              <w:rPr>
                <w:webHidden/>
              </w:rPr>
              <w:fldChar w:fldCharType="end"/>
            </w:r>
          </w:hyperlink>
        </w:p>
        <w:p w14:paraId="3D3B29EC" w14:textId="79487856" w:rsidR="007E7C98" w:rsidRDefault="007E7C98">
          <w:pPr>
            <w:pStyle w:val="TOC2"/>
            <w:tabs>
              <w:tab w:val="right" w:leader="dot" w:pos="9350"/>
            </w:tabs>
            <w:rPr>
              <w:rFonts w:eastAsiaTheme="minorEastAsia"/>
              <w:noProof/>
              <w:kern w:val="2"/>
              <w:sz w:val="24"/>
              <w:szCs w:val="24"/>
              <w14:ligatures w14:val="standardContextual"/>
            </w:rPr>
          </w:pPr>
          <w:hyperlink w:anchor="_Toc216776580" w:history="1">
            <w:r w:rsidRPr="00A40FA5">
              <w:rPr>
                <w:rStyle w:val="Hyperlink"/>
                <w:rFonts w:ascii="Aptos" w:hAnsi="Aptos"/>
                <w:b/>
                <w:bCs/>
                <w:noProof/>
              </w:rPr>
              <w:t>SUBRECIPIENTS &amp; VENDORS</w:t>
            </w:r>
            <w:r>
              <w:rPr>
                <w:noProof/>
                <w:webHidden/>
              </w:rPr>
              <w:tab/>
            </w:r>
            <w:r>
              <w:rPr>
                <w:noProof/>
                <w:webHidden/>
              </w:rPr>
              <w:fldChar w:fldCharType="begin"/>
            </w:r>
            <w:r>
              <w:rPr>
                <w:noProof/>
                <w:webHidden/>
              </w:rPr>
              <w:instrText xml:space="preserve"> PAGEREF _Toc216776580 \h </w:instrText>
            </w:r>
            <w:r>
              <w:rPr>
                <w:noProof/>
                <w:webHidden/>
              </w:rPr>
            </w:r>
            <w:r>
              <w:rPr>
                <w:noProof/>
                <w:webHidden/>
              </w:rPr>
              <w:fldChar w:fldCharType="separate"/>
            </w:r>
            <w:r>
              <w:rPr>
                <w:noProof/>
                <w:webHidden/>
              </w:rPr>
              <w:t>16</w:t>
            </w:r>
            <w:r>
              <w:rPr>
                <w:noProof/>
                <w:webHidden/>
              </w:rPr>
              <w:fldChar w:fldCharType="end"/>
            </w:r>
          </w:hyperlink>
        </w:p>
        <w:p w14:paraId="21C4178E" w14:textId="0F2B455A"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1" w:history="1">
            <w:r w:rsidRPr="00A40FA5">
              <w:rPr>
                <w:rStyle w:val="Hyperlink"/>
              </w:rPr>
              <w:t>Use of judgment in making determination</w:t>
            </w:r>
            <w:r>
              <w:rPr>
                <w:webHidden/>
              </w:rPr>
              <w:tab/>
            </w:r>
            <w:r>
              <w:rPr>
                <w:webHidden/>
              </w:rPr>
              <w:fldChar w:fldCharType="begin"/>
            </w:r>
            <w:r>
              <w:rPr>
                <w:webHidden/>
              </w:rPr>
              <w:instrText xml:space="preserve"> PAGEREF _Toc216776581 \h </w:instrText>
            </w:r>
            <w:r>
              <w:rPr>
                <w:webHidden/>
              </w:rPr>
            </w:r>
            <w:r>
              <w:rPr>
                <w:webHidden/>
              </w:rPr>
              <w:fldChar w:fldCharType="separate"/>
            </w:r>
            <w:r>
              <w:rPr>
                <w:webHidden/>
              </w:rPr>
              <w:t>17</w:t>
            </w:r>
            <w:r>
              <w:rPr>
                <w:webHidden/>
              </w:rPr>
              <w:fldChar w:fldCharType="end"/>
            </w:r>
          </w:hyperlink>
        </w:p>
        <w:p w14:paraId="7AC86DBC" w14:textId="2DD1B8F3"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2" w:history="1">
            <w:r w:rsidRPr="00A40FA5">
              <w:rPr>
                <w:rStyle w:val="Hyperlink"/>
              </w:rPr>
              <w:t>Budget Development</w:t>
            </w:r>
            <w:r>
              <w:rPr>
                <w:webHidden/>
              </w:rPr>
              <w:tab/>
            </w:r>
            <w:r>
              <w:rPr>
                <w:webHidden/>
              </w:rPr>
              <w:fldChar w:fldCharType="begin"/>
            </w:r>
            <w:r>
              <w:rPr>
                <w:webHidden/>
              </w:rPr>
              <w:instrText xml:space="preserve"> PAGEREF _Toc216776582 \h </w:instrText>
            </w:r>
            <w:r>
              <w:rPr>
                <w:webHidden/>
              </w:rPr>
            </w:r>
            <w:r>
              <w:rPr>
                <w:webHidden/>
              </w:rPr>
              <w:fldChar w:fldCharType="separate"/>
            </w:r>
            <w:r>
              <w:rPr>
                <w:webHidden/>
              </w:rPr>
              <w:t>18</w:t>
            </w:r>
            <w:r>
              <w:rPr>
                <w:webHidden/>
              </w:rPr>
              <w:fldChar w:fldCharType="end"/>
            </w:r>
          </w:hyperlink>
        </w:p>
        <w:p w14:paraId="7626CC9D" w14:textId="604616F3"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3" w:history="1">
            <w:r w:rsidRPr="00A40FA5">
              <w:rPr>
                <w:rStyle w:val="Hyperlink"/>
              </w:rPr>
              <w:t>Subrecipient/Vendor Requirements</w:t>
            </w:r>
            <w:r>
              <w:rPr>
                <w:webHidden/>
              </w:rPr>
              <w:tab/>
            </w:r>
            <w:r>
              <w:rPr>
                <w:webHidden/>
              </w:rPr>
              <w:fldChar w:fldCharType="begin"/>
            </w:r>
            <w:r>
              <w:rPr>
                <w:webHidden/>
              </w:rPr>
              <w:instrText xml:space="preserve"> PAGEREF _Toc216776583 \h </w:instrText>
            </w:r>
            <w:r>
              <w:rPr>
                <w:webHidden/>
              </w:rPr>
            </w:r>
            <w:r>
              <w:rPr>
                <w:webHidden/>
              </w:rPr>
              <w:fldChar w:fldCharType="separate"/>
            </w:r>
            <w:r>
              <w:rPr>
                <w:webHidden/>
              </w:rPr>
              <w:t>18</w:t>
            </w:r>
            <w:r>
              <w:rPr>
                <w:webHidden/>
              </w:rPr>
              <w:fldChar w:fldCharType="end"/>
            </w:r>
          </w:hyperlink>
        </w:p>
        <w:p w14:paraId="4984A509" w14:textId="10844ED3"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4" w:history="1">
            <w:r w:rsidRPr="00A40FA5">
              <w:rPr>
                <w:rStyle w:val="Hyperlink"/>
              </w:rPr>
              <w:t>Additional Information related to Subrecipients:</w:t>
            </w:r>
            <w:r>
              <w:rPr>
                <w:webHidden/>
              </w:rPr>
              <w:tab/>
            </w:r>
            <w:r>
              <w:rPr>
                <w:webHidden/>
              </w:rPr>
              <w:fldChar w:fldCharType="begin"/>
            </w:r>
            <w:r>
              <w:rPr>
                <w:webHidden/>
              </w:rPr>
              <w:instrText xml:space="preserve"> PAGEREF _Toc216776584 \h </w:instrText>
            </w:r>
            <w:r>
              <w:rPr>
                <w:webHidden/>
              </w:rPr>
            </w:r>
            <w:r>
              <w:rPr>
                <w:webHidden/>
              </w:rPr>
              <w:fldChar w:fldCharType="separate"/>
            </w:r>
            <w:r>
              <w:rPr>
                <w:webHidden/>
              </w:rPr>
              <w:t>19</w:t>
            </w:r>
            <w:r>
              <w:rPr>
                <w:webHidden/>
              </w:rPr>
              <w:fldChar w:fldCharType="end"/>
            </w:r>
          </w:hyperlink>
        </w:p>
        <w:p w14:paraId="00BC29CF" w14:textId="67DFB3DD" w:rsidR="007E7C98" w:rsidRDefault="007E7C98">
          <w:pPr>
            <w:pStyle w:val="TOC2"/>
            <w:tabs>
              <w:tab w:val="right" w:leader="dot" w:pos="9350"/>
            </w:tabs>
            <w:rPr>
              <w:rFonts w:eastAsiaTheme="minorEastAsia"/>
              <w:noProof/>
              <w:kern w:val="2"/>
              <w:sz w:val="24"/>
              <w:szCs w:val="24"/>
              <w14:ligatures w14:val="standardContextual"/>
            </w:rPr>
          </w:pPr>
          <w:hyperlink w:anchor="_Toc216776585" w:history="1">
            <w:r w:rsidRPr="00A40FA5">
              <w:rPr>
                <w:rStyle w:val="Hyperlink"/>
                <w:rFonts w:ascii="Aptos" w:hAnsi="Aptos"/>
                <w:b/>
                <w:bCs/>
                <w:noProof/>
              </w:rPr>
              <w:t>INDIRECT COSTS &amp; PROFIT</w:t>
            </w:r>
            <w:r>
              <w:rPr>
                <w:noProof/>
                <w:webHidden/>
              </w:rPr>
              <w:tab/>
            </w:r>
            <w:r>
              <w:rPr>
                <w:noProof/>
                <w:webHidden/>
              </w:rPr>
              <w:fldChar w:fldCharType="begin"/>
            </w:r>
            <w:r>
              <w:rPr>
                <w:noProof/>
                <w:webHidden/>
              </w:rPr>
              <w:instrText xml:space="preserve"> PAGEREF _Toc216776585 \h </w:instrText>
            </w:r>
            <w:r>
              <w:rPr>
                <w:noProof/>
                <w:webHidden/>
              </w:rPr>
            </w:r>
            <w:r>
              <w:rPr>
                <w:noProof/>
                <w:webHidden/>
              </w:rPr>
              <w:fldChar w:fldCharType="separate"/>
            </w:r>
            <w:r>
              <w:rPr>
                <w:noProof/>
                <w:webHidden/>
              </w:rPr>
              <w:t>19</w:t>
            </w:r>
            <w:r>
              <w:rPr>
                <w:noProof/>
                <w:webHidden/>
              </w:rPr>
              <w:fldChar w:fldCharType="end"/>
            </w:r>
          </w:hyperlink>
        </w:p>
        <w:p w14:paraId="4D9C8E04" w14:textId="11A6F18F"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6" w:history="1">
            <w:r w:rsidRPr="00A40FA5">
              <w:rPr>
                <w:rStyle w:val="Hyperlink"/>
              </w:rPr>
              <w:t>OPTION 1 – Defense Contract Audit Agency (DCAA) or other Federally Approved Indirect Rate</w:t>
            </w:r>
            <w:r>
              <w:rPr>
                <w:webHidden/>
              </w:rPr>
              <w:tab/>
            </w:r>
            <w:r>
              <w:rPr>
                <w:webHidden/>
              </w:rPr>
              <w:fldChar w:fldCharType="begin"/>
            </w:r>
            <w:r>
              <w:rPr>
                <w:webHidden/>
              </w:rPr>
              <w:instrText xml:space="preserve"> PAGEREF _Toc216776586 \h </w:instrText>
            </w:r>
            <w:r>
              <w:rPr>
                <w:webHidden/>
              </w:rPr>
            </w:r>
            <w:r>
              <w:rPr>
                <w:webHidden/>
              </w:rPr>
              <w:fldChar w:fldCharType="separate"/>
            </w:r>
            <w:r>
              <w:rPr>
                <w:webHidden/>
              </w:rPr>
              <w:t>19</w:t>
            </w:r>
            <w:r>
              <w:rPr>
                <w:webHidden/>
              </w:rPr>
              <w:fldChar w:fldCharType="end"/>
            </w:r>
          </w:hyperlink>
        </w:p>
        <w:p w14:paraId="0A01028E" w14:textId="70EDEE56"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7" w:history="1">
            <w:r w:rsidRPr="00A40FA5">
              <w:rPr>
                <w:rStyle w:val="Hyperlink"/>
              </w:rPr>
              <w:t>OPTION 2 – CEC/DOE De Minimis Rate</w:t>
            </w:r>
            <w:r>
              <w:rPr>
                <w:webHidden/>
              </w:rPr>
              <w:tab/>
            </w:r>
            <w:r>
              <w:rPr>
                <w:webHidden/>
              </w:rPr>
              <w:fldChar w:fldCharType="begin"/>
            </w:r>
            <w:r>
              <w:rPr>
                <w:webHidden/>
              </w:rPr>
              <w:instrText xml:space="preserve"> PAGEREF _Toc216776587 \h </w:instrText>
            </w:r>
            <w:r>
              <w:rPr>
                <w:webHidden/>
              </w:rPr>
            </w:r>
            <w:r>
              <w:rPr>
                <w:webHidden/>
              </w:rPr>
              <w:fldChar w:fldCharType="separate"/>
            </w:r>
            <w:r>
              <w:rPr>
                <w:webHidden/>
              </w:rPr>
              <w:t>20</w:t>
            </w:r>
            <w:r>
              <w:rPr>
                <w:webHidden/>
              </w:rPr>
              <w:fldChar w:fldCharType="end"/>
            </w:r>
          </w:hyperlink>
        </w:p>
        <w:p w14:paraId="63CBAB05" w14:textId="31B4710A"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8" w:history="1">
            <w:r w:rsidRPr="00A40FA5">
              <w:rPr>
                <w:rStyle w:val="Hyperlink"/>
              </w:rPr>
              <w:t>Documentation Must be Provided Upon Request</w:t>
            </w:r>
            <w:r>
              <w:rPr>
                <w:webHidden/>
              </w:rPr>
              <w:tab/>
            </w:r>
            <w:r>
              <w:rPr>
                <w:webHidden/>
              </w:rPr>
              <w:fldChar w:fldCharType="begin"/>
            </w:r>
            <w:r>
              <w:rPr>
                <w:webHidden/>
              </w:rPr>
              <w:instrText xml:space="preserve"> PAGEREF _Toc216776588 \h </w:instrText>
            </w:r>
            <w:r>
              <w:rPr>
                <w:webHidden/>
              </w:rPr>
            </w:r>
            <w:r>
              <w:rPr>
                <w:webHidden/>
              </w:rPr>
              <w:fldChar w:fldCharType="separate"/>
            </w:r>
            <w:r>
              <w:rPr>
                <w:webHidden/>
              </w:rPr>
              <w:t>21</w:t>
            </w:r>
            <w:r>
              <w:rPr>
                <w:webHidden/>
              </w:rPr>
              <w:fldChar w:fldCharType="end"/>
            </w:r>
          </w:hyperlink>
        </w:p>
        <w:p w14:paraId="176CC9D1" w14:textId="1D434607"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89" w:history="1">
            <w:r w:rsidRPr="00A40FA5">
              <w:rPr>
                <w:rStyle w:val="Hyperlink"/>
              </w:rPr>
              <w:t>The Indirect Rate Listed in the Budget Will Not Be Increased</w:t>
            </w:r>
            <w:r>
              <w:rPr>
                <w:webHidden/>
              </w:rPr>
              <w:tab/>
            </w:r>
            <w:r>
              <w:rPr>
                <w:webHidden/>
              </w:rPr>
              <w:fldChar w:fldCharType="begin"/>
            </w:r>
            <w:r>
              <w:rPr>
                <w:webHidden/>
              </w:rPr>
              <w:instrText xml:space="preserve"> PAGEREF _Toc216776589 \h </w:instrText>
            </w:r>
            <w:r>
              <w:rPr>
                <w:webHidden/>
              </w:rPr>
            </w:r>
            <w:r>
              <w:rPr>
                <w:webHidden/>
              </w:rPr>
              <w:fldChar w:fldCharType="separate"/>
            </w:r>
            <w:r>
              <w:rPr>
                <w:webHidden/>
              </w:rPr>
              <w:t>21</w:t>
            </w:r>
            <w:r>
              <w:rPr>
                <w:webHidden/>
              </w:rPr>
              <w:fldChar w:fldCharType="end"/>
            </w:r>
          </w:hyperlink>
        </w:p>
        <w:p w14:paraId="43871916" w14:textId="5BBB1D11"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90" w:history="1">
            <w:r w:rsidRPr="00A40FA5">
              <w:rPr>
                <w:rStyle w:val="Hyperlink"/>
              </w:rPr>
              <w:t>Suggestions for Budget Development when using this Option</w:t>
            </w:r>
            <w:r>
              <w:rPr>
                <w:webHidden/>
              </w:rPr>
              <w:tab/>
            </w:r>
            <w:r>
              <w:rPr>
                <w:webHidden/>
              </w:rPr>
              <w:fldChar w:fldCharType="begin"/>
            </w:r>
            <w:r>
              <w:rPr>
                <w:webHidden/>
              </w:rPr>
              <w:instrText xml:space="preserve"> PAGEREF _Toc216776590 \h </w:instrText>
            </w:r>
            <w:r>
              <w:rPr>
                <w:webHidden/>
              </w:rPr>
            </w:r>
            <w:r>
              <w:rPr>
                <w:webHidden/>
              </w:rPr>
              <w:fldChar w:fldCharType="separate"/>
            </w:r>
            <w:r>
              <w:rPr>
                <w:webHidden/>
              </w:rPr>
              <w:t>21</w:t>
            </w:r>
            <w:r>
              <w:rPr>
                <w:webHidden/>
              </w:rPr>
              <w:fldChar w:fldCharType="end"/>
            </w:r>
          </w:hyperlink>
        </w:p>
        <w:p w14:paraId="30DA49BE" w14:textId="0A71CC35"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91" w:history="1">
            <w:r w:rsidRPr="00A40FA5">
              <w:rPr>
                <w:rStyle w:val="Hyperlink"/>
              </w:rPr>
              <w:t>The Indirect Rate will be Subject to Audit</w:t>
            </w:r>
            <w:r>
              <w:rPr>
                <w:webHidden/>
              </w:rPr>
              <w:tab/>
            </w:r>
            <w:r>
              <w:rPr>
                <w:webHidden/>
              </w:rPr>
              <w:fldChar w:fldCharType="begin"/>
            </w:r>
            <w:r>
              <w:rPr>
                <w:webHidden/>
              </w:rPr>
              <w:instrText xml:space="preserve"> PAGEREF _Toc216776591 \h </w:instrText>
            </w:r>
            <w:r>
              <w:rPr>
                <w:webHidden/>
              </w:rPr>
            </w:r>
            <w:r>
              <w:rPr>
                <w:webHidden/>
              </w:rPr>
              <w:fldChar w:fldCharType="separate"/>
            </w:r>
            <w:r>
              <w:rPr>
                <w:webHidden/>
              </w:rPr>
              <w:t>21</w:t>
            </w:r>
            <w:r>
              <w:rPr>
                <w:webHidden/>
              </w:rPr>
              <w:fldChar w:fldCharType="end"/>
            </w:r>
          </w:hyperlink>
        </w:p>
        <w:p w14:paraId="414BD551" w14:textId="6FF7F4F2"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92" w:history="1">
            <w:r w:rsidRPr="00A40FA5">
              <w:rPr>
                <w:rStyle w:val="Hyperlink"/>
              </w:rPr>
              <w:t>Profit</w:t>
            </w:r>
            <w:r>
              <w:rPr>
                <w:webHidden/>
              </w:rPr>
              <w:tab/>
            </w:r>
            <w:r>
              <w:rPr>
                <w:webHidden/>
              </w:rPr>
              <w:fldChar w:fldCharType="begin"/>
            </w:r>
            <w:r>
              <w:rPr>
                <w:webHidden/>
              </w:rPr>
              <w:instrText xml:space="preserve"> PAGEREF _Toc216776592 \h </w:instrText>
            </w:r>
            <w:r>
              <w:rPr>
                <w:webHidden/>
              </w:rPr>
            </w:r>
            <w:r>
              <w:rPr>
                <w:webHidden/>
              </w:rPr>
              <w:fldChar w:fldCharType="separate"/>
            </w:r>
            <w:r>
              <w:rPr>
                <w:webHidden/>
              </w:rPr>
              <w:t>22</w:t>
            </w:r>
            <w:r>
              <w:rPr>
                <w:webHidden/>
              </w:rPr>
              <w:fldChar w:fldCharType="end"/>
            </w:r>
          </w:hyperlink>
        </w:p>
        <w:p w14:paraId="15434F5B" w14:textId="4C470DAB" w:rsidR="007E7C98" w:rsidRDefault="007E7C98">
          <w:pPr>
            <w:pStyle w:val="TOC2"/>
            <w:tabs>
              <w:tab w:val="right" w:leader="dot" w:pos="9350"/>
            </w:tabs>
            <w:rPr>
              <w:rFonts w:eastAsiaTheme="minorEastAsia"/>
              <w:noProof/>
              <w:kern w:val="2"/>
              <w:sz w:val="24"/>
              <w:szCs w:val="24"/>
              <w14:ligatures w14:val="standardContextual"/>
            </w:rPr>
          </w:pPr>
          <w:hyperlink w:anchor="_Toc216776593" w:history="1">
            <w:r w:rsidRPr="00A40FA5">
              <w:rPr>
                <w:rStyle w:val="Hyperlink"/>
                <w:rFonts w:ascii="Aptos" w:hAnsi="Aptos"/>
                <w:b/>
                <w:bCs/>
                <w:noProof/>
              </w:rPr>
              <w:t>MATCH FUND CONSIDERATIONS</w:t>
            </w:r>
            <w:r>
              <w:rPr>
                <w:noProof/>
                <w:webHidden/>
              </w:rPr>
              <w:tab/>
            </w:r>
            <w:r>
              <w:rPr>
                <w:noProof/>
                <w:webHidden/>
              </w:rPr>
              <w:fldChar w:fldCharType="begin"/>
            </w:r>
            <w:r>
              <w:rPr>
                <w:noProof/>
                <w:webHidden/>
              </w:rPr>
              <w:instrText xml:space="preserve"> PAGEREF _Toc216776593 \h </w:instrText>
            </w:r>
            <w:r>
              <w:rPr>
                <w:noProof/>
                <w:webHidden/>
              </w:rPr>
            </w:r>
            <w:r>
              <w:rPr>
                <w:noProof/>
                <w:webHidden/>
              </w:rPr>
              <w:fldChar w:fldCharType="separate"/>
            </w:r>
            <w:r>
              <w:rPr>
                <w:noProof/>
                <w:webHidden/>
              </w:rPr>
              <w:t>23</w:t>
            </w:r>
            <w:r>
              <w:rPr>
                <w:noProof/>
                <w:webHidden/>
              </w:rPr>
              <w:fldChar w:fldCharType="end"/>
            </w:r>
          </w:hyperlink>
        </w:p>
        <w:p w14:paraId="5248221C" w14:textId="3ABD2AF1"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94" w:history="1">
            <w:r w:rsidRPr="00A40FA5">
              <w:rPr>
                <w:rStyle w:val="Hyperlink"/>
              </w:rPr>
              <w:t>Definitions</w:t>
            </w:r>
            <w:r>
              <w:rPr>
                <w:webHidden/>
              </w:rPr>
              <w:tab/>
            </w:r>
            <w:r>
              <w:rPr>
                <w:webHidden/>
              </w:rPr>
              <w:fldChar w:fldCharType="begin"/>
            </w:r>
            <w:r>
              <w:rPr>
                <w:webHidden/>
              </w:rPr>
              <w:instrText xml:space="preserve"> PAGEREF _Toc216776594 \h </w:instrText>
            </w:r>
            <w:r>
              <w:rPr>
                <w:webHidden/>
              </w:rPr>
            </w:r>
            <w:r>
              <w:rPr>
                <w:webHidden/>
              </w:rPr>
              <w:fldChar w:fldCharType="separate"/>
            </w:r>
            <w:r>
              <w:rPr>
                <w:webHidden/>
              </w:rPr>
              <w:t>23</w:t>
            </w:r>
            <w:r>
              <w:rPr>
                <w:webHidden/>
              </w:rPr>
              <w:fldChar w:fldCharType="end"/>
            </w:r>
          </w:hyperlink>
        </w:p>
        <w:p w14:paraId="34517406" w14:textId="5EB29081"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95" w:history="1">
            <w:r w:rsidRPr="00A40FA5">
              <w:rPr>
                <w:rStyle w:val="Hyperlink"/>
              </w:rPr>
              <w:t>Match Fund Requirements and Limitations</w:t>
            </w:r>
            <w:r>
              <w:rPr>
                <w:webHidden/>
              </w:rPr>
              <w:tab/>
            </w:r>
            <w:r>
              <w:rPr>
                <w:webHidden/>
              </w:rPr>
              <w:fldChar w:fldCharType="begin"/>
            </w:r>
            <w:r>
              <w:rPr>
                <w:webHidden/>
              </w:rPr>
              <w:instrText xml:space="preserve"> PAGEREF _Toc216776595 \h </w:instrText>
            </w:r>
            <w:r>
              <w:rPr>
                <w:webHidden/>
              </w:rPr>
            </w:r>
            <w:r>
              <w:rPr>
                <w:webHidden/>
              </w:rPr>
              <w:fldChar w:fldCharType="separate"/>
            </w:r>
            <w:r>
              <w:rPr>
                <w:webHidden/>
              </w:rPr>
              <w:t>23</w:t>
            </w:r>
            <w:r>
              <w:rPr>
                <w:webHidden/>
              </w:rPr>
              <w:fldChar w:fldCharType="end"/>
            </w:r>
          </w:hyperlink>
        </w:p>
        <w:p w14:paraId="33DCDA94" w14:textId="5ECA478C" w:rsidR="007E7C98" w:rsidRDefault="007E7C98">
          <w:pPr>
            <w:pStyle w:val="TOC3"/>
            <w:rPr>
              <w:rFonts w:asciiTheme="minorHAnsi" w:eastAsiaTheme="minorEastAsia" w:hAnsiTheme="minorHAnsi" w:cstheme="minorBidi"/>
              <w:b w:val="0"/>
              <w:bCs w:val="0"/>
              <w:kern w:val="2"/>
              <w:sz w:val="24"/>
              <w:szCs w:val="24"/>
              <w14:ligatures w14:val="standardContextual"/>
            </w:rPr>
          </w:pPr>
          <w:hyperlink w:anchor="_Toc216776596" w:history="1">
            <w:r w:rsidRPr="00A40FA5">
              <w:rPr>
                <w:rStyle w:val="Hyperlink"/>
              </w:rPr>
              <w:t>Using Match to Cover Costs that Exceed the Budget for CEC Funds</w:t>
            </w:r>
            <w:r>
              <w:rPr>
                <w:webHidden/>
              </w:rPr>
              <w:tab/>
            </w:r>
            <w:r>
              <w:rPr>
                <w:webHidden/>
              </w:rPr>
              <w:fldChar w:fldCharType="begin"/>
            </w:r>
            <w:r>
              <w:rPr>
                <w:webHidden/>
              </w:rPr>
              <w:instrText xml:space="preserve"> PAGEREF _Toc216776596 \h </w:instrText>
            </w:r>
            <w:r>
              <w:rPr>
                <w:webHidden/>
              </w:rPr>
            </w:r>
            <w:r>
              <w:rPr>
                <w:webHidden/>
              </w:rPr>
              <w:fldChar w:fldCharType="separate"/>
            </w:r>
            <w:r>
              <w:rPr>
                <w:webHidden/>
              </w:rPr>
              <w:t>23</w:t>
            </w:r>
            <w:r>
              <w:rPr>
                <w:webHidden/>
              </w:rPr>
              <w:fldChar w:fldCharType="end"/>
            </w:r>
          </w:hyperlink>
        </w:p>
        <w:p w14:paraId="3ABA35C9" w14:textId="3B0EE634" w:rsidR="007E7C98" w:rsidRDefault="007E7C98">
          <w:pPr>
            <w:pStyle w:val="TOC2"/>
            <w:tabs>
              <w:tab w:val="right" w:leader="dot" w:pos="9350"/>
            </w:tabs>
            <w:rPr>
              <w:rFonts w:eastAsiaTheme="minorEastAsia"/>
              <w:noProof/>
              <w:kern w:val="2"/>
              <w:sz w:val="24"/>
              <w:szCs w:val="24"/>
              <w14:ligatures w14:val="standardContextual"/>
            </w:rPr>
          </w:pPr>
          <w:hyperlink w:anchor="_Toc216776597" w:history="1">
            <w:r w:rsidRPr="00A40FA5">
              <w:rPr>
                <w:rStyle w:val="Hyperlink"/>
                <w:rFonts w:ascii="Aptos" w:hAnsi="Aptos"/>
                <w:b/>
                <w:bCs/>
                <w:noProof/>
              </w:rPr>
              <w:t>CONSULTANTS</w:t>
            </w:r>
            <w:r>
              <w:rPr>
                <w:noProof/>
                <w:webHidden/>
              </w:rPr>
              <w:tab/>
            </w:r>
            <w:r>
              <w:rPr>
                <w:noProof/>
                <w:webHidden/>
              </w:rPr>
              <w:fldChar w:fldCharType="begin"/>
            </w:r>
            <w:r>
              <w:rPr>
                <w:noProof/>
                <w:webHidden/>
              </w:rPr>
              <w:instrText xml:space="preserve"> PAGEREF _Toc216776597 \h </w:instrText>
            </w:r>
            <w:r>
              <w:rPr>
                <w:noProof/>
                <w:webHidden/>
              </w:rPr>
            </w:r>
            <w:r>
              <w:rPr>
                <w:noProof/>
                <w:webHidden/>
              </w:rPr>
              <w:fldChar w:fldCharType="separate"/>
            </w:r>
            <w:r>
              <w:rPr>
                <w:noProof/>
                <w:webHidden/>
              </w:rPr>
              <w:t>24</w:t>
            </w:r>
            <w:r>
              <w:rPr>
                <w:noProof/>
                <w:webHidden/>
              </w:rPr>
              <w:fldChar w:fldCharType="end"/>
            </w:r>
          </w:hyperlink>
        </w:p>
        <w:p w14:paraId="14AE2794" w14:textId="7B75569C" w:rsidR="007E7C98" w:rsidRDefault="007E7C98">
          <w:pPr>
            <w:pStyle w:val="TOC2"/>
            <w:tabs>
              <w:tab w:val="right" w:leader="dot" w:pos="9350"/>
            </w:tabs>
            <w:rPr>
              <w:rFonts w:eastAsiaTheme="minorEastAsia"/>
              <w:noProof/>
              <w:kern w:val="2"/>
              <w:sz w:val="24"/>
              <w:szCs w:val="24"/>
              <w14:ligatures w14:val="standardContextual"/>
            </w:rPr>
          </w:pPr>
          <w:hyperlink w:anchor="_Toc216776598" w:history="1">
            <w:r w:rsidRPr="00A40FA5">
              <w:rPr>
                <w:rStyle w:val="Hyperlink"/>
                <w:rFonts w:ascii="Aptos" w:hAnsi="Aptos"/>
                <w:b/>
                <w:bCs/>
                <w:noProof/>
              </w:rPr>
              <w:t>COST RECOVERY RESTRICTIONS</w:t>
            </w:r>
            <w:r>
              <w:rPr>
                <w:noProof/>
                <w:webHidden/>
              </w:rPr>
              <w:tab/>
            </w:r>
            <w:r>
              <w:rPr>
                <w:noProof/>
                <w:webHidden/>
              </w:rPr>
              <w:fldChar w:fldCharType="begin"/>
            </w:r>
            <w:r>
              <w:rPr>
                <w:noProof/>
                <w:webHidden/>
              </w:rPr>
              <w:instrText xml:space="preserve"> PAGEREF _Toc216776598 \h </w:instrText>
            </w:r>
            <w:r>
              <w:rPr>
                <w:noProof/>
                <w:webHidden/>
              </w:rPr>
            </w:r>
            <w:r>
              <w:rPr>
                <w:noProof/>
                <w:webHidden/>
              </w:rPr>
              <w:fldChar w:fldCharType="separate"/>
            </w:r>
            <w:r>
              <w:rPr>
                <w:noProof/>
                <w:webHidden/>
              </w:rPr>
              <w:t>24</w:t>
            </w:r>
            <w:r>
              <w:rPr>
                <w:noProof/>
                <w:webHidden/>
              </w:rPr>
              <w:fldChar w:fldCharType="end"/>
            </w:r>
          </w:hyperlink>
        </w:p>
        <w:p w14:paraId="3192C25F" w14:textId="78311E25" w:rsidR="0010442F" w:rsidRDefault="00D373CF" w:rsidP="0010442F">
          <w:pPr>
            <w:rPr>
              <w:rFonts w:ascii="Aptos" w:hAnsi="Aptos"/>
              <w:b/>
              <w:bCs/>
              <w:noProof/>
            </w:rPr>
          </w:pPr>
          <w:r w:rsidRPr="0010442F">
            <w:rPr>
              <w:rFonts w:ascii="Aptos" w:hAnsi="Aptos"/>
              <w:b/>
              <w:bCs/>
              <w:noProof/>
            </w:rPr>
            <w:fldChar w:fldCharType="end"/>
          </w:r>
        </w:p>
        <w:p w14:paraId="78C70B1C" w14:textId="77777777" w:rsidR="0010442F" w:rsidRDefault="0010442F">
          <w:pPr>
            <w:rPr>
              <w:rFonts w:ascii="Aptos" w:hAnsi="Aptos"/>
              <w:b/>
              <w:bCs/>
              <w:noProof/>
            </w:rPr>
          </w:pPr>
          <w:r>
            <w:rPr>
              <w:rFonts w:ascii="Aptos" w:hAnsi="Aptos"/>
              <w:b/>
              <w:bCs/>
              <w:noProof/>
            </w:rPr>
            <w:br w:type="page"/>
          </w:r>
        </w:p>
        <w:p w14:paraId="0CAF19FA" w14:textId="77777777" w:rsidR="007E7C98" w:rsidRDefault="00000000" w:rsidP="0010442F">
          <w:pPr>
            <w:pStyle w:val="Heading2"/>
            <w:spacing w:after="240"/>
            <w:rPr>
              <w:rFonts w:ascii="Aptos" w:eastAsiaTheme="minorEastAsia" w:hAnsi="Aptos"/>
              <w:b/>
              <w:bCs/>
            </w:rPr>
          </w:pPr>
        </w:p>
      </w:sdtContent>
    </w:sdt>
    <w:bookmarkStart w:id="1" w:name="_Hlk216091067" w:displacedByCustomXml="prev"/>
    <w:p w14:paraId="73E84E20" w14:textId="1512C8D4" w:rsidR="00E62E7F" w:rsidRPr="007E7C98" w:rsidRDefault="00E62E7F" w:rsidP="0010442F">
      <w:pPr>
        <w:pStyle w:val="Heading2"/>
        <w:spacing w:after="240"/>
        <w:rPr>
          <w:rFonts w:ascii="Aptos" w:hAnsi="Aptos"/>
          <w:b/>
          <w:bCs/>
          <w:sz w:val="24"/>
          <w:szCs w:val="24"/>
        </w:rPr>
      </w:pPr>
      <w:bookmarkStart w:id="2" w:name="_Toc216776548"/>
      <w:r w:rsidRPr="007E7C98">
        <w:rPr>
          <w:rFonts w:ascii="Aptos" w:hAnsi="Aptos"/>
          <w:b/>
          <w:bCs/>
          <w:sz w:val="24"/>
          <w:szCs w:val="24"/>
        </w:rPr>
        <w:t>BUDGET REVISIONS</w:t>
      </w:r>
      <w:bookmarkEnd w:id="2"/>
    </w:p>
    <w:p w14:paraId="0D194D97" w14:textId="3AD47A80" w:rsidR="00E62E7F" w:rsidRPr="0010442F" w:rsidRDefault="00E62E7F" w:rsidP="00E62E7F">
      <w:pPr>
        <w:rPr>
          <w:rFonts w:ascii="Aptos" w:hAnsi="Aptos"/>
        </w:rPr>
      </w:pPr>
      <w:r w:rsidRPr="0010442F">
        <w:rPr>
          <w:rFonts w:ascii="Aptos" w:hAnsi="Aptos"/>
        </w:rPr>
        <w:t xml:space="preserve">The Department of Energy (DOE) will require budget revisions and reapproval </w:t>
      </w:r>
      <w:proofErr w:type="gramStart"/>
      <w:r w:rsidRPr="0010442F">
        <w:rPr>
          <w:rFonts w:ascii="Aptos" w:hAnsi="Aptos"/>
        </w:rPr>
        <w:t>in the event that</w:t>
      </w:r>
      <w:proofErr w:type="gramEnd"/>
      <w:r w:rsidRPr="0010442F">
        <w:rPr>
          <w:rFonts w:ascii="Aptos" w:hAnsi="Aptos"/>
        </w:rPr>
        <w:t xml:space="preserve"> the overall project cost fluctuates by 20% or greater; this implies that any increase or decrease of 20% or any alteration in project line items by 20%, such as the reassignment of personnel to contractual </w:t>
      </w:r>
      <w:proofErr w:type="gramStart"/>
      <w:r w:rsidR="003611A3" w:rsidRPr="0010442F">
        <w:rPr>
          <w:rFonts w:ascii="Aptos" w:hAnsi="Aptos"/>
        </w:rPr>
        <w:t>roles</w:t>
      </w:r>
      <w:r w:rsidR="003733CB" w:rsidRPr="0010442F">
        <w:rPr>
          <w:rFonts w:ascii="Aptos" w:hAnsi="Aptos"/>
        </w:rPr>
        <w:t>,</w:t>
      </w:r>
      <w:proofErr w:type="gramEnd"/>
      <w:r w:rsidRPr="0010442F">
        <w:rPr>
          <w:rFonts w:ascii="Aptos" w:hAnsi="Aptos"/>
        </w:rPr>
        <w:t xml:space="preserve"> will trigger this requirement.</w:t>
      </w:r>
    </w:p>
    <w:p w14:paraId="1A360625" w14:textId="68ADF04B" w:rsidR="008409B7" w:rsidRPr="0010442F" w:rsidRDefault="00A94947" w:rsidP="000D0E37">
      <w:pPr>
        <w:pStyle w:val="Heading2"/>
        <w:spacing w:after="240"/>
        <w:rPr>
          <w:rFonts w:ascii="Aptos" w:hAnsi="Aptos" w:cs="Arial"/>
          <w:b/>
          <w:bCs/>
          <w:sz w:val="24"/>
          <w:szCs w:val="24"/>
        </w:rPr>
      </w:pPr>
      <w:bookmarkStart w:id="3" w:name="_Toc216776549"/>
      <w:r w:rsidRPr="0010442F">
        <w:rPr>
          <w:rFonts w:ascii="Aptos" w:hAnsi="Aptos" w:cs="Arial"/>
          <w:b/>
          <w:bCs/>
          <w:sz w:val="24"/>
          <w:szCs w:val="24"/>
        </w:rPr>
        <w:t>DIRECT LABOR</w:t>
      </w:r>
      <w:bookmarkEnd w:id="3"/>
    </w:p>
    <w:bookmarkEnd w:id="1"/>
    <w:p w14:paraId="4F21D8DE" w14:textId="77777777" w:rsidR="000D0E37" w:rsidRPr="0010442F" w:rsidRDefault="000D0E37" w:rsidP="000D0E37">
      <w:pPr>
        <w:spacing w:line="278" w:lineRule="auto"/>
        <w:rPr>
          <w:rFonts w:ascii="Aptos" w:hAnsi="Aptos" w:cs="Arial"/>
        </w:rPr>
      </w:pPr>
      <w:r w:rsidRPr="0010442F">
        <w:rPr>
          <w:rFonts w:ascii="Aptos" w:hAnsi="Aptos" w:cs="Arial"/>
        </w:rPr>
        <w:t>The Energy Commission defines Direct Labor as “unloaded” labor rates – it is the base rate calculated without fringe benefits, indirect overhead, general &amp; administrative, or any other added-on costs. This is the salary or wage rate that is actually paid to the employee.</w:t>
      </w:r>
    </w:p>
    <w:p w14:paraId="60898C72" w14:textId="77777777" w:rsidR="000D0E37" w:rsidRPr="0010442F" w:rsidRDefault="000D0E37" w:rsidP="000C108F">
      <w:pPr>
        <w:pStyle w:val="Heading3"/>
        <w:spacing w:after="240"/>
        <w:rPr>
          <w:rFonts w:ascii="Aptos" w:hAnsi="Aptos" w:cs="Arial"/>
          <w:b/>
          <w:bCs/>
        </w:rPr>
      </w:pPr>
      <w:bookmarkStart w:id="4" w:name="_Toc216776550"/>
      <w:r w:rsidRPr="0010442F">
        <w:rPr>
          <w:rFonts w:ascii="Aptos" w:hAnsi="Aptos" w:cs="Arial"/>
          <w:b/>
          <w:bCs/>
        </w:rPr>
        <w:t>Direct Labor Budget Considerations</w:t>
      </w:r>
      <w:bookmarkEnd w:id="4"/>
    </w:p>
    <w:p w14:paraId="17DDDC6A" w14:textId="190E7E01" w:rsidR="000D0E37" w:rsidRPr="0010442F" w:rsidRDefault="6D2CE0B9" w:rsidP="000D0E37">
      <w:pPr>
        <w:numPr>
          <w:ilvl w:val="0"/>
          <w:numId w:val="17"/>
        </w:numPr>
        <w:spacing w:line="278" w:lineRule="auto"/>
        <w:rPr>
          <w:rFonts w:ascii="Aptos" w:hAnsi="Aptos" w:cs="Arial"/>
        </w:rPr>
      </w:pPr>
      <w:r w:rsidRPr="0010442F">
        <w:rPr>
          <w:rFonts w:ascii="Aptos" w:hAnsi="Aptos" w:cs="Arial"/>
        </w:rPr>
        <w:t>The Recipient should include all likely job classifications that may be utilized over the life of the grant</w:t>
      </w:r>
      <w:r w:rsidR="00665D0C" w:rsidRPr="0010442F">
        <w:rPr>
          <w:rFonts w:ascii="Aptos" w:hAnsi="Aptos" w:cs="Arial"/>
        </w:rPr>
        <w:t>.</w:t>
      </w:r>
    </w:p>
    <w:p w14:paraId="355D90AC" w14:textId="77777777" w:rsidR="000D0E37" w:rsidRPr="0010442F" w:rsidRDefault="000D0E37" w:rsidP="000D0E37">
      <w:pPr>
        <w:numPr>
          <w:ilvl w:val="1"/>
          <w:numId w:val="17"/>
        </w:numPr>
        <w:spacing w:line="278" w:lineRule="auto"/>
        <w:rPr>
          <w:rFonts w:ascii="Aptos" w:hAnsi="Aptos" w:cs="Arial"/>
        </w:rPr>
      </w:pPr>
      <w:r w:rsidRPr="0010442F">
        <w:rPr>
          <w:rFonts w:ascii="Aptos" w:hAnsi="Aptos" w:cs="Arial"/>
        </w:rPr>
        <w:t xml:space="preserve">There are three positions that are helpful to most project </w:t>
      </w:r>
      <w:proofErr w:type="gramStart"/>
      <w:r w:rsidRPr="0010442F">
        <w:rPr>
          <w:rFonts w:ascii="Aptos" w:hAnsi="Aptos" w:cs="Arial"/>
        </w:rPr>
        <w:t>types, but</w:t>
      </w:r>
      <w:proofErr w:type="gramEnd"/>
      <w:r w:rsidRPr="0010442F">
        <w:rPr>
          <w:rFonts w:ascii="Aptos" w:hAnsi="Aptos" w:cs="Arial"/>
        </w:rPr>
        <w:t xml:space="preserve"> are often overlooked: a project manager that keeps all project tasks on track, administrative technical support to keep track of budgets, invoicing, etc., and a technical writer for translating technical material in reports into language that can be disseminated to a wider audience.</w:t>
      </w:r>
    </w:p>
    <w:p w14:paraId="6183D8DE" w14:textId="12A17ADB" w:rsidR="000D0E37" w:rsidRPr="0010442F" w:rsidRDefault="6D2CE0B9">
      <w:pPr>
        <w:numPr>
          <w:ilvl w:val="0"/>
          <w:numId w:val="17"/>
        </w:numPr>
        <w:spacing w:line="278" w:lineRule="auto"/>
        <w:rPr>
          <w:rFonts w:ascii="Aptos" w:hAnsi="Aptos" w:cs="Arial"/>
        </w:rPr>
      </w:pPr>
      <w:r w:rsidRPr="0010442F">
        <w:rPr>
          <w:rFonts w:ascii="Aptos" w:hAnsi="Aptos" w:cs="Arial"/>
        </w:rPr>
        <w:t xml:space="preserve">When estimating </w:t>
      </w:r>
      <w:r w:rsidR="3900208A" w:rsidRPr="0010442F">
        <w:rPr>
          <w:rFonts w:ascii="Aptos" w:hAnsi="Aptos" w:cs="Arial"/>
        </w:rPr>
        <w:t xml:space="preserve">labor </w:t>
      </w:r>
      <w:r w:rsidRPr="0010442F">
        <w:rPr>
          <w:rFonts w:ascii="Aptos" w:hAnsi="Aptos" w:cs="Arial"/>
        </w:rPr>
        <w:t>rates</w:t>
      </w:r>
      <w:r w:rsidR="3D7C032E" w:rsidRPr="0010442F">
        <w:rPr>
          <w:rFonts w:ascii="Aptos" w:hAnsi="Aptos" w:cs="Arial"/>
        </w:rPr>
        <w:t xml:space="preserve"> in the budget</w:t>
      </w:r>
      <w:r w:rsidRPr="0010442F">
        <w:rPr>
          <w:rFonts w:ascii="Aptos" w:hAnsi="Aptos" w:cs="Arial"/>
        </w:rPr>
        <w:t>, the Recipient should account for likely salary increases that will occur over the life of the grant. Estimate</w:t>
      </w:r>
      <w:r w:rsidR="3B2A0AB8" w:rsidRPr="0010442F">
        <w:rPr>
          <w:rFonts w:ascii="Aptos" w:hAnsi="Aptos" w:cs="Arial"/>
        </w:rPr>
        <w:t xml:space="preserve">d </w:t>
      </w:r>
      <w:r w:rsidR="33E5895C" w:rsidRPr="0010442F">
        <w:rPr>
          <w:rFonts w:ascii="Aptos" w:hAnsi="Aptos" w:cs="Arial"/>
        </w:rPr>
        <w:t xml:space="preserve">maximum </w:t>
      </w:r>
      <w:r w:rsidR="3B2A0AB8" w:rsidRPr="0010442F">
        <w:rPr>
          <w:rFonts w:ascii="Aptos" w:hAnsi="Aptos" w:cs="Arial"/>
        </w:rPr>
        <w:t>labor rates</w:t>
      </w:r>
      <w:r w:rsidRPr="0010442F">
        <w:rPr>
          <w:rFonts w:ascii="Aptos" w:hAnsi="Aptos" w:cs="Arial"/>
        </w:rPr>
        <w:t xml:space="preserve"> should</w:t>
      </w:r>
      <w:r w:rsidRPr="0010442F" w:rsidDel="000D0E37">
        <w:rPr>
          <w:rFonts w:ascii="Aptos" w:hAnsi="Aptos" w:cs="Arial"/>
        </w:rPr>
        <w:t xml:space="preserve"> </w:t>
      </w:r>
      <w:r w:rsidR="2C2438E8" w:rsidRPr="0010442F">
        <w:rPr>
          <w:rFonts w:ascii="Aptos" w:hAnsi="Aptos" w:cs="Arial"/>
        </w:rPr>
        <w:t>include all salary increases</w:t>
      </w:r>
      <w:r w:rsidR="6E768191" w:rsidRPr="0010442F">
        <w:rPr>
          <w:rFonts w:ascii="Aptos" w:hAnsi="Aptos" w:cs="Arial"/>
        </w:rPr>
        <w:t xml:space="preserve"> expected over the course of the agreement term</w:t>
      </w:r>
      <w:r w:rsidRPr="0010442F">
        <w:rPr>
          <w:rFonts w:ascii="Aptos" w:hAnsi="Aptos" w:cs="Arial"/>
        </w:rPr>
        <w:t xml:space="preserve"> to avoid budget reallocations in the future. Please note that Recipients, Subrecipients and </w:t>
      </w:r>
      <w:r w:rsidR="4C44D6BE" w:rsidRPr="0010442F">
        <w:rPr>
          <w:rFonts w:ascii="Aptos" w:hAnsi="Aptos" w:cs="Arial"/>
        </w:rPr>
        <w:t>V</w:t>
      </w:r>
      <w:r w:rsidRPr="0010442F">
        <w:rPr>
          <w:rFonts w:ascii="Aptos" w:hAnsi="Aptos" w:cs="Arial"/>
        </w:rPr>
        <w:t>endor</w:t>
      </w:r>
      <w:r w:rsidR="55DB2338" w:rsidRPr="0010442F">
        <w:rPr>
          <w:rFonts w:ascii="Aptos" w:hAnsi="Aptos" w:cs="Arial"/>
        </w:rPr>
        <w:t>s</w:t>
      </w:r>
      <w:r w:rsidRPr="0010442F">
        <w:rPr>
          <w:rFonts w:ascii="Aptos" w:hAnsi="Aptos" w:cs="Arial"/>
        </w:rPr>
        <w:t xml:space="preserve"> can only be reimbursed with CEC funds for Actual Costs paid even if the estimates in the </w:t>
      </w:r>
      <w:r w:rsidR="0A82CCD5" w:rsidRPr="0010442F">
        <w:rPr>
          <w:rFonts w:ascii="Aptos" w:hAnsi="Aptos" w:cs="Arial"/>
        </w:rPr>
        <w:t>b</w:t>
      </w:r>
      <w:r w:rsidRPr="0010442F">
        <w:rPr>
          <w:rFonts w:ascii="Aptos" w:hAnsi="Aptos" w:cs="Arial"/>
        </w:rPr>
        <w:t>udget are higher.</w:t>
      </w:r>
    </w:p>
    <w:p w14:paraId="1A23BA4E" w14:textId="3FF370E0" w:rsidR="000D0E37" w:rsidRPr="0010442F" w:rsidRDefault="6D2CE0B9" w:rsidP="000D0E37">
      <w:pPr>
        <w:numPr>
          <w:ilvl w:val="0"/>
          <w:numId w:val="17"/>
        </w:numPr>
        <w:spacing w:line="278" w:lineRule="auto"/>
        <w:rPr>
          <w:rFonts w:ascii="Aptos" w:hAnsi="Aptos" w:cs="Arial"/>
        </w:rPr>
      </w:pPr>
      <w:r w:rsidRPr="0010442F">
        <w:rPr>
          <w:rFonts w:ascii="Aptos" w:hAnsi="Aptos" w:cs="Arial"/>
        </w:rPr>
        <w:t>The Recipient should ensure the job classifications included in the Direct Labor Category are appropriate. Some job</w:t>
      </w:r>
      <w:r w:rsidR="000D0E37" w:rsidRPr="0010442F" w:rsidDel="6D2CE0B9">
        <w:rPr>
          <w:rFonts w:ascii="Aptos" w:hAnsi="Aptos" w:cs="Arial"/>
        </w:rPr>
        <w:t xml:space="preserve"> </w:t>
      </w:r>
      <w:r w:rsidR="6C013B5D" w:rsidRPr="0010442F">
        <w:rPr>
          <w:rFonts w:ascii="Aptos" w:hAnsi="Aptos" w:cs="Arial"/>
        </w:rPr>
        <w:t xml:space="preserve">positions </w:t>
      </w:r>
      <w:r w:rsidRPr="0010442F">
        <w:rPr>
          <w:rFonts w:ascii="Aptos" w:hAnsi="Aptos" w:cs="Arial"/>
        </w:rPr>
        <w:t xml:space="preserve">are </w:t>
      </w:r>
      <w:r w:rsidR="7FFFF725" w:rsidRPr="0010442F">
        <w:rPr>
          <w:rFonts w:ascii="Aptos" w:hAnsi="Aptos" w:cs="Arial"/>
        </w:rPr>
        <w:t>usually covered by</w:t>
      </w:r>
      <w:r w:rsidRPr="0010442F">
        <w:rPr>
          <w:rFonts w:ascii="Aptos" w:hAnsi="Aptos" w:cs="Arial"/>
        </w:rPr>
        <w:t xml:space="preserve"> Indirect Costs (i.e. Overhead, or General &amp; Administrative) instead of Direct Labor because individuals in these positions </w:t>
      </w:r>
      <w:r w:rsidR="76C0F78B" w:rsidRPr="0010442F">
        <w:rPr>
          <w:rFonts w:ascii="Aptos" w:hAnsi="Aptos" w:cs="Arial"/>
        </w:rPr>
        <w:t>tend</w:t>
      </w:r>
      <w:r w:rsidRPr="0010442F">
        <w:rPr>
          <w:rFonts w:ascii="Aptos" w:hAnsi="Aptos" w:cs="Arial"/>
        </w:rPr>
        <w:t xml:space="preserve"> to</w:t>
      </w:r>
      <w:r w:rsidR="39240DA1" w:rsidRPr="0010442F">
        <w:rPr>
          <w:rFonts w:ascii="Aptos" w:hAnsi="Aptos" w:cs="Arial"/>
        </w:rPr>
        <w:t xml:space="preserve"> support the entire organization, rather than</w:t>
      </w:r>
      <w:r w:rsidRPr="0010442F">
        <w:rPr>
          <w:rFonts w:ascii="Aptos" w:hAnsi="Aptos" w:cs="Arial"/>
        </w:rPr>
        <w:t xml:space="preserve"> specific activities</w:t>
      </w:r>
      <w:r w:rsidR="26366B99" w:rsidRPr="0010442F">
        <w:rPr>
          <w:rFonts w:ascii="Aptos" w:hAnsi="Aptos" w:cs="Arial"/>
        </w:rPr>
        <w:t xml:space="preserve"> or projects</w:t>
      </w:r>
      <w:r w:rsidRPr="0010442F">
        <w:rPr>
          <w:rFonts w:ascii="Aptos" w:hAnsi="Aptos" w:cs="Arial"/>
        </w:rPr>
        <w:t>.</w:t>
      </w:r>
      <w:r w:rsidR="000D0E37" w:rsidRPr="0010442F" w:rsidDel="6D2CE0B9">
        <w:rPr>
          <w:rFonts w:ascii="Aptos" w:hAnsi="Aptos" w:cs="Arial"/>
        </w:rPr>
        <w:t xml:space="preserve"> </w:t>
      </w:r>
      <w:r w:rsidRPr="0010442F">
        <w:rPr>
          <w:rFonts w:ascii="Aptos" w:hAnsi="Aptos" w:cs="Arial"/>
        </w:rPr>
        <w:t>Examples</w:t>
      </w:r>
      <w:r w:rsidR="67356745" w:rsidRPr="0010442F">
        <w:rPr>
          <w:rFonts w:ascii="Aptos" w:hAnsi="Aptos" w:cs="Arial"/>
        </w:rPr>
        <w:t xml:space="preserve"> of such classifications</w:t>
      </w:r>
      <w:r w:rsidRPr="0010442F">
        <w:rPr>
          <w:rFonts w:ascii="Aptos" w:hAnsi="Aptos" w:cs="Arial"/>
        </w:rPr>
        <w:t xml:space="preserve"> include:</w:t>
      </w:r>
    </w:p>
    <w:p w14:paraId="67AF0D43" w14:textId="77777777" w:rsidR="000D0E37" w:rsidRPr="0010442F" w:rsidRDefault="000D0E37" w:rsidP="000C108F">
      <w:pPr>
        <w:numPr>
          <w:ilvl w:val="1"/>
          <w:numId w:val="17"/>
        </w:numPr>
        <w:spacing w:after="0" w:line="278" w:lineRule="auto"/>
        <w:rPr>
          <w:rFonts w:ascii="Aptos" w:hAnsi="Aptos" w:cs="Arial"/>
        </w:rPr>
      </w:pPr>
      <w:r w:rsidRPr="0010442F">
        <w:rPr>
          <w:rFonts w:ascii="Aptos" w:hAnsi="Aptos" w:cs="Arial"/>
        </w:rPr>
        <w:t>Executive Officers</w:t>
      </w:r>
    </w:p>
    <w:p w14:paraId="419CB5C1" w14:textId="77777777" w:rsidR="000D0E37" w:rsidRPr="0010442F" w:rsidRDefault="000D0E37" w:rsidP="000C108F">
      <w:pPr>
        <w:numPr>
          <w:ilvl w:val="1"/>
          <w:numId w:val="17"/>
        </w:numPr>
        <w:spacing w:after="0" w:line="278" w:lineRule="auto"/>
        <w:rPr>
          <w:rFonts w:ascii="Aptos" w:hAnsi="Aptos" w:cs="Arial"/>
        </w:rPr>
      </w:pPr>
      <w:r w:rsidRPr="0010442F">
        <w:rPr>
          <w:rFonts w:ascii="Aptos" w:hAnsi="Aptos" w:cs="Arial"/>
        </w:rPr>
        <w:t>Consultants</w:t>
      </w:r>
    </w:p>
    <w:p w14:paraId="33F594F7" w14:textId="77777777" w:rsidR="000D0E37" w:rsidRPr="0010442F" w:rsidRDefault="000D0E37" w:rsidP="000C108F">
      <w:pPr>
        <w:numPr>
          <w:ilvl w:val="1"/>
          <w:numId w:val="17"/>
        </w:numPr>
        <w:spacing w:after="0" w:line="278" w:lineRule="auto"/>
        <w:rPr>
          <w:rFonts w:ascii="Aptos" w:hAnsi="Aptos" w:cs="Arial"/>
        </w:rPr>
      </w:pPr>
      <w:r w:rsidRPr="0010442F">
        <w:rPr>
          <w:rFonts w:ascii="Aptos" w:hAnsi="Aptos" w:cs="Arial"/>
        </w:rPr>
        <w:t>Accountants</w:t>
      </w:r>
    </w:p>
    <w:p w14:paraId="6F609820" w14:textId="77777777" w:rsidR="000D0E37" w:rsidRPr="0010442F" w:rsidRDefault="000D0E37" w:rsidP="000C108F">
      <w:pPr>
        <w:numPr>
          <w:ilvl w:val="1"/>
          <w:numId w:val="17"/>
        </w:numPr>
        <w:spacing w:after="0" w:line="278" w:lineRule="auto"/>
        <w:rPr>
          <w:rFonts w:ascii="Aptos" w:hAnsi="Aptos" w:cs="Arial"/>
        </w:rPr>
      </w:pPr>
      <w:r w:rsidRPr="0010442F">
        <w:rPr>
          <w:rFonts w:ascii="Aptos" w:hAnsi="Aptos" w:cs="Arial"/>
        </w:rPr>
        <w:t>Personnel Officers</w:t>
      </w:r>
    </w:p>
    <w:p w14:paraId="67B90001" w14:textId="77777777" w:rsidR="000D0E37" w:rsidRPr="0010442F" w:rsidRDefault="000D0E37" w:rsidP="000C108F">
      <w:pPr>
        <w:numPr>
          <w:ilvl w:val="1"/>
          <w:numId w:val="17"/>
        </w:numPr>
        <w:spacing w:line="278" w:lineRule="auto"/>
        <w:rPr>
          <w:rFonts w:ascii="Aptos" w:hAnsi="Aptos" w:cs="Arial"/>
        </w:rPr>
      </w:pPr>
      <w:r w:rsidRPr="0010442F">
        <w:rPr>
          <w:rFonts w:ascii="Aptos" w:hAnsi="Aptos" w:cs="Arial"/>
        </w:rPr>
        <w:t>Administrative or Clerical staff</w:t>
      </w:r>
    </w:p>
    <w:p w14:paraId="3F421449" w14:textId="4EB7903A" w:rsidR="000D0E37" w:rsidRPr="0010442F" w:rsidRDefault="6D2CE0B9" w:rsidP="4DA2590E">
      <w:pPr>
        <w:spacing w:line="278" w:lineRule="auto"/>
        <w:rPr>
          <w:rFonts w:ascii="Aptos" w:hAnsi="Aptos" w:cs="Arial"/>
        </w:rPr>
      </w:pPr>
      <w:r w:rsidRPr="0010442F">
        <w:rPr>
          <w:rFonts w:ascii="Aptos" w:hAnsi="Aptos" w:cs="Arial"/>
        </w:rPr>
        <w:lastRenderedPageBreak/>
        <w:t>However,</w:t>
      </w:r>
      <w:r w:rsidR="0F70A2AD" w:rsidRPr="0010442F">
        <w:rPr>
          <w:rFonts w:ascii="Aptos" w:hAnsi="Aptos" w:cs="Arial"/>
        </w:rPr>
        <w:t xml:space="preserve"> an exception </w:t>
      </w:r>
      <w:r w:rsidR="319B0452" w:rsidRPr="0010442F">
        <w:rPr>
          <w:rFonts w:ascii="Aptos" w:hAnsi="Aptos" w:cs="Arial"/>
        </w:rPr>
        <w:t xml:space="preserve">to this </w:t>
      </w:r>
      <w:r w:rsidR="0F70A2AD" w:rsidRPr="0010442F">
        <w:rPr>
          <w:rFonts w:ascii="Aptos" w:hAnsi="Aptos" w:cs="Arial"/>
        </w:rPr>
        <w:t xml:space="preserve">may be for smaller organizations </w:t>
      </w:r>
      <w:r w:rsidR="14F8C052" w:rsidRPr="0010442F">
        <w:rPr>
          <w:rFonts w:ascii="Aptos" w:hAnsi="Aptos" w:cs="Arial"/>
        </w:rPr>
        <w:t xml:space="preserve">that handle </w:t>
      </w:r>
      <w:r w:rsidR="0F70A2AD" w:rsidRPr="0010442F">
        <w:rPr>
          <w:rFonts w:ascii="Aptos" w:hAnsi="Aptos" w:cs="Arial"/>
        </w:rPr>
        <w:t>very few concurrent projects, such that these administrative hours</w:t>
      </w:r>
      <w:r w:rsidR="2FB81875" w:rsidRPr="0010442F">
        <w:rPr>
          <w:rFonts w:ascii="Aptos" w:hAnsi="Aptos" w:cs="Arial"/>
        </w:rPr>
        <w:t xml:space="preserve"> </w:t>
      </w:r>
      <w:r w:rsidR="0F70A2AD" w:rsidRPr="0010442F">
        <w:rPr>
          <w:rFonts w:ascii="Aptos" w:hAnsi="Aptos" w:cs="Arial"/>
        </w:rPr>
        <w:t>could be directly allocated to individual projects.</w:t>
      </w:r>
      <w:r w:rsidRPr="0010442F">
        <w:rPr>
          <w:rFonts w:ascii="Aptos" w:hAnsi="Aptos" w:cs="Arial"/>
        </w:rPr>
        <w:t xml:space="preserve"> </w:t>
      </w:r>
      <w:r w:rsidR="0053D00D" w:rsidRPr="0010442F">
        <w:rPr>
          <w:rFonts w:ascii="Aptos" w:hAnsi="Aptos" w:cs="Arial"/>
        </w:rPr>
        <w:t>C</w:t>
      </w:r>
      <w:r w:rsidRPr="0010442F">
        <w:rPr>
          <w:rFonts w:ascii="Aptos" w:hAnsi="Aptos" w:cs="Arial"/>
        </w:rPr>
        <w:t xml:space="preserve">harges for these individuals are acceptable if a Recipient </w:t>
      </w:r>
      <w:proofErr w:type="gramStart"/>
      <w:r w:rsidR="0B99160A" w:rsidRPr="0010442F">
        <w:rPr>
          <w:rFonts w:ascii="Aptos" w:hAnsi="Aptos" w:cs="Arial"/>
        </w:rPr>
        <w:t>is able to</w:t>
      </w:r>
      <w:proofErr w:type="gramEnd"/>
      <w:r w:rsidR="0B99160A" w:rsidRPr="0010442F">
        <w:rPr>
          <w:rFonts w:ascii="Aptos" w:hAnsi="Aptos" w:cs="Arial"/>
        </w:rPr>
        <w:t xml:space="preserve"> </w:t>
      </w:r>
      <w:r w:rsidRPr="0010442F">
        <w:rPr>
          <w:rFonts w:ascii="Aptos" w:hAnsi="Aptos" w:cs="Arial"/>
        </w:rPr>
        <w:t>provide detailed timesheets</w:t>
      </w:r>
      <w:r w:rsidR="52523F46" w:rsidRPr="0010442F">
        <w:rPr>
          <w:rFonts w:ascii="Aptos" w:hAnsi="Aptos" w:cs="Arial"/>
        </w:rPr>
        <w:t xml:space="preserve"> that demonstrate this</w:t>
      </w:r>
      <w:r w:rsidR="3E42FFDA" w:rsidRPr="0010442F">
        <w:rPr>
          <w:rFonts w:ascii="Aptos" w:hAnsi="Aptos" w:cs="Arial"/>
        </w:rPr>
        <w:t xml:space="preserve"> (s</w:t>
      </w:r>
      <w:r w:rsidRPr="0010442F">
        <w:rPr>
          <w:rFonts w:ascii="Aptos" w:hAnsi="Aptos" w:cs="Arial"/>
        </w:rPr>
        <w:t>ee “requirements for acceptable timesheets” below</w:t>
      </w:r>
      <w:r w:rsidR="0F92E394" w:rsidRPr="0010442F">
        <w:rPr>
          <w:rFonts w:ascii="Aptos" w:hAnsi="Aptos" w:cs="Arial"/>
        </w:rPr>
        <w:t>)</w:t>
      </w:r>
      <w:r w:rsidRPr="0010442F">
        <w:rPr>
          <w:rFonts w:ascii="Aptos" w:hAnsi="Aptos" w:cs="Arial"/>
        </w:rPr>
        <w:t xml:space="preserve">. </w:t>
      </w:r>
      <w:r w:rsidR="4A8CD259" w:rsidRPr="0010442F">
        <w:rPr>
          <w:rFonts w:ascii="Aptos" w:hAnsi="Aptos" w:cs="Arial"/>
        </w:rPr>
        <w:t>I</w:t>
      </w:r>
      <w:r w:rsidRPr="0010442F">
        <w:rPr>
          <w:rFonts w:ascii="Aptos" w:hAnsi="Aptos" w:cs="Arial"/>
        </w:rPr>
        <w:t>f</w:t>
      </w:r>
      <w:r w:rsidR="1E45A605" w:rsidRPr="0010442F">
        <w:rPr>
          <w:rFonts w:ascii="Aptos" w:hAnsi="Aptos" w:cs="Arial"/>
        </w:rPr>
        <w:t xml:space="preserve"> administrative positions are</w:t>
      </w:r>
      <w:r w:rsidRPr="0010442F">
        <w:rPr>
          <w:rFonts w:ascii="Aptos" w:hAnsi="Aptos" w:cs="Arial"/>
        </w:rPr>
        <w:t xml:space="preserve"> </w:t>
      </w:r>
      <w:r w:rsidR="7E7021F8" w:rsidRPr="0010442F">
        <w:rPr>
          <w:rFonts w:ascii="Aptos" w:hAnsi="Aptos" w:cs="Arial"/>
        </w:rPr>
        <w:t>categorized</w:t>
      </w:r>
      <w:r w:rsidRPr="0010442F">
        <w:rPr>
          <w:rFonts w:ascii="Aptos" w:hAnsi="Aptos" w:cs="Arial"/>
        </w:rPr>
        <w:t xml:space="preserve"> </w:t>
      </w:r>
      <w:r w:rsidR="0EBDD583" w:rsidRPr="0010442F">
        <w:rPr>
          <w:rFonts w:ascii="Aptos" w:hAnsi="Aptos" w:cs="Arial"/>
        </w:rPr>
        <w:t>under</w:t>
      </w:r>
      <w:r w:rsidRPr="0010442F">
        <w:rPr>
          <w:rFonts w:ascii="Aptos" w:hAnsi="Aptos" w:cs="Arial"/>
        </w:rPr>
        <w:t xml:space="preserve"> Direct Labor, a Recipient should ensure that these job classifications are not double counted </w:t>
      </w:r>
      <w:r w:rsidR="4069B13E" w:rsidRPr="0010442F">
        <w:rPr>
          <w:rFonts w:ascii="Aptos" w:hAnsi="Aptos" w:cs="Arial"/>
        </w:rPr>
        <w:t>under</w:t>
      </w:r>
      <w:r w:rsidR="000D0E37" w:rsidRPr="0010442F" w:rsidDel="6D2CE0B9">
        <w:rPr>
          <w:rFonts w:ascii="Aptos" w:hAnsi="Aptos" w:cs="Arial"/>
        </w:rPr>
        <w:t xml:space="preserve"> </w:t>
      </w:r>
      <w:r w:rsidRPr="0010442F">
        <w:rPr>
          <w:rFonts w:ascii="Aptos" w:hAnsi="Aptos" w:cs="Arial"/>
        </w:rPr>
        <w:t>Indirect Costs.</w:t>
      </w:r>
    </w:p>
    <w:p w14:paraId="6510F9E7" w14:textId="77777777" w:rsidR="000D0E37" w:rsidRPr="0010442F" w:rsidRDefault="000D0E37" w:rsidP="000C108F">
      <w:pPr>
        <w:pStyle w:val="Heading3"/>
        <w:spacing w:after="240"/>
        <w:rPr>
          <w:rFonts w:ascii="Aptos" w:hAnsi="Aptos" w:cs="Arial"/>
        </w:rPr>
      </w:pPr>
      <w:bookmarkStart w:id="5" w:name="_Toc216776551"/>
      <w:r w:rsidRPr="0010442F">
        <w:rPr>
          <w:rFonts w:ascii="Aptos" w:hAnsi="Aptos" w:cs="Arial"/>
        </w:rPr>
        <w:t>Requirements for Acceptable Timesheets</w:t>
      </w:r>
      <w:bookmarkEnd w:id="5"/>
    </w:p>
    <w:p w14:paraId="574FF466" w14:textId="2D2ECE52" w:rsidR="000D0E37" w:rsidRPr="0010442F" w:rsidRDefault="6D2CE0B9" w:rsidP="000D0E37">
      <w:pPr>
        <w:spacing w:line="278" w:lineRule="auto"/>
        <w:rPr>
          <w:rFonts w:ascii="Aptos" w:hAnsi="Aptos" w:cs="Arial"/>
        </w:rPr>
      </w:pPr>
      <w:r w:rsidRPr="0010442F">
        <w:rPr>
          <w:rFonts w:ascii="Aptos" w:hAnsi="Aptos" w:cs="Arial"/>
        </w:rPr>
        <w:t xml:space="preserve">If you are audited, the Auditor will ask you to provide documentation to support your Direct Labor charges. Timesheets </w:t>
      </w:r>
      <w:r w:rsidR="2F7A2E10" w:rsidRPr="0010442F">
        <w:rPr>
          <w:rFonts w:ascii="Aptos" w:hAnsi="Aptos" w:cs="Arial"/>
        </w:rPr>
        <w:t xml:space="preserve">may </w:t>
      </w:r>
      <w:r w:rsidRPr="0010442F">
        <w:rPr>
          <w:rFonts w:ascii="Aptos" w:hAnsi="Aptos" w:cs="Arial"/>
        </w:rPr>
        <w:t>be hard copy or electronic, and must:</w:t>
      </w:r>
    </w:p>
    <w:p w14:paraId="315FD2F5" w14:textId="77777777" w:rsidR="000D0E37" w:rsidRPr="0010442F" w:rsidRDefault="000D0E37" w:rsidP="00A36818">
      <w:pPr>
        <w:numPr>
          <w:ilvl w:val="0"/>
          <w:numId w:val="18"/>
        </w:numPr>
        <w:spacing w:after="0" w:line="278" w:lineRule="auto"/>
        <w:rPr>
          <w:rFonts w:ascii="Aptos" w:hAnsi="Aptos" w:cs="Arial"/>
        </w:rPr>
      </w:pPr>
      <w:r w:rsidRPr="0010442F">
        <w:rPr>
          <w:rFonts w:ascii="Aptos" w:hAnsi="Aptos" w:cs="Arial"/>
        </w:rPr>
        <w:t xml:space="preserve">track all hours worked by an </w:t>
      </w:r>
      <w:proofErr w:type="gramStart"/>
      <w:r w:rsidRPr="0010442F">
        <w:rPr>
          <w:rFonts w:ascii="Aptos" w:hAnsi="Aptos" w:cs="Arial"/>
        </w:rPr>
        <w:t>individual;</w:t>
      </w:r>
      <w:proofErr w:type="gramEnd"/>
    </w:p>
    <w:p w14:paraId="442CDC0B" w14:textId="77777777" w:rsidR="000D0E37" w:rsidRPr="0010442F" w:rsidRDefault="000D0E37" w:rsidP="00A36818">
      <w:pPr>
        <w:numPr>
          <w:ilvl w:val="0"/>
          <w:numId w:val="18"/>
        </w:numPr>
        <w:spacing w:after="0" w:line="278" w:lineRule="auto"/>
        <w:rPr>
          <w:rFonts w:ascii="Aptos" w:hAnsi="Aptos" w:cs="Arial"/>
        </w:rPr>
      </w:pPr>
      <w:r w:rsidRPr="0010442F">
        <w:rPr>
          <w:rFonts w:ascii="Aptos" w:hAnsi="Aptos" w:cs="Arial"/>
        </w:rPr>
        <w:t xml:space="preserve">be broken down into specific activities/projects, including leave, training, administrative time, </w:t>
      </w:r>
      <w:proofErr w:type="gramStart"/>
      <w:r w:rsidRPr="0010442F">
        <w:rPr>
          <w:rFonts w:ascii="Aptos" w:hAnsi="Aptos" w:cs="Arial"/>
        </w:rPr>
        <w:t>etc.;</w:t>
      </w:r>
      <w:proofErr w:type="gramEnd"/>
    </w:p>
    <w:p w14:paraId="08026013" w14:textId="77777777" w:rsidR="000D0E37" w:rsidRPr="0010442F" w:rsidRDefault="000D0E37" w:rsidP="00A36818">
      <w:pPr>
        <w:numPr>
          <w:ilvl w:val="0"/>
          <w:numId w:val="18"/>
        </w:numPr>
        <w:spacing w:after="0" w:line="278" w:lineRule="auto"/>
        <w:rPr>
          <w:rFonts w:ascii="Aptos" w:hAnsi="Aptos" w:cs="Arial"/>
        </w:rPr>
      </w:pPr>
      <w:r w:rsidRPr="0010442F">
        <w:rPr>
          <w:rFonts w:ascii="Aptos" w:hAnsi="Aptos" w:cs="Arial"/>
        </w:rPr>
        <w:t>support that time billed is directly related to the grant scope of work; and</w:t>
      </w:r>
    </w:p>
    <w:p w14:paraId="5E2C76B7" w14:textId="77777777" w:rsidR="000D0E37" w:rsidRPr="0010442F" w:rsidRDefault="000D0E37" w:rsidP="000D0E37">
      <w:pPr>
        <w:numPr>
          <w:ilvl w:val="0"/>
          <w:numId w:val="18"/>
        </w:numPr>
        <w:spacing w:line="278" w:lineRule="auto"/>
        <w:rPr>
          <w:rFonts w:ascii="Aptos" w:hAnsi="Aptos" w:cs="Arial"/>
        </w:rPr>
      </w:pPr>
      <w:r w:rsidRPr="0010442F">
        <w:rPr>
          <w:rFonts w:ascii="Aptos" w:hAnsi="Aptos" w:cs="Arial"/>
        </w:rPr>
        <w:t>include evidence that they are completed by the employee, approved by a supervisor, and maintained in a format that cannot be changed after approval.</w:t>
      </w:r>
    </w:p>
    <w:p w14:paraId="6AD34510" w14:textId="77777777" w:rsidR="000D0E37" w:rsidRPr="0010442F" w:rsidRDefault="000D0E37" w:rsidP="000C108F">
      <w:pPr>
        <w:pStyle w:val="Heading3"/>
        <w:spacing w:after="240"/>
        <w:rPr>
          <w:rFonts w:ascii="Aptos" w:hAnsi="Aptos" w:cs="Arial"/>
          <w:b/>
          <w:bCs/>
        </w:rPr>
      </w:pPr>
      <w:bookmarkStart w:id="6" w:name="_Toc216776552"/>
      <w:r w:rsidRPr="0010442F">
        <w:rPr>
          <w:rFonts w:ascii="Aptos" w:hAnsi="Aptos" w:cs="Arial"/>
          <w:b/>
          <w:bCs/>
        </w:rPr>
        <w:t>Direct Labor Invoicing Considerations</w:t>
      </w:r>
      <w:bookmarkEnd w:id="6"/>
    </w:p>
    <w:p w14:paraId="460D56F2" w14:textId="77777777" w:rsidR="000D0E37" w:rsidRPr="0010442F" w:rsidRDefault="000D0E37" w:rsidP="00A36818">
      <w:pPr>
        <w:numPr>
          <w:ilvl w:val="0"/>
          <w:numId w:val="19"/>
        </w:numPr>
        <w:spacing w:after="0" w:line="278" w:lineRule="auto"/>
        <w:rPr>
          <w:rFonts w:ascii="Aptos" w:hAnsi="Aptos" w:cs="Arial"/>
        </w:rPr>
      </w:pPr>
      <w:r w:rsidRPr="0010442F">
        <w:rPr>
          <w:rFonts w:ascii="Aptos" w:hAnsi="Aptos" w:cs="Arial"/>
        </w:rPr>
        <w:t xml:space="preserve">Recipients may not </w:t>
      </w:r>
      <w:proofErr w:type="gramStart"/>
      <w:r w:rsidRPr="0010442F">
        <w:rPr>
          <w:rFonts w:ascii="Aptos" w:hAnsi="Aptos" w:cs="Arial"/>
        </w:rPr>
        <w:t>bill</w:t>
      </w:r>
      <w:proofErr w:type="gramEnd"/>
      <w:r w:rsidRPr="0010442F">
        <w:rPr>
          <w:rFonts w:ascii="Aptos" w:hAnsi="Aptos" w:cs="Arial"/>
        </w:rPr>
        <w:t xml:space="preserve"> at estimated labor rates. Instead, all reimbursable and match expenses must be invoiced at Actual Costs.</w:t>
      </w:r>
    </w:p>
    <w:p w14:paraId="08CD5D8E" w14:textId="77777777" w:rsidR="000D0E37" w:rsidRPr="0010442F" w:rsidRDefault="000D0E37" w:rsidP="000D0E37">
      <w:pPr>
        <w:numPr>
          <w:ilvl w:val="0"/>
          <w:numId w:val="19"/>
        </w:numPr>
        <w:spacing w:line="278" w:lineRule="auto"/>
        <w:rPr>
          <w:rFonts w:ascii="Aptos" w:hAnsi="Aptos" w:cs="Arial"/>
        </w:rPr>
      </w:pPr>
      <w:r w:rsidRPr="0010442F">
        <w:rPr>
          <w:rFonts w:ascii="Aptos" w:hAnsi="Aptos" w:cs="Arial"/>
        </w:rPr>
        <w:t xml:space="preserve">If you are seeking reimbursement for Actual Costs that exceed the estimated labor rates included in your budget, you will need to carefully track spending to ensure that you do not exceed your budget for this category. While a budget reallocation may be requested, you will be required to justify the reason for the reallocation and show that the project can still be successfully completed if you </w:t>
      </w:r>
      <w:proofErr w:type="gramStart"/>
      <w:r w:rsidRPr="0010442F">
        <w:rPr>
          <w:rFonts w:ascii="Aptos" w:hAnsi="Aptos" w:cs="Arial"/>
        </w:rPr>
        <w:t>have to</w:t>
      </w:r>
      <w:proofErr w:type="gramEnd"/>
      <w:r w:rsidRPr="0010442F">
        <w:rPr>
          <w:rFonts w:ascii="Aptos" w:hAnsi="Aptos" w:cs="Arial"/>
        </w:rPr>
        <w:t xml:space="preserve"> take money from another budget category to cover your labor costs. If </w:t>
      </w:r>
      <w:proofErr w:type="gramStart"/>
      <w:r w:rsidRPr="0010442F">
        <w:rPr>
          <w:rFonts w:ascii="Aptos" w:hAnsi="Aptos" w:cs="Arial"/>
        </w:rPr>
        <w:t>a budget</w:t>
      </w:r>
      <w:proofErr w:type="gramEnd"/>
      <w:r w:rsidRPr="0010442F">
        <w:rPr>
          <w:rFonts w:ascii="Aptos" w:hAnsi="Aptos" w:cs="Arial"/>
        </w:rPr>
        <w:t xml:space="preserve"> reallocation is not feasible, you may charge the additional labor costs to match.</w:t>
      </w:r>
    </w:p>
    <w:p w14:paraId="1DC90A8C" w14:textId="3F333913" w:rsidR="00783EB6" w:rsidRPr="0010442F" w:rsidRDefault="00783EB6" w:rsidP="0075377C">
      <w:pPr>
        <w:pStyle w:val="Heading2"/>
        <w:spacing w:after="240"/>
        <w:rPr>
          <w:rFonts w:ascii="Aptos" w:hAnsi="Aptos"/>
          <w:b/>
          <w:bCs/>
          <w:caps/>
          <w:sz w:val="24"/>
          <w:szCs w:val="24"/>
        </w:rPr>
      </w:pPr>
      <w:bookmarkStart w:id="7" w:name="_Toc216776553"/>
      <w:r w:rsidRPr="0010442F">
        <w:rPr>
          <w:rFonts w:ascii="Aptos" w:hAnsi="Aptos"/>
          <w:b/>
          <w:bCs/>
          <w:caps/>
          <w:sz w:val="24"/>
          <w:szCs w:val="24"/>
        </w:rPr>
        <w:t>Davis-Bacon Act and Prevailing Wage Requirements</w:t>
      </w:r>
      <w:bookmarkEnd w:id="7"/>
    </w:p>
    <w:p w14:paraId="764F8AA1" w14:textId="1AF825B8" w:rsidR="002A19C4" w:rsidRPr="007E7C98" w:rsidRDefault="002A19C4" w:rsidP="390DCD5A">
      <w:pPr>
        <w:rPr>
          <w:rFonts w:ascii="Aptos" w:hAnsi="Aptos"/>
        </w:rPr>
      </w:pPr>
      <w:r w:rsidRPr="007E7C98">
        <w:rPr>
          <w:rFonts w:ascii="Aptos" w:hAnsi="Aptos"/>
        </w:rPr>
        <w:t xml:space="preserve">CERRI-funded projects are subject to both the federal Davis-Bacon Act and the state’s Prevailing Wage requirements. The Davis-Bacon Act mandates that contractors and subcontractors on federally funded construction projects pay workers no less than the prevailing wage rates determined by the U.S. Department of Labor. At the same time, California law requires payment of prevailing wages set by the California Department of Industrial Relations for most public works projects. </w:t>
      </w:r>
      <w:r w:rsidR="00FE23F3" w:rsidRPr="007E7C98">
        <w:rPr>
          <w:rFonts w:ascii="Aptos" w:hAnsi="Aptos"/>
        </w:rPr>
        <w:t xml:space="preserve">CERRI Projects are </w:t>
      </w:r>
      <w:r w:rsidRPr="007E7C98">
        <w:rPr>
          <w:rFonts w:ascii="Aptos" w:hAnsi="Aptos"/>
        </w:rPr>
        <w:t>managed by the State of California but funded with federal dollars</w:t>
      </w:r>
      <w:r w:rsidR="007B3DF8" w:rsidRPr="007E7C98">
        <w:rPr>
          <w:rFonts w:ascii="Aptos" w:hAnsi="Aptos"/>
        </w:rPr>
        <w:t xml:space="preserve">. Therefore, </w:t>
      </w:r>
      <w:r w:rsidRPr="007E7C98">
        <w:rPr>
          <w:rFonts w:ascii="Aptos" w:hAnsi="Aptos"/>
        </w:rPr>
        <w:t>both laws apply, and contractors must comply with whichever wage rate is higher. This overlap ensures consistent worker protections but also requires careful coordination to align classifications, fringe benefits, and reporting obligations across both systems.</w:t>
      </w:r>
    </w:p>
    <w:p w14:paraId="71C14A5E" w14:textId="034FA212" w:rsidR="007B3DF8" w:rsidRPr="0010442F" w:rsidRDefault="007B3DF8" w:rsidP="390DCD5A">
      <w:pPr>
        <w:pStyle w:val="Heading3"/>
        <w:spacing w:after="240"/>
        <w:rPr>
          <w:rFonts w:ascii="Aptos" w:hAnsi="Aptos"/>
          <w:b/>
          <w:bCs/>
        </w:rPr>
      </w:pPr>
      <w:bookmarkStart w:id="8" w:name="_Toc216776554"/>
      <w:r w:rsidRPr="0010442F">
        <w:rPr>
          <w:rFonts w:ascii="Aptos" w:hAnsi="Aptos"/>
          <w:b/>
        </w:rPr>
        <w:lastRenderedPageBreak/>
        <w:t>Davis Bacon Act</w:t>
      </w:r>
      <w:bookmarkEnd w:id="8"/>
    </w:p>
    <w:p w14:paraId="06C4FEDF" w14:textId="739D39DA" w:rsidR="0075377C" w:rsidRPr="0010442F" w:rsidRDefault="0075377C" w:rsidP="0075377C">
      <w:pPr>
        <w:rPr>
          <w:rFonts w:ascii="Aptos" w:hAnsi="Aptos"/>
        </w:rPr>
      </w:pPr>
      <w:r w:rsidRPr="0010442F">
        <w:rPr>
          <w:rFonts w:ascii="Aptos" w:hAnsi="Aptos"/>
        </w:rPr>
        <w:t>This award is funded under Division D of the BIL. All laborers and mechanics employed by the recipient, subrecipients, contractors, or subcontractors in the performance of construction, alteration, or repair work in excess of $1,000 on an award funded directly by or assisted in whole or in part by funds made available under this award shall be paid wages at rates not less than those prevailing on similar projects in the locality, as determined by the Secretary of Labor in accordance with subchapter IV of chapter 31 of title 40, United States Code commonly referred to as the “Davis-Bacon Act” (DBA). Recipients shall provide written assurance acknowledging the DBA requirements for the award or project and confirming that all of the laborers and mechanics performing construction, alteration, or repair work in excess of $1,000 on projects funded directly by or assisted in whole or in part by and through funding under the award are paid or will be paid wages at rates not less than those prevailing on projects of a character similar in the locality as determined by Subchapter IV of Chapter 31 of Title 40, United States Code (Davis-Bacon Act).</w:t>
      </w:r>
    </w:p>
    <w:p w14:paraId="77163B11" w14:textId="77777777" w:rsidR="0075377C" w:rsidRPr="0010442F" w:rsidRDefault="0075377C" w:rsidP="0075377C">
      <w:pPr>
        <w:pStyle w:val="ListParagraph"/>
        <w:ind w:left="360"/>
        <w:rPr>
          <w:rFonts w:ascii="Aptos" w:hAnsi="Aptos"/>
        </w:rPr>
      </w:pPr>
      <w:r w:rsidRPr="0010442F">
        <w:rPr>
          <w:rFonts w:ascii="Aptos" w:hAnsi="Aptos"/>
        </w:rPr>
        <w:t>The Recipient must comply with all DBA requirements, including but not limited to:</w:t>
      </w:r>
    </w:p>
    <w:p w14:paraId="2AE4E859" w14:textId="77777777" w:rsidR="0075377C" w:rsidRPr="0010442F" w:rsidRDefault="0075377C" w:rsidP="0075377C">
      <w:pPr>
        <w:pStyle w:val="ListParagraph"/>
        <w:numPr>
          <w:ilvl w:val="0"/>
          <w:numId w:val="43"/>
        </w:numPr>
        <w:spacing w:after="0" w:line="240" w:lineRule="auto"/>
        <w:ind w:left="1080"/>
        <w:contextualSpacing w:val="0"/>
        <w:rPr>
          <w:rFonts w:ascii="Aptos" w:hAnsi="Aptos"/>
        </w:rPr>
      </w:pPr>
      <w:r w:rsidRPr="0010442F">
        <w:rPr>
          <w:rFonts w:ascii="Aptos" w:hAnsi="Aptos"/>
        </w:rPr>
        <w:t>Ensuring that the wage determination(s) and appropriate Davis-Bacon clauses and requirements are flowed down to and incorporated into any applicable subcontracts.</w:t>
      </w:r>
    </w:p>
    <w:p w14:paraId="2AB26AD6" w14:textId="77777777" w:rsidR="0075377C" w:rsidRPr="0010442F" w:rsidRDefault="0075377C" w:rsidP="0075377C">
      <w:pPr>
        <w:pStyle w:val="ListParagraph"/>
        <w:numPr>
          <w:ilvl w:val="0"/>
          <w:numId w:val="43"/>
        </w:numPr>
        <w:spacing w:after="0" w:line="240" w:lineRule="auto"/>
        <w:ind w:left="1080"/>
        <w:contextualSpacing w:val="0"/>
        <w:rPr>
          <w:rFonts w:ascii="Aptos" w:hAnsi="Aptos"/>
        </w:rPr>
      </w:pPr>
      <w:r w:rsidRPr="0010442F">
        <w:rPr>
          <w:rFonts w:ascii="Aptos" w:hAnsi="Aptos"/>
        </w:rPr>
        <w:t>Being responsible for compliance by any subcontractor with the Davis-Bacon labor standards.</w:t>
      </w:r>
    </w:p>
    <w:p w14:paraId="19B958AE" w14:textId="77777777" w:rsidR="0075377C" w:rsidRPr="0010442F" w:rsidRDefault="0075377C" w:rsidP="0075377C">
      <w:pPr>
        <w:pStyle w:val="ListParagraph"/>
        <w:numPr>
          <w:ilvl w:val="0"/>
          <w:numId w:val="43"/>
        </w:numPr>
        <w:spacing w:after="0" w:line="240" w:lineRule="auto"/>
        <w:ind w:left="1080"/>
        <w:contextualSpacing w:val="0"/>
        <w:rPr>
          <w:rFonts w:ascii="Aptos" w:hAnsi="Aptos"/>
        </w:rPr>
      </w:pPr>
      <w:r w:rsidRPr="0010442F">
        <w:rPr>
          <w:rFonts w:ascii="Aptos" w:hAnsi="Aptos"/>
        </w:rPr>
        <w:t>Cooperating with any authorized representative of the Department of Labor in their inspection of records, interviews with employees, and other actions undertaken as part of a Department of Labor investigation.</w:t>
      </w:r>
    </w:p>
    <w:p w14:paraId="7EE5116B" w14:textId="77777777" w:rsidR="009C4BF4" w:rsidRPr="0010442F" w:rsidRDefault="0075377C" w:rsidP="009C4BF4">
      <w:pPr>
        <w:pStyle w:val="ListParagraph"/>
        <w:numPr>
          <w:ilvl w:val="0"/>
          <w:numId w:val="43"/>
        </w:numPr>
        <w:spacing w:after="0"/>
        <w:ind w:left="1080"/>
        <w:contextualSpacing w:val="0"/>
        <w:rPr>
          <w:rFonts w:ascii="Aptos" w:hAnsi="Aptos"/>
        </w:rPr>
      </w:pPr>
      <w:r w:rsidRPr="0010442F">
        <w:rPr>
          <w:rFonts w:ascii="Aptos" w:hAnsi="Aptos"/>
        </w:rPr>
        <w:t>Posting in a prominent and accessible place the wage determination(s) and Department of Labor Publication: WH-1321, Notice to Employees Working on Federal or Federally Assisted Construction Projects.</w:t>
      </w:r>
    </w:p>
    <w:p w14:paraId="77A8C021" w14:textId="4001525F" w:rsidR="0075377C" w:rsidRPr="0010442F" w:rsidRDefault="0075377C" w:rsidP="009C4BF4">
      <w:pPr>
        <w:pStyle w:val="ListParagraph"/>
        <w:numPr>
          <w:ilvl w:val="0"/>
          <w:numId w:val="43"/>
        </w:numPr>
        <w:spacing w:after="120"/>
        <w:ind w:left="1080"/>
        <w:contextualSpacing w:val="0"/>
        <w:rPr>
          <w:rFonts w:ascii="Aptos" w:hAnsi="Aptos"/>
        </w:rPr>
      </w:pPr>
      <w:r w:rsidRPr="0010442F">
        <w:rPr>
          <w:rFonts w:ascii="Aptos" w:hAnsi="Aptos"/>
        </w:rPr>
        <w:t>Notifying the Commission Agreement Manager (CAM) of all labor standards issues, including all complaints regarding incorrect payment of prevailing wages and/or fringe benefits, received from the recipient, contractor, or subcontractor employees; significant labor standards violations, as defined in 29 in the Code of Federal Regulations (CFR) 5.7; disputes concerning labor standards pursuant to 29 CFR parts 4, 6, and 8 and as defined in Federal Acquisition Regulation (FAR) 52.222-14; disputed labor standards determinations; Department of Labor investigations; or legal or judicial proceedings related to the labor standards under this award. For additional guidance on how to comply with the DBA provisions and clauses, see the following resources available on the Department of Labor website at:</w:t>
      </w:r>
      <w:r w:rsidR="009C4BF4" w:rsidRPr="0010442F">
        <w:rPr>
          <w:rFonts w:ascii="Aptos" w:hAnsi="Aptos"/>
        </w:rPr>
        <w:t xml:space="preserve"> </w:t>
      </w:r>
      <w:hyperlink r:id="rId11" w:history="1">
        <w:r w:rsidR="009C4BF4" w:rsidRPr="0010442F">
          <w:rPr>
            <w:rStyle w:val="Hyperlink"/>
            <w:rFonts w:ascii="Aptos" w:hAnsi="Aptos"/>
          </w:rPr>
          <w:t>https://www.dol.gov/agencies/whd/government-contracts/construction</w:t>
        </w:r>
      </w:hyperlink>
      <w:r w:rsidRPr="0010442F">
        <w:rPr>
          <w:rFonts w:ascii="Aptos" w:hAnsi="Aptos"/>
        </w:rPr>
        <w:t>, and</w:t>
      </w:r>
      <w:r w:rsidR="009C4BF4" w:rsidRPr="0010442F">
        <w:rPr>
          <w:rFonts w:ascii="Aptos" w:hAnsi="Aptos"/>
        </w:rPr>
        <w:t xml:space="preserve"> </w:t>
      </w:r>
      <w:hyperlink r:id="rId12" w:history="1">
        <w:r w:rsidR="009C4BF4" w:rsidRPr="0010442F">
          <w:rPr>
            <w:rStyle w:val="Hyperlink"/>
            <w:rFonts w:ascii="Aptos" w:hAnsi="Aptos"/>
          </w:rPr>
          <w:t>https://www.dol.gov/agencies/whd/government-contracts/protections-for-workers-in-construction</w:t>
        </w:r>
      </w:hyperlink>
      <w:r w:rsidR="009C4BF4" w:rsidRPr="0010442F">
        <w:rPr>
          <w:rFonts w:ascii="Aptos" w:hAnsi="Aptos"/>
        </w:rPr>
        <w:t xml:space="preserve">. </w:t>
      </w:r>
    </w:p>
    <w:p w14:paraId="6068D0E3" w14:textId="19B57137" w:rsidR="005C129A" w:rsidRPr="0010442F" w:rsidRDefault="2DDF435D" w:rsidP="005C129A">
      <w:pPr>
        <w:pStyle w:val="Heading3"/>
        <w:spacing w:after="240"/>
        <w:rPr>
          <w:rFonts w:ascii="Aptos" w:hAnsi="Aptos" w:cs="Arial"/>
          <w:b/>
          <w:bCs/>
        </w:rPr>
      </w:pPr>
      <w:bookmarkStart w:id="9" w:name="_Toc216776555"/>
      <w:r w:rsidRPr="0010442F">
        <w:rPr>
          <w:rFonts w:ascii="Aptos" w:hAnsi="Aptos" w:cs="Arial"/>
          <w:b/>
          <w:bCs/>
        </w:rPr>
        <w:lastRenderedPageBreak/>
        <w:t>CA Prevailing Wage Requirement</w:t>
      </w:r>
      <w:bookmarkEnd w:id="9"/>
    </w:p>
    <w:p w14:paraId="1C47FFE4" w14:textId="2C6368DC" w:rsidR="005C129A" w:rsidRPr="0010442F" w:rsidRDefault="2DDF435D" w:rsidP="005C129A">
      <w:pPr>
        <w:keepLines/>
        <w:widowControl w:val="0"/>
        <w:spacing w:after="60" w:line="279" w:lineRule="auto"/>
        <w:jc w:val="both"/>
        <w:rPr>
          <w:rFonts w:ascii="Aptos" w:hAnsi="Aptos"/>
          <w:color w:val="000000" w:themeColor="text1"/>
        </w:rPr>
      </w:pPr>
      <w:r w:rsidRPr="0010442F">
        <w:rPr>
          <w:rFonts w:ascii="Aptos" w:hAnsi="Aptos"/>
          <w:color w:val="000000" w:themeColor="text1"/>
        </w:rPr>
        <w:t xml:space="preserve">Projects that receive an award of public funds from the CEC </w:t>
      </w:r>
      <w:r w:rsidR="36F73F62" w:rsidRPr="0010442F">
        <w:rPr>
          <w:rFonts w:ascii="Aptos" w:hAnsi="Aptos"/>
          <w:color w:val="000000" w:themeColor="text1"/>
        </w:rPr>
        <w:t>that</w:t>
      </w:r>
      <w:r w:rsidR="00B40A57" w:rsidRPr="0010442F">
        <w:rPr>
          <w:rFonts w:ascii="Aptos" w:hAnsi="Aptos"/>
          <w:color w:val="000000" w:themeColor="text1"/>
        </w:rPr>
        <w:t xml:space="preserve"> </w:t>
      </w:r>
      <w:r w:rsidRPr="0010442F">
        <w:rPr>
          <w:rFonts w:ascii="Aptos" w:hAnsi="Aptos"/>
          <w:color w:val="000000" w:themeColor="text1"/>
        </w:rPr>
        <w:t>involve construction, alteration, demolition, installation, repair or maintenance work over $1,000</w:t>
      </w:r>
      <w:r w:rsidR="578B6500" w:rsidRPr="0010442F">
        <w:rPr>
          <w:rFonts w:ascii="Aptos" w:hAnsi="Aptos"/>
          <w:color w:val="000000" w:themeColor="text1"/>
        </w:rPr>
        <w:t xml:space="preserve"> </w:t>
      </w:r>
      <w:r w:rsidRPr="0010442F">
        <w:rPr>
          <w:rFonts w:ascii="Aptos" w:hAnsi="Aptos"/>
          <w:color w:val="000000" w:themeColor="text1"/>
        </w:rPr>
        <w:t>are likely to be considered public works under the California Labor Code.   See Chapter 1 of Part 7 of Division 2 of the California Labor Code, commencing with Section 1720 and Title 8, California Code of Regulations, Chapter 8, Subchapter 3, commencing with Section 16000.</w:t>
      </w:r>
    </w:p>
    <w:p w14:paraId="2545FD26" w14:textId="39316F7D" w:rsidR="005C129A" w:rsidRPr="0010442F" w:rsidRDefault="005C129A" w:rsidP="00234C1C">
      <w:pPr>
        <w:keepLines/>
        <w:widowControl w:val="0"/>
        <w:spacing w:before="240" w:after="60"/>
        <w:jc w:val="both"/>
        <w:rPr>
          <w:rFonts w:ascii="Aptos" w:hAnsi="Aptos"/>
          <w:color w:val="000000" w:themeColor="text1"/>
        </w:rPr>
      </w:pPr>
      <w:r w:rsidRPr="0010442F">
        <w:rPr>
          <w:rFonts w:ascii="Aptos" w:hAnsi="Aptos"/>
          <w:color w:val="000000" w:themeColor="text1"/>
        </w:rPr>
        <w:t>Projects deemed to be public works require among other things the payment of prevailing wages, which can be significantly higher than non-prevailing wages.</w:t>
      </w:r>
    </w:p>
    <w:p w14:paraId="60A8D8FF" w14:textId="3B6F668E" w:rsidR="005C129A" w:rsidRPr="0010442F" w:rsidRDefault="005C129A" w:rsidP="00234C1C">
      <w:pPr>
        <w:keepLines/>
        <w:widowControl w:val="0"/>
        <w:spacing w:before="240" w:after="240"/>
        <w:jc w:val="both"/>
        <w:rPr>
          <w:rFonts w:ascii="Aptos" w:hAnsi="Aptos"/>
          <w:color w:val="000000" w:themeColor="text1"/>
        </w:rPr>
      </w:pPr>
      <w:r w:rsidRPr="0010442F">
        <w:rPr>
          <w:rFonts w:ascii="Aptos" w:hAnsi="Aptos"/>
          <w:color w:val="000000" w:themeColor="text1"/>
        </w:rPr>
        <w:t>By accepting this grant, the grant recipient as a material term of this agreement shall be fully responsible for complying with all California public works requirements including but not limited to payment of prevailing wage.  Therefore, as a material term of this grant, the grant recipient must either:</w:t>
      </w:r>
    </w:p>
    <w:p w14:paraId="4A956340" w14:textId="2E2C4E21" w:rsidR="005C129A" w:rsidRPr="0010442F" w:rsidRDefault="005C129A" w:rsidP="00234C1C">
      <w:pPr>
        <w:pStyle w:val="ListParagraph"/>
        <w:keepNext/>
        <w:keepLines/>
        <w:widowControl w:val="0"/>
        <w:numPr>
          <w:ilvl w:val="1"/>
          <w:numId w:val="18"/>
        </w:numPr>
        <w:spacing w:after="0"/>
        <w:rPr>
          <w:rFonts w:ascii="Aptos" w:hAnsi="Aptos"/>
          <w:color w:val="000000" w:themeColor="text1"/>
        </w:rPr>
      </w:pPr>
      <w:r w:rsidRPr="0010442F">
        <w:rPr>
          <w:rFonts w:ascii="Aptos" w:hAnsi="Aptos"/>
          <w:color w:val="000000" w:themeColor="text1"/>
        </w:rPr>
        <w:t xml:space="preserve">Proceed </w:t>
      </w:r>
      <w:r w:rsidR="00323B01" w:rsidRPr="0010442F">
        <w:rPr>
          <w:rFonts w:ascii="Aptos" w:hAnsi="Aptos"/>
          <w:color w:val="000000" w:themeColor="text1"/>
        </w:rPr>
        <w:t>with</w:t>
      </w:r>
      <w:r w:rsidRPr="0010442F">
        <w:rPr>
          <w:rFonts w:ascii="Aptos" w:hAnsi="Aptos"/>
          <w:color w:val="000000" w:themeColor="text1"/>
        </w:rPr>
        <w:t xml:space="preserve"> the assumption that the project is a public work and ensure that: </w:t>
      </w:r>
    </w:p>
    <w:p w14:paraId="600D5AAD" w14:textId="40683C94" w:rsidR="005C129A" w:rsidRPr="0010442F" w:rsidRDefault="00323B01" w:rsidP="006A64C5">
      <w:pPr>
        <w:pStyle w:val="ListParagraph"/>
        <w:keepLines/>
        <w:widowControl w:val="0"/>
        <w:numPr>
          <w:ilvl w:val="3"/>
          <w:numId w:val="19"/>
        </w:numPr>
        <w:spacing w:after="0" w:line="278" w:lineRule="auto"/>
        <w:contextualSpacing w:val="0"/>
        <w:rPr>
          <w:rFonts w:ascii="Aptos" w:hAnsi="Aptos"/>
          <w:color w:val="000000" w:themeColor="text1"/>
        </w:rPr>
      </w:pPr>
      <w:r w:rsidRPr="0010442F">
        <w:rPr>
          <w:rFonts w:ascii="Aptos" w:hAnsi="Aptos"/>
          <w:color w:val="000000" w:themeColor="text1"/>
        </w:rPr>
        <w:t>P</w:t>
      </w:r>
      <w:r w:rsidR="005C129A" w:rsidRPr="0010442F">
        <w:rPr>
          <w:rFonts w:ascii="Aptos" w:hAnsi="Aptos"/>
          <w:color w:val="000000" w:themeColor="text1"/>
        </w:rPr>
        <w:t>revailing wages are paid; and</w:t>
      </w:r>
    </w:p>
    <w:p w14:paraId="7B5C832C" w14:textId="760D3BD4" w:rsidR="005C129A" w:rsidRPr="0010442F" w:rsidRDefault="00323B01" w:rsidP="006A64C5">
      <w:pPr>
        <w:pStyle w:val="ListParagraph"/>
        <w:keepLines/>
        <w:widowControl w:val="0"/>
        <w:numPr>
          <w:ilvl w:val="3"/>
          <w:numId w:val="19"/>
        </w:numPr>
        <w:spacing w:after="0" w:line="278" w:lineRule="auto"/>
        <w:contextualSpacing w:val="0"/>
        <w:rPr>
          <w:rFonts w:ascii="Aptos" w:hAnsi="Aptos"/>
          <w:color w:val="000000" w:themeColor="text1"/>
        </w:rPr>
      </w:pPr>
      <w:r w:rsidRPr="0010442F">
        <w:rPr>
          <w:rFonts w:ascii="Aptos" w:hAnsi="Aptos"/>
          <w:color w:val="000000" w:themeColor="text1"/>
        </w:rPr>
        <w:t>T</w:t>
      </w:r>
      <w:r w:rsidR="005C129A" w:rsidRPr="0010442F">
        <w:rPr>
          <w:rFonts w:ascii="Aptos" w:hAnsi="Aptos"/>
          <w:color w:val="000000" w:themeColor="text1"/>
        </w:rPr>
        <w:t xml:space="preserve">he project budget for labor reflects these prevailing wage requirements; and </w:t>
      </w:r>
    </w:p>
    <w:p w14:paraId="27213781" w14:textId="34F90905" w:rsidR="005C129A" w:rsidRPr="0010442F" w:rsidRDefault="00234C1C" w:rsidP="006A64C5">
      <w:pPr>
        <w:pStyle w:val="ListParagraph"/>
        <w:keepLines/>
        <w:widowControl w:val="0"/>
        <w:numPr>
          <w:ilvl w:val="3"/>
          <w:numId w:val="19"/>
        </w:numPr>
        <w:spacing w:after="0" w:line="278" w:lineRule="auto"/>
        <w:contextualSpacing w:val="0"/>
        <w:rPr>
          <w:rFonts w:ascii="Aptos" w:hAnsi="Aptos"/>
          <w:color w:val="000000" w:themeColor="text1"/>
        </w:rPr>
      </w:pPr>
      <w:r w:rsidRPr="0010442F">
        <w:rPr>
          <w:rFonts w:ascii="Aptos" w:hAnsi="Aptos"/>
          <w:color w:val="000000" w:themeColor="text1"/>
        </w:rPr>
        <w:t>The</w:t>
      </w:r>
      <w:r w:rsidR="005C129A" w:rsidRPr="0010442F">
        <w:rPr>
          <w:rFonts w:ascii="Aptos" w:hAnsi="Aptos"/>
          <w:color w:val="000000" w:themeColor="text1"/>
        </w:rPr>
        <w:t xml:space="preserve"> project complies with all other requirements of prevailing wage law including</w:t>
      </w:r>
      <w:r w:rsidR="00323B01" w:rsidRPr="0010442F">
        <w:rPr>
          <w:rFonts w:ascii="Aptos" w:hAnsi="Aptos"/>
          <w:color w:val="000000" w:themeColor="text1"/>
        </w:rPr>
        <w:t>,</w:t>
      </w:r>
      <w:r w:rsidR="005C129A" w:rsidRPr="0010442F">
        <w:rPr>
          <w:rFonts w:ascii="Aptos" w:hAnsi="Aptos"/>
          <w:color w:val="000000" w:themeColor="text1"/>
        </w:rPr>
        <w:t xml:space="preserve"> but not limited to</w:t>
      </w:r>
      <w:r w:rsidR="00BA221F" w:rsidRPr="0010442F">
        <w:rPr>
          <w:rFonts w:ascii="Aptos" w:hAnsi="Aptos"/>
          <w:color w:val="000000" w:themeColor="text1"/>
        </w:rPr>
        <w:t>,</w:t>
      </w:r>
      <w:r w:rsidR="005C129A" w:rsidRPr="0010442F">
        <w:rPr>
          <w:rFonts w:ascii="Aptos" w:hAnsi="Aptos"/>
          <w:color w:val="000000" w:themeColor="text1"/>
        </w:rPr>
        <w:t xml:space="preserve"> keeping accurate payroll records, and complying with all working hour requirements and apprenticeship </w:t>
      </w:r>
      <w:proofErr w:type="gramStart"/>
      <w:r w:rsidR="005C129A" w:rsidRPr="0010442F">
        <w:rPr>
          <w:rFonts w:ascii="Aptos" w:hAnsi="Aptos"/>
          <w:color w:val="000000" w:themeColor="text1"/>
        </w:rPr>
        <w:t>obligations;</w:t>
      </w:r>
      <w:proofErr w:type="gramEnd"/>
      <w:r w:rsidR="005C129A" w:rsidRPr="0010442F">
        <w:rPr>
          <w:rFonts w:ascii="Aptos" w:hAnsi="Aptos"/>
          <w:color w:val="000000" w:themeColor="text1"/>
        </w:rPr>
        <w:t xml:space="preserve"> </w:t>
      </w:r>
    </w:p>
    <w:p w14:paraId="405B27E8" w14:textId="77777777" w:rsidR="005C129A" w:rsidRPr="0010442F" w:rsidRDefault="005C129A" w:rsidP="006A64C5">
      <w:pPr>
        <w:pStyle w:val="ListParagraph"/>
        <w:keepLines/>
        <w:widowControl w:val="0"/>
        <w:spacing w:before="240" w:after="120"/>
        <w:ind w:firstLine="720"/>
        <w:contextualSpacing w:val="0"/>
        <w:rPr>
          <w:rFonts w:ascii="Aptos" w:hAnsi="Aptos"/>
          <w:color w:val="000000" w:themeColor="text1"/>
        </w:rPr>
      </w:pPr>
      <w:r w:rsidRPr="0010442F">
        <w:rPr>
          <w:rFonts w:ascii="Aptos" w:hAnsi="Aptos"/>
          <w:color w:val="000000" w:themeColor="text1"/>
        </w:rPr>
        <w:t>or,</w:t>
      </w:r>
    </w:p>
    <w:p w14:paraId="19827A62" w14:textId="52A455FB" w:rsidR="00580925" w:rsidRPr="0010442F" w:rsidRDefault="005C129A" w:rsidP="00560D9D">
      <w:pPr>
        <w:pStyle w:val="ListParagraph"/>
        <w:keepLines/>
        <w:widowControl w:val="0"/>
        <w:spacing w:before="240" w:after="240"/>
        <w:ind w:left="1440"/>
        <w:contextualSpacing w:val="0"/>
        <w:jc w:val="both"/>
        <w:rPr>
          <w:rFonts w:ascii="Aptos" w:hAnsi="Aptos"/>
          <w:color w:val="000000" w:themeColor="text1"/>
        </w:rPr>
      </w:pPr>
      <w:r w:rsidRPr="0010442F">
        <w:rPr>
          <w:rFonts w:ascii="Aptos" w:hAnsi="Aptos"/>
          <w:color w:val="000000" w:themeColor="text1"/>
        </w:rPr>
        <w:t xml:space="preserve">(b)  Timely obtain a legally binding determination from the Department of Industrial Relations or a court of competent jurisdiction before work begins on the project that the proposed project is not </w:t>
      </w:r>
      <w:proofErr w:type="gramStart"/>
      <w:r w:rsidRPr="0010442F">
        <w:rPr>
          <w:rFonts w:ascii="Aptos" w:hAnsi="Aptos"/>
          <w:color w:val="000000" w:themeColor="text1"/>
        </w:rPr>
        <w:t>a public</w:t>
      </w:r>
      <w:proofErr w:type="gramEnd"/>
      <w:r w:rsidRPr="0010442F">
        <w:rPr>
          <w:rFonts w:ascii="Aptos" w:hAnsi="Aptos"/>
          <w:color w:val="000000" w:themeColor="text1"/>
        </w:rPr>
        <w:t xml:space="preserve"> work.</w:t>
      </w:r>
    </w:p>
    <w:p w14:paraId="7CB38ED8" w14:textId="75289EB6" w:rsidR="000C108F" w:rsidRPr="0010442F" w:rsidRDefault="000C108F" w:rsidP="000C108F">
      <w:pPr>
        <w:pStyle w:val="Heading2"/>
        <w:spacing w:after="240"/>
        <w:rPr>
          <w:rFonts w:ascii="Aptos" w:hAnsi="Aptos" w:cs="Arial"/>
          <w:b/>
          <w:bCs/>
          <w:sz w:val="24"/>
          <w:szCs w:val="24"/>
        </w:rPr>
      </w:pPr>
      <w:bookmarkStart w:id="10" w:name="_Toc216776556"/>
      <w:r w:rsidRPr="0010442F">
        <w:rPr>
          <w:rFonts w:ascii="Aptos" w:hAnsi="Aptos" w:cs="Arial"/>
          <w:b/>
          <w:bCs/>
          <w:sz w:val="24"/>
          <w:szCs w:val="24"/>
        </w:rPr>
        <w:t>FRINGE BENEFITS</w:t>
      </w:r>
      <w:bookmarkEnd w:id="10"/>
    </w:p>
    <w:p w14:paraId="6A7C9A13" w14:textId="4F8F3A7C" w:rsidR="007E6BD0" w:rsidRPr="0010442F" w:rsidRDefault="007E6BD0" w:rsidP="007E6BD0">
      <w:pPr>
        <w:spacing w:line="278" w:lineRule="auto"/>
        <w:rPr>
          <w:rFonts w:ascii="Aptos" w:hAnsi="Aptos" w:cs="Arial"/>
        </w:rPr>
      </w:pPr>
      <w:r w:rsidRPr="0010442F">
        <w:rPr>
          <w:rFonts w:ascii="Aptos" w:hAnsi="Aptos" w:cs="Arial"/>
        </w:rPr>
        <w:t xml:space="preserve">Fringe benefits are allowances and services provided by employers to their employees as compensation in addition to regular salaries and wages. (Source: Electronic Code of Federal Regulations, Title 2, Subtitle A, Chapter II, Part 2, Section 200.431.) Examples of fringe benefits include vacation, sick leave, medical and dental insurance, unemployment benefit plans, payroll taxes, and pension plans. Recipients will provide a Fringe Benefit </w:t>
      </w:r>
      <w:r w:rsidR="00F0357B" w:rsidRPr="0010442F">
        <w:rPr>
          <w:rFonts w:ascii="Aptos" w:hAnsi="Aptos" w:cs="Arial"/>
        </w:rPr>
        <w:t>“</w:t>
      </w:r>
      <w:r w:rsidRPr="0010442F">
        <w:rPr>
          <w:rFonts w:ascii="Aptos" w:hAnsi="Aptos" w:cs="Arial"/>
        </w:rPr>
        <w:t>rate</w:t>
      </w:r>
      <w:r w:rsidR="00F0357B" w:rsidRPr="0010442F">
        <w:rPr>
          <w:rFonts w:ascii="Aptos" w:hAnsi="Aptos" w:cs="Arial"/>
        </w:rPr>
        <w:t>”</w:t>
      </w:r>
      <w:r w:rsidRPr="0010442F">
        <w:rPr>
          <w:rFonts w:ascii="Aptos" w:hAnsi="Aptos" w:cs="Arial"/>
        </w:rPr>
        <w:t xml:space="preserve"> that is demonstrated as a percentage of Direct Labor.</w:t>
      </w:r>
    </w:p>
    <w:p w14:paraId="46FA7A3A" w14:textId="47D45BF4" w:rsidR="007E6BD0" w:rsidRPr="0010442F" w:rsidRDefault="007E6BD0" w:rsidP="007E6BD0">
      <w:pPr>
        <w:spacing w:line="278" w:lineRule="auto"/>
        <w:rPr>
          <w:rFonts w:ascii="Aptos" w:hAnsi="Aptos" w:cs="Arial"/>
        </w:rPr>
      </w:pPr>
      <w:r w:rsidRPr="0010442F">
        <w:rPr>
          <w:rFonts w:ascii="Aptos" w:hAnsi="Aptos" w:cs="Arial"/>
        </w:rPr>
        <w:t>A Fringe Benefit Rate is very entity-</w:t>
      </w:r>
      <w:r w:rsidR="004D42C8" w:rsidRPr="0010442F">
        <w:rPr>
          <w:rFonts w:ascii="Aptos" w:hAnsi="Aptos" w:cs="Arial"/>
        </w:rPr>
        <w:t>specific,</w:t>
      </w:r>
      <w:r w:rsidRPr="0010442F">
        <w:rPr>
          <w:rFonts w:ascii="Aptos" w:hAnsi="Aptos" w:cs="Arial"/>
        </w:rPr>
        <w:t xml:space="preserve"> and the items included in that rate can vary widely.</w:t>
      </w:r>
    </w:p>
    <w:p w14:paraId="4F7A3C7E" w14:textId="77777777" w:rsidR="007E6BD0" w:rsidRPr="0010442F" w:rsidRDefault="007E6BD0" w:rsidP="007E6BD0">
      <w:pPr>
        <w:spacing w:line="278" w:lineRule="auto"/>
        <w:rPr>
          <w:rFonts w:ascii="Aptos" w:hAnsi="Aptos" w:cs="Arial"/>
        </w:rPr>
      </w:pPr>
      <w:r w:rsidRPr="0010442F">
        <w:rPr>
          <w:rFonts w:ascii="Aptos" w:hAnsi="Aptos" w:cs="Arial"/>
        </w:rPr>
        <w:t xml:space="preserve">To calculate a fringe benefit rate, a Recipient will add up the annual cost of any benefit provided to employees or any tax that is required by the government </w:t>
      </w:r>
      <w:proofErr w:type="gramStart"/>
      <w:r w:rsidRPr="0010442F">
        <w:rPr>
          <w:rFonts w:ascii="Aptos" w:hAnsi="Aptos" w:cs="Arial"/>
        </w:rPr>
        <w:t>in order to</w:t>
      </w:r>
      <w:proofErr w:type="gramEnd"/>
      <w:r w:rsidRPr="0010442F">
        <w:rPr>
          <w:rFonts w:ascii="Aptos" w:hAnsi="Aptos" w:cs="Arial"/>
        </w:rPr>
        <w:t xml:space="preserve"> employ staff such as payroll </w:t>
      </w:r>
      <w:r w:rsidRPr="0010442F">
        <w:rPr>
          <w:rFonts w:ascii="Aptos" w:hAnsi="Aptos" w:cs="Arial"/>
        </w:rPr>
        <w:lastRenderedPageBreak/>
        <w:t>taxes. The total of those annual costs is divided by the total annual gross payroll. The result is the fringe benefit rate.</w:t>
      </w:r>
    </w:p>
    <w:p w14:paraId="6E341182" w14:textId="1C27FCF0" w:rsidR="008F5452" w:rsidRPr="0010442F" w:rsidRDefault="451F255B" w:rsidP="008F5452">
      <w:pPr>
        <w:rPr>
          <w:rFonts w:ascii="Aptos" w:hAnsi="Aptos"/>
        </w:rPr>
      </w:pPr>
      <w:r w:rsidRPr="0010442F">
        <w:rPr>
          <w:rFonts w:ascii="Aptos" w:hAnsi="Aptos"/>
        </w:rPr>
        <w:t>Recipients who are</w:t>
      </w:r>
      <w:r w:rsidR="7E1ED048" w:rsidRPr="0010442F">
        <w:rPr>
          <w:rFonts w:ascii="Aptos" w:hAnsi="Aptos"/>
        </w:rPr>
        <w:t xml:space="preserve"> not using a federally approved F</w:t>
      </w:r>
      <w:r w:rsidR="2687C5A8" w:rsidRPr="0010442F">
        <w:rPr>
          <w:rFonts w:ascii="Aptos" w:hAnsi="Aptos"/>
        </w:rPr>
        <w:t>ring</w:t>
      </w:r>
      <w:r w:rsidR="36DC5481" w:rsidRPr="0010442F">
        <w:rPr>
          <w:rFonts w:ascii="Aptos" w:hAnsi="Aptos"/>
        </w:rPr>
        <w:t>e</w:t>
      </w:r>
      <w:r w:rsidR="2687C5A8" w:rsidRPr="0010442F">
        <w:rPr>
          <w:rFonts w:ascii="Aptos" w:hAnsi="Aptos"/>
        </w:rPr>
        <w:t xml:space="preserve"> </w:t>
      </w:r>
      <w:r w:rsidR="7E1ED048" w:rsidRPr="0010442F">
        <w:rPr>
          <w:rFonts w:ascii="Aptos" w:hAnsi="Aptos"/>
        </w:rPr>
        <w:t>B</w:t>
      </w:r>
      <w:r w:rsidR="2687C5A8" w:rsidRPr="0010442F">
        <w:rPr>
          <w:rFonts w:ascii="Aptos" w:hAnsi="Aptos"/>
        </w:rPr>
        <w:t>enefit</w:t>
      </w:r>
      <w:r w:rsidR="7E1ED048" w:rsidRPr="0010442F">
        <w:rPr>
          <w:rFonts w:ascii="Aptos" w:hAnsi="Aptos"/>
        </w:rPr>
        <w:t xml:space="preserve"> rate</w:t>
      </w:r>
      <w:r w:rsidR="2687C5A8" w:rsidRPr="0010442F">
        <w:rPr>
          <w:rFonts w:ascii="Aptos" w:hAnsi="Aptos"/>
        </w:rPr>
        <w:t xml:space="preserve"> </w:t>
      </w:r>
      <w:r w:rsidR="7E1ED048" w:rsidRPr="0010442F">
        <w:rPr>
          <w:rFonts w:ascii="Aptos" w:hAnsi="Aptos"/>
        </w:rPr>
        <w:t>must submit a “Fringe Benefit Rate Explanation” with their budget</w:t>
      </w:r>
      <w:r w:rsidR="05F30127" w:rsidRPr="0010442F">
        <w:rPr>
          <w:rFonts w:ascii="Aptos" w:hAnsi="Aptos"/>
        </w:rPr>
        <w:t xml:space="preserve"> under</w:t>
      </w:r>
      <w:r w:rsidR="00763529" w:rsidRPr="0010442F">
        <w:rPr>
          <w:rFonts w:ascii="Aptos" w:hAnsi="Aptos"/>
        </w:rPr>
        <w:t xml:space="preserve"> the “Additional Explanation” section</w:t>
      </w:r>
      <w:r w:rsidR="00A10F41" w:rsidRPr="0010442F">
        <w:rPr>
          <w:rFonts w:ascii="Aptos" w:hAnsi="Aptos"/>
        </w:rPr>
        <w:t>.</w:t>
      </w:r>
    </w:p>
    <w:p w14:paraId="0AF3CF4F" w14:textId="35538904" w:rsidR="007E6BD0" w:rsidRPr="0010442F" w:rsidRDefault="007E6BD0" w:rsidP="00010554">
      <w:pPr>
        <w:pStyle w:val="Heading3"/>
        <w:spacing w:after="240"/>
        <w:rPr>
          <w:rFonts w:ascii="Aptos" w:hAnsi="Aptos" w:cs="Arial"/>
        </w:rPr>
      </w:pPr>
      <w:bookmarkStart w:id="11" w:name="_Toc216776557"/>
      <w:r w:rsidRPr="0010442F">
        <w:rPr>
          <w:rFonts w:ascii="Aptos" w:hAnsi="Aptos" w:cs="Arial"/>
          <w:b/>
          <w:bCs/>
        </w:rPr>
        <w:t>Annual Recalculation of Fringe Benefits</w:t>
      </w:r>
      <w:bookmarkEnd w:id="11"/>
    </w:p>
    <w:p w14:paraId="24FBD384" w14:textId="77777777" w:rsidR="007E6BD0" w:rsidRPr="0010442F" w:rsidRDefault="007E6BD0" w:rsidP="007E6BD0">
      <w:pPr>
        <w:spacing w:line="278" w:lineRule="auto"/>
        <w:rPr>
          <w:rFonts w:ascii="Aptos" w:hAnsi="Aptos" w:cs="Arial"/>
        </w:rPr>
      </w:pPr>
      <w:r w:rsidRPr="0010442F">
        <w:rPr>
          <w:rFonts w:ascii="Aptos" w:hAnsi="Aptos" w:cs="Arial"/>
        </w:rPr>
        <w:t>A Recipient should recalculate the fringe benefit rate each year since benefit costs and total payroll will change each year.</w:t>
      </w:r>
    </w:p>
    <w:p w14:paraId="6BEE427F" w14:textId="77777777" w:rsidR="007E6BD0" w:rsidRPr="0010442F" w:rsidRDefault="007E6BD0" w:rsidP="007E6BD0">
      <w:pPr>
        <w:spacing w:line="278" w:lineRule="auto"/>
        <w:rPr>
          <w:rFonts w:ascii="Aptos" w:hAnsi="Aptos" w:cs="Arial"/>
        </w:rPr>
      </w:pPr>
      <w:r w:rsidRPr="0010442F">
        <w:rPr>
          <w:rFonts w:ascii="Aptos" w:hAnsi="Aptos" w:cs="Arial"/>
        </w:rPr>
        <w:t>If, after recalculation of a fringe benefit rate, the Recipient discovers they over-claimed fringe benefit expenditures, discuss with the CAM to determine if the amount should be remitted or credited against the next reimbursement request.</w:t>
      </w:r>
    </w:p>
    <w:p w14:paraId="2E79F048" w14:textId="77777777" w:rsidR="007E6BD0" w:rsidRPr="0010442F" w:rsidRDefault="007E6BD0" w:rsidP="007E6BD0">
      <w:pPr>
        <w:spacing w:line="278" w:lineRule="auto"/>
        <w:rPr>
          <w:rFonts w:ascii="Aptos" w:hAnsi="Aptos" w:cs="Arial"/>
        </w:rPr>
      </w:pPr>
      <w:r w:rsidRPr="0010442F">
        <w:rPr>
          <w:rFonts w:ascii="Aptos" w:hAnsi="Aptos" w:cs="Arial"/>
        </w:rPr>
        <w:t>If, after recalculation of a fringe benefit rate, the Recipient discovers they under-claimed fringe benefits, discuss with the CAM to determine if a reimbursement request for the adjusted amount should be submitted. Additional claims are subject to the budget category limit.</w:t>
      </w:r>
    </w:p>
    <w:p w14:paraId="1703D499" w14:textId="77777777" w:rsidR="007E6BD0" w:rsidRPr="0010442F" w:rsidRDefault="007E6BD0" w:rsidP="009C2580">
      <w:pPr>
        <w:pStyle w:val="Heading3"/>
        <w:spacing w:after="240"/>
        <w:rPr>
          <w:rFonts w:ascii="Aptos" w:hAnsi="Aptos" w:cs="Arial"/>
          <w:b/>
          <w:bCs/>
        </w:rPr>
      </w:pPr>
      <w:bookmarkStart w:id="12" w:name="_Toc216776558"/>
      <w:r w:rsidRPr="0010442F">
        <w:rPr>
          <w:rFonts w:ascii="Aptos" w:hAnsi="Aptos" w:cs="Arial"/>
          <w:b/>
          <w:bCs/>
        </w:rPr>
        <w:t>Consultants</w:t>
      </w:r>
      <w:bookmarkEnd w:id="12"/>
    </w:p>
    <w:p w14:paraId="53CD9237" w14:textId="608FC5CE" w:rsidR="007E6BD0" w:rsidRPr="0010442F" w:rsidRDefault="4D276FFD" w:rsidP="1F33DC24">
      <w:pPr>
        <w:spacing w:line="278" w:lineRule="auto"/>
        <w:rPr>
          <w:rFonts w:ascii="Aptos" w:hAnsi="Aptos" w:cs="Arial"/>
        </w:rPr>
      </w:pPr>
      <w:r w:rsidRPr="0010442F">
        <w:rPr>
          <w:rFonts w:ascii="Aptos" w:hAnsi="Aptos" w:cs="Arial"/>
        </w:rPr>
        <w:t xml:space="preserve">If Consultants are included in Direct Labor, Fringe Benefits should not be charged to that labor. Companies do not typically pay for benefits such as medical insurance or payroll taxes for </w:t>
      </w:r>
      <w:r w:rsidR="6B0F38A7" w:rsidRPr="0010442F">
        <w:rPr>
          <w:rFonts w:ascii="Aptos" w:hAnsi="Aptos" w:cs="Arial"/>
        </w:rPr>
        <w:t xml:space="preserve">their external </w:t>
      </w:r>
      <w:r w:rsidRPr="0010442F">
        <w:rPr>
          <w:rFonts w:ascii="Aptos" w:hAnsi="Aptos" w:cs="Arial"/>
        </w:rPr>
        <w:t xml:space="preserve">consultants. Therefore, companies should exclude consultant labor costs </w:t>
      </w:r>
      <w:r w:rsidR="06527F74" w:rsidRPr="0010442F">
        <w:rPr>
          <w:rFonts w:ascii="Aptos" w:hAnsi="Aptos" w:cs="Arial"/>
        </w:rPr>
        <w:t xml:space="preserve">from </w:t>
      </w:r>
      <w:r w:rsidRPr="0010442F">
        <w:rPr>
          <w:rFonts w:ascii="Aptos" w:hAnsi="Aptos" w:cs="Arial"/>
        </w:rPr>
        <w:t xml:space="preserve">the </w:t>
      </w:r>
      <w:r w:rsidR="783E5C7F" w:rsidRPr="0010442F">
        <w:rPr>
          <w:rFonts w:ascii="Aptos" w:hAnsi="Aptos" w:cs="Arial"/>
        </w:rPr>
        <w:t>calculation</w:t>
      </w:r>
      <w:r w:rsidRPr="0010442F">
        <w:rPr>
          <w:rFonts w:ascii="Aptos" w:hAnsi="Aptos" w:cs="Arial"/>
        </w:rPr>
        <w:t xml:space="preserve"> of fringe benefits </w:t>
      </w:r>
      <w:r w:rsidR="7CF82A46" w:rsidRPr="0010442F">
        <w:rPr>
          <w:rFonts w:ascii="Aptos" w:hAnsi="Aptos" w:cs="Arial"/>
        </w:rPr>
        <w:t xml:space="preserve">estimated </w:t>
      </w:r>
      <w:r w:rsidR="42A91FCC" w:rsidRPr="0010442F">
        <w:rPr>
          <w:rFonts w:ascii="Aptos" w:hAnsi="Aptos" w:cs="Arial"/>
        </w:rPr>
        <w:t xml:space="preserve">in the </w:t>
      </w:r>
      <w:r w:rsidR="6C8D1DAF" w:rsidRPr="0010442F">
        <w:rPr>
          <w:rFonts w:ascii="Aptos" w:hAnsi="Aptos" w:cs="Arial"/>
        </w:rPr>
        <w:t xml:space="preserve">budget </w:t>
      </w:r>
      <w:r w:rsidR="160EC685" w:rsidRPr="0010442F">
        <w:rPr>
          <w:rFonts w:ascii="Aptos" w:hAnsi="Aptos" w:cs="Arial"/>
        </w:rPr>
        <w:t xml:space="preserve">and </w:t>
      </w:r>
      <w:r w:rsidR="5763B627" w:rsidRPr="0010442F">
        <w:rPr>
          <w:rFonts w:ascii="Aptos" w:hAnsi="Aptos" w:cs="Arial"/>
        </w:rPr>
        <w:t xml:space="preserve">claimed in </w:t>
      </w:r>
      <w:r w:rsidR="160EC685" w:rsidRPr="0010442F">
        <w:rPr>
          <w:rFonts w:ascii="Aptos" w:hAnsi="Aptos" w:cs="Arial"/>
        </w:rPr>
        <w:t>invoices</w:t>
      </w:r>
      <w:r w:rsidRPr="0010442F">
        <w:rPr>
          <w:rFonts w:ascii="Aptos" w:hAnsi="Aptos" w:cs="Arial"/>
        </w:rPr>
        <w:t>.</w:t>
      </w:r>
    </w:p>
    <w:p w14:paraId="1126B5D6" w14:textId="77777777" w:rsidR="007E6BD0" w:rsidRPr="0010442F" w:rsidRDefault="007E6BD0" w:rsidP="009C2580">
      <w:pPr>
        <w:pStyle w:val="Heading3"/>
        <w:spacing w:after="240"/>
        <w:rPr>
          <w:rFonts w:ascii="Aptos" w:hAnsi="Aptos" w:cs="Arial"/>
          <w:b/>
          <w:bCs/>
        </w:rPr>
      </w:pPr>
      <w:bookmarkStart w:id="13" w:name="_Toc216776559"/>
      <w:r w:rsidRPr="0010442F">
        <w:rPr>
          <w:rFonts w:ascii="Aptos" w:hAnsi="Aptos" w:cs="Arial"/>
          <w:b/>
          <w:bCs/>
        </w:rPr>
        <w:t>Acceptable Supporting Documentation</w:t>
      </w:r>
      <w:bookmarkEnd w:id="13"/>
    </w:p>
    <w:p w14:paraId="3792ED62" w14:textId="77777777" w:rsidR="007E6BD0" w:rsidRPr="0010442F" w:rsidRDefault="007E6BD0" w:rsidP="007E6BD0">
      <w:pPr>
        <w:spacing w:line="278" w:lineRule="auto"/>
        <w:rPr>
          <w:rFonts w:ascii="Aptos" w:hAnsi="Aptos" w:cs="Arial"/>
        </w:rPr>
      </w:pPr>
      <w:r w:rsidRPr="0010442F">
        <w:rPr>
          <w:rFonts w:ascii="Aptos" w:hAnsi="Aptos" w:cs="Arial"/>
        </w:rPr>
        <w:t xml:space="preserve">In the event of an audit, the Auditor will request documentation to support that the Fringe Benefit expenses charged are Actual Costs. The auditor will also confirm that the types of </w:t>
      </w:r>
      <w:proofErr w:type="gramStart"/>
      <w:r w:rsidRPr="0010442F">
        <w:rPr>
          <w:rFonts w:ascii="Aptos" w:hAnsi="Aptos" w:cs="Arial"/>
        </w:rPr>
        <w:t>expenditures</w:t>
      </w:r>
      <w:proofErr w:type="gramEnd"/>
      <w:r w:rsidRPr="0010442F">
        <w:rPr>
          <w:rFonts w:ascii="Aptos" w:hAnsi="Aptos" w:cs="Arial"/>
        </w:rPr>
        <w:t xml:space="preserve"> included in the rate are appropriate: only costs that </w:t>
      </w:r>
      <w:proofErr w:type="gramStart"/>
      <w:r w:rsidRPr="0010442F">
        <w:rPr>
          <w:rFonts w:ascii="Aptos" w:hAnsi="Aptos" w:cs="Arial"/>
        </w:rPr>
        <w:t>actually benefit</w:t>
      </w:r>
      <w:proofErr w:type="gramEnd"/>
      <w:r w:rsidRPr="0010442F">
        <w:rPr>
          <w:rFonts w:ascii="Aptos" w:hAnsi="Aptos" w:cs="Arial"/>
        </w:rPr>
        <w:t xml:space="preserve"> an employee or are required to hire an employee should be included.</w:t>
      </w:r>
    </w:p>
    <w:p w14:paraId="31EFA3FE" w14:textId="23C861AE" w:rsidR="007E6BD0" w:rsidRPr="0010442F" w:rsidRDefault="4D276FFD" w:rsidP="007E6BD0">
      <w:pPr>
        <w:spacing w:line="278" w:lineRule="auto"/>
        <w:rPr>
          <w:rFonts w:ascii="Aptos" w:hAnsi="Aptos" w:cs="Arial"/>
        </w:rPr>
      </w:pPr>
      <w:r w:rsidRPr="0010442F">
        <w:rPr>
          <w:rFonts w:ascii="Aptos" w:hAnsi="Aptos" w:cs="Arial"/>
        </w:rPr>
        <w:t>Supporting documentation must comply with O</w:t>
      </w:r>
      <w:r w:rsidR="00A10F41" w:rsidRPr="0010442F">
        <w:rPr>
          <w:rFonts w:ascii="Aptos" w:hAnsi="Aptos" w:cs="Arial"/>
        </w:rPr>
        <w:t xml:space="preserve">ffice of </w:t>
      </w:r>
      <w:r w:rsidRPr="0010442F">
        <w:rPr>
          <w:rFonts w:ascii="Aptos" w:hAnsi="Aptos" w:cs="Arial"/>
        </w:rPr>
        <w:t>M</w:t>
      </w:r>
      <w:r w:rsidR="00A10F41" w:rsidRPr="0010442F">
        <w:rPr>
          <w:rFonts w:ascii="Aptos" w:hAnsi="Aptos" w:cs="Arial"/>
        </w:rPr>
        <w:t xml:space="preserve">anagement &amp; </w:t>
      </w:r>
      <w:r w:rsidRPr="0010442F">
        <w:rPr>
          <w:rFonts w:ascii="Aptos" w:hAnsi="Aptos" w:cs="Arial"/>
        </w:rPr>
        <w:t>B</w:t>
      </w:r>
      <w:r w:rsidR="00A10F41" w:rsidRPr="0010442F">
        <w:rPr>
          <w:rFonts w:ascii="Aptos" w:hAnsi="Aptos" w:cs="Arial"/>
        </w:rPr>
        <w:t>udget</w:t>
      </w:r>
      <w:r w:rsidRPr="0010442F">
        <w:rPr>
          <w:rFonts w:ascii="Aptos" w:hAnsi="Aptos" w:cs="Arial"/>
        </w:rPr>
        <w:t xml:space="preserve"> rules. (See Section 200.431: </w:t>
      </w:r>
      <w:hyperlink r:id="rId13">
        <w:r w:rsidR="2593A97E" w:rsidRPr="0010442F">
          <w:rPr>
            <w:rStyle w:val="Hyperlink"/>
            <w:rFonts w:ascii="Aptos" w:hAnsi="Aptos" w:cs="Arial"/>
          </w:rPr>
          <w:t>https://www.ecfr.gov/cgi-bin/text-idx?SID=5c3db28847a91cd02783ad85cfde49aa&amp;mc=true&amp;node=se2.1.200_1431&amp;rgn=div8</w:t>
        </w:r>
      </w:hyperlink>
      <w:r w:rsidR="2593A97E" w:rsidRPr="0010442F">
        <w:rPr>
          <w:rFonts w:ascii="Aptos" w:hAnsi="Aptos" w:cs="Arial"/>
        </w:rPr>
        <w:t>)</w:t>
      </w:r>
    </w:p>
    <w:p w14:paraId="517313A0" w14:textId="77777777" w:rsidR="007E6BD0" w:rsidRPr="0010442F" w:rsidRDefault="007E6BD0" w:rsidP="00010554">
      <w:pPr>
        <w:pStyle w:val="Heading3"/>
        <w:spacing w:after="240"/>
        <w:rPr>
          <w:rFonts w:ascii="Aptos" w:hAnsi="Aptos" w:cs="Arial"/>
          <w:b/>
          <w:bCs/>
        </w:rPr>
      </w:pPr>
      <w:bookmarkStart w:id="14" w:name="_Toc216776560"/>
      <w:r w:rsidRPr="0010442F">
        <w:rPr>
          <w:rFonts w:ascii="Aptos" w:hAnsi="Aptos" w:cs="Arial"/>
          <w:b/>
          <w:bCs/>
        </w:rPr>
        <w:t>Invoicing Considerations</w:t>
      </w:r>
      <w:bookmarkEnd w:id="14"/>
    </w:p>
    <w:p w14:paraId="32AD93F5" w14:textId="77777777" w:rsidR="007E6BD0" w:rsidRPr="0010442F" w:rsidRDefault="007E6BD0" w:rsidP="007E6BD0">
      <w:pPr>
        <w:spacing w:line="278" w:lineRule="auto"/>
        <w:rPr>
          <w:rFonts w:ascii="Aptos" w:hAnsi="Aptos" w:cs="Arial"/>
        </w:rPr>
      </w:pPr>
      <w:r w:rsidRPr="0010442F">
        <w:rPr>
          <w:rFonts w:ascii="Aptos" w:hAnsi="Aptos" w:cs="Arial"/>
        </w:rPr>
        <w:t>You may only claim the actual fringe benefit rate; the rate estimated on your budget is not a "negotiated rate."</w:t>
      </w:r>
    </w:p>
    <w:p w14:paraId="16F4D6B1" w14:textId="4811DDB1" w:rsidR="007E6BD0" w:rsidRPr="0010442F" w:rsidRDefault="007E6BD0" w:rsidP="007E6BD0">
      <w:pPr>
        <w:spacing w:line="278" w:lineRule="auto"/>
        <w:rPr>
          <w:rFonts w:ascii="Aptos" w:hAnsi="Aptos" w:cs="Arial"/>
        </w:rPr>
      </w:pPr>
      <w:r w:rsidRPr="0010442F">
        <w:rPr>
          <w:rFonts w:ascii="Aptos" w:hAnsi="Aptos" w:cs="Arial"/>
        </w:rPr>
        <w:t>Verify that the Fringe Rate has been properly calculated for both CEC Funds and Match Funds. (FR x DL CEC Funds and FR x DL Match Funds). CEC Funds may not be used to pay Fringe Benefits for Direct Labor charged to Match Funds.</w:t>
      </w:r>
    </w:p>
    <w:p w14:paraId="03FF90EB" w14:textId="518DFEF1" w:rsidR="00616FAD" w:rsidRPr="0010442F" w:rsidRDefault="006A79F6" w:rsidP="390DCD5A">
      <w:pPr>
        <w:pStyle w:val="Heading3"/>
        <w:spacing w:after="240"/>
        <w:rPr>
          <w:rFonts w:ascii="Aptos" w:hAnsi="Aptos"/>
          <w:b/>
          <w:bCs/>
        </w:rPr>
      </w:pPr>
      <w:bookmarkStart w:id="15" w:name="_Toc216776561"/>
      <w:r w:rsidRPr="0010442F">
        <w:rPr>
          <w:rFonts w:ascii="Aptos" w:hAnsi="Aptos"/>
          <w:b/>
        </w:rPr>
        <w:lastRenderedPageBreak/>
        <w:t>Fringe Reconciliation Form</w:t>
      </w:r>
      <w:bookmarkEnd w:id="15"/>
    </w:p>
    <w:p w14:paraId="00801657" w14:textId="1E6502E2" w:rsidR="006A79F6" w:rsidRPr="0010442F" w:rsidRDefault="004900B2" w:rsidP="007E6BD0">
      <w:pPr>
        <w:spacing w:line="278" w:lineRule="auto"/>
        <w:rPr>
          <w:rFonts w:ascii="Aptos" w:hAnsi="Aptos" w:cs="Arial"/>
        </w:rPr>
      </w:pPr>
      <w:r w:rsidRPr="0010442F">
        <w:rPr>
          <w:rFonts w:ascii="Aptos" w:hAnsi="Aptos" w:cs="Arial"/>
        </w:rPr>
        <w:t xml:space="preserve">At the end of the fiscal </w:t>
      </w:r>
      <w:r w:rsidR="009D320A" w:rsidRPr="0010442F">
        <w:rPr>
          <w:rFonts w:ascii="Aptos" w:hAnsi="Aptos" w:cs="Arial"/>
        </w:rPr>
        <w:t>year,</w:t>
      </w:r>
      <w:r w:rsidRPr="0010442F">
        <w:rPr>
          <w:rFonts w:ascii="Aptos" w:hAnsi="Aptos" w:cs="Arial"/>
        </w:rPr>
        <w:t xml:space="preserve"> where fringe costs were incurred, a </w:t>
      </w:r>
      <w:hyperlink r:id="rId14" w:history="1">
        <w:r w:rsidRPr="0010442F">
          <w:rPr>
            <w:rStyle w:val="Hyperlink"/>
            <w:rFonts w:ascii="Aptos" w:hAnsi="Aptos" w:cs="Arial"/>
          </w:rPr>
          <w:t>Fringe Reconciliation Form</w:t>
        </w:r>
      </w:hyperlink>
      <w:r w:rsidRPr="0010442F">
        <w:rPr>
          <w:rFonts w:ascii="Aptos" w:hAnsi="Aptos" w:cs="Arial"/>
        </w:rPr>
        <w:t xml:space="preserve"> will need completed, to ensure that there are no unallowable costs and/or determine whether a true-up is needed.</w:t>
      </w:r>
      <w:r w:rsidR="009E1AC1" w:rsidRPr="0010442F">
        <w:rPr>
          <w:rFonts w:ascii="Aptos" w:hAnsi="Aptos" w:cs="Arial"/>
        </w:rPr>
        <w:t xml:space="preserve"> </w:t>
      </w:r>
      <w:r w:rsidR="00EA1AE8" w:rsidRPr="0010442F">
        <w:rPr>
          <w:rFonts w:ascii="Aptos" w:hAnsi="Aptos" w:cs="Arial"/>
        </w:rPr>
        <w:t xml:space="preserve">Recipients must submit this form to their CAM by October 1 of each year in which fringe costs </w:t>
      </w:r>
      <w:r w:rsidR="000957B7" w:rsidRPr="0010442F">
        <w:rPr>
          <w:rFonts w:ascii="Aptos" w:hAnsi="Aptos" w:cs="Arial"/>
        </w:rPr>
        <w:t>are</w:t>
      </w:r>
      <w:r w:rsidR="00EA1AE8" w:rsidRPr="0010442F">
        <w:rPr>
          <w:rFonts w:ascii="Aptos" w:hAnsi="Aptos" w:cs="Arial"/>
        </w:rPr>
        <w:t xml:space="preserve"> incurred. CAMs will then submit the completed forms to DOE.</w:t>
      </w:r>
    </w:p>
    <w:p w14:paraId="34B24409" w14:textId="73CE542B" w:rsidR="000B46D0" w:rsidRPr="0010442F" w:rsidRDefault="5EFB13FD" w:rsidP="000B46D0">
      <w:pPr>
        <w:pStyle w:val="Heading2"/>
        <w:spacing w:after="240"/>
        <w:rPr>
          <w:rFonts w:ascii="Aptos" w:hAnsi="Aptos" w:cs="Arial"/>
          <w:b/>
          <w:bCs/>
          <w:sz w:val="24"/>
          <w:szCs w:val="24"/>
        </w:rPr>
      </w:pPr>
      <w:bookmarkStart w:id="16" w:name="_Toc216776562"/>
      <w:r w:rsidRPr="0010442F">
        <w:rPr>
          <w:rFonts w:ascii="Aptos" w:hAnsi="Aptos" w:cs="Arial"/>
          <w:b/>
          <w:bCs/>
          <w:sz w:val="24"/>
          <w:szCs w:val="24"/>
        </w:rPr>
        <w:t>TRAVEL POLICY</w:t>
      </w:r>
      <w:bookmarkEnd w:id="16"/>
    </w:p>
    <w:p w14:paraId="0289E0DC" w14:textId="47673D53" w:rsidR="000B46D0" w:rsidRPr="0010442F" w:rsidRDefault="5EFB13FD" w:rsidP="000B46D0">
      <w:pPr>
        <w:spacing w:line="278" w:lineRule="auto"/>
        <w:rPr>
          <w:rFonts w:ascii="Aptos" w:hAnsi="Aptos" w:cs="Arial"/>
        </w:rPr>
      </w:pPr>
      <w:r w:rsidRPr="0010442F">
        <w:rPr>
          <w:rFonts w:ascii="Aptos" w:hAnsi="Aptos" w:cs="Arial"/>
        </w:rPr>
        <w:t>The Energy Commission will reimburse travel that has been approved</w:t>
      </w:r>
      <w:r w:rsidR="1AC345FE" w:rsidRPr="0010442F">
        <w:rPr>
          <w:rFonts w:ascii="Aptos" w:hAnsi="Aptos" w:cs="Arial"/>
        </w:rPr>
        <w:t xml:space="preserve"> on the budget</w:t>
      </w:r>
      <w:r w:rsidRPr="0010442F">
        <w:rPr>
          <w:rFonts w:ascii="Aptos" w:hAnsi="Aptos" w:cs="Arial"/>
        </w:rPr>
        <w:t xml:space="preserve"> as necessary to accomplish a task in the Scope of Work. For Recipients using the existing budget forms, any travel that is not identified </w:t>
      </w:r>
      <w:r w:rsidR="35A56184" w:rsidRPr="0010442F">
        <w:rPr>
          <w:rFonts w:ascii="Aptos" w:hAnsi="Aptos" w:cs="Arial"/>
        </w:rPr>
        <w:t xml:space="preserve">on the budget is </w:t>
      </w:r>
      <w:r w:rsidR="763AEA65" w:rsidRPr="0010442F">
        <w:rPr>
          <w:rFonts w:ascii="Aptos" w:hAnsi="Aptos" w:cs="Arial"/>
        </w:rPr>
        <w:t>not</w:t>
      </w:r>
      <w:r w:rsidRPr="0010442F">
        <w:rPr>
          <w:rFonts w:ascii="Aptos" w:hAnsi="Aptos" w:cs="Arial"/>
        </w:rPr>
        <w:t xml:space="preserve"> </w:t>
      </w:r>
      <w:r w:rsidR="5E01AE32" w:rsidRPr="0010442F">
        <w:rPr>
          <w:rFonts w:ascii="Aptos" w:hAnsi="Aptos" w:cs="Arial"/>
        </w:rPr>
        <w:t xml:space="preserve">considered </w:t>
      </w:r>
      <w:r w:rsidRPr="0010442F">
        <w:rPr>
          <w:rFonts w:ascii="Aptos" w:hAnsi="Aptos" w:cs="Arial"/>
        </w:rPr>
        <w:t>“pre-approved”</w:t>
      </w:r>
      <w:r w:rsidR="2409DBAE" w:rsidRPr="0010442F">
        <w:rPr>
          <w:rFonts w:ascii="Aptos" w:hAnsi="Aptos" w:cs="Arial"/>
        </w:rPr>
        <w:t xml:space="preserve"> and</w:t>
      </w:r>
      <w:r w:rsidRPr="0010442F">
        <w:rPr>
          <w:rFonts w:ascii="Aptos" w:hAnsi="Aptos" w:cs="Arial"/>
        </w:rPr>
        <w:t xml:space="preserve"> must obtain approval </w:t>
      </w:r>
      <w:proofErr w:type="gramStart"/>
      <w:r w:rsidRPr="0010442F">
        <w:rPr>
          <w:rFonts w:ascii="Aptos" w:hAnsi="Aptos" w:cs="Arial"/>
        </w:rPr>
        <w:t>in</w:t>
      </w:r>
      <w:r w:rsidR="3A4716CA" w:rsidRPr="0010442F">
        <w:rPr>
          <w:rFonts w:ascii="Aptos" w:hAnsi="Aptos" w:cs="Arial"/>
        </w:rPr>
        <w:t xml:space="preserve"> </w:t>
      </w:r>
      <w:r w:rsidRPr="0010442F">
        <w:rPr>
          <w:rFonts w:ascii="Aptos" w:hAnsi="Aptos" w:cs="Arial"/>
        </w:rPr>
        <w:t>order to</w:t>
      </w:r>
      <w:proofErr w:type="gramEnd"/>
      <w:r w:rsidRPr="0010442F">
        <w:rPr>
          <w:rFonts w:ascii="Aptos" w:hAnsi="Aptos" w:cs="Arial"/>
        </w:rPr>
        <w:t xml:space="preserve"> be </w:t>
      </w:r>
      <w:r w:rsidR="3246B419" w:rsidRPr="0010442F">
        <w:rPr>
          <w:rFonts w:ascii="Aptos" w:hAnsi="Aptos" w:cs="Arial"/>
        </w:rPr>
        <w:t>reimbursed</w:t>
      </w:r>
      <w:r w:rsidRPr="0010442F">
        <w:rPr>
          <w:rFonts w:ascii="Aptos" w:hAnsi="Aptos" w:cs="Arial"/>
        </w:rPr>
        <w:t xml:space="preserve">. For Recipient’s using the new budget forms, travel that is included as a line item in the Budget Worksheet is deemed approved. Travel that is not identified as either pre-approved or included in the Budget Worksheet must be approved using the Travel Form. Approval for travel may be sought before travel or after travel. However, the Energy Commission recommends securing approval prior to travel because costs for unapproved travel will be incurred at the Recipient’s risk. Pre-approval ensures that the Energy Commission has determined that </w:t>
      </w:r>
      <w:proofErr w:type="gramStart"/>
      <w:r w:rsidRPr="0010442F">
        <w:rPr>
          <w:rFonts w:ascii="Aptos" w:hAnsi="Aptos" w:cs="Arial"/>
        </w:rPr>
        <w:t>the travel</w:t>
      </w:r>
      <w:proofErr w:type="gramEnd"/>
      <w:r w:rsidRPr="0010442F">
        <w:rPr>
          <w:rFonts w:ascii="Aptos" w:hAnsi="Aptos" w:cs="Arial"/>
        </w:rPr>
        <w:t xml:space="preserve"> is necessary to accomplish a task in the Scope of Work.</w:t>
      </w:r>
    </w:p>
    <w:p w14:paraId="7F9D898E" w14:textId="245AE6F1" w:rsidR="0041222B" w:rsidRPr="0010442F" w:rsidRDefault="0041222B" w:rsidP="00AC2A3F">
      <w:pPr>
        <w:spacing w:line="278" w:lineRule="auto"/>
        <w:rPr>
          <w:rFonts w:ascii="Aptos" w:hAnsi="Aptos" w:cs="Arial"/>
        </w:rPr>
      </w:pPr>
      <w:r w:rsidRPr="0010442F">
        <w:rPr>
          <w:rFonts w:ascii="Aptos" w:hAnsi="Aptos" w:cs="Arial"/>
        </w:rPr>
        <w:t xml:space="preserve">For more information please reference the </w:t>
      </w:r>
      <w:hyperlink r:id="rId15" w:history="1">
        <w:r w:rsidR="00AC2A3F" w:rsidRPr="0010442F">
          <w:rPr>
            <w:rStyle w:val="Hyperlink"/>
            <w:rFonts w:ascii="Aptos" w:hAnsi="Aptos" w:cs="Arial"/>
          </w:rPr>
          <w:t>Contractor, Grant Recipient, and Subcontractor Travel Reimbursement Rates</w:t>
        </w:r>
      </w:hyperlink>
      <w:r w:rsidR="00AC2A3F" w:rsidRPr="0010442F">
        <w:rPr>
          <w:rFonts w:ascii="Aptos" w:hAnsi="Aptos" w:cs="Arial"/>
        </w:rPr>
        <w:t xml:space="preserve">, linked at: </w:t>
      </w:r>
      <w:r w:rsidR="00AC2A3F" w:rsidRPr="007E7C98">
        <w:rPr>
          <w:rFonts w:ascii="Aptos" w:hAnsi="Aptos"/>
        </w:rPr>
        <w:t>https://www.energy.ca.gov/sites/default/files/2025-04/Travel_and_Per_Diem_10-01-24_to_09-30-25_ada.pdf</w:t>
      </w:r>
      <w:r w:rsidR="00AC2A3F" w:rsidRPr="0010442F">
        <w:rPr>
          <w:rFonts w:ascii="Aptos" w:hAnsi="Aptos" w:cs="Arial"/>
        </w:rPr>
        <w:t>.</w:t>
      </w:r>
    </w:p>
    <w:p w14:paraId="7E83FE48" w14:textId="77777777" w:rsidR="000B46D0" w:rsidRPr="0010442F" w:rsidRDefault="000B46D0" w:rsidP="00F8399F">
      <w:pPr>
        <w:pStyle w:val="Heading3"/>
        <w:spacing w:after="240"/>
        <w:rPr>
          <w:rFonts w:ascii="Aptos" w:hAnsi="Aptos" w:cs="Arial"/>
          <w:b/>
          <w:bCs/>
        </w:rPr>
      </w:pPr>
      <w:bookmarkStart w:id="17" w:name="_Toc216776563"/>
      <w:r w:rsidRPr="0010442F">
        <w:rPr>
          <w:rFonts w:ascii="Aptos" w:hAnsi="Aptos" w:cs="Arial"/>
          <w:b/>
          <w:bCs/>
        </w:rPr>
        <w:t>Receipts</w:t>
      </w:r>
      <w:bookmarkEnd w:id="17"/>
    </w:p>
    <w:p w14:paraId="28BF105D" w14:textId="2EB51B74" w:rsidR="000B46D0" w:rsidRPr="0010442F" w:rsidRDefault="000B46D0" w:rsidP="000B46D0">
      <w:pPr>
        <w:spacing w:line="278" w:lineRule="auto"/>
        <w:rPr>
          <w:rFonts w:ascii="Aptos" w:hAnsi="Aptos" w:cs="Arial"/>
        </w:rPr>
      </w:pPr>
      <w:r w:rsidRPr="0010442F">
        <w:rPr>
          <w:rFonts w:ascii="Aptos" w:hAnsi="Aptos" w:cs="Arial"/>
        </w:rPr>
        <w:t>Receipts are required only for:</w:t>
      </w:r>
    </w:p>
    <w:p w14:paraId="44E38219" w14:textId="77777777" w:rsidR="000B46D0" w:rsidRPr="0010442F" w:rsidRDefault="000B46D0" w:rsidP="00F8399F">
      <w:pPr>
        <w:numPr>
          <w:ilvl w:val="0"/>
          <w:numId w:val="20"/>
        </w:numPr>
        <w:spacing w:after="0" w:line="278" w:lineRule="auto"/>
        <w:rPr>
          <w:rFonts w:ascii="Aptos" w:hAnsi="Aptos" w:cs="Arial"/>
        </w:rPr>
      </w:pPr>
      <w:r w:rsidRPr="0010442F">
        <w:rPr>
          <w:rFonts w:ascii="Aptos" w:hAnsi="Aptos" w:cs="Arial"/>
        </w:rPr>
        <w:t>Lodging</w:t>
      </w:r>
    </w:p>
    <w:p w14:paraId="6702C967" w14:textId="77777777" w:rsidR="000B46D0" w:rsidRPr="0010442F" w:rsidRDefault="000B46D0" w:rsidP="00F8399F">
      <w:pPr>
        <w:numPr>
          <w:ilvl w:val="0"/>
          <w:numId w:val="20"/>
        </w:numPr>
        <w:spacing w:after="0" w:line="278" w:lineRule="auto"/>
        <w:rPr>
          <w:rFonts w:ascii="Aptos" w:hAnsi="Aptos" w:cs="Arial"/>
        </w:rPr>
      </w:pPr>
      <w:r w:rsidRPr="0010442F">
        <w:rPr>
          <w:rFonts w:ascii="Aptos" w:hAnsi="Aptos" w:cs="Arial"/>
        </w:rPr>
        <w:t>Airfare</w:t>
      </w:r>
    </w:p>
    <w:p w14:paraId="70F569D4" w14:textId="77777777" w:rsidR="000B46D0" w:rsidRPr="0010442F" w:rsidRDefault="000B46D0" w:rsidP="00F8399F">
      <w:pPr>
        <w:numPr>
          <w:ilvl w:val="0"/>
          <w:numId w:val="20"/>
        </w:numPr>
        <w:spacing w:after="0" w:line="278" w:lineRule="auto"/>
        <w:rPr>
          <w:rFonts w:ascii="Aptos" w:hAnsi="Aptos" w:cs="Arial"/>
        </w:rPr>
      </w:pPr>
      <w:r w:rsidRPr="0010442F">
        <w:rPr>
          <w:rFonts w:ascii="Aptos" w:hAnsi="Aptos" w:cs="Arial"/>
        </w:rPr>
        <w:t>Rental car (including gasoline expenses)</w:t>
      </w:r>
    </w:p>
    <w:p w14:paraId="11E9DC0F" w14:textId="77777777" w:rsidR="000B46D0" w:rsidRPr="0010442F" w:rsidRDefault="000B46D0" w:rsidP="00F8399F">
      <w:pPr>
        <w:numPr>
          <w:ilvl w:val="0"/>
          <w:numId w:val="20"/>
        </w:numPr>
        <w:spacing w:line="278" w:lineRule="auto"/>
        <w:rPr>
          <w:rFonts w:ascii="Aptos" w:hAnsi="Aptos" w:cs="Arial"/>
        </w:rPr>
      </w:pPr>
      <w:r w:rsidRPr="0010442F">
        <w:rPr>
          <w:rFonts w:ascii="Aptos" w:hAnsi="Aptos" w:cs="Arial"/>
        </w:rPr>
        <w:t>Bus/train</w:t>
      </w:r>
    </w:p>
    <w:p w14:paraId="53ABF09B" w14:textId="729E44B9" w:rsidR="000B46D0" w:rsidRPr="0010442F" w:rsidRDefault="000B46D0" w:rsidP="00F8399F">
      <w:pPr>
        <w:pStyle w:val="Heading3"/>
        <w:spacing w:after="240"/>
        <w:rPr>
          <w:rFonts w:ascii="Aptos" w:hAnsi="Aptos" w:cs="Arial"/>
          <w:b/>
          <w:bCs/>
        </w:rPr>
      </w:pPr>
      <w:bookmarkStart w:id="18" w:name="_Toc216776564"/>
      <w:r w:rsidRPr="0010442F">
        <w:rPr>
          <w:rFonts w:ascii="Aptos" w:hAnsi="Aptos" w:cs="Arial"/>
          <w:b/>
          <w:bCs/>
        </w:rPr>
        <w:t xml:space="preserve">Invoiced Amount Does Not Have </w:t>
      </w:r>
      <w:r w:rsidR="00F8399F" w:rsidRPr="0010442F">
        <w:rPr>
          <w:rFonts w:ascii="Aptos" w:hAnsi="Aptos" w:cs="Arial"/>
          <w:b/>
          <w:bCs/>
        </w:rPr>
        <w:t>to</w:t>
      </w:r>
      <w:r w:rsidRPr="0010442F">
        <w:rPr>
          <w:rFonts w:ascii="Aptos" w:hAnsi="Aptos" w:cs="Arial"/>
          <w:b/>
          <w:bCs/>
        </w:rPr>
        <w:t xml:space="preserve"> Match Budget Worksheet Estimates</w:t>
      </w:r>
      <w:bookmarkEnd w:id="18"/>
    </w:p>
    <w:p w14:paraId="063A5D41" w14:textId="18EB4597" w:rsidR="000B46D0" w:rsidRPr="0010442F" w:rsidRDefault="000B46D0" w:rsidP="000B46D0">
      <w:pPr>
        <w:spacing w:line="278" w:lineRule="auto"/>
        <w:rPr>
          <w:rFonts w:ascii="Aptos" w:hAnsi="Aptos" w:cs="Arial"/>
        </w:rPr>
      </w:pPr>
      <w:r w:rsidRPr="0010442F">
        <w:rPr>
          <w:rFonts w:ascii="Aptos" w:hAnsi="Aptos" w:cs="Arial"/>
        </w:rPr>
        <w:t xml:space="preserve">The Energy Commission recognizes that the amounts listed in the agreement budget or Travel Form (if submitted for pre-approval) are estimates. CAMs may </w:t>
      </w:r>
      <w:proofErr w:type="gramStart"/>
      <w:r w:rsidRPr="0010442F">
        <w:rPr>
          <w:rFonts w:ascii="Aptos" w:hAnsi="Aptos" w:cs="Arial"/>
        </w:rPr>
        <w:t>approve</w:t>
      </w:r>
      <w:proofErr w:type="gramEnd"/>
      <w:r w:rsidRPr="0010442F">
        <w:rPr>
          <w:rFonts w:ascii="Aptos" w:hAnsi="Aptos" w:cs="Arial"/>
        </w:rPr>
        <w:t xml:space="preserve"> actual travel costs that are reasonably </w:t>
      </w:r>
      <w:proofErr w:type="gramStart"/>
      <w:r w:rsidRPr="0010442F">
        <w:rPr>
          <w:rFonts w:ascii="Aptos" w:hAnsi="Aptos" w:cs="Arial"/>
        </w:rPr>
        <w:t>similar to</w:t>
      </w:r>
      <w:proofErr w:type="gramEnd"/>
      <w:r w:rsidRPr="0010442F">
        <w:rPr>
          <w:rFonts w:ascii="Aptos" w:hAnsi="Aptos" w:cs="Arial"/>
        </w:rPr>
        <w:t xml:space="preserve"> the estimates. If the actual expenses are substantially greater than estimated, CAMs should request an explanation for the difference. CAMs must have supervisor approval to dispute an invoice that reflects actual travel costs.</w:t>
      </w:r>
    </w:p>
    <w:p w14:paraId="08182C28" w14:textId="77777777" w:rsidR="000B46D0" w:rsidRPr="0010442F" w:rsidRDefault="000B46D0" w:rsidP="0010796E">
      <w:pPr>
        <w:pStyle w:val="Heading3"/>
        <w:spacing w:after="240"/>
        <w:rPr>
          <w:rFonts w:ascii="Aptos" w:hAnsi="Aptos" w:cs="Arial"/>
          <w:b/>
          <w:bCs/>
        </w:rPr>
      </w:pPr>
      <w:bookmarkStart w:id="19" w:name="_Toc216776565"/>
      <w:r w:rsidRPr="0010442F">
        <w:rPr>
          <w:rFonts w:ascii="Aptos" w:hAnsi="Aptos" w:cs="Arial"/>
          <w:b/>
          <w:bCs/>
        </w:rPr>
        <w:lastRenderedPageBreak/>
        <w:t>Travel Expense Details</w:t>
      </w:r>
      <w:bookmarkEnd w:id="19"/>
    </w:p>
    <w:p w14:paraId="2262AE16" w14:textId="77777777" w:rsidR="000B46D0" w:rsidRPr="0010442F" w:rsidRDefault="000B46D0" w:rsidP="0010796E">
      <w:pPr>
        <w:pStyle w:val="Heading4"/>
        <w:spacing w:after="240"/>
        <w:rPr>
          <w:rFonts w:ascii="Aptos" w:hAnsi="Aptos" w:cs="Arial"/>
          <w:b/>
          <w:bCs/>
          <w:sz w:val="24"/>
          <w:szCs w:val="24"/>
        </w:rPr>
      </w:pPr>
      <w:r w:rsidRPr="0010442F">
        <w:rPr>
          <w:rFonts w:ascii="Aptos" w:hAnsi="Aptos" w:cs="Arial"/>
          <w:b/>
          <w:bCs/>
          <w:sz w:val="24"/>
          <w:szCs w:val="24"/>
        </w:rPr>
        <w:t>Lodging</w:t>
      </w:r>
    </w:p>
    <w:p w14:paraId="3EBD3445" w14:textId="7737ABD0" w:rsidR="000B46D0" w:rsidRPr="0010442F" w:rsidRDefault="000B46D0" w:rsidP="000B46D0">
      <w:pPr>
        <w:spacing w:line="278" w:lineRule="auto"/>
        <w:rPr>
          <w:rFonts w:ascii="Aptos" w:hAnsi="Aptos" w:cs="Arial"/>
        </w:rPr>
      </w:pPr>
      <w:r w:rsidRPr="0010442F">
        <w:rPr>
          <w:rFonts w:ascii="Aptos" w:hAnsi="Aptos" w:cs="Arial"/>
        </w:rPr>
        <w:t xml:space="preserve">The Energy Commission will reimburse lodging expenses at standard room rates. The Energy Commission will not reimburse luxury </w:t>
      </w:r>
      <w:proofErr w:type="gramStart"/>
      <w:r w:rsidRPr="0010442F">
        <w:rPr>
          <w:rFonts w:ascii="Aptos" w:hAnsi="Aptos" w:cs="Arial"/>
        </w:rPr>
        <w:t>accommodations</w:t>
      </w:r>
      <w:proofErr w:type="gramEnd"/>
      <w:r w:rsidRPr="0010442F">
        <w:rPr>
          <w:rFonts w:ascii="Aptos" w:hAnsi="Aptos" w:cs="Arial"/>
        </w:rPr>
        <w:t>.</w:t>
      </w:r>
    </w:p>
    <w:p w14:paraId="7B8B1055" w14:textId="77777777" w:rsidR="000B46D0" w:rsidRPr="0010442F" w:rsidRDefault="000B46D0" w:rsidP="000B46D0">
      <w:pPr>
        <w:spacing w:line="278" w:lineRule="auto"/>
        <w:rPr>
          <w:rFonts w:ascii="Aptos" w:hAnsi="Aptos" w:cs="Arial"/>
        </w:rPr>
      </w:pPr>
      <w:r w:rsidRPr="0010442F">
        <w:rPr>
          <w:rFonts w:ascii="Aptos" w:hAnsi="Aptos" w:cs="Arial"/>
        </w:rPr>
        <w:t>For all cities and counties in California (except San Francisco) actual lodging expenses will be covered up to $200 per room per night, plus tax.</w:t>
      </w:r>
    </w:p>
    <w:p w14:paraId="20FE81D8" w14:textId="77777777" w:rsidR="000B46D0" w:rsidRPr="0010442F" w:rsidRDefault="000B46D0" w:rsidP="000B46D0">
      <w:pPr>
        <w:spacing w:line="278" w:lineRule="auto"/>
        <w:rPr>
          <w:rFonts w:ascii="Aptos" w:hAnsi="Aptos" w:cs="Arial"/>
        </w:rPr>
      </w:pPr>
      <w:r w:rsidRPr="0010442F">
        <w:rPr>
          <w:rFonts w:ascii="Aptos" w:hAnsi="Aptos" w:cs="Arial"/>
        </w:rPr>
        <w:t>For San Francisco, actual lodging expenses will be covered up to $300 per room per night plus tax.</w:t>
      </w:r>
    </w:p>
    <w:p w14:paraId="5EC803C6" w14:textId="77777777" w:rsidR="000B46D0" w:rsidRPr="0010442F" w:rsidRDefault="000B46D0" w:rsidP="000B46D0">
      <w:pPr>
        <w:spacing w:line="278" w:lineRule="auto"/>
        <w:rPr>
          <w:rFonts w:ascii="Aptos" w:hAnsi="Aptos" w:cs="Arial"/>
        </w:rPr>
      </w:pPr>
      <w:r w:rsidRPr="0010442F">
        <w:rPr>
          <w:rFonts w:ascii="Aptos" w:hAnsi="Aptos" w:cs="Arial"/>
        </w:rPr>
        <w:t>If actual lodging expenses exceed the maximum rate set above, CAMs should request an explanation for why the expense is reasonable under the circumstances. CAMs have the authority to approve additional expenses with reasonable justification.</w:t>
      </w:r>
    </w:p>
    <w:p w14:paraId="3A45A7A2" w14:textId="2B841A7E" w:rsidR="000B46D0" w:rsidRPr="0010442F" w:rsidRDefault="000B46D0" w:rsidP="000B46D0">
      <w:pPr>
        <w:spacing w:line="278" w:lineRule="auto"/>
        <w:rPr>
          <w:rFonts w:ascii="Aptos" w:hAnsi="Aptos" w:cs="Arial"/>
        </w:rPr>
      </w:pPr>
      <w:r w:rsidRPr="0010442F">
        <w:rPr>
          <w:rFonts w:ascii="Aptos" w:hAnsi="Aptos" w:cs="Arial"/>
        </w:rPr>
        <w:t xml:space="preserve">The Energy Commission will not reimburse any expenses added to the standard room rate and taxes. For example, the Energy Commission will not </w:t>
      </w:r>
      <w:r w:rsidR="00BE2C2F" w:rsidRPr="0010442F">
        <w:rPr>
          <w:rFonts w:ascii="Aptos" w:hAnsi="Aptos" w:cs="Arial"/>
        </w:rPr>
        <w:t>reimburse</w:t>
      </w:r>
      <w:r w:rsidRPr="0010442F">
        <w:rPr>
          <w:rFonts w:ascii="Aptos" w:hAnsi="Aptos" w:cs="Arial"/>
        </w:rPr>
        <w:t xml:space="preserve"> movies or activities charged to the room.</w:t>
      </w:r>
    </w:p>
    <w:p w14:paraId="1D3CD07D" w14:textId="77777777" w:rsidR="000B46D0" w:rsidRPr="0010442F" w:rsidRDefault="000B46D0" w:rsidP="001356B1">
      <w:pPr>
        <w:pStyle w:val="Heading4"/>
        <w:spacing w:after="240"/>
        <w:rPr>
          <w:rFonts w:ascii="Aptos" w:hAnsi="Aptos" w:cs="Arial"/>
          <w:b/>
          <w:bCs/>
          <w:sz w:val="24"/>
          <w:szCs w:val="24"/>
        </w:rPr>
      </w:pPr>
      <w:r w:rsidRPr="0010442F">
        <w:rPr>
          <w:rFonts w:ascii="Aptos" w:hAnsi="Aptos" w:cs="Arial"/>
          <w:b/>
          <w:bCs/>
          <w:sz w:val="24"/>
          <w:szCs w:val="24"/>
        </w:rPr>
        <w:t>Transportation</w:t>
      </w:r>
    </w:p>
    <w:p w14:paraId="41170EB2" w14:textId="77777777" w:rsidR="000B46D0" w:rsidRPr="0010442F" w:rsidRDefault="000B46D0" w:rsidP="001356B1">
      <w:pPr>
        <w:pStyle w:val="Heading5"/>
        <w:spacing w:after="240"/>
        <w:rPr>
          <w:rFonts w:ascii="Aptos" w:hAnsi="Aptos" w:cs="Arial"/>
          <w:b/>
          <w:bCs/>
          <w:sz w:val="24"/>
          <w:szCs w:val="24"/>
        </w:rPr>
      </w:pPr>
      <w:r w:rsidRPr="0010442F">
        <w:rPr>
          <w:rFonts w:ascii="Aptos" w:hAnsi="Aptos" w:cs="Arial"/>
          <w:b/>
          <w:bCs/>
          <w:sz w:val="24"/>
          <w:szCs w:val="24"/>
        </w:rPr>
        <w:t>Airfare</w:t>
      </w:r>
    </w:p>
    <w:p w14:paraId="2C9BA0DA" w14:textId="4D05A148" w:rsidR="000B46D0" w:rsidRPr="0010442F" w:rsidRDefault="000B46D0" w:rsidP="000B46D0">
      <w:pPr>
        <w:spacing w:line="278" w:lineRule="auto"/>
        <w:rPr>
          <w:rFonts w:ascii="Aptos" w:hAnsi="Aptos" w:cs="Arial"/>
        </w:rPr>
      </w:pPr>
      <w:r w:rsidRPr="0010442F">
        <w:rPr>
          <w:rFonts w:ascii="Aptos" w:hAnsi="Aptos" w:cs="Arial"/>
        </w:rPr>
        <w:t xml:space="preserve">The Energy Commission will </w:t>
      </w:r>
      <w:r w:rsidR="003E0BDF" w:rsidRPr="0010442F">
        <w:rPr>
          <w:rFonts w:ascii="Aptos" w:hAnsi="Aptos" w:cs="Arial"/>
        </w:rPr>
        <w:t>reimburse</w:t>
      </w:r>
      <w:r w:rsidRPr="0010442F">
        <w:rPr>
          <w:rFonts w:ascii="Aptos" w:hAnsi="Aptos" w:cs="Arial"/>
        </w:rPr>
        <w:t xml:space="preserve"> coach rates on commercial carriers. The Energy Commission will not </w:t>
      </w:r>
      <w:proofErr w:type="gramStart"/>
      <w:r w:rsidRPr="0010442F">
        <w:rPr>
          <w:rFonts w:ascii="Aptos" w:hAnsi="Aptos" w:cs="Arial"/>
        </w:rPr>
        <w:t>reimburse</w:t>
      </w:r>
      <w:proofErr w:type="gramEnd"/>
      <w:r w:rsidRPr="0010442F">
        <w:rPr>
          <w:rFonts w:ascii="Aptos" w:hAnsi="Aptos" w:cs="Arial"/>
        </w:rPr>
        <w:t xml:space="preserve"> for </w:t>
      </w:r>
      <w:r w:rsidR="003E0BDF" w:rsidRPr="0010442F">
        <w:rPr>
          <w:rFonts w:ascii="Aptos" w:hAnsi="Aptos" w:cs="Arial"/>
        </w:rPr>
        <w:t xml:space="preserve">flight </w:t>
      </w:r>
      <w:r w:rsidRPr="0010442F">
        <w:rPr>
          <w:rFonts w:ascii="Aptos" w:hAnsi="Aptos" w:cs="Arial"/>
        </w:rPr>
        <w:t>upgrades.</w:t>
      </w:r>
    </w:p>
    <w:p w14:paraId="69768B08" w14:textId="77777777" w:rsidR="000B46D0" w:rsidRPr="0010442F" w:rsidRDefault="000B46D0" w:rsidP="001356B1">
      <w:pPr>
        <w:pStyle w:val="Heading5"/>
        <w:spacing w:after="240"/>
        <w:rPr>
          <w:rFonts w:ascii="Aptos" w:hAnsi="Aptos" w:cs="Arial"/>
          <w:b/>
          <w:bCs/>
          <w:sz w:val="24"/>
          <w:szCs w:val="24"/>
        </w:rPr>
      </w:pPr>
      <w:r w:rsidRPr="0010442F">
        <w:rPr>
          <w:rFonts w:ascii="Aptos" w:hAnsi="Aptos" w:cs="Arial"/>
          <w:b/>
          <w:bCs/>
          <w:sz w:val="24"/>
          <w:szCs w:val="24"/>
        </w:rPr>
        <w:t>Rental Car</w:t>
      </w:r>
    </w:p>
    <w:p w14:paraId="03C0A8D2" w14:textId="31648289" w:rsidR="000B46D0" w:rsidRPr="0010442F" w:rsidRDefault="000B46D0" w:rsidP="000B46D0">
      <w:pPr>
        <w:spacing w:line="278" w:lineRule="auto"/>
        <w:rPr>
          <w:rFonts w:ascii="Aptos" w:hAnsi="Aptos" w:cs="Arial"/>
        </w:rPr>
      </w:pPr>
      <w:r w:rsidRPr="0010442F">
        <w:rPr>
          <w:rFonts w:ascii="Aptos" w:hAnsi="Aptos" w:cs="Arial"/>
        </w:rPr>
        <w:t xml:space="preserve">The Energy Commission will reimburse expenses for vehicles appropriate for the purpose of the </w:t>
      </w:r>
      <w:r w:rsidR="001356B1" w:rsidRPr="0010442F">
        <w:rPr>
          <w:rFonts w:ascii="Aptos" w:hAnsi="Aptos" w:cs="Arial"/>
        </w:rPr>
        <w:t>trip</w:t>
      </w:r>
      <w:r w:rsidRPr="0010442F">
        <w:rPr>
          <w:rFonts w:ascii="Aptos" w:hAnsi="Aptos" w:cs="Arial"/>
        </w:rPr>
        <w:t xml:space="preserve">. The Energy Commission will not </w:t>
      </w:r>
      <w:r w:rsidR="001356B1" w:rsidRPr="0010442F">
        <w:rPr>
          <w:rFonts w:ascii="Aptos" w:hAnsi="Aptos" w:cs="Arial"/>
        </w:rPr>
        <w:t>reimburse</w:t>
      </w:r>
      <w:r w:rsidRPr="0010442F">
        <w:rPr>
          <w:rFonts w:ascii="Aptos" w:hAnsi="Aptos" w:cs="Arial"/>
        </w:rPr>
        <w:t xml:space="preserve"> luxury automobiles.</w:t>
      </w:r>
    </w:p>
    <w:p w14:paraId="11193DE2" w14:textId="77777777" w:rsidR="000B46D0" w:rsidRPr="0010442F" w:rsidRDefault="000B46D0" w:rsidP="000B46D0">
      <w:pPr>
        <w:spacing w:line="278" w:lineRule="auto"/>
        <w:rPr>
          <w:rFonts w:ascii="Aptos" w:hAnsi="Aptos" w:cs="Arial"/>
        </w:rPr>
      </w:pPr>
      <w:r w:rsidRPr="0010442F">
        <w:rPr>
          <w:rFonts w:ascii="Aptos" w:hAnsi="Aptos" w:cs="Arial"/>
        </w:rPr>
        <w:t>The Energy Commission will not reimburse the cost of vehicle insurance using CEC Funds, but a Recipient may charge the cost of insurance to Match Funds.</w:t>
      </w:r>
    </w:p>
    <w:p w14:paraId="1067C66B" w14:textId="77777777" w:rsidR="000B46D0" w:rsidRPr="0010442F" w:rsidRDefault="000B46D0" w:rsidP="001356B1">
      <w:pPr>
        <w:pStyle w:val="Heading5"/>
        <w:spacing w:after="240"/>
        <w:rPr>
          <w:rFonts w:ascii="Aptos" w:hAnsi="Aptos" w:cs="Arial"/>
          <w:b/>
          <w:bCs/>
          <w:sz w:val="24"/>
          <w:szCs w:val="24"/>
        </w:rPr>
      </w:pPr>
      <w:r w:rsidRPr="0010442F">
        <w:rPr>
          <w:rFonts w:ascii="Aptos" w:hAnsi="Aptos" w:cs="Arial"/>
          <w:b/>
          <w:bCs/>
          <w:sz w:val="24"/>
          <w:szCs w:val="24"/>
        </w:rPr>
        <w:t>Bus/Train</w:t>
      </w:r>
    </w:p>
    <w:p w14:paraId="7833BD00" w14:textId="2A7D2F53" w:rsidR="000B46D0" w:rsidRPr="0010442F" w:rsidRDefault="000B46D0" w:rsidP="000B46D0">
      <w:pPr>
        <w:spacing w:line="278" w:lineRule="auto"/>
        <w:rPr>
          <w:rFonts w:ascii="Aptos" w:hAnsi="Aptos" w:cs="Arial"/>
        </w:rPr>
      </w:pPr>
      <w:r w:rsidRPr="0010442F">
        <w:rPr>
          <w:rFonts w:ascii="Aptos" w:hAnsi="Aptos" w:cs="Arial"/>
        </w:rPr>
        <w:t xml:space="preserve">The Energy Commission will </w:t>
      </w:r>
      <w:r w:rsidR="001356B1" w:rsidRPr="0010442F">
        <w:rPr>
          <w:rFonts w:ascii="Aptos" w:hAnsi="Aptos" w:cs="Arial"/>
        </w:rPr>
        <w:t>reimburse</w:t>
      </w:r>
      <w:r w:rsidRPr="0010442F">
        <w:rPr>
          <w:rFonts w:ascii="Aptos" w:hAnsi="Aptos" w:cs="Arial"/>
        </w:rPr>
        <w:t xml:space="preserve"> standard coach rates. The Energy Commission will not reimburse upgrades.</w:t>
      </w:r>
    </w:p>
    <w:p w14:paraId="73E6A9CD" w14:textId="77777777" w:rsidR="000B46D0" w:rsidRPr="0010442F" w:rsidRDefault="000B46D0" w:rsidP="001356B1">
      <w:pPr>
        <w:pStyle w:val="Heading5"/>
        <w:spacing w:after="240"/>
        <w:rPr>
          <w:rFonts w:ascii="Aptos" w:hAnsi="Aptos" w:cs="Arial"/>
          <w:b/>
          <w:bCs/>
          <w:sz w:val="24"/>
          <w:szCs w:val="24"/>
        </w:rPr>
      </w:pPr>
      <w:r w:rsidRPr="0010442F">
        <w:rPr>
          <w:rFonts w:ascii="Aptos" w:hAnsi="Aptos" w:cs="Arial"/>
          <w:b/>
          <w:bCs/>
          <w:sz w:val="24"/>
          <w:szCs w:val="24"/>
        </w:rPr>
        <w:t>Personal Vehicle Mileage (No receipt required)</w:t>
      </w:r>
    </w:p>
    <w:p w14:paraId="730D009A" w14:textId="77777777" w:rsidR="000B46D0" w:rsidRPr="0010442F" w:rsidRDefault="000B46D0" w:rsidP="000B46D0">
      <w:pPr>
        <w:spacing w:line="278" w:lineRule="auto"/>
        <w:rPr>
          <w:rFonts w:ascii="Aptos" w:hAnsi="Aptos" w:cs="Arial"/>
        </w:rPr>
      </w:pPr>
      <w:r w:rsidRPr="0010442F">
        <w:rPr>
          <w:rFonts w:ascii="Aptos" w:hAnsi="Aptos" w:cs="Arial"/>
        </w:rPr>
        <w:t>When driving a personal vehicle, the current reimbursable mileage rate can be found at </w:t>
      </w:r>
      <w:hyperlink r:id="rId16" w:tooltip="(opens in a new window)" w:history="1">
        <w:r w:rsidRPr="0010442F">
          <w:rPr>
            <w:rStyle w:val="Hyperlink"/>
            <w:rFonts w:ascii="Aptos" w:hAnsi="Aptos" w:cs="Arial"/>
          </w:rPr>
          <w:t>https://www.irs.gov/tax-professionals/standard-mileage-rates</w:t>
        </w:r>
      </w:hyperlink>
    </w:p>
    <w:p w14:paraId="54DCF9C6" w14:textId="77777777" w:rsidR="000B46D0" w:rsidRPr="0010442F" w:rsidRDefault="000B46D0" w:rsidP="00972D68">
      <w:pPr>
        <w:pStyle w:val="Heading4"/>
        <w:spacing w:after="240"/>
        <w:rPr>
          <w:rFonts w:ascii="Aptos" w:hAnsi="Aptos" w:cs="Arial"/>
          <w:b/>
          <w:bCs/>
          <w:sz w:val="24"/>
          <w:szCs w:val="24"/>
        </w:rPr>
      </w:pPr>
      <w:r w:rsidRPr="0010442F">
        <w:rPr>
          <w:rFonts w:ascii="Aptos" w:hAnsi="Aptos" w:cs="Arial"/>
          <w:b/>
          <w:bCs/>
          <w:sz w:val="24"/>
          <w:szCs w:val="24"/>
        </w:rPr>
        <w:lastRenderedPageBreak/>
        <w:t>Per Diem (No receipts required)</w:t>
      </w:r>
    </w:p>
    <w:p w14:paraId="3C66F513" w14:textId="77777777" w:rsidR="000B46D0" w:rsidRPr="0010442F" w:rsidRDefault="000B46D0" w:rsidP="000B46D0">
      <w:pPr>
        <w:spacing w:line="278" w:lineRule="auto"/>
        <w:rPr>
          <w:rFonts w:ascii="Aptos" w:hAnsi="Aptos" w:cs="Arial"/>
        </w:rPr>
      </w:pPr>
      <w:r w:rsidRPr="0010442F">
        <w:rPr>
          <w:rFonts w:ascii="Aptos" w:hAnsi="Aptos" w:cs="Arial"/>
        </w:rPr>
        <w:t>A base maximum daily per diem is allowable for actual expenses up to $100 per day for the following expenses:</w:t>
      </w:r>
    </w:p>
    <w:p w14:paraId="54D4B311" w14:textId="77777777" w:rsidR="000B46D0" w:rsidRPr="0010442F" w:rsidRDefault="000B46D0" w:rsidP="00972D68">
      <w:pPr>
        <w:numPr>
          <w:ilvl w:val="0"/>
          <w:numId w:val="21"/>
        </w:numPr>
        <w:spacing w:after="0" w:line="278" w:lineRule="auto"/>
        <w:rPr>
          <w:rFonts w:ascii="Aptos" w:hAnsi="Aptos" w:cs="Arial"/>
        </w:rPr>
      </w:pPr>
      <w:r w:rsidRPr="0010442F">
        <w:rPr>
          <w:rFonts w:ascii="Aptos" w:hAnsi="Aptos" w:cs="Arial"/>
        </w:rPr>
        <w:t>Meals</w:t>
      </w:r>
    </w:p>
    <w:p w14:paraId="7EE672DB" w14:textId="77777777" w:rsidR="000B46D0" w:rsidRPr="0010442F" w:rsidRDefault="000B46D0" w:rsidP="00972D68">
      <w:pPr>
        <w:numPr>
          <w:ilvl w:val="0"/>
          <w:numId w:val="21"/>
        </w:numPr>
        <w:spacing w:after="0" w:line="278" w:lineRule="auto"/>
        <w:rPr>
          <w:rFonts w:ascii="Aptos" w:hAnsi="Aptos" w:cs="Arial"/>
        </w:rPr>
      </w:pPr>
      <w:r w:rsidRPr="0010442F">
        <w:rPr>
          <w:rFonts w:ascii="Aptos" w:hAnsi="Aptos" w:cs="Arial"/>
        </w:rPr>
        <w:t>Incidentals (i.e. tips for hotel staff and taxi/ride share drivers)</w:t>
      </w:r>
    </w:p>
    <w:p w14:paraId="69D13A09" w14:textId="77777777" w:rsidR="000B46D0" w:rsidRPr="0010442F" w:rsidRDefault="000B46D0" w:rsidP="00972D68">
      <w:pPr>
        <w:numPr>
          <w:ilvl w:val="0"/>
          <w:numId w:val="21"/>
        </w:numPr>
        <w:spacing w:after="0" w:line="278" w:lineRule="auto"/>
        <w:rPr>
          <w:rFonts w:ascii="Aptos" w:hAnsi="Aptos" w:cs="Arial"/>
        </w:rPr>
      </w:pPr>
      <w:r w:rsidRPr="0010442F">
        <w:rPr>
          <w:rFonts w:ascii="Aptos" w:hAnsi="Aptos" w:cs="Arial"/>
        </w:rPr>
        <w:t>Parking</w:t>
      </w:r>
    </w:p>
    <w:p w14:paraId="1AAC5C7D" w14:textId="77777777" w:rsidR="000B46D0" w:rsidRPr="0010442F" w:rsidRDefault="000B46D0" w:rsidP="00972D68">
      <w:pPr>
        <w:numPr>
          <w:ilvl w:val="0"/>
          <w:numId w:val="21"/>
        </w:numPr>
        <w:spacing w:after="0" w:line="278" w:lineRule="auto"/>
        <w:rPr>
          <w:rFonts w:ascii="Aptos" w:hAnsi="Aptos" w:cs="Arial"/>
        </w:rPr>
      </w:pPr>
      <w:r w:rsidRPr="0010442F">
        <w:rPr>
          <w:rFonts w:ascii="Aptos" w:hAnsi="Aptos" w:cs="Arial"/>
        </w:rPr>
        <w:t>Tolls</w:t>
      </w:r>
    </w:p>
    <w:p w14:paraId="6164EC7E" w14:textId="77777777" w:rsidR="000B46D0" w:rsidRPr="0010442F" w:rsidRDefault="000B46D0" w:rsidP="00972D68">
      <w:pPr>
        <w:numPr>
          <w:ilvl w:val="0"/>
          <w:numId w:val="21"/>
        </w:numPr>
        <w:spacing w:line="278" w:lineRule="auto"/>
        <w:rPr>
          <w:rFonts w:ascii="Aptos" w:hAnsi="Aptos" w:cs="Arial"/>
        </w:rPr>
      </w:pPr>
      <w:r w:rsidRPr="0010442F">
        <w:rPr>
          <w:rFonts w:ascii="Aptos" w:hAnsi="Aptos" w:cs="Arial"/>
        </w:rPr>
        <w:t>Taxi/ride share</w:t>
      </w:r>
    </w:p>
    <w:p w14:paraId="77D189BE" w14:textId="77777777" w:rsidR="000B46D0" w:rsidRPr="0010442F" w:rsidRDefault="000B46D0" w:rsidP="000B46D0">
      <w:pPr>
        <w:spacing w:line="278" w:lineRule="auto"/>
        <w:rPr>
          <w:rFonts w:ascii="Aptos" w:hAnsi="Aptos" w:cs="Arial"/>
        </w:rPr>
      </w:pPr>
      <w:r w:rsidRPr="0010442F">
        <w:rPr>
          <w:rFonts w:ascii="Aptos" w:hAnsi="Aptos" w:cs="Arial"/>
          <w:i/>
          <w:iCs/>
        </w:rPr>
        <w:t>Note: Alcoholic beverages are NOT considered an agreement-appropriate expense when claimed either as a reimbursable expense or as a match share expense.</w:t>
      </w:r>
    </w:p>
    <w:p w14:paraId="1365F23F" w14:textId="3C27D010" w:rsidR="00A26900" w:rsidRPr="0010442F" w:rsidRDefault="00A26900" w:rsidP="00A26900">
      <w:pPr>
        <w:pStyle w:val="Heading2"/>
        <w:spacing w:after="240"/>
        <w:rPr>
          <w:rFonts w:ascii="Aptos" w:hAnsi="Aptos" w:cs="Arial"/>
          <w:b/>
          <w:bCs/>
          <w:sz w:val="24"/>
          <w:szCs w:val="24"/>
        </w:rPr>
      </w:pPr>
      <w:bookmarkStart w:id="20" w:name="_Toc216776566"/>
      <w:r w:rsidRPr="0010442F">
        <w:rPr>
          <w:rFonts w:ascii="Aptos" w:hAnsi="Aptos" w:cs="Arial"/>
          <w:b/>
          <w:bCs/>
          <w:sz w:val="24"/>
          <w:szCs w:val="24"/>
        </w:rPr>
        <w:t>EQUIPMENT</w:t>
      </w:r>
      <w:bookmarkEnd w:id="20"/>
    </w:p>
    <w:p w14:paraId="4B549403" w14:textId="77777777" w:rsidR="007C5B3E" w:rsidRPr="0010442F" w:rsidRDefault="007C5B3E" w:rsidP="007C5B3E">
      <w:pPr>
        <w:spacing w:line="279" w:lineRule="auto"/>
        <w:contextualSpacing/>
        <w:rPr>
          <w:rFonts w:ascii="Aptos" w:eastAsia="Times New Roman" w:hAnsi="Aptos" w:cs="Times New Roman"/>
          <w:sz w:val="24"/>
          <w:szCs w:val="24"/>
          <w:lang w:eastAsia="ja-JP"/>
        </w:rPr>
      </w:pPr>
      <w:r w:rsidRPr="0010442F">
        <w:rPr>
          <w:rFonts w:ascii="Aptos" w:eastAsia="Times New Roman" w:hAnsi="Aptos" w:cs="Times New Roman"/>
          <w:sz w:val="24"/>
          <w:szCs w:val="24"/>
          <w:lang w:eastAsia="ja-JP"/>
        </w:rPr>
        <w:t>Equipment consists of a complete piece that does not require other components to make it function as intended. Examples are bucket trucks, excavators, snowplows, a complete BESS, drones purchased and used for inspection of distribution systems, etc.</w:t>
      </w:r>
    </w:p>
    <w:p w14:paraId="5EAF1684" w14:textId="77777777" w:rsidR="00A26900" w:rsidRPr="0010442F" w:rsidRDefault="00A26900" w:rsidP="00A26900">
      <w:pPr>
        <w:pStyle w:val="Heading3"/>
        <w:spacing w:after="240"/>
        <w:rPr>
          <w:rFonts w:ascii="Aptos" w:hAnsi="Aptos" w:cs="Arial"/>
          <w:b/>
          <w:bCs/>
        </w:rPr>
      </w:pPr>
      <w:bookmarkStart w:id="21" w:name="_Toc216776567"/>
      <w:r w:rsidRPr="0010442F">
        <w:rPr>
          <w:rFonts w:ascii="Aptos" w:hAnsi="Aptos" w:cs="Arial"/>
          <w:b/>
          <w:bCs/>
        </w:rPr>
        <w:t>Equipment Policy</w:t>
      </w:r>
      <w:bookmarkEnd w:id="21"/>
    </w:p>
    <w:p w14:paraId="7DFFBCC9" w14:textId="3DAF1AC3" w:rsidR="00A26900" w:rsidRPr="0010442F" w:rsidRDefault="00A26900" w:rsidP="00A26900">
      <w:pPr>
        <w:spacing w:line="278" w:lineRule="auto"/>
        <w:rPr>
          <w:rFonts w:ascii="Aptos" w:hAnsi="Aptos" w:cs="Arial"/>
        </w:rPr>
      </w:pPr>
      <w:r w:rsidRPr="0010442F">
        <w:rPr>
          <w:rFonts w:ascii="Aptos" w:hAnsi="Aptos" w:cs="Arial"/>
        </w:rPr>
        <w:t>The Energy Commission will reimburse for the Actual Cost of equipment that has been approved as necessary to accomplish a task in the Scope of Work. Equipment listed in Budget is deemed approved.</w:t>
      </w:r>
    </w:p>
    <w:p w14:paraId="56FA6E5E" w14:textId="0D37566F" w:rsidR="00A26900" w:rsidRPr="0010442F" w:rsidRDefault="00A26900" w:rsidP="00A26900">
      <w:pPr>
        <w:spacing w:line="278" w:lineRule="auto"/>
        <w:rPr>
          <w:rFonts w:ascii="Aptos" w:hAnsi="Aptos" w:cs="Arial"/>
        </w:rPr>
      </w:pPr>
      <w:r w:rsidRPr="0010442F">
        <w:rPr>
          <w:rFonts w:ascii="Aptos" w:hAnsi="Aptos" w:cs="Arial"/>
        </w:rPr>
        <w:t>If a Recipient would like to seek reimbursement for equipment that is not included in the budget, a “</w:t>
      </w:r>
      <w:r w:rsidRPr="0010442F">
        <w:rPr>
          <w:rFonts w:ascii="Aptos" w:hAnsi="Aptos" w:cs="Arial"/>
          <w:b/>
          <w:bCs/>
        </w:rPr>
        <w:t>Form to Add Equipment/</w:t>
      </w:r>
      <w:r w:rsidR="007C2121" w:rsidRPr="0010442F">
        <w:rPr>
          <w:rFonts w:ascii="Aptos" w:hAnsi="Aptos" w:cs="Arial"/>
          <w:b/>
          <w:bCs/>
        </w:rPr>
        <w:t>Supplies</w:t>
      </w:r>
      <w:r w:rsidRPr="0010442F">
        <w:rPr>
          <w:rFonts w:ascii="Aptos" w:hAnsi="Aptos" w:cs="Arial"/>
        </w:rPr>
        <w:t xml:space="preserve">” must be submitted by the Recipient and approved by the CAM. Adding new equipment may require </w:t>
      </w:r>
      <w:proofErr w:type="gramStart"/>
      <w:r w:rsidRPr="0010442F">
        <w:rPr>
          <w:rFonts w:ascii="Aptos" w:hAnsi="Aptos" w:cs="Arial"/>
        </w:rPr>
        <w:t>a budget</w:t>
      </w:r>
      <w:proofErr w:type="gramEnd"/>
      <w:r w:rsidRPr="0010442F">
        <w:rPr>
          <w:rFonts w:ascii="Aptos" w:hAnsi="Aptos" w:cs="Arial"/>
        </w:rPr>
        <w:t xml:space="preserve"> reallocation.</w:t>
      </w:r>
    </w:p>
    <w:p w14:paraId="6068F605" w14:textId="77777777" w:rsidR="00A26900" w:rsidRPr="0010442F" w:rsidRDefault="00A26900" w:rsidP="007C5B3E">
      <w:pPr>
        <w:pStyle w:val="Heading3"/>
        <w:spacing w:after="240"/>
        <w:rPr>
          <w:rFonts w:ascii="Aptos" w:hAnsi="Aptos"/>
          <w:b/>
          <w:bCs/>
        </w:rPr>
      </w:pPr>
      <w:bookmarkStart w:id="22" w:name="_Toc216776568"/>
      <w:r w:rsidRPr="0010442F">
        <w:rPr>
          <w:rFonts w:ascii="Aptos" w:hAnsi="Aptos"/>
          <w:b/>
          <w:bCs/>
        </w:rPr>
        <w:t>Budget Development</w:t>
      </w:r>
      <w:bookmarkEnd w:id="22"/>
    </w:p>
    <w:p w14:paraId="35B310E8" w14:textId="7DB36244" w:rsidR="00A26900" w:rsidRPr="0010442F" w:rsidRDefault="00A26900" w:rsidP="00A26900">
      <w:pPr>
        <w:spacing w:line="278" w:lineRule="auto"/>
        <w:rPr>
          <w:rFonts w:ascii="Aptos" w:hAnsi="Aptos" w:cs="Arial"/>
        </w:rPr>
      </w:pPr>
      <w:r w:rsidRPr="0010442F">
        <w:rPr>
          <w:rFonts w:ascii="Aptos" w:hAnsi="Aptos" w:cs="Arial"/>
        </w:rPr>
        <w:t xml:space="preserve">Equipment for the project, regardless of whether it is </w:t>
      </w:r>
      <w:proofErr w:type="gramStart"/>
      <w:r w:rsidRPr="0010442F">
        <w:rPr>
          <w:rFonts w:ascii="Aptos" w:hAnsi="Aptos" w:cs="Arial"/>
        </w:rPr>
        <w:t>actually purchased</w:t>
      </w:r>
      <w:proofErr w:type="gramEnd"/>
      <w:r w:rsidRPr="0010442F">
        <w:rPr>
          <w:rFonts w:ascii="Aptos" w:hAnsi="Aptos" w:cs="Arial"/>
        </w:rPr>
        <w:t xml:space="preserve"> by a Recipient, Subrecipient, or Vendor, may be included under a Recipient’s budget if the equipment is:</w:t>
      </w:r>
    </w:p>
    <w:p w14:paraId="319C6E1F" w14:textId="77777777" w:rsidR="00A26900" w:rsidRPr="0010442F" w:rsidRDefault="00A26900" w:rsidP="00A26900">
      <w:pPr>
        <w:numPr>
          <w:ilvl w:val="0"/>
          <w:numId w:val="22"/>
        </w:numPr>
        <w:spacing w:line="278" w:lineRule="auto"/>
        <w:rPr>
          <w:rFonts w:ascii="Aptos" w:hAnsi="Aptos" w:cs="Arial"/>
        </w:rPr>
      </w:pPr>
      <w:r w:rsidRPr="0010442F">
        <w:rPr>
          <w:rFonts w:ascii="Aptos" w:hAnsi="Aptos" w:cs="Arial"/>
        </w:rPr>
        <w:t>Off-the-shelf – not being built specifically for this project by Subrecipient; and</w:t>
      </w:r>
    </w:p>
    <w:p w14:paraId="59396CEF" w14:textId="77777777" w:rsidR="00A26900" w:rsidRPr="0010442F" w:rsidRDefault="00A26900" w:rsidP="00A26900">
      <w:pPr>
        <w:numPr>
          <w:ilvl w:val="0"/>
          <w:numId w:val="22"/>
        </w:numPr>
        <w:spacing w:line="278" w:lineRule="auto"/>
        <w:rPr>
          <w:rFonts w:ascii="Aptos" w:hAnsi="Aptos" w:cs="Arial"/>
        </w:rPr>
      </w:pPr>
      <w:r w:rsidRPr="0010442F">
        <w:rPr>
          <w:rFonts w:ascii="Aptos" w:hAnsi="Aptos" w:cs="Arial"/>
        </w:rPr>
        <w:t>Purchased from a third-party through an arms-length transaction - not purchased from a parent/subsidiary/sister company, family, or close friend. </w:t>
      </w:r>
    </w:p>
    <w:p w14:paraId="0B14E638" w14:textId="77777777" w:rsidR="00A26900" w:rsidRPr="0010442F" w:rsidRDefault="00A26900" w:rsidP="00A26900">
      <w:pPr>
        <w:spacing w:line="278" w:lineRule="auto"/>
        <w:rPr>
          <w:rFonts w:ascii="Aptos" w:hAnsi="Aptos" w:cs="Arial"/>
        </w:rPr>
      </w:pPr>
      <w:r w:rsidRPr="0010442F">
        <w:rPr>
          <w:rFonts w:ascii="Aptos" w:hAnsi="Aptos" w:cs="Arial"/>
        </w:rPr>
        <w:t>This equipment will not count towards the $100,000 threshold that distinguishes "major subrecipients" from "minor subrecipients."</w:t>
      </w:r>
    </w:p>
    <w:p w14:paraId="3BD09A35" w14:textId="77777777" w:rsidR="00A26900" w:rsidRPr="0010442F" w:rsidRDefault="00A26900" w:rsidP="00A26900">
      <w:pPr>
        <w:spacing w:line="278" w:lineRule="auto"/>
        <w:rPr>
          <w:rFonts w:ascii="Aptos" w:hAnsi="Aptos" w:cs="Arial"/>
        </w:rPr>
      </w:pPr>
      <w:r w:rsidRPr="0010442F">
        <w:rPr>
          <w:rFonts w:ascii="Aptos" w:hAnsi="Aptos" w:cs="Arial"/>
        </w:rPr>
        <w:t xml:space="preserve">Equipment that is built by a Subrecipient specifically for the project is to be listed on the Subrecipient's budget. The time and materials and other expenses to build this equipment will count towards the $100,000 threshold for "major subrecipients." Major subrecipients are required </w:t>
      </w:r>
      <w:r w:rsidRPr="0010442F">
        <w:rPr>
          <w:rFonts w:ascii="Aptos" w:hAnsi="Aptos" w:cs="Arial"/>
        </w:rPr>
        <w:lastRenderedPageBreak/>
        <w:t>to provide a detailed budget that breaks out all category expenses. This is required to ensure that a Subrecipient can support a "costs of goods sold" assessment by the Auditor.</w:t>
      </w:r>
    </w:p>
    <w:p w14:paraId="4CB8AF02" w14:textId="77777777" w:rsidR="00A26900" w:rsidRPr="0010442F" w:rsidRDefault="00A26900" w:rsidP="00A26900">
      <w:pPr>
        <w:spacing w:line="278" w:lineRule="auto"/>
        <w:rPr>
          <w:rFonts w:ascii="Aptos" w:hAnsi="Aptos" w:cs="Arial"/>
        </w:rPr>
      </w:pPr>
      <w:r w:rsidRPr="0010442F">
        <w:rPr>
          <w:rFonts w:ascii="Aptos" w:hAnsi="Aptos" w:cs="Arial"/>
        </w:rPr>
        <w:t>Equipment Purchased by a Subrecipient from a parent, subsidiary or sister company, or from a family member or close friend, is to be treated the same way. In this situation, a Subrecipient would just provide the related company's costs to manufacture the product broken down by budget category on the Subrecipient's budget. The Subrecipient would be expected to provide supporting documentation for the related company's expenses if audited.</w:t>
      </w:r>
    </w:p>
    <w:p w14:paraId="641EABB4" w14:textId="777C176E" w:rsidR="00A26900" w:rsidRPr="0010442F" w:rsidRDefault="00A26900" w:rsidP="0096711E">
      <w:pPr>
        <w:pStyle w:val="Heading3"/>
        <w:spacing w:after="240"/>
        <w:rPr>
          <w:rFonts w:ascii="Aptos" w:hAnsi="Aptos"/>
          <w:b/>
          <w:bCs/>
        </w:rPr>
      </w:pPr>
      <w:bookmarkStart w:id="23" w:name="_Toc216776569"/>
      <w:r w:rsidRPr="0010442F">
        <w:rPr>
          <w:rFonts w:ascii="Aptos" w:hAnsi="Aptos"/>
          <w:b/>
          <w:bCs/>
        </w:rPr>
        <w:t>Invoice Considerations</w:t>
      </w:r>
      <w:bookmarkEnd w:id="23"/>
      <w:r w:rsidRPr="0010442F">
        <w:rPr>
          <w:rFonts w:ascii="Aptos" w:hAnsi="Aptos"/>
          <w:b/>
          <w:bCs/>
        </w:rPr>
        <w:t> </w:t>
      </w:r>
    </w:p>
    <w:p w14:paraId="07ADF947" w14:textId="77777777" w:rsidR="00A26900" w:rsidRPr="0010442F" w:rsidRDefault="00A26900" w:rsidP="00A26900">
      <w:pPr>
        <w:numPr>
          <w:ilvl w:val="0"/>
          <w:numId w:val="23"/>
        </w:numPr>
        <w:spacing w:line="278" w:lineRule="auto"/>
        <w:rPr>
          <w:rFonts w:ascii="Aptos" w:hAnsi="Aptos" w:cs="Arial"/>
        </w:rPr>
      </w:pPr>
      <w:r w:rsidRPr="0010442F">
        <w:rPr>
          <w:rFonts w:ascii="Aptos" w:hAnsi="Aptos" w:cs="Arial"/>
        </w:rPr>
        <w:t>Budget amounts are estimates. An amount listed for a piece of equipment in the Agreement Budget is still to be considered an estimate and does not represent a maximum amount the Energy Commission can pay for an item.</w:t>
      </w:r>
    </w:p>
    <w:p w14:paraId="3840C6F3" w14:textId="69F0CB25" w:rsidR="00A26900" w:rsidRPr="0010442F" w:rsidRDefault="00A26900" w:rsidP="00A26900">
      <w:pPr>
        <w:numPr>
          <w:ilvl w:val="0"/>
          <w:numId w:val="23"/>
        </w:numPr>
        <w:spacing w:line="278" w:lineRule="auto"/>
        <w:rPr>
          <w:rFonts w:ascii="Aptos" w:hAnsi="Aptos" w:cs="Arial"/>
        </w:rPr>
      </w:pPr>
      <w:r w:rsidRPr="0010442F">
        <w:rPr>
          <w:rFonts w:ascii="Aptos" w:hAnsi="Aptos" w:cs="Arial"/>
        </w:rPr>
        <w:t xml:space="preserve">Supporting Documentation must be provided. For equipment that is equal to or greater than $100,000 per </w:t>
      </w:r>
      <w:r w:rsidR="0096711E" w:rsidRPr="0010442F">
        <w:rPr>
          <w:rFonts w:ascii="Aptos" w:hAnsi="Aptos" w:cs="Arial"/>
        </w:rPr>
        <w:t>line-item</w:t>
      </w:r>
      <w:r w:rsidRPr="0010442F">
        <w:rPr>
          <w:rFonts w:ascii="Aptos" w:hAnsi="Aptos" w:cs="Arial"/>
        </w:rPr>
        <w:t xml:space="preserve"> total (including both CEC and Match Funds), documentation showing the payment terms must be provided to the CAM.</w:t>
      </w:r>
    </w:p>
    <w:p w14:paraId="281D2DEC" w14:textId="77777777" w:rsidR="00A26900" w:rsidRPr="0010442F" w:rsidRDefault="00A26900" w:rsidP="00A26900">
      <w:pPr>
        <w:numPr>
          <w:ilvl w:val="1"/>
          <w:numId w:val="23"/>
        </w:numPr>
        <w:spacing w:line="278" w:lineRule="auto"/>
        <w:rPr>
          <w:rFonts w:ascii="Aptos" w:hAnsi="Aptos" w:cs="Arial"/>
        </w:rPr>
      </w:pPr>
      <w:r w:rsidRPr="0010442F">
        <w:rPr>
          <w:rFonts w:ascii="Aptos" w:hAnsi="Aptos" w:cs="Arial"/>
        </w:rPr>
        <w:t>For example, a single line item with 10 widgets at $12,000 each, which equals $120,000, would require supporting documentation, even if $60,000 was covered by Match Funds and $60,000 by CEC Funds.</w:t>
      </w:r>
    </w:p>
    <w:p w14:paraId="027781D1" w14:textId="0F52BB22" w:rsidR="00A26900" w:rsidRPr="0010442F" w:rsidRDefault="00A26900" w:rsidP="00A26900">
      <w:pPr>
        <w:numPr>
          <w:ilvl w:val="1"/>
          <w:numId w:val="23"/>
        </w:numPr>
        <w:spacing w:line="278" w:lineRule="auto"/>
        <w:rPr>
          <w:rFonts w:ascii="Aptos" w:hAnsi="Aptos" w:cs="Arial"/>
        </w:rPr>
      </w:pPr>
      <w:r w:rsidRPr="0010442F">
        <w:rPr>
          <w:rFonts w:ascii="Aptos" w:hAnsi="Aptos" w:cs="Arial"/>
        </w:rPr>
        <w:t xml:space="preserve">Acceptable supporting documentation includes an invoice, a bill, or a receipt for equipment that has been </w:t>
      </w:r>
      <w:r w:rsidR="004E572E" w:rsidRPr="0010442F">
        <w:rPr>
          <w:rFonts w:ascii="Aptos" w:hAnsi="Aptos" w:cs="Arial"/>
        </w:rPr>
        <w:t>paid,</w:t>
      </w:r>
      <w:r w:rsidRPr="0010442F">
        <w:rPr>
          <w:rFonts w:ascii="Aptos" w:hAnsi="Aptos" w:cs="Arial"/>
        </w:rPr>
        <w:t xml:space="preserve"> or equipment costs have been incurred (meaning the expense is legally binding even if not actually paid yet). A purchase order, without either an invoice, bill, or receipt, is not sufficient.</w:t>
      </w:r>
    </w:p>
    <w:p w14:paraId="3DBBE28D" w14:textId="3575CC70" w:rsidR="00A26900" w:rsidRPr="0010442F" w:rsidRDefault="00A26900" w:rsidP="00A26900">
      <w:pPr>
        <w:numPr>
          <w:ilvl w:val="1"/>
          <w:numId w:val="23"/>
        </w:numPr>
        <w:spacing w:line="278" w:lineRule="auto"/>
        <w:rPr>
          <w:rFonts w:ascii="Aptos" w:hAnsi="Aptos" w:cs="Arial"/>
        </w:rPr>
      </w:pPr>
      <w:r w:rsidRPr="0010442F">
        <w:rPr>
          <w:rFonts w:ascii="Aptos" w:hAnsi="Aptos" w:cs="Arial"/>
        </w:rPr>
        <w:t xml:space="preserve">If, on a previous invoice, the CEC </w:t>
      </w:r>
      <w:r w:rsidR="004E572E" w:rsidRPr="0010442F">
        <w:rPr>
          <w:rFonts w:ascii="Aptos" w:hAnsi="Aptos" w:cs="Arial"/>
        </w:rPr>
        <w:t>prepaid</w:t>
      </w:r>
      <w:r w:rsidRPr="0010442F">
        <w:rPr>
          <w:rFonts w:ascii="Aptos" w:hAnsi="Aptos" w:cs="Arial"/>
        </w:rPr>
        <w:t xml:space="preserve"> an incurred cost of equipment with a total </w:t>
      </w:r>
      <w:r w:rsidR="004E572E" w:rsidRPr="0010442F">
        <w:rPr>
          <w:rFonts w:ascii="Aptos" w:hAnsi="Aptos" w:cs="Arial"/>
        </w:rPr>
        <w:t>line-item</w:t>
      </w:r>
      <w:r w:rsidRPr="0010442F">
        <w:rPr>
          <w:rFonts w:ascii="Aptos" w:hAnsi="Aptos" w:cs="Arial"/>
        </w:rPr>
        <w:t xml:space="preserve"> cost of $100,000 or more, and this invoice includes an additional payment on the equipment, the Recipient must provide proof of payment for the previous installment.</w:t>
      </w:r>
    </w:p>
    <w:p w14:paraId="6BEF1AD5" w14:textId="2E34AF20" w:rsidR="00A26900" w:rsidRPr="0010442F" w:rsidRDefault="00A26900" w:rsidP="00A26900">
      <w:pPr>
        <w:numPr>
          <w:ilvl w:val="2"/>
          <w:numId w:val="23"/>
        </w:numPr>
        <w:spacing w:line="278" w:lineRule="auto"/>
        <w:rPr>
          <w:rFonts w:ascii="Aptos" w:hAnsi="Aptos" w:cs="Arial"/>
        </w:rPr>
      </w:pPr>
      <w:r w:rsidRPr="0010442F">
        <w:rPr>
          <w:rFonts w:ascii="Aptos" w:hAnsi="Aptos" w:cs="Arial"/>
        </w:rPr>
        <w:t xml:space="preserve">There may be occasional circumstances when a Recipient may not be able to provide proof of payment because it has not yet received funds from a prior invoice to </w:t>
      </w:r>
      <w:r w:rsidR="00353C34" w:rsidRPr="0010442F">
        <w:rPr>
          <w:rFonts w:ascii="Aptos" w:hAnsi="Aptos" w:cs="Arial"/>
        </w:rPr>
        <w:t>pay for</w:t>
      </w:r>
      <w:r w:rsidRPr="0010442F">
        <w:rPr>
          <w:rFonts w:ascii="Aptos" w:hAnsi="Aptos" w:cs="Arial"/>
        </w:rPr>
        <w:t xml:space="preserve"> the installment. When the Energy Commission pre-pays an expense such as equipment or a subcontractor’s invoice, Agreement terms and conditions require a Recipient to pay that entity within 14 days of recipient of payment from the Energy Commission. If a Recipient has not received payment prior to submitting another invoice, the Energy Commission will </w:t>
      </w:r>
      <w:r w:rsidR="00353C34" w:rsidRPr="0010442F">
        <w:rPr>
          <w:rFonts w:ascii="Aptos" w:hAnsi="Aptos" w:cs="Arial"/>
        </w:rPr>
        <w:t>pay for</w:t>
      </w:r>
      <w:r w:rsidRPr="0010442F">
        <w:rPr>
          <w:rFonts w:ascii="Aptos" w:hAnsi="Aptos" w:cs="Arial"/>
        </w:rPr>
        <w:t xml:space="preserve"> one additional installment without requiring proof of payment for the previous installment.</w:t>
      </w:r>
    </w:p>
    <w:p w14:paraId="4EE54587" w14:textId="568B3CE3" w:rsidR="00A26900" w:rsidRPr="0010442F" w:rsidRDefault="568B0ED2" w:rsidP="00A26900">
      <w:pPr>
        <w:numPr>
          <w:ilvl w:val="0"/>
          <w:numId w:val="23"/>
        </w:numPr>
        <w:spacing w:line="278" w:lineRule="auto"/>
        <w:rPr>
          <w:rFonts w:ascii="Aptos" w:hAnsi="Aptos" w:cs="Arial"/>
        </w:rPr>
      </w:pPr>
      <w:r w:rsidRPr="0010442F">
        <w:rPr>
          <w:rFonts w:ascii="Aptos" w:hAnsi="Aptos" w:cs="Arial"/>
        </w:rPr>
        <w:t>To add equipment to budget, Recipient must submit a “</w:t>
      </w:r>
      <w:hyperlink r:id="rId17">
        <w:r w:rsidR="7057EA1B" w:rsidRPr="0010442F">
          <w:rPr>
            <w:rStyle w:val="Hyperlink"/>
            <w:rFonts w:ascii="Aptos" w:hAnsi="Aptos" w:cs="Arial"/>
            <w:b/>
            <w:bCs/>
          </w:rPr>
          <w:t>Form</w:t>
        </w:r>
        <w:r w:rsidR="7057EA1B" w:rsidRPr="0010442F">
          <w:rPr>
            <w:rStyle w:val="Hyperlink"/>
            <w:rFonts w:ascii="Aptos" w:hAnsi="Aptos"/>
            <w:b/>
            <w:bCs/>
          </w:rPr>
          <w:t xml:space="preserve"> to Add Equipment/Supplies</w:t>
        </w:r>
      </w:hyperlink>
      <w:r w:rsidRPr="0010442F">
        <w:rPr>
          <w:rFonts w:ascii="Aptos" w:hAnsi="Aptos" w:cs="Arial"/>
        </w:rPr>
        <w:t>”</w:t>
      </w:r>
    </w:p>
    <w:p w14:paraId="4CA93877" w14:textId="77777777" w:rsidR="00A26900" w:rsidRPr="0010442F" w:rsidRDefault="00A26900" w:rsidP="00A26900">
      <w:pPr>
        <w:numPr>
          <w:ilvl w:val="1"/>
          <w:numId w:val="23"/>
        </w:numPr>
        <w:spacing w:line="278" w:lineRule="auto"/>
        <w:rPr>
          <w:rFonts w:ascii="Aptos" w:hAnsi="Aptos" w:cs="Arial"/>
        </w:rPr>
      </w:pPr>
      <w:r w:rsidRPr="0010442F">
        <w:rPr>
          <w:rFonts w:ascii="Aptos" w:hAnsi="Aptos" w:cs="Arial"/>
        </w:rPr>
        <w:lastRenderedPageBreak/>
        <w:t xml:space="preserve">The Form can be included with an invoice, and if the equipment is approved, the expense can be paid without completing a budget amendment first AS LONG AS adding the equipment will not trigger </w:t>
      </w:r>
      <w:proofErr w:type="gramStart"/>
      <w:r w:rsidRPr="0010442F">
        <w:rPr>
          <w:rFonts w:ascii="Aptos" w:hAnsi="Aptos" w:cs="Arial"/>
        </w:rPr>
        <w:t>a budget</w:t>
      </w:r>
      <w:proofErr w:type="gramEnd"/>
      <w:r w:rsidRPr="0010442F">
        <w:rPr>
          <w:rFonts w:ascii="Aptos" w:hAnsi="Aptos" w:cs="Arial"/>
        </w:rPr>
        <w:t xml:space="preserve"> reallocation (i.e., this new equipment is replacing existing equipment that is no longer required for the project.)</w:t>
      </w:r>
    </w:p>
    <w:p w14:paraId="12E800B4" w14:textId="4BFAC5E3" w:rsidR="00A26900" w:rsidRPr="0010442F" w:rsidRDefault="00A26900" w:rsidP="00A26900">
      <w:pPr>
        <w:numPr>
          <w:ilvl w:val="1"/>
          <w:numId w:val="23"/>
        </w:numPr>
        <w:spacing w:line="278" w:lineRule="auto"/>
        <w:rPr>
          <w:rFonts w:ascii="Aptos" w:hAnsi="Aptos" w:cs="Arial"/>
        </w:rPr>
      </w:pPr>
      <w:r w:rsidRPr="0010442F">
        <w:rPr>
          <w:rFonts w:ascii="Aptos" w:hAnsi="Aptos" w:cs="Arial"/>
        </w:rPr>
        <w:t xml:space="preserve">If a budget reallocation </w:t>
      </w:r>
      <w:r w:rsidR="00353C34" w:rsidRPr="0010442F">
        <w:rPr>
          <w:rFonts w:ascii="Aptos" w:hAnsi="Aptos" w:cs="Arial"/>
        </w:rPr>
        <w:t>is</w:t>
      </w:r>
      <w:r w:rsidRPr="0010442F">
        <w:rPr>
          <w:rFonts w:ascii="Aptos" w:hAnsi="Aptos" w:cs="Arial"/>
        </w:rPr>
        <w:t xml:space="preserve"> required, the new equipment expense cannot be paid until the budget reallocation is complete.  </w:t>
      </w:r>
    </w:p>
    <w:p w14:paraId="696FBA34" w14:textId="353262FA" w:rsidR="00A26900" w:rsidRPr="0010442F" w:rsidRDefault="00A26900" w:rsidP="00A26900">
      <w:pPr>
        <w:numPr>
          <w:ilvl w:val="1"/>
          <w:numId w:val="23"/>
        </w:numPr>
        <w:spacing w:line="278" w:lineRule="auto"/>
        <w:rPr>
          <w:rFonts w:ascii="Aptos" w:hAnsi="Aptos" w:cs="Arial"/>
        </w:rPr>
      </w:pPr>
      <w:r w:rsidRPr="0010442F">
        <w:rPr>
          <w:rFonts w:ascii="Aptos" w:hAnsi="Aptos" w:cs="Arial"/>
        </w:rPr>
        <w:t xml:space="preserve">If the invoice can be paid without a budget reallocation, a budget reallocation will still need to be completed to ensure that the budget properly reflects the actual equipment for the </w:t>
      </w:r>
      <w:r w:rsidR="00353C34" w:rsidRPr="0010442F">
        <w:rPr>
          <w:rFonts w:ascii="Aptos" w:hAnsi="Aptos" w:cs="Arial"/>
        </w:rPr>
        <w:t>project but</w:t>
      </w:r>
      <w:r w:rsidRPr="0010442F">
        <w:rPr>
          <w:rFonts w:ascii="Aptos" w:hAnsi="Aptos" w:cs="Arial"/>
        </w:rPr>
        <w:t xml:space="preserve"> can be done so after the invoice is paid. The ECAMS Team recommends that the budget reallocation be submitted by the next quarterly progress report. </w:t>
      </w:r>
    </w:p>
    <w:p w14:paraId="7E473B4C" w14:textId="77777777" w:rsidR="00A26900" w:rsidRPr="0010442F" w:rsidRDefault="00A26900" w:rsidP="00353C34">
      <w:pPr>
        <w:pStyle w:val="Heading3"/>
        <w:spacing w:after="240"/>
        <w:rPr>
          <w:rFonts w:ascii="Aptos" w:hAnsi="Aptos"/>
          <w:b/>
          <w:bCs/>
        </w:rPr>
      </w:pPr>
      <w:bookmarkStart w:id="24" w:name="_Toc216776570"/>
      <w:r w:rsidRPr="0010442F">
        <w:rPr>
          <w:rFonts w:ascii="Aptos" w:hAnsi="Aptos"/>
          <w:b/>
          <w:bCs/>
        </w:rPr>
        <w:t>Independent Verification of Large Equipment Expenditures</w:t>
      </w:r>
      <w:bookmarkEnd w:id="24"/>
    </w:p>
    <w:p w14:paraId="0DBACDB8" w14:textId="6B8B067D" w:rsidR="00A26900" w:rsidRPr="0010442F" w:rsidRDefault="00A26900" w:rsidP="00A26900">
      <w:pPr>
        <w:spacing w:line="278" w:lineRule="auto"/>
        <w:rPr>
          <w:rFonts w:ascii="Aptos" w:hAnsi="Aptos" w:cs="Arial"/>
        </w:rPr>
      </w:pPr>
      <w:r w:rsidRPr="0010442F">
        <w:rPr>
          <w:rFonts w:ascii="Aptos" w:hAnsi="Aptos" w:cs="Arial"/>
        </w:rPr>
        <w:t xml:space="preserve">A CAM must independently verify equipment purchases with the vendor for: 1) equipment with a per </w:t>
      </w:r>
      <w:r w:rsidR="00BE2C2F" w:rsidRPr="0010442F">
        <w:rPr>
          <w:rFonts w:ascii="Aptos" w:hAnsi="Aptos" w:cs="Arial"/>
        </w:rPr>
        <w:t>line-item</w:t>
      </w:r>
      <w:r w:rsidRPr="0010442F">
        <w:rPr>
          <w:rFonts w:ascii="Aptos" w:hAnsi="Aptos" w:cs="Arial"/>
        </w:rPr>
        <w:t xml:space="preserve"> incurred cost of $100,000 or greater; or 2) a single equipment vendor with $100,000 or more in equipment incurred costs. </w:t>
      </w:r>
    </w:p>
    <w:p w14:paraId="5272D01A" w14:textId="16A4EE55" w:rsidR="00A26900" w:rsidRPr="0010442F" w:rsidRDefault="6C5D1ACB" w:rsidP="00A26900">
      <w:pPr>
        <w:spacing w:line="278" w:lineRule="auto"/>
        <w:rPr>
          <w:rFonts w:ascii="Aptos" w:hAnsi="Aptos" w:cs="Arial"/>
        </w:rPr>
      </w:pPr>
      <w:r w:rsidRPr="0010442F">
        <w:rPr>
          <w:rFonts w:ascii="Aptos" w:hAnsi="Aptos" w:cs="Arial"/>
        </w:rPr>
        <w:t>The</w:t>
      </w:r>
      <w:r w:rsidRPr="007E7C98">
        <w:rPr>
          <w:rFonts w:ascii="Aptos" w:hAnsi="Aptos" w:cs="Arial"/>
        </w:rPr>
        <w:t> </w:t>
      </w:r>
      <w:hyperlink r:id="rId18" w:history="1">
        <w:r w:rsidRPr="0010442F">
          <w:rPr>
            <w:rStyle w:val="Hyperlink"/>
            <w:rFonts w:ascii="Aptos" w:hAnsi="Aptos" w:cs="Arial"/>
            <w:b/>
            <w:bCs/>
          </w:rPr>
          <w:t>Equipment Verification Email Form</w:t>
        </w:r>
        <w:r w:rsidRPr="007E7C98">
          <w:rPr>
            <w:rStyle w:val="Hyperlink"/>
            <w:rFonts w:ascii="Aptos" w:hAnsi="Aptos" w:cs="Arial"/>
          </w:rPr>
          <w:t> </w:t>
        </w:r>
      </w:hyperlink>
      <w:r w:rsidRPr="0010442F">
        <w:rPr>
          <w:rFonts w:ascii="Aptos" w:hAnsi="Aptos" w:cs="Arial"/>
        </w:rPr>
        <w:t>will be used as a tool for the Recipient to connect the CAM to the Vendor who may otherwise be hesitant to share financial information such as payment details with the Energy Commission. </w:t>
      </w:r>
    </w:p>
    <w:p w14:paraId="19A6617F" w14:textId="0CA46AC6" w:rsidR="00A26900" w:rsidRPr="0010442F" w:rsidRDefault="00A26900" w:rsidP="00A26900">
      <w:pPr>
        <w:spacing w:line="278" w:lineRule="auto"/>
        <w:rPr>
          <w:rFonts w:ascii="Aptos" w:hAnsi="Aptos" w:cs="Arial"/>
        </w:rPr>
      </w:pPr>
      <w:r w:rsidRPr="0010442F">
        <w:rPr>
          <w:rFonts w:ascii="Aptos" w:hAnsi="Aptos" w:cs="Arial"/>
        </w:rPr>
        <w:t xml:space="preserve">If the e-mail verification option presents a challenge, a Recipient can use another option to verify equipment purchases of $100,000 or more. For fully or partially paid costs, proof of payment can be a copy of a check or wire transfer and a bank statement to verify the funds were actually paid to the equipment provider. If </w:t>
      </w:r>
      <w:proofErr w:type="gramStart"/>
      <w:r w:rsidRPr="0010442F">
        <w:rPr>
          <w:rFonts w:ascii="Aptos" w:hAnsi="Aptos" w:cs="Arial"/>
        </w:rPr>
        <w:t>progress payments are made</w:t>
      </w:r>
      <w:proofErr w:type="gramEnd"/>
      <w:r w:rsidRPr="0010442F">
        <w:rPr>
          <w:rFonts w:ascii="Aptos" w:hAnsi="Aptos" w:cs="Arial"/>
        </w:rPr>
        <w:t xml:space="preserve">, the equipment provider's invoice </w:t>
      </w:r>
      <w:proofErr w:type="gramStart"/>
      <w:r w:rsidRPr="0010442F">
        <w:rPr>
          <w:rFonts w:ascii="Aptos" w:hAnsi="Aptos" w:cs="Arial"/>
        </w:rPr>
        <w:t>including</w:t>
      </w:r>
      <w:proofErr w:type="gramEnd"/>
      <w:r w:rsidRPr="0010442F">
        <w:rPr>
          <w:rFonts w:ascii="Aptos" w:hAnsi="Aptos" w:cs="Arial"/>
        </w:rPr>
        <w:t xml:space="preserve"> amounts already paid along with amounts currently due and a copy of the bank statement to verify payment was made.</w:t>
      </w:r>
    </w:p>
    <w:p w14:paraId="699212F9" w14:textId="77777777" w:rsidR="00BF7136" w:rsidRPr="0010442F" w:rsidRDefault="00BF7136" w:rsidP="00BF7136">
      <w:pPr>
        <w:pStyle w:val="Heading2"/>
        <w:spacing w:after="240"/>
        <w:rPr>
          <w:rFonts w:ascii="Aptos" w:hAnsi="Aptos"/>
          <w:b/>
          <w:bCs/>
          <w:sz w:val="24"/>
          <w:szCs w:val="24"/>
        </w:rPr>
      </w:pPr>
      <w:bookmarkStart w:id="25" w:name="_Toc216776571"/>
      <w:r w:rsidRPr="0010442F">
        <w:rPr>
          <w:rFonts w:ascii="Aptos" w:hAnsi="Aptos"/>
          <w:b/>
          <w:bCs/>
          <w:sz w:val="24"/>
          <w:szCs w:val="24"/>
        </w:rPr>
        <w:t>SUPPLIES</w:t>
      </w:r>
      <w:bookmarkEnd w:id="25"/>
    </w:p>
    <w:p w14:paraId="136C63BA" w14:textId="77777777" w:rsidR="00DC1B5D" w:rsidRPr="0010442F" w:rsidRDefault="00DC1B5D" w:rsidP="00DC1B5D">
      <w:pPr>
        <w:spacing w:before="240" w:after="240" w:line="279" w:lineRule="auto"/>
        <w:rPr>
          <w:rFonts w:ascii="Aptos" w:hAnsi="Aptos"/>
        </w:rPr>
      </w:pPr>
      <w:r w:rsidRPr="0010442F">
        <w:rPr>
          <w:rFonts w:ascii="Aptos" w:hAnsi="Aptos"/>
        </w:rPr>
        <w:t>Supplies</w:t>
      </w:r>
      <w:r w:rsidRPr="0010442F">
        <w:rPr>
          <w:rFonts w:ascii="Aptos" w:hAnsi="Aptos"/>
          <w:b/>
          <w:bCs/>
        </w:rPr>
        <w:t xml:space="preserve"> </w:t>
      </w:r>
      <w:r w:rsidRPr="0010442F">
        <w:rPr>
          <w:rFonts w:ascii="Aptos" w:hAnsi="Aptos"/>
        </w:rPr>
        <w:t>consist of components that are put together to create a functioning system or product. Supplies are generally considered consumable products regardless of their useful life. Examples are distribution poles, reclosers, conductor, insulators, batteries not integrated into a complete BESS, transformers, etc.</w:t>
      </w:r>
    </w:p>
    <w:p w14:paraId="24357447" w14:textId="66923BC7" w:rsidR="00E978A4" w:rsidRPr="0010442F" w:rsidRDefault="00E978A4" w:rsidP="00DC1B5D">
      <w:pPr>
        <w:spacing w:before="240" w:after="240" w:line="279" w:lineRule="auto"/>
        <w:rPr>
          <w:rFonts w:ascii="Aptos" w:hAnsi="Aptos"/>
        </w:rPr>
      </w:pPr>
      <w:r w:rsidRPr="0010442F">
        <w:rPr>
          <w:rFonts w:ascii="Aptos" w:hAnsi="Aptos"/>
        </w:rPr>
        <w:t xml:space="preserve">Supplies may also consist of items of cost that do not fall under other budget categories. </w:t>
      </w:r>
      <w:r w:rsidR="00392E5B" w:rsidRPr="0010442F">
        <w:rPr>
          <w:rFonts w:ascii="Aptos" w:hAnsi="Aptos"/>
        </w:rPr>
        <w:t>These</w:t>
      </w:r>
      <w:r w:rsidRPr="0010442F">
        <w:rPr>
          <w:rFonts w:ascii="Aptos" w:hAnsi="Aptos"/>
        </w:rPr>
        <w:t xml:space="preserve"> costs must be directly allocable to the CEC-funded project. Examples </w:t>
      </w:r>
      <w:proofErr w:type="gramStart"/>
      <w:r w:rsidRPr="0010442F">
        <w:rPr>
          <w:rFonts w:ascii="Aptos" w:hAnsi="Aptos"/>
        </w:rPr>
        <w:t>include:</w:t>
      </w:r>
      <w:proofErr w:type="gramEnd"/>
      <w:r w:rsidRPr="0010442F">
        <w:rPr>
          <w:rFonts w:ascii="Aptos" w:hAnsi="Aptos"/>
        </w:rPr>
        <w:t xml:space="preserve"> lab or facility rental, av equipment rental, software licenses, printing (brochures/pamphlets)</w:t>
      </w:r>
      <w:r w:rsidR="00392E5B" w:rsidRPr="0010442F">
        <w:rPr>
          <w:rFonts w:ascii="Aptos" w:hAnsi="Aptos"/>
        </w:rPr>
        <w:t>.</w:t>
      </w:r>
    </w:p>
    <w:p w14:paraId="405CBD72" w14:textId="38D4E52E" w:rsidR="00BF7136" w:rsidRPr="0010442F" w:rsidRDefault="00BF7136" w:rsidP="005838C3">
      <w:pPr>
        <w:pStyle w:val="Heading3"/>
        <w:spacing w:after="240"/>
        <w:rPr>
          <w:rFonts w:ascii="Aptos" w:hAnsi="Aptos"/>
          <w:b/>
          <w:bCs/>
        </w:rPr>
      </w:pPr>
      <w:bookmarkStart w:id="26" w:name="_Toc216776572"/>
      <w:r w:rsidRPr="0010442F">
        <w:rPr>
          <w:rFonts w:ascii="Aptos" w:hAnsi="Aptos"/>
          <w:b/>
          <w:bCs/>
        </w:rPr>
        <w:lastRenderedPageBreak/>
        <w:t xml:space="preserve">Are Items Listed </w:t>
      </w:r>
      <w:r w:rsidR="00763DCE" w:rsidRPr="0010442F">
        <w:rPr>
          <w:rFonts w:ascii="Aptos" w:hAnsi="Aptos"/>
          <w:b/>
          <w:bCs/>
        </w:rPr>
        <w:t>in</w:t>
      </w:r>
      <w:r w:rsidRPr="0010442F">
        <w:rPr>
          <w:rFonts w:ascii="Aptos" w:hAnsi="Aptos"/>
          <w:b/>
          <w:bCs/>
        </w:rPr>
        <w:t xml:space="preserve"> Your Budget Proper for the Category?</w:t>
      </w:r>
      <w:bookmarkEnd w:id="26"/>
    </w:p>
    <w:p w14:paraId="40DC8D77" w14:textId="77777777" w:rsidR="00BF7136" w:rsidRPr="0010442F" w:rsidRDefault="00BF7136" w:rsidP="00BF7136">
      <w:pPr>
        <w:numPr>
          <w:ilvl w:val="0"/>
          <w:numId w:val="25"/>
        </w:numPr>
        <w:spacing w:line="278" w:lineRule="auto"/>
        <w:rPr>
          <w:rFonts w:ascii="Aptos" w:hAnsi="Aptos" w:cs="Arial"/>
        </w:rPr>
      </w:pPr>
      <w:r w:rsidRPr="0010442F">
        <w:rPr>
          <w:rFonts w:ascii="Aptos" w:hAnsi="Aptos" w:cs="Arial"/>
        </w:rPr>
        <w:t xml:space="preserve">Unless </w:t>
      </w:r>
      <w:proofErr w:type="gramStart"/>
      <w:r w:rsidRPr="0010442F">
        <w:rPr>
          <w:rFonts w:ascii="Aptos" w:hAnsi="Aptos" w:cs="Arial"/>
        </w:rPr>
        <w:t>it is clear that the</w:t>
      </w:r>
      <w:proofErr w:type="gramEnd"/>
      <w:r w:rsidRPr="0010442F">
        <w:rPr>
          <w:rFonts w:ascii="Aptos" w:hAnsi="Aptos" w:cs="Arial"/>
        </w:rPr>
        <w:t xml:space="preserve"> cost is incurred to further the scope of work, the Recipient should not direct bill items such as paper, printer toner, pencils, rent, utilities, etc. These types of costs are typically included in </w:t>
      </w:r>
      <w:proofErr w:type="gramStart"/>
      <w:r w:rsidRPr="0010442F">
        <w:rPr>
          <w:rFonts w:ascii="Aptos" w:hAnsi="Aptos" w:cs="Arial"/>
        </w:rPr>
        <w:t>an Indirect</w:t>
      </w:r>
      <w:proofErr w:type="gramEnd"/>
      <w:r w:rsidRPr="0010442F">
        <w:rPr>
          <w:rFonts w:ascii="Aptos" w:hAnsi="Aptos" w:cs="Arial"/>
        </w:rPr>
        <w:t xml:space="preserve"> Rate.</w:t>
      </w:r>
    </w:p>
    <w:p w14:paraId="682BD9E8" w14:textId="77777777" w:rsidR="00BF7136" w:rsidRPr="0010442F" w:rsidRDefault="00BF7136" w:rsidP="00BF7136">
      <w:pPr>
        <w:numPr>
          <w:ilvl w:val="0"/>
          <w:numId w:val="25"/>
        </w:numPr>
        <w:spacing w:line="278" w:lineRule="auto"/>
        <w:rPr>
          <w:rFonts w:ascii="Aptos" w:hAnsi="Aptos" w:cs="Arial"/>
        </w:rPr>
      </w:pPr>
      <w:r w:rsidRPr="0010442F">
        <w:rPr>
          <w:rFonts w:ascii="Aptos" w:hAnsi="Aptos" w:cs="Arial"/>
        </w:rPr>
        <w:t>Services or items of cost that involve labor are either Subrecipients or Vendors and do not belong in this category.</w:t>
      </w:r>
    </w:p>
    <w:p w14:paraId="755384A7" w14:textId="77777777" w:rsidR="00BF7136" w:rsidRPr="0010442F" w:rsidRDefault="00BF7136" w:rsidP="005726B3">
      <w:pPr>
        <w:pStyle w:val="Heading3"/>
        <w:spacing w:after="240"/>
        <w:rPr>
          <w:rFonts w:ascii="Aptos" w:hAnsi="Aptos"/>
          <w:b/>
          <w:bCs/>
        </w:rPr>
      </w:pPr>
      <w:bookmarkStart w:id="27" w:name="_Toc216776573"/>
      <w:r w:rsidRPr="0010442F">
        <w:rPr>
          <w:rFonts w:ascii="Aptos" w:hAnsi="Aptos"/>
          <w:b/>
          <w:bCs/>
        </w:rPr>
        <w:t>Supporting Documentation Required</w:t>
      </w:r>
      <w:bookmarkEnd w:id="27"/>
    </w:p>
    <w:p w14:paraId="2014DFAC" w14:textId="39BF6F5E" w:rsidR="00BF7136" w:rsidRPr="0010442F" w:rsidRDefault="00BF7136" w:rsidP="00BF7136">
      <w:pPr>
        <w:spacing w:line="278" w:lineRule="auto"/>
        <w:rPr>
          <w:rFonts w:ascii="Aptos" w:hAnsi="Aptos" w:cs="Arial"/>
        </w:rPr>
      </w:pPr>
      <w:r w:rsidRPr="0010442F">
        <w:rPr>
          <w:rFonts w:ascii="Aptos" w:hAnsi="Aptos" w:cs="Arial"/>
        </w:rPr>
        <w:t xml:space="preserve">Supporting documentation must be provided for any </w:t>
      </w:r>
      <w:r w:rsidR="00BE2C2F" w:rsidRPr="0010442F">
        <w:rPr>
          <w:rFonts w:ascii="Aptos" w:hAnsi="Aptos" w:cs="Arial"/>
        </w:rPr>
        <w:t>line-item</w:t>
      </w:r>
      <w:r w:rsidRPr="0010442F">
        <w:rPr>
          <w:rFonts w:ascii="Aptos" w:hAnsi="Aptos" w:cs="Arial"/>
        </w:rPr>
        <w:t xml:space="preserve"> total that is $5,000 or more.</w:t>
      </w:r>
    </w:p>
    <w:p w14:paraId="5BD59DA1" w14:textId="77777777" w:rsidR="00BF7136" w:rsidRPr="0010442F" w:rsidRDefault="00BF7136" w:rsidP="00BF7136">
      <w:pPr>
        <w:numPr>
          <w:ilvl w:val="0"/>
          <w:numId w:val="26"/>
        </w:numPr>
        <w:spacing w:line="278" w:lineRule="auto"/>
        <w:rPr>
          <w:rFonts w:ascii="Aptos" w:hAnsi="Aptos" w:cs="Arial"/>
        </w:rPr>
      </w:pPr>
      <w:r w:rsidRPr="0010442F">
        <w:rPr>
          <w:rFonts w:ascii="Aptos" w:hAnsi="Aptos" w:cs="Arial"/>
        </w:rPr>
        <w:t>For example, a single line item with 6 widgets at $1,000 each, which equals $6,000, would require a receipt(s), even if $3,000 was covered by Match Funds and $3,000 by CEC Funds.</w:t>
      </w:r>
    </w:p>
    <w:p w14:paraId="2D0D02A8" w14:textId="77777777" w:rsidR="00BF7136" w:rsidRPr="0010442F" w:rsidRDefault="00BF7136" w:rsidP="00BF7136">
      <w:pPr>
        <w:spacing w:line="278" w:lineRule="auto"/>
        <w:rPr>
          <w:rFonts w:ascii="Aptos" w:hAnsi="Aptos" w:cs="Arial"/>
        </w:rPr>
      </w:pPr>
      <w:proofErr w:type="gramStart"/>
      <w:r w:rsidRPr="0010442F">
        <w:rPr>
          <w:rFonts w:ascii="Aptos" w:hAnsi="Aptos" w:cs="Arial"/>
        </w:rPr>
        <w:t>Acceptable</w:t>
      </w:r>
      <w:proofErr w:type="gramEnd"/>
      <w:r w:rsidRPr="0010442F">
        <w:rPr>
          <w:rFonts w:ascii="Aptos" w:hAnsi="Aptos" w:cs="Arial"/>
        </w:rPr>
        <w:t xml:space="preserve"> supporting documentation includes an invoice, a bill, or a receipt for expenses that have been paid or expenses that have been incurred (meaning the expense is legally binding even if not actually paid yet). A purchase order, without either an invoice, bill, or receipt, is not sufficient.</w:t>
      </w:r>
    </w:p>
    <w:p w14:paraId="672BA059" w14:textId="741C3DFB" w:rsidR="00BF7136" w:rsidRPr="0010442F" w:rsidRDefault="00BF7136" w:rsidP="005726B3">
      <w:pPr>
        <w:pStyle w:val="Heading3"/>
        <w:spacing w:after="240"/>
        <w:rPr>
          <w:rFonts w:ascii="Aptos" w:hAnsi="Aptos"/>
          <w:b/>
          <w:bCs/>
        </w:rPr>
      </w:pPr>
      <w:bookmarkStart w:id="28" w:name="_Toc216776574"/>
      <w:r w:rsidRPr="0010442F">
        <w:rPr>
          <w:rFonts w:ascii="Aptos" w:hAnsi="Aptos"/>
          <w:b/>
          <w:bCs/>
        </w:rPr>
        <w:t xml:space="preserve">Adding New </w:t>
      </w:r>
      <w:r w:rsidR="005726B3" w:rsidRPr="0010442F">
        <w:rPr>
          <w:rFonts w:ascii="Aptos" w:hAnsi="Aptos"/>
          <w:b/>
          <w:bCs/>
        </w:rPr>
        <w:t>Supplies</w:t>
      </w:r>
      <w:r w:rsidRPr="0010442F">
        <w:rPr>
          <w:rFonts w:ascii="Aptos" w:hAnsi="Aptos"/>
          <w:b/>
          <w:bCs/>
        </w:rPr>
        <w:t xml:space="preserve"> to the Budget</w:t>
      </w:r>
      <w:bookmarkEnd w:id="28"/>
    </w:p>
    <w:p w14:paraId="0FB374D0" w14:textId="781107B7" w:rsidR="00BF7136" w:rsidRPr="0010442F" w:rsidRDefault="00BF7136" w:rsidP="00BF7136">
      <w:pPr>
        <w:spacing w:line="278" w:lineRule="auto"/>
        <w:rPr>
          <w:rFonts w:ascii="Aptos" w:hAnsi="Aptos" w:cs="Arial"/>
        </w:rPr>
      </w:pPr>
      <w:r w:rsidRPr="0010442F">
        <w:rPr>
          <w:rFonts w:ascii="Aptos" w:hAnsi="Aptos" w:cs="Arial"/>
        </w:rPr>
        <w:t xml:space="preserve">If a recipient wants to charge an expense to the </w:t>
      </w:r>
      <w:r w:rsidR="005726B3" w:rsidRPr="0010442F">
        <w:rPr>
          <w:rFonts w:ascii="Aptos" w:hAnsi="Aptos" w:cs="Arial"/>
        </w:rPr>
        <w:t>Supplies</w:t>
      </w:r>
      <w:r w:rsidRPr="0010442F">
        <w:rPr>
          <w:rFonts w:ascii="Aptos" w:hAnsi="Aptos" w:cs="Arial"/>
        </w:rPr>
        <w:t xml:space="preserve"> Category, that expense must be necessary to accomplish the Scope of Work. All items included </w:t>
      </w:r>
      <w:r w:rsidR="005726B3" w:rsidRPr="0010442F">
        <w:rPr>
          <w:rFonts w:ascii="Aptos" w:hAnsi="Aptos" w:cs="Arial"/>
        </w:rPr>
        <w:t>in</w:t>
      </w:r>
      <w:r w:rsidRPr="0010442F">
        <w:rPr>
          <w:rFonts w:ascii="Aptos" w:hAnsi="Aptos" w:cs="Arial"/>
        </w:rPr>
        <w:t xml:space="preserve"> the budget are deemed approved because they have been determined to be necessary.</w:t>
      </w:r>
    </w:p>
    <w:p w14:paraId="72951A6A" w14:textId="5A26C205" w:rsidR="00BF7136" w:rsidRPr="0010442F" w:rsidRDefault="00BF7136" w:rsidP="00380111">
      <w:pPr>
        <w:pStyle w:val="Heading3"/>
        <w:spacing w:after="240"/>
        <w:rPr>
          <w:rFonts w:ascii="Aptos" w:hAnsi="Aptos"/>
          <w:b/>
          <w:bCs/>
        </w:rPr>
      </w:pPr>
      <w:bookmarkStart w:id="29" w:name="_Toc216776575"/>
      <w:r w:rsidRPr="0010442F">
        <w:rPr>
          <w:rFonts w:ascii="Aptos" w:hAnsi="Aptos"/>
          <w:b/>
          <w:bCs/>
        </w:rPr>
        <w:t xml:space="preserve">Additions </w:t>
      </w:r>
      <w:r w:rsidR="00380111" w:rsidRPr="0010442F">
        <w:rPr>
          <w:rFonts w:ascii="Aptos" w:hAnsi="Aptos"/>
          <w:b/>
          <w:bCs/>
        </w:rPr>
        <w:t>L</w:t>
      </w:r>
      <w:r w:rsidRPr="0010442F">
        <w:rPr>
          <w:rFonts w:ascii="Aptos" w:hAnsi="Aptos"/>
          <w:b/>
          <w:bCs/>
        </w:rPr>
        <w:t>ess than $5,000</w:t>
      </w:r>
      <w:bookmarkEnd w:id="29"/>
    </w:p>
    <w:p w14:paraId="5D233FF4" w14:textId="7E6D4A6A" w:rsidR="00BF7136" w:rsidRPr="0010442F" w:rsidRDefault="00BF7136" w:rsidP="00BF7136">
      <w:pPr>
        <w:spacing w:line="278" w:lineRule="auto"/>
        <w:rPr>
          <w:rFonts w:ascii="Aptos" w:hAnsi="Aptos" w:cs="Arial"/>
        </w:rPr>
      </w:pPr>
      <w:r w:rsidRPr="0010442F">
        <w:rPr>
          <w:rFonts w:ascii="Aptos" w:hAnsi="Aptos" w:cs="Arial"/>
        </w:rPr>
        <w:t xml:space="preserve">A Recipient may charge an expense to this category under $5,000 that was not included on the budget, </w:t>
      </w:r>
      <w:proofErr w:type="gramStart"/>
      <w:r w:rsidRPr="0010442F">
        <w:rPr>
          <w:rFonts w:ascii="Aptos" w:hAnsi="Aptos" w:cs="Arial"/>
        </w:rPr>
        <w:t>as long as</w:t>
      </w:r>
      <w:proofErr w:type="gramEnd"/>
      <w:r w:rsidRPr="0010442F">
        <w:rPr>
          <w:rFonts w:ascii="Aptos" w:hAnsi="Aptos" w:cs="Arial"/>
        </w:rPr>
        <w:t xml:space="preserve"> it is necessary to accomplish the scope of work and meets other Agreement requirements. No supporting documentation will be required with the invoice, and no approval by way of the Form to Add</w:t>
      </w:r>
      <w:r w:rsidR="008A60E2" w:rsidRPr="0010442F">
        <w:rPr>
          <w:rFonts w:ascii="Aptos" w:hAnsi="Aptos" w:cs="Arial"/>
        </w:rPr>
        <w:t xml:space="preserve"> </w:t>
      </w:r>
      <w:r w:rsidRPr="0010442F">
        <w:rPr>
          <w:rFonts w:ascii="Aptos" w:hAnsi="Aptos" w:cs="Arial"/>
        </w:rPr>
        <w:t>Equipment/Materials and Miscellaneous will be required.</w:t>
      </w:r>
    </w:p>
    <w:p w14:paraId="2C595FC4" w14:textId="77777777" w:rsidR="00BF7136" w:rsidRPr="0010442F" w:rsidRDefault="00BF7136" w:rsidP="00BF7136">
      <w:pPr>
        <w:spacing w:line="278" w:lineRule="auto"/>
        <w:rPr>
          <w:rFonts w:ascii="Aptos" w:hAnsi="Aptos" w:cs="Arial"/>
        </w:rPr>
      </w:pPr>
      <w:r w:rsidRPr="0010442F">
        <w:rPr>
          <w:rFonts w:ascii="Aptos" w:hAnsi="Aptos" w:cs="Arial"/>
        </w:rPr>
        <w:t>Although the Energy Commission’s goal is to reduce administrative burdens, Recipients are to avoid practices to “game the system” by adding items to invoices in small increments to avoid the $5,000 approval threshold. Also, Recipients must remain mindful of un-budgeted spending so that expenses do not exceed the category budget.</w:t>
      </w:r>
    </w:p>
    <w:p w14:paraId="7BBB99CC" w14:textId="0316E06C" w:rsidR="00BF7136" w:rsidRPr="0010442F" w:rsidRDefault="00BF7136" w:rsidP="00A216ED">
      <w:pPr>
        <w:pStyle w:val="Heading3"/>
        <w:spacing w:after="240"/>
        <w:rPr>
          <w:rFonts w:ascii="Aptos" w:hAnsi="Aptos"/>
          <w:b/>
          <w:bCs/>
        </w:rPr>
      </w:pPr>
      <w:bookmarkStart w:id="30" w:name="_Toc216776576"/>
      <w:r w:rsidRPr="0010442F">
        <w:rPr>
          <w:rFonts w:ascii="Aptos" w:hAnsi="Aptos"/>
          <w:b/>
          <w:bCs/>
        </w:rPr>
        <w:t xml:space="preserve">Additions </w:t>
      </w:r>
      <w:r w:rsidR="006A06B4" w:rsidRPr="0010442F">
        <w:rPr>
          <w:rFonts w:ascii="Aptos" w:hAnsi="Aptos"/>
          <w:b/>
          <w:bCs/>
        </w:rPr>
        <w:t>M</w:t>
      </w:r>
      <w:r w:rsidRPr="0010442F">
        <w:rPr>
          <w:rFonts w:ascii="Aptos" w:hAnsi="Aptos"/>
          <w:b/>
          <w:bCs/>
        </w:rPr>
        <w:t>ore than $5,000</w:t>
      </w:r>
      <w:bookmarkEnd w:id="30"/>
    </w:p>
    <w:p w14:paraId="67081EC5" w14:textId="3CD5A3B4" w:rsidR="00BF7136" w:rsidRPr="0010442F" w:rsidRDefault="00BF7136" w:rsidP="00BF7136">
      <w:pPr>
        <w:spacing w:line="278" w:lineRule="auto"/>
        <w:rPr>
          <w:rFonts w:ascii="Aptos" w:hAnsi="Aptos" w:cs="Arial"/>
        </w:rPr>
      </w:pPr>
      <w:r w:rsidRPr="0010442F">
        <w:rPr>
          <w:rFonts w:ascii="Aptos" w:hAnsi="Aptos" w:cs="Arial"/>
        </w:rPr>
        <w:t xml:space="preserve">If a Recipient wants to charge an expense to this category of $5,000 or more per line item, and the expense was not included </w:t>
      </w:r>
      <w:r w:rsidR="007A3FA1" w:rsidRPr="0010442F">
        <w:rPr>
          <w:rFonts w:ascii="Aptos" w:hAnsi="Aptos" w:cs="Arial"/>
        </w:rPr>
        <w:t>in</w:t>
      </w:r>
      <w:r w:rsidRPr="0010442F">
        <w:rPr>
          <w:rFonts w:ascii="Aptos" w:hAnsi="Aptos" w:cs="Arial"/>
        </w:rPr>
        <w:t xml:space="preserve"> the budget, the new expense must be approved by way of a </w:t>
      </w:r>
      <w:r w:rsidRPr="0010442F">
        <w:rPr>
          <w:rFonts w:ascii="Aptos" w:hAnsi="Aptos" w:cs="Arial"/>
          <w:b/>
          <w:bCs/>
        </w:rPr>
        <w:t>Form to Add Equipment/</w:t>
      </w:r>
      <w:r w:rsidR="007A3FA1" w:rsidRPr="0010442F">
        <w:rPr>
          <w:rFonts w:ascii="Aptos" w:hAnsi="Aptos" w:cs="Arial"/>
          <w:b/>
          <w:bCs/>
        </w:rPr>
        <w:t>Supplies</w:t>
      </w:r>
      <w:r w:rsidRPr="0010442F">
        <w:rPr>
          <w:rFonts w:ascii="Aptos" w:hAnsi="Aptos" w:cs="Arial"/>
        </w:rPr>
        <w:t> </w:t>
      </w:r>
      <w:proofErr w:type="gramStart"/>
      <w:r w:rsidRPr="0010442F">
        <w:rPr>
          <w:rFonts w:ascii="Aptos" w:hAnsi="Aptos" w:cs="Arial"/>
        </w:rPr>
        <w:t>in order to</w:t>
      </w:r>
      <w:proofErr w:type="gramEnd"/>
      <w:r w:rsidRPr="0010442F">
        <w:rPr>
          <w:rFonts w:ascii="Aptos" w:hAnsi="Aptos" w:cs="Arial"/>
        </w:rPr>
        <w:t xml:space="preserve"> be reimbursed. A completed form may be submitted prior to invoicing or along with an invoice seeking reimbursement for the expense. Supporting documentation must also be provided.</w:t>
      </w:r>
    </w:p>
    <w:p w14:paraId="700B449A" w14:textId="42860E52" w:rsidR="00887F76" w:rsidRPr="0010442F" w:rsidRDefault="00887F76" w:rsidP="00887F76">
      <w:pPr>
        <w:pStyle w:val="Heading2"/>
        <w:spacing w:after="240"/>
        <w:rPr>
          <w:rFonts w:ascii="Aptos" w:hAnsi="Aptos"/>
          <w:b/>
          <w:bCs/>
          <w:caps/>
          <w:sz w:val="24"/>
          <w:szCs w:val="24"/>
        </w:rPr>
      </w:pPr>
      <w:bookmarkStart w:id="31" w:name="_Toc216776577"/>
      <w:r w:rsidRPr="0010442F">
        <w:rPr>
          <w:rFonts w:ascii="Aptos" w:hAnsi="Aptos"/>
          <w:b/>
          <w:bCs/>
          <w:caps/>
          <w:sz w:val="24"/>
          <w:szCs w:val="24"/>
        </w:rPr>
        <w:lastRenderedPageBreak/>
        <w:t>Build America Buy America (BABA)</w:t>
      </w:r>
      <w:bookmarkEnd w:id="31"/>
    </w:p>
    <w:p w14:paraId="1D748CBE" w14:textId="77777777" w:rsidR="00F06FED" w:rsidRPr="0010442F" w:rsidRDefault="00F06FED" w:rsidP="00F06FED">
      <w:pPr>
        <w:rPr>
          <w:rFonts w:ascii="Aptos" w:hAnsi="Aptos"/>
        </w:rPr>
      </w:pPr>
      <w:r w:rsidRPr="0010442F">
        <w:rPr>
          <w:rFonts w:ascii="Aptos" w:hAnsi="Aptos"/>
        </w:rPr>
        <w:t>None of the funds provided under this award may be used for a project for infrastructure unless:</w:t>
      </w:r>
    </w:p>
    <w:p w14:paraId="1B480F78" w14:textId="77777777" w:rsidR="00F06FED" w:rsidRPr="0010442F" w:rsidRDefault="00F06FED" w:rsidP="00F06FED">
      <w:pPr>
        <w:pStyle w:val="ListParagraph"/>
        <w:numPr>
          <w:ilvl w:val="0"/>
          <w:numId w:val="44"/>
        </w:numPr>
        <w:spacing w:after="0" w:line="240" w:lineRule="auto"/>
        <w:ind w:left="1080"/>
        <w:contextualSpacing w:val="0"/>
        <w:rPr>
          <w:rFonts w:ascii="Aptos" w:hAnsi="Aptos"/>
        </w:rPr>
      </w:pPr>
      <w:r w:rsidRPr="0010442F">
        <w:rPr>
          <w:rFonts w:ascii="Aptos" w:hAnsi="Aptos"/>
        </w:rPr>
        <w:t xml:space="preserve">All iron and steel used in the project is produced in the United States—this means all manufacturing processes, from the initial melting stage through the application of coatings, occurred in the United </w:t>
      </w:r>
      <w:proofErr w:type="gramStart"/>
      <w:r w:rsidRPr="0010442F">
        <w:rPr>
          <w:rFonts w:ascii="Aptos" w:hAnsi="Aptos"/>
        </w:rPr>
        <w:t>States;</w:t>
      </w:r>
      <w:proofErr w:type="gramEnd"/>
    </w:p>
    <w:p w14:paraId="36863C25" w14:textId="77777777" w:rsidR="00F06FED" w:rsidRPr="0010442F" w:rsidRDefault="00F06FED" w:rsidP="00F06FED">
      <w:pPr>
        <w:pStyle w:val="ListParagraph"/>
        <w:numPr>
          <w:ilvl w:val="0"/>
          <w:numId w:val="44"/>
        </w:numPr>
        <w:spacing w:after="0" w:line="240" w:lineRule="auto"/>
        <w:ind w:left="1080"/>
        <w:contextualSpacing w:val="0"/>
        <w:rPr>
          <w:rFonts w:ascii="Aptos" w:hAnsi="Aptos"/>
        </w:rPr>
      </w:pPr>
      <w:r w:rsidRPr="0010442F">
        <w:rPr>
          <w:rFonts w:ascii="Aptos" w:hAnsi="Aptos"/>
        </w:rPr>
        <w:t>All manufactured products used in the project are produced in the United States—this means the manufactured product was manufactured in the United States and the cost of the components of the manufactured product that are mined, produced, or manufactured in the United States is greater than 55 percent of the total cost of all components of the manufactured product, unless another standard for determining the minimum amount of domestic content of the manufactured product has been established under applicable law or regulation; and</w:t>
      </w:r>
    </w:p>
    <w:p w14:paraId="56BE3134" w14:textId="77777777" w:rsidR="00F06FED" w:rsidRPr="0010442F" w:rsidRDefault="00F06FED" w:rsidP="00F06FED">
      <w:pPr>
        <w:pStyle w:val="ListParagraph"/>
        <w:numPr>
          <w:ilvl w:val="0"/>
          <w:numId w:val="44"/>
        </w:numPr>
        <w:spacing w:after="120" w:line="240" w:lineRule="auto"/>
        <w:ind w:left="1080"/>
        <w:contextualSpacing w:val="0"/>
        <w:rPr>
          <w:rFonts w:ascii="Aptos" w:hAnsi="Aptos"/>
        </w:rPr>
      </w:pPr>
      <w:r w:rsidRPr="0010442F">
        <w:rPr>
          <w:rFonts w:ascii="Aptos" w:hAnsi="Aptos"/>
        </w:rPr>
        <w:t>All construction materials are manufactured in the United States—this means that all manufacturing processes for the construction material occurred in the United States.</w:t>
      </w:r>
    </w:p>
    <w:p w14:paraId="597288F5" w14:textId="77777777" w:rsidR="00F06FED" w:rsidRPr="0010442F" w:rsidRDefault="00F06FED" w:rsidP="00DC51D1">
      <w:pPr>
        <w:rPr>
          <w:rFonts w:ascii="Aptos" w:hAnsi="Aptos"/>
        </w:rPr>
      </w:pPr>
      <w:r w:rsidRPr="0010442F">
        <w:rPr>
          <w:rFonts w:ascii="Aptos" w:hAnsi="Aptos"/>
        </w:rPr>
        <w:t>The BABA Requirement only applies to articles, materials, and supplies that are consumed in, incorporated into, or permanently affixed to an infrastructure project. As such, it does not apply to tools, equipment, and supplies, such as temporary scaffolding, brought into the construction site and removed at or before the completion of the infrastructure project. Nor does a BABA Requirement apply to equipment and furnishings, such as movable chairs, desks, and portable computer equipment, that are used at or within the finished infrastructure project but are not an integral part of the structure or permanently affixed to the infrastructure project.</w:t>
      </w:r>
    </w:p>
    <w:p w14:paraId="19FCFC84" w14:textId="77777777" w:rsidR="00F06FED" w:rsidRPr="0010442F" w:rsidRDefault="00F06FED" w:rsidP="00DC51D1">
      <w:pPr>
        <w:rPr>
          <w:rFonts w:ascii="Aptos" w:hAnsi="Aptos"/>
        </w:rPr>
      </w:pPr>
      <w:r w:rsidRPr="0010442F">
        <w:rPr>
          <w:rFonts w:ascii="Aptos" w:hAnsi="Aptos"/>
        </w:rPr>
        <w:t>Recipients are responsible for administering their award in accordance with the terms and conditions, including the BABA Requirement. The recipient must ensure that the BABA Requirement flows down to all subrecipients and that the subrecipients comply with the BABA Requirement. The BABA Requirement term and condition must be included in all contracts, subcontracts, and purchase orders for work performed under the infrastructure project.</w:t>
      </w:r>
    </w:p>
    <w:p w14:paraId="197021CE" w14:textId="06952301" w:rsidR="00F06FED" w:rsidRPr="0010442F" w:rsidRDefault="1E2E3AD2" w:rsidP="00DC51D1">
      <w:pPr>
        <w:rPr>
          <w:rFonts w:ascii="Aptos" w:hAnsi="Aptos"/>
        </w:rPr>
      </w:pPr>
      <w:r w:rsidRPr="0010442F">
        <w:rPr>
          <w:rFonts w:ascii="Aptos" w:hAnsi="Aptos"/>
        </w:rPr>
        <w:t xml:space="preserve">See the CERRI Program Federal Subaward Terms and Conditions for additional information related to BABA compliance. The </w:t>
      </w:r>
      <w:hyperlink r:id="rId19">
        <w:r w:rsidRPr="0010442F">
          <w:rPr>
            <w:rStyle w:val="Hyperlink"/>
            <w:rFonts w:ascii="Aptos" w:hAnsi="Aptos" w:cs="Arial"/>
          </w:rPr>
          <w:t>CERRI Federal Subaward Terms</w:t>
        </w:r>
        <w:r w:rsidRPr="0010442F">
          <w:rPr>
            <w:rStyle w:val="Hyperlink"/>
            <w:rFonts w:ascii="Aptos" w:hAnsi="Aptos"/>
          </w:rPr>
          <w:t xml:space="preserve"> and Conditions</w:t>
        </w:r>
      </w:hyperlink>
      <w:r w:rsidRPr="0010442F">
        <w:rPr>
          <w:rFonts w:ascii="Aptos" w:hAnsi="Aptos"/>
        </w:rPr>
        <w:t xml:space="preserve"> can be accessed at https://www.energy.ca.gov/programs-and-topics/programs/community-energy-reliability-and-resilience-investment-cerri-program</w:t>
      </w:r>
      <w:r w:rsidR="545F1108" w:rsidRPr="0010442F">
        <w:rPr>
          <w:rFonts w:ascii="Aptos" w:hAnsi="Aptos"/>
        </w:rPr>
        <w:t>/</w:t>
      </w:r>
      <w:r w:rsidRPr="0010442F">
        <w:rPr>
          <w:rFonts w:ascii="Aptos" w:hAnsi="Aptos"/>
        </w:rPr>
        <w:t xml:space="preserve"> under the “Resources” dropdown menu.</w:t>
      </w:r>
    </w:p>
    <w:p w14:paraId="5FECE0AF" w14:textId="1CB63032" w:rsidR="00F06FED" w:rsidRPr="0010442F" w:rsidRDefault="00F06FED" w:rsidP="00DC51D1">
      <w:pPr>
        <w:pStyle w:val="HeadingNew1"/>
        <w:jc w:val="left"/>
        <w:rPr>
          <w:rFonts w:ascii="Aptos" w:hAnsi="Aptos"/>
          <w:b w:val="0"/>
        </w:rPr>
      </w:pPr>
      <w:r w:rsidRPr="0010442F">
        <w:rPr>
          <w:rFonts w:ascii="Aptos" w:hAnsi="Aptos"/>
          <w:b w:val="0"/>
          <w:bCs/>
        </w:rPr>
        <w:t xml:space="preserve">Applicants can seek additional assistance in identifying U.S. suppliers to meet the </w:t>
      </w:r>
      <w:r w:rsidRPr="0010442F">
        <w:rPr>
          <w:rFonts w:ascii="Aptos" w:hAnsi="Aptos"/>
          <w:b w:val="0"/>
        </w:rPr>
        <w:t>BABA</w:t>
      </w:r>
      <w:r w:rsidRPr="0010442F">
        <w:rPr>
          <w:rFonts w:ascii="Aptos" w:hAnsi="Aptos"/>
          <w:b w:val="0"/>
          <w:bCs/>
        </w:rPr>
        <w:t xml:space="preserve"> Requirement through the supplier scouting services offered by the Manufacturing Extension Partnership National Network (MEPNN). Established by the Department of Commerce’s National Institute of Standards and Technology, the MEPNN is a public-private partnership that aims to provide solutions to U.S. manufacturers and advance manufacturing within the country. Further information on </w:t>
      </w:r>
      <w:hyperlink r:id="rId20" w:history="1">
        <w:r w:rsidRPr="0010442F">
          <w:rPr>
            <w:rStyle w:val="Hyperlink"/>
            <w:rFonts w:ascii="Aptos" w:hAnsi="Aptos"/>
            <w:b w:val="0"/>
            <w:bCs/>
          </w:rPr>
          <w:t>MEPNN’s supplier scouting services</w:t>
        </w:r>
      </w:hyperlink>
      <w:r w:rsidRPr="0010442F">
        <w:rPr>
          <w:rFonts w:ascii="Aptos" w:hAnsi="Aptos"/>
          <w:b w:val="0"/>
          <w:bCs/>
        </w:rPr>
        <w:t xml:space="preserve"> can be accessed at https://www.nist.gov/mep/supply-chain/supplier-scouting.</w:t>
      </w:r>
    </w:p>
    <w:p w14:paraId="0192C877" w14:textId="254B7D84" w:rsidR="004345C0" w:rsidRPr="0010442F" w:rsidRDefault="183D0717" w:rsidP="00C95417">
      <w:pPr>
        <w:pStyle w:val="Heading3"/>
        <w:spacing w:after="240"/>
        <w:rPr>
          <w:rFonts w:ascii="Aptos" w:hAnsi="Aptos"/>
          <w:b/>
          <w:bCs/>
        </w:rPr>
      </w:pPr>
      <w:bookmarkStart w:id="32" w:name="_Toc216776578"/>
      <w:r w:rsidRPr="0010442F">
        <w:rPr>
          <w:rFonts w:ascii="Aptos" w:hAnsi="Aptos"/>
          <w:b/>
          <w:bCs/>
        </w:rPr>
        <w:lastRenderedPageBreak/>
        <w:t>Waivers</w:t>
      </w:r>
      <w:bookmarkEnd w:id="32"/>
    </w:p>
    <w:p w14:paraId="5FA48560" w14:textId="311174B5" w:rsidR="004345C0" w:rsidRPr="0010442F" w:rsidRDefault="004345C0" w:rsidP="004345C0">
      <w:pPr>
        <w:keepLines/>
        <w:widowControl w:val="0"/>
        <w:rPr>
          <w:rFonts w:ascii="Aptos" w:eastAsia="Aptos" w:hAnsi="Aptos" w:cs="Aptos"/>
          <w:color w:val="000000" w:themeColor="text1"/>
        </w:rPr>
      </w:pPr>
      <w:r w:rsidRPr="0010442F">
        <w:rPr>
          <w:rFonts w:ascii="Aptos" w:eastAsia="Aptos" w:hAnsi="Aptos" w:cs="Aptos"/>
          <w:color w:val="000000" w:themeColor="text1"/>
        </w:rPr>
        <w:t xml:space="preserve">When necessary, recipients may apply for, and the DOE may grant, a waiver from the BABA requirements. </w:t>
      </w:r>
      <w:r w:rsidR="00011552" w:rsidRPr="0010442F">
        <w:rPr>
          <w:rFonts w:ascii="Aptos" w:eastAsia="Aptos" w:hAnsi="Aptos" w:cs="Aptos"/>
          <w:b/>
          <w:bCs/>
          <w:color w:val="000000" w:themeColor="text1"/>
        </w:rPr>
        <w:t>Recipients should submit any required BABA waiver requests promptly upon identifying the need.</w:t>
      </w:r>
      <w:r w:rsidRPr="0010442F">
        <w:rPr>
          <w:rFonts w:ascii="Aptos" w:eastAsia="Aptos" w:hAnsi="Aptos" w:cs="Aptos"/>
          <w:color w:val="000000" w:themeColor="text1"/>
        </w:rPr>
        <w:t xml:space="preserve"> DOE may grant a waiver if it determines that the request meets one of the following justifications: </w:t>
      </w:r>
    </w:p>
    <w:p w14:paraId="459DA89D" w14:textId="77777777" w:rsidR="004345C0" w:rsidRPr="0010442F" w:rsidRDefault="004345C0" w:rsidP="004345C0">
      <w:pPr>
        <w:pStyle w:val="ListParagraph"/>
        <w:keepLines/>
        <w:widowControl w:val="0"/>
        <w:numPr>
          <w:ilvl w:val="1"/>
          <w:numId w:val="42"/>
        </w:numPr>
        <w:spacing w:line="279" w:lineRule="auto"/>
        <w:rPr>
          <w:rFonts w:ascii="Aptos" w:eastAsia="Aptos" w:hAnsi="Aptos" w:cs="Aptos"/>
          <w:color w:val="000000" w:themeColor="text1"/>
        </w:rPr>
      </w:pPr>
      <w:r w:rsidRPr="0010442F">
        <w:rPr>
          <w:rFonts w:ascii="Aptos" w:eastAsia="Aptos" w:hAnsi="Aptos" w:cs="Aptos"/>
          <w:color w:val="000000" w:themeColor="text1"/>
        </w:rPr>
        <w:t xml:space="preserve">Public Interest: Applying the BABA Requirement would be inconsistent with the public interest. </w:t>
      </w:r>
    </w:p>
    <w:p w14:paraId="4C5A68B9" w14:textId="77777777" w:rsidR="004345C0" w:rsidRPr="0010442F" w:rsidRDefault="004345C0" w:rsidP="004345C0">
      <w:pPr>
        <w:pStyle w:val="ListParagraph"/>
        <w:keepLines/>
        <w:widowControl w:val="0"/>
        <w:numPr>
          <w:ilvl w:val="1"/>
          <w:numId w:val="42"/>
        </w:numPr>
        <w:spacing w:line="279" w:lineRule="auto"/>
        <w:rPr>
          <w:rFonts w:ascii="Aptos" w:eastAsia="Aptos" w:hAnsi="Aptos" w:cs="Aptos"/>
          <w:color w:val="000000" w:themeColor="text1"/>
        </w:rPr>
      </w:pPr>
      <w:r w:rsidRPr="0010442F">
        <w:rPr>
          <w:rFonts w:ascii="Aptos" w:eastAsia="Aptos" w:hAnsi="Aptos" w:cs="Aptos"/>
          <w:color w:val="000000" w:themeColor="text1"/>
        </w:rPr>
        <w:t xml:space="preserve">Non-Availability: The types of iron, steel, manufactured products, or construction materials are not produced in the United States in sufficient and reasonably available quantities or of a satisfactory quality. </w:t>
      </w:r>
    </w:p>
    <w:p w14:paraId="43706B4E" w14:textId="77777777" w:rsidR="004345C0" w:rsidRPr="0010442F" w:rsidRDefault="004345C0" w:rsidP="004345C0">
      <w:pPr>
        <w:pStyle w:val="ListParagraph"/>
        <w:keepLines/>
        <w:widowControl w:val="0"/>
        <w:numPr>
          <w:ilvl w:val="1"/>
          <w:numId w:val="42"/>
        </w:numPr>
        <w:spacing w:line="279" w:lineRule="auto"/>
        <w:rPr>
          <w:rFonts w:ascii="Aptos" w:eastAsia="Aptos" w:hAnsi="Aptos" w:cs="Aptos"/>
          <w:color w:val="000000" w:themeColor="text1"/>
        </w:rPr>
      </w:pPr>
      <w:r w:rsidRPr="0010442F">
        <w:rPr>
          <w:rFonts w:ascii="Aptos" w:eastAsia="Aptos" w:hAnsi="Aptos" w:cs="Aptos"/>
          <w:color w:val="000000" w:themeColor="text1"/>
        </w:rPr>
        <w:t xml:space="preserve">Unreasonable Cost: The inclusion of iron, steel, manufactured products, or construction materials produced in the United States will increase the cost of the overall project by more than 25 percent. </w:t>
      </w:r>
    </w:p>
    <w:p w14:paraId="0F1DB432" w14:textId="53C46395" w:rsidR="00B16CF0" w:rsidRPr="0010442F" w:rsidRDefault="00234FE4" w:rsidP="00234FE4">
      <w:pPr>
        <w:pStyle w:val="ListParagraph"/>
        <w:keepLines/>
        <w:widowControl w:val="0"/>
        <w:numPr>
          <w:ilvl w:val="1"/>
          <w:numId w:val="42"/>
        </w:numPr>
        <w:spacing w:line="279" w:lineRule="auto"/>
        <w:rPr>
          <w:rFonts w:ascii="Aptos" w:eastAsia="Aptos" w:hAnsi="Aptos" w:cs="Aptos"/>
          <w:color w:val="000000" w:themeColor="text1"/>
        </w:rPr>
      </w:pPr>
      <w:r w:rsidRPr="0010442F">
        <w:rPr>
          <w:rFonts w:ascii="Aptos" w:eastAsia="Aptos" w:hAnsi="Aptos" w:cs="Aptos"/>
          <w:color w:val="000000" w:themeColor="text1"/>
        </w:rPr>
        <w:t xml:space="preserve">De minimis: </w:t>
      </w:r>
      <w:r w:rsidR="00B16CF0" w:rsidRPr="0010442F">
        <w:rPr>
          <w:rFonts w:ascii="Aptos" w:eastAsia="Aptos" w:hAnsi="Aptos" w:cs="Aptos"/>
          <w:color w:val="000000" w:themeColor="text1"/>
        </w:rPr>
        <w:t>A de minimis waiver allows certain products to comprise up to 5% of total project costs, but this waiver cannot be combined with the American Iron and Steel de minimis waiver. No dollar cap is included, ensuring flexibility across projects of varying sizes. Recipients must ensure that any use of the waiver stays within the 5% project cost limit.</w:t>
      </w:r>
    </w:p>
    <w:p w14:paraId="4CB2FDAA" w14:textId="4AE017A2" w:rsidR="00AF57A2" w:rsidRPr="0010442F" w:rsidRDefault="00AF57A2" w:rsidP="390DCD5A">
      <w:pPr>
        <w:pStyle w:val="Heading3"/>
        <w:spacing w:after="240"/>
        <w:rPr>
          <w:rFonts w:ascii="Aptos" w:hAnsi="Aptos"/>
          <w:b/>
          <w:bCs/>
        </w:rPr>
      </w:pPr>
      <w:bookmarkStart w:id="33" w:name="_Toc216776579"/>
      <w:r w:rsidRPr="0010442F">
        <w:rPr>
          <w:rFonts w:ascii="Aptos" w:hAnsi="Aptos"/>
          <w:b/>
        </w:rPr>
        <w:t>Invoice Considerations</w:t>
      </w:r>
      <w:bookmarkEnd w:id="33"/>
    </w:p>
    <w:p w14:paraId="0AD70574" w14:textId="185EA84E" w:rsidR="002D51CD" w:rsidRPr="0010442F" w:rsidRDefault="002D51CD" w:rsidP="002D51CD">
      <w:pPr>
        <w:pStyle w:val="NormalWeb"/>
        <w:rPr>
          <w:rFonts w:ascii="Aptos" w:hAnsi="Aptos"/>
          <w:sz w:val="22"/>
          <w:szCs w:val="22"/>
        </w:rPr>
      </w:pPr>
      <w:r w:rsidRPr="0010442F">
        <w:rPr>
          <w:rStyle w:val="Strong"/>
          <w:rFonts w:ascii="Aptos" w:hAnsi="Aptos"/>
          <w:b w:val="0"/>
          <w:sz w:val="22"/>
          <w:szCs w:val="22"/>
        </w:rPr>
        <w:t xml:space="preserve">When invoicing CERRI or </w:t>
      </w:r>
      <w:r w:rsidR="006B4FC6" w:rsidRPr="0010442F">
        <w:rPr>
          <w:rStyle w:val="Strong"/>
          <w:rFonts w:ascii="Aptos" w:hAnsi="Aptos"/>
          <w:b w:val="0"/>
          <w:bCs w:val="0"/>
          <w:sz w:val="22"/>
          <w:szCs w:val="22"/>
        </w:rPr>
        <w:t>matching</w:t>
      </w:r>
      <w:r w:rsidRPr="0010442F">
        <w:rPr>
          <w:rStyle w:val="Strong"/>
          <w:rFonts w:ascii="Aptos" w:hAnsi="Aptos"/>
          <w:b w:val="0"/>
          <w:sz w:val="22"/>
          <w:szCs w:val="22"/>
        </w:rPr>
        <w:t xml:space="preserve"> funds for any supplies or equipment subject to BABA</w:t>
      </w:r>
      <w:r w:rsidR="006B4FC6" w:rsidRPr="0010442F">
        <w:rPr>
          <w:rStyle w:val="Strong"/>
          <w:rFonts w:ascii="Aptos" w:hAnsi="Aptos"/>
          <w:b w:val="0"/>
          <w:bCs w:val="0"/>
          <w:sz w:val="22"/>
          <w:szCs w:val="22"/>
        </w:rPr>
        <w:t xml:space="preserve"> </w:t>
      </w:r>
      <w:r w:rsidRPr="0010442F">
        <w:rPr>
          <w:rStyle w:val="Strong"/>
          <w:rFonts w:ascii="Aptos" w:hAnsi="Aptos"/>
          <w:b w:val="0"/>
          <w:sz w:val="22"/>
          <w:szCs w:val="22"/>
        </w:rPr>
        <w:t>requirements, recipients must provide proof of compliance by submitting a letter of certification that includes the following elements:</w:t>
      </w:r>
    </w:p>
    <w:p w14:paraId="75F8E2A4" w14:textId="77777777" w:rsidR="002D51CD" w:rsidRPr="0010442F" w:rsidRDefault="002D51CD" w:rsidP="002D51CD">
      <w:pPr>
        <w:pStyle w:val="NormalWeb"/>
        <w:numPr>
          <w:ilvl w:val="0"/>
          <w:numId w:val="47"/>
        </w:numPr>
        <w:rPr>
          <w:rFonts w:ascii="Aptos" w:hAnsi="Aptos"/>
          <w:sz w:val="22"/>
          <w:szCs w:val="22"/>
        </w:rPr>
      </w:pPr>
      <w:r w:rsidRPr="0010442F">
        <w:rPr>
          <w:rStyle w:val="Strong"/>
          <w:rFonts w:ascii="Aptos" w:hAnsi="Aptos"/>
          <w:sz w:val="22"/>
          <w:szCs w:val="22"/>
        </w:rPr>
        <w:t>Official Company Letterhead</w:t>
      </w:r>
      <w:r w:rsidRPr="0010442F">
        <w:rPr>
          <w:rFonts w:ascii="Aptos" w:hAnsi="Aptos"/>
          <w:sz w:val="22"/>
          <w:szCs w:val="22"/>
        </w:rPr>
        <w:t xml:space="preserve"> – Include the company name, logo, and contact information (address, phone number, email).</w:t>
      </w:r>
    </w:p>
    <w:p w14:paraId="681BB3EC" w14:textId="77777777" w:rsidR="002D51CD" w:rsidRPr="0010442F" w:rsidRDefault="002D51CD" w:rsidP="002D51CD">
      <w:pPr>
        <w:pStyle w:val="NormalWeb"/>
        <w:numPr>
          <w:ilvl w:val="0"/>
          <w:numId w:val="47"/>
        </w:numPr>
        <w:rPr>
          <w:rFonts w:ascii="Aptos" w:hAnsi="Aptos"/>
          <w:sz w:val="22"/>
          <w:szCs w:val="22"/>
        </w:rPr>
      </w:pPr>
      <w:r w:rsidRPr="0010442F">
        <w:rPr>
          <w:rStyle w:val="Strong"/>
          <w:rFonts w:ascii="Aptos" w:hAnsi="Aptos"/>
          <w:sz w:val="22"/>
          <w:szCs w:val="22"/>
        </w:rPr>
        <w:t>Product Name</w:t>
      </w:r>
      <w:r w:rsidRPr="0010442F">
        <w:rPr>
          <w:rFonts w:ascii="Aptos" w:hAnsi="Aptos"/>
          <w:sz w:val="22"/>
          <w:szCs w:val="22"/>
        </w:rPr>
        <w:t xml:space="preserve"> – Specify the exact name of the equipment.</w:t>
      </w:r>
    </w:p>
    <w:p w14:paraId="09D258CD" w14:textId="77777777" w:rsidR="002D51CD" w:rsidRPr="0010442F" w:rsidRDefault="002D51CD" w:rsidP="002D51CD">
      <w:pPr>
        <w:pStyle w:val="NormalWeb"/>
        <w:numPr>
          <w:ilvl w:val="0"/>
          <w:numId w:val="47"/>
        </w:numPr>
        <w:rPr>
          <w:rFonts w:ascii="Aptos" w:hAnsi="Aptos"/>
          <w:sz w:val="22"/>
          <w:szCs w:val="22"/>
        </w:rPr>
      </w:pPr>
      <w:r w:rsidRPr="0010442F">
        <w:rPr>
          <w:rStyle w:val="Strong"/>
          <w:rFonts w:ascii="Aptos" w:hAnsi="Aptos"/>
          <w:sz w:val="22"/>
          <w:szCs w:val="22"/>
        </w:rPr>
        <w:t>Product Identifier</w:t>
      </w:r>
      <w:r w:rsidRPr="0010442F">
        <w:rPr>
          <w:rFonts w:ascii="Aptos" w:hAnsi="Aptos"/>
          <w:sz w:val="22"/>
          <w:szCs w:val="22"/>
        </w:rPr>
        <w:t xml:space="preserve"> – Reference the product ID (e.g., SKU).</w:t>
      </w:r>
    </w:p>
    <w:p w14:paraId="65A571CF" w14:textId="77777777" w:rsidR="002D51CD" w:rsidRPr="0010442F" w:rsidRDefault="002D51CD" w:rsidP="002D51CD">
      <w:pPr>
        <w:pStyle w:val="NormalWeb"/>
        <w:numPr>
          <w:ilvl w:val="0"/>
          <w:numId w:val="47"/>
        </w:numPr>
        <w:rPr>
          <w:rFonts w:ascii="Aptos" w:hAnsi="Aptos"/>
          <w:sz w:val="22"/>
          <w:szCs w:val="22"/>
        </w:rPr>
      </w:pPr>
      <w:r w:rsidRPr="0010442F">
        <w:rPr>
          <w:rStyle w:val="Strong"/>
          <w:rFonts w:ascii="Aptos" w:hAnsi="Aptos"/>
          <w:sz w:val="22"/>
          <w:szCs w:val="22"/>
        </w:rPr>
        <w:t>Product Description</w:t>
      </w:r>
      <w:r w:rsidRPr="0010442F">
        <w:rPr>
          <w:rFonts w:ascii="Aptos" w:hAnsi="Aptos"/>
          <w:sz w:val="22"/>
          <w:szCs w:val="22"/>
        </w:rPr>
        <w:t xml:space="preserve"> – Briefly describe the item and its function.</w:t>
      </w:r>
    </w:p>
    <w:p w14:paraId="170BFB07" w14:textId="77777777" w:rsidR="002D51CD" w:rsidRPr="0010442F" w:rsidRDefault="002D51CD" w:rsidP="002D51CD">
      <w:pPr>
        <w:pStyle w:val="NormalWeb"/>
        <w:numPr>
          <w:ilvl w:val="0"/>
          <w:numId w:val="47"/>
        </w:numPr>
        <w:rPr>
          <w:rFonts w:ascii="Aptos" w:hAnsi="Aptos"/>
          <w:sz w:val="22"/>
          <w:szCs w:val="22"/>
        </w:rPr>
      </w:pPr>
      <w:r w:rsidRPr="0010442F">
        <w:rPr>
          <w:rStyle w:val="Strong"/>
          <w:rFonts w:ascii="Aptos" w:hAnsi="Aptos"/>
          <w:sz w:val="22"/>
          <w:szCs w:val="22"/>
        </w:rPr>
        <w:t>Location of Manufacturing</w:t>
      </w:r>
      <w:r w:rsidRPr="0010442F">
        <w:rPr>
          <w:rFonts w:ascii="Aptos" w:hAnsi="Aptos"/>
          <w:sz w:val="22"/>
          <w:szCs w:val="22"/>
        </w:rPr>
        <w:t xml:space="preserve"> – List the city and state where the product was manufactured.</w:t>
      </w:r>
    </w:p>
    <w:p w14:paraId="53A2CC0F" w14:textId="0EFE2C0D" w:rsidR="001B2E12" w:rsidRPr="007E7C98" w:rsidRDefault="001B2E12" w:rsidP="007E7C98">
      <w:pPr>
        <w:pStyle w:val="Heading2"/>
        <w:widowControl w:val="0"/>
        <w:spacing w:after="240" w:line="279" w:lineRule="auto"/>
        <w:rPr>
          <w:rFonts w:ascii="Aptos" w:hAnsi="Aptos"/>
          <w:b/>
          <w:sz w:val="24"/>
          <w:szCs w:val="24"/>
        </w:rPr>
      </w:pPr>
      <w:bookmarkStart w:id="34" w:name="_Toc216776580"/>
      <w:r w:rsidRPr="007E7C98">
        <w:rPr>
          <w:rFonts w:ascii="Aptos" w:hAnsi="Aptos"/>
          <w:b/>
          <w:bCs/>
          <w:sz w:val="24"/>
          <w:szCs w:val="24"/>
        </w:rPr>
        <w:t>SUBRECIPIENTS &amp; VENDORS</w:t>
      </w:r>
      <w:bookmarkEnd w:id="34"/>
    </w:p>
    <w:p w14:paraId="2A9677B3" w14:textId="6E0BBEC7" w:rsidR="00CC0C97" w:rsidRPr="0010442F" w:rsidRDefault="00CC0C97" w:rsidP="00CC0C97">
      <w:pPr>
        <w:spacing w:line="278" w:lineRule="auto"/>
        <w:rPr>
          <w:rFonts w:ascii="Aptos" w:hAnsi="Aptos" w:cs="Arial"/>
        </w:rPr>
      </w:pPr>
      <w:r w:rsidRPr="0010442F">
        <w:rPr>
          <w:rFonts w:ascii="Aptos" w:hAnsi="Aptos" w:cs="Arial"/>
        </w:rPr>
        <w:t>The California Energy Commission distinguishes entities as </w:t>
      </w:r>
      <w:r w:rsidRPr="0010442F">
        <w:rPr>
          <w:rFonts w:ascii="Aptos" w:hAnsi="Aptos" w:cs="Arial"/>
          <w:b/>
          <w:bCs/>
        </w:rPr>
        <w:t>recipients</w:t>
      </w:r>
      <w:r w:rsidRPr="0010442F">
        <w:rPr>
          <w:rFonts w:ascii="Aptos" w:hAnsi="Aptos" w:cs="Arial"/>
        </w:rPr>
        <w:t>, </w:t>
      </w:r>
      <w:r w:rsidRPr="0010442F">
        <w:rPr>
          <w:rFonts w:ascii="Aptos" w:hAnsi="Aptos" w:cs="Arial"/>
          <w:b/>
          <w:bCs/>
        </w:rPr>
        <w:t>subrecipients</w:t>
      </w:r>
      <w:r w:rsidRPr="0010442F">
        <w:rPr>
          <w:rFonts w:ascii="Aptos" w:hAnsi="Aptos" w:cs="Arial"/>
        </w:rPr>
        <w:t>, and </w:t>
      </w:r>
      <w:r w:rsidRPr="0010442F">
        <w:rPr>
          <w:rFonts w:ascii="Aptos" w:hAnsi="Aptos" w:cs="Arial"/>
          <w:b/>
          <w:bCs/>
        </w:rPr>
        <w:t>vendors</w:t>
      </w:r>
      <w:r w:rsidRPr="0010442F">
        <w:rPr>
          <w:rFonts w:ascii="Aptos" w:hAnsi="Aptos" w:cs="Arial"/>
        </w:rPr>
        <w:t>. </w:t>
      </w:r>
    </w:p>
    <w:p w14:paraId="697AD74E" w14:textId="77777777" w:rsidR="00CC0C97" w:rsidRPr="0010442F" w:rsidRDefault="00CC0C97" w:rsidP="00CC0C97">
      <w:pPr>
        <w:spacing w:line="278" w:lineRule="auto"/>
        <w:rPr>
          <w:rFonts w:ascii="Aptos" w:hAnsi="Aptos" w:cs="Arial"/>
        </w:rPr>
      </w:pPr>
      <w:r w:rsidRPr="0010442F">
        <w:rPr>
          <w:rFonts w:ascii="Aptos" w:hAnsi="Aptos" w:cs="Arial"/>
        </w:rPr>
        <w:t>A </w:t>
      </w:r>
      <w:r w:rsidRPr="0010442F">
        <w:rPr>
          <w:rFonts w:ascii="Aptos" w:hAnsi="Aptos" w:cs="Arial"/>
          <w:b/>
          <w:bCs/>
        </w:rPr>
        <w:t>recipient</w:t>
      </w:r>
      <w:r w:rsidRPr="0010442F">
        <w:rPr>
          <w:rFonts w:ascii="Aptos" w:hAnsi="Aptos" w:cs="Arial"/>
        </w:rPr>
        <w:t> is defined as the entity that executed the grant agreement with the CEC. </w:t>
      </w:r>
    </w:p>
    <w:p w14:paraId="28A2BDE7" w14:textId="29A7072A" w:rsidR="00CC0C97" w:rsidRPr="0010442F" w:rsidRDefault="61233621" w:rsidP="00CC0C97">
      <w:pPr>
        <w:spacing w:line="278" w:lineRule="auto"/>
        <w:rPr>
          <w:rFonts w:ascii="Aptos" w:hAnsi="Aptos" w:cs="Arial"/>
        </w:rPr>
      </w:pPr>
      <w:r w:rsidRPr="0010442F">
        <w:rPr>
          <w:rFonts w:ascii="Aptos" w:hAnsi="Aptos" w:cs="Arial"/>
        </w:rPr>
        <w:t>A </w:t>
      </w:r>
      <w:r w:rsidRPr="0010442F">
        <w:rPr>
          <w:rFonts w:ascii="Aptos" w:hAnsi="Aptos" w:cs="Arial"/>
          <w:b/>
          <w:bCs/>
        </w:rPr>
        <w:t>subrecipient</w:t>
      </w:r>
      <w:r w:rsidRPr="0010442F">
        <w:rPr>
          <w:rFonts w:ascii="Aptos" w:hAnsi="Aptos" w:cs="Arial"/>
        </w:rPr>
        <w:t xml:space="preserve"> is defined as an entity that receives grant funds directly from the Recipient and is entrusted by the Recipient to make </w:t>
      </w:r>
      <w:r w:rsidR="03C2CF87" w:rsidRPr="0010442F">
        <w:rPr>
          <w:rFonts w:ascii="Aptos" w:hAnsi="Aptos" w:cs="Arial"/>
        </w:rPr>
        <w:t xml:space="preserve">key </w:t>
      </w:r>
      <w:r w:rsidRPr="0010442F">
        <w:rPr>
          <w:rFonts w:ascii="Aptos" w:hAnsi="Aptos" w:cs="Arial"/>
        </w:rPr>
        <w:t xml:space="preserve">decisions about how to conduct some of the grant’s </w:t>
      </w:r>
      <w:r w:rsidRPr="0010442F">
        <w:rPr>
          <w:rFonts w:ascii="Aptos" w:hAnsi="Aptos" w:cs="Arial"/>
        </w:rPr>
        <w:lastRenderedPageBreak/>
        <w:t>activities.  A Subrecipient’s role involves discretion over grant activities and is not merely just selling goods or services. </w:t>
      </w:r>
    </w:p>
    <w:p w14:paraId="065C1659" w14:textId="77777777" w:rsidR="00CC0C97" w:rsidRPr="0010442F" w:rsidRDefault="00CC0C97" w:rsidP="00CC0C97">
      <w:pPr>
        <w:spacing w:line="278" w:lineRule="auto"/>
        <w:rPr>
          <w:rFonts w:ascii="Aptos" w:hAnsi="Aptos" w:cs="Arial"/>
        </w:rPr>
      </w:pPr>
      <w:r w:rsidRPr="0010442F">
        <w:rPr>
          <w:rFonts w:ascii="Aptos" w:hAnsi="Aptos" w:cs="Arial"/>
        </w:rPr>
        <w:t>Characteristics which support the classification of the entity as a subrecipient include when the entity:</w:t>
      </w:r>
    </w:p>
    <w:p w14:paraId="15D1F621" w14:textId="77777777" w:rsidR="00CC0C97" w:rsidRPr="0010442F" w:rsidRDefault="00CC0C97" w:rsidP="001B2E12">
      <w:pPr>
        <w:numPr>
          <w:ilvl w:val="0"/>
          <w:numId w:val="27"/>
        </w:numPr>
        <w:spacing w:after="0" w:line="278" w:lineRule="auto"/>
        <w:rPr>
          <w:rFonts w:ascii="Aptos" w:hAnsi="Aptos" w:cs="Arial"/>
        </w:rPr>
      </w:pPr>
      <w:r w:rsidRPr="0010442F">
        <w:rPr>
          <w:rFonts w:ascii="Aptos" w:hAnsi="Aptos" w:cs="Arial"/>
        </w:rPr>
        <w:t xml:space="preserve">Has its performance measured in relation to whether objectives of a CEC program were </w:t>
      </w:r>
      <w:proofErr w:type="gramStart"/>
      <w:r w:rsidRPr="0010442F">
        <w:rPr>
          <w:rFonts w:ascii="Aptos" w:hAnsi="Aptos" w:cs="Arial"/>
        </w:rPr>
        <w:t>met;</w:t>
      </w:r>
      <w:proofErr w:type="gramEnd"/>
    </w:p>
    <w:p w14:paraId="32DC0065" w14:textId="77777777" w:rsidR="00CC0C97" w:rsidRPr="0010442F" w:rsidRDefault="00CC0C97" w:rsidP="001B2E12">
      <w:pPr>
        <w:numPr>
          <w:ilvl w:val="0"/>
          <w:numId w:val="27"/>
        </w:numPr>
        <w:spacing w:after="0" w:line="278" w:lineRule="auto"/>
        <w:rPr>
          <w:rFonts w:ascii="Aptos" w:hAnsi="Aptos" w:cs="Arial"/>
        </w:rPr>
      </w:pPr>
      <w:r w:rsidRPr="0010442F">
        <w:rPr>
          <w:rFonts w:ascii="Aptos" w:hAnsi="Aptos" w:cs="Arial"/>
        </w:rPr>
        <w:t xml:space="preserve">Has responsibility for programmatic </w:t>
      </w:r>
      <w:proofErr w:type="gramStart"/>
      <w:r w:rsidRPr="0010442F">
        <w:rPr>
          <w:rFonts w:ascii="Aptos" w:hAnsi="Aptos" w:cs="Arial"/>
        </w:rPr>
        <w:t>decision-making;</w:t>
      </w:r>
      <w:proofErr w:type="gramEnd"/>
    </w:p>
    <w:p w14:paraId="3D07E335" w14:textId="77777777" w:rsidR="00CC0C97" w:rsidRPr="0010442F" w:rsidRDefault="00CC0C97" w:rsidP="001B2E12">
      <w:pPr>
        <w:numPr>
          <w:ilvl w:val="0"/>
          <w:numId w:val="27"/>
        </w:numPr>
        <w:spacing w:after="0" w:line="278" w:lineRule="auto"/>
        <w:rPr>
          <w:rFonts w:ascii="Aptos" w:hAnsi="Aptos" w:cs="Arial"/>
        </w:rPr>
      </w:pPr>
      <w:r w:rsidRPr="0010442F">
        <w:rPr>
          <w:rFonts w:ascii="Aptos" w:hAnsi="Aptos" w:cs="Arial"/>
        </w:rPr>
        <w:t xml:space="preserve">Is responsible for adherence to applicable CEC program requirements specified in the CEC award </w:t>
      </w:r>
      <w:proofErr w:type="gramStart"/>
      <w:r w:rsidRPr="0010442F">
        <w:rPr>
          <w:rFonts w:ascii="Aptos" w:hAnsi="Aptos" w:cs="Arial"/>
        </w:rPr>
        <w:t>agreement;</w:t>
      </w:r>
      <w:proofErr w:type="gramEnd"/>
    </w:p>
    <w:p w14:paraId="72A42ACA" w14:textId="77777777" w:rsidR="00CC0C97" w:rsidRPr="0010442F" w:rsidRDefault="00CC0C97" w:rsidP="001B2E12">
      <w:pPr>
        <w:numPr>
          <w:ilvl w:val="0"/>
          <w:numId w:val="27"/>
        </w:numPr>
        <w:spacing w:after="0" w:line="278" w:lineRule="auto"/>
        <w:rPr>
          <w:rFonts w:ascii="Aptos" w:hAnsi="Aptos" w:cs="Arial"/>
        </w:rPr>
      </w:pPr>
      <w:r w:rsidRPr="0010442F">
        <w:rPr>
          <w:rFonts w:ascii="Aptos" w:hAnsi="Aptos" w:cs="Arial"/>
        </w:rPr>
        <w:t>In accordance with its agreement, uses the CEC funds to carry out a program for a public purpose specified in authorizing statute, as opposed to providing goods or services for the benefit of the recipient or sub-recipient; or,</w:t>
      </w:r>
    </w:p>
    <w:p w14:paraId="1F0A6C9D" w14:textId="77777777" w:rsidR="00CC0C97" w:rsidRPr="0010442F" w:rsidRDefault="00CC0C97" w:rsidP="001B2E12">
      <w:pPr>
        <w:numPr>
          <w:ilvl w:val="0"/>
          <w:numId w:val="27"/>
        </w:numPr>
        <w:spacing w:line="278" w:lineRule="auto"/>
        <w:rPr>
          <w:rFonts w:ascii="Aptos" w:hAnsi="Aptos" w:cs="Arial"/>
        </w:rPr>
      </w:pPr>
      <w:r w:rsidRPr="0010442F">
        <w:rPr>
          <w:rFonts w:ascii="Aptos" w:hAnsi="Aptos" w:cs="Arial"/>
        </w:rPr>
        <w:t>Provides match share funding contributions to the CEC-funded project.</w:t>
      </w:r>
    </w:p>
    <w:p w14:paraId="6DF585CB" w14:textId="0863F39A" w:rsidR="00CC0C97" w:rsidRPr="0010442F" w:rsidRDefault="00CC0C97" w:rsidP="00CC0C97">
      <w:pPr>
        <w:spacing w:line="278" w:lineRule="auto"/>
        <w:rPr>
          <w:rFonts w:ascii="Aptos" w:hAnsi="Aptos" w:cs="Arial"/>
        </w:rPr>
      </w:pPr>
      <w:r w:rsidRPr="0010442F">
        <w:rPr>
          <w:rFonts w:ascii="Aptos" w:hAnsi="Aptos" w:cs="Arial"/>
        </w:rPr>
        <w:t>A </w:t>
      </w:r>
      <w:r w:rsidRPr="0010442F">
        <w:rPr>
          <w:rFonts w:ascii="Aptos" w:hAnsi="Aptos" w:cs="Arial"/>
          <w:b/>
          <w:bCs/>
        </w:rPr>
        <w:t>sub-subrecipient </w:t>
      </w:r>
      <w:r w:rsidRPr="0010442F">
        <w:rPr>
          <w:rFonts w:ascii="Aptos" w:hAnsi="Aptos" w:cs="Arial"/>
        </w:rPr>
        <w:t xml:space="preserve">has the same meaning as a subrecipient except that it receives grant funds from a subrecipient.  There can also be further levels </w:t>
      </w:r>
      <w:r w:rsidR="00A2270E" w:rsidRPr="0010442F">
        <w:rPr>
          <w:rFonts w:ascii="Aptos" w:hAnsi="Aptos" w:cs="Arial"/>
        </w:rPr>
        <w:t>below</w:t>
      </w:r>
      <w:r w:rsidRPr="0010442F">
        <w:rPr>
          <w:rFonts w:ascii="Aptos" w:hAnsi="Aptos" w:cs="Arial"/>
        </w:rPr>
        <w:t xml:space="preserve"> sub-subrecipients. </w:t>
      </w:r>
    </w:p>
    <w:p w14:paraId="7F1AB6E0" w14:textId="77777777" w:rsidR="00CC0C97" w:rsidRPr="0010442F" w:rsidRDefault="00CC0C97" w:rsidP="00CC0C97">
      <w:pPr>
        <w:spacing w:line="278" w:lineRule="auto"/>
        <w:rPr>
          <w:rFonts w:ascii="Aptos" w:hAnsi="Aptos" w:cs="Arial"/>
        </w:rPr>
      </w:pPr>
      <w:r w:rsidRPr="0010442F">
        <w:rPr>
          <w:rFonts w:ascii="Aptos" w:hAnsi="Aptos" w:cs="Arial"/>
        </w:rPr>
        <w:t>A </w:t>
      </w:r>
      <w:r w:rsidRPr="0010442F">
        <w:rPr>
          <w:rFonts w:ascii="Aptos" w:hAnsi="Aptos" w:cs="Arial"/>
          <w:b/>
          <w:bCs/>
        </w:rPr>
        <w:t>vendor</w:t>
      </w:r>
      <w:r w:rsidRPr="0010442F">
        <w:rPr>
          <w:rFonts w:ascii="Aptos" w:hAnsi="Aptos" w:cs="Arial"/>
        </w:rPr>
        <w:t> is defined as a person or entity that sells goods or services to the Recipient, Subrecipient, or any layer of Sub-Subrecipient, in exchange for some of the grant funds, and does not make decisions about how to perform the grant’s activities. The Vendor’s role is ministerial and does not involve discretion over grant activities. A vendor is an entity selected through a competitive process or is otherwise providing a product or service at a fair and reasonable price. Characteristics indicative of a procurement relationship between the recipient or subrecipient and a vendor are when the vendor:</w:t>
      </w:r>
    </w:p>
    <w:p w14:paraId="3EE6B293" w14:textId="77777777" w:rsidR="00CC0C97" w:rsidRPr="0010442F" w:rsidRDefault="00CC0C97" w:rsidP="001B2E12">
      <w:pPr>
        <w:numPr>
          <w:ilvl w:val="0"/>
          <w:numId w:val="28"/>
        </w:numPr>
        <w:spacing w:after="0" w:line="278" w:lineRule="auto"/>
        <w:rPr>
          <w:rFonts w:ascii="Aptos" w:hAnsi="Aptos" w:cs="Arial"/>
        </w:rPr>
      </w:pPr>
      <w:r w:rsidRPr="0010442F">
        <w:rPr>
          <w:rFonts w:ascii="Aptos" w:hAnsi="Aptos" w:cs="Arial"/>
        </w:rPr>
        <w:t xml:space="preserve">Provides the goods and services within normal business </w:t>
      </w:r>
      <w:proofErr w:type="gramStart"/>
      <w:r w:rsidRPr="0010442F">
        <w:rPr>
          <w:rFonts w:ascii="Aptos" w:hAnsi="Aptos" w:cs="Arial"/>
        </w:rPr>
        <w:t>operations;</w:t>
      </w:r>
      <w:proofErr w:type="gramEnd"/>
    </w:p>
    <w:p w14:paraId="335D8D57" w14:textId="77777777" w:rsidR="00CC0C97" w:rsidRPr="0010442F" w:rsidRDefault="00CC0C97" w:rsidP="001B2E12">
      <w:pPr>
        <w:numPr>
          <w:ilvl w:val="0"/>
          <w:numId w:val="28"/>
        </w:numPr>
        <w:spacing w:after="0" w:line="278" w:lineRule="auto"/>
        <w:rPr>
          <w:rFonts w:ascii="Aptos" w:hAnsi="Aptos" w:cs="Arial"/>
        </w:rPr>
      </w:pPr>
      <w:r w:rsidRPr="0010442F">
        <w:rPr>
          <w:rFonts w:ascii="Aptos" w:hAnsi="Aptos" w:cs="Arial"/>
        </w:rPr>
        <w:t xml:space="preserve">Provides similar goods or services to many different </w:t>
      </w:r>
      <w:proofErr w:type="gramStart"/>
      <w:r w:rsidRPr="0010442F">
        <w:rPr>
          <w:rFonts w:ascii="Aptos" w:hAnsi="Aptos" w:cs="Arial"/>
        </w:rPr>
        <w:t>purchasers;</w:t>
      </w:r>
      <w:proofErr w:type="gramEnd"/>
    </w:p>
    <w:p w14:paraId="27041793" w14:textId="77777777" w:rsidR="00CC0C97" w:rsidRPr="0010442F" w:rsidRDefault="00CC0C97" w:rsidP="001B2E12">
      <w:pPr>
        <w:numPr>
          <w:ilvl w:val="0"/>
          <w:numId w:val="28"/>
        </w:numPr>
        <w:spacing w:after="0" w:line="278" w:lineRule="auto"/>
        <w:rPr>
          <w:rFonts w:ascii="Aptos" w:hAnsi="Aptos" w:cs="Arial"/>
        </w:rPr>
      </w:pPr>
      <w:r w:rsidRPr="0010442F">
        <w:rPr>
          <w:rFonts w:ascii="Aptos" w:hAnsi="Aptos" w:cs="Arial"/>
        </w:rPr>
        <w:t xml:space="preserve">Normally operates in a competitive </w:t>
      </w:r>
      <w:proofErr w:type="gramStart"/>
      <w:r w:rsidRPr="0010442F">
        <w:rPr>
          <w:rFonts w:ascii="Aptos" w:hAnsi="Aptos" w:cs="Arial"/>
        </w:rPr>
        <w:t>environment;</w:t>
      </w:r>
      <w:proofErr w:type="gramEnd"/>
    </w:p>
    <w:p w14:paraId="63093B7E" w14:textId="77777777" w:rsidR="00CC0C97" w:rsidRPr="0010442F" w:rsidRDefault="00CC0C97" w:rsidP="001B2E12">
      <w:pPr>
        <w:numPr>
          <w:ilvl w:val="0"/>
          <w:numId w:val="28"/>
        </w:numPr>
        <w:spacing w:after="0" w:line="278" w:lineRule="auto"/>
        <w:rPr>
          <w:rFonts w:ascii="Aptos" w:hAnsi="Aptos" w:cs="Arial"/>
        </w:rPr>
      </w:pPr>
      <w:r w:rsidRPr="0010442F">
        <w:rPr>
          <w:rFonts w:ascii="Aptos" w:hAnsi="Aptos" w:cs="Arial"/>
        </w:rPr>
        <w:t>Provides goods or services that are ancillary to the operation of the CEC program; and</w:t>
      </w:r>
    </w:p>
    <w:p w14:paraId="743C297C" w14:textId="77777777" w:rsidR="00CC0C97" w:rsidRPr="0010442F" w:rsidRDefault="00CC0C97" w:rsidP="001B2E12">
      <w:pPr>
        <w:numPr>
          <w:ilvl w:val="0"/>
          <w:numId w:val="28"/>
        </w:numPr>
        <w:spacing w:line="278" w:lineRule="auto"/>
        <w:rPr>
          <w:rFonts w:ascii="Aptos" w:hAnsi="Aptos" w:cs="Arial"/>
        </w:rPr>
      </w:pPr>
      <w:r w:rsidRPr="0010442F">
        <w:rPr>
          <w:rFonts w:ascii="Aptos" w:hAnsi="Aptos" w:cs="Arial"/>
        </w:rPr>
        <w:t xml:space="preserve">may not be subject to compliance with </w:t>
      </w:r>
      <w:proofErr w:type="gramStart"/>
      <w:r w:rsidRPr="0010442F">
        <w:rPr>
          <w:rFonts w:ascii="Aptos" w:hAnsi="Aptos" w:cs="Arial"/>
        </w:rPr>
        <w:t>all of</w:t>
      </w:r>
      <w:proofErr w:type="gramEnd"/>
      <w:r w:rsidRPr="0010442F">
        <w:rPr>
          <w:rFonts w:ascii="Aptos" w:hAnsi="Aptos" w:cs="Arial"/>
        </w:rPr>
        <w:t xml:space="preserve"> the requirements of the CEC program </w:t>
      </w:r>
      <w:proofErr w:type="gramStart"/>
      <w:r w:rsidRPr="0010442F">
        <w:rPr>
          <w:rFonts w:ascii="Aptos" w:hAnsi="Aptos" w:cs="Arial"/>
        </w:rPr>
        <w:t>as a result of</w:t>
      </w:r>
      <w:proofErr w:type="gramEnd"/>
      <w:r w:rsidRPr="0010442F">
        <w:rPr>
          <w:rFonts w:ascii="Aptos" w:hAnsi="Aptos" w:cs="Arial"/>
        </w:rPr>
        <w:t xml:space="preserve"> the agreement, though similar requirements may apply for other reasons.</w:t>
      </w:r>
    </w:p>
    <w:p w14:paraId="43107CA6" w14:textId="77777777" w:rsidR="00CC0C97" w:rsidRPr="0010442F" w:rsidRDefault="61233621" w:rsidP="00855C58">
      <w:pPr>
        <w:pStyle w:val="Heading3"/>
        <w:spacing w:after="240"/>
        <w:rPr>
          <w:rFonts w:ascii="Aptos" w:hAnsi="Aptos"/>
          <w:b/>
          <w:bCs/>
        </w:rPr>
      </w:pPr>
      <w:bookmarkStart w:id="35" w:name="_Toc216776581"/>
      <w:r w:rsidRPr="0010442F">
        <w:rPr>
          <w:rFonts w:ascii="Aptos" w:hAnsi="Aptos"/>
          <w:b/>
          <w:bCs/>
        </w:rPr>
        <w:t>Use of judgment in making determination</w:t>
      </w:r>
      <w:bookmarkEnd w:id="35"/>
    </w:p>
    <w:p w14:paraId="6A8AB6DB" w14:textId="1D51EED5" w:rsidR="00CC0C97" w:rsidRPr="0010442F" w:rsidRDefault="00CC0C97" w:rsidP="00CC0C97">
      <w:pPr>
        <w:spacing w:line="278" w:lineRule="auto"/>
        <w:rPr>
          <w:rFonts w:ascii="Aptos" w:hAnsi="Aptos" w:cs="Arial"/>
        </w:rPr>
      </w:pPr>
      <w:r w:rsidRPr="0010442F">
        <w:rPr>
          <w:rFonts w:ascii="Aptos" w:hAnsi="Aptos" w:cs="Arial"/>
        </w:rPr>
        <w:t xml:space="preserve">In determining whether an agreement between a recipient or subrecipient and another entity casts the latter as a subrecipient or a vendor, the substance of the relationship is more important than the form of the agreement. </w:t>
      </w:r>
      <w:proofErr w:type="gramStart"/>
      <w:r w:rsidRPr="0010442F">
        <w:rPr>
          <w:rFonts w:ascii="Aptos" w:hAnsi="Aptos" w:cs="Arial"/>
        </w:rPr>
        <w:t>All of</w:t>
      </w:r>
      <w:proofErr w:type="gramEnd"/>
      <w:r w:rsidRPr="0010442F">
        <w:rPr>
          <w:rFonts w:ascii="Aptos" w:hAnsi="Aptos" w:cs="Arial"/>
        </w:rPr>
        <w:t xml:space="preserve"> the characteristics listed above may not be present in all cases, and the Recipient must use judgment in classifying each agreement as a subaward or a procurement contract. </w:t>
      </w:r>
    </w:p>
    <w:p w14:paraId="6695E57E" w14:textId="77777777" w:rsidR="00CC0C97" w:rsidRPr="0010442F" w:rsidRDefault="00CC0C97" w:rsidP="00CC0C97">
      <w:pPr>
        <w:spacing w:line="278" w:lineRule="auto"/>
        <w:rPr>
          <w:rFonts w:ascii="Aptos" w:hAnsi="Aptos" w:cs="Arial"/>
        </w:rPr>
      </w:pPr>
      <w:r w:rsidRPr="0010442F">
        <w:rPr>
          <w:rFonts w:ascii="Aptos" w:hAnsi="Aptos" w:cs="Arial"/>
        </w:rPr>
        <w:t xml:space="preserve">A recipient or subrecipient entity must make case-by-case determinations whether each agreement it makes for the disbursement of CEC program funds casts the party receiving the funds </w:t>
      </w:r>
      <w:r w:rsidRPr="0010442F">
        <w:rPr>
          <w:rFonts w:ascii="Aptos" w:hAnsi="Aptos" w:cs="Arial"/>
        </w:rPr>
        <w:lastRenderedPageBreak/>
        <w:t>in the role of a subrecipient or a vendor. The CEC may supply and require recipients to comply with additional guidance to support these determinations. If there is a disagreement on whether an entity should be classified as a subrecipient or vendor, CEC retains ultimate discretion.</w:t>
      </w:r>
    </w:p>
    <w:p w14:paraId="6A422B4C" w14:textId="0475AB7D" w:rsidR="00A15F14" w:rsidRPr="0010442F" w:rsidRDefault="008F4BCA" w:rsidP="00CC0C97">
      <w:pPr>
        <w:spacing w:line="278" w:lineRule="auto"/>
        <w:rPr>
          <w:rFonts w:ascii="Aptos" w:hAnsi="Aptos" w:cs="Arial"/>
        </w:rPr>
      </w:pPr>
      <w:r w:rsidRPr="0010442F">
        <w:rPr>
          <w:rFonts w:ascii="Aptos" w:hAnsi="Aptos" w:cs="Arial"/>
        </w:rPr>
        <w:t xml:space="preserve">Grant recipients who wish to change or update the classification of a contractor—whether vendor or subrecipient—must complete </w:t>
      </w:r>
      <w:r w:rsidR="009E39E5" w:rsidRPr="0010442F">
        <w:rPr>
          <w:rFonts w:ascii="Aptos" w:hAnsi="Aptos" w:cs="Arial"/>
        </w:rPr>
        <w:t xml:space="preserve">the </w:t>
      </w:r>
      <w:hyperlink r:id="rId21" w:history="1">
        <w:r w:rsidR="009E39E5" w:rsidRPr="007E7C98">
          <w:rPr>
            <w:rStyle w:val="Hyperlink"/>
            <w:rFonts w:ascii="Aptos" w:hAnsi="Aptos"/>
            <w:b/>
          </w:rPr>
          <w:t>Sub-to-Vendor Form</w:t>
        </w:r>
      </w:hyperlink>
      <w:r w:rsidRPr="0010442F">
        <w:rPr>
          <w:rFonts w:ascii="Aptos" w:hAnsi="Aptos" w:cs="Arial"/>
        </w:rPr>
        <w:t xml:space="preserve"> and submit it to the CAM for approval. This ensures proper documentation and compliance before any reclassification is finalized.</w:t>
      </w:r>
    </w:p>
    <w:p w14:paraId="1F920F3B" w14:textId="77777777" w:rsidR="00CC0C97" w:rsidRPr="0010442F" w:rsidRDefault="00CC0C97" w:rsidP="001B2E12">
      <w:pPr>
        <w:pStyle w:val="Heading3"/>
        <w:spacing w:after="240"/>
        <w:rPr>
          <w:rFonts w:ascii="Aptos" w:hAnsi="Aptos"/>
          <w:b/>
          <w:bCs/>
        </w:rPr>
      </w:pPr>
      <w:bookmarkStart w:id="36" w:name="_Toc216776582"/>
      <w:r w:rsidRPr="0010442F">
        <w:rPr>
          <w:rFonts w:ascii="Aptos" w:hAnsi="Aptos"/>
          <w:b/>
          <w:bCs/>
        </w:rPr>
        <w:t>Budget Development</w:t>
      </w:r>
      <w:bookmarkEnd w:id="36"/>
    </w:p>
    <w:p w14:paraId="415F18F5" w14:textId="4EE7C59A" w:rsidR="00CC0C97" w:rsidRPr="0010442F" w:rsidRDefault="00CC0C97" w:rsidP="00CC0C97">
      <w:pPr>
        <w:spacing w:line="278" w:lineRule="auto"/>
        <w:rPr>
          <w:rFonts w:ascii="Aptos" w:hAnsi="Aptos" w:cs="Arial"/>
        </w:rPr>
      </w:pPr>
      <w:r w:rsidRPr="0010442F">
        <w:rPr>
          <w:rFonts w:ascii="Aptos" w:hAnsi="Aptos" w:cs="Arial"/>
        </w:rPr>
        <w:t>Going forward, Recipients should include all equipment that is to be used on the project within the Recipient’s equipment budget category, instead of including equipment as a line item on a Subrecipient/Vendor budget. Equipment will not count towards the $100,000 “Major Sub” threshold.</w:t>
      </w:r>
    </w:p>
    <w:p w14:paraId="784D56A0" w14:textId="77777777" w:rsidR="00CC0C97" w:rsidRPr="0010442F" w:rsidRDefault="00CC0C97" w:rsidP="001B2E12">
      <w:pPr>
        <w:pStyle w:val="Heading3"/>
        <w:spacing w:after="240"/>
        <w:rPr>
          <w:rFonts w:ascii="Aptos" w:hAnsi="Aptos"/>
          <w:b/>
          <w:bCs/>
        </w:rPr>
      </w:pPr>
      <w:bookmarkStart w:id="37" w:name="_Toc216776583"/>
      <w:r w:rsidRPr="0010442F">
        <w:rPr>
          <w:rFonts w:ascii="Aptos" w:hAnsi="Aptos"/>
          <w:b/>
          <w:bCs/>
        </w:rPr>
        <w:t>Subrecipient/Vendor Requirements</w:t>
      </w:r>
      <w:bookmarkEnd w:id="37"/>
    </w:p>
    <w:p w14:paraId="4A014058" w14:textId="74072736" w:rsidR="00CC0C97" w:rsidRPr="0010442F" w:rsidRDefault="00CC0C97" w:rsidP="00CC0C97">
      <w:pPr>
        <w:spacing w:line="278" w:lineRule="auto"/>
        <w:rPr>
          <w:rFonts w:ascii="Aptos" w:hAnsi="Aptos" w:cs="Arial"/>
        </w:rPr>
      </w:pPr>
      <w:r w:rsidRPr="0010442F">
        <w:rPr>
          <w:rFonts w:ascii="Aptos" w:hAnsi="Aptos" w:cs="Arial"/>
          <w:b/>
          <w:bCs/>
        </w:rPr>
        <w:t>For any subrecipient receiving $100,000 or more in Energy Commission funds (Major Sub):</w:t>
      </w:r>
    </w:p>
    <w:p w14:paraId="2D0E5280" w14:textId="77777777" w:rsidR="00CC0C97" w:rsidRPr="0010442F" w:rsidRDefault="00CC0C97" w:rsidP="001B2E12">
      <w:pPr>
        <w:numPr>
          <w:ilvl w:val="0"/>
          <w:numId w:val="29"/>
        </w:numPr>
        <w:spacing w:after="0" w:line="278" w:lineRule="auto"/>
        <w:rPr>
          <w:rFonts w:ascii="Aptos" w:hAnsi="Aptos" w:cs="Arial"/>
        </w:rPr>
      </w:pPr>
      <w:r w:rsidRPr="0010442F">
        <w:rPr>
          <w:rFonts w:ascii="Aptos" w:hAnsi="Aptos" w:cs="Arial"/>
        </w:rPr>
        <w:t>Subrecipient must provide a budget, just as a Recipient.</w:t>
      </w:r>
    </w:p>
    <w:p w14:paraId="197FCCDF" w14:textId="77777777" w:rsidR="00CC0C97" w:rsidRPr="0010442F" w:rsidRDefault="00CC0C97" w:rsidP="001B2E12">
      <w:pPr>
        <w:numPr>
          <w:ilvl w:val="0"/>
          <w:numId w:val="29"/>
        </w:numPr>
        <w:spacing w:after="0" w:line="278" w:lineRule="auto"/>
        <w:rPr>
          <w:rFonts w:ascii="Aptos" w:hAnsi="Aptos" w:cs="Arial"/>
        </w:rPr>
      </w:pPr>
      <w:r w:rsidRPr="0010442F">
        <w:rPr>
          <w:rFonts w:ascii="Aptos" w:hAnsi="Aptos" w:cs="Arial"/>
        </w:rPr>
        <w:t>Recipient must submit agreement with Subrecipient for review prior to invoicing for Subrecipient’s work.</w:t>
      </w:r>
    </w:p>
    <w:p w14:paraId="56E34EB8" w14:textId="77777777" w:rsidR="00CC0C97" w:rsidRPr="0010442F" w:rsidRDefault="00CC0C97" w:rsidP="001B2E12">
      <w:pPr>
        <w:numPr>
          <w:ilvl w:val="0"/>
          <w:numId w:val="29"/>
        </w:numPr>
        <w:spacing w:after="0" w:line="278" w:lineRule="auto"/>
        <w:rPr>
          <w:rFonts w:ascii="Aptos" w:hAnsi="Aptos" w:cs="Arial"/>
        </w:rPr>
      </w:pPr>
      <w:r w:rsidRPr="0010442F">
        <w:rPr>
          <w:rFonts w:ascii="Aptos" w:hAnsi="Aptos" w:cs="Arial"/>
        </w:rPr>
        <w:t>For each Subrecipient, a CAM will:</w:t>
      </w:r>
    </w:p>
    <w:p w14:paraId="694FBC29" w14:textId="77777777" w:rsidR="00CC0C97" w:rsidRPr="0010442F" w:rsidRDefault="00CC0C97" w:rsidP="001B2E12">
      <w:pPr>
        <w:numPr>
          <w:ilvl w:val="1"/>
          <w:numId w:val="29"/>
        </w:numPr>
        <w:spacing w:after="0" w:line="278" w:lineRule="auto"/>
        <w:rPr>
          <w:rFonts w:ascii="Aptos" w:hAnsi="Aptos" w:cs="Arial"/>
        </w:rPr>
      </w:pPr>
      <w:r w:rsidRPr="0010442F">
        <w:rPr>
          <w:rFonts w:ascii="Aptos" w:hAnsi="Aptos" w:cs="Arial"/>
        </w:rPr>
        <w:t>Review scope to ensure fit with project</w:t>
      </w:r>
    </w:p>
    <w:p w14:paraId="32F27080" w14:textId="77777777" w:rsidR="00CC0C97" w:rsidRPr="0010442F" w:rsidRDefault="00CC0C97" w:rsidP="001B2E12">
      <w:pPr>
        <w:numPr>
          <w:ilvl w:val="1"/>
          <w:numId w:val="29"/>
        </w:numPr>
        <w:spacing w:after="0" w:line="278" w:lineRule="auto"/>
        <w:rPr>
          <w:rFonts w:ascii="Aptos" w:hAnsi="Aptos" w:cs="Arial"/>
        </w:rPr>
      </w:pPr>
      <w:r w:rsidRPr="0010442F">
        <w:rPr>
          <w:rFonts w:ascii="Aptos" w:hAnsi="Aptos" w:cs="Arial"/>
        </w:rPr>
        <w:t>Review budget for alignment with project</w:t>
      </w:r>
    </w:p>
    <w:p w14:paraId="19D29ECB" w14:textId="77777777" w:rsidR="00CC0C97" w:rsidRPr="0010442F" w:rsidRDefault="00CC0C97" w:rsidP="001B2E12">
      <w:pPr>
        <w:numPr>
          <w:ilvl w:val="1"/>
          <w:numId w:val="29"/>
        </w:numPr>
        <w:spacing w:after="0" w:line="278" w:lineRule="auto"/>
        <w:rPr>
          <w:rFonts w:ascii="Aptos" w:hAnsi="Aptos" w:cs="Arial"/>
        </w:rPr>
      </w:pPr>
      <w:r w:rsidRPr="0010442F">
        <w:rPr>
          <w:rFonts w:ascii="Aptos" w:hAnsi="Aptos" w:cs="Arial"/>
        </w:rPr>
        <w:t>Ensure the CEC’s “flow-down” provisions are in the subrecipient agreement</w:t>
      </w:r>
    </w:p>
    <w:p w14:paraId="40227F61" w14:textId="77777777" w:rsidR="00CC0C97" w:rsidRPr="0010442F" w:rsidRDefault="00CC0C97" w:rsidP="001B2E12">
      <w:pPr>
        <w:numPr>
          <w:ilvl w:val="0"/>
          <w:numId w:val="29"/>
        </w:numPr>
        <w:spacing w:after="0" w:line="278" w:lineRule="auto"/>
        <w:rPr>
          <w:rFonts w:ascii="Aptos" w:hAnsi="Aptos" w:cs="Arial"/>
        </w:rPr>
      </w:pPr>
      <w:r w:rsidRPr="0010442F">
        <w:rPr>
          <w:rFonts w:ascii="Aptos" w:hAnsi="Aptos" w:cs="Arial"/>
        </w:rPr>
        <w:t>Subrecipient invoices are subject to training invoice requirements.</w:t>
      </w:r>
    </w:p>
    <w:p w14:paraId="067D7778" w14:textId="77777777" w:rsidR="00CC0C97" w:rsidRPr="0010442F" w:rsidRDefault="00CC0C97" w:rsidP="001B2E12">
      <w:pPr>
        <w:numPr>
          <w:ilvl w:val="0"/>
          <w:numId w:val="29"/>
        </w:numPr>
        <w:spacing w:after="0" w:line="278" w:lineRule="auto"/>
        <w:rPr>
          <w:rFonts w:ascii="Aptos" w:hAnsi="Aptos" w:cs="Arial"/>
        </w:rPr>
      </w:pPr>
      <w:r w:rsidRPr="0010442F">
        <w:rPr>
          <w:rFonts w:ascii="Aptos" w:hAnsi="Aptos" w:cs="Arial"/>
        </w:rPr>
        <w:t>A Subrecipient’s invoice must:</w:t>
      </w:r>
    </w:p>
    <w:p w14:paraId="165CF829" w14:textId="77777777" w:rsidR="00CC0C97" w:rsidRPr="0010442F" w:rsidRDefault="00CC0C97" w:rsidP="001B2E12">
      <w:pPr>
        <w:numPr>
          <w:ilvl w:val="1"/>
          <w:numId w:val="29"/>
        </w:numPr>
        <w:spacing w:after="0" w:line="278" w:lineRule="auto"/>
        <w:rPr>
          <w:rFonts w:ascii="Aptos" w:hAnsi="Aptos" w:cs="Arial"/>
        </w:rPr>
      </w:pPr>
      <w:r w:rsidRPr="0010442F">
        <w:rPr>
          <w:rFonts w:ascii="Aptos" w:hAnsi="Aptos" w:cs="Arial"/>
        </w:rPr>
        <w:t>be broken down by category, just as a Recipient</w:t>
      </w:r>
    </w:p>
    <w:p w14:paraId="07A8EDE7" w14:textId="77777777" w:rsidR="00CC0C97" w:rsidRPr="0010442F" w:rsidRDefault="00CC0C97" w:rsidP="001B2E12">
      <w:pPr>
        <w:numPr>
          <w:ilvl w:val="1"/>
          <w:numId w:val="29"/>
        </w:numPr>
        <w:spacing w:after="0" w:line="278" w:lineRule="auto"/>
        <w:rPr>
          <w:rFonts w:ascii="Aptos" w:hAnsi="Aptos" w:cs="Arial"/>
        </w:rPr>
      </w:pPr>
      <w:r w:rsidRPr="0010442F">
        <w:rPr>
          <w:rFonts w:ascii="Aptos" w:hAnsi="Aptos" w:cs="Arial"/>
        </w:rPr>
        <w:t>include the Subrecipient’s actual source documentation – not a document to be created by Recipient.</w:t>
      </w:r>
    </w:p>
    <w:p w14:paraId="76BB6273" w14:textId="77777777" w:rsidR="00CC0C97" w:rsidRPr="0010442F" w:rsidRDefault="00CC0C97" w:rsidP="001B2E12">
      <w:pPr>
        <w:numPr>
          <w:ilvl w:val="1"/>
          <w:numId w:val="29"/>
        </w:numPr>
        <w:spacing w:after="0" w:line="278" w:lineRule="auto"/>
        <w:rPr>
          <w:rFonts w:ascii="Aptos" w:hAnsi="Aptos" w:cs="Arial"/>
        </w:rPr>
      </w:pPr>
      <w:r w:rsidRPr="0010442F">
        <w:rPr>
          <w:rFonts w:ascii="Aptos" w:hAnsi="Aptos" w:cs="Arial"/>
        </w:rPr>
        <w:t>be sufficient to allow us to verify that we are paying actuals.</w:t>
      </w:r>
    </w:p>
    <w:p w14:paraId="0DBCC413" w14:textId="5C472FE8" w:rsidR="00CC0C97" w:rsidRPr="0010442F" w:rsidRDefault="00CC0C97" w:rsidP="001B2E12">
      <w:pPr>
        <w:numPr>
          <w:ilvl w:val="0"/>
          <w:numId w:val="29"/>
        </w:numPr>
        <w:spacing w:line="278" w:lineRule="auto"/>
        <w:rPr>
          <w:rFonts w:ascii="Aptos" w:hAnsi="Aptos" w:cs="Arial"/>
        </w:rPr>
      </w:pPr>
      <w:r w:rsidRPr="0010442F">
        <w:rPr>
          <w:rFonts w:ascii="Aptos" w:hAnsi="Aptos" w:cs="Arial"/>
        </w:rPr>
        <w:t>If the Auditor chooses to audit a Subrecipient, the Subrecipient must be able to provide the same supporting documentation a Recipient is required to provide. This is in the flow-down provisions of agreement terms and conditions.</w:t>
      </w:r>
    </w:p>
    <w:p w14:paraId="1DBACEC4" w14:textId="77777777" w:rsidR="00CC0C97" w:rsidRPr="0010442F" w:rsidRDefault="00CC0C97" w:rsidP="00CC0C97">
      <w:pPr>
        <w:spacing w:line="278" w:lineRule="auto"/>
        <w:rPr>
          <w:rFonts w:ascii="Aptos" w:hAnsi="Aptos" w:cs="Arial"/>
        </w:rPr>
      </w:pPr>
      <w:r w:rsidRPr="0010442F">
        <w:rPr>
          <w:rFonts w:ascii="Aptos" w:hAnsi="Aptos" w:cs="Arial"/>
          <w:b/>
          <w:bCs/>
        </w:rPr>
        <w:t>For any Subrecipient receiving less than $100,000 in Energy Commission funds (Minor Sub):</w:t>
      </w:r>
    </w:p>
    <w:p w14:paraId="229B0215" w14:textId="53FD5DC3" w:rsidR="00CC0C97" w:rsidRPr="0010442F" w:rsidRDefault="00CC0C97" w:rsidP="001B2E12">
      <w:pPr>
        <w:numPr>
          <w:ilvl w:val="0"/>
          <w:numId w:val="30"/>
        </w:numPr>
        <w:spacing w:after="0" w:line="278" w:lineRule="auto"/>
        <w:rPr>
          <w:rFonts w:ascii="Aptos" w:hAnsi="Aptos" w:cs="Arial"/>
        </w:rPr>
      </w:pPr>
      <w:r w:rsidRPr="0010442F">
        <w:rPr>
          <w:rFonts w:ascii="Aptos" w:hAnsi="Aptos" w:cs="Arial"/>
        </w:rPr>
        <w:t>No detailed budget required – Recipient need only submit Subrecipient’s invoice</w:t>
      </w:r>
    </w:p>
    <w:p w14:paraId="2FABA10B" w14:textId="178644F8" w:rsidR="00CC0C97" w:rsidRPr="0010442F" w:rsidRDefault="00A3664E" w:rsidP="001B2E12">
      <w:pPr>
        <w:numPr>
          <w:ilvl w:val="0"/>
          <w:numId w:val="30"/>
        </w:numPr>
        <w:spacing w:after="0" w:line="278" w:lineRule="auto"/>
        <w:rPr>
          <w:rFonts w:ascii="Aptos" w:hAnsi="Aptos" w:cs="Arial"/>
        </w:rPr>
      </w:pPr>
      <w:r w:rsidRPr="0010442F">
        <w:rPr>
          <w:rFonts w:ascii="Aptos" w:hAnsi="Aptos" w:cs="Arial"/>
        </w:rPr>
        <w:t>No</w:t>
      </w:r>
      <w:r w:rsidR="00CC0C97" w:rsidRPr="0010442F">
        <w:rPr>
          <w:rFonts w:ascii="Aptos" w:hAnsi="Aptos" w:cs="Arial"/>
        </w:rPr>
        <w:t xml:space="preserve"> contract review required</w:t>
      </w:r>
    </w:p>
    <w:p w14:paraId="664DEC6C" w14:textId="1510A91A" w:rsidR="00CC0C97" w:rsidRPr="0010442F" w:rsidRDefault="00A3664E" w:rsidP="001B2E12">
      <w:pPr>
        <w:numPr>
          <w:ilvl w:val="0"/>
          <w:numId w:val="30"/>
        </w:numPr>
        <w:spacing w:after="0" w:line="278" w:lineRule="auto"/>
        <w:rPr>
          <w:rFonts w:ascii="Aptos" w:hAnsi="Aptos" w:cs="Arial"/>
        </w:rPr>
      </w:pPr>
      <w:r w:rsidRPr="0010442F">
        <w:rPr>
          <w:rFonts w:ascii="Aptos" w:hAnsi="Aptos" w:cs="Arial"/>
        </w:rPr>
        <w:t>No</w:t>
      </w:r>
      <w:r w:rsidR="00CC0C97" w:rsidRPr="0010442F">
        <w:rPr>
          <w:rFonts w:ascii="Aptos" w:hAnsi="Aptos" w:cs="Arial"/>
        </w:rPr>
        <w:t xml:space="preserve"> training invoice required</w:t>
      </w:r>
    </w:p>
    <w:p w14:paraId="5673EBBC" w14:textId="3B33F71A" w:rsidR="00CC0C97" w:rsidRPr="0010442F" w:rsidRDefault="00A3664E" w:rsidP="00CC0C97">
      <w:pPr>
        <w:numPr>
          <w:ilvl w:val="0"/>
          <w:numId w:val="30"/>
        </w:numPr>
        <w:spacing w:line="278" w:lineRule="auto"/>
        <w:rPr>
          <w:rFonts w:ascii="Aptos" w:hAnsi="Aptos" w:cs="Arial"/>
        </w:rPr>
      </w:pPr>
      <w:proofErr w:type="gramStart"/>
      <w:r w:rsidRPr="0010442F">
        <w:rPr>
          <w:rFonts w:ascii="Aptos" w:hAnsi="Aptos" w:cs="Arial"/>
        </w:rPr>
        <w:t>Is</w:t>
      </w:r>
      <w:proofErr w:type="gramEnd"/>
      <w:r w:rsidRPr="0010442F">
        <w:rPr>
          <w:rFonts w:ascii="Aptos" w:hAnsi="Aptos" w:cs="Arial"/>
        </w:rPr>
        <w:t xml:space="preserve"> </w:t>
      </w:r>
      <w:r w:rsidR="00CC0C97" w:rsidRPr="0010442F">
        <w:rPr>
          <w:rFonts w:ascii="Aptos" w:hAnsi="Aptos" w:cs="Arial"/>
        </w:rPr>
        <w:t>subject to flow-down provisions</w:t>
      </w:r>
    </w:p>
    <w:p w14:paraId="382778D8" w14:textId="77777777" w:rsidR="00CC0C97" w:rsidRPr="0010442F" w:rsidRDefault="00CC0C97" w:rsidP="00CC0C97">
      <w:pPr>
        <w:spacing w:line="278" w:lineRule="auto"/>
        <w:rPr>
          <w:rFonts w:ascii="Aptos" w:hAnsi="Aptos" w:cs="Arial"/>
        </w:rPr>
      </w:pPr>
      <w:r w:rsidRPr="0010442F">
        <w:rPr>
          <w:rFonts w:ascii="Aptos" w:hAnsi="Aptos" w:cs="Arial"/>
          <w:b/>
          <w:bCs/>
        </w:rPr>
        <w:t>Vendors:</w:t>
      </w:r>
    </w:p>
    <w:p w14:paraId="5D53BF5F" w14:textId="77777777" w:rsidR="00CC0C97" w:rsidRPr="0010442F" w:rsidRDefault="00CC0C97" w:rsidP="001B2E12">
      <w:pPr>
        <w:numPr>
          <w:ilvl w:val="0"/>
          <w:numId w:val="31"/>
        </w:numPr>
        <w:spacing w:after="0" w:line="278" w:lineRule="auto"/>
        <w:rPr>
          <w:rFonts w:ascii="Aptos" w:hAnsi="Aptos" w:cs="Arial"/>
        </w:rPr>
      </w:pPr>
      <w:r w:rsidRPr="0010442F">
        <w:rPr>
          <w:rFonts w:ascii="Aptos" w:hAnsi="Aptos" w:cs="Arial"/>
        </w:rPr>
        <w:lastRenderedPageBreak/>
        <w:t>No detailed budget required – Recipient need only submit Vendor’s invoice.</w:t>
      </w:r>
    </w:p>
    <w:p w14:paraId="70E19599" w14:textId="77777777" w:rsidR="00CC0C97" w:rsidRPr="0010442F" w:rsidRDefault="00CC0C97" w:rsidP="001B2E12">
      <w:pPr>
        <w:numPr>
          <w:ilvl w:val="0"/>
          <w:numId w:val="31"/>
        </w:numPr>
        <w:spacing w:after="0" w:line="278" w:lineRule="auto"/>
        <w:rPr>
          <w:rFonts w:ascii="Aptos" w:hAnsi="Aptos" w:cs="Arial"/>
        </w:rPr>
      </w:pPr>
      <w:r w:rsidRPr="0010442F">
        <w:rPr>
          <w:rFonts w:ascii="Aptos" w:hAnsi="Aptos" w:cs="Arial"/>
        </w:rPr>
        <w:t>No contract review required</w:t>
      </w:r>
    </w:p>
    <w:p w14:paraId="1934F29D" w14:textId="77777777" w:rsidR="00CC0C97" w:rsidRPr="0010442F" w:rsidRDefault="00CC0C97" w:rsidP="001B2E12">
      <w:pPr>
        <w:numPr>
          <w:ilvl w:val="0"/>
          <w:numId w:val="31"/>
        </w:numPr>
        <w:spacing w:after="0" w:line="278" w:lineRule="auto"/>
        <w:rPr>
          <w:rFonts w:ascii="Aptos" w:hAnsi="Aptos" w:cs="Arial"/>
        </w:rPr>
      </w:pPr>
      <w:r w:rsidRPr="0010442F">
        <w:rPr>
          <w:rFonts w:ascii="Aptos" w:hAnsi="Aptos" w:cs="Arial"/>
        </w:rPr>
        <w:t>No training invoice required</w:t>
      </w:r>
    </w:p>
    <w:p w14:paraId="1F4C3765" w14:textId="77777777" w:rsidR="00CC0C97" w:rsidRPr="0010442F" w:rsidRDefault="00CC0C97" w:rsidP="001B2E12">
      <w:pPr>
        <w:numPr>
          <w:ilvl w:val="0"/>
          <w:numId w:val="31"/>
        </w:numPr>
        <w:spacing w:after="0" w:line="278" w:lineRule="auto"/>
        <w:rPr>
          <w:rFonts w:ascii="Aptos" w:hAnsi="Aptos" w:cs="Arial"/>
        </w:rPr>
      </w:pPr>
      <w:r w:rsidRPr="0010442F">
        <w:rPr>
          <w:rFonts w:ascii="Aptos" w:hAnsi="Aptos" w:cs="Arial"/>
        </w:rPr>
        <w:t>Invoice must certify that Vendor was competitively bid or is a responsible supplier that provides a fair and reasonable price.</w:t>
      </w:r>
    </w:p>
    <w:p w14:paraId="49F5E6AC" w14:textId="77777777" w:rsidR="00CC0C97" w:rsidRPr="0010442F" w:rsidRDefault="00CC0C97" w:rsidP="001B2E12">
      <w:pPr>
        <w:numPr>
          <w:ilvl w:val="0"/>
          <w:numId w:val="31"/>
        </w:numPr>
        <w:spacing w:after="0" w:line="278" w:lineRule="auto"/>
        <w:rPr>
          <w:rFonts w:ascii="Aptos" w:hAnsi="Aptos" w:cs="Arial"/>
        </w:rPr>
      </w:pPr>
      <w:r w:rsidRPr="0010442F">
        <w:rPr>
          <w:rFonts w:ascii="Aptos" w:hAnsi="Aptos" w:cs="Arial"/>
        </w:rPr>
        <w:t>When a Recipient classifies an entity as a Vendor, the recipient must retain documentation establishing how the price was determined to be fair and reasonable.</w:t>
      </w:r>
    </w:p>
    <w:p w14:paraId="799F2B2C" w14:textId="77777777" w:rsidR="00CC0C97" w:rsidRPr="0010442F" w:rsidRDefault="00CC0C97" w:rsidP="001B2E12">
      <w:pPr>
        <w:numPr>
          <w:ilvl w:val="0"/>
          <w:numId w:val="31"/>
        </w:numPr>
        <w:spacing w:after="0" w:line="278" w:lineRule="auto"/>
        <w:rPr>
          <w:rFonts w:ascii="Aptos" w:hAnsi="Aptos" w:cs="Arial"/>
        </w:rPr>
      </w:pPr>
      <w:r w:rsidRPr="0010442F">
        <w:rPr>
          <w:rFonts w:ascii="Aptos" w:hAnsi="Aptos" w:cs="Arial"/>
        </w:rPr>
        <w:t>If a CAM has concerns about an entity being improperly classified as a Vendor, the CAM will elevate the issue to his or her supervisor.  </w:t>
      </w:r>
    </w:p>
    <w:p w14:paraId="6A483D41" w14:textId="77777777" w:rsidR="00CC0C97" w:rsidRPr="0010442F" w:rsidRDefault="00CC0C97" w:rsidP="00CC0C97">
      <w:pPr>
        <w:numPr>
          <w:ilvl w:val="0"/>
          <w:numId w:val="31"/>
        </w:numPr>
        <w:spacing w:line="278" w:lineRule="auto"/>
        <w:rPr>
          <w:rFonts w:ascii="Aptos" w:hAnsi="Aptos" w:cs="Arial"/>
        </w:rPr>
      </w:pPr>
      <w:r w:rsidRPr="0010442F">
        <w:rPr>
          <w:rFonts w:ascii="Aptos" w:hAnsi="Aptos" w:cs="Arial"/>
        </w:rPr>
        <w:t>Vendors may be exempt from some flow-down provisions. Check the applicable terms and conditions.</w:t>
      </w:r>
    </w:p>
    <w:p w14:paraId="7062D3A2" w14:textId="77777777" w:rsidR="00CC0C97" w:rsidRPr="0010442F" w:rsidRDefault="00CC0C97" w:rsidP="00174021">
      <w:pPr>
        <w:pStyle w:val="Heading3"/>
        <w:spacing w:after="240"/>
        <w:rPr>
          <w:rFonts w:ascii="Aptos" w:hAnsi="Aptos"/>
          <w:b/>
          <w:bCs/>
        </w:rPr>
      </w:pPr>
      <w:bookmarkStart w:id="38" w:name="_Toc216776584"/>
      <w:r w:rsidRPr="0010442F">
        <w:rPr>
          <w:rFonts w:ascii="Aptos" w:hAnsi="Aptos"/>
          <w:b/>
          <w:bCs/>
        </w:rPr>
        <w:t>Additional Information related to Subrecipients:</w:t>
      </w:r>
      <w:bookmarkEnd w:id="38"/>
    </w:p>
    <w:p w14:paraId="1A5DD2B5" w14:textId="77777777" w:rsidR="00CC0C97" w:rsidRPr="0010442F" w:rsidRDefault="00CC0C97" w:rsidP="00174021">
      <w:pPr>
        <w:numPr>
          <w:ilvl w:val="0"/>
          <w:numId w:val="32"/>
        </w:numPr>
        <w:spacing w:after="0" w:line="278" w:lineRule="auto"/>
        <w:rPr>
          <w:rFonts w:ascii="Aptos" w:hAnsi="Aptos" w:cs="Arial"/>
        </w:rPr>
      </w:pPr>
      <w:r w:rsidRPr="0010442F">
        <w:rPr>
          <w:rFonts w:ascii="Aptos" w:hAnsi="Aptos" w:cs="Arial"/>
        </w:rPr>
        <w:t>Recipients are responsible for managing their Subrecipients and Vendors. If a Subrecipient or Vendor does not complete its duties under the Agreement, the Recipient is liable for the non-performance. Similarly, if an audit finds that a Subrecipient has not adhered to the requirements to invoicing for actual costs or maintaining acceptable supporting documentation, the Recipient is liable for questioned costs.</w:t>
      </w:r>
    </w:p>
    <w:p w14:paraId="1C69301D" w14:textId="0C83B585" w:rsidR="00CC0C97" w:rsidRPr="0010442F" w:rsidRDefault="00CC0C97" w:rsidP="00450EB2">
      <w:pPr>
        <w:numPr>
          <w:ilvl w:val="0"/>
          <w:numId w:val="32"/>
        </w:numPr>
        <w:spacing w:line="278" w:lineRule="auto"/>
        <w:rPr>
          <w:rFonts w:ascii="Aptos" w:hAnsi="Aptos" w:cs="Arial"/>
        </w:rPr>
      </w:pPr>
      <w:r w:rsidRPr="0010442F">
        <w:rPr>
          <w:rFonts w:ascii="Aptos" w:hAnsi="Aptos" w:cs="Arial"/>
        </w:rPr>
        <w:t xml:space="preserve">Major Subrecipients should attend Administrative Kick-off </w:t>
      </w:r>
      <w:r w:rsidR="00174021" w:rsidRPr="0010442F">
        <w:rPr>
          <w:rFonts w:ascii="Aptos" w:hAnsi="Aptos" w:cs="Arial"/>
        </w:rPr>
        <w:t>meetings</w:t>
      </w:r>
      <w:r w:rsidRPr="0010442F">
        <w:rPr>
          <w:rFonts w:ascii="Aptos" w:hAnsi="Aptos" w:cs="Arial"/>
        </w:rPr>
        <w:t xml:space="preserve"> so they can better understand their responsibilities.</w:t>
      </w:r>
    </w:p>
    <w:p w14:paraId="25C94F82" w14:textId="4FEECE5E" w:rsidR="000B46D0" w:rsidRPr="007E7C98" w:rsidRDefault="00124DBC" w:rsidP="00124DBC">
      <w:pPr>
        <w:pStyle w:val="Heading2"/>
        <w:spacing w:after="240"/>
        <w:rPr>
          <w:rFonts w:ascii="Aptos" w:hAnsi="Aptos"/>
          <w:b/>
          <w:bCs/>
          <w:sz w:val="24"/>
          <w:szCs w:val="24"/>
        </w:rPr>
      </w:pPr>
      <w:bookmarkStart w:id="39" w:name="_Toc216776585"/>
      <w:r w:rsidRPr="007E7C98">
        <w:rPr>
          <w:rFonts w:ascii="Aptos" w:hAnsi="Aptos"/>
          <w:b/>
          <w:bCs/>
          <w:sz w:val="24"/>
          <w:szCs w:val="24"/>
        </w:rPr>
        <w:t>INDIRECT COSTS &amp; PROFIT</w:t>
      </w:r>
      <w:bookmarkEnd w:id="39"/>
    </w:p>
    <w:p w14:paraId="65328974" w14:textId="648D7DB7" w:rsidR="00124DBC" w:rsidRPr="0010442F" w:rsidRDefault="00124DBC" w:rsidP="00124DBC">
      <w:pPr>
        <w:rPr>
          <w:rFonts w:ascii="Aptos" w:hAnsi="Aptos"/>
        </w:rPr>
      </w:pPr>
      <w:r w:rsidRPr="0010442F">
        <w:rPr>
          <w:rFonts w:ascii="Aptos" w:hAnsi="Aptos"/>
        </w:rPr>
        <w:t xml:space="preserve">Indirect costs are those costs incurred for common or joint purposes of a public or private entity, </w:t>
      </w:r>
      <w:r w:rsidR="00A3664E" w:rsidRPr="0010442F">
        <w:rPr>
          <w:rFonts w:ascii="Aptos" w:hAnsi="Aptos"/>
        </w:rPr>
        <w:t>benefiting</w:t>
      </w:r>
      <w:r w:rsidRPr="0010442F">
        <w:rPr>
          <w:rFonts w:ascii="Aptos" w:hAnsi="Aptos"/>
        </w:rPr>
        <w:t xml:space="preserve"> more than one project or activity, and not easily assignable to the projects and activities. For example, it is difficult to assign the cost of a building’s operations to each activity performed by a company. </w:t>
      </w:r>
    </w:p>
    <w:p w14:paraId="5ED01BA7" w14:textId="77777777" w:rsidR="00124DBC" w:rsidRPr="0010442F" w:rsidRDefault="00124DBC" w:rsidP="00124DBC">
      <w:pPr>
        <w:rPr>
          <w:rFonts w:ascii="Aptos" w:hAnsi="Aptos"/>
        </w:rPr>
      </w:pPr>
      <w:r w:rsidRPr="0010442F">
        <w:rPr>
          <w:rFonts w:ascii="Aptos" w:hAnsi="Aptos"/>
        </w:rPr>
        <w:t xml:space="preserve">Indirect, Overhead, General and Administration (G&amp;A), Facilities and Administrative (F&amp;A) are all terms for indirect costs. Typical examples of Indirect Costs may include depreciation </w:t>
      </w:r>
      <w:proofErr w:type="gramStart"/>
      <w:r w:rsidRPr="0010442F">
        <w:rPr>
          <w:rFonts w:ascii="Aptos" w:hAnsi="Aptos"/>
        </w:rPr>
        <w:t>on</w:t>
      </w:r>
      <w:proofErr w:type="gramEnd"/>
      <w:r w:rsidRPr="0010442F">
        <w:rPr>
          <w:rFonts w:ascii="Aptos" w:hAnsi="Aptos"/>
        </w:rPr>
        <w:t xml:space="preserve"> buildings and equipment, the costs associated with operating and maintaining facilities and equipment, and general administration and expenses, such as salaries and expenses of executive officers, personnel administration and accounting. This category typically covers other general business expenses such as printer paper, printer toner, pencils, rent, and utilities.</w:t>
      </w:r>
    </w:p>
    <w:p w14:paraId="70C1C0D0" w14:textId="77777777" w:rsidR="00124DBC" w:rsidRPr="0010442F" w:rsidRDefault="00124DBC" w:rsidP="00124DBC">
      <w:pPr>
        <w:rPr>
          <w:rFonts w:ascii="Aptos" w:hAnsi="Aptos"/>
        </w:rPr>
      </w:pPr>
      <w:r w:rsidRPr="0010442F">
        <w:rPr>
          <w:rFonts w:ascii="Aptos" w:hAnsi="Aptos"/>
        </w:rPr>
        <w:t>Grant applicants may select one of three options for indirect costs. The selection must be made prior to submitting the first invoice and must be maintained over the life of the grant.</w:t>
      </w:r>
    </w:p>
    <w:p w14:paraId="540EE206" w14:textId="77777777" w:rsidR="00124DBC" w:rsidRPr="0010442F" w:rsidRDefault="00124DBC" w:rsidP="00124DBC">
      <w:pPr>
        <w:pStyle w:val="Heading3"/>
        <w:spacing w:after="240"/>
        <w:rPr>
          <w:rFonts w:ascii="Aptos" w:hAnsi="Aptos"/>
          <w:b/>
          <w:bCs/>
        </w:rPr>
      </w:pPr>
      <w:bookmarkStart w:id="40" w:name="_Toc216776586"/>
      <w:r w:rsidRPr="0010442F">
        <w:rPr>
          <w:rFonts w:ascii="Aptos" w:hAnsi="Aptos"/>
          <w:b/>
          <w:bCs/>
        </w:rPr>
        <w:t>OPTION 1 – Defense Contract Audit Agency (DCAA) or other Federally Approved Indirect Rate</w:t>
      </w:r>
      <w:bookmarkEnd w:id="40"/>
    </w:p>
    <w:p w14:paraId="5A01E0C3" w14:textId="5E9A7D8B" w:rsidR="00124DBC" w:rsidRPr="0010442F" w:rsidRDefault="00124DBC" w:rsidP="00124DBC">
      <w:pPr>
        <w:rPr>
          <w:rFonts w:ascii="Aptos" w:hAnsi="Aptos"/>
        </w:rPr>
      </w:pPr>
      <w:r w:rsidRPr="0010442F">
        <w:rPr>
          <w:rFonts w:ascii="Aptos" w:hAnsi="Aptos"/>
        </w:rPr>
        <w:t xml:space="preserve">An entity that has a federally approved indirect rate from DCAA or another Federal agency may use the approved indirect rate for Energy Commission grants. A copy of the letter of approval must be </w:t>
      </w:r>
      <w:r w:rsidRPr="0010442F">
        <w:rPr>
          <w:rFonts w:ascii="Aptos" w:hAnsi="Aptos"/>
        </w:rPr>
        <w:lastRenderedPageBreak/>
        <w:t>provided. CAMS will review the letter to determine which fiscal year it applies to and what basis is used to calculate the rate to ensure the approved rate is for a recent fiscal year and the calculation of indirect for the grant matches the approved method. CAMS may contact CEC’s audit office if they have questions regarding the letter.</w:t>
      </w:r>
    </w:p>
    <w:p w14:paraId="151877DA" w14:textId="77777777" w:rsidR="00124DBC" w:rsidRPr="0010442F" w:rsidRDefault="00124DBC" w:rsidP="00124DBC">
      <w:pPr>
        <w:rPr>
          <w:rFonts w:ascii="Aptos" w:hAnsi="Aptos"/>
        </w:rPr>
      </w:pPr>
      <w:r w:rsidRPr="0010442F">
        <w:rPr>
          <w:rFonts w:ascii="Aptos" w:hAnsi="Aptos"/>
        </w:rPr>
        <w:t>The benefits of using this option:</w:t>
      </w:r>
    </w:p>
    <w:p w14:paraId="66BAA5F5" w14:textId="77777777" w:rsidR="00124DBC" w:rsidRPr="0010442F" w:rsidRDefault="00124DBC" w:rsidP="00124DBC">
      <w:pPr>
        <w:numPr>
          <w:ilvl w:val="0"/>
          <w:numId w:val="33"/>
        </w:numPr>
        <w:spacing w:after="0"/>
        <w:rPr>
          <w:rFonts w:ascii="Aptos" w:hAnsi="Aptos"/>
        </w:rPr>
      </w:pPr>
      <w:r w:rsidRPr="0010442F">
        <w:rPr>
          <w:rFonts w:ascii="Aptos" w:hAnsi="Aptos"/>
        </w:rPr>
        <w:t>Aside from the letter, no backup documentation is required.</w:t>
      </w:r>
    </w:p>
    <w:p w14:paraId="217D97F3" w14:textId="77777777" w:rsidR="00124DBC" w:rsidRPr="0010442F" w:rsidRDefault="00124DBC" w:rsidP="00124DBC">
      <w:pPr>
        <w:numPr>
          <w:ilvl w:val="0"/>
          <w:numId w:val="33"/>
        </w:numPr>
        <w:rPr>
          <w:rFonts w:ascii="Aptos" w:hAnsi="Aptos"/>
        </w:rPr>
      </w:pPr>
      <w:r w:rsidRPr="0010442F">
        <w:rPr>
          <w:rFonts w:ascii="Aptos" w:hAnsi="Aptos"/>
        </w:rPr>
        <w:t>Indirect Costs will not be subject to an Energy Commission audit.</w:t>
      </w:r>
    </w:p>
    <w:p w14:paraId="6A3B06FD" w14:textId="77777777" w:rsidR="00124DBC" w:rsidRPr="0010442F" w:rsidRDefault="00124DBC" w:rsidP="00124DBC">
      <w:pPr>
        <w:rPr>
          <w:rFonts w:ascii="Aptos" w:hAnsi="Aptos"/>
        </w:rPr>
      </w:pPr>
      <w:r w:rsidRPr="0010442F">
        <w:rPr>
          <w:rFonts w:ascii="Aptos" w:hAnsi="Aptos"/>
        </w:rPr>
        <w:t>This rate will typically shift annually, and this shift is generally acceptable.</w:t>
      </w:r>
    </w:p>
    <w:p w14:paraId="7587FD36" w14:textId="77777777" w:rsidR="00124DBC" w:rsidRPr="0010442F" w:rsidRDefault="00124DBC" w:rsidP="00124DBC">
      <w:pPr>
        <w:numPr>
          <w:ilvl w:val="0"/>
          <w:numId w:val="34"/>
        </w:numPr>
        <w:spacing w:after="0"/>
        <w:rPr>
          <w:rFonts w:ascii="Aptos" w:hAnsi="Aptos"/>
        </w:rPr>
      </w:pPr>
      <w:r w:rsidRPr="0010442F">
        <w:rPr>
          <w:rFonts w:ascii="Aptos" w:hAnsi="Aptos"/>
        </w:rPr>
        <w:t>When the rate goes down, the Indirect budget category does not need to be adjusted.</w:t>
      </w:r>
    </w:p>
    <w:p w14:paraId="7D09F0A2" w14:textId="77777777" w:rsidR="00124DBC" w:rsidRPr="0010442F" w:rsidRDefault="00124DBC" w:rsidP="00124DBC">
      <w:pPr>
        <w:numPr>
          <w:ilvl w:val="0"/>
          <w:numId w:val="34"/>
        </w:numPr>
        <w:rPr>
          <w:rFonts w:ascii="Aptos" w:hAnsi="Aptos"/>
        </w:rPr>
      </w:pPr>
      <w:r w:rsidRPr="0010442F">
        <w:rPr>
          <w:rFonts w:ascii="Aptos" w:hAnsi="Aptos"/>
        </w:rPr>
        <w:t>When the rate goes up, if the rate increase would require a budget reallocation to increase the total dollar value of the Indirect budget category, approval per the Grant Agreement Change Approval Chart will be required.</w:t>
      </w:r>
    </w:p>
    <w:p w14:paraId="016165F9" w14:textId="1541C227" w:rsidR="00124DBC" w:rsidRPr="0010442F" w:rsidRDefault="00124DBC" w:rsidP="00611CD0">
      <w:pPr>
        <w:pStyle w:val="Heading3"/>
        <w:spacing w:after="240"/>
        <w:rPr>
          <w:rFonts w:ascii="Aptos" w:hAnsi="Aptos"/>
          <w:b/>
          <w:bCs/>
        </w:rPr>
      </w:pPr>
      <w:bookmarkStart w:id="41" w:name="_Toc216776587"/>
      <w:r w:rsidRPr="0010442F">
        <w:rPr>
          <w:rFonts w:ascii="Aptos" w:hAnsi="Aptos"/>
          <w:b/>
          <w:bCs/>
        </w:rPr>
        <w:t xml:space="preserve">OPTION 2 </w:t>
      </w:r>
      <w:r w:rsidR="0011746A" w:rsidRPr="0010442F">
        <w:rPr>
          <w:rFonts w:ascii="Aptos" w:hAnsi="Aptos"/>
          <w:b/>
          <w:bCs/>
        </w:rPr>
        <w:t>–</w:t>
      </w:r>
      <w:r w:rsidRPr="0010442F">
        <w:rPr>
          <w:rFonts w:ascii="Aptos" w:hAnsi="Aptos"/>
          <w:b/>
          <w:bCs/>
        </w:rPr>
        <w:t xml:space="preserve"> CEC</w:t>
      </w:r>
      <w:r w:rsidR="0011746A" w:rsidRPr="0010442F">
        <w:rPr>
          <w:rFonts w:ascii="Aptos" w:hAnsi="Aptos"/>
          <w:b/>
          <w:bCs/>
        </w:rPr>
        <w:t>/DOE</w:t>
      </w:r>
      <w:r w:rsidRPr="0010442F">
        <w:rPr>
          <w:rFonts w:ascii="Aptos" w:hAnsi="Aptos"/>
          <w:b/>
          <w:bCs/>
        </w:rPr>
        <w:t xml:space="preserve"> De Minimis Rate</w:t>
      </w:r>
      <w:bookmarkEnd w:id="41"/>
    </w:p>
    <w:p w14:paraId="4E52DF62" w14:textId="77777777" w:rsidR="00124DBC" w:rsidRPr="0010442F" w:rsidRDefault="00124DBC" w:rsidP="00124DBC">
      <w:pPr>
        <w:rPr>
          <w:rFonts w:ascii="Aptos" w:hAnsi="Aptos"/>
        </w:rPr>
      </w:pPr>
      <w:r w:rsidRPr="0010442F">
        <w:rPr>
          <w:rFonts w:ascii="Aptos" w:hAnsi="Aptos"/>
        </w:rPr>
        <w:t xml:space="preserve">The CEC has established a De Minimis Rate of 15% of Modified Total Direct Cost (MTDC). This is the same de minimis rate used by the Federal government as of October 1, 2024. MTDC is defined as: all direct salaries and wages, applicable fringe benefits, materials and supplies, services, travel, and up to the first $50,000 of each subaward (regardless of the </w:t>
      </w:r>
      <w:proofErr w:type="gramStart"/>
      <w:r w:rsidRPr="0010442F">
        <w:rPr>
          <w:rFonts w:ascii="Aptos" w:hAnsi="Aptos"/>
        </w:rPr>
        <w:t>period of performance</w:t>
      </w:r>
      <w:proofErr w:type="gramEnd"/>
      <w:r w:rsidRPr="0010442F">
        <w:rPr>
          <w:rFonts w:ascii="Aptos" w:hAnsi="Aptos"/>
        </w:rPr>
        <w:t xml:space="preserve"> of the subawards under the award). MTDC excludes equipment, capital expenditures, charges for patient care, rental costs, tuition remission, scholarships and fellowships, and the portion of each subaward </w:t>
      </w:r>
      <w:proofErr w:type="gramStart"/>
      <w:r w:rsidRPr="0010442F">
        <w:rPr>
          <w:rFonts w:ascii="Aptos" w:hAnsi="Aptos"/>
        </w:rPr>
        <w:t>in excess of</w:t>
      </w:r>
      <w:proofErr w:type="gramEnd"/>
      <w:r w:rsidRPr="0010442F">
        <w:rPr>
          <w:rFonts w:ascii="Aptos" w:hAnsi="Aptos"/>
        </w:rPr>
        <w:t xml:space="preserve"> $50,000. The changes are outlined in 2 CFR Part 200, the Uniform Administrative Requirements, Cost Principles, and Audit Requirements for Federal Awards.</w:t>
      </w:r>
    </w:p>
    <w:p w14:paraId="5C50A3D1" w14:textId="77777777" w:rsidR="00124DBC" w:rsidRPr="0010442F" w:rsidRDefault="00124DBC" w:rsidP="00124DBC">
      <w:pPr>
        <w:rPr>
          <w:rFonts w:ascii="Aptos" w:hAnsi="Aptos"/>
        </w:rPr>
      </w:pPr>
      <w:r w:rsidRPr="0010442F">
        <w:rPr>
          <w:rFonts w:ascii="Aptos" w:hAnsi="Aptos"/>
        </w:rPr>
        <w:t>The benefits of using this option:</w:t>
      </w:r>
    </w:p>
    <w:p w14:paraId="1CA97460" w14:textId="77777777" w:rsidR="00124DBC" w:rsidRPr="0010442F" w:rsidRDefault="00124DBC" w:rsidP="007D1CD1">
      <w:pPr>
        <w:numPr>
          <w:ilvl w:val="0"/>
          <w:numId w:val="35"/>
        </w:numPr>
        <w:spacing w:after="0"/>
        <w:rPr>
          <w:rFonts w:ascii="Aptos" w:hAnsi="Aptos"/>
        </w:rPr>
      </w:pPr>
      <w:r w:rsidRPr="0010442F">
        <w:rPr>
          <w:rFonts w:ascii="Aptos" w:hAnsi="Aptos"/>
        </w:rPr>
        <w:t>No backup documentation is required</w:t>
      </w:r>
    </w:p>
    <w:p w14:paraId="2BE24C7C" w14:textId="77777777" w:rsidR="00124DBC" w:rsidRPr="0010442F" w:rsidRDefault="00124DBC" w:rsidP="007D1CD1">
      <w:pPr>
        <w:numPr>
          <w:ilvl w:val="0"/>
          <w:numId w:val="35"/>
        </w:numPr>
        <w:spacing w:after="0"/>
        <w:rPr>
          <w:rFonts w:ascii="Aptos" w:hAnsi="Aptos"/>
        </w:rPr>
      </w:pPr>
      <w:r w:rsidRPr="0010442F">
        <w:rPr>
          <w:rFonts w:ascii="Aptos" w:hAnsi="Aptos"/>
        </w:rPr>
        <w:t>Indirect Costs will not be subject to an Energy Commission audit.</w:t>
      </w:r>
    </w:p>
    <w:p w14:paraId="239D0113" w14:textId="77777777" w:rsidR="00124DBC" w:rsidRPr="0010442F" w:rsidRDefault="00124DBC" w:rsidP="00124DBC">
      <w:pPr>
        <w:numPr>
          <w:ilvl w:val="0"/>
          <w:numId w:val="35"/>
        </w:numPr>
        <w:rPr>
          <w:rFonts w:ascii="Aptos" w:hAnsi="Aptos"/>
        </w:rPr>
      </w:pPr>
      <w:r w:rsidRPr="0010442F">
        <w:rPr>
          <w:rFonts w:ascii="Aptos" w:hAnsi="Aptos"/>
        </w:rPr>
        <w:t>When eventually applied to solicitations where indirect cost rates are part of scoring criteria, this option will guarantee the applicant full points to incentivize its use.</w:t>
      </w:r>
    </w:p>
    <w:p w14:paraId="593EE914" w14:textId="77777777" w:rsidR="00124DBC" w:rsidRPr="0010442F" w:rsidRDefault="00124DBC" w:rsidP="00124DBC">
      <w:pPr>
        <w:rPr>
          <w:rFonts w:ascii="Aptos" w:hAnsi="Aptos"/>
        </w:rPr>
      </w:pPr>
      <w:r w:rsidRPr="0010442F">
        <w:rPr>
          <w:rFonts w:ascii="Aptos" w:hAnsi="Aptos"/>
        </w:rPr>
        <w:t xml:space="preserve">This rate may be an excellent choice for small start-up companies that do not have an established cost allocation plan, or for entities that would like a simple option that removes documentation requirements and </w:t>
      </w:r>
      <w:proofErr w:type="gramStart"/>
      <w:r w:rsidRPr="0010442F">
        <w:rPr>
          <w:rFonts w:ascii="Aptos" w:hAnsi="Aptos"/>
        </w:rPr>
        <w:t>risk</w:t>
      </w:r>
      <w:proofErr w:type="gramEnd"/>
      <w:r w:rsidRPr="0010442F">
        <w:rPr>
          <w:rFonts w:ascii="Aptos" w:hAnsi="Aptos"/>
        </w:rPr>
        <w:t xml:space="preserve"> of audit findings in this category.</w:t>
      </w:r>
    </w:p>
    <w:p w14:paraId="5D80806D" w14:textId="77777777" w:rsidR="00124DBC" w:rsidRPr="0010442F" w:rsidRDefault="00124DBC" w:rsidP="00124DBC">
      <w:pPr>
        <w:rPr>
          <w:rFonts w:ascii="Aptos" w:hAnsi="Aptos"/>
        </w:rPr>
      </w:pPr>
      <w:r w:rsidRPr="0010442F">
        <w:rPr>
          <w:rFonts w:ascii="Aptos" w:hAnsi="Aptos"/>
        </w:rPr>
        <w:t>This rate will not change during the life of the grant. If the Energy Commission increases the De Minimis Rate, only new grants will use the new rate.</w:t>
      </w:r>
    </w:p>
    <w:p w14:paraId="25CBBF79" w14:textId="77777777" w:rsidR="00124DBC" w:rsidRPr="0010442F" w:rsidRDefault="00124DBC" w:rsidP="00124DBC">
      <w:pPr>
        <w:rPr>
          <w:rFonts w:ascii="Aptos" w:hAnsi="Aptos"/>
        </w:rPr>
      </w:pPr>
      <w:r w:rsidRPr="0010442F">
        <w:rPr>
          <w:rFonts w:ascii="Aptos" w:hAnsi="Aptos"/>
        </w:rPr>
        <w:t>Although a rate increase is not allowed during the life of the grant, the budget category amount may be increased through a budget reallocation – if necessary – if other category amounts are changed and those changes increase the total amount that will be charged in the Indirect budget category.</w:t>
      </w:r>
    </w:p>
    <w:p w14:paraId="4F52342E" w14:textId="77777777" w:rsidR="00124DBC" w:rsidRPr="0010442F" w:rsidRDefault="00124DBC" w:rsidP="00683A95">
      <w:pPr>
        <w:pStyle w:val="Heading3"/>
        <w:spacing w:after="240"/>
        <w:rPr>
          <w:rFonts w:ascii="Aptos" w:hAnsi="Aptos"/>
          <w:b/>
          <w:bCs/>
        </w:rPr>
      </w:pPr>
      <w:bookmarkStart w:id="42" w:name="_Toc216776588"/>
      <w:r w:rsidRPr="0010442F">
        <w:rPr>
          <w:rFonts w:ascii="Aptos" w:hAnsi="Aptos"/>
          <w:b/>
          <w:bCs/>
        </w:rPr>
        <w:lastRenderedPageBreak/>
        <w:t>Documentation Must be Provided Upon Request</w:t>
      </w:r>
      <w:bookmarkEnd w:id="42"/>
    </w:p>
    <w:p w14:paraId="1FA8A21A" w14:textId="403D76E2" w:rsidR="00124DBC" w:rsidRPr="0010442F" w:rsidRDefault="00124DBC" w:rsidP="00124DBC">
      <w:pPr>
        <w:rPr>
          <w:rFonts w:ascii="Aptos" w:hAnsi="Aptos"/>
        </w:rPr>
      </w:pPr>
      <w:r w:rsidRPr="0010442F">
        <w:rPr>
          <w:rFonts w:ascii="Aptos" w:hAnsi="Aptos"/>
        </w:rPr>
        <w:t xml:space="preserve">While a Cost Allocation Plan is not required to be submitted with an application or an invoice, </w:t>
      </w:r>
      <w:proofErr w:type="gramStart"/>
      <w:r w:rsidRPr="0010442F">
        <w:rPr>
          <w:rFonts w:ascii="Aptos" w:hAnsi="Aptos"/>
        </w:rPr>
        <w:t>an</w:t>
      </w:r>
      <w:proofErr w:type="gramEnd"/>
      <w:r w:rsidRPr="0010442F">
        <w:rPr>
          <w:rFonts w:ascii="Aptos" w:hAnsi="Aptos"/>
        </w:rPr>
        <w:t xml:space="preserve"> entity who selects this option must be able to provide a copy of their cost allocation plan, and that plan must follow O</w:t>
      </w:r>
      <w:r w:rsidR="00A97855" w:rsidRPr="0010442F">
        <w:rPr>
          <w:rFonts w:ascii="Aptos" w:hAnsi="Aptos"/>
        </w:rPr>
        <w:t xml:space="preserve">ffice of </w:t>
      </w:r>
      <w:r w:rsidRPr="0010442F">
        <w:rPr>
          <w:rFonts w:ascii="Aptos" w:hAnsi="Aptos"/>
        </w:rPr>
        <w:t>M</w:t>
      </w:r>
      <w:r w:rsidR="00A97855" w:rsidRPr="0010442F">
        <w:rPr>
          <w:rFonts w:ascii="Aptos" w:hAnsi="Aptos"/>
        </w:rPr>
        <w:t xml:space="preserve">anagement &amp; </w:t>
      </w:r>
      <w:r w:rsidRPr="0010442F">
        <w:rPr>
          <w:rFonts w:ascii="Aptos" w:hAnsi="Aptos"/>
        </w:rPr>
        <w:t>B</w:t>
      </w:r>
      <w:r w:rsidR="00A97855" w:rsidRPr="0010442F">
        <w:rPr>
          <w:rFonts w:ascii="Aptos" w:hAnsi="Aptos"/>
        </w:rPr>
        <w:t>udget</w:t>
      </w:r>
      <w:r w:rsidRPr="0010442F">
        <w:rPr>
          <w:rFonts w:ascii="Aptos" w:hAnsi="Aptos"/>
        </w:rPr>
        <w:t xml:space="preserve"> Guidelines. Here are examples of Cost Allocation Plans. No plan will be the same, but these are provided as </w:t>
      </w:r>
      <w:proofErr w:type="gramStart"/>
      <w:r w:rsidRPr="0010442F">
        <w:rPr>
          <w:rFonts w:ascii="Aptos" w:hAnsi="Aptos"/>
        </w:rPr>
        <w:t>reference</w:t>
      </w:r>
      <w:proofErr w:type="gramEnd"/>
      <w:r w:rsidRPr="0010442F">
        <w:rPr>
          <w:rFonts w:ascii="Aptos" w:hAnsi="Aptos"/>
        </w:rPr>
        <w:t xml:space="preserve"> for examples of what has worked, and where problems were found.</w:t>
      </w:r>
    </w:p>
    <w:p w14:paraId="235F8DAC" w14:textId="77777777" w:rsidR="00124DBC" w:rsidRPr="0010442F" w:rsidRDefault="00124DBC" w:rsidP="00683A95">
      <w:pPr>
        <w:numPr>
          <w:ilvl w:val="0"/>
          <w:numId w:val="36"/>
        </w:numPr>
        <w:spacing w:after="0"/>
        <w:rPr>
          <w:rFonts w:ascii="Aptos" w:hAnsi="Aptos"/>
        </w:rPr>
      </w:pPr>
      <w:hyperlink r:id="rId22" w:history="1">
        <w:r w:rsidRPr="0010442F">
          <w:rPr>
            <w:rStyle w:val="Hyperlink"/>
            <w:rFonts w:ascii="Aptos" w:hAnsi="Aptos"/>
          </w:rPr>
          <w:t>Good Examples #1 and #2</w:t>
        </w:r>
      </w:hyperlink>
    </w:p>
    <w:p w14:paraId="23CACB3D" w14:textId="77777777" w:rsidR="00124DBC" w:rsidRPr="0010442F" w:rsidRDefault="00124DBC" w:rsidP="00683A95">
      <w:pPr>
        <w:numPr>
          <w:ilvl w:val="0"/>
          <w:numId w:val="36"/>
        </w:numPr>
        <w:spacing w:after="0"/>
        <w:rPr>
          <w:rFonts w:ascii="Aptos" w:hAnsi="Aptos"/>
        </w:rPr>
      </w:pPr>
      <w:hyperlink r:id="rId23" w:history="1">
        <w:r w:rsidRPr="0010442F">
          <w:rPr>
            <w:rStyle w:val="Hyperlink"/>
            <w:rFonts w:ascii="Aptos" w:hAnsi="Aptos"/>
          </w:rPr>
          <w:t>Bad Examples #1</w:t>
        </w:r>
      </w:hyperlink>
    </w:p>
    <w:p w14:paraId="35E3AF23" w14:textId="77777777" w:rsidR="00124DBC" w:rsidRPr="0010442F" w:rsidRDefault="00124DBC" w:rsidP="00683A95">
      <w:pPr>
        <w:numPr>
          <w:ilvl w:val="0"/>
          <w:numId w:val="36"/>
        </w:numPr>
        <w:spacing w:after="0"/>
        <w:rPr>
          <w:rFonts w:ascii="Aptos" w:hAnsi="Aptos"/>
        </w:rPr>
      </w:pPr>
      <w:hyperlink r:id="rId24" w:history="1">
        <w:r w:rsidRPr="0010442F">
          <w:rPr>
            <w:rStyle w:val="Hyperlink"/>
            <w:rFonts w:ascii="Aptos" w:hAnsi="Aptos"/>
          </w:rPr>
          <w:t>Bad Examples #2</w:t>
        </w:r>
      </w:hyperlink>
    </w:p>
    <w:p w14:paraId="7AC2B298" w14:textId="77777777" w:rsidR="00124DBC" w:rsidRPr="0010442F" w:rsidRDefault="00124DBC" w:rsidP="00683A95">
      <w:pPr>
        <w:numPr>
          <w:ilvl w:val="0"/>
          <w:numId w:val="36"/>
        </w:numPr>
        <w:rPr>
          <w:rFonts w:ascii="Aptos" w:hAnsi="Aptos"/>
        </w:rPr>
      </w:pPr>
      <w:hyperlink r:id="rId25" w:history="1">
        <w:r w:rsidRPr="0010442F">
          <w:rPr>
            <w:rStyle w:val="Hyperlink"/>
            <w:rFonts w:ascii="Aptos" w:hAnsi="Aptos"/>
          </w:rPr>
          <w:t>Bad Examples #3</w:t>
        </w:r>
      </w:hyperlink>
    </w:p>
    <w:p w14:paraId="1A4A6C1B" w14:textId="77777777" w:rsidR="00124DBC" w:rsidRPr="0010442F" w:rsidRDefault="00124DBC" w:rsidP="00124DBC">
      <w:pPr>
        <w:rPr>
          <w:rFonts w:ascii="Aptos" w:hAnsi="Aptos"/>
        </w:rPr>
      </w:pPr>
      <w:r w:rsidRPr="0010442F">
        <w:rPr>
          <w:rFonts w:ascii="Aptos" w:hAnsi="Aptos"/>
        </w:rPr>
        <w:t>However, if Energy Commission staff have received the plan and an Indirect Rate based on the plan has been included in the Agreement, this does not mean that the plan has been “approved” by the Energy Commission as sufficient for purposes of an audit.</w:t>
      </w:r>
    </w:p>
    <w:p w14:paraId="3421F717" w14:textId="77777777" w:rsidR="00124DBC" w:rsidRPr="0010442F" w:rsidRDefault="00124DBC" w:rsidP="00683A95">
      <w:pPr>
        <w:pStyle w:val="Heading3"/>
        <w:spacing w:after="240"/>
        <w:rPr>
          <w:rFonts w:ascii="Aptos" w:hAnsi="Aptos"/>
          <w:b/>
          <w:bCs/>
        </w:rPr>
      </w:pPr>
      <w:bookmarkStart w:id="43" w:name="_Toc216776589"/>
      <w:r w:rsidRPr="0010442F">
        <w:rPr>
          <w:rFonts w:ascii="Aptos" w:hAnsi="Aptos"/>
          <w:b/>
          <w:bCs/>
        </w:rPr>
        <w:t>The Indirect Rate Listed in the Budget Will Not Be Increased</w:t>
      </w:r>
      <w:bookmarkEnd w:id="43"/>
    </w:p>
    <w:p w14:paraId="1610F870" w14:textId="62057E00" w:rsidR="00124DBC" w:rsidRPr="0010442F" w:rsidRDefault="00124DBC" w:rsidP="00124DBC">
      <w:pPr>
        <w:rPr>
          <w:rFonts w:ascii="Aptos" w:hAnsi="Aptos"/>
        </w:rPr>
      </w:pPr>
      <w:r w:rsidRPr="0010442F">
        <w:rPr>
          <w:rFonts w:ascii="Aptos" w:hAnsi="Aptos"/>
        </w:rPr>
        <w:t>The indirect </w:t>
      </w:r>
      <w:r w:rsidRPr="0010442F">
        <w:rPr>
          <w:rFonts w:ascii="Aptos" w:hAnsi="Aptos"/>
          <w:i/>
          <w:iCs/>
        </w:rPr>
        <w:t>rate</w:t>
      </w:r>
      <w:r w:rsidRPr="0010442F">
        <w:rPr>
          <w:rFonts w:ascii="Aptos" w:hAnsi="Aptos"/>
        </w:rPr>
        <w:t> set in the agreement budget will not be allowed to change during the life of the grant. Although a rate increase is not allowed during the life of the grant, the budget category’s </w:t>
      </w:r>
      <w:r w:rsidRPr="0010442F">
        <w:rPr>
          <w:rFonts w:ascii="Aptos" w:hAnsi="Aptos"/>
          <w:i/>
          <w:iCs/>
        </w:rPr>
        <w:t>total dollar value</w:t>
      </w:r>
      <w:r w:rsidRPr="0010442F">
        <w:rPr>
          <w:rFonts w:ascii="Aptos" w:hAnsi="Aptos"/>
        </w:rPr>
        <w:t xml:space="preserve"> may be increased through </w:t>
      </w:r>
      <w:proofErr w:type="gramStart"/>
      <w:r w:rsidRPr="0010442F">
        <w:rPr>
          <w:rFonts w:ascii="Aptos" w:hAnsi="Aptos"/>
        </w:rPr>
        <w:t>a budget</w:t>
      </w:r>
      <w:proofErr w:type="gramEnd"/>
      <w:r w:rsidRPr="0010442F">
        <w:rPr>
          <w:rFonts w:ascii="Aptos" w:hAnsi="Aptos"/>
        </w:rPr>
        <w:t xml:space="preserve"> </w:t>
      </w:r>
      <w:proofErr w:type="gramStart"/>
      <w:r w:rsidRPr="0010442F">
        <w:rPr>
          <w:rFonts w:ascii="Aptos" w:hAnsi="Aptos"/>
        </w:rPr>
        <w:t>reallocation</w:t>
      </w:r>
      <w:proofErr w:type="gramEnd"/>
      <w:r w:rsidRPr="0010442F">
        <w:rPr>
          <w:rFonts w:ascii="Aptos" w:hAnsi="Aptos"/>
        </w:rPr>
        <w:t xml:space="preserve"> if </w:t>
      </w:r>
      <w:r w:rsidR="006506EB" w:rsidRPr="0010442F">
        <w:rPr>
          <w:rFonts w:ascii="Aptos" w:hAnsi="Aptos"/>
        </w:rPr>
        <w:t>necessary,</w:t>
      </w:r>
      <w:r w:rsidRPr="0010442F">
        <w:rPr>
          <w:rFonts w:ascii="Aptos" w:hAnsi="Aptos"/>
        </w:rPr>
        <w:t xml:space="preserve"> due to changes made to other budget categories that are used to calculate the indirect costs.</w:t>
      </w:r>
    </w:p>
    <w:p w14:paraId="24179451" w14:textId="77777777" w:rsidR="00124DBC" w:rsidRPr="0010442F" w:rsidRDefault="00124DBC" w:rsidP="006506EB">
      <w:pPr>
        <w:pStyle w:val="Heading3"/>
        <w:spacing w:after="240"/>
        <w:rPr>
          <w:rFonts w:ascii="Aptos" w:hAnsi="Aptos"/>
          <w:b/>
          <w:bCs/>
        </w:rPr>
      </w:pPr>
      <w:bookmarkStart w:id="44" w:name="_Toc216776590"/>
      <w:r w:rsidRPr="0010442F">
        <w:rPr>
          <w:rFonts w:ascii="Aptos" w:hAnsi="Aptos"/>
          <w:b/>
          <w:bCs/>
        </w:rPr>
        <w:t>Suggestions for Budget Development when using this Option</w:t>
      </w:r>
      <w:bookmarkEnd w:id="44"/>
    </w:p>
    <w:p w14:paraId="37A1A0AC" w14:textId="77777777" w:rsidR="00124DBC" w:rsidRPr="0010442F" w:rsidRDefault="00124DBC" w:rsidP="00124DBC">
      <w:pPr>
        <w:numPr>
          <w:ilvl w:val="0"/>
          <w:numId w:val="37"/>
        </w:numPr>
        <w:rPr>
          <w:rFonts w:ascii="Aptos" w:hAnsi="Aptos"/>
        </w:rPr>
      </w:pPr>
      <w:r w:rsidRPr="0010442F">
        <w:rPr>
          <w:rFonts w:ascii="Aptos" w:hAnsi="Aptos"/>
        </w:rPr>
        <w:t>A Recipient is required to charge only “actual” costs under the grant agreement. However, a Recipient is allowed to set an indirect rate at a rate that is higher than the expected actual rate as projected over the life of the grant. This “padding” would allow a Recipient to continue to charge its actual expenses to the grant even if the indirect costs rise unexpectedly.</w:t>
      </w:r>
    </w:p>
    <w:p w14:paraId="4E9DB7A2" w14:textId="77777777" w:rsidR="00124DBC" w:rsidRPr="0010442F" w:rsidRDefault="00124DBC" w:rsidP="00124DBC">
      <w:pPr>
        <w:numPr>
          <w:ilvl w:val="0"/>
          <w:numId w:val="37"/>
        </w:numPr>
        <w:rPr>
          <w:rFonts w:ascii="Aptos" w:hAnsi="Aptos"/>
        </w:rPr>
      </w:pPr>
      <w:r w:rsidRPr="0010442F">
        <w:rPr>
          <w:rFonts w:ascii="Aptos" w:hAnsi="Aptos"/>
        </w:rPr>
        <w:t xml:space="preserve">Is equipment included in the base rate? If equipment costs are very high, then the amount claimed as indirect will change dramatically between invoices that include equipment and those that don’t, even if the other expenditures do not change much. This is why most companies do not include equipment purchases </w:t>
      </w:r>
      <w:proofErr w:type="gramStart"/>
      <w:r w:rsidRPr="0010442F">
        <w:rPr>
          <w:rFonts w:ascii="Aptos" w:hAnsi="Aptos"/>
        </w:rPr>
        <w:t>in</w:t>
      </w:r>
      <w:proofErr w:type="gramEnd"/>
      <w:r w:rsidRPr="0010442F">
        <w:rPr>
          <w:rFonts w:ascii="Aptos" w:hAnsi="Aptos"/>
        </w:rPr>
        <w:t xml:space="preserve"> </w:t>
      </w:r>
      <w:proofErr w:type="gramStart"/>
      <w:r w:rsidRPr="0010442F">
        <w:rPr>
          <w:rFonts w:ascii="Aptos" w:hAnsi="Aptos"/>
        </w:rPr>
        <w:t>their</w:t>
      </w:r>
      <w:proofErr w:type="gramEnd"/>
      <w:r w:rsidRPr="0010442F">
        <w:rPr>
          <w:rFonts w:ascii="Aptos" w:hAnsi="Aptos"/>
        </w:rPr>
        <w:t xml:space="preserve"> indirect basis. If equipment purchases are included </w:t>
      </w:r>
      <w:proofErr w:type="gramStart"/>
      <w:r w:rsidRPr="0010442F">
        <w:rPr>
          <w:rFonts w:ascii="Aptos" w:hAnsi="Aptos"/>
        </w:rPr>
        <w:t>in</w:t>
      </w:r>
      <w:proofErr w:type="gramEnd"/>
      <w:r w:rsidRPr="0010442F">
        <w:rPr>
          <w:rFonts w:ascii="Aptos" w:hAnsi="Aptos"/>
        </w:rPr>
        <w:t xml:space="preserve"> </w:t>
      </w:r>
      <w:proofErr w:type="gramStart"/>
      <w:r w:rsidRPr="0010442F">
        <w:rPr>
          <w:rFonts w:ascii="Aptos" w:hAnsi="Aptos"/>
        </w:rPr>
        <w:t>the</w:t>
      </w:r>
      <w:proofErr w:type="gramEnd"/>
      <w:r w:rsidRPr="0010442F">
        <w:rPr>
          <w:rFonts w:ascii="Aptos" w:hAnsi="Aptos"/>
        </w:rPr>
        <w:t xml:space="preserve"> indirect basis, the CAM may arrange a meeting between the Recipient’s CFO/Accounting Manager, the CAM and CEC’s auditor to discuss.</w:t>
      </w:r>
    </w:p>
    <w:p w14:paraId="139A90D4" w14:textId="77777777" w:rsidR="00124DBC" w:rsidRPr="0010442F" w:rsidRDefault="00124DBC" w:rsidP="006506EB">
      <w:pPr>
        <w:pStyle w:val="Heading3"/>
        <w:spacing w:after="240"/>
        <w:rPr>
          <w:rFonts w:ascii="Aptos" w:hAnsi="Aptos"/>
          <w:b/>
          <w:bCs/>
        </w:rPr>
      </w:pPr>
      <w:bookmarkStart w:id="45" w:name="_Toc216776591"/>
      <w:r w:rsidRPr="0010442F">
        <w:rPr>
          <w:rFonts w:ascii="Aptos" w:hAnsi="Aptos"/>
          <w:b/>
          <w:bCs/>
        </w:rPr>
        <w:t>The Indirect Rate will be Subject to Audit</w:t>
      </w:r>
      <w:bookmarkEnd w:id="45"/>
    </w:p>
    <w:p w14:paraId="2BB2D9BA" w14:textId="2C04CF27" w:rsidR="00124DBC" w:rsidRPr="0010442F" w:rsidRDefault="00124DBC" w:rsidP="00124DBC">
      <w:pPr>
        <w:rPr>
          <w:rFonts w:ascii="Aptos" w:hAnsi="Aptos"/>
        </w:rPr>
      </w:pPr>
      <w:r w:rsidRPr="0010442F">
        <w:rPr>
          <w:rFonts w:ascii="Aptos" w:hAnsi="Aptos"/>
        </w:rPr>
        <w:t>The Auditor has provided this list of common mistakes related to indirect costs often found during audits that Recipients are advised to avoid:  </w:t>
      </w:r>
    </w:p>
    <w:p w14:paraId="07577DB4" w14:textId="77777777" w:rsidR="00124DBC" w:rsidRPr="0010442F" w:rsidRDefault="00124DBC" w:rsidP="00B832F9">
      <w:pPr>
        <w:numPr>
          <w:ilvl w:val="0"/>
          <w:numId w:val="38"/>
        </w:numPr>
        <w:spacing w:after="0"/>
        <w:rPr>
          <w:rFonts w:ascii="Aptos" w:hAnsi="Aptos"/>
        </w:rPr>
      </w:pPr>
      <w:r w:rsidRPr="0010442F">
        <w:rPr>
          <w:rFonts w:ascii="Aptos" w:hAnsi="Aptos"/>
        </w:rPr>
        <w:t>The Recipient’s indirect cost allocation plan is not documented. The company cannot show what costs are included in the indirect cost pool or how they are allocated.</w:t>
      </w:r>
    </w:p>
    <w:p w14:paraId="427E20A8" w14:textId="77777777" w:rsidR="00124DBC" w:rsidRPr="0010442F" w:rsidRDefault="00124DBC" w:rsidP="00B832F9">
      <w:pPr>
        <w:numPr>
          <w:ilvl w:val="0"/>
          <w:numId w:val="38"/>
        </w:numPr>
        <w:spacing w:after="0"/>
        <w:rPr>
          <w:rFonts w:ascii="Aptos" w:hAnsi="Aptos"/>
        </w:rPr>
      </w:pPr>
      <w:r w:rsidRPr="0010442F">
        <w:rPr>
          <w:rFonts w:ascii="Aptos" w:hAnsi="Aptos"/>
        </w:rPr>
        <w:lastRenderedPageBreak/>
        <w:t>The Recipient has claimed the rate listed on the budget instead of actual rates. The indirect rate estimated in the budget is not a “negotiated rate.” Recipients must be able to show documentation of actual expenses.  This is also a common mistake for other Agreement rates, like direct labor.</w:t>
      </w:r>
    </w:p>
    <w:p w14:paraId="7BB7A4B2" w14:textId="23E3F7C0" w:rsidR="00124DBC" w:rsidRPr="0010442F" w:rsidRDefault="00124DBC" w:rsidP="00B832F9">
      <w:pPr>
        <w:numPr>
          <w:ilvl w:val="0"/>
          <w:numId w:val="38"/>
        </w:numPr>
        <w:spacing w:after="0"/>
        <w:rPr>
          <w:rFonts w:ascii="Aptos" w:hAnsi="Aptos"/>
        </w:rPr>
      </w:pPr>
      <w:r w:rsidRPr="0010442F">
        <w:rPr>
          <w:rFonts w:ascii="Aptos" w:hAnsi="Aptos"/>
        </w:rPr>
        <w:t xml:space="preserve">The Recipient has not recalculated indirect costs each year. </w:t>
      </w:r>
      <w:proofErr w:type="gramStart"/>
      <w:r w:rsidRPr="0010442F">
        <w:rPr>
          <w:rFonts w:ascii="Aptos" w:hAnsi="Aptos"/>
        </w:rPr>
        <w:t>Similar to</w:t>
      </w:r>
      <w:proofErr w:type="gramEnd"/>
      <w:r w:rsidRPr="0010442F">
        <w:rPr>
          <w:rFonts w:ascii="Aptos" w:hAnsi="Aptos"/>
        </w:rPr>
        <w:t xml:space="preserve"> Fringe Benefits, Indirect costs should be recalculated each </w:t>
      </w:r>
      <w:r w:rsidR="003402C3" w:rsidRPr="0010442F">
        <w:rPr>
          <w:rFonts w:ascii="Aptos" w:hAnsi="Aptos"/>
        </w:rPr>
        <w:t>year,</w:t>
      </w:r>
      <w:r w:rsidRPr="0010442F">
        <w:rPr>
          <w:rFonts w:ascii="Aptos" w:hAnsi="Aptos"/>
        </w:rPr>
        <w:t xml:space="preserve"> and the updated rate should be compared to the claimed rate. Recipients can then either remit or credit the over-claimed amount or submit a reimbursement request for under-claimed amounts. Additional claims are subject to the budget category limit.</w:t>
      </w:r>
    </w:p>
    <w:p w14:paraId="4F362E6F" w14:textId="77777777" w:rsidR="00124DBC" w:rsidRPr="0010442F" w:rsidRDefault="00124DBC" w:rsidP="00B832F9">
      <w:pPr>
        <w:numPr>
          <w:ilvl w:val="0"/>
          <w:numId w:val="38"/>
        </w:numPr>
        <w:spacing w:after="0"/>
        <w:rPr>
          <w:rFonts w:ascii="Aptos" w:hAnsi="Aptos"/>
        </w:rPr>
      </w:pPr>
      <w:r w:rsidRPr="0010442F">
        <w:rPr>
          <w:rFonts w:ascii="Aptos" w:hAnsi="Aptos"/>
        </w:rPr>
        <w:t xml:space="preserve">The Recipient used a different method to claim indirect </w:t>
      </w:r>
      <w:proofErr w:type="gramStart"/>
      <w:r w:rsidRPr="0010442F">
        <w:rPr>
          <w:rFonts w:ascii="Aptos" w:hAnsi="Aptos"/>
        </w:rPr>
        <w:t>expenditures</w:t>
      </w:r>
      <w:proofErr w:type="gramEnd"/>
      <w:r w:rsidRPr="0010442F">
        <w:rPr>
          <w:rFonts w:ascii="Aptos" w:hAnsi="Aptos"/>
        </w:rPr>
        <w:t xml:space="preserve"> </w:t>
      </w:r>
      <w:proofErr w:type="gramStart"/>
      <w:r w:rsidRPr="0010442F">
        <w:rPr>
          <w:rFonts w:ascii="Aptos" w:hAnsi="Aptos"/>
        </w:rPr>
        <w:t>for</w:t>
      </w:r>
      <w:proofErr w:type="gramEnd"/>
      <w:r w:rsidRPr="0010442F">
        <w:rPr>
          <w:rFonts w:ascii="Aptos" w:hAnsi="Aptos"/>
        </w:rPr>
        <w:t xml:space="preserve"> the grant than is shown in the cost allocation plan. For example, for the grant, the recipient claims a percentage of all direct costs including subcontractors and equipment, but the company’s indirect cost allocation plan shows that indirect costs are claimed as a percentage of labor only.</w:t>
      </w:r>
    </w:p>
    <w:p w14:paraId="6CA03635" w14:textId="77777777" w:rsidR="00124DBC" w:rsidRPr="0010442F" w:rsidRDefault="00124DBC" w:rsidP="00B832F9">
      <w:pPr>
        <w:numPr>
          <w:ilvl w:val="0"/>
          <w:numId w:val="38"/>
        </w:numPr>
        <w:spacing w:after="0"/>
        <w:rPr>
          <w:rFonts w:ascii="Aptos" w:hAnsi="Aptos"/>
        </w:rPr>
      </w:pPr>
      <w:r w:rsidRPr="0010442F">
        <w:rPr>
          <w:rFonts w:ascii="Aptos" w:hAnsi="Aptos"/>
        </w:rPr>
        <w:t xml:space="preserve">The Recipient’s indirect </w:t>
      </w:r>
      <w:proofErr w:type="gramStart"/>
      <w:r w:rsidRPr="0010442F">
        <w:rPr>
          <w:rFonts w:ascii="Aptos" w:hAnsi="Aptos"/>
        </w:rPr>
        <w:t>cost pool</w:t>
      </w:r>
      <w:proofErr w:type="gramEnd"/>
      <w:r w:rsidRPr="0010442F">
        <w:rPr>
          <w:rFonts w:ascii="Aptos" w:hAnsi="Aptos"/>
        </w:rPr>
        <w:t xml:space="preserve"> includes unallowable costs such as lobbying or fundraising.</w:t>
      </w:r>
    </w:p>
    <w:p w14:paraId="594C7FF2" w14:textId="77777777" w:rsidR="00124DBC" w:rsidRPr="0010442F" w:rsidRDefault="00124DBC" w:rsidP="00B832F9">
      <w:pPr>
        <w:numPr>
          <w:ilvl w:val="0"/>
          <w:numId w:val="38"/>
        </w:numPr>
        <w:spacing w:after="0"/>
        <w:rPr>
          <w:rFonts w:ascii="Aptos" w:hAnsi="Aptos"/>
        </w:rPr>
      </w:pPr>
      <w:r w:rsidRPr="0010442F">
        <w:rPr>
          <w:rFonts w:ascii="Aptos" w:hAnsi="Aptos"/>
        </w:rPr>
        <w:t>The Recipient has improperly included typical indirect expenses under other budget categories.</w:t>
      </w:r>
    </w:p>
    <w:p w14:paraId="66D547F2" w14:textId="77777777" w:rsidR="00124DBC" w:rsidRPr="0010442F" w:rsidRDefault="00124DBC" w:rsidP="00B832F9">
      <w:pPr>
        <w:numPr>
          <w:ilvl w:val="0"/>
          <w:numId w:val="38"/>
        </w:numPr>
        <w:spacing w:after="0"/>
        <w:rPr>
          <w:rFonts w:ascii="Aptos" w:hAnsi="Aptos"/>
        </w:rPr>
      </w:pPr>
      <w:r w:rsidRPr="0010442F">
        <w:rPr>
          <w:rFonts w:ascii="Aptos" w:hAnsi="Aptos"/>
        </w:rPr>
        <w:t>The Recipient has improperly included in the indirect cost pool costs that can be assigned to a specific project or activity. Only those costs that cannot be tied to a specific project or small group of projects should be included in the indirect cost pool.</w:t>
      </w:r>
    </w:p>
    <w:p w14:paraId="1F35F15F" w14:textId="77777777" w:rsidR="00124DBC" w:rsidRPr="0010442F" w:rsidRDefault="00124DBC" w:rsidP="00124DBC">
      <w:pPr>
        <w:numPr>
          <w:ilvl w:val="0"/>
          <w:numId w:val="38"/>
        </w:numPr>
        <w:rPr>
          <w:rFonts w:ascii="Aptos" w:hAnsi="Aptos"/>
        </w:rPr>
      </w:pPr>
      <w:r w:rsidRPr="0010442F">
        <w:rPr>
          <w:rFonts w:ascii="Aptos" w:hAnsi="Aptos"/>
        </w:rPr>
        <w:t>The Recipient has more than one grant, and the base/methodology is not the same for both grants.</w:t>
      </w:r>
    </w:p>
    <w:p w14:paraId="737996E9" w14:textId="77777777" w:rsidR="00124DBC" w:rsidRPr="0010442F" w:rsidRDefault="00124DBC" w:rsidP="00124DBC">
      <w:pPr>
        <w:rPr>
          <w:rFonts w:ascii="Aptos" w:hAnsi="Aptos"/>
        </w:rPr>
      </w:pPr>
      <w:r w:rsidRPr="0010442F">
        <w:rPr>
          <w:rFonts w:ascii="Aptos" w:hAnsi="Aptos"/>
        </w:rPr>
        <w:t>The Energy Commission’s auditor may review a recipient’s plan early in the grant. The goal of this review is to reduce future audit findings in this area. However, this review does not protect a Recipient from future audit findings.</w:t>
      </w:r>
    </w:p>
    <w:p w14:paraId="1A9F5AD6" w14:textId="77777777" w:rsidR="00124DBC" w:rsidRPr="0010442F" w:rsidRDefault="00124DBC" w:rsidP="00B832F9">
      <w:pPr>
        <w:pStyle w:val="Heading3"/>
        <w:spacing w:after="240"/>
        <w:rPr>
          <w:rFonts w:ascii="Aptos" w:hAnsi="Aptos"/>
          <w:b/>
          <w:bCs/>
        </w:rPr>
      </w:pPr>
      <w:bookmarkStart w:id="46" w:name="_Toc216776592"/>
      <w:r w:rsidRPr="0010442F">
        <w:rPr>
          <w:rFonts w:ascii="Aptos" w:hAnsi="Aptos"/>
          <w:b/>
          <w:bCs/>
        </w:rPr>
        <w:t>Profit</w:t>
      </w:r>
      <w:bookmarkEnd w:id="46"/>
    </w:p>
    <w:p w14:paraId="6E6C96AF" w14:textId="7BEF8A25" w:rsidR="00124DBC" w:rsidRPr="0010442F" w:rsidRDefault="00124DBC" w:rsidP="00124DBC">
      <w:pPr>
        <w:rPr>
          <w:rFonts w:ascii="Aptos" w:hAnsi="Aptos"/>
        </w:rPr>
      </w:pPr>
      <w:r w:rsidRPr="0010442F">
        <w:rPr>
          <w:rFonts w:ascii="Aptos" w:hAnsi="Aptos"/>
        </w:rPr>
        <w:t>Recipients may not charge profit to the grant agreement for their own work. Profit is limited to Subrecipients and Vendors. For purposes of CEC reimbursable expenses and match, Subrecipient profit is capped at 10% total on eligible budget categories. For example, under all agreements, subrecipients cannot claim a percentage of profit on sub-subrecipient expenses as CEC reimbursable or match. Under some agreements, the Terms and Conditions provide additional provisions specifying how profit can or cannot be claimed, so be sure to review your Terms and Conditions for this specific information.</w:t>
      </w:r>
    </w:p>
    <w:p w14:paraId="56DDBAB3" w14:textId="2F93A747" w:rsidR="00124DBC" w:rsidRPr="0010442F" w:rsidRDefault="00124DBC" w:rsidP="00124DBC">
      <w:pPr>
        <w:rPr>
          <w:rFonts w:ascii="Aptos" w:hAnsi="Aptos"/>
        </w:rPr>
      </w:pPr>
      <w:r w:rsidRPr="0010442F">
        <w:rPr>
          <w:rFonts w:ascii="Aptos" w:hAnsi="Aptos"/>
        </w:rPr>
        <w:t xml:space="preserve">The 10% cap is calculated as a total of CEC funds and </w:t>
      </w:r>
      <w:proofErr w:type="gramStart"/>
      <w:r w:rsidRPr="0010442F">
        <w:rPr>
          <w:rFonts w:ascii="Aptos" w:hAnsi="Aptos"/>
        </w:rPr>
        <w:t>match</w:t>
      </w:r>
      <w:proofErr w:type="gramEnd"/>
      <w:r w:rsidRPr="0010442F">
        <w:rPr>
          <w:rFonts w:ascii="Aptos" w:hAnsi="Aptos"/>
        </w:rPr>
        <w:t xml:space="preserve"> meaning nothing above the 10% can be reimbursed with CEC funds nor credited to meet the agreement’s match obligations. For example, if a Recipient agrees to pay a Subrecipient 15% profit on eligible budget categories, only up to 10% total can be claimed as CEC reimbursable expenses and match.  The Recipient must pay </w:t>
      </w:r>
      <w:proofErr w:type="gramStart"/>
      <w:r w:rsidRPr="0010442F">
        <w:rPr>
          <w:rFonts w:ascii="Aptos" w:hAnsi="Aptos"/>
        </w:rPr>
        <w:t>the</w:t>
      </w:r>
      <w:proofErr w:type="gramEnd"/>
      <w:r w:rsidRPr="0010442F">
        <w:rPr>
          <w:rFonts w:ascii="Aptos" w:hAnsi="Aptos"/>
        </w:rPr>
        <w:t xml:space="preserve"> additional 5% from non-CEC sources and cannot count it as match.</w:t>
      </w:r>
    </w:p>
    <w:p w14:paraId="0528A188" w14:textId="0F701CB8" w:rsidR="00124DBC" w:rsidRPr="0010442F" w:rsidRDefault="001E31CC" w:rsidP="001E31CC">
      <w:pPr>
        <w:pStyle w:val="Heading2"/>
        <w:spacing w:after="240"/>
        <w:rPr>
          <w:rFonts w:ascii="Aptos" w:hAnsi="Aptos"/>
          <w:b/>
          <w:bCs/>
          <w:sz w:val="24"/>
          <w:szCs w:val="24"/>
        </w:rPr>
      </w:pPr>
      <w:bookmarkStart w:id="47" w:name="_Toc216776593"/>
      <w:r w:rsidRPr="0010442F">
        <w:rPr>
          <w:rFonts w:ascii="Aptos" w:hAnsi="Aptos"/>
          <w:b/>
          <w:bCs/>
          <w:sz w:val="24"/>
          <w:szCs w:val="24"/>
        </w:rPr>
        <w:lastRenderedPageBreak/>
        <w:t>MATCH FUND CONSIDERATIONS</w:t>
      </w:r>
      <w:bookmarkEnd w:id="47"/>
    </w:p>
    <w:p w14:paraId="045CB274" w14:textId="77777777" w:rsidR="004A1B63" w:rsidRPr="0010442F" w:rsidRDefault="004A1B63" w:rsidP="004A1B63">
      <w:pPr>
        <w:pStyle w:val="Heading3"/>
        <w:spacing w:after="240"/>
        <w:rPr>
          <w:rFonts w:ascii="Aptos" w:hAnsi="Aptos"/>
          <w:b/>
          <w:bCs/>
        </w:rPr>
      </w:pPr>
      <w:bookmarkStart w:id="48" w:name="_Toc216776594"/>
      <w:r w:rsidRPr="0010442F">
        <w:rPr>
          <w:rFonts w:ascii="Aptos" w:hAnsi="Aptos"/>
          <w:b/>
          <w:bCs/>
        </w:rPr>
        <w:t>Definitions</w:t>
      </w:r>
      <w:bookmarkEnd w:id="48"/>
    </w:p>
    <w:p w14:paraId="7336B918" w14:textId="7573DE82" w:rsidR="004A1B63" w:rsidRPr="0010442F" w:rsidRDefault="004A1B63" w:rsidP="004A1B63">
      <w:pPr>
        <w:rPr>
          <w:rFonts w:ascii="Aptos" w:hAnsi="Aptos"/>
        </w:rPr>
      </w:pPr>
      <w:r w:rsidRPr="0010442F">
        <w:rPr>
          <w:rFonts w:ascii="Aptos" w:hAnsi="Aptos"/>
        </w:rPr>
        <w:t>“Match” is funding, in addition to the Energy Commission award amount, that is being provided by the Recipient to support the project.</w:t>
      </w:r>
    </w:p>
    <w:p w14:paraId="1567CD53" w14:textId="15B4CF94" w:rsidR="004A1B63" w:rsidRPr="0010442F" w:rsidRDefault="004A1B63" w:rsidP="004A1B63">
      <w:pPr>
        <w:rPr>
          <w:rFonts w:ascii="Aptos" w:hAnsi="Aptos"/>
        </w:rPr>
      </w:pPr>
      <w:r w:rsidRPr="0010442F">
        <w:rPr>
          <w:rFonts w:ascii="Aptos" w:hAnsi="Aptos"/>
        </w:rPr>
        <w:t xml:space="preserve">“In-kind match” is match provided by a third </w:t>
      </w:r>
      <w:r w:rsidR="002E4978" w:rsidRPr="0010442F">
        <w:rPr>
          <w:rFonts w:ascii="Aptos" w:hAnsi="Aptos"/>
        </w:rPr>
        <w:t>party and</w:t>
      </w:r>
      <w:r w:rsidRPr="0010442F">
        <w:rPr>
          <w:rFonts w:ascii="Aptos" w:hAnsi="Aptos"/>
        </w:rPr>
        <w:t xml:space="preserve"> is not coming from the recipient's own pocket. Examples: Subrecipient donating costs, Subrecipient donating site.</w:t>
      </w:r>
    </w:p>
    <w:p w14:paraId="4A3CA984" w14:textId="77777777" w:rsidR="004A1B63" w:rsidRPr="0010442F" w:rsidRDefault="004A1B63" w:rsidP="00497C2D">
      <w:pPr>
        <w:pStyle w:val="Heading3"/>
        <w:spacing w:after="240"/>
        <w:rPr>
          <w:rFonts w:ascii="Aptos" w:hAnsi="Aptos"/>
          <w:b/>
          <w:bCs/>
        </w:rPr>
      </w:pPr>
      <w:bookmarkStart w:id="49" w:name="_Toc216776595"/>
      <w:r w:rsidRPr="0010442F">
        <w:rPr>
          <w:rFonts w:ascii="Aptos" w:hAnsi="Aptos"/>
          <w:b/>
          <w:bCs/>
        </w:rPr>
        <w:t>Match Fund Requirements and Limitations</w:t>
      </w:r>
      <w:bookmarkEnd w:id="49"/>
    </w:p>
    <w:p w14:paraId="144007EB" w14:textId="5BAC277B" w:rsidR="004A1B63" w:rsidRPr="0010442F" w:rsidRDefault="004A1B63" w:rsidP="004A1B63">
      <w:pPr>
        <w:rPr>
          <w:rFonts w:ascii="Aptos" w:hAnsi="Aptos"/>
        </w:rPr>
      </w:pPr>
      <w:r w:rsidRPr="0010442F">
        <w:rPr>
          <w:rFonts w:ascii="Aptos" w:hAnsi="Aptos"/>
        </w:rPr>
        <w:t xml:space="preserve">Match has all the same requirements as </w:t>
      </w:r>
      <w:r w:rsidR="00497C2D" w:rsidRPr="0010442F">
        <w:rPr>
          <w:rFonts w:ascii="Aptos" w:hAnsi="Aptos"/>
        </w:rPr>
        <w:t>all</w:t>
      </w:r>
      <w:r w:rsidRPr="0010442F">
        <w:rPr>
          <w:rFonts w:ascii="Aptos" w:hAnsi="Aptos"/>
        </w:rPr>
        <w:t xml:space="preserve"> the other expenditures that are reimbursed using CEC Funds. For example, if a Recipient is providing labor as Match, it still </w:t>
      </w:r>
      <w:proofErr w:type="gramStart"/>
      <w:r w:rsidRPr="0010442F">
        <w:rPr>
          <w:rFonts w:ascii="Aptos" w:hAnsi="Aptos"/>
        </w:rPr>
        <w:t>has to</w:t>
      </w:r>
      <w:proofErr w:type="gramEnd"/>
      <w:r w:rsidRPr="0010442F">
        <w:rPr>
          <w:rFonts w:ascii="Aptos" w:hAnsi="Aptos"/>
        </w:rPr>
        <w:t xml:space="preserve"> be supported by </w:t>
      </w:r>
      <w:r w:rsidR="00497C2D" w:rsidRPr="0010442F">
        <w:rPr>
          <w:rFonts w:ascii="Aptos" w:hAnsi="Aptos"/>
        </w:rPr>
        <w:t>timesheets</w:t>
      </w:r>
      <w:r w:rsidRPr="0010442F">
        <w:rPr>
          <w:rFonts w:ascii="Aptos" w:hAnsi="Aptos"/>
        </w:rPr>
        <w:t>, etc.</w:t>
      </w:r>
    </w:p>
    <w:p w14:paraId="777C897A" w14:textId="43663D9F" w:rsidR="004A1B63" w:rsidRPr="0010442F" w:rsidRDefault="004A1B63" w:rsidP="004A1B63">
      <w:pPr>
        <w:rPr>
          <w:rFonts w:ascii="Aptos" w:hAnsi="Aptos"/>
        </w:rPr>
      </w:pPr>
      <w:r w:rsidRPr="0010442F">
        <w:rPr>
          <w:rFonts w:ascii="Aptos" w:hAnsi="Aptos"/>
        </w:rPr>
        <w:t xml:space="preserve">If you are donating space or land or equipment, the value claimed as Match </w:t>
      </w:r>
      <w:r w:rsidR="000D6DE2" w:rsidRPr="0010442F">
        <w:rPr>
          <w:rFonts w:ascii="Aptos" w:hAnsi="Aptos"/>
        </w:rPr>
        <w:t>must</w:t>
      </w:r>
      <w:r w:rsidRPr="0010442F">
        <w:rPr>
          <w:rFonts w:ascii="Aptos" w:hAnsi="Aptos"/>
        </w:rPr>
        <w:t xml:space="preserve"> be based on F</w:t>
      </w:r>
      <w:r w:rsidR="00E04AC3">
        <w:rPr>
          <w:rFonts w:ascii="Aptos" w:hAnsi="Aptos"/>
        </w:rPr>
        <w:t xml:space="preserve">air </w:t>
      </w:r>
      <w:r w:rsidRPr="0010442F">
        <w:rPr>
          <w:rFonts w:ascii="Aptos" w:hAnsi="Aptos"/>
        </w:rPr>
        <w:t>M</w:t>
      </w:r>
      <w:r w:rsidR="00E04AC3">
        <w:rPr>
          <w:rFonts w:ascii="Aptos" w:hAnsi="Aptos"/>
        </w:rPr>
        <w:t xml:space="preserve">arket </w:t>
      </w:r>
      <w:r w:rsidRPr="0010442F">
        <w:rPr>
          <w:rFonts w:ascii="Aptos" w:hAnsi="Aptos"/>
        </w:rPr>
        <w:t>V</w:t>
      </w:r>
      <w:r w:rsidR="00E04AC3">
        <w:rPr>
          <w:rFonts w:ascii="Aptos" w:hAnsi="Aptos"/>
        </w:rPr>
        <w:t>alue (FMV)</w:t>
      </w:r>
      <w:r w:rsidRPr="0010442F">
        <w:rPr>
          <w:rFonts w:ascii="Aptos" w:hAnsi="Aptos"/>
        </w:rPr>
        <w:t>.</w:t>
      </w:r>
    </w:p>
    <w:p w14:paraId="7FB2F59E" w14:textId="77777777" w:rsidR="004A1B63" w:rsidRPr="0010442F" w:rsidRDefault="004A1B63" w:rsidP="004A1B63">
      <w:pPr>
        <w:rPr>
          <w:rFonts w:ascii="Aptos" w:hAnsi="Aptos"/>
        </w:rPr>
      </w:pPr>
      <w:r w:rsidRPr="0010442F">
        <w:rPr>
          <w:rFonts w:ascii="Aptos" w:hAnsi="Aptos"/>
        </w:rPr>
        <w:t>Foregone costs (i.e., costs that were not actually incurred by the recipient or subrecipient) are not allowed to be used as Match Share expenses on grant agreements.</w:t>
      </w:r>
    </w:p>
    <w:p w14:paraId="0F85A89C" w14:textId="77777777" w:rsidR="004A1B63" w:rsidRPr="0010442F" w:rsidRDefault="004A1B63" w:rsidP="004A1B63">
      <w:pPr>
        <w:rPr>
          <w:rFonts w:ascii="Aptos" w:hAnsi="Aptos"/>
        </w:rPr>
      </w:pPr>
      <w:r w:rsidRPr="0010442F">
        <w:rPr>
          <w:rFonts w:ascii="Aptos" w:hAnsi="Aptos"/>
        </w:rPr>
        <w:t>The savings from discounts on goods or services purchased for a grant agreement project are not allowed to be counted as Match Share expenses.  The reason that discounts cannot be counted, which a recipient or subrecipient negotiates with a vendor, is because the recipient or subrecipient did not incur the cost of the savings that resulted from the discount.</w:t>
      </w:r>
    </w:p>
    <w:p w14:paraId="15A2260B" w14:textId="77777777" w:rsidR="004A1B63" w:rsidRPr="0010442F" w:rsidRDefault="004A1B63" w:rsidP="004A1B63">
      <w:pPr>
        <w:rPr>
          <w:rFonts w:ascii="Aptos" w:hAnsi="Aptos"/>
        </w:rPr>
      </w:pPr>
      <w:r w:rsidRPr="0010442F">
        <w:rPr>
          <w:rFonts w:ascii="Aptos" w:hAnsi="Aptos"/>
        </w:rPr>
        <w:t xml:space="preserve">A Subrecipient can have Profit paid for with Match Share funds </w:t>
      </w:r>
      <w:proofErr w:type="gramStart"/>
      <w:r w:rsidRPr="0010442F">
        <w:rPr>
          <w:rFonts w:ascii="Aptos" w:hAnsi="Aptos"/>
        </w:rPr>
        <w:t>as long as</w:t>
      </w:r>
      <w:proofErr w:type="gramEnd"/>
      <w:r w:rsidRPr="0010442F">
        <w:rPr>
          <w:rFonts w:ascii="Aptos" w:hAnsi="Aptos"/>
        </w:rPr>
        <w:t xml:space="preserve"> they can prove that someone else is paying them the Match Share, such as the Recipient.  The Match Share cannot be from Foregone costs (i.e., the subrecipient cannot pay themselves their own Profit).</w:t>
      </w:r>
    </w:p>
    <w:p w14:paraId="74932823" w14:textId="6D239C4A" w:rsidR="002C375F" w:rsidRPr="0010442F" w:rsidRDefault="002C375F" w:rsidP="002C375F">
      <w:pPr>
        <w:spacing w:line="279" w:lineRule="auto"/>
        <w:rPr>
          <w:rFonts w:ascii="Aptos" w:hAnsi="Aptos"/>
        </w:rPr>
      </w:pPr>
      <w:r w:rsidRPr="0010442F">
        <w:rPr>
          <w:rFonts w:ascii="Aptos" w:hAnsi="Aptos"/>
          <w:color w:val="000000" w:themeColor="text1"/>
        </w:rPr>
        <w:t xml:space="preserve">For the purposes of the CERRI Program, “Match funds” </w:t>
      </w:r>
      <w:r w:rsidRPr="0010442F">
        <w:rPr>
          <w:rFonts w:ascii="Aptos" w:hAnsi="Aptos"/>
          <w:color w:val="000000" w:themeColor="text1"/>
          <w:u w:val="single"/>
        </w:rPr>
        <w:t>do not</w:t>
      </w:r>
      <w:r w:rsidRPr="0010442F">
        <w:rPr>
          <w:rFonts w:ascii="Aptos" w:hAnsi="Aptos"/>
          <w:color w:val="000000" w:themeColor="text1"/>
        </w:rPr>
        <w:t xml:space="preserve"> include:</w:t>
      </w:r>
      <w:r w:rsidRPr="0010442F">
        <w:rPr>
          <w:rFonts w:ascii="Aptos" w:hAnsi="Aptos"/>
        </w:rPr>
        <w:t xml:space="preserve"> Any federally or CEC derived awards or funds (received, future, or contingent), future/contingent awards from other entities (public or private), the cost or value of the project work site, or the cost or value of equipment or materials not used to help meet the project’s goals. For example, federal funding from the Federal Emergency Management Agency (FEMA) and state funding from the CEC’s Electric Program Investment Charge (EPIC) program cannot be used for match funding.  </w:t>
      </w:r>
    </w:p>
    <w:p w14:paraId="089A1E69" w14:textId="77777777" w:rsidR="004A1B63" w:rsidRPr="0010442F" w:rsidRDefault="004A1B63" w:rsidP="002C375F">
      <w:pPr>
        <w:pStyle w:val="Heading3"/>
        <w:spacing w:after="240"/>
        <w:rPr>
          <w:rFonts w:ascii="Aptos" w:hAnsi="Aptos"/>
          <w:b/>
          <w:bCs/>
        </w:rPr>
      </w:pPr>
      <w:bookmarkStart w:id="50" w:name="_Toc216776596"/>
      <w:r w:rsidRPr="0010442F">
        <w:rPr>
          <w:rFonts w:ascii="Aptos" w:hAnsi="Aptos"/>
          <w:b/>
          <w:bCs/>
        </w:rPr>
        <w:t>Using Match to Cover Costs that Exceed the Budget for CEC Funds</w:t>
      </w:r>
      <w:bookmarkEnd w:id="50"/>
    </w:p>
    <w:p w14:paraId="1B8D4E48" w14:textId="452E3D9D" w:rsidR="004A1B63" w:rsidRPr="0010442F" w:rsidRDefault="004A1B63" w:rsidP="004A1B63">
      <w:pPr>
        <w:rPr>
          <w:rFonts w:ascii="Aptos" w:hAnsi="Aptos"/>
        </w:rPr>
      </w:pPr>
      <w:r w:rsidRPr="0010442F">
        <w:rPr>
          <w:rFonts w:ascii="Aptos" w:hAnsi="Aptos"/>
        </w:rPr>
        <w:t>If a recipient wants to bill for actual expenses that exceed the funding available from CEC Funds, they can claim the excess as Match Funds.</w:t>
      </w:r>
    </w:p>
    <w:p w14:paraId="1700D31C" w14:textId="77777777" w:rsidR="004A1B63" w:rsidRPr="0010442F" w:rsidRDefault="004A1B63" w:rsidP="004A1B63">
      <w:pPr>
        <w:rPr>
          <w:rFonts w:ascii="Aptos" w:hAnsi="Aptos"/>
        </w:rPr>
      </w:pPr>
      <w:r w:rsidRPr="0010442F">
        <w:rPr>
          <w:rFonts w:ascii="Aptos" w:hAnsi="Aptos"/>
        </w:rPr>
        <w:t>Important exception for Indirect Rates: If the recipient or sub is using the de minimis rate, they cannot use the difference between actuals and the de minimis rate as match. Once they choose to use actuals, whether as match or grant funded, it all becomes subject to audit.</w:t>
      </w:r>
    </w:p>
    <w:p w14:paraId="3C65D33A" w14:textId="148E8D3B" w:rsidR="001E31CC" w:rsidRPr="0010442F" w:rsidRDefault="00A36818" w:rsidP="00A36818">
      <w:pPr>
        <w:pStyle w:val="Heading2"/>
        <w:spacing w:after="240"/>
        <w:rPr>
          <w:rFonts w:ascii="Aptos" w:hAnsi="Aptos"/>
          <w:b/>
          <w:bCs/>
          <w:sz w:val="24"/>
          <w:szCs w:val="24"/>
        </w:rPr>
      </w:pPr>
      <w:bookmarkStart w:id="51" w:name="_Toc216776597"/>
      <w:r w:rsidRPr="0010442F">
        <w:rPr>
          <w:rFonts w:ascii="Aptos" w:hAnsi="Aptos"/>
          <w:b/>
          <w:bCs/>
          <w:sz w:val="24"/>
          <w:szCs w:val="24"/>
        </w:rPr>
        <w:lastRenderedPageBreak/>
        <w:t>CONSULTANTS</w:t>
      </w:r>
      <w:bookmarkEnd w:id="51"/>
    </w:p>
    <w:p w14:paraId="5BE2B2B9" w14:textId="77777777" w:rsidR="00A36818" w:rsidRPr="0010442F" w:rsidRDefault="00A36818" w:rsidP="00A36818">
      <w:pPr>
        <w:rPr>
          <w:rFonts w:ascii="Aptos" w:hAnsi="Aptos"/>
        </w:rPr>
      </w:pPr>
      <w:r w:rsidRPr="0010442F">
        <w:rPr>
          <w:rFonts w:ascii="Aptos" w:hAnsi="Aptos"/>
        </w:rPr>
        <w:t>Most often, consultants are best placed in the Subcontractor Budget Category.</w:t>
      </w:r>
    </w:p>
    <w:p w14:paraId="22EF551A" w14:textId="77777777" w:rsidR="00A36818" w:rsidRPr="0010442F" w:rsidRDefault="00A36818" w:rsidP="00A36818">
      <w:pPr>
        <w:rPr>
          <w:rFonts w:ascii="Aptos" w:hAnsi="Aptos"/>
        </w:rPr>
      </w:pPr>
      <w:r w:rsidRPr="0010442F">
        <w:rPr>
          <w:rFonts w:ascii="Aptos" w:hAnsi="Aptos"/>
        </w:rPr>
        <w:t>However, some Recipients place consultants in the Direct Labor Budget Category. If not handled correctly, this can lead to accounting problems that result in audit findings and questioned costs that must be repaid.</w:t>
      </w:r>
    </w:p>
    <w:p w14:paraId="52A07D84" w14:textId="77777777" w:rsidR="00A36818" w:rsidRPr="0010442F" w:rsidRDefault="00A36818" w:rsidP="00A36818">
      <w:pPr>
        <w:rPr>
          <w:rFonts w:ascii="Aptos" w:hAnsi="Aptos"/>
        </w:rPr>
      </w:pPr>
      <w:r w:rsidRPr="0010442F">
        <w:rPr>
          <w:rFonts w:ascii="Aptos" w:hAnsi="Aptos"/>
        </w:rPr>
        <w:t>Recipients do not typically pay the Fringe Benefits and Indirect Costs for a consultant, but those rates are often calculated based on the Direct Labor Budget Category. If a Recipient does not back out the direct labor associated with consultants when calculating those rates, it is likely that the Recipient will be claiming excess Fringe and Indirect that will have to be paid back.</w:t>
      </w:r>
    </w:p>
    <w:p w14:paraId="71FC1E32" w14:textId="46129C0C" w:rsidR="00A36818" w:rsidRPr="0010442F" w:rsidRDefault="00A36818" w:rsidP="00A36818">
      <w:pPr>
        <w:rPr>
          <w:rFonts w:ascii="Aptos" w:hAnsi="Aptos"/>
        </w:rPr>
      </w:pPr>
      <w:r w:rsidRPr="0010442F">
        <w:rPr>
          <w:rFonts w:ascii="Aptos" w:hAnsi="Aptos"/>
        </w:rPr>
        <w:t>Also, anyone listed in Direct Labor must be able to provide acceptable timesheets as backup documentation to prove the time they spent on the project. Invoices listing someone's hours worked on the project are not sufficient. See the “Requirements for Acceptable Timesheets” within the Direct Labor Budget Category Guidance for more information.</w:t>
      </w:r>
    </w:p>
    <w:p w14:paraId="5D5C822B" w14:textId="3473F964" w:rsidR="001E31CC" w:rsidRPr="0010442F" w:rsidRDefault="00A36818" w:rsidP="00A36818">
      <w:pPr>
        <w:rPr>
          <w:rFonts w:ascii="Aptos" w:hAnsi="Aptos"/>
        </w:rPr>
      </w:pPr>
      <w:r w:rsidRPr="0010442F">
        <w:rPr>
          <w:rFonts w:ascii="Aptos" w:hAnsi="Aptos"/>
        </w:rPr>
        <w:t>Finally, verifying a consultant’s hourly wages utilizes the consultant invoices, progress reports, and the actual contract. In contrast, to verify an employee’s hourly rates, paystubs and W-2s are used.</w:t>
      </w:r>
    </w:p>
    <w:p w14:paraId="27DAE4B2" w14:textId="023C9C8D" w:rsidR="00450EB2" w:rsidRPr="0010442F" w:rsidRDefault="00450EB2" w:rsidP="00450EB2">
      <w:pPr>
        <w:pStyle w:val="Heading2"/>
        <w:spacing w:after="240"/>
        <w:rPr>
          <w:rFonts w:ascii="Aptos" w:hAnsi="Aptos"/>
          <w:b/>
          <w:bCs/>
          <w:sz w:val="24"/>
          <w:szCs w:val="24"/>
        </w:rPr>
      </w:pPr>
      <w:bookmarkStart w:id="52" w:name="_Toc216776598"/>
      <w:r w:rsidRPr="0010442F">
        <w:rPr>
          <w:rFonts w:ascii="Aptos" w:hAnsi="Aptos"/>
          <w:b/>
          <w:bCs/>
          <w:sz w:val="24"/>
          <w:szCs w:val="24"/>
        </w:rPr>
        <w:t>COST RECOVERY RESTRICTIONS</w:t>
      </w:r>
      <w:bookmarkEnd w:id="52"/>
    </w:p>
    <w:p w14:paraId="31B5A1FE" w14:textId="77777777" w:rsidR="00450EB2" w:rsidRPr="0010442F" w:rsidRDefault="00450EB2" w:rsidP="00450EB2">
      <w:pPr>
        <w:numPr>
          <w:ilvl w:val="0"/>
          <w:numId w:val="45"/>
        </w:numPr>
        <w:rPr>
          <w:rFonts w:ascii="Aptos" w:hAnsi="Aptos"/>
        </w:rPr>
      </w:pPr>
      <w:r w:rsidRPr="0010442F">
        <w:rPr>
          <w:rFonts w:ascii="Aptos" w:hAnsi="Aptos"/>
        </w:rPr>
        <w:t xml:space="preserve">Awardees and their subcontractors may not seek cost recovery for the portion of the cost of any system, technology, or equipment that is funded through a grant awarded under the CERRI Program. </w:t>
      </w:r>
    </w:p>
    <w:p w14:paraId="20145C66" w14:textId="5F407FCB" w:rsidR="00450EB2" w:rsidRPr="0010442F" w:rsidRDefault="00450EB2" w:rsidP="00450EB2">
      <w:pPr>
        <w:numPr>
          <w:ilvl w:val="0"/>
          <w:numId w:val="45"/>
        </w:numPr>
        <w:rPr>
          <w:rFonts w:ascii="Aptos" w:hAnsi="Aptos"/>
        </w:rPr>
      </w:pPr>
      <w:r w:rsidRPr="0010442F">
        <w:rPr>
          <w:rFonts w:ascii="Aptos" w:hAnsi="Aptos"/>
        </w:rPr>
        <w:t xml:space="preserve">Awardees </w:t>
      </w:r>
      <w:r w:rsidR="00E74D5F" w:rsidRPr="0010442F">
        <w:rPr>
          <w:rFonts w:ascii="Aptos" w:hAnsi="Aptos"/>
        </w:rPr>
        <w:t>may, however,</w:t>
      </w:r>
      <w:r w:rsidRPr="0010442F">
        <w:rPr>
          <w:rFonts w:ascii="Aptos" w:hAnsi="Aptos"/>
        </w:rPr>
        <w:t xml:space="preserve"> seek cost recovery for any portion of the project that they fund such as match funding and unallowable costs (e.g., new generation). </w:t>
      </w:r>
    </w:p>
    <w:p w14:paraId="482987B3" w14:textId="77777777" w:rsidR="00450EB2" w:rsidRPr="0010442F" w:rsidRDefault="00450EB2" w:rsidP="00450EB2">
      <w:pPr>
        <w:numPr>
          <w:ilvl w:val="0"/>
          <w:numId w:val="45"/>
        </w:numPr>
        <w:rPr>
          <w:rFonts w:ascii="Aptos" w:hAnsi="Aptos"/>
        </w:rPr>
      </w:pPr>
      <w:r w:rsidRPr="0010442F">
        <w:rPr>
          <w:rFonts w:ascii="Aptos" w:hAnsi="Aptos"/>
        </w:rPr>
        <w:t>Cost recovery is defined as recovering the expenditures of an infrastructure project or a portion(s) of a project, typically through the deployment of utility rate increases.</w:t>
      </w:r>
    </w:p>
    <w:p w14:paraId="66A66819" w14:textId="77777777" w:rsidR="00450EB2" w:rsidRPr="0010442F" w:rsidRDefault="00450EB2" w:rsidP="00A36818">
      <w:pPr>
        <w:rPr>
          <w:rFonts w:ascii="Aptos" w:hAnsi="Aptos"/>
        </w:rPr>
      </w:pPr>
    </w:p>
    <w:sectPr w:rsidR="00450EB2" w:rsidRPr="0010442F" w:rsidSect="00814278">
      <w:headerReference w:type="default" r:id="rId26"/>
      <w:footerReference w:type="default" r:id="rId27"/>
      <w:pgSz w:w="12240" w:h="15840" w:code="1"/>
      <w:pgMar w:top="1440" w:right="1440" w:bottom="1440" w:left="1440" w:header="720" w:footer="720" w:gutter="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6F9F" w14:textId="77777777" w:rsidR="00F031E5" w:rsidRDefault="00F031E5" w:rsidP="004C4D9D">
      <w:pPr>
        <w:spacing w:after="0" w:line="240" w:lineRule="auto"/>
      </w:pPr>
      <w:r>
        <w:separator/>
      </w:r>
    </w:p>
  </w:endnote>
  <w:endnote w:type="continuationSeparator" w:id="0">
    <w:p w14:paraId="0522A752" w14:textId="77777777" w:rsidR="00F031E5" w:rsidRDefault="00F031E5" w:rsidP="004C4D9D">
      <w:pPr>
        <w:spacing w:after="0" w:line="240" w:lineRule="auto"/>
      </w:pPr>
      <w:r>
        <w:continuationSeparator/>
      </w:r>
    </w:p>
  </w:endnote>
  <w:endnote w:type="continuationNotice" w:id="1">
    <w:p w14:paraId="5CB52758" w14:textId="77777777" w:rsidR="00F031E5" w:rsidRDefault="00F03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5726636"/>
      <w:docPartObj>
        <w:docPartGallery w:val="Page Numbers (Bottom of Page)"/>
        <w:docPartUnique/>
      </w:docPartObj>
    </w:sdtPr>
    <w:sdtEndPr>
      <w:rPr>
        <w:noProof/>
      </w:rPr>
    </w:sdtEndPr>
    <w:sdtContent>
      <w:p w14:paraId="066D2830" w14:textId="053B3592" w:rsidR="00221640" w:rsidRDefault="005A6005" w:rsidP="002002CC">
        <w:pPr>
          <w:spacing w:after="0"/>
          <w:rPr>
            <w:rFonts w:ascii="Arial" w:hAnsi="Arial" w:cs="Arial"/>
          </w:rPr>
        </w:pPr>
        <w:r w:rsidRPr="00E02BEB">
          <w:rPr>
            <w:rFonts w:ascii="Arial" w:hAnsi="Arial" w:cs="Arial"/>
          </w:rPr>
          <w:t>CERRI Program</w:t>
        </w:r>
        <w:r w:rsidR="00500D6F">
          <w:rPr>
            <w:rFonts w:ascii="Arial" w:hAnsi="Arial" w:cs="Arial"/>
          </w:rPr>
          <w:t xml:space="preserve">                                       </w:t>
        </w:r>
        <w:r w:rsidR="00500D6F" w:rsidRPr="00E02BEB">
          <w:rPr>
            <w:rFonts w:ascii="Arial" w:hAnsi="Arial" w:cs="Arial"/>
          </w:rPr>
          <w:t xml:space="preserve">Page </w:t>
        </w:r>
        <w:r w:rsidR="00500D6F" w:rsidRPr="00E02BEB">
          <w:rPr>
            <w:rFonts w:ascii="Arial" w:hAnsi="Arial" w:cs="Arial"/>
            <w:b/>
            <w:bCs/>
            <w:sz w:val="24"/>
            <w:szCs w:val="24"/>
          </w:rPr>
          <w:fldChar w:fldCharType="begin"/>
        </w:r>
        <w:r w:rsidR="00500D6F" w:rsidRPr="00E02BEB">
          <w:rPr>
            <w:rFonts w:ascii="Arial" w:hAnsi="Arial" w:cs="Arial"/>
            <w:b/>
            <w:bCs/>
          </w:rPr>
          <w:instrText xml:space="preserve"> PAGE </w:instrText>
        </w:r>
        <w:r w:rsidR="00500D6F" w:rsidRPr="00E02BEB">
          <w:rPr>
            <w:rFonts w:ascii="Arial" w:hAnsi="Arial" w:cs="Arial"/>
            <w:b/>
            <w:bCs/>
            <w:sz w:val="24"/>
            <w:szCs w:val="24"/>
          </w:rPr>
          <w:fldChar w:fldCharType="separate"/>
        </w:r>
        <w:r w:rsidR="00500D6F">
          <w:rPr>
            <w:rFonts w:ascii="Arial" w:hAnsi="Arial" w:cs="Arial"/>
            <w:b/>
            <w:bCs/>
            <w:sz w:val="24"/>
            <w:szCs w:val="24"/>
          </w:rPr>
          <w:t>2</w:t>
        </w:r>
        <w:r w:rsidR="00500D6F" w:rsidRPr="00E02BEB">
          <w:rPr>
            <w:rFonts w:ascii="Arial" w:hAnsi="Arial" w:cs="Arial"/>
            <w:b/>
            <w:bCs/>
            <w:sz w:val="24"/>
            <w:szCs w:val="24"/>
          </w:rPr>
          <w:fldChar w:fldCharType="end"/>
        </w:r>
        <w:r w:rsidR="00500D6F" w:rsidRPr="00E02BEB">
          <w:rPr>
            <w:rFonts w:ascii="Arial" w:hAnsi="Arial" w:cs="Arial"/>
          </w:rPr>
          <w:t xml:space="preserve"> of </w:t>
        </w:r>
        <w:r w:rsidR="00500D6F" w:rsidRPr="00E02BEB">
          <w:rPr>
            <w:rFonts w:ascii="Arial" w:hAnsi="Arial" w:cs="Arial"/>
            <w:b/>
            <w:bCs/>
            <w:sz w:val="24"/>
            <w:szCs w:val="24"/>
          </w:rPr>
          <w:fldChar w:fldCharType="begin"/>
        </w:r>
        <w:r w:rsidR="00500D6F" w:rsidRPr="00E02BEB">
          <w:rPr>
            <w:rFonts w:ascii="Arial" w:hAnsi="Arial" w:cs="Arial"/>
            <w:b/>
            <w:bCs/>
          </w:rPr>
          <w:instrText xml:space="preserve"> NUMPAGES  </w:instrText>
        </w:r>
        <w:r w:rsidR="00500D6F" w:rsidRPr="00E02BEB">
          <w:rPr>
            <w:rFonts w:ascii="Arial" w:hAnsi="Arial" w:cs="Arial"/>
            <w:b/>
            <w:bCs/>
            <w:sz w:val="24"/>
            <w:szCs w:val="24"/>
          </w:rPr>
          <w:fldChar w:fldCharType="separate"/>
        </w:r>
        <w:r w:rsidR="00500D6F">
          <w:rPr>
            <w:rFonts w:ascii="Arial" w:hAnsi="Arial" w:cs="Arial"/>
            <w:b/>
            <w:bCs/>
            <w:sz w:val="24"/>
            <w:szCs w:val="24"/>
          </w:rPr>
          <w:t>2</w:t>
        </w:r>
        <w:r w:rsidR="00500D6F" w:rsidRPr="00E02BEB">
          <w:rPr>
            <w:rFonts w:ascii="Arial" w:hAnsi="Arial" w:cs="Arial"/>
            <w:b/>
            <w:bCs/>
            <w:sz w:val="24"/>
            <w:szCs w:val="24"/>
          </w:rPr>
          <w:fldChar w:fldCharType="end"/>
        </w:r>
        <w:r w:rsidR="00500D6F">
          <w:rPr>
            <w:rFonts w:ascii="Arial" w:hAnsi="Arial" w:cs="Arial"/>
          </w:rPr>
          <w:t xml:space="preserve">           </w:t>
        </w:r>
        <w:r w:rsidR="00221640">
          <w:rPr>
            <w:rFonts w:ascii="Arial" w:hAnsi="Arial" w:cs="Arial"/>
          </w:rPr>
          <w:t xml:space="preserve">          </w:t>
        </w:r>
        <w:r w:rsidR="00E96C5B">
          <w:rPr>
            <w:rFonts w:ascii="Arial" w:hAnsi="Arial" w:cs="Arial"/>
          </w:rPr>
          <w:tab/>
        </w:r>
        <w:r w:rsidR="00221640">
          <w:rPr>
            <w:rFonts w:ascii="Arial" w:hAnsi="Arial" w:cs="Arial"/>
          </w:rPr>
          <w:t xml:space="preserve"> </w:t>
        </w:r>
        <w:r w:rsidR="00E96C5B">
          <w:rPr>
            <w:rFonts w:ascii="Arial" w:hAnsi="Arial" w:cs="Arial"/>
          </w:rPr>
          <w:t>Budget Guidance</w:t>
        </w:r>
        <w:r w:rsidR="00500D6F">
          <w:rPr>
            <w:rFonts w:ascii="Arial" w:hAnsi="Arial" w:cs="Arial"/>
          </w:rPr>
          <w:t xml:space="preserve"> </w:t>
        </w:r>
      </w:p>
      <w:p w14:paraId="12CE4E6C" w14:textId="3AD39021" w:rsidR="004C4D9D" w:rsidRPr="002002CC" w:rsidRDefault="00000000" w:rsidP="002002CC">
        <w:pPr>
          <w:spacing w:after="0"/>
          <w:ind w:left="4320" w:hanging="4320"/>
          <w:jc w:val="right"/>
          <w:rPr>
            <w:rFonts w:ascii="Arial" w:hAnsi="Arial" w:cs="Arial"/>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3A1D2" w14:textId="77777777" w:rsidR="00F031E5" w:rsidRDefault="00F031E5" w:rsidP="004C4D9D">
      <w:pPr>
        <w:spacing w:after="0" w:line="240" w:lineRule="auto"/>
      </w:pPr>
      <w:r>
        <w:separator/>
      </w:r>
    </w:p>
  </w:footnote>
  <w:footnote w:type="continuationSeparator" w:id="0">
    <w:p w14:paraId="4DA56173" w14:textId="77777777" w:rsidR="00F031E5" w:rsidRDefault="00F031E5" w:rsidP="004C4D9D">
      <w:pPr>
        <w:spacing w:after="0" w:line="240" w:lineRule="auto"/>
      </w:pPr>
      <w:r>
        <w:continuationSeparator/>
      </w:r>
    </w:p>
  </w:footnote>
  <w:footnote w:type="continuationNotice" w:id="1">
    <w:p w14:paraId="5CCE303D" w14:textId="77777777" w:rsidR="00F031E5" w:rsidRDefault="00F03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FF57" w14:textId="0B5F31CE" w:rsidR="00F04171" w:rsidRDefault="001E23BC" w:rsidP="00380DDA">
    <w:pPr>
      <w:pStyle w:val="Header"/>
    </w:pPr>
    <w:r>
      <w:rPr>
        <w:noProof/>
      </w:rPr>
      <mc:AlternateContent>
        <mc:Choice Requires="wps">
          <w:drawing>
            <wp:anchor distT="0" distB="0" distL="114300" distR="114300" simplePos="0" relativeHeight="251658241" behindDoc="0" locked="0" layoutInCell="1" allowOverlap="1" wp14:anchorId="5E06539F" wp14:editId="312F0734">
              <wp:simplePos x="0" y="0"/>
              <wp:positionH relativeFrom="column">
                <wp:posOffset>-619125</wp:posOffset>
              </wp:positionH>
              <wp:positionV relativeFrom="paragraph">
                <wp:posOffset>-200025</wp:posOffset>
              </wp:positionV>
              <wp:extent cx="4844374" cy="552450"/>
              <wp:effectExtent l="0" t="0" r="0" b="0"/>
              <wp:wrapNone/>
              <wp:docPr id="900964625" name="Text Box 4"/>
              <wp:cNvGraphicFramePr/>
              <a:graphic xmlns:a="http://schemas.openxmlformats.org/drawingml/2006/main">
                <a:graphicData uri="http://schemas.microsoft.com/office/word/2010/wordprocessingShape">
                  <wps:wsp>
                    <wps:cNvSpPr txBox="1"/>
                    <wps:spPr>
                      <a:xfrm>
                        <a:off x="0" y="0"/>
                        <a:ext cx="4844374" cy="552450"/>
                      </a:xfrm>
                      <a:prstGeom prst="rect">
                        <a:avLst/>
                      </a:prstGeom>
                      <a:noFill/>
                      <a:ln w="6350">
                        <a:noFill/>
                      </a:ln>
                    </wps:spPr>
                    <wps:txbx>
                      <w:txbxContent>
                        <w:p w14:paraId="725C0D5E" w14:textId="77777777" w:rsidR="001E23BC" w:rsidRPr="005C0298" w:rsidRDefault="001E23BC" w:rsidP="001E23BC">
                          <w:pPr>
                            <w:spacing w:after="0"/>
                            <w:rPr>
                              <w:rFonts w:ascii="Century Gothic" w:hAnsi="Century Gothic"/>
                              <w:b/>
                              <w:color w:val="C99B07"/>
                            </w:rPr>
                          </w:pPr>
                          <w:r w:rsidRPr="005C0298">
                            <w:rPr>
                              <w:rFonts w:ascii="Century Gothic" w:hAnsi="Century Gothic"/>
                              <w:b/>
                              <w:color w:val="C99B07"/>
                            </w:rPr>
                            <w:t>CALIFORNIA ENERGY COMMISSION</w:t>
                          </w:r>
                        </w:p>
                        <w:p w14:paraId="5079C7A2" w14:textId="77777777" w:rsidR="001E23BC" w:rsidRPr="00276538" w:rsidRDefault="001E23BC" w:rsidP="001E23BC">
                          <w:pPr>
                            <w:spacing w:after="0"/>
                            <w:rPr>
                              <w:rFonts w:ascii="Century Gothic" w:hAnsi="Century Gothic"/>
                              <w:b/>
                              <w:color w:val="FFFFFF" w:themeColor="background1"/>
                              <w14:textOutline w14:w="9525" w14:cap="rnd" w14:cmpd="sng" w14:algn="ctr">
                                <w14:noFill/>
                                <w14:prstDash w14:val="solid"/>
                                <w14:bevel/>
                              </w14:textOutline>
                            </w:rPr>
                          </w:pPr>
                          <w:r w:rsidRPr="00276538">
                            <w:rPr>
                              <w:rFonts w:ascii="Century Gothic" w:hAnsi="Century Gothic"/>
                              <w:b/>
                              <w:color w:val="FFFFFF" w:themeColor="background1"/>
                              <w14:textOutline w14:w="9525" w14:cap="rnd" w14:cmpd="sng" w14:algn="ctr">
                                <w14:noFill/>
                                <w14:prstDash w14:val="solid"/>
                                <w14:bevel/>
                              </w14:textOutline>
                            </w:rPr>
                            <w:t>Community Energy Reliability &amp; Resilience Investment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6539F" id="_x0000_t202" coordsize="21600,21600" o:spt="202" path="m,l,21600r21600,l21600,xe">
              <v:stroke joinstyle="miter"/>
              <v:path gradientshapeok="t" o:connecttype="rect"/>
            </v:shapetype>
            <v:shape id="Text Box 4" o:spid="_x0000_s1026" type="#_x0000_t202" style="position:absolute;margin-left:-48.75pt;margin-top:-15.75pt;width:381.45pt;height:4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" filled="f" stroked="f" strokeweight=".5pt">
              <v:textbox>
                <w:txbxContent>
                  <w:p w14:paraId="725C0D5E" w14:textId="77777777" w:rsidR="001E23BC" w:rsidRPr="005C0298" w:rsidRDefault="001E23BC" w:rsidP="001E23BC">
                    <w:pPr>
                      <w:spacing w:after="0"/>
                      <w:rPr>
                        <w:rFonts w:ascii="Century Gothic" w:hAnsi="Century Gothic"/>
                        <w:b/>
                        <w:color w:val="C99B07"/>
                      </w:rPr>
                    </w:pPr>
                    <w:r w:rsidRPr="005C0298">
                      <w:rPr>
                        <w:rFonts w:ascii="Century Gothic" w:hAnsi="Century Gothic"/>
                        <w:b/>
                        <w:color w:val="C99B07"/>
                      </w:rPr>
                      <w:t>CALIFORNIA ENERGY COMMISSION</w:t>
                    </w:r>
                  </w:p>
                  <w:p w14:paraId="5079C7A2" w14:textId="77777777" w:rsidR="001E23BC" w:rsidRPr="00276538" w:rsidRDefault="001E23BC" w:rsidP="001E23BC">
                    <w:pPr>
                      <w:spacing w:after="0"/>
                      <w:rPr>
                        <w:rFonts w:ascii="Century Gothic" w:hAnsi="Century Gothic"/>
                        <w:b/>
                        <w:color w:val="FFFFFF" w:themeColor="background1"/>
                        <w14:textOutline w14:w="9525" w14:cap="rnd" w14:cmpd="sng" w14:algn="ctr">
                          <w14:noFill/>
                          <w14:prstDash w14:val="solid"/>
                          <w14:bevel/>
                        </w14:textOutline>
                      </w:rPr>
                    </w:pPr>
                    <w:r w:rsidRPr="00276538">
                      <w:rPr>
                        <w:rFonts w:ascii="Century Gothic" w:hAnsi="Century Gothic"/>
                        <w:b/>
                        <w:color w:val="FFFFFF" w:themeColor="background1"/>
                        <w14:textOutline w14:w="9525" w14:cap="rnd" w14:cmpd="sng" w14:algn="ctr">
                          <w14:noFill/>
                          <w14:prstDash w14:val="solid"/>
                          <w14:bevel/>
                        </w14:textOutline>
                      </w:rPr>
                      <w:t>Community Energy Reliability &amp; Resilience Investment Program</w:t>
                    </w:r>
                  </w:p>
                </w:txbxContent>
              </v:textbox>
            </v:shape>
          </w:pict>
        </mc:Fallback>
      </mc:AlternateContent>
    </w:r>
    <w:r w:rsidR="0016305F">
      <w:rPr>
        <w:noProof/>
      </w:rPr>
      <mc:AlternateContent>
        <mc:Choice Requires="wps">
          <w:drawing>
            <wp:anchor distT="0" distB="0" distL="114300" distR="114300" simplePos="0" relativeHeight="251658240" behindDoc="0" locked="0" layoutInCell="1" allowOverlap="1" wp14:anchorId="26FAD2FD" wp14:editId="328A5656">
              <wp:simplePos x="0" y="0"/>
              <wp:positionH relativeFrom="page">
                <wp:align>left</wp:align>
              </wp:positionH>
              <wp:positionV relativeFrom="paragraph">
                <wp:posOffset>-457200</wp:posOffset>
              </wp:positionV>
              <wp:extent cx="7823200" cy="914400"/>
              <wp:effectExtent l="0" t="0" r="0" b="0"/>
              <wp:wrapNone/>
              <wp:docPr id="63997366" name="Rectangle 1"/>
              <wp:cNvGraphicFramePr/>
              <a:graphic xmlns:a="http://schemas.openxmlformats.org/drawingml/2006/main">
                <a:graphicData uri="http://schemas.microsoft.com/office/word/2010/wordprocessingShape">
                  <wps:wsp>
                    <wps:cNvSpPr/>
                    <wps:spPr>
                      <a:xfrm>
                        <a:off x="0" y="0"/>
                        <a:ext cx="7823200" cy="914400"/>
                      </a:xfrm>
                      <a:prstGeom prst="rect">
                        <a:avLst/>
                      </a:prstGeom>
                      <a:solidFill>
                        <a:srgbClr val="06326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6FBDF8F" w14:textId="77777777" w:rsidR="0016305F" w:rsidRDefault="0016305F" w:rsidP="0016305F">
                          <w:pPr>
                            <w:ind w:left="8640"/>
                            <w:jc w:val="center"/>
                          </w:pPr>
                          <w:r>
                            <w:rPr>
                              <w:noProof/>
                            </w:rPr>
                            <w:drawing>
                              <wp:inline distT="0" distB="0" distL="0" distR="0" wp14:anchorId="099466D7" wp14:editId="1D39FA2F">
                                <wp:extent cx="803910" cy="803910"/>
                                <wp:effectExtent l="0" t="0" r="0" b="0"/>
                                <wp:docPr id="17961183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2812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AD2FD" id="Rectangle 1" o:spid="_x0000_s1027" style="position:absolute;margin-left:0;margin-top:-36pt;width:616pt;height:1in;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" fillcolor="#063268" stroked="f" strokeweight="1pt">
              <v:textbox>
                <w:txbxContent>
                  <w:p w14:paraId="36FBDF8F" w14:textId="77777777" w:rsidR="0016305F" w:rsidRDefault="0016305F" w:rsidP="0016305F">
                    <w:pPr>
                      <w:ind w:left="8640"/>
                      <w:jc w:val="center"/>
                    </w:pPr>
                    <w:r>
                      <w:rPr>
                        <w:noProof/>
                      </w:rPr>
                      <w:drawing>
                        <wp:inline distT="0" distB="0" distL="0" distR="0" wp14:anchorId="099466D7" wp14:editId="1D39FA2F">
                          <wp:extent cx="803910" cy="803910"/>
                          <wp:effectExtent l="0" t="0" r="0" b="0"/>
                          <wp:docPr id="17961183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02812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803910" cy="803910"/>
                                  </a:xfrm>
                                  <a:prstGeom prst="rect">
                                    <a:avLst/>
                                  </a:prstGeom>
                                </pic:spPr>
                              </pic:pic>
                            </a:graphicData>
                          </a:graphic>
                        </wp:inline>
                      </w:drawing>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ED7"/>
    <w:multiLevelType w:val="multilevel"/>
    <w:tmpl w:val="BA1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37DEB"/>
    <w:multiLevelType w:val="multilevel"/>
    <w:tmpl w:val="06D2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EEECF"/>
    <w:multiLevelType w:val="hybridMultilevel"/>
    <w:tmpl w:val="E8C42F08"/>
    <w:lvl w:ilvl="0" w:tplc="D1CAF24A">
      <w:start w:val="1"/>
      <w:numFmt w:val="bullet"/>
      <w:lvlText w:val=""/>
      <w:lvlJc w:val="left"/>
      <w:pPr>
        <w:ind w:left="720" w:hanging="360"/>
      </w:pPr>
      <w:rPr>
        <w:rFonts w:ascii="Symbol" w:hAnsi="Symbol" w:hint="default"/>
      </w:rPr>
    </w:lvl>
    <w:lvl w:ilvl="1" w:tplc="9D568A36">
      <w:start w:val="1"/>
      <w:numFmt w:val="bullet"/>
      <w:lvlText w:val="o"/>
      <w:lvlJc w:val="left"/>
      <w:pPr>
        <w:ind w:left="0" w:hanging="360"/>
      </w:pPr>
      <w:rPr>
        <w:rFonts w:ascii="Courier New" w:hAnsi="Courier New" w:hint="default"/>
      </w:rPr>
    </w:lvl>
    <w:lvl w:ilvl="2" w:tplc="BD586FA4">
      <w:start w:val="1"/>
      <w:numFmt w:val="bullet"/>
      <w:lvlText w:val=""/>
      <w:lvlJc w:val="left"/>
      <w:pPr>
        <w:ind w:left="0" w:hanging="360"/>
      </w:pPr>
      <w:rPr>
        <w:rFonts w:ascii="Wingdings" w:hAnsi="Wingdings" w:hint="default"/>
      </w:rPr>
    </w:lvl>
    <w:lvl w:ilvl="3" w:tplc="6F383878">
      <w:start w:val="1"/>
      <w:numFmt w:val="bullet"/>
      <w:lvlText w:val=""/>
      <w:lvlJc w:val="left"/>
      <w:pPr>
        <w:ind w:left="1080" w:hanging="360"/>
      </w:pPr>
      <w:rPr>
        <w:rFonts w:ascii="Symbol" w:hAnsi="Symbol" w:hint="default"/>
      </w:rPr>
    </w:lvl>
    <w:lvl w:ilvl="4" w:tplc="BC4C1E98">
      <w:start w:val="1"/>
      <w:numFmt w:val="bullet"/>
      <w:lvlText w:val="o"/>
      <w:lvlJc w:val="left"/>
      <w:pPr>
        <w:ind w:left="1800" w:hanging="360"/>
      </w:pPr>
      <w:rPr>
        <w:rFonts w:ascii="Courier New" w:hAnsi="Courier New" w:hint="default"/>
      </w:rPr>
    </w:lvl>
    <w:lvl w:ilvl="5" w:tplc="17FEB12E">
      <w:start w:val="1"/>
      <w:numFmt w:val="bullet"/>
      <w:lvlText w:val=""/>
      <w:lvlJc w:val="left"/>
      <w:pPr>
        <w:ind w:left="2520" w:hanging="360"/>
      </w:pPr>
      <w:rPr>
        <w:rFonts w:ascii="Wingdings" w:hAnsi="Wingdings" w:hint="default"/>
      </w:rPr>
    </w:lvl>
    <w:lvl w:ilvl="6" w:tplc="B25E2F92">
      <w:start w:val="1"/>
      <w:numFmt w:val="bullet"/>
      <w:lvlText w:val=""/>
      <w:lvlJc w:val="left"/>
      <w:pPr>
        <w:ind w:left="3240" w:hanging="360"/>
      </w:pPr>
      <w:rPr>
        <w:rFonts w:ascii="Symbol" w:hAnsi="Symbol" w:hint="default"/>
      </w:rPr>
    </w:lvl>
    <w:lvl w:ilvl="7" w:tplc="3F3E9DF6">
      <w:start w:val="1"/>
      <w:numFmt w:val="bullet"/>
      <w:lvlText w:val="o"/>
      <w:lvlJc w:val="left"/>
      <w:pPr>
        <w:ind w:left="3960" w:hanging="360"/>
      </w:pPr>
      <w:rPr>
        <w:rFonts w:ascii="Courier New" w:hAnsi="Courier New" w:hint="default"/>
      </w:rPr>
    </w:lvl>
    <w:lvl w:ilvl="8" w:tplc="7D4A2384">
      <w:start w:val="1"/>
      <w:numFmt w:val="bullet"/>
      <w:lvlText w:val=""/>
      <w:lvlJc w:val="left"/>
      <w:pPr>
        <w:ind w:left="4680" w:hanging="360"/>
      </w:pPr>
      <w:rPr>
        <w:rFonts w:ascii="Wingdings" w:hAnsi="Wingdings" w:hint="default"/>
      </w:rPr>
    </w:lvl>
  </w:abstractNum>
  <w:abstractNum w:abstractNumId="3" w15:restartNumberingAfterBreak="0">
    <w:nsid w:val="082B1ACB"/>
    <w:multiLevelType w:val="multilevel"/>
    <w:tmpl w:val="45A41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CA146D"/>
    <w:multiLevelType w:val="hybridMultilevel"/>
    <w:tmpl w:val="1ABC13C2"/>
    <w:lvl w:ilvl="0" w:tplc="5DA62C76">
      <w:start w:val="1"/>
      <w:numFmt w:val="bullet"/>
      <w:lvlText w:val=""/>
      <w:lvlJc w:val="left"/>
      <w:pPr>
        <w:ind w:left="720" w:hanging="360"/>
      </w:pPr>
      <w:rPr>
        <w:rFonts w:ascii="Symbol" w:hAnsi="Symbol" w:hint="default"/>
      </w:rPr>
    </w:lvl>
    <w:lvl w:ilvl="1" w:tplc="0BF03822">
      <w:start w:val="1"/>
      <w:numFmt w:val="bullet"/>
      <w:lvlText w:val="o"/>
      <w:lvlJc w:val="left"/>
      <w:pPr>
        <w:ind w:left="1440" w:hanging="360"/>
      </w:pPr>
      <w:rPr>
        <w:rFonts w:ascii="Courier New" w:hAnsi="Courier New" w:hint="default"/>
      </w:rPr>
    </w:lvl>
    <w:lvl w:ilvl="2" w:tplc="F2F2B346">
      <w:start w:val="1"/>
      <w:numFmt w:val="bullet"/>
      <w:lvlText w:val=""/>
      <w:lvlJc w:val="left"/>
      <w:pPr>
        <w:ind w:left="2160" w:hanging="360"/>
      </w:pPr>
      <w:rPr>
        <w:rFonts w:ascii="Wingdings" w:hAnsi="Wingdings" w:hint="default"/>
      </w:rPr>
    </w:lvl>
    <w:lvl w:ilvl="3" w:tplc="06147208">
      <w:start w:val="1"/>
      <w:numFmt w:val="bullet"/>
      <w:lvlText w:val=""/>
      <w:lvlJc w:val="left"/>
      <w:pPr>
        <w:ind w:left="2880" w:hanging="360"/>
      </w:pPr>
      <w:rPr>
        <w:rFonts w:ascii="Symbol" w:hAnsi="Symbol" w:hint="default"/>
      </w:rPr>
    </w:lvl>
    <w:lvl w:ilvl="4" w:tplc="18AE4C4A">
      <w:start w:val="1"/>
      <w:numFmt w:val="bullet"/>
      <w:lvlText w:val="o"/>
      <w:lvlJc w:val="left"/>
      <w:pPr>
        <w:ind w:left="3600" w:hanging="360"/>
      </w:pPr>
      <w:rPr>
        <w:rFonts w:ascii="Courier New" w:hAnsi="Courier New" w:hint="default"/>
      </w:rPr>
    </w:lvl>
    <w:lvl w:ilvl="5" w:tplc="030E97FE">
      <w:start w:val="1"/>
      <w:numFmt w:val="bullet"/>
      <w:lvlText w:val=""/>
      <w:lvlJc w:val="left"/>
      <w:pPr>
        <w:ind w:left="4320" w:hanging="360"/>
      </w:pPr>
      <w:rPr>
        <w:rFonts w:ascii="Wingdings" w:hAnsi="Wingdings" w:hint="default"/>
      </w:rPr>
    </w:lvl>
    <w:lvl w:ilvl="6" w:tplc="923A1F82">
      <w:start w:val="1"/>
      <w:numFmt w:val="bullet"/>
      <w:lvlText w:val=""/>
      <w:lvlJc w:val="left"/>
      <w:pPr>
        <w:ind w:left="5040" w:hanging="360"/>
      </w:pPr>
      <w:rPr>
        <w:rFonts w:ascii="Symbol" w:hAnsi="Symbol" w:hint="default"/>
      </w:rPr>
    </w:lvl>
    <w:lvl w:ilvl="7" w:tplc="401E140C">
      <w:start w:val="1"/>
      <w:numFmt w:val="bullet"/>
      <w:lvlText w:val="o"/>
      <w:lvlJc w:val="left"/>
      <w:pPr>
        <w:ind w:left="5760" w:hanging="360"/>
      </w:pPr>
      <w:rPr>
        <w:rFonts w:ascii="Courier New" w:hAnsi="Courier New" w:hint="default"/>
      </w:rPr>
    </w:lvl>
    <w:lvl w:ilvl="8" w:tplc="6F6AA22A">
      <w:start w:val="1"/>
      <w:numFmt w:val="bullet"/>
      <w:lvlText w:val=""/>
      <w:lvlJc w:val="left"/>
      <w:pPr>
        <w:ind w:left="6480" w:hanging="360"/>
      </w:pPr>
      <w:rPr>
        <w:rFonts w:ascii="Wingdings" w:hAnsi="Wingdings" w:hint="default"/>
      </w:rPr>
    </w:lvl>
  </w:abstractNum>
  <w:abstractNum w:abstractNumId="5" w15:restartNumberingAfterBreak="0">
    <w:nsid w:val="0FA7A70C"/>
    <w:multiLevelType w:val="hybridMultilevel"/>
    <w:tmpl w:val="D60E556C"/>
    <w:lvl w:ilvl="0" w:tplc="FB3A8166">
      <w:start w:val="1"/>
      <w:numFmt w:val="bullet"/>
      <w:lvlText w:val=""/>
      <w:lvlJc w:val="left"/>
      <w:pPr>
        <w:ind w:left="720" w:hanging="360"/>
      </w:pPr>
      <w:rPr>
        <w:rFonts w:ascii="Symbol" w:hAnsi="Symbol" w:hint="default"/>
        <w:color w:val="auto"/>
      </w:rPr>
    </w:lvl>
    <w:lvl w:ilvl="1" w:tplc="3CA04880">
      <w:start w:val="1"/>
      <w:numFmt w:val="bullet"/>
      <w:lvlText w:val="o"/>
      <w:lvlJc w:val="left"/>
      <w:pPr>
        <w:ind w:left="1440" w:hanging="360"/>
      </w:pPr>
      <w:rPr>
        <w:rFonts w:ascii="Courier New" w:hAnsi="Courier New" w:hint="default"/>
      </w:rPr>
    </w:lvl>
    <w:lvl w:ilvl="2" w:tplc="C5C2214A">
      <w:start w:val="1"/>
      <w:numFmt w:val="bullet"/>
      <w:lvlText w:val=""/>
      <w:lvlJc w:val="left"/>
      <w:pPr>
        <w:ind w:left="2160" w:hanging="360"/>
      </w:pPr>
      <w:rPr>
        <w:rFonts w:ascii="Wingdings" w:hAnsi="Wingdings" w:hint="default"/>
      </w:rPr>
    </w:lvl>
    <w:lvl w:ilvl="3" w:tplc="82FA1A4E">
      <w:start w:val="1"/>
      <w:numFmt w:val="bullet"/>
      <w:lvlText w:val=""/>
      <w:lvlJc w:val="left"/>
      <w:pPr>
        <w:ind w:left="2880" w:hanging="360"/>
      </w:pPr>
      <w:rPr>
        <w:rFonts w:ascii="Symbol" w:hAnsi="Symbol" w:hint="default"/>
      </w:rPr>
    </w:lvl>
    <w:lvl w:ilvl="4" w:tplc="677A5512">
      <w:start w:val="1"/>
      <w:numFmt w:val="bullet"/>
      <w:lvlText w:val="o"/>
      <w:lvlJc w:val="left"/>
      <w:pPr>
        <w:ind w:left="3600" w:hanging="360"/>
      </w:pPr>
      <w:rPr>
        <w:rFonts w:ascii="Courier New" w:hAnsi="Courier New" w:hint="default"/>
      </w:rPr>
    </w:lvl>
    <w:lvl w:ilvl="5" w:tplc="2B78044C">
      <w:start w:val="1"/>
      <w:numFmt w:val="bullet"/>
      <w:lvlText w:val=""/>
      <w:lvlJc w:val="left"/>
      <w:pPr>
        <w:ind w:left="4320" w:hanging="360"/>
      </w:pPr>
      <w:rPr>
        <w:rFonts w:ascii="Wingdings" w:hAnsi="Wingdings" w:hint="default"/>
      </w:rPr>
    </w:lvl>
    <w:lvl w:ilvl="6" w:tplc="53CE55CA">
      <w:start w:val="1"/>
      <w:numFmt w:val="bullet"/>
      <w:lvlText w:val=""/>
      <w:lvlJc w:val="left"/>
      <w:pPr>
        <w:ind w:left="5040" w:hanging="360"/>
      </w:pPr>
      <w:rPr>
        <w:rFonts w:ascii="Symbol" w:hAnsi="Symbol" w:hint="default"/>
      </w:rPr>
    </w:lvl>
    <w:lvl w:ilvl="7" w:tplc="84DC59B6">
      <w:start w:val="1"/>
      <w:numFmt w:val="bullet"/>
      <w:lvlText w:val="o"/>
      <w:lvlJc w:val="left"/>
      <w:pPr>
        <w:ind w:left="5760" w:hanging="360"/>
      </w:pPr>
      <w:rPr>
        <w:rFonts w:ascii="Courier New" w:hAnsi="Courier New" w:hint="default"/>
      </w:rPr>
    </w:lvl>
    <w:lvl w:ilvl="8" w:tplc="17846D24">
      <w:start w:val="1"/>
      <w:numFmt w:val="bullet"/>
      <w:lvlText w:val=""/>
      <w:lvlJc w:val="left"/>
      <w:pPr>
        <w:ind w:left="6480" w:hanging="360"/>
      </w:pPr>
      <w:rPr>
        <w:rFonts w:ascii="Wingdings" w:hAnsi="Wingdings" w:hint="default"/>
      </w:rPr>
    </w:lvl>
  </w:abstractNum>
  <w:abstractNum w:abstractNumId="6" w15:restartNumberingAfterBreak="0">
    <w:nsid w:val="18274CC7"/>
    <w:multiLevelType w:val="multilevel"/>
    <w:tmpl w:val="6B8C3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153F7"/>
    <w:multiLevelType w:val="hybridMultilevel"/>
    <w:tmpl w:val="4FBAED66"/>
    <w:lvl w:ilvl="0" w:tplc="F44E0CBA">
      <w:start w:val="1"/>
      <w:numFmt w:val="upperRoman"/>
      <w:lvlText w:val="%1."/>
      <w:lvlJc w:val="left"/>
      <w:pPr>
        <w:ind w:left="720" w:hanging="720"/>
      </w:pPr>
      <w:rPr>
        <w:rFonts w:hint="default"/>
        <w:b/>
        <w:bCs w:val="0"/>
        <w:i w:val="0"/>
        <w:iCs/>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E30708"/>
    <w:multiLevelType w:val="hybridMultilevel"/>
    <w:tmpl w:val="E9FADBDE"/>
    <w:lvl w:ilvl="0" w:tplc="FFFFFFFF">
      <w:start w:val="1"/>
      <w:numFmt w:val="bullet"/>
      <w:lvlText w:val=""/>
      <w:lvlJc w:val="left"/>
      <w:pPr>
        <w:ind w:left="720" w:hanging="360"/>
      </w:pPr>
      <w:rPr>
        <w:rFonts w:ascii="Symbol" w:hAnsi="Symbol" w:hint="default"/>
      </w:rPr>
    </w:lvl>
    <w:lvl w:ilvl="1" w:tplc="E54EA85C">
      <w:start w:val="1"/>
      <w:numFmt w:val="bullet"/>
      <w:lvlText w:val="o"/>
      <w:lvlJc w:val="left"/>
      <w:pPr>
        <w:ind w:left="1440" w:hanging="360"/>
      </w:pPr>
      <w:rPr>
        <w:rFonts w:ascii="Courier New" w:hAnsi="Courier New" w:hint="default"/>
      </w:rPr>
    </w:lvl>
    <w:lvl w:ilvl="2" w:tplc="6BFE7CD2">
      <w:start w:val="1"/>
      <w:numFmt w:val="bullet"/>
      <w:lvlText w:val=""/>
      <w:lvlJc w:val="left"/>
      <w:pPr>
        <w:ind w:left="2160" w:hanging="360"/>
      </w:pPr>
      <w:rPr>
        <w:rFonts w:ascii="Wingdings" w:hAnsi="Wingdings" w:hint="default"/>
      </w:rPr>
    </w:lvl>
    <w:lvl w:ilvl="3" w:tplc="FB488C46">
      <w:start w:val="1"/>
      <w:numFmt w:val="bullet"/>
      <w:lvlText w:val=""/>
      <w:lvlJc w:val="left"/>
      <w:pPr>
        <w:ind w:left="2880" w:hanging="360"/>
      </w:pPr>
      <w:rPr>
        <w:rFonts w:ascii="Symbol" w:hAnsi="Symbol" w:hint="default"/>
      </w:rPr>
    </w:lvl>
    <w:lvl w:ilvl="4" w:tplc="C1A4660C">
      <w:start w:val="1"/>
      <w:numFmt w:val="bullet"/>
      <w:lvlText w:val="o"/>
      <w:lvlJc w:val="left"/>
      <w:pPr>
        <w:ind w:left="3600" w:hanging="360"/>
      </w:pPr>
      <w:rPr>
        <w:rFonts w:ascii="Courier New" w:hAnsi="Courier New" w:hint="default"/>
      </w:rPr>
    </w:lvl>
    <w:lvl w:ilvl="5" w:tplc="6D90C2AC">
      <w:start w:val="1"/>
      <w:numFmt w:val="bullet"/>
      <w:lvlText w:val=""/>
      <w:lvlJc w:val="left"/>
      <w:pPr>
        <w:ind w:left="4320" w:hanging="360"/>
      </w:pPr>
      <w:rPr>
        <w:rFonts w:ascii="Wingdings" w:hAnsi="Wingdings" w:hint="default"/>
      </w:rPr>
    </w:lvl>
    <w:lvl w:ilvl="6" w:tplc="EC3E9ED4">
      <w:start w:val="1"/>
      <w:numFmt w:val="bullet"/>
      <w:lvlText w:val=""/>
      <w:lvlJc w:val="left"/>
      <w:pPr>
        <w:ind w:left="5040" w:hanging="360"/>
      </w:pPr>
      <w:rPr>
        <w:rFonts w:ascii="Symbol" w:hAnsi="Symbol" w:hint="default"/>
      </w:rPr>
    </w:lvl>
    <w:lvl w:ilvl="7" w:tplc="CD9A38F2">
      <w:start w:val="1"/>
      <w:numFmt w:val="bullet"/>
      <w:lvlText w:val="o"/>
      <w:lvlJc w:val="left"/>
      <w:pPr>
        <w:ind w:left="5760" w:hanging="360"/>
      </w:pPr>
      <w:rPr>
        <w:rFonts w:ascii="Courier New" w:hAnsi="Courier New" w:hint="default"/>
      </w:rPr>
    </w:lvl>
    <w:lvl w:ilvl="8" w:tplc="0E9856D0">
      <w:start w:val="1"/>
      <w:numFmt w:val="bullet"/>
      <w:lvlText w:val=""/>
      <w:lvlJc w:val="left"/>
      <w:pPr>
        <w:ind w:left="6480" w:hanging="360"/>
      </w:pPr>
      <w:rPr>
        <w:rFonts w:ascii="Wingdings" w:hAnsi="Wingdings" w:hint="default"/>
      </w:rPr>
    </w:lvl>
  </w:abstractNum>
  <w:abstractNum w:abstractNumId="9" w15:restartNumberingAfterBreak="0">
    <w:nsid w:val="1D4804CD"/>
    <w:multiLevelType w:val="multilevel"/>
    <w:tmpl w:val="BE1A97F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72A93"/>
    <w:multiLevelType w:val="multilevel"/>
    <w:tmpl w:val="EBAC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15465C"/>
    <w:multiLevelType w:val="multilevel"/>
    <w:tmpl w:val="0E82F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446C8"/>
    <w:multiLevelType w:val="multilevel"/>
    <w:tmpl w:val="636A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880A0D"/>
    <w:multiLevelType w:val="hybridMultilevel"/>
    <w:tmpl w:val="CE9AA798"/>
    <w:lvl w:ilvl="0" w:tplc="26F63768">
      <w:start w:val="1"/>
      <w:numFmt w:val="upperRoman"/>
      <w:lvlText w:val="%1."/>
      <w:lvlJc w:val="left"/>
      <w:pPr>
        <w:ind w:left="720" w:hanging="360"/>
      </w:pPr>
    </w:lvl>
    <w:lvl w:ilvl="1" w:tplc="03EA7E0E">
      <w:start w:val="1"/>
      <w:numFmt w:val="lowerLetter"/>
      <w:lvlText w:val="%2."/>
      <w:lvlJc w:val="left"/>
      <w:pPr>
        <w:ind w:left="1440" w:hanging="360"/>
      </w:pPr>
    </w:lvl>
    <w:lvl w:ilvl="2" w:tplc="487E788E">
      <w:start w:val="1"/>
      <w:numFmt w:val="lowerRoman"/>
      <w:lvlText w:val="%3."/>
      <w:lvlJc w:val="right"/>
      <w:pPr>
        <w:ind w:left="2160" w:hanging="180"/>
      </w:pPr>
    </w:lvl>
    <w:lvl w:ilvl="3" w:tplc="54521F58">
      <w:start w:val="1"/>
      <w:numFmt w:val="decimal"/>
      <w:lvlText w:val="%4."/>
      <w:lvlJc w:val="left"/>
      <w:pPr>
        <w:ind w:left="2880" w:hanging="360"/>
      </w:pPr>
    </w:lvl>
    <w:lvl w:ilvl="4" w:tplc="D478A7EC">
      <w:start w:val="1"/>
      <w:numFmt w:val="lowerLetter"/>
      <w:lvlText w:val="%5."/>
      <w:lvlJc w:val="left"/>
      <w:pPr>
        <w:ind w:left="3600" w:hanging="360"/>
      </w:pPr>
    </w:lvl>
    <w:lvl w:ilvl="5" w:tplc="79763B20">
      <w:start w:val="1"/>
      <w:numFmt w:val="lowerRoman"/>
      <w:lvlText w:val="%6."/>
      <w:lvlJc w:val="right"/>
      <w:pPr>
        <w:ind w:left="4320" w:hanging="180"/>
      </w:pPr>
    </w:lvl>
    <w:lvl w:ilvl="6" w:tplc="B854F332">
      <w:start w:val="1"/>
      <w:numFmt w:val="decimal"/>
      <w:lvlText w:val="%7."/>
      <w:lvlJc w:val="left"/>
      <w:pPr>
        <w:ind w:left="5040" w:hanging="360"/>
      </w:pPr>
    </w:lvl>
    <w:lvl w:ilvl="7" w:tplc="591858D8">
      <w:start w:val="1"/>
      <w:numFmt w:val="lowerLetter"/>
      <w:lvlText w:val="%8."/>
      <w:lvlJc w:val="left"/>
      <w:pPr>
        <w:ind w:left="5760" w:hanging="360"/>
      </w:pPr>
    </w:lvl>
    <w:lvl w:ilvl="8" w:tplc="E048CB9C">
      <w:start w:val="1"/>
      <w:numFmt w:val="lowerRoman"/>
      <w:lvlText w:val="%9."/>
      <w:lvlJc w:val="right"/>
      <w:pPr>
        <w:ind w:left="6480" w:hanging="180"/>
      </w:pPr>
    </w:lvl>
  </w:abstractNum>
  <w:abstractNum w:abstractNumId="14" w15:restartNumberingAfterBreak="0">
    <w:nsid w:val="235F2667"/>
    <w:multiLevelType w:val="hybridMultilevel"/>
    <w:tmpl w:val="90D0F2DA"/>
    <w:lvl w:ilvl="0" w:tplc="49CC9E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C22BB"/>
    <w:multiLevelType w:val="multilevel"/>
    <w:tmpl w:val="4E22CF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E7B22"/>
    <w:multiLevelType w:val="hybridMultilevel"/>
    <w:tmpl w:val="1EB66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D74B5D"/>
    <w:multiLevelType w:val="multilevel"/>
    <w:tmpl w:val="D8DAA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15799B"/>
    <w:multiLevelType w:val="hybridMultilevel"/>
    <w:tmpl w:val="247E6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F6656"/>
    <w:multiLevelType w:val="multilevel"/>
    <w:tmpl w:val="5A0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1A35B4"/>
    <w:multiLevelType w:val="multilevel"/>
    <w:tmpl w:val="DDE2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1701FC"/>
    <w:multiLevelType w:val="hybridMultilevel"/>
    <w:tmpl w:val="A536A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A5D3EBF"/>
    <w:multiLevelType w:val="hybridMultilevel"/>
    <w:tmpl w:val="C4D24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796F54"/>
    <w:multiLevelType w:val="multilevel"/>
    <w:tmpl w:val="7AA8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BF5F41"/>
    <w:multiLevelType w:val="multilevel"/>
    <w:tmpl w:val="FA6A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DB0481"/>
    <w:multiLevelType w:val="hybridMultilevel"/>
    <w:tmpl w:val="68B675AA"/>
    <w:lvl w:ilvl="0" w:tplc="6D26DB98">
      <w:start w:val="1"/>
      <w:numFmt w:val="bullet"/>
      <w:lvlText w:val=""/>
      <w:lvlJc w:val="left"/>
      <w:pPr>
        <w:ind w:left="720" w:hanging="360"/>
      </w:pPr>
      <w:rPr>
        <w:rFonts w:ascii="Symbol" w:hAnsi="Symbol" w:hint="default"/>
      </w:rPr>
    </w:lvl>
    <w:lvl w:ilvl="1" w:tplc="FAEE1410">
      <w:start w:val="1"/>
      <w:numFmt w:val="lowerLetter"/>
      <w:lvlText w:val="%2."/>
      <w:lvlJc w:val="left"/>
      <w:pPr>
        <w:ind w:left="1440" w:hanging="360"/>
      </w:pPr>
    </w:lvl>
    <w:lvl w:ilvl="2" w:tplc="25383BF8">
      <w:start w:val="1"/>
      <w:numFmt w:val="bullet"/>
      <w:lvlText w:val=""/>
      <w:lvlJc w:val="left"/>
      <w:pPr>
        <w:ind w:left="1260" w:hanging="360"/>
      </w:pPr>
      <w:rPr>
        <w:rFonts w:ascii="Wingdings" w:hAnsi="Wingdings" w:hint="default"/>
      </w:rPr>
    </w:lvl>
    <w:lvl w:ilvl="3" w:tplc="0630AFEA">
      <w:start w:val="1"/>
      <w:numFmt w:val="bullet"/>
      <w:lvlText w:val=""/>
      <w:lvlJc w:val="left"/>
      <w:pPr>
        <w:ind w:left="1980" w:hanging="360"/>
      </w:pPr>
      <w:rPr>
        <w:rFonts w:ascii="Symbol" w:hAnsi="Symbol" w:hint="default"/>
      </w:rPr>
    </w:lvl>
    <w:lvl w:ilvl="4" w:tplc="25F0DD54">
      <w:start w:val="1"/>
      <w:numFmt w:val="bullet"/>
      <w:lvlText w:val="o"/>
      <w:lvlJc w:val="left"/>
      <w:pPr>
        <w:ind w:left="2700" w:hanging="360"/>
      </w:pPr>
      <w:rPr>
        <w:rFonts w:ascii="Courier New" w:hAnsi="Courier New" w:hint="default"/>
      </w:rPr>
    </w:lvl>
    <w:lvl w:ilvl="5" w:tplc="9DB6BE60">
      <w:start w:val="1"/>
      <w:numFmt w:val="bullet"/>
      <w:lvlText w:val=""/>
      <w:lvlJc w:val="left"/>
      <w:pPr>
        <w:ind w:left="3420" w:hanging="360"/>
      </w:pPr>
      <w:rPr>
        <w:rFonts w:ascii="Wingdings" w:hAnsi="Wingdings" w:hint="default"/>
      </w:rPr>
    </w:lvl>
    <w:lvl w:ilvl="6" w:tplc="07967EF0">
      <w:start w:val="1"/>
      <w:numFmt w:val="bullet"/>
      <w:lvlText w:val=""/>
      <w:lvlJc w:val="left"/>
      <w:pPr>
        <w:ind w:left="4140" w:hanging="360"/>
      </w:pPr>
      <w:rPr>
        <w:rFonts w:ascii="Symbol" w:hAnsi="Symbol" w:hint="default"/>
      </w:rPr>
    </w:lvl>
    <w:lvl w:ilvl="7" w:tplc="24D2CF5A">
      <w:start w:val="1"/>
      <w:numFmt w:val="bullet"/>
      <w:lvlText w:val="o"/>
      <w:lvlJc w:val="left"/>
      <w:pPr>
        <w:ind w:left="4860" w:hanging="360"/>
      </w:pPr>
      <w:rPr>
        <w:rFonts w:ascii="Courier New" w:hAnsi="Courier New" w:hint="default"/>
      </w:rPr>
    </w:lvl>
    <w:lvl w:ilvl="8" w:tplc="29C28664">
      <w:start w:val="1"/>
      <w:numFmt w:val="bullet"/>
      <w:lvlText w:val=""/>
      <w:lvlJc w:val="left"/>
      <w:pPr>
        <w:ind w:left="5580" w:hanging="360"/>
      </w:pPr>
      <w:rPr>
        <w:rFonts w:ascii="Wingdings" w:hAnsi="Wingdings" w:hint="default"/>
      </w:rPr>
    </w:lvl>
  </w:abstractNum>
  <w:abstractNum w:abstractNumId="26" w15:restartNumberingAfterBreak="0">
    <w:nsid w:val="3D8B72A6"/>
    <w:multiLevelType w:val="hybridMultilevel"/>
    <w:tmpl w:val="7C10FF36"/>
    <w:lvl w:ilvl="0" w:tplc="7394661E">
      <w:start w:val="1"/>
      <w:numFmt w:val="upperRoman"/>
      <w:lvlText w:val="%1."/>
      <w:lvlJc w:val="left"/>
      <w:pPr>
        <w:ind w:left="720" w:hanging="360"/>
      </w:pPr>
      <w:rPr>
        <w:b/>
        <w:bCs/>
        <w:color w:val="auto"/>
      </w:rPr>
    </w:lvl>
    <w:lvl w:ilvl="1" w:tplc="6CD21ED2">
      <w:start w:val="1"/>
      <w:numFmt w:val="lowerLetter"/>
      <w:lvlText w:val="%2."/>
      <w:lvlJc w:val="left"/>
      <w:pPr>
        <w:ind w:left="1440" w:hanging="360"/>
      </w:pPr>
    </w:lvl>
    <w:lvl w:ilvl="2" w:tplc="A2B460A8">
      <w:start w:val="1"/>
      <w:numFmt w:val="lowerRoman"/>
      <w:lvlText w:val="%3."/>
      <w:lvlJc w:val="right"/>
      <w:pPr>
        <w:ind w:left="2160" w:hanging="180"/>
      </w:pPr>
    </w:lvl>
    <w:lvl w:ilvl="3" w:tplc="A34C3220">
      <w:start w:val="1"/>
      <w:numFmt w:val="decimal"/>
      <w:lvlText w:val="%4."/>
      <w:lvlJc w:val="left"/>
      <w:pPr>
        <w:ind w:left="2880" w:hanging="360"/>
      </w:pPr>
    </w:lvl>
    <w:lvl w:ilvl="4" w:tplc="53A0930A">
      <w:start w:val="1"/>
      <w:numFmt w:val="lowerLetter"/>
      <w:lvlText w:val="%5."/>
      <w:lvlJc w:val="left"/>
      <w:pPr>
        <w:ind w:left="3600" w:hanging="360"/>
      </w:pPr>
    </w:lvl>
    <w:lvl w:ilvl="5" w:tplc="551099B8">
      <w:start w:val="1"/>
      <w:numFmt w:val="lowerRoman"/>
      <w:lvlText w:val="%6."/>
      <w:lvlJc w:val="right"/>
      <w:pPr>
        <w:ind w:left="4320" w:hanging="180"/>
      </w:pPr>
    </w:lvl>
    <w:lvl w:ilvl="6" w:tplc="CA62B54E">
      <w:start w:val="1"/>
      <w:numFmt w:val="decimal"/>
      <w:lvlText w:val="%7."/>
      <w:lvlJc w:val="left"/>
      <w:pPr>
        <w:ind w:left="5040" w:hanging="360"/>
      </w:pPr>
    </w:lvl>
    <w:lvl w:ilvl="7" w:tplc="F0DE2EE8">
      <w:start w:val="1"/>
      <w:numFmt w:val="lowerLetter"/>
      <w:lvlText w:val="%8."/>
      <w:lvlJc w:val="left"/>
      <w:pPr>
        <w:ind w:left="5760" w:hanging="360"/>
      </w:pPr>
    </w:lvl>
    <w:lvl w:ilvl="8" w:tplc="CDE8E762">
      <w:start w:val="1"/>
      <w:numFmt w:val="lowerRoman"/>
      <w:lvlText w:val="%9."/>
      <w:lvlJc w:val="right"/>
      <w:pPr>
        <w:ind w:left="6480" w:hanging="180"/>
      </w:pPr>
    </w:lvl>
  </w:abstractNum>
  <w:abstractNum w:abstractNumId="27" w15:restartNumberingAfterBreak="0">
    <w:nsid w:val="3F4613C2"/>
    <w:multiLevelType w:val="hybridMultilevel"/>
    <w:tmpl w:val="46DC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C0353F"/>
    <w:multiLevelType w:val="hybridMultilevel"/>
    <w:tmpl w:val="BAB6493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766635C"/>
    <w:multiLevelType w:val="multilevel"/>
    <w:tmpl w:val="0E901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093333"/>
    <w:multiLevelType w:val="multilevel"/>
    <w:tmpl w:val="D05E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A7AA4"/>
    <w:multiLevelType w:val="multilevel"/>
    <w:tmpl w:val="61D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B26AF3"/>
    <w:multiLevelType w:val="hybridMultilevel"/>
    <w:tmpl w:val="2002392E"/>
    <w:lvl w:ilvl="0" w:tplc="FC2E005A">
      <w:start w:val="1"/>
      <w:numFmt w:val="upperRoman"/>
      <w:lvlText w:val="%1."/>
      <w:lvlJc w:val="left"/>
      <w:pPr>
        <w:ind w:left="720" w:hanging="360"/>
      </w:pPr>
    </w:lvl>
    <w:lvl w:ilvl="1" w:tplc="D31A3F80">
      <w:start w:val="1"/>
      <w:numFmt w:val="lowerLetter"/>
      <w:lvlText w:val="%2."/>
      <w:lvlJc w:val="left"/>
      <w:pPr>
        <w:ind w:left="1440" w:hanging="360"/>
      </w:pPr>
    </w:lvl>
    <w:lvl w:ilvl="2" w:tplc="5F7C82E6">
      <w:start w:val="1"/>
      <w:numFmt w:val="lowerRoman"/>
      <w:lvlText w:val="%3."/>
      <w:lvlJc w:val="right"/>
      <w:pPr>
        <w:ind w:left="2160" w:hanging="180"/>
      </w:pPr>
    </w:lvl>
    <w:lvl w:ilvl="3" w:tplc="4C0A6976">
      <w:start w:val="1"/>
      <w:numFmt w:val="decimal"/>
      <w:lvlText w:val="%4."/>
      <w:lvlJc w:val="left"/>
      <w:pPr>
        <w:ind w:left="2880" w:hanging="360"/>
      </w:pPr>
    </w:lvl>
    <w:lvl w:ilvl="4" w:tplc="44AC02A2">
      <w:start w:val="1"/>
      <w:numFmt w:val="lowerLetter"/>
      <w:lvlText w:val="%5."/>
      <w:lvlJc w:val="left"/>
      <w:pPr>
        <w:ind w:left="3600" w:hanging="360"/>
      </w:pPr>
    </w:lvl>
    <w:lvl w:ilvl="5" w:tplc="54BE794E">
      <w:start w:val="1"/>
      <w:numFmt w:val="lowerRoman"/>
      <w:lvlText w:val="%6."/>
      <w:lvlJc w:val="right"/>
      <w:pPr>
        <w:ind w:left="4320" w:hanging="180"/>
      </w:pPr>
    </w:lvl>
    <w:lvl w:ilvl="6" w:tplc="403CB8E4">
      <w:start w:val="1"/>
      <w:numFmt w:val="decimal"/>
      <w:lvlText w:val="%7."/>
      <w:lvlJc w:val="left"/>
      <w:pPr>
        <w:ind w:left="5040" w:hanging="360"/>
      </w:pPr>
    </w:lvl>
    <w:lvl w:ilvl="7" w:tplc="78BEA9E8">
      <w:start w:val="1"/>
      <w:numFmt w:val="lowerLetter"/>
      <w:lvlText w:val="%8."/>
      <w:lvlJc w:val="left"/>
      <w:pPr>
        <w:ind w:left="5760" w:hanging="360"/>
      </w:pPr>
    </w:lvl>
    <w:lvl w:ilvl="8" w:tplc="A918AE2A">
      <w:start w:val="1"/>
      <w:numFmt w:val="lowerRoman"/>
      <w:lvlText w:val="%9."/>
      <w:lvlJc w:val="right"/>
      <w:pPr>
        <w:ind w:left="6480" w:hanging="180"/>
      </w:pPr>
    </w:lvl>
  </w:abstractNum>
  <w:abstractNum w:abstractNumId="33" w15:restartNumberingAfterBreak="0">
    <w:nsid w:val="55C93B07"/>
    <w:multiLevelType w:val="multilevel"/>
    <w:tmpl w:val="85D8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CF0AAD"/>
    <w:multiLevelType w:val="multilevel"/>
    <w:tmpl w:val="6914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42EA2D"/>
    <w:multiLevelType w:val="hybridMultilevel"/>
    <w:tmpl w:val="9B62AAFC"/>
    <w:lvl w:ilvl="0" w:tplc="FF82E57A">
      <w:start w:val="1"/>
      <w:numFmt w:val="upperRoman"/>
      <w:lvlText w:val="%1."/>
      <w:lvlJc w:val="left"/>
      <w:pPr>
        <w:ind w:left="720" w:hanging="360"/>
      </w:pPr>
    </w:lvl>
    <w:lvl w:ilvl="1" w:tplc="3D8688DC">
      <w:start w:val="1"/>
      <w:numFmt w:val="lowerLetter"/>
      <w:lvlText w:val="%2."/>
      <w:lvlJc w:val="left"/>
      <w:pPr>
        <w:ind w:left="1440" w:hanging="360"/>
      </w:pPr>
    </w:lvl>
    <w:lvl w:ilvl="2" w:tplc="E382A5B4">
      <w:start w:val="1"/>
      <w:numFmt w:val="lowerRoman"/>
      <w:lvlText w:val="%3."/>
      <w:lvlJc w:val="right"/>
      <w:pPr>
        <w:ind w:left="2160" w:hanging="180"/>
      </w:pPr>
    </w:lvl>
    <w:lvl w:ilvl="3" w:tplc="933E5B60">
      <w:start w:val="1"/>
      <w:numFmt w:val="decimal"/>
      <w:lvlText w:val="%4."/>
      <w:lvlJc w:val="left"/>
      <w:pPr>
        <w:ind w:left="2880" w:hanging="360"/>
      </w:pPr>
    </w:lvl>
    <w:lvl w:ilvl="4" w:tplc="0EC277D2">
      <w:start w:val="1"/>
      <w:numFmt w:val="lowerLetter"/>
      <w:lvlText w:val="%5."/>
      <w:lvlJc w:val="left"/>
      <w:pPr>
        <w:ind w:left="3600" w:hanging="360"/>
      </w:pPr>
    </w:lvl>
    <w:lvl w:ilvl="5" w:tplc="5100DA0A">
      <w:start w:val="1"/>
      <w:numFmt w:val="lowerRoman"/>
      <w:lvlText w:val="%6."/>
      <w:lvlJc w:val="right"/>
      <w:pPr>
        <w:ind w:left="4320" w:hanging="180"/>
      </w:pPr>
    </w:lvl>
    <w:lvl w:ilvl="6" w:tplc="590C9034">
      <w:start w:val="1"/>
      <w:numFmt w:val="decimal"/>
      <w:lvlText w:val="%7."/>
      <w:lvlJc w:val="left"/>
      <w:pPr>
        <w:ind w:left="5040" w:hanging="360"/>
      </w:pPr>
    </w:lvl>
    <w:lvl w:ilvl="7" w:tplc="C41ACBC6">
      <w:start w:val="1"/>
      <w:numFmt w:val="lowerLetter"/>
      <w:lvlText w:val="%8."/>
      <w:lvlJc w:val="left"/>
      <w:pPr>
        <w:ind w:left="5760" w:hanging="360"/>
      </w:pPr>
    </w:lvl>
    <w:lvl w:ilvl="8" w:tplc="F794ADE4">
      <w:start w:val="1"/>
      <w:numFmt w:val="lowerRoman"/>
      <w:lvlText w:val="%9."/>
      <w:lvlJc w:val="right"/>
      <w:pPr>
        <w:ind w:left="6480" w:hanging="180"/>
      </w:pPr>
    </w:lvl>
  </w:abstractNum>
  <w:abstractNum w:abstractNumId="36" w15:restartNumberingAfterBreak="0">
    <w:nsid w:val="63950638"/>
    <w:multiLevelType w:val="hybridMultilevel"/>
    <w:tmpl w:val="6C5C69DC"/>
    <w:lvl w:ilvl="0" w:tplc="742ADE0E">
      <w:start w:val="1"/>
      <w:numFmt w:val="bullet"/>
      <w:lvlText w:val="•"/>
      <w:lvlJc w:val="left"/>
      <w:pPr>
        <w:tabs>
          <w:tab w:val="num" w:pos="720"/>
        </w:tabs>
        <w:ind w:left="720" w:hanging="360"/>
      </w:pPr>
      <w:rPr>
        <w:rFonts w:ascii="Arial" w:hAnsi="Arial" w:hint="default"/>
      </w:rPr>
    </w:lvl>
    <w:lvl w:ilvl="1" w:tplc="44FE356A" w:tentative="1">
      <w:start w:val="1"/>
      <w:numFmt w:val="bullet"/>
      <w:lvlText w:val="•"/>
      <w:lvlJc w:val="left"/>
      <w:pPr>
        <w:tabs>
          <w:tab w:val="num" w:pos="1440"/>
        </w:tabs>
        <w:ind w:left="1440" w:hanging="360"/>
      </w:pPr>
      <w:rPr>
        <w:rFonts w:ascii="Arial" w:hAnsi="Arial" w:hint="default"/>
      </w:rPr>
    </w:lvl>
    <w:lvl w:ilvl="2" w:tplc="75DA92B2" w:tentative="1">
      <w:start w:val="1"/>
      <w:numFmt w:val="bullet"/>
      <w:lvlText w:val="•"/>
      <w:lvlJc w:val="left"/>
      <w:pPr>
        <w:tabs>
          <w:tab w:val="num" w:pos="2160"/>
        </w:tabs>
        <w:ind w:left="2160" w:hanging="360"/>
      </w:pPr>
      <w:rPr>
        <w:rFonts w:ascii="Arial" w:hAnsi="Arial" w:hint="default"/>
      </w:rPr>
    </w:lvl>
    <w:lvl w:ilvl="3" w:tplc="20A0027E" w:tentative="1">
      <w:start w:val="1"/>
      <w:numFmt w:val="bullet"/>
      <w:lvlText w:val="•"/>
      <w:lvlJc w:val="left"/>
      <w:pPr>
        <w:tabs>
          <w:tab w:val="num" w:pos="2880"/>
        </w:tabs>
        <w:ind w:left="2880" w:hanging="360"/>
      </w:pPr>
      <w:rPr>
        <w:rFonts w:ascii="Arial" w:hAnsi="Arial" w:hint="default"/>
      </w:rPr>
    </w:lvl>
    <w:lvl w:ilvl="4" w:tplc="07967CDA" w:tentative="1">
      <w:start w:val="1"/>
      <w:numFmt w:val="bullet"/>
      <w:lvlText w:val="•"/>
      <w:lvlJc w:val="left"/>
      <w:pPr>
        <w:tabs>
          <w:tab w:val="num" w:pos="3600"/>
        </w:tabs>
        <w:ind w:left="3600" w:hanging="360"/>
      </w:pPr>
      <w:rPr>
        <w:rFonts w:ascii="Arial" w:hAnsi="Arial" w:hint="default"/>
      </w:rPr>
    </w:lvl>
    <w:lvl w:ilvl="5" w:tplc="3E00FD90" w:tentative="1">
      <w:start w:val="1"/>
      <w:numFmt w:val="bullet"/>
      <w:lvlText w:val="•"/>
      <w:lvlJc w:val="left"/>
      <w:pPr>
        <w:tabs>
          <w:tab w:val="num" w:pos="4320"/>
        </w:tabs>
        <w:ind w:left="4320" w:hanging="360"/>
      </w:pPr>
      <w:rPr>
        <w:rFonts w:ascii="Arial" w:hAnsi="Arial" w:hint="default"/>
      </w:rPr>
    </w:lvl>
    <w:lvl w:ilvl="6" w:tplc="2F6CC1DC" w:tentative="1">
      <w:start w:val="1"/>
      <w:numFmt w:val="bullet"/>
      <w:lvlText w:val="•"/>
      <w:lvlJc w:val="left"/>
      <w:pPr>
        <w:tabs>
          <w:tab w:val="num" w:pos="5040"/>
        </w:tabs>
        <w:ind w:left="5040" w:hanging="360"/>
      </w:pPr>
      <w:rPr>
        <w:rFonts w:ascii="Arial" w:hAnsi="Arial" w:hint="default"/>
      </w:rPr>
    </w:lvl>
    <w:lvl w:ilvl="7" w:tplc="A030EF7C" w:tentative="1">
      <w:start w:val="1"/>
      <w:numFmt w:val="bullet"/>
      <w:lvlText w:val="•"/>
      <w:lvlJc w:val="left"/>
      <w:pPr>
        <w:tabs>
          <w:tab w:val="num" w:pos="5760"/>
        </w:tabs>
        <w:ind w:left="5760" w:hanging="360"/>
      </w:pPr>
      <w:rPr>
        <w:rFonts w:ascii="Arial" w:hAnsi="Arial" w:hint="default"/>
      </w:rPr>
    </w:lvl>
    <w:lvl w:ilvl="8" w:tplc="2A1E37F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473BBA"/>
    <w:multiLevelType w:val="multilevel"/>
    <w:tmpl w:val="3716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E4716B"/>
    <w:multiLevelType w:val="multilevel"/>
    <w:tmpl w:val="B0E0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57B82E"/>
    <w:multiLevelType w:val="hybridMultilevel"/>
    <w:tmpl w:val="792E37E8"/>
    <w:lvl w:ilvl="0" w:tplc="25964F46">
      <w:start w:val="1"/>
      <w:numFmt w:val="bullet"/>
      <w:lvlText w:val=""/>
      <w:lvlJc w:val="left"/>
      <w:pPr>
        <w:ind w:left="720" w:hanging="360"/>
      </w:pPr>
      <w:rPr>
        <w:rFonts w:ascii="Symbol" w:hAnsi="Symbol" w:hint="default"/>
      </w:rPr>
    </w:lvl>
    <w:lvl w:ilvl="1" w:tplc="C2222AD8">
      <w:start w:val="1"/>
      <w:numFmt w:val="bullet"/>
      <w:lvlText w:val="o"/>
      <w:lvlJc w:val="left"/>
      <w:pPr>
        <w:ind w:left="1440" w:hanging="360"/>
      </w:pPr>
      <w:rPr>
        <w:rFonts w:ascii="Courier New" w:hAnsi="Courier New" w:hint="default"/>
      </w:rPr>
    </w:lvl>
    <w:lvl w:ilvl="2" w:tplc="181E862E">
      <w:start w:val="1"/>
      <w:numFmt w:val="bullet"/>
      <w:lvlText w:val=""/>
      <w:lvlJc w:val="left"/>
      <w:pPr>
        <w:ind w:left="2160" w:hanging="360"/>
      </w:pPr>
      <w:rPr>
        <w:rFonts w:ascii="Wingdings" w:hAnsi="Wingdings" w:hint="default"/>
      </w:rPr>
    </w:lvl>
    <w:lvl w:ilvl="3" w:tplc="37B8DF90">
      <w:start w:val="1"/>
      <w:numFmt w:val="bullet"/>
      <w:lvlText w:val=""/>
      <w:lvlJc w:val="left"/>
      <w:pPr>
        <w:ind w:left="2880" w:hanging="360"/>
      </w:pPr>
      <w:rPr>
        <w:rFonts w:ascii="Symbol" w:hAnsi="Symbol" w:hint="default"/>
      </w:rPr>
    </w:lvl>
    <w:lvl w:ilvl="4" w:tplc="1B0E38DE">
      <w:start w:val="1"/>
      <w:numFmt w:val="bullet"/>
      <w:lvlText w:val="o"/>
      <w:lvlJc w:val="left"/>
      <w:pPr>
        <w:ind w:left="3600" w:hanging="360"/>
      </w:pPr>
      <w:rPr>
        <w:rFonts w:ascii="Courier New" w:hAnsi="Courier New" w:hint="default"/>
      </w:rPr>
    </w:lvl>
    <w:lvl w:ilvl="5" w:tplc="24F2D9F0">
      <w:start w:val="1"/>
      <w:numFmt w:val="bullet"/>
      <w:lvlText w:val=""/>
      <w:lvlJc w:val="left"/>
      <w:pPr>
        <w:ind w:left="4320" w:hanging="360"/>
      </w:pPr>
      <w:rPr>
        <w:rFonts w:ascii="Wingdings" w:hAnsi="Wingdings" w:hint="default"/>
      </w:rPr>
    </w:lvl>
    <w:lvl w:ilvl="6" w:tplc="8EEA4E68">
      <w:start w:val="1"/>
      <w:numFmt w:val="bullet"/>
      <w:lvlText w:val=""/>
      <w:lvlJc w:val="left"/>
      <w:pPr>
        <w:ind w:left="5040" w:hanging="360"/>
      </w:pPr>
      <w:rPr>
        <w:rFonts w:ascii="Symbol" w:hAnsi="Symbol" w:hint="default"/>
      </w:rPr>
    </w:lvl>
    <w:lvl w:ilvl="7" w:tplc="706652A2">
      <w:start w:val="1"/>
      <w:numFmt w:val="bullet"/>
      <w:lvlText w:val="o"/>
      <w:lvlJc w:val="left"/>
      <w:pPr>
        <w:ind w:left="5760" w:hanging="360"/>
      </w:pPr>
      <w:rPr>
        <w:rFonts w:ascii="Courier New" w:hAnsi="Courier New" w:hint="default"/>
      </w:rPr>
    </w:lvl>
    <w:lvl w:ilvl="8" w:tplc="A1FE3BD4">
      <w:start w:val="1"/>
      <w:numFmt w:val="bullet"/>
      <w:lvlText w:val=""/>
      <w:lvlJc w:val="left"/>
      <w:pPr>
        <w:ind w:left="6480" w:hanging="360"/>
      </w:pPr>
      <w:rPr>
        <w:rFonts w:ascii="Wingdings" w:hAnsi="Wingdings" w:hint="default"/>
      </w:rPr>
    </w:lvl>
  </w:abstractNum>
  <w:abstractNum w:abstractNumId="40" w15:restartNumberingAfterBreak="0">
    <w:nsid w:val="70C75B59"/>
    <w:multiLevelType w:val="multilevel"/>
    <w:tmpl w:val="3D622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E822F0"/>
    <w:multiLevelType w:val="hybridMultilevel"/>
    <w:tmpl w:val="25CC8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233EC"/>
    <w:multiLevelType w:val="hybridMultilevel"/>
    <w:tmpl w:val="6A1C33BE"/>
    <w:lvl w:ilvl="0" w:tplc="90B643E0">
      <w:start w:val="1"/>
      <w:numFmt w:val="bullet"/>
      <w:lvlText w:val=""/>
      <w:lvlJc w:val="left"/>
      <w:pPr>
        <w:ind w:left="1800" w:hanging="360"/>
      </w:pPr>
      <w:rPr>
        <w:rFonts w:ascii="Symbol" w:hAnsi="Symbol" w:hint="default"/>
      </w:rPr>
    </w:lvl>
    <w:lvl w:ilvl="1" w:tplc="79AAD24A" w:tentative="1">
      <w:start w:val="1"/>
      <w:numFmt w:val="bullet"/>
      <w:lvlText w:val="o"/>
      <w:lvlJc w:val="left"/>
      <w:pPr>
        <w:ind w:left="2520" w:hanging="360"/>
      </w:pPr>
      <w:rPr>
        <w:rFonts w:ascii="Courier New" w:hAnsi="Courier New" w:hint="default"/>
      </w:rPr>
    </w:lvl>
    <w:lvl w:ilvl="2" w:tplc="F8ACA49E" w:tentative="1">
      <w:start w:val="1"/>
      <w:numFmt w:val="bullet"/>
      <w:lvlText w:val=""/>
      <w:lvlJc w:val="left"/>
      <w:pPr>
        <w:ind w:left="3240" w:hanging="360"/>
      </w:pPr>
      <w:rPr>
        <w:rFonts w:ascii="Wingdings" w:hAnsi="Wingdings" w:hint="default"/>
      </w:rPr>
    </w:lvl>
    <w:lvl w:ilvl="3" w:tplc="B3208AE6" w:tentative="1">
      <w:start w:val="1"/>
      <w:numFmt w:val="bullet"/>
      <w:lvlText w:val=""/>
      <w:lvlJc w:val="left"/>
      <w:pPr>
        <w:ind w:left="3960" w:hanging="360"/>
      </w:pPr>
      <w:rPr>
        <w:rFonts w:ascii="Symbol" w:hAnsi="Symbol" w:hint="default"/>
      </w:rPr>
    </w:lvl>
    <w:lvl w:ilvl="4" w:tplc="13CE090C" w:tentative="1">
      <w:start w:val="1"/>
      <w:numFmt w:val="bullet"/>
      <w:lvlText w:val="o"/>
      <w:lvlJc w:val="left"/>
      <w:pPr>
        <w:ind w:left="4680" w:hanging="360"/>
      </w:pPr>
      <w:rPr>
        <w:rFonts w:ascii="Courier New" w:hAnsi="Courier New" w:hint="default"/>
      </w:rPr>
    </w:lvl>
    <w:lvl w:ilvl="5" w:tplc="57A236F0" w:tentative="1">
      <w:start w:val="1"/>
      <w:numFmt w:val="bullet"/>
      <w:lvlText w:val=""/>
      <w:lvlJc w:val="left"/>
      <w:pPr>
        <w:ind w:left="5400" w:hanging="360"/>
      </w:pPr>
      <w:rPr>
        <w:rFonts w:ascii="Wingdings" w:hAnsi="Wingdings" w:hint="default"/>
      </w:rPr>
    </w:lvl>
    <w:lvl w:ilvl="6" w:tplc="F9BC4276" w:tentative="1">
      <w:start w:val="1"/>
      <w:numFmt w:val="bullet"/>
      <w:lvlText w:val=""/>
      <w:lvlJc w:val="left"/>
      <w:pPr>
        <w:ind w:left="6120" w:hanging="360"/>
      </w:pPr>
      <w:rPr>
        <w:rFonts w:ascii="Symbol" w:hAnsi="Symbol" w:hint="default"/>
      </w:rPr>
    </w:lvl>
    <w:lvl w:ilvl="7" w:tplc="FE967BD4" w:tentative="1">
      <w:start w:val="1"/>
      <w:numFmt w:val="bullet"/>
      <w:lvlText w:val="o"/>
      <w:lvlJc w:val="left"/>
      <w:pPr>
        <w:ind w:left="6840" w:hanging="360"/>
      </w:pPr>
      <w:rPr>
        <w:rFonts w:ascii="Courier New" w:hAnsi="Courier New" w:hint="default"/>
      </w:rPr>
    </w:lvl>
    <w:lvl w:ilvl="8" w:tplc="D1704A20" w:tentative="1">
      <w:start w:val="1"/>
      <w:numFmt w:val="bullet"/>
      <w:lvlText w:val=""/>
      <w:lvlJc w:val="left"/>
      <w:pPr>
        <w:ind w:left="7560" w:hanging="360"/>
      </w:pPr>
      <w:rPr>
        <w:rFonts w:ascii="Wingdings" w:hAnsi="Wingdings" w:hint="default"/>
      </w:rPr>
    </w:lvl>
  </w:abstractNum>
  <w:abstractNum w:abstractNumId="43" w15:restartNumberingAfterBreak="0">
    <w:nsid w:val="734865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7CD62C8"/>
    <w:multiLevelType w:val="hybridMultilevel"/>
    <w:tmpl w:val="920C7CA0"/>
    <w:lvl w:ilvl="0" w:tplc="7E40FDD0">
      <w:start w:val="1"/>
      <w:numFmt w:val="upperRoman"/>
      <w:lvlText w:val="%1."/>
      <w:lvlJc w:val="right"/>
      <w:pPr>
        <w:ind w:left="360" w:hanging="360"/>
      </w:pPr>
    </w:lvl>
    <w:lvl w:ilvl="1" w:tplc="B0CE68D0">
      <w:start w:val="1"/>
      <w:numFmt w:val="lowerLetter"/>
      <w:lvlText w:val="%2."/>
      <w:lvlJc w:val="left"/>
      <w:pPr>
        <w:ind w:left="1080" w:hanging="360"/>
      </w:pPr>
    </w:lvl>
    <w:lvl w:ilvl="2" w:tplc="72D245E2">
      <w:start w:val="1"/>
      <w:numFmt w:val="lowerRoman"/>
      <w:lvlText w:val="%3."/>
      <w:lvlJc w:val="right"/>
      <w:pPr>
        <w:ind w:left="1800" w:hanging="180"/>
      </w:pPr>
    </w:lvl>
    <w:lvl w:ilvl="3" w:tplc="5E4C27DE">
      <w:start w:val="1"/>
      <w:numFmt w:val="decimal"/>
      <w:lvlText w:val="%4."/>
      <w:lvlJc w:val="left"/>
      <w:pPr>
        <w:ind w:left="2520" w:hanging="360"/>
      </w:pPr>
    </w:lvl>
    <w:lvl w:ilvl="4" w:tplc="E4BA5AF2">
      <w:start w:val="1"/>
      <w:numFmt w:val="lowerLetter"/>
      <w:lvlText w:val="%5."/>
      <w:lvlJc w:val="left"/>
      <w:pPr>
        <w:ind w:left="3240" w:hanging="360"/>
      </w:pPr>
    </w:lvl>
    <w:lvl w:ilvl="5" w:tplc="610EE94E">
      <w:start w:val="1"/>
      <w:numFmt w:val="lowerRoman"/>
      <w:lvlText w:val="%6."/>
      <w:lvlJc w:val="right"/>
      <w:pPr>
        <w:ind w:left="3960" w:hanging="180"/>
      </w:pPr>
    </w:lvl>
    <w:lvl w:ilvl="6" w:tplc="EA3EF328">
      <w:start w:val="1"/>
      <w:numFmt w:val="decimal"/>
      <w:lvlText w:val="%7."/>
      <w:lvlJc w:val="left"/>
      <w:pPr>
        <w:ind w:left="4680" w:hanging="360"/>
      </w:pPr>
    </w:lvl>
    <w:lvl w:ilvl="7" w:tplc="E5605010">
      <w:start w:val="1"/>
      <w:numFmt w:val="lowerLetter"/>
      <w:lvlText w:val="%8."/>
      <w:lvlJc w:val="left"/>
      <w:pPr>
        <w:ind w:left="5400" w:hanging="360"/>
      </w:pPr>
    </w:lvl>
    <w:lvl w:ilvl="8" w:tplc="D248A990">
      <w:start w:val="1"/>
      <w:numFmt w:val="lowerRoman"/>
      <w:lvlText w:val="%9."/>
      <w:lvlJc w:val="right"/>
      <w:pPr>
        <w:ind w:left="6120" w:hanging="180"/>
      </w:pPr>
    </w:lvl>
  </w:abstractNum>
  <w:abstractNum w:abstractNumId="45" w15:restartNumberingAfterBreak="0">
    <w:nsid w:val="781A598C"/>
    <w:multiLevelType w:val="multilevel"/>
    <w:tmpl w:val="1542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304AE2"/>
    <w:multiLevelType w:val="hybridMultilevel"/>
    <w:tmpl w:val="C3B69C84"/>
    <w:lvl w:ilvl="0" w:tplc="E3408A66">
      <w:start w:val="1"/>
      <w:numFmt w:val="upperRoman"/>
      <w:lvlText w:val="%1."/>
      <w:lvlJc w:val="left"/>
      <w:pPr>
        <w:ind w:left="720" w:hanging="360"/>
      </w:pPr>
    </w:lvl>
    <w:lvl w:ilvl="1" w:tplc="EFD09056">
      <w:start w:val="1"/>
      <w:numFmt w:val="lowerLetter"/>
      <w:lvlText w:val="%2."/>
      <w:lvlJc w:val="left"/>
      <w:pPr>
        <w:ind w:left="1440" w:hanging="360"/>
      </w:pPr>
    </w:lvl>
    <w:lvl w:ilvl="2" w:tplc="A1547B7A">
      <w:start w:val="1"/>
      <w:numFmt w:val="lowerRoman"/>
      <w:lvlText w:val="%3."/>
      <w:lvlJc w:val="right"/>
      <w:pPr>
        <w:ind w:left="2160" w:hanging="180"/>
      </w:pPr>
    </w:lvl>
    <w:lvl w:ilvl="3" w:tplc="7ACEC29A">
      <w:start w:val="1"/>
      <w:numFmt w:val="decimal"/>
      <w:lvlText w:val="%4."/>
      <w:lvlJc w:val="left"/>
      <w:pPr>
        <w:ind w:left="2880" w:hanging="360"/>
      </w:pPr>
    </w:lvl>
    <w:lvl w:ilvl="4" w:tplc="2918E2BE">
      <w:start w:val="1"/>
      <w:numFmt w:val="lowerLetter"/>
      <w:lvlText w:val="%5."/>
      <w:lvlJc w:val="left"/>
      <w:pPr>
        <w:ind w:left="3600" w:hanging="360"/>
      </w:pPr>
    </w:lvl>
    <w:lvl w:ilvl="5" w:tplc="1870E6CA">
      <w:start w:val="1"/>
      <w:numFmt w:val="lowerRoman"/>
      <w:lvlText w:val="%6."/>
      <w:lvlJc w:val="right"/>
      <w:pPr>
        <w:ind w:left="4320" w:hanging="180"/>
      </w:pPr>
    </w:lvl>
    <w:lvl w:ilvl="6" w:tplc="7AEE95F2">
      <w:start w:val="1"/>
      <w:numFmt w:val="decimal"/>
      <w:lvlText w:val="%7."/>
      <w:lvlJc w:val="left"/>
      <w:pPr>
        <w:ind w:left="5040" w:hanging="360"/>
      </w:pPr>
    </w:lvl>
    <w:lvl w:ilvl="7" w:tplc="13C61682">
      <w:start w:val="1"/>
      <w:numFmt w:val="lowerLetter"/>
      <w:lvlText w:val="%8."/>
      <w:lvlJc w:val="left"/>
      <w:pPr>
        <w:ind w:left="5760" w:hanging="360"/>
      </w:pPr>
    </w:lvl>
    <w:lvl w:ilvl="8" w:tplc="C5365F36">
      <w:start w:val="1"/>
      <w:numFmt w:val="lowerRoman"/>
      <w:lvlText w:val="%9."/>
      <w:lvlJc w:val="right"/>
      <w:pPr>
        <w:ind w:left="6480" w:hanging="180"/>
      </w:pPr>
    </w:lvl>
  </w:abstractNum>
  <w:num w:numId="1" w16cid:durableId="192574107">
    <w:abstractNumId w:val="4"/>
  </w:num>
  <w:num w:numId="2" w16cid:durableId="1928267767">
    <w:abstractNumId w:val="13"/>
  </w:num>
  <w:num w:numId="3" w16cid:durableId="1291715674">
    <w:abstractNumId w:val="32"/>
  </w:num>
  <w:num w:numId="4" w16cid:durableId="354968672">
    <w:abstractNumId w:val="44"/>
  </w:num>
  <w:num w:numId="5" w16cid:durableId="2056463316">
    <w:abstractNumId w:val="35"/>
  </w:num>
  <w:num w:numId="6" w16cid:durableId="885143830">
    <w:abstractNumId w:val="46"/>
  </w:num>
  <w:num w:numId="7" w16cid:durableId="1141458532">
    <w:abstractNumId w:val="5"/>
  </w:num>
  <w:num w:numId="8" w16cid:durableId="585724121">
    <w:abstractNumId w:val="26"/>
  </w:num>
  <w:num w:numId="9" w16cid:durableId="39979333">
    <w:abstractNumId w:val="21"/>
  </w:num>
  <w:num w:numId="10" w16cid:durableId="1238707644">
    <w:abstractNumId w:val="14"/>
  </w:num>
  <w:num w:numId="11" w16cid:durableId="1051536759">
    <w:abstractNumId w:val="8"/>
  </w:num>
  <w:num w:numId="12" w16cid:durableId="1753891727">
    <w:abstractNumId w:val="18"/>
  </w:num>
  <w:num w:numId="13" w16cid:durableId="62871776">
    <w:abstractNumId w:val="41"/>
  </w:num>
  <w:num w:numId="14" w16cid:durableId="1541014333">
    <w:abstractNumId w:val="7"/>
  </w:num>
  <w:num w:numId="15" w16cid:durableId="452134220">
    <w:abstractNumId w:val="28"/>
  </w:num>
  <w:num w:numId="16" w16cid:durableId="460535042">
    <w:abstractNumId w:val="27"/>
  </w:num>
  <w:num w:numId="17" w16cid:durableId="642320588">
    <w:abstractNumId w:val="3"/>
  </w:num>
  <w:num w:numId="18" w16cid:durableId="1694183571">
    <w:abstractNumId w:val="9"/>
  </w:num>
  <w:num w:numId="19" w16cid:durableId="131798262">
    <w:abstractNumId w:val="24"/>
  </w:num>
  <w:num w:numId="20" w16cid:durableId="1566070087">
    <w:abstractNumId w:val="20"/>
  </w:num>
  <w:num w:numId="21" w16cid:durableId="1359355241">
    <w:abstractNumId w:val="33"/>
  </w:num>
  <w:num w:numId="22" w16cid:durableId="780414202">
    <w:abstractNumId w:val="0"/>
  </w:num>
  <w:num w:numId="23" w16cid:durableId="1612518651">
    <w:abstractNumId w:val="17"/>
  </w:num>
  <w:num w:numId="24" w16cid:durableId="918757887">
    <w:abstractNumId w:val="39"/>
  </w:num>
  <w:num w:numId="25" w16cid:durableId="887760745">
    <w:abstractNumId w:val="45"/>
  </w:num>
  <w:num w:numId="26" w16cid:durableId="1275601220">
    <w:abstractNumId w:val="6"/>
  </w:num>
  <w:num w:numId="27" w16cid:durableId="667681323">
    <w:abstractNumId w:val="40"/>
  </w:num>
  <w:num w:numId="28" w16cid:durableId="391781501">
    <w:abstractNumId w:val="34"/>
  </w:num>
  <w:num w:numId="29" w16cid:durableId="2012370931">
    <w:abstractNumId w:val="15"/>
  </w:num>
  <w:num w:numId="30" w16cid:durableId="229116482">
    <w:abstractNumId w:val="31"/>
  </w:num>
  <w:num w:numId="31" w16cid:durableId="117064880">
    <w:abstractNumId w:val="19"/>
  </w:num>
  <w:num w:numId="32" w16cid:durableId="529995329">
    <w:abstractNumId w:val="29"/>
  </w:num>
  <w:num w:numId="33" w16cid:durableId="864825767">
    <w:abstractNumId w:val="37"/>
  </w:num>
  <w:num w:numId="34" w16cid:durableId="32310391">
    <w:abstractNumId w:val="10"/>
  </w:num>
  <w:num w:numId="35" w16cid:durableId="45569445">
    <w:abstractNumId w:val="1"/>
  </w:num>
  <w:num w:numId="36" w16cid:durableId="1940485566">
    <w:abstractNumId w:val="38"/>
  </w:num>
  <w:num w:numId="37" w16cid:durableId="651562139">
    <w:abstractNumId w:val="23"/>
  </w:num>
  <w:num w:numId="38" w16cid:durableId="1903439822">
    <w:abstractNumId w:val="30"/>
  </w:num>
  <w:num w:numId="39" w16cid:durableId="421070868">
    <w:abstractNumId w:val="2"/>
  </w:num>
  <w:num w:numId="40" w16cid:durableId="559172435">
    <w:abstractNumId w:val="43"/>
  </w:num>
  <w:num w:numId="41" w16cid:durableId="2088963943">
    <w:abstractNumId w:val="16"/>
  </w:num>
  <w:num w:numId="42" w16cid:durableId="701788537">
    <w:abstractNumId w:val="25"/>
  </w:num>
  <w:num w:numId="43" w16cid:durableId="1062020033">
    <w:abstractNumId w:val="22"/>
  </w:num>
  <w:num w:numId="44" w16cid:durableId="283536680">
    <w:abstractNumId w:val="42"/>
  </w:num>
  <w:num w:numId="45" w16cid:durableId="720861259">
    <w:abstractNumId w:val="36"/>
  </w:num>
  <w:num w:numId="46" w16cid:durableId="289824572">
    <w:abstractNumId w:val="12"/>
  </w:num>
  <w:num w:numId="47" w16cid:durableId="18292448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C763A6"/>
    <w:rsid w:val="00001356"/>
    <w:rsid w:val="000066B3"/>
    <w:rsid w:val="00010554"/>
    <w:rsid w:val="0001073A"/>
    <w:rsid w:val="00011552"/>
    <w:rsid w:val="0001449D"/>
    <w:rsid w:val="000167C6"/>
    <w:rsid w:val="00024E3E"/>
    <w:rsid w:val="00031B88"/>
    <w:rsid w:val="000321DB"/>
    <w:rsid w:val="00032B6C"/>
    <w:rsid w:val="00037446"/>
    <w:rsid w:val="00037863"/>
    <w:rsid w:val="0003795E"/>
    <w:rsid w:val="00037D34"/>
    <w:rsid w:val="0004150A"/>
    <w:rsid w:val="00041760"/>
    <w:rsid w:val="00047806"/>
    <w:rsid w:val="0005125D"/>
    <w:rsid w:val="000524AE"/>
    <w:rsid w:val="0005382A"/>
    <w:rsid w:val="000552B0"/>
    <w:rsid w:val="00062515"/>
    <w:rsid w:val="00064FE1"/>
    <w:rsid w:val="000653CB"/>
    <w:rsid w:val="0006687D"/>
    <w:rsid w:val="00072B18"/>
    <w:rsid w:val="00074C27"/>
    <w:rsid w:val="000814CB"/>
    <w:rsid w:val="0008314A"/>
    <w:rsid w:val="000957B7"/>
    <w:rsid w:val="000967C7"/>
    <w:rsid w:val="000A2AE6"/>
    <w:rsid w:val="000A3614"/>
    <w:rsid w:val="000A3A06"/>
    <w:rsid w:val="000B2B00"/>
    <w:rsid w:val="000B46D0"/>
    <w:rsid w:val="000B6462"/>
    <w:rsid w:val="000C0DFB"/>
    <w:rsid w:val="000C108F"/>
    <w:rsid w:val="000C2454"/>
    <w:rsid w:val="000C29D9"/>
    <w:rsid w:val="000C3812"/>
    <w:rsid w:val="000C5616"/>
    <w:rsid w:val="000C6822"/>
    <w:rsid w:val="000C75C4"/>
    <w:rsid w:val="000D0E37"/>
    <w:rsid w:val="000D38B7"/>
    <w:rsid w:val="000D5D9D"/>
    <w:rsid w:val="000D6DE2"/>
    <w:rsid w:val="000D7987"/>
    <w:rsid w:val="000E1644"/>
    <w:rsid w:val="000E4E2F"/>
    <w:rsid w:val="000E53BA"/>
    <w:rsid w:val="000E5722"/>
    <w:rsid w:val="000E5A89"/>
    <w:rsid w:val="000E7579"/>
    <w:rsid w:val="000F2AFE"/>
    <w:rsid w:val="000F3AE4"/>
    <w:rsid w:val="000F6338"/>
    <w:rsid w:val="000F77ED"/>
    <w:rsid w:val="00102A0D"/>
    <w:rsid w:val="00102A8B"/>
    <w:rsid w:val="00103474"/>
    <w:rsid w:val="0010442F"/>
    <w:rsid w:val="00104968"/>
    <w:rsid w:val="00105F43"/>
    <w:rsid w:val="001067BA"/>
    <w:rsid w:val="0010756B"/>
    <w:rsid w:val="0010796E"/>
    <w:rsid w:val="00113730"/>
    <w:rsid w:val="00115540"/>
    <w:rsid w:val="0011746A"/>
    <w:rsid w:val="00122F7D"/>
    <w:rsid w:val="00124A34"/>
    <w:rsid w:val="00124DBC"/>
    <w:rsid w:val="00126018"/>
    <w:rsid w:val="001301FD"/>
    <w:rsid w:val="001303DD"/>
    <w:rsid w:val="00131C11"/>
    <w:rsid w:val="001344C4"/>
    <w:rsid w:val="00134722"/>
    <w:rsid w:val="00135506"/>
    <w:rsid w:val="001356B1"/>
    <w:rsid w:val="00135D20"/>
    <w:rsid w:val="0014460B"/>
    <w:rsid w:val="00146694"/>
    <w:rsid w:val="00151BDB"/>
    <w:rsid w:val="001552D1"/>
    <w:rsid w:val="00162C34"/>
    <w:rsid w:val="0016305F"/>
    <w:rsid w:val="00163D6C"/>
    <w:rsid w:val="00165904"/>
    <w:rsid w:val="00165DDB"/>
    <w:rsid w:val="00170522"/>
    <w:rsid w:val="0017108B"/>
    <w:rsid w:val="00174021"/>
    <w:rsid w:val="00176DA5"/>
    <w:rsid w:val="00176EEE"/>
    <w:rsid w:val="00177410"/>
    <w:rsid w:val="00180283"/>
    <w:rsid w:val="00183ADF"/>
    <w:rsid w:val="00183CF0"/>
    <w:rsid w:val="0018579E"/>
    <w:rsid w:val="00193645"/>
    <w:rsid w:val="001971B1"/>
    <w:rsid w:val="001A1968"/>
    <w:rsid w:val="001A1E73"/>
    <w:rsid w:val="001A3421"/>
    <w:rsid w:val="001A4564"/>
    <w:rsid w:val="001A4AE8"/>
    <w:rsid w:val="001A4B42"/>
    <w:rsid w:val="001B0065"/>
    <w:rsid w:val="001B21FC"/>
    <w:rsid w:val="001B2E12"/>
    <w:rsid w:val="001B3832"/>
    <w:rsid w:val="001B465B"/>
    <w:rsid w:val="001B4C66"/>
    <w:rsid w:val="001C230F"/>
    <w:rsid w:val="001C2543"/>
    <w:rsid w:val="001C2FB9"/>
    <w:rsid w:val="001C6937"/>
    <w:rsid w:val="001C76AE"/>
    <w:rsid w:val="001D1E7C"/>
    <w:rsid w:val="001D29FC"/>
    <w:rsid w:val="001D5790"/>
    <w:rsid w:val="001E23BC"/>
    <w:rsid w:val="001E31CC"/>
    <w:rsid w:val="001E36DC"/>
    <w:rsid w:val="001E44C0"/>
    <w:rsid w:val="001E7953"/>
    <w:rsid w:val="001F02E8"/>
    <w:rsid w:val="001F3479"/>
    <w:rsid w:val="001F6CBC"/>
    <w:rsid w:val="002002CC"/>
    <w:rsid w:val="00200E7B"/>
    <w:rsid w:val="002036E6"/>
    <w:rsid w:val="00204F6F"/>
    <w:rsid w:val="002109C9"/>
    <w:rsid w:val="0021482E"/>
    <w:rsid w:val="00214E91"/>
    <w:rsid w:val="00217FD5"/>
    <w:rsid w:val="00221640"/>
    <w:rsid w:val="00221923"/>
    <w:rsid w:val="00222229"/>
    <w:rsid w:val="00230D09"/>
    <w:rsid w:val="00233371"/>
    <w:rsid w:val="00233F51"/>
    <w:rsid w:val="0023476E"/>
    <w:rsid w:val="00234A6C"/>
    <w:rsid w:val="00234C1C"/>
    <w:rsid w:val="00234FE4"/>
    <w:rsid w:val="00237552"/>
    <w:rsid w:val="00240A13"/>
    <w:rsid w:val="00244130"/>
    <w:rsid w:val="0024445F"/>
    <w:rsid w:val="00255E38"/>
    <w:rsid w:val="0026076B"/>
    <w:rsid w:val="00260776"/>
    <w:rsid w:val="00262011"/>
    <w:rsid w:val="00271294"/>
    <w:rsid w:val="002744B7"/>
    <w:rsid w:val="002778B5"/>
    <w:rsid w:val="0028197B"/>
    <w:rsid w:val="0028348D"/>
    <w:rsid w:val="002917F4"/>
    <w:rsid w:val="00292370"/>
    <w:rsid w:val="00293904"/>
    <w:rsid w:val="00294162"/>
    <w:rsid w:val="002A19C4"/>
    <w:rsid w:val="002B2A76"/>
    <w:rsid w:val="002B4C1E"/>
    <w:rsid w:val="002B5CA2"/>
    <w:rsid w:val="002B6153"/>
    <w:rsid w:val="002C2FD6"/>
    <w:rsid w:val="002C375F"/>
    <w:rsid w:val="002C4846"/>
    <w:rsid w:val="002C4A02"/>
    <w:rsid w:val="002D111E"/>
    <w:rsid w:val="002D51CD"/>
    <w:rsid w:val="002D5533"/>
    <w:rsid w:val="002E05DC"/>
    <w:rsid w:val="002E4978"/>
    <w:rsid w:val="002E64DF"/>
    <w:rsid w:val="002F0C13"/>
    <w:rsid w:val="002F1DBC"/>
    <w:rsid w:val="002F2A34"/>
    <w:rsid w:val="002F711B"/>
    <w:rsid w:val="00301058"/>
    <w:rsid w:val="00301AE4"/>
    <w:rsid w:val="00301F46"/>
    <w:rsid w:val="003024B8"/>
    <w:rsid w:val="003154CA"/>
    <w:rsid w:val="003157B9"/>
    <w:rsid w:val="00315F64"/>
    <w:rsid w:val="00320868"/>
    <w:rsid w:val="0032118E"/>
    <w:rsid w:val="003217DA"/>
    <w:rsid w:val="00323B01"/>
    <w:rsid w:val="00324505"/>
    <w:rsid w:val="00324755"/>
    <w:rsid w:val="0032495E"/>
    <w:rsid w:val="00330A7D"/>
    <w:rsid w:val="00330BB6"/>
    <w:rsid w:val="003311E6"/>
    <w:rsid w:val="003324F5"/>
    <w:rsid w:val="00334918"/>
    <w:rsid w:val="003402C3"/>
    <w:rsid w:val="00341E8E"/>
    <w:rsid w:val="00342A92"/>
    <w:rsid w:val="003440CA"/>
    <w:rsid w:val="003445BA"/>
    <w:rsid w:val="00344FD2"/>
    <w:rsid w:val="003509A1"/>
    <w:rsid w:val="00352F18"/>
    <w:rsid w:val="00353923"/>
    <w:rsid w:val="00353C34"/>
    <w:rsid w:val="003611A3"/>
    <w:rsid w:val="003710B5"/>
    <w:rsid w:val="00371B7D"/>
    <w:rsid w:val="003728A0"/>
    <w:rsid w:val="003733CB"/>
    <w:rsid w:val="00376C53"/>
    <w:rsid w:val="00380111"/>
    <w:rsid w:val="00380DDA"/>
    <w:rsid w:val="00384299"/>
    <w:rsid w:val="00385173"/>
    <w:rsid w:val="00390107"/>
    <w:rsid w:val="003917BB"/>
    <w:rsid w:val="003924A3"/>
    <w:rsid w:val="00392E5B"/>
    <w:rsid w:val="0039300E"/>
    <w:rsid w:val="0039315C"/>
    <w:rsid w:val="00393D0A"/>
    <w:rsid w:val="003958D8"/>
    <w:rsid w:val="003A3ADB"/>
    <w:rsid w:val="003A4244"/>
    <w:rsid w:val="003A46C6"/>
    <w:rsid w:val="003A737E"/>
    <w:rsid w:val="003B616B"/>
    <w:rsid w:val="003B71E5"/>
    <w:rsid w:val="003C5C89"/>
    <w:rsid w:val="003D13F9"/>
    <w:rsid w:val="003D1DCA"/>
    <w:rsid w:val="003E0704"/>
    <w:rsid w:val="003E0BDF"/>
    <w:rsid w:val="003E0D1A"/>
    <w:rsid w:val="003E1F43"/>
    <w:rsid w:val="003E2103"/>
    <w:rsid w:val="003E47DA"/>
    <w:rsid w:val="003E6F84"/>
    <w:rsid w:val="003F0503"/>
    <w:rsid w:val="003F5FFC"/>
    <w:rsid w:val="003F6CC6"/>
    <w:rsid w:val="0041222B"/>
    <w:rsid w:val="00413576"/>
    <w:rsid w:val="00415FB9"/>
    <w:rsid w:val="00416840"/>
    <w:rsid w:val="004173FC"/>
    <w:rsid w:val="004175D6"/>
    <w:rsid w:val="0041768F"/>
    <w:rsid w:val="00417796"/>
    <w:rsid w:val="00417E6A"/>
    <w:rsid w:val="00420240"/>
    <w:rsid w:val="004345C0"/>
    <w:rsid w:val="004346E2"/>
    <w:rsid w:val="00443D7B"/>
    <w:rsid w:val="00446E27"/>
    <w:rsid w:val="004508D3"/>
    <w:rsid w:val="00450EB2"/>
    <w:rsid w:val="0045296D"/>
    <w:rsid w:val="0045716A"/>
    <w:rsid w:val="00457546"/>
    <w:rsid w:val="00460264"/>
    <w:rsid w:val="0046060A"/>
    <w:rsid w:val="00463495"/>
    <w:rsid w:val="004671C3"/>
    <w:rsid w:val="004673C5"/>
    <w:rsid w:val="004715F2"/>
    <w:rsid w:val="00475219"/>
    <w:rsid w:val="0047732A"/>
    <w:rsid w:val="00481AA9"/>
    <w:rsid w:val="004854AE"/>
    <w:rsid w:val="004900B2"/>
    <w:rsid w:val="00490683"/>
    <w:rsid w:val="00497C2D"/>
    <w:rsid w:val="004A0E94"/>
    <w:rsid w:val="004A108A"/>
    <w:rsid w:val="004A1B63"/>
    <w:rsid w:val="004B13C6"/>
    <w:rsid w:val="004B16A8"/>
    <w:rsid w:val="004B27D6"/>
    <w:rsid w:val="004B3FD3"/>
    <w:rsid w:val="004B4FB9"/>
    <w:rsid w:val="004C4D9D"/>
    <w:rsid w:val="004C5411"/>
    <w:rsid w:val="004C61FE"/>
    <w:rsid w:val="004D161F"/>
    <w:rsid w:val="004D1F8A"/>
    <w:rsid w:val="004D25BE"/>
    <w:rsid w:val="004D2FAC"/>
    <w:rsid w:val="004D42C8"/>
    <w:rsid w:val="004D59F3"/>
    <w:rsid w:val="004D653C"/>
    <w:rsid w:val="004E1A3B"/>
    <w:rsid w:val="004E3432"/>
    <w:rsid w:val="004E49E3"/>
    <w:rsid w:val="004E572E"/>
    <w:rsid w:val="004F0726"/>
    <w:rsid w:val="004F5329"/>
    <w:rsid w:val="004F5F4A"/>
    <w:rsid w:val="005008FB"/>
    <w:rsid w:val="00500D6F"/>
    <w:rsid w:val="00501239"/>
    <w:rsid w:val="00511481"/>
    <w:rsid w:val="005169AD"/>
    <w:rsid w:val="00525AB9"/>
    <w:rsid w:val="00525C60"/>
    <w:rsid w:val="0052602E"/>
    <w:rsid w:val="00527BEC"/>
    <w:rsid w:val="0053126B"/>
    <w:rsid w:val="00532AE1"/>
    <w:rsid w:val="00534186"/>
    <w:rsid w:val="005362F5"/>
    <w:rsid w:val="0053783E"/>
    <w:rsid w:val="0053D00D"/>
    <w:rsid w:val="00543000"/>
    <w:rsid w:val="00544310"/>
    <w:rsid w:val="00546098"/>
    <w:rsid w:val="00546656"/>
    <w:rsid w:val="00553B81"/>
    <w:rsid w:val="00555C19"/>
    <w:rsid w:val="005567AA"/>
    <w:rsid w:val="0055767C"/>
    <w:rsid w:val="00557D0D"/>
    <w:rsid w:val="00560D9D"/>
    <w:rsid w:val="00565FE3"/>
    <w:rsid w:val="005662F6"/>
    <w:rsid w:val="00566FC7"/>
    <w:rsid w:val="00571A9C"/>
    <w:rsid w:val="005726B3"/>
    <w:rsid w:val="0057351A"/>
    <w:rsid w:val="00580925"/>
    <w:rsid w:val="00582113"/>
    <w:rsid w:val="0058239B"/>
    <w:rsid w:val="005827BD"/>
    <w:rsid w:val="00582D0E"/>
    <w:rsid w:val="00583004"/>
    <w:rsid w:val="005831E1"/>
    <w:rsid w:val="005838C3"/>
    <w:rsid w:val="005916B8"/>
    <w:rsid w:val="00591A21"/>
    <w:rsid w:val="00595C9C"/>
    <w:rsid w:val="005A0DF9"/>
    <w:rsid w:val="005A52E4"/>
    <w:rsid w:val="005A532F"/>
    <w:rsid w:val="005A6005"/>
    <w:rsid w:val="005B1631"/>
    <w:rsid w:val="005B19C7"/>
    <w:rsid w:val="005B2439"/>
    <w:rsid w:val="005B65AF"/>
    <w:rsid w:val="005B6D9B"/>
    <w:rsid w:val="005B7165"/>
    <w:rsid w:val="005B7223"/>
    <w:rsid w:val="005B74EE"/>
    <w:rsid w:val="005C129A"/>
    <w:rsid w:val="005C12D8"/>
    <w:rsid w:val="005C398B"/>
    <w:rsid w:val="005C6A1D"/>
    <w:rsid w:val="005D043A"/>
    <w:rsid w:val="005D0736"/>
    <w:rsid w:val="005D2F88"/>
    <w:rsid w:val="005D51A1"/>
    <w:rsid w:val="005D61CD"/>
    <w:rsid w:val="005D6A42"/>
    <w:rsid w:val="005E6B7B"/>
    <w:rsid w:val="005E7B98"/>
    <w:rsid w:val="005F24BB"/>
    <w:rsid w:val="005F4A8E"/>
    <w:rsid w:val="005F54E0"/>
    <w:rsid w:val="005F574C"/>
    <w:rsid w:val="00600C69"/>
    <w:rsid w:val="00601A2B"/>
    <w:rsid w:val="00603E7D"/>
    <w:rsid w:val="00611CD0"/>
    <w:rsid w:val="00612639"/>
    <w:rsid w:val="00616FAD"/>
    <w:rsid w:val="00620BDE"/>
    <w:rsid w:val="006222E8"/>
    <w:rsid w:val="00622F4F"/>
    <w:rsid w:val="006230F8"/>
    <w:rsid w:val="00625CD6"/>
    <w:rsid w:val="00630D9D"/>
    <w:rsid w:val="00630DD5"/>
    <w:rsid w:val="006360E5"/>
    <w:rsid w:val="00641735"/>
    <w:rsid w:val="006417B2"/>
    <w:rsid w:val="0064583B"/>
    <w:rsid w:val="0064695D"/>
    <w:rsid w:val="006506EB"/>
    <w:rsid w:val="00651F62"/>
    <w:rsid w:val="00665D0C"/>
    <w:rsid w:val="0066764F"/>
    <w:rsid w:val="006715F4"/>
    <w:rsid w:val="00672F88"/>
    <w:rsid w:val="00673DFC"/>
    <w:rsid w:val="00676573"/>
    <w:rsid w:val="00683A95"/>
    <w:rsid w:val="00696D91"/>
    <w:rsid w:val="006A06B4"/>
    <w:rsid w:val="006A393C"/>
    <w:rsid w:val="006A3A9D"/>
    <w:rsid w:val="006A40D3"/>
    <w:rsid w:val="006A64C5"/>
    <w:rsid w:val="006A79F6"/>
    <w:rsid w:val="006B0E43"/>
    <w:rsid w:val="006B15D8"/>
    <w:rsid w:val="006B25B7"/>
    <w:rsid w:val="006B40FA"/>
    <w:rsid w:val="006B4FC6"/>
    <w:rsid w:val="006B5A46"/>
    <w:rsid w:val="006C5085"/>
    <w:rsid w:val="006C6FDA"/>
    <w:rsid w:val="006C747B"/>
    <w:rsid w:val="006D3FBC"/>
    <w:rsid w:val="006D4171"/>
    <w:rsid w:val="006E2181"/>
    <w:rsid w:val="006E2D79"/>
    <w:rsid w:val="006E4105"/>
    <w:rsid w:val="006E6C71"/>
    <w:rsid w:val="006F2880"/>
    <w:rsid w:val="006F5EBE"/>
    <w:rsid w:val="006F650C"/>
    <w:rsid w:val="006F6645"/>
    <w:rsid w:val="007005D3"/>
    <w:rsid w:val="0070103A"/>
    <w:rsid w:val="007015FC"/>
    <w:rsid w:val="00704964"/>
    <w:rsid w:val="00710563"/>
    <w:rsid w:val="00710C81"/>
    <w:rsid w:val="00710D10"/>
    <w:rsid w:val="00715B9B"/>
    <w:rsid w:val="00716175"/>
    <w:rsid w:val="00717000"/>
    <w:rsid w:val="0072603C"/>
    <w:rsid w:val="007304D9"/>
    <w:rsid w:val="00733506"/>
    <w:rsid w:val="00735DAA"/>
    <w:rsid w:val="00735DAB"/>
    <w:rsid w:val="0074078E"/>
    <w:rsid w:val="00745D70"/>
    <w:rsid w:val="00746AF7"/>
    <w:rsid w:val="00747A64"/>
    <w:rsid w:val="007517D1"/>
    <w:rsid w:val="00753098"/>
    <w:rsid w:val="0075377C"/>
    <w:rsid w:val="007539FA"/>
    <w:rsid w:val="0075409A"/>
    <w:rsid w:val="00756161"/>
    <w:rsid w:val="007629A0"/>
    <w:rsid w:val="00762AEF"/>
    <w:rsid w:val="00763529"/>
    <w:rsid w:val="00763DCE"/>
    <w:rsid w:val="00765863"/>
    <w:rsid w:val="0077356A"/>
    <w:rsid w:val="0077463F"/>
    <w:rsid w:val="00780EF1"/>
    <w:rsid w:val="007813A1"/>
    <w:rsid w:val="00783EB6"/>
    <w:rsid w:val="0078548F"/>
    <w:rsid w:val="00785FF0"/>
    <w:rsid w:val="00790FEC"/>
    <w:rsid w:val="00791265"/>
    <w:rsid w:val="00792A10"/>
    <w:rsid w:val="007A324A"/>
    <w:rsid w:val="007A3586"/>
    <w:rsid w:val="007A3FA1"/>
    <w:rsid w:val="007A4162"/>
    <w:rsid w:val="007A6D5A"/>
    <w:rsid w:val="007A7286"/>
    <w:rsid w:val="007A7B24"/>
    <w:rsid w:val="007B0333"/>
    <w:rsid w:val="007B1203"/>
    <w:rsid w:val="007B32CC"/>
    <w:rsid w:val="007B3405"/>
    <w:rsid w:val="007B3DF8"/>
    <w:rsid w:val="007B47A4"/>
    <w:rsid w:val="007C2121"/>
    <w:rsid w:val="007C2712"/>
    <w:rsid w:val="007C3AE0"/>
    <w:rsid w:val="007C43D1"/>
    <w:rsid w:val="007C5B3E"/>
    <w:rsid w:val="007D1BF7"/>
    <w:rsid w:val="007D1CD1"/>
    <w:rsid w:val="007D2759"/>
    <w:rsid w:val="007E1ACC"/>
    <w:rsid w:val="007E6BD0"/>
    <w:rsid w:val="007E6BFE"/>
    <w:rsid w:val="007E7C98"/>
    <w:rsid w:val="007F1978"/>
    <w:rsid w:val="007F25B7"/>
    <w:rsid w:val="007F4E6C"/>
    <w:rsid w:val="007F7298"/>
    <w:rsid w:val="0080105F"/>
    <w:rsid w:val="00804A68"/>
    <w:rsid w:val="00804C73"/>
    <w:rsid w:val="008050BD"/>
    <w:rsid w:val="00805D01"/>
    <w:rsid w:val="008067EC"/>
    <w:rsid w:val="0081151A"/>
    <w:rsid w:val="008127DE"/>
    <w:rsid w:val="00813304"/>
    <w:rsid w:val="00814278"/>
    <w:rsid w:val="008151F0"/>
    <w:rsid w:val="0082436E"/>
    <w:rsid w:val="00825456"/>
    <w:rsid w:val="008306BD"/>
    <w:rsid w:val="00832EE0"/>
    <w:rsid w:val="00836F01"/>
    <w:rsid w:val="008407C4"/>
    <w:rsid w:val="008409B7"/>
    <w:rsid w:val="00840EAD"/>
    <w:rsid w:val="00844068"/>
    <w:rsid w:val="00851386"/>
    <w:rsid w:val="0085302F"/>
    <w:rsid w:val="00855C58"/>
    <w:rsid w:val="00860590"/>
    <w:rsid w:val="00863214"/>
    <w:rsid w:val="00866646"/>
    <w:rsid w:val="00866FC0"/>
    <w:rsid w:val="00867182"/>
    <w:rsid w:val="00867612"/>
    <w:rsid w:val="00871388"/>
    <w:rsid w:val="00872E15"/>
    <w:rsid w:val="00876A1F"/>
    <w:rsid w:val="00876CBF"/>
    <w:rsid w:val="00876D6C"/>
    <w:rsid w:val="008810B9"/>
    <w:rsid w:val="00881CB4"/>
    <w:rsid w:val="00887F76"/>
    <w:rsid w:val="0089045F"/>
    <w:rsid w:val="00891C9A"/>
    <w:rsid w:val="00891D17"/>
    <w:rsid w:val="0089274F"/>
    <w:rsid w:val="008927EF"/>
    <w:rsid w:val="00895181"/>
    <w:rsid w:val="00896003"/>
    <w:rsid w:val="00897A6F"/>
    <w:rsid w:val="008A3A2A"/>
    <w:rsid w:val="008A60E2"/>
    <w:rsid w:val="008A6766"/>
    <w:rsid w:val="008A7196"/>
    <w:rsid w:val="008A7A99"/>
    <w:rsid w:val="008B2614"/>
    <w:rsid w:val="008B48B1"/>
    <w:rsid w:val="008C5B9E"/>
    <w:rsid w:val="008D3479"/>
    <w:rsid w:val="008D50F1"/>
    <w:rsid w:val="008E018D"/>
    <w:rsid w:val="008E5289"/>
    <w:rsid w:val="008E58F2"/>
    <w:rsid w:val="008E77DE"/>
    <w:rsid w:val="008F1437"/>
    <w:rsid w:val="008F1601"/>
    <w:rsid w:val="008F4BCA"/>
    <w:rsid w:val="008F5452"/>
    <w:rsid w:val="008F68B6"/>
    <w:rsid w:val="009008C8"/>
    <w:rsid w:val="00900D63"/>
    <w:rsid w:val="00902279"/>
    <w:rsid w:val="009053D2"/>
    <w:rsid w:val="009100BE"/>
    <w:rsid w:val="009155D1"/>
    <w:rsid w:val="009175B8"/>
    <w:rsid w:val="00917B78"/>
    <w:rsid w:val="0092470F"/>
    <w:rsid w:val="00924E72"/>
    <w:rsid w:val="009251DD"/>
    <w:rsid w:val="0093208F"/>
    <w:rsid w:val="0093368C"/>
    <w:rsid w:val="0093671B"/>
    <w:rsid w:val="009441EA"/>
    <w:rsid w:val="009467EF"/>
    <w:rsid w:val="00950BAE"/>
    <w:rsid w:val="00951270"/>
    <w:rsid w:val="00952FE4"/>
    <w:rsid w:val="0095442B"/>
    <w:rsid w:val="009609A6"/>
    <w:rsid w:val="00963968"/>
    <w:rsid w:val="009657F9"/>
    <w:rsid w:val="0096711E"/>
    <w:rsid w:val="00967909"/>
    <w:rsid w:val="00970AFF"/>
    <w:rsid w:val="00972D68"/>
    <w:rsid w:val="00974849"/>
    <w:rsid w:val="00975614"/>
    <w:rsid w:val="00976642"/>
    <w:rsid w:val="009865E6"/>
    <w:rsid w:val="0098697E"/>
    <w:rsid w:val="0099131E"/>
    <w:rsid w:val="00992089"/>
    <w:rsid w:val="00992EC0"/>
    <w:rsid w:val="009976BC"/>
    <w:rsid w:val="009A09FA"/>
    <w:rsid w:val="009A0CE4"/>
    <w:rsid w:val="009A1730"/>
    <w:rsid w:val="009A20D0"/>
    <w:rsid w:val="009A7BD2"/>
    <w:rsid w:val="009A7F04"/>
    <w:rsid w:val="009B069B"/>
    <w:rsid w:val="009B52F2"/>
    <w:rsid w:val="009C00E9"/>
    <w:rsid w:val="009C0DF7"/>
    <w:rsid w:val="009C2580"/>
    <w:rsid w:val="009C33EB"/>
    <w:rsid w:val="009C3981"/>
    <w:rsid w:val="009C44B4"/>
    <w:rsid w:val="009C4BF4"/>
    <w:rsid w:val="009D320A"/>
    <w:rsid w:val="009D398F"/>
    <w:rsid w:val="009D40FE"/>
    <w:rsid w:val="009D5E87"/>
    <w:rsid w:val="009E1AC1"/>
    <w:rsid w:val="009E3582"/>
    <w:rsid w:val="009E39E5"/>
    <w:rsid w:val="009E4910"/>
    <w:rsid w:val="009E7306"/>
    <w:rsid w:val="009F2F02"/>
    <w:rsid w:val="009F3A12"/>
    <w:rsid w:val="009F48EE"/>
    <w:rsid w:val="009F48F4"/>
    <w:rsid w:val="009F7384"/>
    <w:rsid w:val="00A048FF"/>
    <w:rsid w:val="00A04C82"/>
    <w:rsid w:val="00A05C2D"/>
    <w:rsid w:val="00A07ACB"/>
    <w:rsid w:val="00A10F41"/>
    <w:rsid w:val="00A12527"/>
    <w:rsid w:val="00A14569"/>
    <w:rsid w:val="00A14B85"/>
    <w:rsid w:val="00A15AF8"/>
    <w:rsid w:val="00A15F14"/>
    <w:rsid w:val="00A216ED"/>
    <w:rsid w:val="00A2270E"/>
    <w:rsid w:val="00A22891"/>
    <w:rsid w:val="00A26900"/>
    <w:rsid w:val="00A3664E"/>
    <w:rsid w:val="00A36818"/>
    <w:rsid w:val="00A4585E"/>
    <w:rsid w:val="00A45B7B"/>
    <w:rsid w:val="00A46FB1"/>
    <w:rsid w:val="00A519BC"/>
    <w:rsid w:val="00A5317D"/>
    <w:rsid w:val="00A53DA6"/>
    <w:rsid w:val="00A54889"/>
    <w:rsid w:val="00A565C8"/>
    <w:rsid w:val="00A71A3B"/>
    <w:rsid w:val="00A732B3"/>
    <w:rsid w:val="00A73456"/>
    <w:rsid w:val="00A77601"/>
    <w:rsid w:val="00A842C2"/>
    <w:rsid w:val="00A84B9D"/>
    <w:rsid w:val="00A863BD"/>
    <w:rsid w:val="00A91E43"/>
    <w:rsid w:val="00A93175"/>
    <w:rsid w:val="00A93F60"/>
    <w:rsid w:val="00A94492"/>
    <w:rsid w:val="00A94568"/>
    <w:rsid w:val="00A94947"/>
    <w:rsid w:val="00A94C7F"/>
    <w:rsid w:val="00A970C5"/>
    <w:rsid w:val="00A97855"/>
    <w:rsid w:val="00AA0B73"/>
    <w:rsid w:val="00AA0C7D"/>
    <w:rsid w:val="00AA42A0"/>
    <w:rsid w:val="00AA50D8"/>
    <w:rsid w:val="00AA7304"/>
    <w:rsid w:val="00AA7C46"/>
    <w:rsid w:val="00AA7FB7"/>
    <w:rsid w:val="00AB315A"/>
    <w:rsid w:val="00AB37EE"/>
    <w:rsid w:val="00AC1891"/>
    <w:rsid w:val="00AC2632"/>
    <w:rsid w:val="00AC2A3F"/>
    <w:rsid w:val="00AC3BE6"/>
    <w:rsid w:val="00AC453E"/>
    <w:rsid w:val="00AC5AD4"/>
    <w:rsid w:val="00AD075F"/>
    <w:rsid w:val="00AD417C"/>
    <w:rsid w:val="00AD42E0"/>
    <w:rsid w:val="00AD4506"/>
    <w:rsid w:val="00AD6F66"/>
    <w:rsid w:val="00AE7C7B"/>
    <w:rsid w:val="00AF05BE"/>
    <w:rsid w:val="00AF2F68"/>
    <w:rsid w:val="00AF3C5B"/>
    <w:rsid w:val="00AF3D31"/>
    <w:rsid w:val="00AF57A2"/>
    <w:rsid w:val="00AF6327"/>
    <w:rsid w:val="00AF7816"/>
    <w:rsid w:val="00AF78A3"/>
    <w:rsid w:val="00B03018"/>
    <w:rsid w:val="00B038AB"/>
    <w:rsid w:val="00B04964"/>
    <w:rsid w:val="00B05382"/>
    <w:rsid w:val="00B11BFC"/>
    <w:rsid w:val="00B16CF0"/>
    <w:rsid w:val="00B2330D"/>
    <w:rsid w:val="00B26942"/>
    <w:rsid w:val="00B27F34"/>
    <w:rsid w:val="00B30AB3"/>
    <w:rsid w:val="00B311AD"/>
    <w:rsid w:val="00B3584B"/>
    <w:rsid w:val="00B40965"/>
    <w:rsid w:val="00B40A57"/>
    <w:rsid w:val="00B41380"/>
    <w:rsid w:val="00B416E9"/>
    <w:rsid w:val="00B429E1"/>
    <w:rsid w:val="00B43C8A"/>
    <w:rsid w:val="00B454B4"/>
    <w:rsid w:val="00B46971"/>
    <w:rsid w:val="00B5079A"/>
    <w:rsid w:val="00B53E88"/>
    <w:rsid w:val="00B57317"/>
    <w:rsid w:val="00B57500"/>
    <w:rsid w:val="00B640FD"/>
    <w:rsid w:val="00B66135"/>
    <w:rsid w:val="00B72B91"/>
    <w:rsid w:val="00B77E61"/>
    <w:rsid w:val="00B821EA"/>
    <w:rsid w:val="00B832F9"/>
    <w:rsid w:val="00B84C9E"/>
    <w:rsid w:val="00B84DE1"/>
    <w:rsid w:val="00B86CF1"/>
    <w:rsid w:val="00B90305"/>
    <w:rsid w:val="00B90395"/>
    <w:rsid w:val="00B91376"/>
    <w:rsid w:val="00B9279C"/>
    <w:rsid w:val="00B96EDD"/>
    <w:rsid w:val="00BA221F"/>
    <w:rsid w:val="00BA4C83"/>
    <w:rsid w:val="00BA5B86"/>
    <w:rsid w:val="00BA5CB8"/>
    <w:rsid w:val="00BB7C2A"/>
    <w:rsid w:val="00BC0E01"/>
    <w:rsid w:val="00BC6823"/>
    <w:rsid w:val="00BC743F"/>
    <w:rsid w:val="00BC75F5"/>
    <w:rsid w:val="00BD3D6A"/>
    <w:rsid w:val="00BD5454"/>
    <w:rsid w:val="00BE2C2F"/>
    <w:rsid w:val="00BE5BAD"/>
    <w:rsid w:val="00BE5ED6"/>
    <w:rsid w:val="00BE62A0"/>
    <w:rsid w:val="00BE675A"/>
    <w:rsid w:val="00BF6233"/>
    <w:rsid w:val="00BF6377"/>
    <w:rsid w:val="00BF68DC"/>
    <w:rsid w:val="00BF7136"/>
    <w:rsid w:val="00C000DA"/>
    <w:rsid w:val="00C01905"/>
    <w:rsid w:val="00C022DA"/>
    <w:rsid w:val="00C10D4B"/>
    <w:rsid w:val="00C13AE7"/>
    <w:rsid w:val="00C14B2D"/>
    <w:rsid w:val="00C16255"/>
    <w:rsid w:val="00C17BF5"/>
    <w:rsid w:val="00C24853"/>
    <w:rsid w:val="00C35562"/>
    <w:rsid w:val="00C37D16"/>
    <w:rsid w:val="00C40107"/>
    <w:rsid w:val="00C40D04"/>
    <w:rsid w:val="00C425EF"/>
    <w:rsid w:val="00C42DD2"/>
    <w:rsid w:val="00C47B34"/>
    <w:rsid w:val="00C530A2"/>
    <w:rsid w:val="00C539BF"/>
    <w:rsid w:val="00C53A2D"/>
    <w:rsid w:val="00C54E02"/>
    <w:rsid w:val="00C5665E"/>
    <w:rsid w:val="00C5717F"/>
    <w:rsid w:val="00C576EA"/>
    <w:rsid w:val="00C60EBE"/>
    <w:rsid w:val="00C61458"/>
    <w:rsid w:val="00C629C6"/>
    <w:rsid w:val="00C66476"/>
    <w:rsid w:val="00C70213"/>
    <w:rsid w:val="00C727A3"/>
    <w:rsid w:val="00C73DB6"/>
    <w:rsid w:val="00C741A9"/>
    <w:rsid w:val="00C82E8C"/>
    <w:rsid w:val="00C847D0"/>
    <w:rsid w:val="00C90296"/>
    <w:rsid w:val="00C9460A"/>
    <w:rsid w:val="00C95417"/>
    <w:rsid w:val="00C96593"/>
    <w:rsid w:val="00C96E9D"/>
    <w:rsid w:val="00CA3666"/>
    <w:rsid w:val="00CA3AE0"/>
    <w:rsid w:val="00CA6ACA"/>
    <w:rsid w:val="00CA79A9"/>
    <w:rsid w:val="00CB0493"/>
    <w:rsid w:val="00CB0F17"/>
    <w:rsid w:val="00CB188D"/>
    <w:rsid w:val="00CB1908"/>
    <w:rsid w:val="00CB50AA"/>
    <w:rsid w:val="00CB5B9D"/>
    <w:rsid w:val="00CB6089"/>
    <w:rsid w:val="00CB70C9"/>
    <w:rsid w:val="00CC0C97"/>
    <w:rsid w:val="00CC1EE3"/>
    <w:rsid w:val="00CC4B79"/>
    <w:rsid w:val="00CC7C27"/>
    <w:rsid w:val="00CD78F5"/>
    <w:rsid w:val="00CE135F"/>
    <w:rsid w:val="00CE18BF"/>
    <w:rsid w:val="00CE3665"/>
    <w:rsid w:val="00CE3EC1"/>
    <w:rsid w:val="00CE4BDB"/>
    <w:rsid w:val="00CE6742"/>
    <w:rsid w:val="00CE72F7"/>
    <w:rsid w:val="00D003AF"/>
    <w:rsid w:val="00D00C42"/>
    <w:rsid w:val="00D0237C"/>
    <w:rsid w:val="00D034B3"/>
    <w:rsid w:val="00D066C8"/>
    <w:rsid w:val="00D12BB9"/>
    <w:rsid w:val="00D16D8A"/>
    <w:rsid w:val="00D265A9"/>
    <w:rsid w:val="00D31372"/>
    <w:rsid w:val="00D373CF"/>
    <w:rsid w:val="00D4051B"/>
    <w:rsid w:val="00D407D6"/>
    <w:rsid w:val="00D41858"/>
    <w:rsid w:val="00D461EF"/>
    <w:rsid w:val="00D5182F"/>
    <w:rsid w:val="00D54D29"/>
    <w:rsid w:val="00D5564B"/>
    <w:rsid w:val="00D56943"/>
    <w:rsid w:val="00D61FB5"/>
    <w:rsid w:val="00D62322"/>
    <w:rsid w:val="00D64F50"/>
    <w:rsid w:val="00D671D8"/>
    <w:rsid w:val="00D7130F"/>
    <w:rsid w:val="00D73A11"/>
    <w:rsid w:val="00D74050"/>
    <w:rsid w:val="00D750FB"/>
    <w:rsid w:val="00D761FD"/>
    <w:rsid w:val="00D82531"/>
    <w:rsid w:val="00D85675"/>
    <w:rsid w:val="00D85749"/>
    <w:rsid w:val="00D87EA1"/>
    <w:rsid w:val="00D9150D"/>
    <w:rsid w:val="00D920A1"/>
    <w:rsid w:val="00D920BA"/>
    <w:rsid w:val="00D956B5"/>
    <w:rsid w:val="00D97046"/>
    <w:rsid w:val="00DA1796"/>
    <w:rsid w:val="00DB0051"/>
    <w:rsid w:val="00DB114A"/>
    <w:rsid w:val="00DB25B3"/>
    <w:rsid w:val="00DB29C6"/>
    <w:rsid w:val="00DB34BC"/>
    <w:rsid w:val="00DB4E75"/>
    <w:rsid w:val="00DB6426"/>
    <w:rsid w:val="00DC098B"/>
    <w:rsid w:val="00DC11B7"/>
    <w:rsid w:val="00DC1547"/>
    <w:rsid w:val="00DC1B5D"/>
    <w:rsid w:val="00DC51D1"/>
    <w:rsid w:val="00DC7D54"/>
    <w:rsid w:val="00DD553E"/>
    <w:rsid w:val="00DD784D"/>
    <w:rsid w:val="00DE089F"/>
    <w:rsid w:val="00DE3BBB"/>
    <w:rsid w:val="00DE3BDC"/>
    <w:rsid w:val="00DE3FE4"/>
    <w:rsid w:val="00DF1A95"/>
    <w:rsid w:val="00DF2E43"/>
    <w:rsid w:val="00E00479"/>
    <w:rsid w:val="00E01424"/>
    <w:rsid w:val="00E01CDF"/>
    <w:rsid w:val="00E02BEB"/>
    <w:rsid w:val="00E04AC3"/>
    <w:rsid w:val="00E06BBC"/>
    <w:rsid w:val="00E06C9C"/>
    <w:rsid w:val="00E074D0"/>
    <w:rsid w:val="00E17BA8"/>
    <w:rsid w:val="00E213D4"/>
    <w:rsid w:val="00E21C3B"/>
    <w:rsid w:val="00E21C58"/>
    <w:rsid w:val="00E23D0F"/>
    <w:rsid w:val="00E252EF"/>
    <w:rsid w:val="00E258C1"/>
    <w:rsid w:val="00E30B42"/>
    <w:rsid w:val="00E30E83"/>
    <w:rsid w:val="00E33707"/>
    <w:rsid w:val="00E33BCE"/>
    <w:rsid w:val="00E33C67"/>
    <w:rsid w:val="00E36636"/>
    <w:rsid w:val="00E470BF"/>
    <w:rsid w:val="00E50397"/>
    <w:rsid w:val="00E508BB"/>
    <w:rsid w:val="00E50E64"/>
    <w:rsid w:val="00E518E8"/>
    <w:rsid w:val="00E5225E"/>
    <w:rsid w:val="00E5424A"/>
    <w:rsid w:val="00E567D1"/>
    <w:rsid w:val="00E56A56"/>
    <w:rsid w:val="00E62E7F"/>
    <w:rsid w:val="00E648C5"/>
    <w:rsid w:val="00E71A98"/>
    <w:rsid w:val="00E7381D"/>
    <w:rsid w:val="00E73F48"/>
    <w:rsid w:val="00E74D5F"/>
    <w:rsid w:val="00E76A13"/>
    <w:rsid w:val="00E774CF"/>
    <w:rsid w:val="00E824F4"/>
    <w:rsid w:val="00E85524"/>
    <w:rsid w:val="00E87D3F"/>
    <w:rsid w:val="00E9324D"/>
    <w:rsid w:val="00E9348F"/>
    <w:rsid w:val="00E96C5B"/>
    <w:rsid w:val="00E978A4"/>
    <w:rsid w:val="00EA07CF"/>
    <w:rsid w:val="00EA15FB"/>
    <w:rsid w:val="00EA1AE8"/>
    <w:rsid w:val="00EA435C"/>
    <w:rsid w:val="00EA5B73"/>
    <w:rsid w:val="00EB3F70"/>
    <w:rsid w:val="00EC291B"/>
    <w:rsid w:val="00ED2E97"/>
    <w:rsid w:val="00ED5816"/>
    <w:rsid w:val="00ED5819"/>
    <w:rsid w:val="00ED722B"/>
    <w:rsid w:val="00EE4B6A"/>
    <w:rsid w:val="00EE688B"/>
    <w:rsid w:val="00EF0910"/>
    <w:rsid w:val="00EF14D0"/>
    <w:rsid w:val="00EF20FC"/>
    <w:rsid w:val="00EF2C04"/>
    <w:rsid w:val="00EF4A40"/>
    <w:rsid w:val="00EF6671"/>
    <w:rsid w:val="00EF7BF5"/>
    <w:rsid w:val="00F003AD"/>
    <w:rsid w:val="00F01D75"/>
    <w:rsid w:val="00F031E5"/>
    <w:rsid w:val="00F0357B"/>
    <w:rsid w:val="00F04171"/>
    <w:rsid w:val="00F05921"/>
    <w:rsid w:val="00F06FED"/>
    <w:rsid w:val="00F073CC"/>
    <w:rsid w:val="00F23A17"/>
    <w:rsid w:val="00F24416"/>
    <w:rsid w:val="00F2499C"/>
    <w:rsid w:val="00F26EB5"/>
    <w:rsid w:val="00F275D4"/>
    <w:rsid w:val="00F31555"/>
    <w:rsid w:val="00F464A7"/>
    <w:rsid w:val="00F50F2A"/>
    <w:rsid w:val="00F51216"/>
    <w:rsid w:val="00F560EF"/>
    <w:rsid w:val="00F56482"/>
    <w:rsid w:val="00F62F84"/>
    <w:rsid w:val="00F673BE"/>
    <w:rsid w:val="00F73540"/>
    <w:rsid w:val="00F76044"/>
    <w:rsid w:val="00F8399F"/>
    <w:rsid w:val="00F85182"/>
    <w:rsid w:val="00F852EB"/>
    <w:rsid w:val="00F854C5"/>
    <w:rsid w:val="00F92D1E"/>
    <w:rsid w:val="00F93928"/>
    <w:rsid w:val="00F9441B"/>
    <w:rsid w:val="00F951D7"/>
    <w:rsid w:val="00F96598"/>
    <w:rsid w:val="00FA4CC3"/>
    <w:rsid w:val="00FA5FCD"/>
    <w:rsid w:val="00FA6F5D"/>
    <w:rsid w:val="00FB0ED6"/>
    <w:rsid w:val="00FB2114"/>
    <w:rsid w:val="00FB27E1"/>
    <w:rsid w:val="00FC5EC6"/>
    <w:rsid w:val="00FD2B25"/>
    <w:rsid w:val="00FD475E"/>
    <w:rsid w:val="00FD68B5"/>
    <w:rsid w:val="00FE23F3"/>
    <w:rsid w:val="00FF13A5"/>
    <w:rsid w:val="00FF1BA3"/>
    <w:rsid w:val="00FF6778"/>
    <w:rsid w:val="00FF6A25"/>
    <w:rsid w:val="01C7B453"/>
    <w:rsid w:val="0243D229"/>
    <w:rsid w:val="028CA2DD"/>
    <w:rsid w:val="0328038F"/>
    <w:rsid w:val="0347223E"/>
    <w:rsid w:val="037284F8"/>
    <w:rsid w:val="038E76F3"/>
    <w:rsid w:val="03C2CF87"/>
    <w:rsid w:val="03F2D8B2"/>
    <w:rsid w:val="047961C5"/>
    <w:rsid w:val="049E5C09"/>
    <w:rsid w:val="04BD021E"/>
    <w:rsid w:val="05175BBB"/>
    <w:rsid w:val="05CD876A"/>
    <w:rsid w:val="05ED800F"/>
    <w:rsid w:val="05F30127"/>
    <w:rsid w:val="06527F74"/>
    <w:rsid w:val="065FA451"/>
    <w:rsid w:val="06B6D280"/>
    <w:rsid w:val="06DA91E5"/>
    <w:rsid w:val="07D04D49"/>
    <w:rsid w:val="07FB74B2"/>
    <w:rsid w:val="0877B7DC"/>
    <w:rsid w:val="08802949"/>
    <w:rsid w:val="08E794D7"/>
    <w:rsid w:val="09649BFB"/>
    <w:rsid w:val="0A148A64"/>
    <w:rsid w:val="0A82CCD5"/>
    <w:rsid w:val="0AC8A896"/>
    <w:rsid w:val="0AEA786B"/>
    <w:rsid w:val="0B99160A"/>
    <w:rsid w:val="0BC17096"/>
    <w:rsid w:val="0BFF328A"/>
    <w:rsid w:val="0C3CC8EE"/>
    <w:rsid w:val="0C8648CC"/>
    <w:rsid w:val="0CA5B396"/>
    <w:rsid w:val="0CE124AC"/>
    <w:rsid w:val="0E218B66"/>
    <w:rsid w:val="0E5ECF47"/>
    <w:rsid w:val="0EBBC364"/>
    <w:rsid w:val="0EBDD583"/>
    <w:rsid w:val="0EE39B13"/>
    <w:rsid w:val="0F0FA9B4"/>
    <w:rsid w:val="0F357553"/>
    <w:rsid w:val="0F70A2AD"/>
    <w:rsid w:val="0F92E394"/>
    <w:rsid w:val="0FEDC5E1"/>
    <w:rsid w:val="1051F991"/>
    <w:rsid w:val="112CA5E6"/>
    <w:rsid w:val="11AF6956"/>
    <w:rsid w:val="12574C1F"/>
    <w:rsid w:val="128B6D5A"/>
    <w:rsid w:val="1298F42D"/>
    <w:rsid w:val="12A44542"/>
    <w:rsid w:val="12AC0A72"/>
    <w:rsid w:val="12AE1503"/>
    <w:rsid w:val="13385630"/>
    <w:rsid w:val="134B39B7"/>
    <w:rsid w:val="13E31AD7"/>
    <w:rsid w:val="1407012D"/>
    <w:rsid w:val="14288CED"/>
    <w:rsid w:val="1447DAD3"/>
    <w:rsid w:val="14ED9D0E"/>
    <w:rsid w:val="14F8C052"/>
    <w:rsid w:val="1509BD2F"/>
    <w:rsid w:val="15389D24"/>
    <w:rsid w:val="1576486C"/>
    <w:rsid w:val="15920BE0"/>
    <w:rsid w:val="160EC685"/>
    <w:rsid w:val="16750BAC"/>
    <w:rsid w:val="168FDF51"/>
    <w:rsid w:val="16A58D90"/>
    <w:rsid w:val="16C5F368"/>
    <w:rsid w:val="176AA09F"/>
    <w:rsid w:val="17BF5841"/>
    <w:rsid w:val="183D0717"/>
    <w:rsid w:val="18406379"/>
    <w:rsid w:val="18C4ECFD"/>
    <w:rsid w:val="191E900F"/>
    <w:rsid w:val="195961E6"/>
    <w:rsid w:val="19B5800A"/>
    <w:rsid w:val="19BB8FE3"/>
    <w:rsid w:val="19C1A5A9"/>
    <w:rsid w:val="19E7BF39"/>
    <w:rsid w:val="19E7C84B"/>
    <w:rsid w:val="1A0F455A"/>
    <w:rsid w:val="1A81B15E"/>
    <w:rsid w:val="1A880373"/>
    <w:rsid w:val="1AB1F883"/>
    <w:rsid w:val="1AC345FE"/>
    <w:rsid w:val="1ACA6580"/>
    <w:rsid w:val="1B1B0166"/>
    <w:rsid w:val="1BF57791"/>
    <w:rsid w:val="1C05E91A"/>
    <w:rsid w:val="1C2D04A4"/>
    <w:rsid w:val="1C5ADA3E"/>
    <w:rsid w:val="1CC8E4F5"/>
    <w:rsid w:val="1DC763A6"/>
    <w:rsid w:val="1E2E3AD2"/>
    <w:rsid w:val="1E45A605"/>
    <w:rsid w:val="1E950868"/>
    <w:rsid w:val="1E999984"/>
    <w:rsid w:val="1F33DC24"/>
    <w:rsid w:val="1F6B837D"/>
    <w:rsid w:val="1F75EE0C"/>
    <w:rsid w:val="207FD459"/>
    <w:rsid w:val="23BD261E"/>
    <w:rsid w:val="23F4D2B2"/>
    <w:rsid w:val="2409DBAE"/>
    <w:rsid w:val="24355A9B"/>
    <w:rsid w:val="2437CD67"/>
    <w:rsid w:val="24426278"/>
    <w:rsid w:val="25732BCD"/>
    <w:rsid w:val="2593A97E"/>
    <w:rsid w:val="26366B99"/>
    <w:rsid w:val="2687C5A8"/>
    <w:rsid w:val="26A43C87"/>
    <w:rsid w:val="26A5408C"/>
    <w:rsid w:val="26DF9D2C"/>
    <w:rsid w:val="273C7F13"/>
    <w:rsid w:val="27B4B52B"/>
    <w:rsid w:val="27E8C04E"/>
    <w:rsid w:val="286459EF"/>
    <w:rsid w:val="28793307"/>
    <w:rsid w:val="28F66FED"/>
    <w:rsid w:val="29EF73AD"/>
    <w:rsid w:val="2A4364F0"/>
    <w:rsid w:val="2A5353BC"/>
    <w:rsid w:val="2AEE223E"/>
    <w:rsid w:val="2C2438E8"/>
    <w:rsid w:val="2C6D2D5A"/>
    <w:rsid w:val="2C74570C"/>
    <w:rsid w:val="2C857C57"/>
    <w:rsid w:val="2CB22F2F"/>
    <w:rsid w:val="2D197DD0"/>
    <w:rsid w:val="2D49E3E8"/>
    <w:rsid w:val="2DDF435D"/>
    <w:rsid w:val="2EB90286"/>
    <w:rsid w:val="2F1C0017"/>
    <w:rsid w:val="2F4DC663"/>
    <w:rsid w:val="2F5A0640"/>
    <w:rsid w:val="2F7A2E10"/>
    <w:rsid w:val="2FB81875"/>
    <w:rsid w:val="2FEF5605"/>
    <w:rsid w:val="318EFCDA"/>
    <w:rsid w:val="319B0452"/>
    <w:rsid w:val="321F09C1"/>
    <w:rsid w:val="322A6564"/>
    <w:rsid w:val="323BA821"/>
    <w:rsid w:val="3246B419"/>
    <w:rsid w:val="3272EFFA"/>
    <w:rsid w:val="3333FC36"/>
    <w:rsid w:val="33E5895C"/>
    <w:rsid w:val="34C758C5"/>
    <w:rsid w:val="359DEDD3"/>
    <w:rsid w:val="35A56184"/>
    <w:rsid w:val="36DC5481"/>
    <w:rsid w:val="36F27AE4"/>
    <w:rsid w:val="36F73F62"/>
    <w:rsid w:val="38A3ACCB"/>
    <w:rsid w:val="3900208A"/>
    <w:rsid w:val="390DCD5A"/>
    <w:rsid w:val="39240DA1"/>
    <w:rsid w:val="395CDDA3"/>
    <w:rsid w:val="3A245C6E"/>
    <w:rsid w:val="3A4716CA"/>
    <w:rsid w:val="3A82BCB8"/>
    <w:rsid w:val="3A8F9380"/>
    <w:rsid w:val="3AFAB4B2"/>
    <w:rsid w:val="3B2A0AB8"/>
    <w:rsid w:val="3B3B0068"/>
    <w:rsid w:val="3B4A846F"/>
    <w:rsid w:val="3BC5EC07"/>
    <w:rsid w:val="3BC88ECD"/>
    <w:rsid w:val="3C219C78"/>
    <w:rsid w:val="3C5DCA2A"/>
    <w:rsid w:val="3CDB3422"/>
    <w:rsid w:val="3D584EF5"/>
    <w:rsid w:val="3D61BC68"/>
    <w:rsid w:val="3D7C032E"/>
    <w:rsid w:val="3D7E327B"/>
    <w:rsid w:val="3E42FFDA"/>
    <w:rsid w:val="3EEDD9D2"/>
    <w:rsid w:val="3F0A9E2E"/>
    <w:rsid w:val="3F38EAE0"/>
    <w:rsid w:val="3FC78AC0"/>
    <w:rsid w:val="3FF153BE"/>
    <w:rsid w:val="3FFDBEDD"/>
    <w:rsid w:val="4052BFA8"/>
    <w:rsid w:val="4063ED57"/>
    <w:rsid w:val="4069B13E"/>
    <w:rsid w:val="4090E9DE"/>
    <w:rsid w:val="40994744"/>
    <w:rsid w:val="40AA9425"/>
    <w:rsid w:val="40C28820"/>
    <w:rsid w:val="424AB0DE"/>
    <w:rsid w:val="42A91FCC"/>
    <w:rsid w:val="42AF7689"/>
    <w:rsid w:val="42F56521"/>
    <w:rsid w:val="43ED8432"/>
    <w:rsid w:val="441BCBE9"/>
    <w:rsid w:val="448E85D0"/>
    <w:rsid w:val="45093881"/>
    <w:rsid w:val="451F255B"/>
    <w:rsid w:val="4595E46E"/>
    <w:rsid w:val="4619026A"/>
    <w:rsid w:val="46282C15"/>
    <w:rsid w:val="464BA36F"/>
    <w:rsid w:val="47DAC6F3"/>
    <w:rsid w:val="4836558E"/>
    <w:rsid w:val="4845EB1C"/>
    <w:rsid w:val="48D6726C"/>
    <w:rsid w:val="4944B2FC"/>
    <w:rsid w:val="498833F0"/>
    <w:rsid w:val="498BAB2F"/>
    <w:rsid w:val="49A7BED3"/>
    <w:rsid w:val="49E66FD6"/>
    <w:rsid w:val="4A8CD259"/>
    <w:rsid w:val="4C25F02F"/>
    <w:rsid w:val="4C2BFAB2"/>
    <w:rsid w:val="4C36E6D0"/>
    <w:rsid w:val="4C44D6BE"/>
    <w:rsid w:val="4CD8B024"/>
    <w:rsid w:val="4D276FFD"/>
    <w:rsid w:val="4D4B898D"/>
    <w:rsid w:val="4D7470D2"/>
    <w:rsid w:val="4DA2590E"/>
    <w:rsid w:val="4E161A89"/>
    <w:rsid w:val="4E5915A0"/>
    <w:rsid w:val="4E881938"/>
    <w:rsid w:val="4EAE1C10"/>
    <w:rsid w:val="4EDB4437"/>
    <w:rsid w:val="4F7F193F"/>
    <w:rsid w:val="4FC65787"/>
    <w:rsid w:val="4FF984C4"/>
    <w:rsid w:val="5095B59C"/>
    <w:rsid w:val="51033BCA"/>
    <w:rsid w:val="515570F3"/>
    <w:rsid w:val="51607070"/>
    <w:rsid w:val="517053E9"/>
    <w:rsid w:val="5187C4E4"/>
    <w:rsid w:val="52523F46"/>
    <w:rsid w:val="52B144A0"/>
    <w:rsid w:val="53714B3B"/>
    <w:rsid w:val="53A3F6B3"/>
    <w:rsid w:val="53A41939"/>
    <w:rsid w:val="540C0F49"/>
    <w:rsid w:val="545F1108"/>
    <w:rsid w:val="54D18AF4"/>
    <w:rsid w:val="55028556"/>
    <w:rsid w:val="5564FBC6"/>
    <w:rsid w:val="558E38A1"/>
    <w:rsid w:val="55DB2338"/>
    <w:rsid w:val="568B0ED2"/>
    <w:rsid w:val="56D68137"/>
    <w:rsid w:val="56E3700F"/>
    <w:rsid w:val="5763B627"/>
    <w:rsid w:val="577DFD3F"/>
    <w:rsid w:val="578B6500"/>
    <w:rsid w:val="58BC300B"/>
    <w:rsid w:val="58C5D963"/>
    <w:rsid w:val="598A0472"/>
    <w:rsid w:val="5A0E4DD3"/>
    <w:rsid w:val="5A1005DD"/>
    <w:rsid w:val="5A977A64"/>
    <w:rsid w:val="5AF3A028"/>
    <w:rsid w:val="5B2D208A"/>
    <w:rsid w:val="5BE2E236"/>
    <w:rsid w:val="5BFD7A25"/>
    <w:rsid w:val="5BFED6F2"/>
    <w:rsid w:val="5D0EAFA4"/>
    <w:rsid w:val="5D36CB7F"/>
    <w:rsid w:val="5D8301F5"/>
    <w:rsid w:val="5D994A86"/>
    <w:rsid w:val="5E01AE32"/>
    <w:rsid w:val="5E0B8CC8"/>
    <w:rsid w:val="5E0C8D98"/>
    <w:rsid w:val="5EFB13FD"/>
    <w:rsid w:val="5F2C51D1"/>
    <w:rsid w:val="5F351AE7"/>
    <w:rsid w:val="5F535762"/>
    <w:rsid w:val="6018115F"/>
    <w:rsid w:val="61233621"/>
    <w:rsid w:val="6195F37C"/>
    <w:rsid w:val="61AD03E9"/>
    <w:rsid w:val="6217D51D"/>
    <w:rsid w:val="623EED45"/>
    <w:rsid w:val="62E56509"/>
    <w:rsid w:val="6362F823"/>
    <w:rsid w:val="637E14E4"/>
    <w:rsid w:val="63A584C3"/>
    <w:rsid w:val="63A91D50"/>
    <w:rsid w:val="63C2509F"/>
    <w:rsid w:val="640CA143"/>
    <w:rsid w:val="6459F7BD"/>
    <w:rsid w:val="645EEC93"/>
    <w:rsid w:val="64830AA8"/>
    <w:rsid w:val="64C340A8"/>
    <w:rsid w:val="6555BC9E"/>
    <w:rsid w:val="6612DEC7"/>
    <w:rsid w:val="66165C52"/>
    <w:rsid w:val="667B9DFD"/>
    <w:rsid w:val="66951D15"/>
    <w:rsid w:val="66F87905"/>
    <w:rsid w:val="6727865B"/>
    <w:rsid w:val="67356745"/>
    <w:rsid w:val="6742F8FA"/>
    <w:rsid w:val="68410C7C"/>
    <w:rsid w:val="68B6756A"/>
    <w:rsid w:val="68C0285D"/>
    <w:rsid w:val="6946889C"/>
    <w:rsid w:val="6A0CB3A3"/>
    <w:rsid w:val="6A1BAADD"/>
    <w:rsid w:val="6A237E7A"/>
    <w:rsid w:val="6B0F38A7"/>
    <w:rsid w:val="6B32822C"/>
    <w:rsid w:val="6B54B078"/>
    <w:rsid w:val="6BA7ECE6"/>
    <w:rsid w:val="6BC11543"/>
    <w:rsid w:val="6BE6ED43"/>
    <w:rsid w:val="6C013B5D"/>
    <w:rsid w:val="6C4E4169"/>
    <w:rsid w:val="6C5D1ACB"/>
    <w:rsid w:val="6C62853A"/>
    <w:rsid w:val="6C8D1DAF"/>
    <w:rsid w:val="6C96159B"/>
    <w:rsid w:val="6C9BAFD9"/>
    <w:rsid w:val="6CEADF81"/>
    <w:rsid w:val="6D075594"/>
    <w:rsid w:val="6D2CE0B9"/>
    <w:rsid w:val="6D3F110D"/>
    <w:rsid w:val="6D4FC6C5"/>
    <w:rsid w:val="6D86B405"/>
    <w:rsid w:val="6DC1F7F7"/>
    <w:rsid w:val="6E4DDBCA"/>
    <w:rsid w:val="6E6E6380"/>
    <w:rsid w:val="6E768191"/>
    <w:rsid w:val="6E7E8843"/>
    <w:rsid w:val="6E90E36C"/>
    <w:rsid w:val="6EB4BED3"/>
    <w:rsid w:val="6F053617"/>
    <w:rsid w:val="7057EA1B"/>
    <w:rsid w:val="7086C819"/>
    <w:rsid w:val="7099EFEC"/>
    <w:rsid w:val="71516CC9"/>
    <w:rsid w:val="71B93771"/>
    <w:rsid w:val="71BE50A4"/>
    <w:rsid w:val="7261E933"/>
    <w:rsid w:val="72A38F22"/>
    <w:rsid w:val="730C4936"/>
    <w:rsid w:val="739310A4"/>
    <w:rsid w:val="73C72EA0"/>
    <w:rsid w:val="7477FDD4"/>
    <w:rsid w:val="74F27B4A"/>
    <w:rsid w:val="763AEA65"/>
    <w:rsid w:val="767FDB95"/>
    <w:rsid w:val="76C0F78B"/>
    <w:rsid w:val="773DF5E4"/>
    <w:rsid w:val="77AFA9CF"/>
    <w:rsid w:val="782C5DF3"/>
    <w:rsid w:val="783088B7"/>
    <w:rsid w:val="783E5C7F"/>
    <w:rsid w:val="785E6A9A"/>
    <w:rsid w:val="78C5ED5C"/>
    <w:rsid w:val="79420ADC"/>
    <w:rsid w:val="795AFF1B"/>
    <w:rsid w:val="79DE451B"/>
    <w:rsid w:val="7A859977"/>
    <w:rsid w:val="7B189F34"/>
    <w:rsid w:val="7BC69554"/>
    <w:rsid w:val="7C196D75"/>
    <w:rsid w:val="7C23408C"/>
    <w:rsid w:val="7C68C5E6"/>
    <w:rsid w:val="7CEC63DD"/>
    <w:rsid w:val="7CF82A46"/>
    <w:rsid w:val="7DDB84A1"/>
    <w:rsid w:val="7E1677A9"/>
    <w:rsid w:val="7E1ED048"/>
    <w:rsid w:val="7E7021F8"/>
    <w:rsid w:val="7E88343E"/>
    <w:rsid w:val="7EF2552E"/>
    <w:rsid w:val="7F28D612"/>
    <w:rsid w:val="7F870FA9"/>
    <w:rsid w:val="7FCA4DA3"/>
    <w:rsid w:val="7FF587A4"/>
    <w:rsid w:val="7FFFF7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63A6"/>
  <w15:chartTrackingRefBased/>
  <w15:docId w15:val="{5B39D674-0873-47CE-9EE9-26E93763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7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3F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1B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B46D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356B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550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550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1A4AE8"/>
    <w:rPr>
      <w:b/>
      <w:bCs/>
    </w:rPr>
  </w:style>
  <w:style w:type="character" w:customStyle="1" w:styleId="CommentSubjectChar">
    <w:name w:val="Comment Subject Char"/>
    <w:basedOn w:val="CommentTextChar"/>
    <w:link w:val="CommentSubject"/>
    <w:uiPriority w:val="99"/>
    <w:semiHidden/>
    <w:rsid w:val="001A4AE8"/>
    <w:rPr>
      <w:b/>
      <w:bCs/>
      <w:sz w:val="20"/>
      <w:szCs w:val="20"/>
    </w:rPr>
  </w:style>
  <w:style w:type="character" w:styleId="UnresolvedMention">
    <w:name w:val="Unresolved Mention"/>
    <w:basedOn w:val="DefaultParagraphFont"/>
    <w:uiPriority w:val="99"/>
    <w:unhideWhenUsed/>
    <w:rsid w:val="00A94568"/>
    <w:rPr>
      <w:color w:val="605E5C"/>
      <w:shd w:val="clear" w:color="auto" w:fill="E1DFDD"/>
    </w:rPr>
  </w:style>
  <w:style w:type="character" w:styleId="Mention">
    <w:name w:val="Mention"/>
    <w:basedOn w:val="DefaultParagraphFont"/>
    <w:uiPriority w:val="99"/>
    <w:unhideWhenUsed/>
    <w:rsid w:val="00A94568"/>
    <w:rPr>
      <w:color w:val="2B579A"/>
      <w:shd w:val="clear" w:color="auto" w:fill="E1DFDD"/>
    </w:rPr>
  </w:style>
  <w:style w:type="paragraph" w:styleId="Header">
    <w:name w:val="header"/>
    <w:basedOn w:val="Normal"/>
    <w:link w:val="HeaderChar"/>
    <w:uiPriority w:val="99"/>
    <w:unhideWhenUsed/>
    <w:rsid w:val="004C4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D9D"/>
  </w:style>
  <w:style w:type="paragraph" w:styleId="Footer">
    <w:name w:val="footer"/>
    <w:basedOn w:val="Normal"/>
    <w:link w:val="FooterChar"/>
    <w:uiPriority w:val="99"/>
    <w:unhideWhenUsed/>
    <w:rsid w:val="004C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D9D"/>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0F6338"/>
    <w:pPr>
      <w:spacing w:after="0" w:line="240" w:lineRule="auto"/>
    </w:pPr>
  </w:style>
  <w:style w:type="character" w:customStyle="1" w:styleId="Heading2Char">
    <w:name w:val="Heading 2 Char"/>
    <w:basedOn w:val="DefaultParagraphFont"/>
    <w:link w:val="Heading2"/>
    <w:uiPriority w:val="9"/>
    <w:rsid w:val="00233F5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927EF"/>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8927E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27EF"/>
    <w:rPr>
      <w:rFonts w:eastAsiaTheme="minorEastAsia"/>
      <w:color w:val="5A5A5A" w:themeColor="text1" w:themeTint="A5"/>
      <w:spacing w:val="15"/>
    </w:r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sid w:val="007D1BF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2F0C13"/>
    <w:rPr>
      <w:color w:val="954F72" w:themeColor="followedHyperlink"/>
      <w:u w:val="single"/>
    </w:rPr>
  </w:style>
  <w:style w:type="character" w:customStyle="1" w:styleId="Heading4Char">
    <w:name w:val="Heading 4 Char"/>
    <w:basedOn w:val="DefaultParagraphFont"/>
    <w:link w:val="Heading4"/>
    <w:uiPriority w:val="9"/>
    <w:rsid w:val="000B46D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1356B1"/>
    <w:rPr>
      <w:rFonts w:asciiTheme="majorHAnsi" w:eastAsiaTheme="majorEastAsia" w:hAnsiTheme="majorHAnsi" w:cstheme="majorBidi"/>
      <w:color w:val="2F5496" w:themeColor="accent1" w:themeShade="BF"/>
    </w:rPr>
  </w:style>
  <w:style w:type="character" w:customStyle="1" w:styleId="ListParagraphChar">
    <w:name w:val="List Paragraph Char"/>
    <w:basedOn w:val="DefaultParagraphFont"/>
    <w:link w:val="ListParagraph"/>
    <w:uiPriority w:val="34"/>
    <w:locked/>
    <w:rsid w:val="0075377C"/>
  </w:style>
  <w:style w:type="paragraph" w:customStyle="1" w:styleId="HeadingNew1">
    <w:name w:val="Heading_New1"/>
    <w:basedOn w:val="Normal"/>
    <w:link w:val="HeadingNew1Char"/>
    <w:qFormat/>
    <w:rsid w:val="00F06FED"/>
    <w:pPr>
      <w:spacing w:after="120" w:line="240" w:lineRule="auto"/>
      <w:jc w:val="both"/>
    </w:pPr>
    <w:rPr>
      <w:rFonts w:ascii="Arial" w:eastAsia="Times New Roman" w:hAnsi="Arial" w:cs="Arial"/>
      <w:b/>
    </w:rPr>
  </w:style>
  <w:style w:type="character" w:customStyle="1" w:styleId="HeadingNew1Char">
    <w:name w:val="Heading_New1 Char"/>
    <w:basedOn w:val="DefaultParagraphFont"/>
    <w:link w:val="HeadingNew1"/>
    <w:rsid w:val="00F06FED"/>
    <w:rPr>
      <w:rFonts w:ascii="Arial" w:eastAsia="Times New Roman" w:hAnsi="Arial" w:cs="Arial"/>
      <w:b/>
    </w:rPr>
  </w:style>
  <w:style w:type="paragraph" w:styleId="TOCHeading">
    <w:name w:val="TOC Heading"/>
    <w:basedOn w:val="Heading1"/>
    <w:next w:val="Normal"/>
    <w:uiPriority w:val="39"/>
    <w:unhideWhenUsed/>
    <w:qFormat/>
    <w:rsid w:val="00D373CF"/>
    <w:pPr>
      <w:outlineLvl w:val="9"/>
    </w:pPr>
  </w:style>
  <w:style w:type="paragraph" w:styleId="TOC1">
    <w:name w:val="toc 1"/>
    <w:basedOn w:val="Normal"/>
    <w:next w:val="Normal"/>
    <w:autoRedefine/>
    <w:uiPriority w:val="39"/>
    <w:unhideWhenUsed/>
    <w:rsid w:val="00D373CF"/>
    <w:pPr>
      <w:spacing w:after="100"/>
    </w:pPr>
  </w:style>
  <w:style w:type="paragraph" w:styleId="TOC2">
    <w:name w:val="toc 2"/>
    <w:basedOn w:val="Normal"/>
    <w:next w:val="Normal"/>
    <w:autoRedefine/>
    <w:uiPriority w:val="39"/>
    <w:unhideWhenUsed/>
    <w:rsid w:val="00D373CF"/>
    <w:pPr>
      <w:spacing w:after="100"/>
      <w:ind w:left="220"/>
    </w:pPr>
  </w:style>
  <w:style w:type="paragraph" w:styleId="TOC3">
    <w:name w:val="toc 3"/>
    <w:basedOn w:val="Normal"/>
    <w:next w:val="Normal"/>
    <w:autoRedefine/>
    <w:uiPriority w:val="39"/>
    <w:unhideWhenUsed/>
    <w:rsid w:val="004175D6"/>
    <w:pPr>
      <w:tabs>
        <w:tab w:val="right" w:leader="dot" w:pos="9350"/>
      </w:tabs>
      <w:spacing w:after="100"/>
      <w:ind w:left="440"/>
    </w:pPr>
    <w:rPr>
      <w:rFonts w:ascii="Aptos" w:hAnsi="Aptos" w:cs="Arial"/>
      <w:b/>
      <w:bCs/>
      <w:noProof/>
    </w:rPr>
  </w:style>
  <w:style w:type="paragraph" w:styleId="NormalWeb">
    <w:name w:val="Normal (Web)"/>
    <w:basedOn w:val="Normal"/>
    <w:uiPriority w:val="99"/>
    <w:semiHidden/>
    <w:unhideWhenUsed/>
    <w:rsid w:val="002D51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51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971532">
      <w:bodyDiv w:val="1"/>
      <w:marLeft w:val="0"/>
      <w:marRight w:val="0"/>
      <w:marTop w:val="0"/>
      <w:marBottom w:val="0"/>
      <w:divBdr>
        <w:top w:val="none" w:sz="0" w:space="0" w:color="auto"/>
        <w:left w:val="none" w:sz="0" w:space="0" w:color="auto"/>
        <w:bottom w:val="none" w:sz="0" w:space="0" w:color="auto"/>
        <w:right w:val="none" w:sz="0" w:space="0" w:color="auto"/>
      </w:divBdr>
    </w:div>
    <w:div w:id="173836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5c3db28847a91cd02783ad85cfde49aa&amp;mc=true&amp;node=se2.1.200_1431&amp;rgn=div8" TargetMode="External"/><Relationship Id="rId18" Type="http://schemas.openxmlformats.org/officeDocument/2006/relationships/hyperlink" Target="https://www.energy.ca.gov/sites/default/files/2025-06/Equipment_Verification_Email_Template_ada.doc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nergy.ca.gov/media/5967" TargetMode="External"/><Relationship Id="rId7" Type="http://schemas.openxmlformats.org/officeDocument/2006/relationships/settings" Target="settings.xml"/><Relationship Id="rId12" Type="http://schemas.openxmlformats.org/officeDocument/2006/relationships/hyperlink" Target="https://www.dol.gov/agencies/whd/government-contracts/protections-for-workers-in-construction" TargetMode="External"/><Relationship Id="rId17" Type="http://schemas.openxmlformats.org/officeDocument/2006/relationships/hyperlink" Target="https://www.energy.ca.gov/media/12282" TargetMode="External"/><Relationship Id="rId25" Type="http://schemas.openxmlformats.org/officeDocument/2006/relationships/hyperlink" Target="https://www.energy.ca.gov/media/5130" TargetMode="External"/><Relationship Id="rId2" Type="http://schemas.openxmlformats.org/officeDocument/2006/relationships/customXml" Target="../customXml/item2.xml"/><Relationship Id="rId16" Type="http://schemas.openxmlformats.org/officeDocument/2006/relationships/hyperlink" Target="https://www.irs.gov/tax-professionals/standard-mileage-rates" TargetMode="External"/><Relationship Id="rId20" Type="http://schemas.openxmlformats.org/officeDocument/2006/relationships/hyperlink" Target="https://www.nist.gov/mep/supply-chain/supplier-scouti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whd/government-contracts/construction" TargetMode="External"/><Relationship Id="rId24" Type="http://schemas.openxmlformats.org/officeDocument/2006/relationships/hyperlink" Target="https://www.energy.ca.gov/media/5129" TargetMode="External"/><Relationship Id="rId5" Type="http://schemas.openxmlformats.org/officeDocument/2006/relationships/numbering" Target="numbering.xml"/><Relationship Id="rId15" Type="http://schemas.openxmlformats.org/officeDocument/2006/relationships/hyperlink" Target="https://www.energy.ca.gov/sites/default/files/2025-04/Travel_and_Per_Diem_10-01-24_to_09-30-25_ada.pdf" TargetMode="External"/><Relationship Id="rId23" Type="http://schemas.openxmlformats.org/officeDocument/2006/relationships/hyperlink" Target="https://www.energy.ca.gov/media/5128"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nergy.ca.gov/media/9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tl.doe.gov/sites/default/files/2024-04/Fringe-Reconciliation-Form.xlsx" TargetMode="External"/><Relationship Id="rId22" Type="http://schemas.openxmlformats.org/officeDocument/2006/relationships/hyperlink" Target="https://www.energy.ca.gov/media/5127"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584eaa-d4dc-44a3-a033-e234a6ca65de" xsi:nil="true"/>
    <lcf76f155ced4ddcb4097134ff3c332f xmlns="10e6fd3a-79bb-4bd9-96aa-e65bb1d424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048C2B57C19754CA125E9D76E5C728E" ma:contentTypeVersion="15" ma:contentTypeDescription="Create a new document." ma:contentTypeScope="" ma:versionID="0aaaa6fbf2e03cd71dc55a9df3a5c47d">
  <xsd:schema xmlns:xsd="http://www.w3.org/2001/XMLSchema" xmlns:xs="http://www.w3.org/2001/XMLSchema" xmlns:p="http://schemas.microsoft.com/office/2006/metadata/properties" xmlns:ns2="10e6fd3a-79bb-4bd9-96aa-e65bb1d424a7" xmlns:ns3="95584eaa-d4dc-44a3-a033-e234a6ca65de" targetNamespace="http://schemas.microsoft.com/office/2006/metadata/properties" ma:root="true" ma:fieldsID="04b0fd1d76fb449109cfcd3a36250671" ns2:_="" ns3:_="">
    <xsd:import namespace="10e6fd3a-79bb-4bd9-96aa-e65bb1d424a7"/>
    <xsd:import namespace="95584eaa-d4dc-44a3-a033-e234a6ca65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e6fd3a-79bb-4bd9-96aa-e65bb1d42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84eaa-d4dc-44a3-a033-e234a6ca65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3856b8-d4f3-43bf-bad3-d34e6f87998d}" ma:internalName="TaxCatchAll" ma:showField="CatchAllData" ma:web="95584eaa-d4dc-44a3-a033-e234a6ca6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BD370C-B02C-4C65-A572-B684990E9273}">
  <ds:schemaRefs>
    <ds:schemaRef ds:uri="http://schemas.microsoft.com/office/2006/metadata/properties"/>
    <ds:schemaRef ds:uri="http://schemas.microsoft.com/office/infopath/2007/PartnerControls"/>
    <ds:schemaRef ds:uri="d24d64f4-5045-4b73-8875-455e037d63c3"/>
    <ds:schemaRef ds:uri="95584eaa-d4dc-44a3-a033-e234a6ca65de"/>
  </ds:schemaRefs>
</ds:datastoreItem>
</file>

<file path=customXml/itemProps2.xml><?xml version="1.0" encoding="utf-8"?>
<ds:datastoreItem xmlns:ds="http://schemas.openxmlformats.org/officeDocument/2006/customXml" ds:itemID="{A7D949B6-89CB-4069-8758-3701A0B06FBE}">
  <ds:schemaRefs>
    <ds:schemaRef ds:uri="http://schemas.microsoft.com/sharepoint/v3/contenttype/forms"/>
  </ds:schemaRefs>
</ds:datastoreItem>
</file>

<file path=customXml/itemProps3.xml><?xml version="1.0" encoding="utf-8"?>
<ds:datastoreItem xmlns:ds="http://schemas.openxmlformats.org/officeDocument/2006/customXml" ds:itemID="{B75E9DC8-545D-40DC-9204-86DC4F1D6028}">
  <ds:schemaRefs>
    <ds:schemaRef ds:uri="http://schemas.openxmlformats.org/officeDocument/2006/bibliography"/>
  </ds:schemaRefs>
</ds:datastoreItem>
</file>

<file path=customXml/itemProps4.xml><?xml version="1.0" encoding="utf-8"?>
<ds:datastoreItem xmlns:ds="http://schemas.openxmlformats.org/officeDocument/2006/customXml" ds:itemID="{67899CB0-4348-4B91-966B-6896F0871695}"/>
</file>

<file path=docProps/app.xml><?xml version="1.0" encoding="utf-8"?>
<Properties xmlns="http://schemas.openxmlformats.org/officeDocument/2006/extended-properties" xmlns:vt="http://schemas.openxmlformats.org/officeDocument/2006/docPropsVTypes">
  <Template>Normal</Template>
  <TotalTime>51</TotalTime>
  <Pages>24</Pages>
  <Words>8541</Words>
  <Characters>48690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57117</CharactersWithSpaces>
  <SharedDoc>false</SharedDoc>
  <HLinks>
    <vt:vector size="426" baseType="variant">
      <vt:variant>
        <vt:i4>131095</vt:i4>
      </vt:variant>
      <vt:variant>
        <vt:i4>351</vt:i4>
      </vt:variant>
      <vt:variant>
        <vt:i4>0</vt:i4>
      </vt:variant>
      <vt:variant>
        <vt:i4>5</vt:i4>
      </vt:variant>
      <vt:variant>
        <vt:lpwstr>https://www.energy.ca.gov/media/5130</vt:lpwstr>
      </vt:variant>
      <vt:variant>
        <vt:lpwstr/>
      </vt:variant>
      <vt:variant>
        <vt:i4>720918</vt:i4>
      </vt:variant>
      <vt:variant>
        <vt:i4>348</vt:i4>
      </vt:variant>
      <vt:variant>
        <vt:i4>0</vt:i4>
      </vt:variant>
      <vt:variant>
        <vt:i4>5</vt:i4>
      </vt:variant>
      <vt:variant>
        <vt:lpwstr>https://www.energy.ca.gov/media/5129</vt:lpwstr>
      </vt:variant>
      <vt:variant>
        <vt:lpwstr/>
      </vt:variant>
      <vt:variant>
        <vt:i4>655382</vt:i4>
      </vt:variant>
      <vt:variant>
        <vt:i4>345</vt:i4>
      </vt:variant>
      <vt:variant>
        <vt:i4>0</vt:i4>
      </vt:variant>
      <vt:variant>
        <vt:i4>5</vt:i4>
      </vt:variant>
      <vt:variant>
        <vt:lpwstr>https://www.energy.ca.gov/media/5128</vt:lpwstr>
      </vt:variant>
      <vt:variant>
        <vt:lpwstr/>
      </vt:variant>
      <vt:variant>
        <vt:i4>327702</vt:i4>
      </vt:variant>
      <vt:variant>
        <vt:i4>342</vt:i4>
      </vt:variant>
      <vt:variant>
        <vt:i4>0</vt:i4>
      </vt:variant>
      <vt:variant>
        <vt:i4>5</vt:i4>
      </vt:variant>
      <vt:variant>
        <vt:lpwstr>https://www.energy.ca.gov/media/5127</vt:lpwstr>
      </vt:variant>
      <vt:variant>
        <vt:lpwstr/>
      </vt:variant>
      <vt:variant>
        <vt:i4>851986</vt:i4>
      </vt:variant>
      <vt:variant>
        <vt:i4>339</vt:i4>
      </vt:variant>
      <vt:variant>
        <vt:i4>0</vt:i4>
      </vt:variant>
      <vt:variant>
        <vt:i4>5</vt:i4>
      </vt:variant>
      <vt:variant>
        <vt:lpwstr>https://www.energy.ca.gov/media/5967</vt:lpwstr>
      </vt:variant>
      <vt:variant>
        <vt:lpwstr/>
      </vt:variant>
      <vt:variant>
        <vt:i4>2949169</vt:i4>
      </vt:variant>
      <vt:variant>
        <vt:i4>336</vt:i4>
      </vt:variant>
      <vt:variant>
        <vt:i4>0</vt:i4>
      </vt:variant>
      <vt:variant>
        <vt:i4>5</vt:i4>
      </vt:variant>
      <vt:variant>
        <vt:lpwstr>https://www.nist.gov/mep/supply-chain/supplier-scouting</vt:lpwstr>
      </vt:variant>
      <vt:variant>
        <vt:lpwstr/>
      </vt:variant>
      <vt:variant>
        <vt:i4>458778</vt:i4>
      </vt:variant>
      <vt:variant>
        <vt:i4>333</vt:i4>
      </vt:variant>
      <vt:variant>
        <vt:i4>0</vt:i4>
      </vt:variant>
      <vt:variant>
        <vt:i4>5</vt:i4>
      </vt:variant>
      <vt:variant>
        <vt:lpwstr>https://www.energy.ca.gov/media/9024</vt:lpwstr>
      </vt:variant>
      <vt:variant>
        <vt:lpwstr/>
      </vt:variant>
      <vt:variant>
        <vt:i4>5308437</vt:i4>
      </vt:variant>
      <vt:variant>
        <vt:i4>330</vt:i4>
      </vt:variant>
      <vt:variant>
        <vt:i4>0</vt:i4>
      </vt:variant>
      <vt:variant>
        <vt:i4>5</vt:i4>
      </vt:variant>
      <vt:variant>
        <vt:lpwstr>https://www.energy.ca.gov/sites/default/files/2025-06/Equipment_Verification_Email_Template_ada.docx</vt:lpwstr>
      </vt:variant>
      <vt:variant>
        <vt:lpwstr/>
      </vt:variant>
      <vt:variant>
        <vt:i4>589842</vt:i4>
      </vt:variant>
      <vt:variant>
        <vt:i4>327</vt:i4>
      </vt:variant>
      <vt:variant>
        <vt:i4>0</vt:i4>
      </vt:variant>
      <vt:variant>
        <vt:i4>5</vt:i4>
      </vt:variant>
      <vt:variant>
        <vt:lpwstr>https://www.energy.ca.gov/media/12282</vt:lpwstr>
      </vt:variant>
      <vt:variant>
        <vt:lpwstr/>
      </vt:variant>
      <vt:variant>
        <vt:i4>5505112</vt:i4>
      </vt:variant>
      <vt:variant>
        <vt:i4>324</vt:i4>
      </vt:variant>
      <vt:variant>
        <vt:i4>0</vt:i4>
      </vt:variant>
      <vt:variant>
        <vt:i4>5</vt:i4>
      </vt:variant>
      <vt:variant>
        <vt:lpwstr>https://www.irs.gov/tax-professionals/standard-mileage-rates</vt:lpwstr>
      </vt:variant>
      <vt:variant>
        <vt:lpwstr/>
      </vt:variant>
      <vt:variant>
        <vt:i4>7995407</vt:i4>
      </vt:variant>
      <vt:variant>
        <vt:i4>321</vt:i4>
      </vt:variant>
      <vt:variant>
        <vt:i4>0</vt:i4>
      </vt:variant>
      <vt:variant>
        <vt:i4>5</vt:i4>
      </vt:variant>
      <vt:variant>
        <vt:lpwstr>https://www.energy.ca.gov/sites/default/files/2025-04/Travel_and_Per_Diem_10-01-24_to_09-30-25_ada.pdf</vt:lpwstr>
      </vt:variant>
      <vt:variant>
        <vt:lpwstr/>
      </vt:variant>
      <vt:variant>
        <vt:i4>1507344</vt:i4>
      </vt:variant>
      <vt:variant>
        <vt:i4>318</vt:i4>
      </vt:variant>
      <vt:variant>
        <vt:i4>0</vt:i4>
      </vt:variant>
      <vt:variant>
        <vt:i4>5</vt:i4>
      </vt:variant>
      <vt:variant>
        <vt:lpwstr>https://netl.doe.gov/sites/default/files/2024-04/Fringe-Reconciliation-Form.xlsx</vt:lpwstr>
      </vt:variant>
      <vt:variant>
        <vt:lpwstr/>
      </vt:variant>
      <vt:variant>
        <vt:i4>5177446</vt:i4>
      </vt:variant>
      <vt:variant>
        <vt:i4>315</vt:i4>
      </vt:variant>
      <vt:variant>
        <vt:i4>0</vt:i4>
      </vt:variant>
      <vt:variant>
        <vt:i4>5</vt:i4>
      </vt:variant>
      <vt:variant>
        <vt:lpwstr>https://www.ecfr.gov/cgi-bin/text-idx?SID=5c3db28847a91cd02783ad85cfde49aa&amp;mc=true&amp;node=se2.1.200_1431&amp;rgn=div8</vt:lpwstr>
      </vt:variant>
      <vt:variant>
        <vt:lpwstr/>
      </vt:variant>
      <vt:variant>
        <vt:i4>655388</vt:i4>
      </vt:variant>
      <vt:variant>
        <vt:i4>312</vt:i4>
      </vt:variant>
      <vt:variant>
        <vt:i4>0</vt:i4>
      </vt:variant>
      <vt:variant>
        <vt:i4>5</vt:i4>
      </vt:variant>
      <vt:variant>
        <vt:lpwstr>https://www.dol.gov/agencies/whd/government-contracts/protections-for-workers-in-construction</vt:lpwstr>
      </vt:variant>
      <vt:variant>
        <vt:lpwstr/>
      </vt:variant>
      <vt:variant>
        <vt:i4>3080254</vt:i4>
      </vt:variant>
      <vt:variant>
        <vt:i4>309</vt:i4>
      </vt:variant>
      <vt:variant>
        <vt:i4>0</vt:i4>
      </vt:variant>
      <vt:variant>
        <vt:i4>5</vt:i4>
      </vt:variant>
      <vt:variant>
        <vt:lpwstr>https://www.dol.gov/agencies/whd/government-contracts/construction</vt:lpwstr>
      </vt:variant>
      <vt:variant>
        <vt:lpwstr/>
      </vt:variant>
      <vt:variant>
        <vt:i4>2031669</vt:i4>
      </vt:variant>
      <vt:variant>
        <vt:i4>302</vt:i4>
      </vt:variant>
      <vt:variant>
        <vt:i4>0</vt:i4>
      </vt:variant>
      <vt:variant>
        <vt:i4>5</vt:i4>
      </vt:variant>
      <vt:variant>
        <vt:lpwstr/>
      </vt:variant>
      <vt:variant>
        <vt:lpwstr>_Toc216363790</vt:lpwstr>
      </vt:variant>
      <vt:variant>
        <vt:i4>1966133</vt:i4>
      </vt:variant>
      <vt:variant>
        <vt:i4>296</vt:i4>
      </vt:variant>
      <vt:variant>
        <vt:i4>0</vt:i4>
      </vt:variant>
      <vt:variant>
        <vt:i4>5</vt:i4>
      </vt:variant>
      <vt:variant>
        <vt:lpwstr/>
      </vt:variant>
      <vt:variant>
        <vt:lpwstr>_Toc216363789</vt:lpwstr>
      </vt:variant>
      <vt:variant>
        <vt:i4>1966133</vt:i4>
      </vt:variant>
      <vt:variant>
        <vt:i4>290</vt:i4>
      </vt:variant>
      <vt:variant>
        <vt:i4>0</vt:i4>
      </vt:variant>
      <vt:variant>
        <vt:i4>5</vt:i4>
      </vt:variant>
      <vt:variant>
        <vt:lpwstr/>
      </vt:variant>
      <vt:variant>
        <vt:lpwstr>_Toc216363788</vt:lpwstr>
      </vt:variant>
      <vt:variant>
        <vt:i4>1966133</vt:i4>
      </vt:variant>
      <vt:variant>
        <vt:i4>284</vt:i4>
      </vt:variant>
      <vt:variant>
        <vt:i4>0</vt:i4>
      </vt:variant>
      <vt:variant>
        <vt:i4>5</vt:i4>
      </vt:variant>
      <vt:variant>
        <vt:lpwstr/>
      </vt:variant>
      <vt:variant>
        <vt:lpwstr>_Toc216363787</vt:lpwstr>
      </vt:variant>
      <vt:variant>
        <vt:i4>1966133</vt:i4>
      </vt:variant>
      <vt:variant>
        <vt:i4>278</vt:i4>
      </vt:variant>
      <vt:variant>
        <vt:i4>0</vt:i4>
      </vt:variant>
      <vt:variant>
        <vt:i4>5</vt:i4>
      </vt:variant>
      <vt:variant>
        <vt:lpwstr/>
      </vt:variant>
      <vt:variant>
        <vt:lpwstr>_Toc216363786</vt:lpwstr>
      </vt:variant>
      <vt:variant>
        <vt:i4>1966133</vt:i4>
      </vt:variant>
      <vt:variant>
        <vt:i4>272</vt:i4>
      </vt:variant>
      <vt:variant>
        <vt:i4>0</vt:i4>
      </vt:variant>
      <vt:variant>
        <vt:i4>5</vt:i4>
      </vt:variant>
      <vt:variant>
        <vt:lpwstr/>
      </vt:variant>
      <vt:variant>
        <vt:lpwstr>_Toc216363785</vt:lpwstr>
      </vt:variant>
      <vt:variant>
        <vt:i4>1966133</vt:i4>
      </vt:variant>
      <vt:variant>
        <vt:i4>266</vt:i4>
      </vt:variant>
      <vt:variant>
        <vt:i4>0</vt:i4>
      </vt:variant>
      <vt:variant>
        <vt:i4>5</vt:i4>
      </vt:variant>
      <vt:variant>
        <vt:lpwstr/>
      </vt:variant>
      <vt:variant>
        <vt:lpwstr>_Toc216363784</vt:lpwstr>
      </vt:variant>
      <vt:variant>
        <vt:i4>1966133</vt:i4>
      </vt:variant>
      <vt:variant>
        <vt:i4>260</vt:i4>
      </vt:variant>
      <vt:variant>
        <vt:i4>0</vt:i4>
      </vt:variant>
      <vt:variant>
        <vt:i4>5</vt:i4>
      </vt:variant>
      <vt:variant>
        <vt:lpwstr/>
      </vt:variant>
      <vt:variant>
        <vt:lpwstr>_Toc216363783</vt:lpwstr>
      </vt:variant>
      <vt:variant>
        <vt:i4>1966133</vt:i4>
      </vt:variant>
      <vt:variant>
        <vt:i4>254</vt:i4>
      </vt:variant>
      <vt:variant>
        <vt:i4>0</vt:i4>
      </vt:variant>
      <vt:variant>
        <vt:i4>5</vt:i4>
      </vt:variant>
      <vt:variant>
        <vt:lpwstr/>
      </vt:variant>
      <vt:variant>
        <vt:lpwstr>_Toc216363782</vt:lpwstr>
      </vt:variant>
      <vt:variant>
        <vt:i4>1966133</vt:i4>
      </vt:variant>
      <vt:variant>
        <vt:i4>248</vt:i4>
      </vt:variant>
      <vt:variant>
        <vt:i4>0</vt:i4>
      </vt:variant>
      <vt:variant>
        <vt:i4>5</vt:i4>
      </vt:variant>
      <vt:variant>
        <vt:lpwstr/>
      </vt:variant>
      <vt:variant>
        <vt:lpwstr>_Toc216363781</vt:lpwstr>
      </vt:variant>
      <vt:variant>
        <vt:i4>1966133</vt:i4>
      </vt:variant>
      <vt:variant>
        <vt:i4>242</vt:i4>
      </vt:variant>
      <vt:variant>
        <vt:i4>0</vt:i4>
      </vt:variant>
      <vt:variant>
        <vt:i4>5</vt:i4>
      </vt:variant>
      <vt:variant>
        <vt:lpwstr/>
      </vt:variant>
      <vt:variant>
        <vt:lpwstr>_Toc216363780</vt:lpwstr>
      </vt:variant>
      <vt:variant>
        <vt:i4>1114165</vt:i4>
      </vt:variant>
      <vt:variant>
        <vt:i4>236</vt:i4>
      </vt:variant>
      <vt:variant>
        <vt:i4>0</vt:i4>
      </vt:variant>
      <vt:variant>
        <vt:i4>5</vt:i4>
      </vt:variant>
      <vt:variant>
        <vt:lpwstr/>
      </vt:variant>
      <vt:variant>
        <vt:lpwstr>_Toc216363779</vt:lpwstr>
      </vt:variant>
      <vt:variant>
        <vt:i4>1114165</vt:i4>
      </vt:variant>
      <vt:variant>
        <vt:i4>230</vt:i4>
      </vt:variant>
      <vt:variant>
        <vt:i4>0</vt:i4>
      </vt:variant>
      <vt:variant>
        <vt:i4>5</vt:i4>
      </vt:variant>
      <vt:variant>
        <vt:lpwstr/>
      </vt:variant>
      <vt:variant>
        <vt:lpwstr>_Toc216363778</vt:lpwstr>
      </vt:variant>
      <vt:variant>
        <vt:i4>1114165</vt:i4>
      </vt:variant>
      <vt:variant>
        <vt:i4>224</vt:i4>
      </vt:variant>
      <vt:variant>
        <vt:i4>0</vt:i4>
      </vt:variant>
      <vt:variant>
        <vt:i4>5</vt:i4>
      </vt:variant>
      <vt:variant>
        <vt:lpwstr/>
      </vt:variant>
      <vt:variant>
        <vt:lpwstr>_Toc216363777</vt:lpwstr>
      </vt:variant>
      <vt:variant>
        <vt:i4>1114165</vt:i4>
      </vt:variant>
      <vt:variant>
        <vt:i4>218</vt:i4>
      </vt:variant>
      <vt:variant>
        <vt:i4>0</vt:i4>
      </vt:variant>
      <vt:variant>
        <vt:i4>5</vt:i4>
      </vt:variant>
      <vt:variant>
        <vt:lpwstr/>
      </vt:variant>
      <vt:variant>
        <vt:lpwstr>_Toc216363776</vt:lpwstr>
      </vt:variant>
      <vt:variant>
        <vt:i4>1114165</vt:i4>
      </vt:variant>
      <vt:variant>
        <vt:i4>212</vt:i4>
      </vt:variant>
      <vt:variant>
        <vt:i4>0</vt:i4>
      </vt:variant>
      <vt:variant>
        <vt:i4>5</vt:i4>
      </vt:variant>
      <vt:variant>
        <vt:lpwstr/>
      </vt:variant>
      <vt:variant>
        <vt:lpwstr>_Toc216363775</vt:lpwstr>
      </vt:variant>
      <vt:variant>
        <vt:i4>1114165</vt:i4>
      </vt:variant>
      <vt:variant>
        <vt:i4>206</vt:i4>
      </vt:variant>
      <vt:variant>
        <vt:i4>0</vt:i4>
      </vt:variant>
      <vt:variant>
        <vt:i4>5</vt:i4>
      </vt:variant>
      <vt:variant>
        <vt:lpwstr/>
      </vt:variant>
      <vt:variant>
        <vt:lpwstr>_Toc216363774</vt:lpwstr>
      </vt:variant>
      <vt:variant>
        <vt:i4>1114165</vt:i4>
      </vt:variant>
      <vt:variant>
        <vt:i4>200</vt:i4>
      </vt:variant>
      <vt:variant>
        <vt:i4>0</vt:i4>
      </vt:variant>
      <vt:variant>
        <vt:i4>5</vt:i4>
      </vt:variant>
      <vt:variant>
        <vt:lpwstr/>
      </vt:variant>
      <vt:variant>
        <vt:lpwstr>_Toc216363773</vt:lpwstr>
      </vt:variant>
      <vt:variant>
        <vt:i4>1114165</vt:i4>
      </vt:variant>
      <vt:variant>
        <vt:i4>194</vt:i4>
      </vt:variant>
      <vt:variant>
        <vt:i4>0</vt:i4>
      </vt:variant>
      <vt:variant>
        <vt:i4>5</vt:i4>
      </vt:variant>
      <vt:variant>
        <vt:lpwstr/>
      </vt:variant>
      <vt:variant>
        <vt:lpwstr>_Toc216363772</vt:lpwstr>
      </vt:variant>
      <vt:variant>
        <vt:i4>1114165</vt:i4>
      </vt:variant>
      <vt:variant>
        <vt:i4>188</vt:i4>
      </vt:variant>
      <vt:variant>
        <vt:i4>0</vt:i4>
      </vt:variant>
      <vt:variant>
        <vt:i4>5</vt:i4>
      </vt:variant>
      <vt:variant>
        <vt:lpwstr/>
      </vt:variant>
      <vt:variant>
        <vt:lpwstr>_Toc216363771</vt:lpwstr>
      </vt:variant>
      <vt:variant>
        <vt:i4>1114165</vt:i4>
      </vt:variant>
      <vt:variant>
        <vt:i4>182</vt:i4>
      </vt:variant>
      <vt:variant>
        <vt:i4>0</vt:i4>
      </vt:variant>
      <vt:variant>
        <vt:i4>5</vt:i4>
      </vt:variant>
      <vt:variant>
        <vt:lpwstr/>
      </vt:variant>
      <vt:variant>
        <vt:lpwstr>_Toc216363770</vt:lpwstr>
      </vt:variant>
      <vt:variant>
        <vt:i4>1048629</vt:i4>
      </vt:variant>
      <vt:variant>
        <vt:i4>176</vt:i4>
      </vt:variant>
      <vt:variant>
        <vt:i4>0</vt:i4>
      </vt:variant>
      <vt:variant>
        <vt:i4>5</vt:i4>
      </vt:variant>
      <vt:variant>
        <vt:lpwstr/>
      </vt:variant>
      <vt:variant>
        <vt:lpwstr>_Toc216363769</vt:lpwstr>
      </vt:variant>
      <vt:variant>
        <vt:i4>1048629</vt:i4>
      </vt:variant>
      <vt:variant>
        <vt:i4>170</vt:i4>
      </vt:variant>
      <vt:variant>
        <vt:i4>0</vt:i4>
      </vt:variant>
      <vt:variant>
        <vt:i4>5</vt:i4>
      </vt:variant>
      <vt:variant>
        <vt:lpwstr/>
      </vt:variant>
      <vt:variant>
        <vt:lpwstr>_Toc216363768</vt:lpwstr>
      </vt:variant>
      <vt:variant>
        <vt:i4>1048629</vt:i4>
      </vt:variant>
      <vt:variant>
        <vt:i4>164</vt:i4>
      </vt:variant>
      <vt:variant>
        <vt:i4>0</vt:i4>
      </vt:variant>
      <vt:variant>
        <vt:i4>5</vt:i4>
      </vt:variant>
      <vt:variant>
        <vt:lpwstr/>
      </vt:variant>
      <vt:variant>
        <vt:lpwstr>_Toc216363767</vt:lpwstr>
      </vt:variant>
      <vt:variant>
        <vt:i4>1048629</vt:i4>
      </vt:variant>
      <vt:variant>
        <vt:i4>158</vt:i4>
      </vt:variant>
      <vt:variant>
        <vt:i4>0</vt:i4>
      </vt:variant>
      <vt:variant>
        <vt:i4>5</vt:i4>
      </vt:variant>
      <vt:variant>
        <vt:lpwstr/>
      </vt:variant>
      <vt:variant>
        <vt:lpwstr>_Toc216363766</vt:lpwstr>
      </vt:variant>
      <vt:variant>
        <vt:i4>1048629</vt:i4>
      </vt:variant>
      <vt:variant>
        <vt:i4>152</vt:i4>
      </vt:variant>
      <vt:variant>
        <vt:i4>0</vt:i4>
      </vt:variant>
      <vt:variant>
        <vt:i4>5</vt:i4>
      </vt:variant>
      <vt:variant>
        <vt:lpwstr/>
      </vt:variant>
      <vt:variant>
        <vt:lpwstr>_Toc216363765</vt:lpwstr>
      </vt:variant>
      <vt:variant>
        <vt:i4>1048629</vt:i4>
      </vt:variant>
      <vt:variant>
        <vt:i4>146</vt:i4>
      </vt:variant>
      <vt:variant>
        <vt:i4>0</vt:i4>
      </vt:variant>
      <vt:variant>
        <vt:i4>5</vt:i4>
      </vt:variant>
      <vt:variant>
        <vt:lpwstr/>
      </vt:variant>
      <vt:variant>
        <vt:lpwstr>_Toc216363764</vt:lpwstr>
      </vt:variant>
      <vt:variant>
        <vt:i4>1048629</vt:i4>
      </vt:variant>
      <vt:variant>
        <vt:i4>140</vt:i4>
      </vt:variant>
      <vt:variant>
        <vt:i4>0</vt:i4>
      </vt:variant>
      <vt:variant>
        <vt:i4>5</vt:i4>
      </vt:variant>
      <vt:variant>
        <vt:lpwstr/>
      </vt:variant>
      <vt:variant>
        <vt:lpwstr>_Toc216363763</vt:lpwstr>
      </vt:variant>
      <vt:variant>
        <vt:i4>1048629</vt:i4>
      </vt:variant>
      <vt:variant>
        <vt:i4>134</vt:i4>
      </vt:variant>
      <vt:variant>
        <vt:i4>0</vt:i4>
      </vt:variant>
      <vt:variant>
        <vt:i4>5</vt:i4>
      </vt:variant>
      <vt:variant>
        <vt:lpwstr/>
      </vt:variant>
      <vt:variant>
        <vt:lpwstr>_Toc216363762</vt:lpwstr>
      </vt:variant>
      <vt:variant>
        <vt:i4>1048629</vt:i4>
      </vt:variant>
      <vt:variant>
        <vt:i4>128</vt:i4>
      </vt:variant>
      <vt:variant>
        <vt:i4>0</vt:i4>
      </vt:variant>
      <vt:variant>
        <vt:i4>5</vt:i4>
      </vt:variant>
      <vt:variant>
        <vt:lpwstr/>
      </vt:variant>
      <vt:variant>
        <vt:lpwstr>_Toc216363761</vt:lpwstr>
      </vt:variant>
      <vt:variant>
        <vt:i4>1048629</vt:i4>
      </vt:variant>
      <vt:variant>
        <vt:i4>122</vt:i4>
      </vt:variant>
      <vt:variant>
        <vt:i4>0</vt:i4>
      </vt:variant>
      <vt:variant>
        <vt:i4>5</vt:i4>
      </vt:variant>
      <vt:variant>
        <vt:lpwstr/>
      </vt:variant>
      <vt:variant>
        <vt:lpwstr>_Toc216363760</vt:lpwstr>
      </vt:variant>
      <vt:variant>
        <vt:i4>1245237</vt:i4>
      </vt:variant>
      <vt:variant>
        <vt:i4>116</vt:i4>
      </vt:variant>
      <vt:variant>
        <vt:i4>0</vt:i4>
      </vt:variant>
      <vt:variant>
        <vt:i4>5</vt:i4>
      </vt:variant>
      <vt:variant>
        <vt:lpwstr/>
      </vt:variant>
      <vt:variant>
        <vt:lpwstr>_Toc216363759</vt:lpwstr>
      </vt:variant>
      <vt:variant>
        <vt:i4>1245237</vt:i4>
      </vt:variant>
      <vt:variant>
        <vt:i4>110</vt:i4>
      </vt:variant>
      <vt:variant>
        <vt:i4>0</vt:i4>
      </vt:variant>
      <vt:variant>
        <vt:i4>5</vt:i4>
      </vt:variant>
      <vt:variant>
        <vt:lpwstr/>
      </vt:variant>
      <vt:variant>
        <vt:lpwstr>_Toc216363758</vt:lpwstr>
      </vt:variant>
      <vt:variant>
        <vt:i4>1245237</vt:i4>
      </vt:variant>
      <vt:variant>
        <vt:i4>104</vt:i4>
      </vt:variant>
      <vt:variant>
        <vt:i4>0</vt:i4>
      </vt:variant>
      <vt:variant>
        <vt:i4>5</vt:i4>
      </vt:variant>
      <vt:variant>
        <vt:lpwstr/>
      </vt:variant>
      <vt:variant>
        <vt:lpwstr>_Toc216363757</vt:lpwstr>
      </vt:variant>
      <vt:variant>
        <vt:i4>1245237</vt:i4>
      </vt:variant>
      <vt:variant>
        <vt:i4>98</vt:i4>
      </vt:variant>
      <vt:variant>
        <vt:i4>0</vt:i4>
      </vt:variant>
      <vt:variant>
        <vt:i4>5</vt:i4>
      </vt:variant>
      <vt:variant>
        <vt:lpwstr/>
      </vt:variant>
      <vt:variant>
        <vt:lpwstr>_Toc216363756</vt:lpwstr>
      </vt:variant>
      <vt:variant>
        <vt:i4>1245237</vt:i4>
      </vt:variant>
      <vt:variant>
        <vt:i4>92</vt:i4>
      </vt:variant>
      <vt:variant>
        <vt:i4>0</vt:i4>
      </vt:variant>
      <vt:variant>
        <vt:i4>5</vt:i4>
      </vt:variant>
      <vt:variant>
        <vt:lpwstr/>
      </vt:variant>
      <vt:variant>
        <vt:lpwstr>_Toc216363755</vt:lpwstr>
      </vt:variant>
      <vt:variant>
        <vt:i4>1245237</vt:i4>
      </vt:variant>
      <vt:variant>
        <vt:i4>86</vt:i4>
      </vt:variant>
      <vt:variant>
        <vt:i4>0</vt:i4>
      </vt:variant>
      <vt:variant>
        <vt:i4>5</vt:i4>
      </vt:variant>
      <vt:variant>
        <vt:lpwstr/>
      </vt:variant>
      <vt:variant>
        <vt:lpwstr>_Toc216363754</vt:lpwstr>
      </vt:variant>
      <vt:variant>
        <vt:i4>1245237</vt:i4>
      </vt:variant>
      <vt:variant>
        <vt:i4>80</vt:i4>
      </vt:variant>
      <vt:variant>
        <vt:i4>0</vt:i4>
      </vt:variant>
      <vt:variant>
        <vt:i4>5</vt:i4>
      </vt:variant>
      <vt:variant>
        <vt:lpwstr/>
      </vt:variant>
      <vt:variant>
        <vt:lpwstr>_Toc216363753</vt:lpwstr>
      </vt:variant>
      <vt:variant>
        <vt:i4>1245237</vt:i4>
      </vt:variant>
      <vt:variant>
        <vt:i4>74</vt:i4>
      </vt:variant>
      <vt:variant>
        <vt:i4>0</vt:i4>
      </vt:variant>
      <vt:variant>
        <vt:i4>5</vt:i4>
      </vt:variant>
      <vt:variant>
        <vt:lpwstr/>
      </vt:variant>
      <vt:variant>
        <vt:lpwstr>_Toc216363752</vt:lpwstr>
      </vt:variant>
      <vt:variant>
        <vt:i4>1245237</vt:i4>
      </vt:variant>
      <vt:variant>
        <vt:i4>68</vt:i4>
      </vt:variant>
      <vt:variant>
        <vt:i4>0</vt:i4>
      </vt:variant>
      <vt:variant>
        <vt:i4>5</vt:i4>
      </vt:variant>
      <vt:variant>
        <vt:lpwstr/>
      </vt:variant>
      <vt:variant>
        <vt:lpwstr>_Toc216363751</vt:lpwstr>
      </vt:variant>
      <vt:variant>
        <vt:i4>1245237</vt:i4>
      </vt:variant>
      <vt:variant>
        <vt:i4>62</vt:i4>
      </vt:variant>
      <vt:variant>
        <vt:i4>0</vt:i4>
      </vt:variant>
      <vt:variant>
        <vt:i4>5</vt:i4>
      </vt:variant>
      <vt:variant>
        <vt:lpwstr/>
      </vt:variant>
      <vt:variant>
        <vt:lpwstr>_Toc216363750</vt:lpwstr>
      </vt:variant>
      <vt:variant>
        <vt:i4>1179701</vt:i4>
      </vt:variant>
      <vt:variant>
        <vt:i4>56</vt:i4>
      </vt:variant>
      <vt:variant>
        <vt:i4>0</vt:i4>
      </vt:variant>
      <vt:variant>
        <vt:i4>5</vt:i4>
      </vt:variant>
      <vt:variant>
        <vt:lpwstr/>
      </vt:variant>
      <vt:variant>
        <vt:lpwstr>_Toc216363749</vt:lpwstr>
      </vt:variant>
      <vt:variant>
        <vt:i4>1179701</vt:i4>
      </vt:variant>
      <vt:variant>
        <vt:i4>50</vt:i4>
      </vt:variant>
      <vt:variant>
        <vt:i4>0</vt:i4>
      </vt:variant>
      <vt:variant>
        <vt:i4>5</vt:i4>
      </vt:variant>
      <vt:variant>
        <vt:lpwstr/>
      </vt:variant>
      <vt:variant>
        <vt:lpwstr>_Toc216363748</vt:lpwstr>
      </vt:variant>
      <vt:variant>
        <vt:i4>1179701</vt:i4>
      </vt:variant>
      <vt:variant>
        <vt:i4>44</vt:i4>
      </vt:variant>
      <vt:variant>
        <vt:i4>0</vt:i4>
      </vt:variant>
      <vt:variant>
        <vt:i4>5</vt:i4>
      </vt:variant>
      <vt:variant>
        <vt:lpwstr/>
      </vt:variant>
      <vt:variant>
        <vt:lpwstr>_Toc216363747</vt:lpwstr>
      </vt:variant>
      <vt:variant>
        <vt:i4>1179701</vt:i4>
      </vt:variant>
      <vt:variant>
        <vt:i4>38</vt:i4>
      </vt:variant>
      <vt:variant>
        <vt:i4>0</vt:i4>
      </vt:variant>
      <vt:variant>
        <vt:i4>5</vt:i4>
      </vt:variant>
      <vt:variant>
        <vt:lpwstr/>
      </vt:variant>
      <vt:variant>
        <vt:lpwstr>_Toc216363746</vt:lpwstr>
      </vt:variant>
      <vt:variant>
        <vt:i4>1179701</vt:i4>
      </vt:variant>
      <vt:variant>
        <vt:i4>32</vt:i4>
      </vt:variant>
      <vt:variant>
        <vt:i4>0</vt:i4>
      </vt:variant>
      <vt:variant>
        <vt:i4>5</vt:i4>
      </vt:variant>
      <vt:variant>
        <vt:lpwstr/>
      </vt:variant>
      <vt:variant>
        <vt:lpwstr>_Toc216363745</vt:lpwstr>
      </vt:variant>
      <vt:variant>
        <vt:i4>1179701</vt:i4>
      </vt:variant>
      <vt:variant>
        <vt:i4>26</vt:i4>
      </vt:variant>
      <vt:variant>
        <vt:i4>0</vt:i4>
      </vt:variant>
      <vt:variant>
        <vt:i4>5</vt:i4>
      </vt:variant>
      <vt:variant>
        <vt:lpwstr/>
      </vt:variant>
      <vt:variant>
        <vt:lpwstr>_Toc216363744</vt:lpwstr>
      </vt:variant>
      <vt:variant>
        <vt:i4>1179701</vt:i4>
      </vt:variant>
      <vt:variant>
        <vt:i4>20</vt:i4>
      </vt:variant>
      <vt:variant>
        <vt:i4>0</vt:i4>
      </vt:variant>
      <vt:variant>
        <vt:i4>5</vt:i4>
      </vt:variant>
      <vt:variant>
        <vt:lpwstr/>
      </vt:variant>
      <vt:variant>
        <vt:lpwstr>_Toc216363743</vt:lpwstr>
      </vt:variant>
      <vt:variant>
        <vt:i4>1179701</vt:i4>
      </vt:variant>
      <vt:variant>
        <vt:i4>14</vt:i4>
      </vt:variant>
      <vt:variant>
        <vt:i4>0</vt:i4>
      </vt:variant>
      <vt:variant>
        <vt:i4>5</vt:i4>
      </vt:variant>
      <vt:variant>
        <vt:lpwstr/>
      </vt:variant>
      <vt:variant>
        <vt:lpwstr>_Toc216363742</vt:lpwstr>
      </vt:variant>
      <vt:variant>
        <vt:i4>1179701</vt:i4>
      </vt:variant>
      <vt:variant>
        <vt:i4>8</vt:i4>
      </vt:variant>
      <vt:variant>
        <vt:i4>0</vt:i4>
      </vt:variant>
      <vt:variant>
        <vt:i4>5</vt:i4>
      </vt:variant>
      <vt:variant>
        <vt:lpwstr/>
      </vt:variant>
      <vt:variant>
        <vt:lpwstr>_Toc216363741</vt:lpwstr>
      </vt:variant>
      <vt:variant>
        <vt:i4>1179701</vt:i4>
      </vt:variant>
      <vt:variant>
        <vt:i4>2</vt:i4>
      </vt:variant>
      <vt:variant>
        <vt:i4>0</vt:i4>
      </vt:variant>
      <vt:variant>
        <vt:i4>5</vt:i4>
      </vt:variant>
      <vt:variant>
        <vt:lpwstr/>
      </vt:variant>
      <vt:variant>
        <vt:lpwstr>_Toc216363740</vt:lpwstr>
      </vt:variant>
      <vt:variant>
        <vt:i4>7995407</vt:i4>
      </vt:variant>
      <vt:variant>
        <vt:i4>12</vt:i4>
      </vt:variant>
      <vt:variant>
        <vt:i4>0</vt:i4>
      </vt:variant>
      <vt:variant>
        <vt:i4>5</vt:i4>
      </vt:variant>
      <vt:variant>
        <vt:lpwstr>https://www.energy.ca.gov/sites/default/files/2025-04/Travel_and_Per_Diem_10-01-24_to_09-30-25_ada.pdf</vt:lpwstr>
      </vt:variant>
      <vt:variant>
        <vt:lpwstr/>
      </vt:variant>
      <vt:variant>
        <vt:i4>7536679</vt:i4>
      </vt:variant>
      <vt:variant>
        <vt:i4>9</vt:i4>
      </vt:variant>
      <vt:variant>
        <vt:i4>0</vt:i4>
      </vt:variant>
      <vt:variant>
        <vt:i4>5</vt:i4>
      </vt:variant>
      <vt:variant>
        <vt:lpwstr>https://www.calhr.ca.gov/about-calhr/divisions-programs/benefits/travel-reimbursements/</vt:lpwstr>
      </vt:variant>
      <vt:variant>
        <vt:lpwstr/>
      </vt:variant>
      <vt:variant>
        <vt:i4>2097165</vt:i4>
      </vt:variant>
      <vt:variant>
        <vt:i4>6</vt:i4>
      </vt:variant>
      <vt:variant>
        <vt:i4>0</vt:i4>
      </vt:variant>
      <vt:variant>
        <vt:i4>5</vt:i4>
      </vt:variant>
      <vt:variant>
        <vt:lpwstr>mailto:tanner.kural@energy.ca.gov</vt:lpwstr>
      </vt:variant>
      <vt:variant>
        <vt:lpwstr/>
      </vt:variant>
      <vt:variant>
        <vt:i4>2097165</vt:i4>
      </vt:variant>
      <vt:variant>
        <vt:i4>3</vt:i4>
      </vt:variant>
      <vt:variant>
        <vt:i4>0</vt:i4>
      </vt:variant>
      <vt:variant>
        <vt:i4>5</vt:i4>
      </vt:variant>
      <vt:variant>
        <vt:lpwstr>mailto:tanner.kural@energy.ca.gov</vt:lpwstr>
      </vt:variant>
      <vt:variant>
        <vt:lpwstr/>
      </vt:variant>
      <vt:variant>
        <vt:i4>2097165</vt:i4>
      </vt:variant>
      <vt:variant>
        <vt:i4>0</vt:i4>
      </vt:variant>
      <vt:variant>
        <vt:i4>0</vt:i4>
      </vt:variant>
      <vt:variant>
        <vt:i4>5</vt:i4>
      </vt:variant>
      <vt:variant>
        <vt:lpwstr>mailto:tanner.kural@energy.ca.gov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Webre, Alana@Energy</dc:creator>
  <cp:keywords/>
  <dc:description/>
  <cp:lastModifiedBy>Kovalick, Alexandra@Energy</cp:lastModifiedBy>
  <cp:revision>5</cp:revision>
  <dcterms:created xsi:type="dcterms:W3CDTF">2025-12-15T18:40:00Z</dcterms:created>
  <dcterms:modified xsi:type="dcterms:W3CDTF">2025-12-16T19:22:00Z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0x0101009048C2B57C19754CA125E9D76E5C728E</vt:lpwstr>
  </property>
  <property fmtid="{D5CDD505-2E9C-101B-9397-08002B2CF9AE}" pid="3" name="MediaServiceImageTags">
    <vt:lpwstr/>
  </property>
</Properties>
</file>