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16DB7" w14:textId="6903A952" w:rsidR="005B1416" w:rsidRPr="00AC6C6E" w:rsidRDefault="005B1416" w:rsidP="00AC6C6E">
      <w:pPr>
        <w:pStyle w:val="Heading1"/>
        <w:jc w:val="center"/>
        <w:rPr>
          <w:rFonts w:ascii="Tahoma" w:hAnsi="Tahoma" w:cs="Tahoma"/>
          <w:b/>
          <w:bCs/>
          <w:color w:val="auto"/>
          <w:sz w:val="24"/>
          <w:szCs w:val="24"/>
        </w:rPr>
      </w:pPr>
      <w:r w:rsidRPr="00AC6C6E">
        <w:rPr>
          <w:rFonts w:ascii="Tahoma" w:hAnsi="Tahoma" w:cs="Tahoma"/>
          <w:b/>
          <w:bCs/>
          <w:color w:val="auto"/>
          <w:sz w:val="24"/>
          <w:szCs w:val="24"/>
        </w:rPr>
        <w:t>Questions and Answers</w:t>
      </w:r>
    </w:p>
    <w:p w14:paraId="5F8DA435" w14:textId="4C838AF3" w:rsidR="005B1416" w:rsidRPr="00C45503" w:rsidRDefault="005B1416" w:rsidP="00C45503">
      <w:pPr>
        <w:tabs>
          <w:tab w:val="num" w:pos="720"/>
        </w:tabs>
        <w:spacing w:after="60"/>
        <w:ind w:left="720" w:hanging="360"/>
        <w:jc w:val="center"/>
        <w:rPr>
          <w:rFonts w:ascii="Tahoma" w:hAnsi="Tahoma" w:cs="Tahoma"/>
          <w:b/>
          <w:bCs/>
        </w:rPr>
      </w:pPr>
      <w:r w:rsidRPr="00C45503">
        <w:rPr>
          <w:rFonts w:ascii="Tahoma" w:hAnsi="Tahoma" w:cs="Tahoma"/>
          <w:b/>
          <w:bCs/>
        </w:rPr>
        <w:t>GFO-24-610</w:t>
      </w:r>
    </w:p>
    <w:p w14:paraId="7D15415C" w14:textId="6D767626" w:rsidR="005B1416" w:rsidRPr="00C45503" w:rsidRDefault="005B1416" w:rsidP="00C45503">
      <w:pPr>
        <w:tabs>
          <w:tab w:val="num" w:pos="720"/>
        </w:tabs>
        <w:spacing w:after="60"/>
        <w:ind w:left="720" w:hanging="360"/>
        <w:jc w:val="center"/>
        <w:rPr>
          <w:rFonts w:ascii="Tahoma" w:hAnsi="Tahoma" w:cs="Tahoma"/>
          <w:b/>
          <w:bCs/>
        </w:rPr>
      </w:pPr>
      <w:r w:rsidRPr="00C45503">
        <w:rPr>
          <w:rFonts w:ascii="Tahoma" w:hAnsi="Tahoma" w:cs="Tahoma"/>
          <w:b/>
          <w:bCs/>
        </w:rPr>
        <w:t>Medium- and Heavy-Duty Zero-Emission Vehicle Port Infrastructure</w:t>
      </w:r>
    </w:p>
    <w:p w14:paraId="18B79028" w14:textId="5D7C0301" w:rsidR="005B1416" w:rsidRDefault="006F3ADD" w:rsidP="00C45503">
      <w:pPr>
        <w:tabs>
          <w:tab w:val="num" w:pos="720"/>
        </w:tabs>
        <w:spacing w:after="60"/>
        <w:ind w:left="720" w:hanging="360"/>
        <w:jc w:val="center"/>
        <w:rPr>
          <w:rFonts w:ascii="Tahoma" w:hAnsi="Tahoma" w:cs="Tahoma"/>
          <w:b/>
          <w:bCs/>
        </w:rPr>
      </w:pPr>
      <w:r w:rsidRPr="00B3410A">
        <w:rPr>
          <w:rFonts w:ascii="Tahoma" w:hAnsi="Tahoma" w:cs="Tahoma"/>
          <w:b/>
          <w:bCs/>
        </w:rPr>
        <w:t xml:space="preserve">December </w:t>
      </w:r>
      <w:r w:rsidR="00DF2548" w:rsidRPr="00B3410A">
        <w:rPr>
          <w:rFonts w:ascii="Tahoma" w:hAnsi="Tahoma" w:cs="Tahoma"/>
          <w:b/>
          <w:bCs/>
        </w:rPr>
        <w:t>2</w:t>
      </w:r>
      <w:r w:rsidR="004310D2">
        <w:rPr>
          <w:rFonts w:ascii="Tahoma" w:hAnsi="Tahoma" w:cs="Tahoma"/>
          <w:b/>
          <w:bCs/>
        </w:rPr>
        <w:t>6</w:t>
      </w:r>
      <w:r w:rsidR="005B1416" w:rsidRPr="00B3410A">
        <w:rPr>
          <w:rFonts w:ascii="Tahoma" w:hAnsi="Tahoma" w:cs="Tahoma"/>
          <w:b/>
          <w:bCs/>
        </w:rPr>
        <w:t>, 2025</w:t>
      </w:r>
    </w:p>
    <w:p w14:paraId="3F2F10BF" w14:textId="77777777" w:rsidR="007F347E" w:rsidRDefault="007F347E" w:rsidP="00C45503">
      <w:pPr>
        <w:tabs>
          <w:tab w:val="num" w:pos="720"/>
        </w:tabs>
        <w:spacing w:after="60"/>
        <w:ind w:left="720" w:hanging="360"/>
        <w:jc w:val="center"/>
        <w:rPr>
          <w:rFonts w:ascii="Tahoma" w:hAnsi="Tahoma" w:cs="Tahoma"/>
          <w:b/>
          <w:bCs/>
        </w:rPr>
      </w:pPr>
    </w:p>
    <w:p w14:paraId="59FA148F" w14:textId="5EF3F51D" w:rsidR="00850D5D" w:rsidRDefault="002F4582" w:rsidP="0407D905">
      <w:pPr>
        <w:pStyle w:val="paragraph"/>
        <w:spacing w:before="0" w:beforeAutospacing="0" w:after="0" w:afterAutospacing="0"/>
        <w:textAlignment w:val="baseline"/>
        <w:rPr>
          <w:rStyle w:val="normaltextrun"/>
          <w:rFonts w:ascii="Tahoma" w:eastAsiaTheme="majorEastAsia" w:hAnsi="Tahoma" w:cs="Tahoma"/>
        </w:rPr>
      </w:pPr>
      <w:r w:rsidRPr="0407D905">
        <w:rPr>
          <w:rStyle w:val="normaltextrun"/>
          <w:rFonts w:ascii="Tahoma" w:eastAsiaTheme="majorEastAsia" w:hAnsi="Tahoma" w:cs="Tahoma"/>
        </w:rPr>
        <w:t xml:space="preserve">This Questions and Answers document supersedes the version published on </w:t>
      </w:r>
      <w:r w:rsidR="006F3ADD">
        <w:rPr>
          <w:rStyle w:val="normaltextrun"/>
          <w:rFonts w:ascii="Tahoma" w:eastAsiaTheme="majorEastAsia" w:hAnsi="Tahoma" w:cs="Tahoma"/>
        </w:rPr>
        <w:t>November 18</w:t>
      </w:r>
      <w:r w:rsidRPr="0407D905">
        <w:rPr>
          <w:rStyle w:val="normaltextrun"/>
          <w:rFonts w:ascii="Tahoma" w:eastAsiaTheme="majorEastAsia" w:hAnsi="Tahoma" w:cs="Tahoma"/>
        </w:rPr>
        <w:t xml:space="preserve">, 2025. All information contained herein reflects the most current guidance and should be referenced in place of any prior versions. </w:t>
      </w:r>
    </w:p>
    <w:p w14:paraId="3DA27CF3" w14:textId="77777777" w:rsidR="003F77EA" w:rsidRDefault="003F77EA" w:rsidP="0084733E">
      <w:pPr>
        <w:pStyle w:val="paragraph"/>
        <w:spacing w:before="0" w:beforeAutospacing="0" w:after="0" w:afterAutospacing="0"/>
        <w:textAlignment w:val="baseline"/>
        <w:rPr>
          <w:rStyle w:val="normaltextrun"/>
          <w:rFonts w:ascii="Tahoma" w:eastAsiaTheme="majorEastAsia" w:hAnsi="Tahoma" w:cs="Tahoma"/>
        </w:rPr>
      </w:pPr>
    </w:p>
    <w:p w14:paraId="5FF6A42D" w14:textId="06BFA0EC" w:rsidR="0084733E" w:rsidRDefault="00923D11" w:rsidP="0407D905">
      <w:pPr>
        <w:pStyle w:val="paragraph"/>
        <w:spacing w:before="0" w:beforeAutospacing="0" w:after="0" w:afterAutospacing="0"/>
        <w:textAlignment w:val="baseline"/>
        <w:rPr>
          <w:rStyle w:val="eop"/>
          <w:rFonts w:ascii="Tahoma" w:eastAsiaTheme="majorEastAsia" w:hAnsi="Tahoma" w:cs="Tahoma"/>
        </w:rPr>
      </w:pPr>
      <w:r>
        <w:rPr>
          <w:rStyle w:val="normaltextrun"/>
          <w:rFonts w:ascii="Tahoma" w:eastAsiaTheme="majorEastAsia" w:hAnsi="Tahoma" w:cs="Tahoma"/>
        </w:rPr>
        <w:t>This Q&amp;A</w:t>
      </w:r>
      <w:r w:rsidR="0084733E" w:rsidRPr="0407D905">
        <w:rPr>
          <w:rStyle w:val="normaltextrun"/>
          <w:rFonts w:ascii="Tahoma" w:eastAsiaTheme="majorEastAsia" w:hAnsi="Tahoma" w:cs="Tahoma"/>
        </w:rPr>
        <w:t xml:space="preserve"> includes questions received </w:t>
      </w:r>
      <w:r w:rsidR="003F77EA" w:rsidRPr="0407D905">
        <w:rPr>
          <w:rStyle w:val="normaltextrun"/>
          <w:rFonts w:ascii="Tahoma" w:eastAsiaTheme="majorEastAsia" w:hAnsi="Tahoma" w:cs="Tahoma"/>
        </w:rPr>
        <w:t xml:space="preserve">after </w:t>
      </w:r>
      <w:r w:rsidR="009970BB">
        <w:rPr>
          <w:rStyle w:val="normaltextrun"/>
          <w:rFonts w:ascii="Tahoma" w:eastAsiaTheme="majorEastAsia" w:hAnsi="Tahoma" w:cs="Tahoma"/>
        </w:rPr>
        <w:t>November 18, 2025</w:t>
      </w:r>
      <w:r w:rsidR="0084733E" w:rsidRPr="0407D905">
        <w:rPr>
          <w:rStyle w:val="normaltextrun"/>
          <w:rFonts w:ascii="Tahoma" w:eastAsiaTheme="majorEastAsia" w:hAnsi="Tahoma" w:cs="Tahoma"/>
        </w:rPr>
        <w:t xml:space="preserve">. </w:t>
      </w:r>
      <w:r w:rsidR="00C00FB8" w:rsidRPr="0407D905">
        <w:rPr>
          <w:rStyle w:val="normaltextrun"/>
          <w:rFonts w:ascii="Tahoma" w:eastAsiaTheme="majorEastAsia" w:hAnsi="Tahoma" w:cs="Tahoma"/>
        </w:rPr>
        <w:t>Relevant questions from the</w:t>
      </w:r>
      <w:r w:rsidR="00B63A5B" w:rsidRPr="0407D905">
        <w:rPr>
          <w:rStyle w:val="normaltextrun"/>
          <w:rFonts w:ascii="Tahoma" w:eastAsiaTheme="majorEastAsia" w:hAnsi="Tahoma" w:cs="Tahoma"/>
        </w:rPr>
        <w:t xml:space="preserve"> </w:t>
      </w:r>
      <w:r w:rsidR="009970BB">
        <w:rPr>
          <w:rStyle w:val="normaltextrun"/>
          <w:rFonts w:ascii="Tahoma" w:eastAsiaTheme="majorEastAsia" w:hAnsi="Tahoma" w:cs="Tahoma"/>
        </w:rPr>
        <w:t>previous</w:t>
      </w:r>
      <w:r w:rsidR="00C00FB8" w:rsidRPr="0407D905">
        <w:rPr>
          <w:rStyle w:val="normaltextrun"/>
          <w:rFonts w:ascii="Tahoma" w:eastAsiaTheme="majorEastAsia" w:hAnsi="Tahoma" w:cs="Tahoma"/>
        </w:rPr>
        <w:t xml:space="preserve"> </w:t>
      </w:r>
      <w:r w:rsidR="00C64324" w:rsidRPr="0407D905">
        <w:rPr>
          <w:rStyle w:val="normaltextrun"/>
          <w:rFonts w:ascii="Tahoma" w:eastAsiaTheme="majorEastAsia" w:hAnsi="Tahoma" w:cs="Tahoma"/>
        </w:rPr>
        <w:t xml:space="preserve">Questions and Answers </w:t>
      </w:r>
      <w:r w:rsidR="00ED0205" w:rsidRPr="0407D905">
        <w:rPr>
          <w:rStyle w:val="normaltextrun"/>
          <w:rFonts w:ascii="Tahoma" w:eastAsiaTheme="majorEastAsia" w:hAnsi="Tahoma" w:cs="Tahoma"/>
        </w:rPr>
        <w:t xml:space="preserve">(posted </w:t>
      </w:r>
      <w:r w:rsidR="009970BB">
        <w:rPr>
          <w:rStyle w:val="normaltextrun"/>
          <w:rFonts w:ascii="Tahoma" w:eastAsiaTheme="majorEastAsia" w:hAnsi="Tahoma" w:cs="Tahoma"/>
        </w:rPr>
        <w:t>November 18</w:t>
      </w:r>
      <w:r w:rsidR="009338D8" w:rsidRPr="0407D905">
        <w:rPr>
          <w:rStyle w:val="normaltextrun"/>
          <w:rFonts w:ascii="Tahoma" w:eastAsiaTheme="majorEastAsia" w:hAnsi="Tahoma" w:cs="Tahoma"/>
        </w:rPr>
        <w:t>, 2025</w:t>
      </w:r>
      <w:r w:rsidR="00ED0205" w:rsidRPr="0407D905">
        <w:rPr>
          <w:rStyle w:val="normaltextrun"/>
          <w:rFonts w:ascii="Tahoma" w:eastAsiaTheme="majorEastAsia" w:hAnsi="Tahoma" w:cs="Tahoma"/>
        </w:rPr>
        <w:t xml:space="preserve">) </w:t>
      </w:r>
      <w:r w:rsidR="00DE563A" w:rsidRPr="0407D905">
        <w:rPr>
          <w:rStyle w:val="normaltextrun"/>
          <w:rFonts w:ascii="Tahoma" w:eastAsiaTheme="majorEastAsia" w:hAnsi="Tahoma" w:cs="Tahoma"/>
        </w:rPr>
        <w:t>are</w:t>
      </w:r>
      <w:r w:rsidR="00C64324" w:rsidRPr="0407D905">
        <w:rPr>
          <w:rStyle w:val="normaltextrun"/>
          <w:rFonts w:ascii="Tahoma" w:eastAsiaTheme="majorEastAsia" w:hAnsi="Tahoma" w:cs="Tahoma"/>
        </w:rPr>
        <w:t xml:space="preserve"> </w:t>
      </w:r>
      <w:r w:rsidR="00DD0206" w:rsidRPr="0407D905">
        <w:rPr>
          <w:rStyle w:val="normaltextrun"/>
          <w:rFonts w:ascii="Tahoma" w:eastAsiaTheme="majorEastAsia" w:hAnsi="Tahoma" w:cs="Tahoma"/>
        </w:rPr>
        <w:t>included</w:t>
      </w:r>
      <w:r w:rsidR="00C64324" w:rsidRPr="0407D905">
        <w:rPr>
          <w:rStyle w:val="normaltextrun"/>
          <w:rFonts w:ascii="Tahoma" w:eastAsiaTheme="majorEastAsia" w:hAnsi="Tahoma" w:cs="Tahoma"/>
        </w:rPr>
        <w:t xml:space="preserve"> </w:t>
      </w:r>
      <w:r w:rsidR="00DD0206" w:rsidRPr="0407D905">
        <w:rPr>
          <w:rStyle w:val="normaltextrun"/>
          <w:rFonts w:ascii="Tahoma" w:eastAsiaTheme="majorEastAsia" w:hAnsi="Tahoma" w:cs="Tahoma"/>
        </w:rPr>
        <w:t>in</w:t>
      </w:r>
      <w:r w:rsidR="00C64324" w:rsidRPr="0407D905">
        <w:rPr>
          <w:rStyle w:val="normaltextrun"/>
          <w:rFonts w:ascii="Tahoma" w:eastAsiaTheme="majorEastAsia" w:hAnsi="Tahoma" w:cs="Tahoma"/>
        </w:rPr>
        <w:t xml:space="preserve"> this document.</w:t>
      </w:r>
      <w:r w:rsidR="00432F2C" w:rsidRPr="0407D905">
        <w:rPr>
          <w:rStyle w:val="normaltextrun"/>
          <w:rFonts w:ascii="Tahoma" w:eastAsiaTheme="majorEastAsia" w:hAnsi="Tahoma" w:cs="Tahoma"/>
        </w:rPr>
        <w:t xml:space="preserve"> </w:t>
      </w:r>
      <w:r w:rsidR="00B63A5B" w:rsidRPr="0407D905">
        <w:rPr>
          <w:rStyle w:val="normaltextrun"/>
          <w:rFonts w:ascii="Tahoma" w:eastAsiaTheme="majorEastAsia" w:hAnsi="Tahoma" w:cs="Tahoma"/>
        </w:rPr>
        <w:t xml:space="preserve">Questions that are no longer relevant have been removed to avoid confusion. </w:t>
      </w:r>
      <w:r w:rsidR="00432F2C" w:rsidRPr="0407D905">
        <w:rPr>
          <w:rStyle w:val="normaltextrun"/>
          <w:rFonts w:ascii="Tahoma" w:eastAsiaTheme="majorEastAsia" w:hAnsi="Tahoma" w:cs="Tahoma"/>
        </w:rPr>
        <w:t xml:space="preserve">Added language appears in </w:t>
      </w:r>
      <w:r w:rsidR="00432F2C" w:rsidRPr="0407D905">
        <w:rPr>
          <w:rStyle w:val="normaltextrun"/>
          <w:rFonts w:ascii="Tahoma" w:eastAsiaTheme="majorEastAsia" w:hAnsi="Tahoma" w:cs="Tahoma"/>
          <w:b/>
          <w:bCs/>
          <w:u w:val="single"/>
        </w:rPr>
        <w:t>bold underline</w:t>
      </w:r>
      <w:r w:rsidR="00432F2C" w:rsidRPr="0407D905">
        <w:rPr>
          <w:rStyle w:val="normaltextrun"/>
          <w:rFonts w:ascii="Tahoma" w:eastAsiaTheme="majorEastAsia" w:hAnsi="Tahoma" w:cs="Tahoma"/>
        </w:rPr>
        <w:t>, and deleted language appears in [</w:t>
      </w:r>
      <w:r w:rsidR="00432F2C" w:rsidRPr="0407D905">
        <w:rPr>
          <w:rStyle w:val="normaltextrun"/>
          <w:rFonts w:ascii="Tahoma" w:eastAsiaTheme="majorEastAsia" w:hAnsi="Tahoma" w:cs="Tahoma"/>
          <w:strike/>
        </w:rPr>
        <w:t>strikethrough</w:t>
      </w:r>
      <w:r w:rsidR="00432F2C" w:rsidRPr="0407D905">
        <w:rPr>
          <w:rStyle w:val="normaltextrun"/>
          <w:rFonts w:ascii="Tahoma" w:eastAsiaTheme="majorEastAsia" w:hAnsi="Tahoma" w:cs="Tahoma"/>
        </w:rPr>
        <w:t>] and within square brackets.</w:t>
      </w:r>
      <w:r w:rsidR="00432F2C" w:rsidRPr="0407D905">
        <w:rPr>
          <w:rStyle w:val="eop"/>
          <w:rFonts w:ascii="Tahoma" w:eastAsiaTheme="majorEastAsia" w:hAnsi="Tahoma" w:cs="Tahoma"/>
        </w:rPr>
        <w:t> </w:t>
      </w:r>
    </w:p>
    <w:p w14:paraId="041BFE5C" w14:textId="77777777" w:rsidR="004228DF" w:rsidRDefault="004228DF" w:rsidP="00106715">
      <w:pPr>
        <w:rPr>
          <w:rFonts w:ascii="Tahoma" w:hAnsi="Tahoma" w:cs="Tahoma"/>
        </w:rPr>
      </w:pPr>
    </w:p>
    <w:p w14:paraId="62E47042" w14:textId="235A961A" w:rsidR="00106715" w:rsidRPr="005448F6" w:rsidRDefault="00106715" w:rsidP="00106715">
      <w:pPr>
        <w:rPr>
          <w:rFonts w:ascii="Tahoma" w:hAnsi="Tahoma" w:cs="Tahoma"/>
        </w:rPr>
      </w:pPr>
      <w:r w:rsidRPr="005448F6">
        <w:rPr>
          <w:rFonts w:ascii="Tahoma" w:hAnsi="Tahoma" w:cs="Tahoma"/>
        </w:rPr>
        <w:t xml:space="preserve">The following answers are based on California Energy Commission (CEC) staff’s interpretation of the questions received. It is the Applicant’s responsibility to review the purpose of the solicitation and to determine whether or not their proposed project is eligible for funding by reviewing the Eligibility Requirements within the solicitation. The CEC cannot give advice as to </w:t>
      </w:r>
      <w:proofErr w:type="gramStart"/>
      <w:r w:rsidRPr="005448F6">
        <w:rPr>
          <w:rFonts w:ascii="Tahoma" w:hAnsi="Tahoma" w:cs="Tahoma"/>
        </w:rPr>
        <w:t>whether or not</w:t>
      </w:r>
      <w:proofErr w:type="gramEnd"/>
      <w:r w:rsidRPr="005448F6">
        <w:rPr>
          <w:rFonts w:ascii="Tahoma" w:hAnsi="Tahoma" w:cs="Tahoma"/>
        </w:rPr>
        <w:t xml:space="preserve"> a particular project is eligible for funding, because not all proposal details are </w:t>
      </w:r>
      <w:r w:rsidR="004B0AD1">
        <w:rPr>
          <w:rFonts w:ascii="Tahoma" w:hAnsi="Tahoma" w:cs="Tahoma"/>
        </w:rPr>
        <w:t xml:space="preserve">here </w:t>
      </w:r>
      <w:r w:rsidRPr="005448F6">
        <w:rPr>
          <w:rFonts w:ascii="Tahoma" w:hAnsi="Tahoma" w:cs="Tahoma"/>
        </w:rPr>
        <w:t>known.</w:t>
      </w:r>
    </w:p>
    <w:p w14:paraId="70B3893D" w14:textId="77777777" w:rsidR="00106715" w:rsidRPr="005448F6" w:rsidRDefault="00106715" w:rsidP="00106715">
      <w:pPr>
        <w:rPr>
          <w:rStyle w:val="normaltextrun"/>
          <w:rFonts w:ascii="Tahoma" w:hAnsi="Tahoma" w:cs="Tahoma"/>
        </w:rPr>
      </w:pPr>
    </w:p>
    <w:p w14:paraId="32A4E445" w14:textId="191B77A7" w:rsidR="00106715" w:rsidRPr="005448F6" w:rsidRDefault="00106715" w:rsidP="00106715">
      <w:pPr>
        <w:rPr>
          <w:rFonts w:ascii="Tahoma" w:hAnsi="Tahoma" w:cs="Tahoma"/>
          <w:bCs/>
        </w:rPr>
      </w:pPr>
      <w:r w:rsidRPr="00417D1D">
        <w:rPr>
          <w:rStyle w:val="normaltextrun"/>
          <w:rFonts w:ascii="Tahoma" w:hAnsi="Tahoma" w:cs="Tahoma"/>
        </w:rPr>
        <w:t>Unless indicated otherwise, all section numbers identified are from the solicitation manual (</w:t>
      </w:r>
      <w:r w:rsidR="00997307">
        <w:rPr>
          <w:rStyle w:val="normaltextrun"/>
          <w:rFonts w:ascii="Tahoma" w:hAnsi="Tahoma" w:cs="Tahoma"/>
        </w:rPr>
        <w:t>for</w:t>
      </w:r>
      <w:r w:rsidRPr="00417D1D">
        <w:rPr>
          <w:rStyle w:val="normaltextrun"/>
          <w:rFonts w:ascii="Tahoma" w:hAnsi="Tahoma" w:cs="Tahoma"/>
        </w:rPr>
        <w:t xml:space="preserve"> example, “Section II.B” refers to Section II.B of </w:t>
      </w:r>
      <w:r w:rsidR="00997307">
        <w:rPr>
          <w:rStyle w:val="normaltextrun"/>
          <w:rFonts w:ascii="Tahoma" w:hAnsi="Tahoma" w:cs="Tahoma"/>
        </w:rPr>
        <w:t xml:space="preserve">the solicitation manual) of </w:t>
      </w:r>
      <w:r w:rsidRPr="00417D1D">
        <w:rPr>
          <w:rStyle w:val="normaltextrun"/>
          <w:rFonts w:ascii="Tahoma" w:hAnsi="Tahoma" w:cs="Tahoma"/>
        </w:rPr>
        <w:t xml:space="preserve">Addendum </w:t>
      </w:r>
      <w:r w:rsidR="006B7DA2">
        <w:rPr>
          <w:rStyle w:val="normaltextrun"/>
          <w:rFonts w:ascii="Tahoma" w:hAnsi="Tahoma" w:cs="Tahoma"/>
        </w:rPr>
        <w:t>6</w:t>
      </w:r>
      <w:r w:rsidRPr="00417D1D">
        <w:rPr>
          <w:rStyle w:val="normaltextrun"/>
          <w:rFonts w:ascii="Tahoma" w:hAnsi="Tahoma" w:cs="Tahoma"/>
        </w:rPr>
        <w:t>.</w:t>
      </w:r>
    </w:p>
    <w:p w14:paraId="7BAB5132" w14:textId="63824E75" w:rsidR="00E334F3" w:rsidRDefault="00E334F3" w:rsidP="00E3238A">
      <w:pPr>
        <w:rPr>
          <w:rFonts w:ascii="Tahoma" w:hAnsi="Tahoma" w:cs="Tahoma"/>
          <w:b/>
          <w:bCs/>
        </w:rPr>
      </w:pPr>
    </w:p>
    <w:p w14:paraId="30D35145" w14:textId="49477370" w:rsidR="005B1416" w:rsidRPr="00890151" w:rsidRDefault="005B1416" w:rsidP="005B1416">
      <w:pPr>
        <w:ind w:left="720" w:hanging="720"/>
        <w:rPr>
          <w:rFonts w:ascii="Tahoma" w:hAnsi="Tahoma" w:cs="Tahoma"/>
        </w:rPr>
      </w:pPr>
      <w:r w:rsidRPr="00890151">
        <w:rPr>
          <w:rFonts w:ascii="Tahoma" w:hAnsi="Tahoma" w:cs="Tahoma"/>
          <w:b/>
          <w:bCs/>
        </w:rPr>
        <w:t>Q1:</w:t>
      </w:r>
      <w:r w:rsidRPr="00890151">
        <w:rPr>
          <w:rFonts w:ascii="Tahoma" w:hAnsi="Tahoma" w:cs="Tahoma"/>
          <w:b/>
          <w:bCs/>
        </w:rPr>
        <w:tab/>
        <w:t xml:space="preserve">Considering that the </w:t>
      </w:r>
      <w:r w:rsidR="00365A31">
        <w:rPr>
          <w:rFonts w:ascii="Tahoma" w:hAnsi="Tahoma" w:cs="Tahoma"/>
          <w:b/>
          <w:bCs/>
        </w:rPr>
        <w:t>application m</w:t>
      </w:r>
      <w:r w:rsidRPr="00890151">
        <w:rPr>
          <w:rFonts w:ascii="Tahoma" w:hAnsi="Tahoma" w:cs="Tahoma"/>
          <w:b/>
          <w:bCs/>
        </w:rPr>
        <w:t xml:space="preserve">anual states, “multiple project locations are allowed within a single application; however, all locations must serve the same port” and at least 30 </w:t>
      </w:r>
      <w:r w:rsidR="00887A96">
        <w:rPr>
          <w:rFonts w:ascii="Tahoma" w:hAnsi="Tahoma" w:cs="Tahoma"/>
          <w:b/>
          <w:bCs/>
        </w:rPr>
        <w:t>medium- and heavy-duty (</w:t>
      </w:r>
      <w:r w:rsidRPr="00890151">
        <w:rPr>
          <w:rFonts w:ascii="Tahoma" w:hAnsi="Tahoma" w:cs="Tahoma"/>
          <w:b/>
          <w:bCs/>
        </w:rPr>
        <w:t>MDHD</w:t>
      </w:r>
      <w:r w:rsidR="00887A96">
        <w:rPr>
          <w:rFonts w:ascii="Tahoma" w:hAnsi="Tahoma" w:cs="Tahoma"/>
          <w:b/>
          <w:bCs/>
        </w:rPr>
        <w:t>) fuel cell electric vehicles (</w:t>
      </w:r>
      <w:r w:rsidRPr="00890151">
        <w:rPr>
          <w:rFonts w:ascii="Tahoma" w:hAnsi="Tahoma" w:cs="Tahoma"/>
          <w:b/>
          <w:bCs/>
        </w:rPr>
        <w:t>FCEVs</w:t>
      </w:r>
      <w:r w:rsidR="00887A96">
        <w:rPr>
          <w:rFonts w:ascii="Tahoma" w:hAnsi="Tahoma" w:cs="Tahoma"/>
          <w:b/>
          <w:bCs/>
        </w:rPr>
        <w:t>)</w:t>
      </w:r>
      <w:r w:rsidRPr="00890151">
        <w:rPr>
          <w:rFonts w:ascii="Tahoma" w:hAnsi="Tahoma" w:cs="Tahoma"/>
          <w:b/>
          <w:bCs/>
        </w:rPr>
        <w:t xml:space="preserve"> are required per every two hydrogen fueling positions, could the two hydrogen fueling positions be in two different locations with 15 MDHD FCEVs serving each position (splitting the 30 MDHD FCEVs into two different locations)?</w:t>
      </w:r>
    </w:p>
    <w:p w14:paraId="606276F6" w14:textId="77777777" w:rsidR="005B1416" w:rsidRPr="00890151" w:rsidRDefault="005B1416" w:rsidP="005B1416">
      <w:pPr>
        <w:ind w:left="720" w:hanging="720"/>
        <w:rPr>
          <w:rFonts w:ascii="Tahoma" w:hAnsi="Tahoma" w:cs="Tahoma"/>
        </w:rPr>
      </w:pPr>
    </w:p>
    <w:p w14:paraId="02224138" w14:textId="648E3E8A" w:rsidR="00F412E9" w:rsidRPr="00890151" w:rsidRDefault="005B1416" w:rsidP="005B1416">
      <w:pPr>
        <w:ind w:left="720" w:hanging="720"/>
        <w:rPr>
          <w:rFonts w:ascii="Tahoma" w:hAnsi="Tahoma" w:cs="Tahoma"/>
        </w:rPr>
      </w:pPr>
      <w:r w:rsidRPr="00890151">
        <w:rPr>
          <w:rFonts w:ascii="Tahoma" w:hAnsi="Tahoma" w:cs="Tahoma"/>
        </w:rPr>
        <w:t>A1:</w:t>
      </w:r>
      <w:r w:rsidRPr="00890151">
        <w:rPr>
          <w:rFonts w:ascii="Tahoma" w:hAnsi="Tahoma" w:cs="Tahoma"/>
        </w:rPr>
        <w:tab/>
      </w:r>
      <w:r w:rsidR="008A7E35">
        <w:rPr>
          <w:rFonts w:ascii="Tahoma" w:hAnsi="Tahoma" w:cs="Tahoma"/>
        </w:rPr>
        <w:t>Yes</w:t>
      </w:r>
      <w:r w:rsidR="000A7B0B">
        <w:rPr>
          <w:rFonts w:ascii="Tahoma" w:hAnsi="Tahoma" w:cs="Tahoma"/>
        </w:rPr>
        <w:t xml:space="preserve">. </w:t>
      </w:r>
      <w:r w:rsidR="000A1AC3">
        <w:rPr>
          <w:rFonts w:ascii="Tahoma" w:hAnsi="Tahoma" w:cs="Tahoma"/>
        </w:rPr>
        <w:t>A</w:t>
      </w:r>
      <w:r w:rsidR="007C1BCA">
        <w:rPr>
          <w:rFonts w:ascii="Tahoma" w:hAnsi="Tahoma" w:cs="Tahoma"/>
        </w:rPr>
        <w:t>t least</w:t>
      </w:r>
      <w:r w:rsidR="000A1AC3">
        <w:rPr>
          <w:rFonts w:ascii="Tahoma" w:hAnsi="Tahoma" w:cs="Tahoma"/>
        </w:rPr>
        <w:t xml:space="preserve"> 30 MDHD </w:t>
      </w:r>
      <w:r w:rsidR="003C55EF">
        <w:rPr>
          <w:rFonts w:ascii="Tahoma" w:hAnsi="Tahoma" w:cs="Tahoma"/>
        </w:rPr>
        <w:t xml:space="preserve">FCEVs are required per every two hydrogen fueling positions and may be split across multiple locations. Refer to Section II.B.3 Infrastructure Deployment Requirements. </w:t>
      </w:r>
      <w:r w:rsidR="000A3672">
        <w:rPr>
          <w:rFonts w:ascii="Tahoma" w:hAnsi="Tahoma" w:cs="Tahoma"/>
        </w:rPr>
        <w:t xml:space="preserve"> </w:t>
      </w:r>
    </w:p>
    <w:p w14:paraId="3CE3445B" w14:textId="0A099EEA" w:rsidR="00527299" w:rsidRDefault="00527299" w:rsidP="0021093F">
      <w:pPr>
        <w:ind w:left="720" w:hanging="720"/>
        <w:rPr>
          <w:rFonts w:ascii="Tahoma" w:hAnsi="Tahoma" w:cs="Tahoma"/>
          <w:b/>
          <w:bCs/>
        </w:rPr>
      </w:pPr>
    </w:p>
    <w:p w14:paraId="29573745" w14:textId="225F4B94" w:rsidR="005B1416" w:rsidRPr="00890151" w:rsidRDefault="005B1416" w:rsidP="005B1416">
      <w:pPr>
        <w:ind w:left="720" w:hanging="720"/>
        <w:rPr>
          <w:rFonts w:ascii="Tahoma" w:hAnsi="Tahoma" w:cs="Tahoma"/>
          <w:b/>
          <w:bCs/>
        </w:rPr>
      </w:pPr>
      <w:r w:rsidRPr="00890151">
        <w:rPr>
          <w:rFonts w:ascii="Tahoma" w:hAnsi="Tahoma" w:cs="Tahoma"/>
          <w:b/>
          <w:bCs/>
        </w:rPr>
        <w:t>Q2:</w:t>
      </w:r>
      <w:r w:rsidRPr="00890151">
        <w:rPr>
          <w:rFonts w:ascii="Tahoma" w:hAnsi="Tahoma" w:cs="Tahoma"/>
          <w:b/>
          <w:bCs/>
        </w:rPr>
        <w:tab/>
        <w:t xml:space="preserve">The </w:t>
      </w:r>
      <w:r w:rsidR="00722572">
        <w:rPr>
          <w:rFonts w:ascii="Tahoma" w:hAnsi="Tahoma" w:cs="Tahoma"/>
          <w:b/>
          <w:bCs/>
        </w:rPr>
        <w:t>application</w:t>
      </w:r>
      <w:r w:rsidR="005645B8" w:rsidRPr="00890151">
        <w:rPr>
          <w:rFonts w:ascii="Tahoma" w:hAnsi="Tahoma" w:cs="Tahoma"/>
          <w:b/>
          <w:bCs/>
        </w:rPr>
        <w:t xml:space="preserve"> </w:t>
      </w:r>
      <w:r w:rsidRPr="00890151">
        <w:rPr>
          <w:rFonts w:ascii="Tahoma" w:hAnsi="Tahoma" w:cs="Tahoma"/>
          <w:b/>
          <w:bCs/>
        </w:rPr>
        <w:t>manual</w:t>
      </w:r>
      <w:r w:rsidR="008B61DA">
        <w:rPr>
          <w:rFonts w:ascii="Tahoma" w:hAnsi="Tahoma" w:cs="Tahoma"/>
          <w:b/>
          <w:bCs/>
        </w:rPr>
        <w:t xml:space="preserve"> </w:t>
      </w:r>
      <w:r w:rsidR="005645B8">
        <w:rPr>
          <w:rFonts w:ascii="Tahoma" w:hAnsi="Tahoma" w:cs="Tahoma"/>
          <w:b/>
          <w:bCs/>
        </w:rPr>
        <w:t>states</w:t>
      </w:r>
      <w:r w:rsidRPr="00890151">
        <w:rPr>
          <w:rFonts w:ascii="Tahoma" w:hAnsi="Tahoma" w:cs="Tahoma"/>
          <w:b/>
          <w:bCs/>
        </w:rPr>
        <w:t xml:space="preserve"> that if </w:t>
      </w:r>
      <w:r w:rsidR="00887A96">
        <w:rPr>
          <w:rFonts w:ascii="Tahoma" w:hAnsi="Tahoma" w:cs="Tahoma"/>
          <w:b/>
          <w:bCs/>
        </w:rPr>
        <w:t>an Applicant is</w:t>
      </w:r>
      <w:r w:rsidRPr="00890151">
        <w:rPr>
          <w:rFonts w:ascii="Tahoma" w:hAnsi="Tahoma" w:cs="Tahoma"/>
          <w:b/>
          <w:bCs/>
        </w:rPr>
        <w:t xml:space="preserve"> proposing a Shared Access infrastructure project, </w:t>
      </w:r>
      <w:r w:rsidR="00887A96">
        <w:rPr>
          <w:rFonts w:ascii="Tahoma" w:hAnsi="Tahoma" w:cs="Tahoma"/>
          <w:b/>
          <w:bCs/>
        </w:rPr>
        <w:t>the Applicant</w:t>
      </w:r>
      <w:r w:rsidRPr="00890151">
        <w:rPr>
          <w:rFonts w:ascii="Tahoma" w:hAnsi="Tahoma" w:cs="Tahoma"/>
          <w:b/>
          <w:bCs/>
        </w:rPr>
        <w:t xml:space="preserve"> must demonstrate that at least two fleets are being supported by the project</w:t>
      </w:r>
      <w:r w:rsidR="00887A96">
        <w:rPr>
          <w:rFonts w:ascii="Tahoma" w:hAnsi="Tahoma" w:cs="Tahoma"/>
          <w:b/>
          <w:bCs/>
        </w:rPr>
        <w:t xml:space="preserve">; </w:t>
      </w:r>
      <w:r w:rsidRPr="00890151">
        <w:rPr>
          <w:rFonts w:ascii="Tahoma" w:hAnsi="Tahoma" w:cs="Tahoma"/>
          <w:b/>
          <w:bCs/>
        </w:rPr>
        <w:t xml:space="preserve">does this mean the required number of MDHD FCEVs increases by double, at </w:t>
      </w:r>
      <w:r w:rsidRPr="00890151">
        <w:rPr>
          <w:rFonts w:ascii="Tahoma" w:hAnsi="Tahoma" w:cs="Tahoma"/>
          <w:b/>
          <w:bCs/>
        </w:rPr>
        <w:lastRenderedPageBreak/>
        <w:t>least 60 MDHD FCEVs per every two hydrogen fueling positions, OR would it be at least 2 fleets committed in the project with at least 30 MDHD FCEVs per every two hydrogen fueling positions?</w:t>
      </w:r>
    </w:p>
    <w:p w14:paraId="5052AD99" w14:textId="77777777" w:rsidR="005B1416" w:rsidRPr="00890151" w:rsidRDefault="005B1416" w:rsidP="005B1416">
      <w:pPr>
        <w:rPr>
          <w:rFonts w:ascii="Tahoma" w:hAnsi="Tahoma" w:cs="Tahoma"/>
        </w:rPr>
      </w:pPr>
    </w:p>
    <w:p w14:paraId="0E0784F1" w14:textId="5BC1442F" w:rsidR="005B1416" w:rsidRPr="00890151" w:rsidRDefault="005B1416" w:rsidP="005B1416">
      <w:pPr>
        <w:pStyle w:val="NormalWeb"/>
        <w:ind w:left="720" w:hanging="720"/>
        <w:rPr>
          <w:rFonts w:ascii="Tahoma" w:hAnsi="Tahoma" w:cs="Tahoma"/>
        </w:rPr>
      </w:pPr>
      <w:r w:rsidRPr="00890151">
        <w:rPr>
          <w:rFonts w:ascii="Tahoma" w:hAnsi="Tahoma" w:cs="Tahoma"/>
        </w:rPr>
        <w:t>A2:</w:t>
      </w:r>
      <w:r w:rsidRPr="00890151">
        <w:rPr>
          <w:rFonts w:ascii="Tahoma" w:hAnsi="Tahoma" w:cs="Tahoma"/>
        </w:rPr>
        <w:tab/>
        <w:t xml:space="preserve">For Shared Access projects, Section II.B.4., Vehicle Deployment Requirements, requires (1) that the application demonstrate at least two fleets are supported </w:t>
      </w:r>
      <w:r w:rsidR="006D64D8">
        <w:rPr>
          <w:rFonts w:ascii="Tahoma" w:hAnsi="Tahoma" w:cs="Tahoma"/>
        </w:rPr>
        <w:t xml:space="preserve">by the proposed </w:t>
      </w:r>
      <w:r w:rsidR="00897DA3">
        <w:rPr>
          <w:rFonts w:ascii="Tahoma" w:hAnsi="Tahoma" w:cs="Tahoma"/>
        </w:rPr>
        <w:t>infrastructure</w:t>
      </w:r>
      <w:r w:rsidRPr="00890151">
        <w:rPr>
          <w:rFonts w:ascii="Tahoma" w:hAnsi="Tahoma" w:cs="Tahoma"/>
        </w:rPr>
        <w:t xml:space="preserve"> and (2) that the cumulative vehicles supported meet the minimum commitment numbers listed in the manual. For Shared Access hydrogen infrastructure projects, that minimum is at least 30 MDHD FCEVs for every two hydrogen fueling positions proposed for CEC funding. The requirement scales with the number of fueling positions, not with the number of fleets. In other words, having two fleets does not double the vehicle requirement; the two (or more) fleets together must meet the at least 30 MDHD FCEVs deployed per every two hydrogen fueling positions (and proportionally more MDHD FCEVs if additional fueling positions are proposed).</w:t>
      </w:r>
    </w:p>
    <w:p w14:paraId="11F00C97" w14:textId="3BAA4435" w:rsidR="005B1416" w:rsidRPr="00890151" w:rsidRDefault="005B1416" w:rsidP="005B1416">
      <w:pPr>
        <w:pStyle w:val="NormalWeb"/>
        <w:ind w:left="720"/>
        <w:rPr>
          <w:rFonts w:ascii="Tahoma" w:eastAsiaTheme="minorHAnsi" w:hAnsi="Tahoma" w:cs="Tahoma"/>
        </w:rPr>
      </w:pPr>
      <w:r w:rsidRPr="00890151">
        <w:rPr>
          <w:rFonts w:ascii="Tahoma" w:hAnsi="Tahoma" w:cs="Tahoma"/>
        </w:rPr>
        <w:t> </w:t>
      </w:r>
    </w:p>
    <w:p w14:paraId="411FAB03" w14:textId="6626252F" w:rsidR="005B1416" w:rsidRPr="00890151" w:rsidRDefault="005B1416" w:rsidP="005B1416">
      <w:pPr>
        <w:ind w:left="720" w:hanging="720"/>
        <w:rPr>
          <w:rFonts w:ascii="Tahoma" w:hAnsi="Tahoma" w:cs="Tahoma"/>
          <w:b/>
          <w:bCs/>
        </w:rPr>
      </w:pPr>
      <w:r w:rsidRPr="00890151">
        <w:rPr>
          <w:rFonts w:ascii="Tahoma" w:hAnsi="Tahoma" w:cs="Tahoma"/>
          <w:b/>
          <w:bCs/>
        </w:rPr>
        <w:t>Q3:</w:t>
      </w:r>
      <w:r w:rsidRPr="00890151">
        <w:rPr>
          <w:rFonts w:ascii="Tahoma" w:hAnsi="Tahoma" w:cs="Tahoma"/>
          <w:b/>
          <w:bCs/>
        </w:rPr>
        <w:tab/>
        <w:t>For Public Access infrastructure projects, there is no requirement to meet for the vehicle deployment; however, the number we propose could determine the score on the degree. What is the ideal number that is considered a maximum vehicle deployment for a high score?</w:t>
      </w:r>
    </w:p>
    <w:p w14:paraId="282F6A58" w14:textId="77777777" w:rsidR="005B1416" w:rsidRPr="00890151" w:rsidRDefault="005B1416" w:rsidP="005B1416">
      <w:pPr>
        <w:ind w:left="720" w:hanging="720"/>
        <w:rPr>
          <w:rFonts w:ascii="Tahoma" w:hAnsi="Tahoma" w:cs="Tahoma"/>
        </w:rPr>
      </w:pPr>
    </w:p>
    <w:p w14:paraId="2760542B" w14:textId="25198DC7" w:rsidR="00F412E9" w:rsidRDefault="005B1416" w:rsidP="005B1416">
      <w:pPr>
        <w:pStyle w:val="NormalWeb"/>
        <w:ind w:left="720" w:hanging="720"/>
        <w:rPr>
          <w:rFonts w:ascii="Tahoma" w:hAnsi="Tahoma" w:cs="Tahoma"/>
        </w:rPr>
      </w:pPr>
      <w:r w:rsidRPr="00890151">
        <w:rPr>
          <w:rFonts w:ascii="Tahoma" w:hAnsi="Tahoma" w:cs="Tahoma"/>
        </w:rPr>
        <w:t>A3:</w:t>
      </w:r>
      <w:r w:rsidRPr="00890151">
        <w:rPr>
          <w:rFonts w:ascii="Tahoma" w:hAnsi="Tahoma" w:cs="Tahoma"/>
        </w:rPr>
        <w:tab/>
        <w:t>The solicitation does not set an “ideal” or maximum number of vehicles for Public Access projects. Public Access infrastructure project</w:t>
      </w:r>
      <w:r w:rsidR="00520933">
        <w:rPr>
          <w:rFonts w:ascii="Tahoma" w:hAnsi="Tahoma" w:cs="Tahoma"/>
        </w:rPr>
        <w:t>s</w:t>
      </w:r>
      <w:r w:rsidRPr="00890151">
        <w:rPr>
          <w:rFonts w:ascii="Tahoma" w:hAnsi="Tahoma" w:cs="Tahoma"/>
        </w:rPr>
        <w:t xml:space="preserve"> proposed for CEC funding are not required to meet the vehicle deployment commitment outlined in the manual; </w:t>
      </w:r>
      <w:r w:rsidR="00685B64">
        <w:rPr>
          <w:rFonts w:ascii="Tahoma" w:hAnsi="Tahoma" w:cs="Tahoma"/>
        </w:rPr>
        <w:t>however</w:t>
      </w:r>
      <w:r w:rsidRPr="00890151">
        <w:rPr>
          <w:rFonts w:ascii="Tahoma" w:hAnsi="Tahoma" w:cs="Tahoma"/>
        </w:rPr>
        <w:t xml:space="preserve">, proposals will be scored on </w:t>
      </w:r>
      <w:r w:rsidR="00820888">
        <w:rPr>
          <w:rFonts w:ascii="Tahoma" w:hAnsi="Tahoma" w:cs="Tahoma"/>
        </w:rPr>
        <w:t>the degree to which</w:t>
      </w:r>
      <w:r w:rsidRPr="00890151">
        <w:rPr>
          <w:rFonts w:ascii="Tahoma" w:hAnsi="Tahoma" w:cs="Tahoma"/>
        </w:rPr>
        <w:t xml:space="preserve"> the proposed project maximizes zero-emission vehicle deployment and market growth. All applications, regardless of access-type, must demonstrate how the proposed project will maximize zero-emission vehicle deployment, including descriptions of fleet commitments and strategies the Applicant will take to maximize market growth. Refer to Section II.B.4., Vehicle Deployment Requirements. The CEC Evaluation Committee will assess this under the evaluation criteria, Section IV.E., Scoring Criteria, including the degree to which the infrastructure to be deployed is appropriate for the proposed project’s expected vehicle population and whether the overall proposed project plan supports successful deployment of </w:t>
      </w:r>
      <w:r w:rsidR="00EF212C">
        <w:rPr>
          <w:rFonts w:ascii="Tahoma" w:hAnsi="Tahoma" w:cs="Tahoma"/>
        </w:rPr>
        <w:t xml:space="preserve">zero-emission </w:t>
      </w:r>
      <w:r w:rsidRPr="00890151">
        <w:rPr>
          <w:rFonts w:ascii="Tahoma" w:hAnsi="Tahoma" w:cs="Tahoma"/>
        </w:rPr>
        <w:t xml:space="preserve">MDHD vehicles. </w:t>
      </w:r>
    </w:p>
    <w:p w14:paraId="37CC02DB" w14:textId="656A030D" w:rsidR="00527299" w:rsidRDefault="00527299" w:rsidP="0021093F">
      <w:pPr>
        <w:pStyle w:val="NormalWeb"/>
        <w:ind w:left="720" w:hanging="720"/>
        <w:rPr>
          <w:rStyle w:val="normaltextrun"/>
          <w:rFonts w:ascii="Tahoma" w:eastAsia="Tahoma" w:hAnsi="Tahoma" w:cs="Tahoma"/>
          <w:b/>
          <w:color w:val="000000" w:themeColor="text1"/>
        </w:rPr>
      </w:pPr>
    </w:p>
    <w:p w14:paraId="0A2DF91B" w14:textId="75C23DDB" w:rsidR="0038399A" w:rsidRDefault="0038399A" w:rsidP="0038399A">
      <w:pPr>
        <w:ind w:left="720" w:hanging="720"/>
        <w:rPr>
          <w:rFonts w:ascii="Tahoma" w:hAnsi="Tahoma" w:cs="Tahoma"/>
        </w:rPr>
      </w:pPr>
      <w:r>
        <w:rPr>
          <w:rStyle w:val="normaltextrun"/>
          <w:rFonts w:ascii="Tahoma" w:eastAsia="Tahoma" w:hAnsi="Tahoma" w:cs="Tahoma"/>
          <w:b/>
          <w:color w:val="000000" w:themeColor="text1"/>
        </w:rPr>
        <w:t>Q4:</w:t>
      </w:r>
      <w:r>
        <w:tab/>
      </w:r>
      <w:r>
        <w:rPr>
          <w:rFonts w:ascii="Tahoma" w:hAnsi="Tahoma" w:cs="Tahoma"/>
          <w:b/>
        </w:rPr>
        <w:t xml:space="preserve">How does this solicitation assess the charging port capacity? In </w:t>
      </w:r>
      <w:proofErr w:type="gramStart"/>
      <w:r>
        <w:rPr>
          <w:rFonts w:ascii="Tahoma" w:hAnsi="Tahoma" w:cs="Tahoma"/>
          <w:b/>
        </w:rPr>
        <w:t>the instance</w:t>
      </w:r>
      <w:proofErr w:type="gramEnd"/>
      <w:r>
        <w:rPr>
          <w:rFonts w:ascii="Tahoma" w:hAnsi="Tahoma" w:cs="Tahoma"/>
          <w:b/>
        </w:rPr>
        <w:t xml:space="preserve"> where a 360 kW Power Cabinet supports three charging ports, charging capacity varies based on how many </w:t>
      </w:r>
      <w:proofErr w:type="gramStart"/>
      <w:r>
        <w:rPr>
          <w:rFonts w:ascii="Tahoma" w:hAnsi="Tahoma" w:cs="Tahoma"/>
          <w:b/>
        </w:rPr>
        <w:t>port</w:t>
      </w:r>
      <w:proofErr w:type="gramEnd"/>
      <w:r>
        <w:rPr>
          <w:rFonts w:ascii="Tahoma" w:hAnsi="Tahoma" w:cs="Tahoma"/>
          <w:b/>
        </w:rPr>
        <w:t xml:space="preserve"> are active simultaneously, 360 kW if only one port is active, 180 kW two ports are simultaneously active and 90 kW when three ports are simultaneously active. Is the maximum, average, minimum, or other factor considered for the amount of eligible funding available?</w:t>
      </w:r>
      <w:r>
        <w:rPr>
          <w:rFonts w:ascii="Tahoma" w:hAnsi="Tahoma" w:cs="Tahoma"/>
        </w:rPr>
        <w:t> </w:t>
      </w:r>
    </w:p>
    <w:p w14:paraId="20BA393B" w14:textId="40E488C5" w:rsidR="0038399A" w:rsidRDefault="0038399A" w:rsidP="0038399A">
      <w:pPr>
        <w:spacing w:before="100" w:beforeAutospacing="1" w:after="100" w:afterAutospacing="1"/>
        <w:ind w:left="720" w:hanging="720"/>
        <w:rPr>
          <w:rFonts w:ascii="Tahoma" w:hAnsi="Tahoma" w:cs="Tahoma"/>
        </w:rPr>
      </w:pPr>
      <w:r>
        <w:rPr>
          <w:rFonts w:ascii="Tahoma" w:hAnsi="Tahoma" w:cs="Tahoma"/>
        </w:rPr>
        <w:lastRenderedPageBreak/>
        <w:t>A4.</w:t>
      </w:r>
      <w:r>
        <w:rPr>
          <w:rFonts w:ascii="Tahoma" w:hAnsi="Tahoma" w:cs="Tahoma"/>
        </w:rPr>
        <w:t> </w:t>
      </w:r>
      <w:r>
        <w:rPr>
          <w:rFonts w:ascii="Tahoma" w:hAnsi="Tahoma" w:cs="Tahoma"/>
        </w:rPr>
        <w:tab/>
        <w:t xml:space="preserve">Please see Addendum </w:t>
      </w:r>
      <w:r w:rsidR="006873E6">
        <w:rPr>
          <w:rFonts w:ascii="Tahoma" w:hAnsi="Tahoma" w:cs="Tahoma"/>
        </w:rPr>
        <w:t>6</w:t>
      </w:r>
      <w:r>
        <w:rPr>
          <w:rFonts w:ascii="Tahoma" w:hAnsi="Tahoma" w:cs="Tahoma"/>
        </w:rPr>
        <w:t xml:space="preserve">, which no longer sets a maximum award amount per charging port. Projects will be evaluated on the degree to which the proposed infrastructure demonstrates a highly cost-effective use of CEC funds, with a low cost per charging port or refueling position relative to the power level or refueling capacity. Projects will be evaluated on both the dollar-per-port or refueling position and the dollar-per kW or kg.  </w:t>
      </w:r>
    </w:p>
    <w:p w14:paraId="6FC8C3E1" w14:textId="77777777" w:rsidR="006873E6" w:rsidRDefault="0038399A" w:rsidP="006873E6">
      <w:pPr>
        <w:pStyle w:val="NormalWeb"/>
        <w:ind w:left="720"/>
        <w:rPr>
          <w:rFonts w:ascii="Tahoma" w:hAnsi="Tahoma" w:cs="Tahoma"/>
        </w:rPr>
      </w:pPr>
      <w:r>
        <w:rPr>
          <w:rFonts w:ascii="Tahoma" w:hAnsi="Tahoma" w:cs="Tahoma"/>
        </w:rPr>
        <w:t>Please see Section I.E. How Award is Determined and Section I.G. Minimum Infrastructure Requirements and Maximum Award Amounts.</w:t>
      </w:r>
    </w:p>
    <w:p w14:paraId="4C421DC3" w14:textId="77777777" w:rsidR="006873E6" w:rsidRDefault="006873E6" w:rsidP="006873E6">
      <w:pPr>
        <w:pStyle w:val="NormalWeb"/>
        <w:rPr>
          <w:rFonts w:ascii="Tahoma" w:hAnsi="Tahoma" w:cs="Tahoma"/>
        </w:rPr>
      </w:pPr>
    </w:p>
    <w:p w14:paraId="307FB83B" w14:textId="6FB62FAB" w:rsidR="00000781" w:rsidRDefault="00000781" w:rsidP="004B1514">
      <w:pPr>
        <w:pStyle w:val="NormalWeb"/>
        <w:ind w:left="720" w:hanging="720"/>
        <w:rPr>
          <w:rFonts w:ascii="Tahoma" w:hAnsi="Tahoma" w:cs="Tahoma"/>
          <w:b/>
          <w:bCs/>
        </w:rPr>
      </w:pPr>
      <w:r w:rsidRPr="004B1514">
        <w:rPr>
          <w:rFonts w:ascii="Tahoma" w:hAnsi="Tahoma" w:cs="Tahoma"/>
          <w:b/>
          <w:bCs/>
        </w:rPr>
        <w:t>Q</w:t>
      </w:r>
      <w:r w:rsidR="006873E6">
        <w:rPr>
          <w:rFonts w:ascii="Tahoma" w:hAnsi="Tahoma" w:cs="Tahoma"/>
          <w:b/>
          <w:bCs/>
        </w:rPr>
        <w:t>5</w:t>
      </w:r>
      <w:r w:rsidRPr="00C15857">
        <w:rPr>
          <w:rFonts w:ascii="Tahoma" w:hAnsi="Tahoma" w:cs="Tahoma"/>
          <w:b/>
          <w:bCs/>
        </w:rPr>
        <w:t>:</w:t>
      </w:r>
      <w:r w:rsidR="00885253">
        <w:rPr>
          <w:rFonts w:ascii="Tahoma" w:hAnsi="Tahoma" w:cs="Tahoma"/>
          <w:b/>
          <w:bCs/>
        </w:rPr>
        <w:tab/>
      </w:r>
      <w:r w:rsidR="00884E59" w:rsidRPr="00884E59">
        <w:rPr>
          <w:rFonts w:ascii="Tahoma" w:hAnsi="Tahoma" w:cs="Tahoma"/>
          <w:b/>
          <w:bCs/>
        </w:rPr>
        <w:t>As written, this solicitation appears to encourage eliminating a charging port if the minimum simultaneous delivery is used as an applicant could receive $225,000 for a three port configuration ($75,000 * 3) and $500,000 ($250,000 * 2) for a two port configuration with the same power cabinet. Is the goal of the CEC to have higher power ratings for all applications as opposed to more charging ports? This seems like an odd incentive as it is cheaper to have a two port configuration than a three port configuration, but it is rewarded with more eligible dollars.</w:t>
      </w:r>
    </w:p>
    <w:p w14:paraId="2FB81298" w14:textId="77777777" w:rsidR="006873E6" w:rsidRDefault="006873E6" w:rsidP="00C15857">
      <w:pPr>
        <w:pStyle w:val="NormalWeb"/>
        <w:rPr>
          <w:rFonts w:ascii="Tahoma" w:hAnsi="Tahoma" w:cs="Tahoma"/>
          <w:b/>
          <w:bCs/>
        </w:rPr>
      </w:pPr>
    </w:p>
    <w:p w14:paraId="4F35CB2A" w14:textId="0AADD0D3" w:rsidR="00A300C4" w:rsidRDefault="008978AB" w:rsidP="00D40D0A">
      <w:pPr>
        <w:pStyle w:val="NormalWeb"/>
        <w:ind w:left="720" w:hanging="720"/>
        <w:rPr>
          <w:rFonts w:ascii="Tahoma" w:hAnsi="Tahoma" w:cs="Tahoma"/>
        </w:rPr>
      </w:pPr>
      <w:r w:rsidRPr="00C15857">
        <w:rPr>
          <w:rFonts w:ascii="Tahoma" w:hAnsi="Tahoma" w:cs="Tahoma"/>
        </w:rPr>
        <w:t>A</w:t>
      </w:r>
      <w:r w:rsidR="006873E6">
        <w:rPr>
          <w:rFonts w:ascii="Tahoma" w:hAnsi="Tahoma" w:cs="Tahoma"/>
        </w:rPr>
        <w:t>5</w:t>
      </w:r>
      <w:r w:rsidRPr="00C15857">
        <w:rPr>
          <w:rFonts w:ascii="Tahoma" w:hAnsi="Tahoma" w:cs="Tahoma"/>
        </w:rPr>
        <w:t>:</w:t>
      </w:r>
      <w:r w:rsidRPr="00C15857">
        <w:rPr>
          <w:rFonts w:ascii="Tahoma" w:hAnsi="Tahoma" w:cs="Tahoma"/>
        </w:rPr>
        <w:tab/>
      </w:r>
      <w:r w:rsidR="00D40D0A" w:rsidRPr="00D40D0A">
        <w:rPr>
          <w:rFonts w:ascii="Tahoma" w:hAnsi="Tahoma" w:cs="Tahoma"/>
        </w:rPr>
        <w:t xml:space="preserve">The CEC does not </w:t>
      </w:r>
      <w:proofErr w:type="gramStart"/>
      <w:r w:rsidR="00D40D0A" w:rsidRPr="00D40D0A">
        <w:rPr>
          <w:rFonts w:ascii="Tahoma" w:hAnsi="Tahoma" w:cs="Tahoma"/>
        </w:rPr>
        <w:t>have a preference for</w:t>
      </w:r>
      <w:proofErr w:type="gramEnd"/>
      <w:r w:rsidR="00D40D0A" w:rsidRPr="00D40D0A">
        <w:rPr>
          <w:rFonts w:ascii="Tahoma" w:hAnsi="Tahoma" w:cs="Tahoma"/>
        </w:rPr>
        <w:t xml:space="preserve"> higher power ratings over the number of charging ports. Applicants are encouraged to focus on the infrastructure needs for planned ZEVs and choose the infrastructure type(s) accordingly. Please see Addendum </w:t>
      </w:r>
      <w:r w:rsidR="00D40D0A">
        <w:rPr>
          <w:rFonts w:ascii="Tahoma" w:hAnsi="Tahoma" w:cs="Tahoma"/>
        </w:rPr>
        <w:t>6</w:t>
      </w:r>
      <w:r w:rsidR="00D40D0A" w:rsidRPr="00D40D0A">
        <w:rPr>
          <w:rFonts w:ascii="Tahoma" w:hAnsi="Tahoma" w:cs="Tahoma"/>
        </w:rPr>
        <w:t>, which no longer sets a maximum award amount per charging port.</w:t>
      </w:r>
    </w:p>
    <w:p w14:paraId="49CD5DE3" w14:textId="77777777" w:rsidR="00D40D0A" w:rsidRPr="008978AB" w:rsidRDefault="00D40D0A" w:rsidP="00D40D0A">
      <w:pPr>
        <w:pStyle w:val="NormalWeb"/>
        <w:ind w:left="720" w:hanging="720"/>
        <w:rPr>
          <w:rFonts w:ascii="Tahoma" w:hAnsi="Tahoma" w:cs="Tahoma"/>
        </w:rPr>
      </w:pPr>
    </w:p>
    <w:p w14:paraId="060701A3" w14:textId="53116D6D" w:rsidR="00951656" w:rsidRPr="00AB0985" w:rsidRDefault="00951656" w:rsidP="005B1416">
      <w:pPr>
        <w:pStyle w:val="NormalWeb"/>
        <w:ind w:left="720" w:hanging="720"/>
        <w:rPr>
          <w:rFonts w:ascii="Tahoma" w:hAnsi="Tahoma" w:cs="Tahoma"/>
          <w:b/>
          <w:bCs/>
        </w:rPr>
      </w:pPr>
      <w:r w:rsidRPr="00AB0985">
        <w:rPr>
          <w:rFonts w:ascii="Tahoma" w:hAnsi="Tahoma" w:cs="Tahoma"/>
          <w:b/>
          <w:bCs/>
        </w:rPr>
        <w:t>PRIOR Questions &amp; Answers from Addendum 3</w:t>
      </w:r>
    </w:p>
    <w:p w14:paraId="46A20C5E" w14:textId="77777777" w:rsidR="00951656" w:rsidRDefault="00951656" w:rsidP="005B1416">
      <w:pPr>
        <w:pStyle w:val="NormalWeb"/>
        <w:ind w:left="720" w:hanging="720"/>
        <w:rPr>
          <w:rFonts w:ascii="Tahoma" w:hAnsi="Tahoma" w:cs="Tahoma"/>
        </w:rPr>
      </w:pPr>
    </w:p>
    <w:p w14:paraId="51C15F05" w14:textId="6AD6C89A" w:rsidR="00951656" w:rsidRPr="005448F6" w:rsidRDefault="00E44777" w:rsidP="00951656">
      <w:pPr>
        <w:ind w:left="720" w:hanging="720"/>
        <w:rPr>
          <w:rFonts w:ascii="Tahoma" w:hAnsi="Tahoma" w:cs="Tahoma"/>
          <w:b/>
        </w:rPr>
      </w:pPr>
      <w:r>
        <w:rPr>
          <w:rFonts w:ascii="Tahoma" w:hAnsi="Tahoma" w:cs="Tahoma"/>
          <w:b/>
        </w:rPr>
        <w:t>Q6</w:t>
      </w:r>
      <w:r w:rsidR="00951656" w:rsidRPr="005448F6">
        <w:rPr>
          <w:rFonts w:ascii="Tahoma" w:hAnsi="Tahoma" w:cs="Tahoma"/>
          <w:b/>
        </w:rPr>
        <w:t>:</w:t>
      </w:r>
      <w:r w:rsidR="00951656" w:rsidRPr="005448F6">
        <w:rPr>
          <w:rFonts w:ascii="Tahoma" w:hAnsi="Tahoma" w:cs="Tahoma"/>
        </w:rPr>
        <w:tab/>
      </w:r>
      <w:r w:rsidR="00951656" w:rsidRPr="005448F6">
        <w:rPr>
          <w:rFonts w:ascii="Tahoma" w:hAnsi="Tahoma" w:cs="Tahoma"/>
          <w:b/>
        </w:rPr>
        <w:t xml:space="preserve">We are considering applying to GFO-24-610 to support the installation of innovative electric, zero-emission mobile cargo handling equipment at a small California port located in an </w:t>
      </w:r>
      <w:r w:rsidR="00951656">
        <w:rPr>
          <w:rFonts w:ascii="Tahoma" w:hAnsi="Tahoma" w:cs="Tahoma"/>
          <w:b/>
        </w:rPr>
        <w:t>Assembly Bill (</w:t>
      </w:r>
      <w:r w:rsidR="00951656" w:rsidRPr="005448F6">
        <w:rPr>
          <w:rFonts w:ascii="Tahoma" w:hAnsi="Tahoma" w:cs="Tahoma"/>
          <w:b/>
        </w:rPr>
        <w:t>AB</w:t>
      </w:r>
      <w:r w:rsidR="00951656">
        <w:rPr>
          <w:rFonts w:ascii="Tahoma" w:hAnsi="Tahoma" w:cs="Tahoma"/>
          <w:b/>
        </w:rPr>
        <w:t>)</w:t>
      </w:r>
      <w:r w:rsidR="00951656" w:rsidRPr="005448F6">
        <w:rPr>
          <w:rFonts w:ascii="Tahoma" w:hAnsi="Tahoma" w:cs="Tahoma"/>
          <w:b/>
        </w:rPr>
        <w:t xml:space="preserve"> 617 community. The equipment is a </w:t>
      </w:r>
      <w:proofErr w:type="spellStart"/>
      <w:r w:rsidR="00951656" w:rsidRPr="005448F6">
        <w:rPr>
          <w:rFonts w:ascii="Tahoma" w:hAnsi="Tahoma" w:cs="Tahoma"/>
          <w:b/>
        </w:rPr>
        <w:t>shipload</w:t>
      </w:r>
      <w:r w:rsidR="00951656">
        <w:rPr>
          <w:rFonts w:ascii="Tahoma" w:hAnsi="Tahoma" w:cs="Tahoma"/>
          <w:b/>
        </w:rPr>
        <w:t>er</w:t>
      </w:r>
      <w:proofErr w:type="spellEnd"/>
      <w:r w:rsidR="00951656" w:rsidRPr="005448F6">
        <w:rPr>
          <w:rFonts w:ascii="Tahoma" w:hAnsi="Tahoma" w:cs="Tahoma"/>
          <w:b/>
        </w:rPr>
        <w:t xml:space="preserve"> that would be used for moving cargo that is essential to clean energy and manufacturing supply chains. Would a project focused on zero-emission cargo handling equipment be considered an eligible project under this solicitation?</w:t>
      </w:r>
    </w:p>
    <w:p w14:paraId="026719BD" w14:textId="77777777" w:rsidR="00951656" w:rsidRPr="005448F6" w:rsidRDefault="00951656" w:rsidP="00951656">
      <w:pPr>
        <w:ind w:left="720" w:hanging="720"/>
        <w:rPr>
          <w:rFonts w:ascii="Tahoma" w:hAnsi="Tahoma" w:cs="Tahoma"/>
        </w:rPr>
      </w:pPr>
    </w:p>
    <w:p w14:paraId="48530FBF" w14:textId="2BA2C874" w:rsidR="00951656" w:rsidRPr="005448F6" w:rsidRDefault="00E44777" w:rsidP="00951656">
      <w:pPr>
        <w:ind w:left="720" w:hanging="720"/>
        <w:rPr>
          <w:rFonts w:ascii="Tahoma" w:hAnsi="Tahoma" w:cs="Tahoma"/>
        </w:rPr>
      </w:pPr>
      <w:r w:rsidRPr="005448F6">
        <w:rPr>
          <w:rFonts w:ascii="Tahoma" w:hAnsi="Tahoma" w:cs="Tahoma"/>
        </w:rPr>
        <w:t>A</w:t>
      </w:r>
      <w:r>
        <w:rPr>
          <w:rFonts w:ascii="Tahoma" w:hAnsi="Tahoma" w:cs="Tahoma"/>
        </w:rPr>
        <w:t>6</w:t>
      </w:r>
      <w:r w:rsidR="00951656" w:rsidRPr="005448F6">
        <w:rPr>
          <w:rFonts w:ascii="Tahoma" w:hAnsi="Tahoma" w:cs="Tahoma"/>
        </w:rPr>
        <w:t>:</w:t>
      </w:r>
      <w:r w:rsidR="00951656" w:rsidRPr="005448F6">
        <w:rPr>
          <w:rFonts w:ascii="Tahoma" w:hAnsi="Tahoma" w:cs="Tahoma"/>
        </w:rPr>
        <w:tab/>
      </w:r>
      <w:r w:rsidR="00951656" w:rsidRPr="00F744C7">
        <w:rPr>
          <w:rFonts w:ascii="Tahoma" w:hAnsi="Tahoma" w:cs="Tahoma"/>
        </w:rPr>
        <w:t xml:space="preserve">If the mobile </w:t>
      </w:r>
      <w:proofErr w:type="spellStart"/>
      <w:r w:rsidR="00951656" w:rsidRPr="00F744C7">
        <w:rPr>
          <w:rFonts w:ascii="Tahoma" w:hAnsi="Tahoma" w:cs="Tahoma"/>
        </w:rPr>
        <w:t>shipload</w:t>
      </w:r>
      <w:r w:rsidR="00951656">
        <w:rPr>
          <w:rFonts w:ascii="Tahoma" w:hAnsi="Tahoma" w:cs="Tahoma"/>
        </w:rPr>
        <w:t>er</w:t>
      </w:r>
      <w:proofErr w:type="spellEnd"/>
      <w:r w:rsidR="00951656" w:rsidRPr="00F744C7">
        <w:rPr>
          <w:rFonts w:ascii="Tahoma" w:hAnsi="Tahoma" w:cs="Tahoma"/>
        </w:rPr>
        <w:t xml:space="preserve"> supports port operations, the electric charging </w:t>
      </w:r>
      <w:r w:rsidR="00951656">
        <w:rPr>
          <w:rFonts w:ascii="Tahoma" w:hAnsi="Tahoma" w:cs="Tahoma"/>
        </w:rPr>
        <w:t xml:space="preserve">or hydrogen refueling </w:t>
      </w:r>
      <w:r w:rsidR="00951656" w:rsidRPr="00F744C7">
        <w:rPr>
          <w:rFonts w:ascii="Tahoma" w:hAnsi="Tahoma" w:cs="Tahoma"/>
        </w:rPr>
        <w:t xml:space="preserve">infrastructure necessary to fuel the </w:t>
      </w:r>
      <w:proofErr w:type="spellStart"/>
      <w:r w:rsidR="00951656" w:rsidRPr="00F744C7">
        <w:rPr>
          <w:rFonts w:ascii="Tahoma" w:hAnsi="Tahoma" w:cs="Tahoma"/>
        </w:rPr>
        <w:t>shipload</w:t>
      </w:r>
      <w:r w:rsidR="00951656">
        <w:rPr>
          <w:rFonts w:ascii="Tahoma" w:hAnsi="Tahoma" w:cs="Tahoma"/>
        </w:rPr>
        <w:t>er</w:t>
      </w:r>
      <w:proofErr w:type="spellEnd"/>
      <w:r w:rsidR="00951656" w:rsidRPr="00F744C7">
        <w:rPr>
          <w:rFonts w:ascii="Tahoma" w:hAnsi="Tahoma" w:cs="Tahoma"/>
        </w:rPr>
        <w:t xml:space="preserve"> </w:t>
      </w:r>
      <w:r w:rsidR="00951656">
        <w:rPr>
          <w:rFonts w:ascii="Tahoma" w:hAnsi="Tahoma" w:cs="Tahoma"/>
        </w:rPr>
        <w:t>may</w:t>
      </w:r>
      <w:r w:rsidR="00951656" w:rsidRPr="00F744C7">
        <w:rPr>
          <w:rFonts w:ascii="Tahoma" w:hAnsi="Tahoma" w:cs="Tahoma"/>
        </w:rPr>
        <w:t xml:space="preserve"> be an eligible project </w:t>
      </w:r>
      <w:r w:rsidR="00951656">
        <w:rPr>
          <w:rFonts w:ascii="Tahoma" w:hAnsi="Tahoma" w:cs="Tahoma"/>
        </w:rPr>
        <w:t xml:space="preserve">if all GFO requirements are met, including but not limited to, </w:t>
      </w:r>
      <w:r w:rsidR="00951656" w:rsidRPr="00F744C7">
        <w:rPr>
          <w:rFonts w:ascii="Tahoma" w:hAnsi="Tahoma" w:cs="Tahoma"/>
        </w:rPr>
        <w:t>the</w:t>
      </w:r>
      <w:r w:rsidR="00951656">
        <w:rPr>
          <w:rFonts w:ascii="Tahoma" w:hAnsi="Tahoma" w:cs="Tahoma"/>
        </w:rPr>
        <w:t xml:space="preserve"> purchase, installation, and deployment of the required</w:t>
      </w:r>
      <w:r w:rsidR="00951656" w:rsidRPr="00F744C7">
        <w:rPr>
          <w:rFonts w:ascii="Tahoma" w:hAnsi="Tahoma" w:cs="Tahoma"/>
        </w:rPr>
        <w:t xml:space="preserve"> minimum number of charger ports</w:t>
      </w:r>
      <w:r w:rsidR="00951656">
        <w:rPr>
          <w:rFonts w:ascii="Tahoma" w:hAnsi="Tahoma" w:cs="Tahoma"/>
        </w:rPr>
        <w:t xml:space="preserve"> or hydrogen fueling positions.</w:t>
      </w:r>
    </w:p>
    <w:p w14:paraId="4D0535F4" w14:textId="77777777" w:rsidR="00951656" w:rsidRPr="00890151" w:rsidRDefault="00951656" w:rsidP="005B1416">
      <w:pPr>
        <w:pStyle w:val="NormalWeb"/>
        <w:ind w:left="720" w:hanging="720"/>
        <w:rPr>
          <w:rFonts w:ascii="Tahoma" w:eastAsiaTheme="minorHAnsi" w:hAnsi="Tahoma" w:cs="Tahoma"/>
        </w:rPr>
      </w:pPr>
    </w:p>
    <w:p w14:paraId="02C53EF5" w14:textId="59244CDE" w:rsidR="00C82531" w:rsidRPr="003F0359" w:rsidRDefault="00E44777" w:rsidP="00C82531">
      <w:pPr>
        <w:ind w:left="720" w:hanging="720"/>
        <w:rPr>
          <w:rFonts w:ascii="Tahoma" w:hAnsi="Tahoma" w:cs="Tahoma"/>
          <w:b/>
        </w:rPr>
      </w:pPr>
      <w:r w:rsidRPr="005448F6">
        <w:rPr>
          <w:rFonts w:ascii="Tahoma" w:hAnsi="Tahoma" w:cs="Tahoma"/>
          <w:b/>
        </w:rPr>
        <w:t>Q</w:t>
      </w:r>
      <w:r>
        <w:rPr>
          <w:rFonts w:ascii="Tahoma" w:hAnsi="Tahoma" w:cs="Tahoma"/>
          <w:b/>
        </w:rPr>
        <w:t>7</w:t>
      </w:r>
      <w:r w:rsidR="00C82531" w:rsidRPr="003F0359">
        <w:rPr>
          <w:rFonts w:ascii="Tahoma" w:hAnsi="Tahoma" w:cs="Tahoma"/>
          <w:b/>
        </w:rPr>
        <w:t>:</w:t>
      </w:r>
      <w:r w:rsidR="00C82531" w:rsidRPr="003F0359">
        <w:rPr>
          <w:rFonts w:ascii="Tahoma" w:hAnsi="Tahoma" w:cs="Tahoma"/>
          <w:b/>
        </w:rPr>
        <w:tab/>
        <w:t xml:space="preserve">Would the CEC consider projects that meet the intended utility capacity requirements of the minimum charger counts, but deploy fewer, </w:t>
      </w:r>
      <w:r w:rsidR="00C82531" w:rsidRPr="003F0359">
        <w:rPr>
          <w:rFonts w:ascii="Tahoma" w:hAnsi="Tahoma" w:cs="Tahoma"/>
          <w:b/>
        </w:rPr>
        <w:lastRenderedPageBreak/>
        <w:t xml:space="preserve">higher-powered chargers? There is a concern that the minimum required charger counts will restrict site designs and preclude sites that can achieve the total throughput and site capacity of a 40x200 kW charger site (8MW) but may not have physical space for 40 individual chargers. This would also likely restrict applicants from developing </w:t>
      </w:r>
      <w:proofErr w:type="spellStart"/>
      <w:r w:rsidR="00C82531" w:rsidRPr="003F0359">
        <w:rPr>
          <w:rFonts w:ascii="Tahoma" w:hAnsi="Tahoma" w:cs="Tahoma"/>
          <w:b/>
        </w:rPr>
        <w:t>MegaWatt</w:t>
      </w:r>
      <w:proofErr w:type="spellEnd"/>
      <w:r w:rsidR="00C82531" w:rsidRPr="003F0359">
        <w:rPr>
          <w:rFonts w:ascii="Tahoma" w:hAnsi="Tahoma" w:cs="Tahoma"/>
          <w:b/>
        </w:rPr>
        <w:t xml:space="preserve"> Charging System (MCS)-capable charging infrastructure in or around Ports through this funding opportunity.</w:t>
      </w:r>
    </w:p>
    <w:p w14:paraId="640CEDEE" w14:textId="77777777" w:rsidR="00C82531" w:rsidRPr="003F0359" w:rsidRDefault="00C82531" w:rsidP="00C82531">
      <w:pPr>
        <w:ind w:left="720" w:hanging="720"/>
        <w:rPr>
          <w:rFonts w:ascii="Tahoma" w:hAnsi="Tahoma" w:cs="Tahoma"/>
          <w:b/>
        </w:rPr>
      </w:pPr>
    </w:p>
    <w:p w14:paraId="5F10B4C1" w14:textId="615D0185" w:rsidR="00C82531" w:rsidRPr="005448F6" w:rsidRDefault="00E44777" w:rsidP="00C82531">
      <w:pPr>
        <w:ind w:left="720" w:hanging="720"/>
        <w:rPr>
          <w:rFonts w:ascii="Tahoma" w:hAnsi="Tahoma" w:cs="Tahoma"/>
        </w:rPr>
      </w:pPr>
      <w:r w:rsidRPr="003F0359">
        <w:rPr>
          <w:rFonts w:ascii="Tahoma" w:hAnsi="Tahoma" w:cs="Tahoma"/>
        </w:rPr>
        <w:t>A</w:t>
      </w:r>
      <w:r>
        <w:rPr>
          <w:rFonts w:ascii="Tahoma" w:hAnsi="Tahoma" w:cs="Tahoma"/>
        </w:rPr>
        <w:t>7</w:t>
      </w:r>
      <w:r w:rsidR="00C82531" w:rsidRPr="003F0359">
        <w:rPr>
          <w:rFonts w:ascii="Tahoma" w:hAnsi="Tahoma" w:cs="Tahoma"/>
        </w:rPr>
        <w:t>:</w:t>
      </w:r>
      <w:r w:rsidR="00C82531" w:rsidRPr="003F0359">
        <w:rPr>
          <w:rFonts w:ascii="Tahoma" w:hAnsi="Tahoma" w:cs="Tahoma"/>
        </w:rPr>
        <w:tab/>
        <w:t>No, the minimum deployment requirement for charging ports or hydrogen fueling positions for the applicable Applicant Group must be met. Refer to Section I.G. and Section II.B. Chargers proposed to be installed at either a Small Port or a Large Port may be multi-port chargers.</w:t>
      </w:r>
      <w:r w:rsidR="00C82531" w:rsidRPr="005448F6">
        <w:rPr>
          <w:rFonts w:ascii="Tahoma" w:hAnsi="Tahoma" w:cs="Tahoma"/>
        </w:rPr>
        <w:t xml:space="preserve"> </w:t>
      </w:r>
    </w:p>
    <w:p w14:paraId="518A16CD" w14:textId="713A8E00" w:rsidR="00CF41EA" w:rsidRDefault="00CF41EA" w:rsidP="00C93641">
      <w:pPr>
        <w:spacing w:line="278" w:lineRule="auto"/>
        <w:rPr>
          <w:rFonts w:ascii="Tahoma" w:hAnsi="Tahoma" w:cs="Tahoma"/>
        </w:rPr>
      </w:pPr>
    </w:p>
    <w:p w14:paraId="135C30F2" w14:textId="0E204F0A" w:rsidR="00E64CC6" w:rsidRPr="006B0C93" w:rsidRDefault="00E44777" w:rsidP="00E64CC6">
      <w:pPr>
        <w:ind w:left="720" w:hanging="720"/>
        <w:rPr>
          <w:rFonts w:ascii="Tahoma" w:hAnsi="Tahoma" w:cs="Tahoma"/>
          <w:b/>
        </w:rPr>
      </w:pPr>
      <w:r>
        <w:rPr>
          <w:rFonts w:ascii="Tahoma" w:hAnsi="Tahoma" w:cs="Tahoma"/>
          <w:b/>
        </w:rPr>
        <w:t>Q8</w:t>
      </w:r>
      <w:r w:rsidR="00E64CC6">
        <w:rPr>
          <w:rFonts w:ascii="Tahoma" w:hAnsi="Tahoma" w:cs="Tahoma"/>
          <w:b/>
        </w:rPr>
        <w:t xml:space="preserve">: </w:t>
      </w:r>
      <w:r w:rsidR="00E64CC6">
        <w:rPr>
          <w:rFonts w:ascii="Tahoma" w:hAnsi="Tahoma" w:cs="Tahoma"/>
          <w:b/>
        </w:rPr>
        <w:tab/>
      </w:r>
      <w:r w:rsidR="00E64CC6" w:rsidRPr="006B0C93">
        <w:rPr>
          <w:rFonts w:ascii="Tahoma" w:hAnsi="Tahoma" w:cs="Tahoma"/>
          <w:b/>
        </w:rPr>
        <w:t>Can you please confirm if Distributed Energy Resource (DER) technologies listed under Section E. Eligible Project Costs are only eligible to use as match share, or if they would be reimbursable by the CEC under this GFO?</w:t>
      </w:r>
      <w:bookmarkStart w:id="0" w:name="_Hlk195171510"/>
    </w:p>
    <w:p w14:paraId="52CE7746" w14:textId="77777777" w:rsidR="00E64CC6" w:rsidRPr="006B0C93" w:rsidRDefault="00E64CC6" w:rsidP="00E64CC6">
      <w:pPr>
        <w:ind w:left="720" w:hanging="720"/>
        <w:rPr>
          <w:rFonts w:ascii="Tahoma" w:hAnsi="Tahoma" w:cs="Tahoma"/>
        </w:rPr>
      </w:pPr>
    </w:p>
    <w:p w14:paraId="42224D91" w14:textId="0D74500C" w:rsidR="00E64CC6" w:rsidRPr="006B0C93" w:rsidRDefault="00E44777" w:rsidP="005B3F22">
      <w:pPr>
        <w:ind w:left="720" w:hanging="720"/>
        <w:rPr>
          <w:rFonts w:ascii="Tahoma" w:hAnsi="Tahoma" w:cs="Tahoma"/>
          <w:strike/>
        </w:rPr>
      </w:pPr>
      <w:r w:rsidRPr="006B0C93">
        <w:rPr>
          <w:rFonts w:ascii="Tahoma" w:hAnsi="Tahoma" w:cs="Tahoma"/>
        </w:rPr>
        <w:t>A8</w:t>
      </w:r>
      <w:r w:rsidR="00E64CC6" w:rsidRPr="006B0C93">
        <w:rPr>
          <w:rFonts w:ascii="Tahoma" w:hAnsi="Tahoma" w:cs="Tahoma"/>
        </w:rPr>
        <w:t>:</w:t>
      </w:r>
      <w:r w:rsidR="00E64CC6" w:rsidRPr="006B0C93">
        <w:rPr>
          <w:rFonts w:ascii="Tahoma" w:hAnsi="Tahoma" w:cs="Tahoma"/>
          <w:b/>
        </w:rPr>
        <w:tab/>
      </w:r>
      <w:r w:rsidR="00A51AEF" w:rsidRPr="005B3F22">
        <w:rPr>
          <w:rFonts w:ascii="Tahoma" w:hAnsi="Tahoma" w:cs="Tahoma"/>
        </w:rPr>
        <w:t>Commercially available energy storage and renewable DERs</w:t>
      </w:r>
      <w:r w:rsidR="00517904" w:rsidRPr="005B3F22">
        <w:rPr>
          <w:rFonts w:ascii="Tahoma" w:hAnsi="Tahoma" w:cs="Tahoma"/>
        </w:rPr>
        <w:t>,</w:t>
      </w:r>
      <w:r w:rsidR="00A51AEF" w:rsidRPr="005B3F22">
        <w:rPr>
          <w:rFonts w:ascii="Tahoma" w:hAnsi="Tahoma" w:cs="Tahoma"/>
        </w:rPr>
        <w:t xml:space="preserve"> such as </w:t>
      </w:r>
      <w:r w:rsidR="00517904" w:rsidRPr="005B3F22">
        <w:rPr>
          <w:rFonts w:ascii="Tahoma" w:hAnsi="Tahoma" w:cs="Tahoma"/>
        </w:rPr>
        <w:t>photovoltaic solar panels separately metered for electric charging, are eligible for CEC reimbursement. Eligible reimbursable costs for commercially available energy storage and renewable DERs may not exceed 50</w:t>
      </w:r>
      <w:r w:rsidR="00F30D88" w:rsidRPr="005B3F22">
        <w:rPr>
          <w:rFonts w:ascii="Tahoma" w:hAnsi="Tahoma" w:cs="Tahoma"/>
        </w:rPr>
        <w:t xml:space="preserve"> percent</w:t>
      </w:r>
      <w:r w:rsidR="00517904" w:rsidRPr="005B3F22">
        <w:rPr>
          <w:rFonts w:ascii="Tahoma" w:hAnsi="Tahoma" w:cs="Tahoma"/>
        </w:rPr>
        <w:t xml:space="preserve"> of CEC grant funds per port/refueling position. For example, if proposing four 750 kW charging ports at $500,000 each, reimbursable costs for energy storage and renewable DERs may not exceed $1 million (50</w:t>
      </w:r>
      <w:r w:rsidR="00C44FE3" w:rsidRPr="005B3F22">
        <w:rPr>
          <w:rFonts w:ascii="Tahoma" w:hAnsi="Tahoma" w:cs="Tahoma"/>
        </w:rPr>
        <w:t xml:space="preserve">% </w:t>
      </w:r>
      <w:r w:rsidR="00517904" w:rsidRPr="005B3F22">
        <w:rPr>
          <w:rFonts w:ascii="Tahoma" w:hAnsi="Tahoma" w:cs="Tahoma"/>
        </w:rPr>
        <w:t>of $500,000 times four)</w:t>
      </w:r>
      <w:r w:rsidR="00EF16AB" w:rsidRPr="005B3F22">
        <w:rPr>
          <w:rFonts w:ascii="Tahoma" w:hAnsi="Tahoma" w:cs="Tahoma"/>
        </w:rPr>
        <w:t>. Refer to Section II.E</w:t>
      </w:r>
      <w:r w:rsidR="0083295D" w:rsidRPr="005B3F22">
        <w:rPr>
          <w:rFonts w:ascii="Tahoma" w:hAnsi="Tahoma" w:cs="Tahoma"/>
        </w:rPr>
        <w:t>. Eligible Project Costs.</w:t>
      </w:r>
      <w:r w:rsidR="00517904" w:rsidRPr="006B0C93">
        <w:rPr>
          <w:rFonts w:ascii="Tahoma" w:hAnsi="Tahoma" w:cs="Tahoma"/>
          <w:b/>
          <w:bCs/>
          <w:u w:val="single"/>
        </w:rPr>
        <w:t xml:space="preserve"> </w:t>
      </w:r>
      <w:bookmarkEnd w:id="0"/>
    </w:p>
    <w:p w14:paraId="179CF3AB" w14:textId="77777777" w:rsidR="00615E9D" w:rsidRDefault="00615E9D" w:rsidP="005A3A7B">
      <w:pPr>
        <w:ind w:left="720" w:hanging="720"/>
        <w:rPr>
          <w:rFonts w:ascii="Tahoma" w:hAnsi="Tahoma" w:cs="Tahoma"/>
          <w:b/>
        </w:rPr>
      </w:pPr>
    </w:p>
    <w:p w14:paraId="32D73F9C" w14:textId="38771710" w:rsidR="005A3A7B" w:rsidRPr="005448F6" w:rsidRDefault="00E44777" w:rsidP="005A3A7B">
      <w:pPr>
        <w:ind w:left="720" w:hanging="720"/>
        <w:rPr>
          <w:rFonts w:ascii="Tahoma" w:hAnsi="Tahoma" w:cs="Tahoma"/>
          <w:b/>
        </w:rPr>
      </w:pPr>
      <w:r w:rsidRPr="005448F6">
        <w:rPr>
          <w:rFonts w:ascii="Tahoma" w:hAnsi="Tahoma" w:cs="Tahoma"/>
          <w:b/>
        </w:rPr>
        <w:t>Q</w:t>
      </w:r>
      <w:r>
        <w:rPr>
          <w:rFonts w:ascii="Tahoma" w:hAnsi="Tahoma" w:cs="Tahoma"/>
          <w:b/>
        </w:rPr>
        <w:t>9</w:t>
      </w:r>
      <w:r w:rsidR="005A3A7B" w:rsidRPr="005448F6">
        <w:rPr>
          <w:rFonts w:ascii="Tahoma" w:hAnsi="Tahoma" w:cs="Tahoma"/>
          <w:b/>
        </w:rPr>
        <w:t>:</w:t>
      </w:r>
      <w:r w:rsidR="005A3A7B" w:rsidRPr="005448F6">
        <w:rPr>
          <w:rFonts w:ascii="Tahoma" w:hAnsi="Tahoma" w:cs="Tahoma"/>
          <w:b/>
        </w:rPr>
        <w:tab/>
        <w:t>Would the CEC allow for an Applicant to use this funding to expand an existing site’s current EV charging infrastructure (if they met all other GFO requirements)?</w:t>
      </w:r>
    </w:p>
    <w:p w14:paraId="06B00FCE" w14:textId="77777777" w:rsidR="005A3A7B" w:rsidRPr="005448F6" w:rsidRDefault="005A3A7B" w:rsidP="005A3A7B">
      <w:pPr>
        <w:ind w:left="720" w:hanging="720"/>
        <w:rPr>
          <w:rFonts w:ascii="Tahoma" w:hAnsi="Tahoma" w:cs="Tahoma"/>
          <w:bCs/>
        </w:rPr>
      </w:pPr>
    </w:p>
    <w:p w14:paraId="2593D175" w14:textId="6E73BAA6" w:rsidR="005A3A7B" w:rsidRDefault="00E44777" w:rsidP="00615E9D">
      <w:pPr>
        <w:ind w:left="720" w:hanging="720"/>
        <w:rPr>
          <w:rFonts w:ascii="Tahoma" w:hAnsi="Tahoma" w:cs="Tahoma"/>
        </w:rPr>
      </w:pPr>
      <w:r w:rsidRPr="005448F6">
        <w:rPr>
          <w:rFonts w:ascii="Tahoma" w:hAnsi="Tahoma" w:cs="Tahoma"/>
        </w:rPr>
        <w:t>A</w:t>
      </w:r>
      <w:r>
        <w:rPr>
          <w:rFonts w:ascii="Tahoma" w:hAnsi="Tahoma" w:cs="Tahoma"/>
        </w:rPr>
        <w:t>9</w:t>
      </w:r>
      <w:r w:rsidR="005A3A7B" w:rsidRPr="005448F6">
        <w:rPr>
          <w:rFonts w:ascii="Tahoma" w:hAnsi="Tahoma" w:cs="Tahoma"/>
        </w:rPr>
        <w:t>:</w:t>
      </w:r>
      <w:r w:rsidR="005A3A7B" w:rsidRPr="005448F6">
        <w:rPr>
          <w:rFonts w:ascii="Tahoma" w:hAnsi="Tahoma" w:cs="Tahoma"/>
        </w:rPr>
        <w:tab/>
        <w:t xml:space="preserve">Yes, funding </w:t>
      </w:r>
      <w:r w:rsidR="005A3A7B">
        <w:rPr>
          <w:rFonts w:ascii="Tahoma" w:hAnsi="Tahoma" w:cs="Tahoma"/>
        </w:rPr>
        <w:t>can</w:t>
      </w:r>
      <w:r w:rsidR="005A3A7B" w:rsidRPr="005448F6">
        <w:rPr>
          <w:rFonts w:ascii="Tahoma" w:hAnsi="Tahoma" w:cs="Tahoma"/>
        </w:rPr>
        <w:t xml:space="preserve"> support </w:t>
      </w:r>
      <w:r w:rsidR="005A3A7B">
        <w:rPr>
          <w:rFonts w:ascii="Tahoma" w:hAnsi="Tahoma" w:cs="Tahoma"/>
        </w:rPr>
        <w:t>the</w:t>
      </w:r>
      <w:r w:rsidR="005A3A7B" w:rsidRPr="005448F6">
        <w:rPr>
          <w:rFonts w:ascii="Tahoma" w:hAnsi="Tahoma" w:cs="Tahoma"/>
        </w:rPr>
        <w:t xml:space="preserve"> new installation of in-ground fueling infrastructure for battery electric or hydrogen fuel cell </w:t>
      </w:r>
      <w:r w:rsidR="005A3A7B">
        <w:rPr>
          <w:rFonts w:ascii="Tahoma" w:hAnsi="Tahoma" w:cs="Tahoma"/>
        </w:rPr>
        <w:t xml:space="preserve">electric </w:t>
      </w:r>
      <w:r w:rsidR="005A3A7B" w:rsidRPr="005448F6">
        <w:rPr>
          <w:rFonts w:ascii="Tahoma" w:hAnsi="Tahoma" w:cs="Tahoma"/>
        </w:rPr>
        <w:t xml:space="preserve">medium- and heavy-duty </w:t>
      </w:r>
      <w:r w:rsidR="005A3A7B" w:rsidRPr="005B3F22">
        <w:rPr>
          <w:rFonts w:ascii="Tahoma" w:hAnsi="Tahoma" w:cs="Tahoma"/>
        </w:rPr>
        <w:t xml:space="preserve">vehicles and/or port equipment and/or off-road equipment. All </w:t>
      </w:r>
      <w:r w:rsidR="00517121" w:rsidRPr="005B3F22">
        <w:rPr>
          <w:rFonts w:ascii="Tahoma" w:hAnsi="Tahoma" w:cs="Tahoma"/>
        </w:rPr>
        <w:t>eligible</w:t>
      </w:r>
      <w:r w:rsidR="005A3A7B" w:rsidRPr="005B3F22">
        <w:rPr>
          <w:rFonts w:ascii="Tahoma" w:hAnsi="Tahoma" w:cs="Tahoma"/>
        </w:rPr>
        <w:t xml:space="preserve"> expenditures must be expended within the approved term of the grant agreement. CEC reimbursable funding </w:t>
      </w:r>
      <w:r w:rsidR="00741F4F" w:rsidRPr="005B3F22">
        <w:rPr>
          <w:rFonts w:ascii="Tahoma" w:hAnsi="Tahoma" w:cs="Tahoma"/>
        </w:rPr>
        <w:t xml:space="preserve">and match share funding </w:t>
      </w:r>
      <w:r w:rsidR="005A3A7B" w:rsidRPr="005B3F22">
        <w:rPr>
          <w:rFonts w:ascii="Tahoma" w:hAnsi="Tahoma" w:cs="Tahoma"/>
        </w:rPr>
        <w:t>cannot be used towards EV charging infrastructure purchased prior to an executed grant agreement.</w:t>
      </w:r>
      <w:r w:rsidR="005A3A7B" w:rsidRPr="005448F6">
        <w:rPr>
          <w:rFonts w:ascii="Tahoma" w:hAnsi="Tahoma" w:cs="Tahoma"/>
        </w:rPr>
        <w:t xml:space="preserve"> </w:t>
      </w:r>
    </w:p>
    <w:p w14:paraId="14453A64" w14:textId="77777777" w:rsidR="00615E9D" w:rsidRDefault="00615E9D" w:rsidP="000D0E3B">
      <w:pPr>
        <w:ind w:left="720" w:hanging="720"/>
        <w:rPr>
          <w:rFonts w:ascii="Tahoma" w:hAnsi="Tahoma" w:cs="Tahoma"/>
          <w:b/>
        </w:rPr>
      </w:pPr>
    </w:p>
    <w:p w14:paraId="1161BD3B" w14:textId="2F03E403" w:rsidR="000D0E3B" w:rsidRPr="006B0C93" w:rsidRDefault="00E44777" w:rsidP="000D0E3B">
      <w:pPr>
        <w:ind w:left="720" w:hanging="720"/>
        <w:rPr>
          <w:rFonts w:ascii="Tahoma" w:hAnsi="Tahoma" w:cs="Tahoma"/>
          <w:b/>
        </w:rPr>
      </w:pPr>
      <w:r w:rsidRPr="006B0C93">
        <w:rPr>
          <w:rFonts w:ascii="Tahoma" w:hAnsi="Tahoma" w:cs="Tahoma"/>
          <w:b/>
        </w:rPr>
        <w:t>Q10</w:t>
      </w:r>
      <w:r w:rsidR="000D0E3B" w:rsidRPr="006B0C93">
        <w:rPr>
          <w:rFonts w:ascii="Tahoma" w:hAnsi="Tahoma" w:cs="Tahoma"/>
          <w:b/>
        </w:rPr>
        <w:t>:</w:t>
      </w:r>
      <w:r w:rsidR="000D0E3B" w:rsidRPr="006B0C93">
        <w:rPr>
          <w:rFonts w:ascii="Tahoma" w:hAnsi="Tahoma" w:cs="Tahoma"/>
          <w:b/>
        </w:rPr>
        <w:tab/>
        <w:t xml:space="preserve">If a fleet is making a portion of its property available for public charging, can a certain number of hours per day, e.g., overnight hours, provide for limited access for the host fleet, while the remainder of the day is open to all fleet users? If so, is there a minimum number </w:t>
      </w:r>
      <w:proofErr w:type="gramStart"/>
      <w:r w:rsidR="000D0E3B" w:rsidRPr="006B0C93">
        <w:rPr>
          <w:rFonts w:ascii="Tahoma" w:hAnsi="Tahoma" w:cs="Tahoma"/>
          <w:b/>
        </w:rPr>
        <w:t>of</w:t>
      </w:r>
      <w:r w:rsidR="00370AB5">
        <w:rPr>
          <w:rFonts w:ascii="Tahoma" w:hAnsi="Tahoma" w:cs="Tahoma"/>
          <w:b/>
        </w:rPr>
        <w:t xml:space="preserve">  </w:t>
      </w:r>
      <w:r w:rsidR="000D0E3B" w:rsidRPr="006B0C93">
        <w:rPr>
          <w:rFonts w:ascii="Tahoma" w:hAnsi="Tahoma" w:cs="Tahoma"/>
          <w:b/>
        </w:rPr>
        <w:lastRenderedPageBreak/>
        <w:t>hours</w:t>
      </w:r>
      <w:proofErr w:type="gramEnd"/>
      <w:r w:rsidR="000D0E3B" w:rsidRPr="006B0C93">
        <w:rPr>
          <w:rFonts w:ascii="Tahoma" w:hAnsi="Tahoma" w:cs="Tahoma"/>
          <w:b/>
        </w:rPr>
        <w:t xml:space="preserve"> required for public access and certain hours of day that must be publicly accessible?  </w:t>
      </w:r>
    </w:p>
    <w:p w14:paraId="6DA53794" w14:textId="77777777" w:rsidR="000D0E3B" w:rsidRPr="006B0C93" w:rsidRDefault="000D0E3B" w:rsidP="000D0E3B">
      <w:pPr>
        <w:ind w:left="720" w:hanging="720"/>
        <w:rPr>
          <w:rFonts w:ascii="Tahoma" w:hAnsi="Tahoma" w:cs="Tahoma"/>
        </w:rPr>
      </w:pPr>
    </w:p>
    <w:p w14:paraId="76521CFA" w14:textId="7B5DA178" w:rsidR="000D0E3B" w:rsidRDefault="00E44777" w:rsidP="000D0E3B">
      <w:pPr>
        <w:ind w:left="720" w:hanging="720"/>
        <w:rPr>
          <w:rFonts w:ascii="Tahoma" w:hAnsi="Tahoma" w:cs="Tahoma"/>
        </w:rPr>
      </w:pPr>
      <w:r w:rsidRPr="006B0C93">
        <w:rPr>
          <w:rFonts w:ascii="Tahoma" w:hAnsi="Tahoma" w:cs="Tahoma"/>
        </w:rPr>
        <w:t>A10</w:t>
      </w:r>
      <w:r w:rsidR="000D0E3B" w:rsidRPr="005B3F22">
        <w:rPr>
          <w:rFonts w:ascii="Tahoma" w:hAnsi="Tahoma" w:cs="Tahoma"/>
        </w:rPr>
        <w:t>:</w:t>
      </w:r>
      <w:r w:rsidR="000D0E3B" w:rsidRPr="005B3F22">
        <w:tab/>
      </w:r>
      <w:r w:rsidR="000D0E3B" w:rsidRPr="005B3F22">
        <w:rPr>
          <w:rFonts w:ascii="Tahoma" w:hAnsi="Tahoma" w:cs="Tahoma"/>
        </w:rPr>
        <w:t>Yes, a fleet can designate limited public access hours. There is no minimum number of hours required for public access</w:t>
      </w:r>
      <w:r w:rsidR="00A023EE" w:rsidRPr="005B3F22">
        <w:rPr>
          <w:rFonts w:ascii="Tahoma" w:hAnsi="Tahoma" w:cs="Tahoma"/>
        </w:rPr>
        <w:t xml:space="preserve">, unless the infrastructure project </w:t>
      </w:r>
      <w:proofErr w:type="gramStart"/>
      <w:r w:rsidR="00A023EE" w:rsidRPr="005B3F22">
        <w:rPr>
          <w:rFonts w:ascii="Tahoma" w:hAnsi="Tahoma" w:cs="Tahoma"/>
        </w:rPr>
        <w:t>is supporting</w:t>
      </w:r>
      <w:proofErr w:type="gramEnd"/>
      <w:r w:rsidR="00A023EE" w:rsidRPr="005B3F22">
        <w:rPr>
          <w:rFonts w:ascii="Tahoma" w:hAnsi="Tahoma" w:cs="Tahoma"/>
        </w:rPr>
        <w:t xml:space="preserve"> </w:t>
      </w:r>
      <w:r w:rsidR="007909A3" w:rsidRPr="005B3F22">
        <w:rPr>
          <w:rFonts w:ascii="Tahoma" w:hAnsi="Tahoma" w:cs="Tahoma"/>
        </w:rPr>
        <w:t>the fleets of California public entities such as cities, counties, and other local government entities</w:t>
      </w:r>
      <w:r w:rsidR="000967F2" w:rsidRPr="005B3F22">
        <w:rPr>
          <w:rFonts w:ascii="Tahoma" w:hAnsi="Tahoma" w:cs="Tahoma"/>
        </w:rPr>
        <w:t>. Applicants proposing infrastructure supporting these types of fleets must propose infrastructure with at least 25</w:t>
      </w:r>
      <w:r w:rsidR="00661193" w:rsidRPr="005B3F22">
        <w:rPr>
          <w:rFonts w:ascii="Tahoma" w:hAnsi="Tahoma" w:cs="Tahoma"/>
        </w:rPr>
        <w:t xml:space="preserve"> percent</w:t>
      </w:r>
      <w:r w:rsidR="000967F2" w:rsidRPr="005B3F22">
        <w:rPr>
          <w:rFonts w:ascii="Tahoma" w:hAnsi="Tahoma" w:cs="Tahoma"/>
        </w:rPr>
        <w:t xml:space="preserve"> of the charging ports/hydrogen fueling positions available as Public Access during normal operating hours. The remaining infrastructure may be Public, Share</w:t>
      </w:r>
      <w:r w:rsidR="001F08C9" w:rsidRPr="005B3F22">
        <w:rPr>
          <w:rFonts w:ascii="Tahoma" w:hAnsi="Tahoma" w:cs="Tahoma"/>
        </w:rPr>
        <w:t>d</w:t>
      </w:r>
      <w:r w:rsidR="000967F2" w:rsidRPr="005B3F22">
        <w:rPr>
          <w:rFonts w:ascii="Tahoma" w:hAnsi="Tahoma" w:cs="Tahoma"/>
        </w:rPr>
        <w:t>, or Private Access</w:t>
      </w:r>
      <w:r w:rsidR="000D0E3B" w:rsidRPr="005B3F22">
        <w:rPr>
          <w:rFonts w:ascii="Tahoma" w:hAnsi="Tahoma" w:cs="Tahoma"/>
        </w:rPr>
        <w:t>. Refer to Section</w:t>
      </w:r>
      <w:r w:rsidR="000967F2" w:rsidRPr="005B3F22">
        <w:rPr>
          <w:rFonts w:ascii="Tahoma" w:hAnsi="Tahoma" w:cs="Tahoma"/>
        </w:rPr>
        <w:t xml:space="preserve"> II.B</w:t>
      </w:r>
      <w:r w:rsidR="00742863" w:rsidRPr="005B3F22">
        <w:rPr>
          <w:rFonts w:ascii="Tahoma" w:hAnsi="Tahoma" w:cs="Tahoma"/>
        </w:rPr>
        <w:t>.</w:t>
      </w:r>
      <w:r w:rsidR="00661193" w:rsidRPr="005B3F22">
        <w:rPr>
          <w:rFonts w:ascii="Tahoma" w:hAnsi="Tahoma" w:cs="Tahoma"/>
        </w:rPr>
        <w:t>2</w:t>
      </w:r>
      <w:r w:rsidR="00742863" w:rsidRPr="005B3F22">
        <w:rPr>
          <w:rFonts w:ascii="Tahoma" w:hAnsi="Tahoma" w:cs="Tahoma"/>
        </w:rPr>
        <w:t xml:space="preserve"> </w:t>
      </w:r>
      <w:r w:rsidR="00CC32A9" w:rsidRPr="005B3F22">
        <w:rPr>
          <w:rFonts w:ascii="Tahoma" w:hAnsi="Tahoma" w:cs="Tahoma"/>
        </w:rPr>
        <w:t xml:space="preserve">Eligible </w:t>
      </w:r>
      <w:r w:rsidR="00742863" w:rsidRPr="005B3F22">
        <w:rPr>
          <w:rFonts w:ascii="Tahoma" w:hAnsi="Tahoma" w:cs="Tahoma"/>
        </w:rPr>
        <w:t xml:space="preserve">Project </w:t>
      </w:r>
      <w:r w:rsidR="00CC32A9" w:rsidRPr="005B3F22">
        <w:rPr>
          <w:rFonts w:ascii="Tahoma" w:hAnsi="Tahoma" w:cs="Tahoma"/>
        </w:rPr>
        <w:t>Accessibility</w:t>
      </w:r>
      <w:r w:rsidR="00742863" w:rsidRPr="005B3F22">
        <w:rPr>
          <w:rFonts w:ascii="Tahoma" w:hAnsi="Tahoma" w:cs="Tahoma"/>
        </w:rPr>
        <w:t xml:space="preserve"> Requirements.</w:t>
      </w:r>
      <w:r w:rsidR="000D0E3B" w:rsidRPr="006B0C93">
        <w:rPr>
          <w:rFonts w:ascii="Tahoma" w:hAnsi="Tahoma" w:cs="Tahoma"/>
        </w:rPr>
        <w:t xml:space="preserve"> </w:t>
      </w:r>
    </w:p>
    <w:p w14:paraId="7D9A1D33" w14:textId="77777777" w:rsidR="002D7C2A" w:rsidRDefault="002D7C2A" w:rsidP="002D7C2A">
      <w:pPr>
        <w:ind w:left="720" w:hanging="720"/>
        <w:rPr>
          <w:rFonts w:ascii="Tahoma" w:hAnsi="Tahoma" w:cs="Tahoma"/>
          <w:b/>
        </w:rPr>
      </w:pPr>
    </w:p>
    <w:p w14:paraId="15222F32" w14:textId="3BF9BF00" w:rsidR="002D7C2A" w:rsidRPr="005448F6" w:rsidRDefault="00E44777" w:rsidP="002D7C2A">
      <w:pPr>
        <w:ind w:left="720" w:hanging="720"/>
        <w:rPr>
          <w:rFonts w:ascii="Tahoma" w:hAnsi="Tahoma" w:cs="Tahoma"/>
          <w:b/>
        </w:rPr>
      </w:pPr>
      <w:r w:rsidRPr="005448F6">
        <w:rPr>
          <w:rFonts w:ascii="Tahoma" w:hAnsi="Tahoma" w:cs="Tahoma"/>
          <w:b/>
        </w:rPr>
        <w:t>Q</w:t>
      </w:r>
      <w:r>
        <w:rPr>
          <w:rFonts w:ascii="Tahoma" w:hAnsi="Tahoma" w:cs="Tahoma"/>
          <w:b/>
        </w:rPr>
        <w:t>11</w:t>
      </w:r>
      <w:r w:rsidR="002D7C2A" w:rsidRPr="005448F6">
        <w:rPr>
          <w:rFonts w:ascii="Tahoma" w:hAnsi="Tahoma" w:cs="Tahoma"/>
          <w:b/>
        </w:rPr>
        <w:t>:</w:t>
      </w:r>
      <w:r w:rsidR="002D7C2A" w:rsidRPr="005448F6">
        <w:rPr>
          <w:rFonts w:ascii="Tahoma" w:hAnsi="Tahoma" w:cs="Tahoma"/>
          <w:b/>
        </w:rPr>
        <w:tab/>
      </w:r>
      <w:r w:rsidR="002D7C2A">
        <w:rPr>
          <w:rFonts w:ascii="Tahoma" w:hAnsi="Tahoma" w:cs="Tahoma"/>
          <w:b/>
        </w:rPr>
        <w:t>Can the</w:t>
      </w:r>
      <w:r w:rsidR="002D7C2A" w:rsidRPr="005448F6">
        <w:rPr>
          <w:rFonts w:ascii="Tahoma" w:hAnsi="Tahoma" w:cs="Tahoma"/>
          <w:b/>
        </w:rPr>
        <w:t xml:space="preserve"> grant's scope </w:t>
      </w:r>
      <w:r w:rsidR="002D7C2A">
        <w:rPr>
          <w:rFonts w:ascii="Tahoma" w:hAnsi="Tahoma" w:cs="Tahoma"/>
          <w:b/>
        </w:rPr>
        <w:t xml:space="preserve">of work </w:t>
      </w:r>
      <w:r w:rsidR="002D7C2A" w:rsidRPr="005448F6">
        <w:rPr>
          <w:rFonts w:ascii="Tahoma" w:hAnsi="Tahoma" w:cs="Tahoma"/>
          <w:b/>
        </w:rPr>
        <w:t>include electrified at-berth ships as zero-emission vehicles and ensure that cold-ironing counts as charging infrastructure</w:t>
      </w:r>
      <w:r w:rsidR="002D7C2A">
        <w:rPr>
          <w:rFonts w:ascii="Tahoma" w:hAnsi="Tahoma" w:cs="Tahoma"/>
          <w:b/>
        </w:rPr>
        <w:t>?</w:t>
      </w:r>
      <w:r w:rsidR="002D7C2A" w:rsidRPr="005448F6">
        <w:rPr>
          <w:rFonts w:ascii="Tahoma" w:hAnsi="Tahoma" w:cs="Tahoma"/>
          <w:b/>
        </w:rPr>
        <w:t xml:space="preserve"> </w:t>
      </w:r>
    </w:p>
    <w:p w14:paraId="5B795460" w14:textId="77777777" w:rsidR="002D7C2A" w:rsidRPr="005448F6" w:rsidRDefault="002D7C2A" w:rsidP="002D7C2A">
      <w:pPr>
        <w:ind w:left="720" w:hanging="720"/>
        <w:rPr>
          <w:rFonts w:ascii="Tahoma" w:hAnsi="Tahoma" w:cs="Tahoma"/>
          <w:b/>
        </w:rPr>
      </w:pPr>
    </w:p>
    <w:p w14:paraId="58A6BE17" w14:textId="77777777" w:rsidR="002D7C2A" w:rsidRPr="005448F6" w:rsidRDefault="002D7C2A" w:rsidP="002D7C2A">
      <w:pPr>
        <w:ind w:left="720"/>
        <w:rPr>
          <w:rFonts w:ascii="Tahoma" w:hAnsi="Tahoma" w:cs="Tahoma"/>
          <w:b/>
        </w:rPr>
      </w:pPr>
      <w:r w:rsidRPr="005448F6">
        <w:rPr>
          <w:rFonts w:ascii="Tahoma" w:hAnsi="Tahoma" w:cs="Tahoma"/>
          <w:b/>
        </w:rPr>
        <w:t xml:space="preserve">For background, a battery railcar </w:t>
      </w:r>
      <w:r>
        <w:rPr>
          <w:rFonts w:ascii="Tahoma" w:hAnsi="Tahoma" w:cs="Tahoma"/>
          <w:b/>
        </w:rPr>
        <w:t xml:space="preserve">has been developed </w:t>
      </w:r>
      <w:r w:rsidRPr="005448F6">
        <w:rPr>
          <w:rFonts w:ascii="Tahoma" w:hAnsi="Tahoma" w:cs="Tahoma"/>
          <w:b/>
        </w:rPr>
        <w:t xml:space="preserve">that has a 17.2 MWH capacity and can discharge AC or DC. When moved together in a unit train, </w:t>
      </w:r>
      <w:r>
        <w:rPr>
          <w:rFonts w:ascii="Tahoma" w:hAnsi="Tahoma" w:cs="Tahoma"/>
          <w:b/>
        </w:rPr>
        <w:t>it</w:t>
      </w:r>
      <w:r w:rsidRPr="005448F6">
        <w:rPr>
          <w:rFonts w:ascii="Tahoma" w:hAnsi="Tahoma" w:cs="Tahoma"/>
          <w:b/>
        </w:rPr>
        <w:t xml:space="preserve"> can deliver 1.72 GWH of stored energy to </w:t>
      </w:r>
      <w:r>
        <w:rPr>
          <w:rFonts w:ascii="Tahoma" w:hAnsi="Tahoma" w:cs="Tahoma"/>
          <w:b/>
        </w:rPr>
        <w:t>a specific Port</w:t>
      </w:r>
      <w:r w:rsidRPr="005448F6">
        <w:rPr>
          <w:rFonts w:ascii="Tahoma" w:hAnsi="Tahoma" w:cs="Tahoma"/>
          <w:b/>
        </w:rPr>
        <w:t xml:space="preserve">. </w:t>
      </w:r>
    </w:p>
    <w:p w14:paraId="0FD762AF" w14:textId="77777777" w:rsidR="002D7C2A" w:rsidRPr="005448F6" w:rsidRDefault="002D7C2A" w:rsidP="002D7C2A">
      <w:pPr>
        <w:ind w:left="720"/>
        <w:rPr>
          <w:rFonts w:ascii="Tahoma" w:hAnsi="Tahoma" w:cs="Tahoma"/>
          <w:b/>
        </w:rPr>
      </w:pPr>
    </w:p>
    <w:p w14:paraId="54F17D62" w14:textId="092200B8" w:rsidR="002D7C2A" w:rsidRPr="005448F6" w:rsidRDefault="00E44777" w:rsidP="002D7C2A">
      <w:pPr>
        <w:ind w:left="720" w:hanging="720"/>
        <w:rPr>
          <w:rFonts w:ascii="Tahoma" w:hAnsi="Tahoma" w:cs="Tahoma"/>
        </w:rPr>
      </w:pPr>
      <w:r w:rsidRPr="005448F6">
        <w:rPr>
          <w:rFonts w:ascii="Tahoma" w:hAnsi="Tahoma" w:cs="Tahoma"/>
        </w:rPr>
        <w:t>A</w:t>
      </w:r>
      <w:r>
        <w:rPr>
          <w:rFonts w:ascii="Tahoma" w:hAnsi="Tahoma" w:cs="Tahoma"/>
        </w:rPr>
        <w:t>11</w:t>
      </w:r>
      <w:r w:rsidR="002D7C2A" w:rsidRPr="005448F6">
        <w:rPr>
          <w:rFonts w:ascii="Tahoma" w:hAnsi="Tahoma" w:cs="Tahoma"/>
        </w:rPr>
        <w:t>:</w:t>
      </w:r>
      <w:r w:rsidR="002D7C2A" w:rsidRPr="005448F6">
        <w:rPr>
          <w:rFonts w:ascii="Tahoma" w:hAnsi="Tahoma" w:cs="Tahoma"/>
        </w:rPr>
        <w:tab/>
        <w:t xml:space="preserve">Electrified at-berth ships may be eligible </w:t>
      </w:r>
      <w:r w:rsidR="002D7C2A">
        <w:rPr>
          <w:rFonts w:ascii="Tahoma" w:hAnsi="Tahoma" w:cs="Tahoma"/>
        </w:rPr>
        <w:t xml:space="preserve">as a project as long as the proposed application is </w:t>
      </w:r>
      <w:r w:rsidR="002D7C2A" w:rsidRPr="005448F6">
        <w:rPr>
          <w:rFonts w:ascii="Tahoma" w:hAnsi="Tahoma" w:cs="Tahoma"/>
        </w:rPr>
        <w:t xml:space="preserve">for </w:t>
      </w:r>
      <w:r w:rsidR="002D7C2A">
        <w:rPr>
          <w:rFonts w:ascii="Tahoma" w:hAnsi="Tahoma" w:cs="Tahoma"/>
        </w:rPr>
        <w:t xml:space="preserve">new </w:t>
      </w:r>
      <w:r w:rsidR="002D7C2A" w:rsidRPr="005448F6">
        <w:rPr>
          <w:rFonts w:ascii="Tahoma" w:hAnsi="Tahoma" w:cs="Tahoma"/>
        </w:rPr>
        <w:t xml:space="preserve">charging infrastructure </w:t>
      </w:r>
      <w:r w:rsidR="002D7C2A">
        <w:rPr>
          <w:rFonts w:ascii="Tahoma" w:hAnsi="Tahoma" w:cs="Tahoma"/>
        </w:rPr>
        <w:t xml:space="preserve">and </w:t>
      </w:r>
      <w:r w:rsidR="002D7C2A" w:rsidRPr="005448F6">
        <w:rPr>
          <w:rFonts w:ascii="Tahoma" w:hAnsi="Tahoma" w:cs="Tahoma"/>
        </w:rPr>
        <w:t xml:space="preserve">if </w:t>
      </w:r>
      <w:r w:rsidR="002D7C2A">
        <w:rPr>
          <w:rFonts w:ascii="Tahoma" w:hAnsi="Tahoma" w:cs="Tahoma"/>
        </w:rPr>
        <w:t>the</w:t>
      </w:r>
      <w:r w:rsidR="002D7C2A" w:rsidRPr="005448F6">
        <w:rPr>
          <w:rFonts w:ascii="Tahoma" w:hAnsi="Tahoma" w:cs="Tahoma"/>
        </w:rPr>
        <w:t xml:space="preserve"> installation meets </w:t>
      </w:r>
      <w:r w:rsidR="002D7C2A">
        <w:rPr>
          <w:rFonts w:ascii="Tahoma" w:hAnsi="Tahoma" w:cs="Tahoma"/>
        </w:rPr>
        <w:t>the</w:t>
      </w:r>
      <w:r w:rsidR="002D7C2A" w:rsidRPr="005448F6">
        <w:rPr>
          <w:rFonts w:ascii="Tahoma" w:hAnsi="Tahoma" w:cs="Tahoma"/>
        </w:rPr>
        <w:t xml:space="preserve"> minimum </w:t>
      </w:r>
      <w:r w:rsidR="002D7C2A">
        <w:rPr>
          <w:rFonts w:ascii="Tahoma" w:hAnsi="Tahoma" w:cs="Tahoma"/>
        </w:rPr>
        <w:t xml:space="preserve">charging </w:t>
      </w:r>
      <w:r w:rsidR="002D7C2A" w:rsidRPr="005448F6">
        <w:rPr>
          <w:rFonts w:ascii="Tahoma" w:hAnsi="Tahoma" w:cs="Tahoma"/>
        </w:rPr>
        <w:t>requirements in the GFO</w:t>
      </w:r>
      <w:r w:rsidR="002D7C2A">
        <w:rPr>
          <w:rFonts w:ascii="Tahoma" w:hAnsi="Tahoma" w:cs="Tahoma"/>
        </w:rPr>
        <w:t>, along with all other requirements in the GFO</w:t>
      </w:r>
      <w:r w:rsidR="002D7C2A" w:rsidRPr="005448F6">
        <w:rPr>
          <w:rFonts w:ascii="Tahoma" w:hAnsi="Tahoma" w:cs="Tahoma"/>
        </w:rPr>
        <w:t xml:space="preserve">. </w:t>
      </w:r>
      <w:r w:rsidR="002D7C2A">
        <w:rPr>
          <w:rFonts w:ascii="Tahoma" w:hAnsi="Tahoma" w:cs="Tahoma"/>
        </w:rPr>
        <w:t>Refer to Section I.G. Maximum Award Amounts and Minimum Infrastructure Requirements and Section II.B., Project Requirements.</w:t>
      </w:r>
    </w:p>
    <w:p w14:paraId="486C65C4" w14:textId="77777777" w:rsidR="00D21D65" w:rsidRDefault="00D21D65" w:rsidP="00D21D65">
      <w:pPr>
        <w:ind w:left="720" w:hanging="720"/>
        <w:rPr>
          <w:rFonts w:ascii="Tahoma" w:hAnsi="Tahoma" w:cs="Tahoma"/>
          <w:b/>
        </w:rPr>
      </w:pPr>
    </w:p>
    <w:p w14:paraId="6BCC39CD" w14:textId="24371F6E" w:rsidR="00D21D65" w:rsidRPr="005448F6" w:rsidRDefault="00E44777" w:rsidP="00D21D65">
      <w:pPr>
        <w:ind w:left="720" w:hanging="720"/>
        <w:rPr>
          <w:rFonts w:ascii="Tahoma" w:hAnsi="Tahoma" w:cs="Tahoma"/>
          <w:b/>
        </w:rPr>
      </w:pPr>
      <w:r w:rsidRPr="005448F6">
        <w:rPr>
          <w:rFonts w:ascii="Tahoma" w:hAnsi="Tahoma" w:cs="Tahoma"/>
          <w:b/>
        </w:rPr>
        <w:t>Q</w:t>
      </w:r>
      <w:r>
        <w:rPr>
          <w:rFonts w:ascii="Tahoma" w:hAnsi="Tahoma" w:cs="Tahoma"/>
          <w:b/>
        </w:rPr>
        <w:t>12</w:t>
      </w:r>
      <w:r w:rsidR="00D21D65" w:rsidRPr="005448F6">
        <w:rPr>
          <w:rFonts w:ascii="Tahoma" w:hAnsi="Tahoma" w:cs="Tahoma"/>
          <w:b/>
        </w:rPr>
        <w:t>:</w:t>
      </w:r>
      <w:r w:rsidR="00D21D65" w:rsidRPr="005448F6">
        <w:rPr>
          <w:rFonts w:ascii="Tahoma" w:hAnsi="Tahoma" w:cs="Tahoma"/>
          <w:b/>
        </w:rPr>
        <w:tab/>
        <w:t xml:space="preserve">Can a hydrogen dispenser project operating mobile hydrogen refuelers serving four different port terminal locations qualify as serving four different positions? </w:t>
      </w:r>
    </w:p>
    <w:p w14:paraId="14D25A92" w14:textId="77777777" w:rsidR="00D21D65" w:rsidRPr="005448F6" w:rsidRDefault="00D21D65" w:rsidP="00D21D65">
      <w:pPr>
        <w:ind w:left="720" w:hanging="720"/>
        <w:rPr>
          <w:rFonts w:ascii="Tahoma" w:hAnsi="Tahoma" w:cs="Tahoma"/>
          <w:b/>
        </w:rPr>
      </w:pPr>
    </w:p>
    <w:p w14:paraId="64E9587F" w14:textId="17A430AF" w:rsidR="00D21D65" w:rsidRPr="005448F6" w:rsidRDefault="00E44777" w:rsidP="00D21D65">
      <w:pPr>
        <w:ind w:left="720" w:hanging="720"/>
        <w:rPr>
          <w:rFonts w:ascii="Tahoma" w:hAnsi="Tahoma" w:cs="Tahoma"/>
        </w:rPr>
      </w:pPr>
      <w:r w:rsidRPr="005448F6">
        <w:rPr>
          <w:rFonts w:ascii="Tahoma" w:hAnsi="Tahoma" w:cs="Tahoma"/>
        </w:rPr>
        <w:t>A</w:t>
      </w:r>
      <w:r>
        <w:rPr>
          <w:rFonts w:ascii="Tahoma" w:hAnsi="Tahoma" w:cs="Tahoma"/>
        </w:rPr>
        <w:t>12</w:t>
      </w:r>
      <w:r w:rsidR="00D21D65" w:rsidRPr="005448F6">
        <w:rPr>
          <w:rFonts w:ascii="Tahoma" w:hAnsi="Tahoma" w:cs="Tahoma"/>
        </w:rPr>
        <w:t>:</w:t>
      </w:r>
      <w:r w:rsidR="00D21D65" w:rsidRPr="005448F6">
        <w:rPr>
          <w:rFonts w:ascii="Tahoma" w:hAnsi="Tahoma" w:cs="Tahoma"/>
        </w:rPr>
        <w:tab/>
        <w:t>No. In th</w:t>
      </w:r>
      <w:r w:rsidR="00D21D65">
        <w:rPr>
          <w:rFonts w:ascii="Tahoma" w:hAnsi="Tahoma" w:cs="Tahoma"/>
        </w:rPr>
        <w:t xml:space="preserve">e </w:t>
      </w:r>
      <w:r w:rsidR="00D21D65" w:rsidRPr="005448F6">
        <w:rPr>
          <w:rFonts w:ascii="Tahoma" w:hAnsi="Tahoma" w:cs="Tahoma"/>
        </w:rPr>
        <w:t>example</w:t>
      </w:r>
      <w:r w:rsidR="00D21D65">
        <w:rPr>
          <w:rFonts w:ascii="Tahoma" w:hAnsi="Tahoma" w:cs="Tahoma"/>
        </w:rPr>
        <w:t xml:space="preserve"> provided</w:t>
      </w:r>
      <w:r w:rsidR="00D21D65" w:rsidRPr="005448F6">
        <w:rPr>
          <w:rFonts w:ascii="Tahoma" w:hAnsi="Tahoma" w:cs="Tahoma"/>
        </w:rPr>
        <w:t xml:space="preserve">, one mobile </w:t>
      </w:r>
      <w:r w:rsidR="00D21D65">
        <w:rPr>
          <w:rFonts w:ascii="Tahoma" w:hAnsi="Tahoma" w:cs="Tahoma"/>
        </w:rPr>
        <w:t xml:space="preserve">hydrogen </w:t>
      </w:r>
      <w:r w:rsidR="00D21D65" w:rsidRPr="005448F6">
        <w:rPr>
          <w:rFonts w:ascii="Tahoma" w:hAnsi="Tahoma" w:cs="Tahoma"/>
        </w:rPr>
        <w:t xml:space="preserve">refueler would count as one </w:t>
      </w:r>
      <w:r w:rsidR="00D21D65">
        <w:rPr>
          <w:rFonts w:ascii="Tahoma" w:hAnsi="Tahoma" w:cs="Tahoma"/>
        </w:rPr>
        <w:t xml:space="preserve">fueling </w:t>
      </w:r>
      <w:r w:rsidR="00D21D65" w:rsidRPr="005448F6">
        <w:rPr>
          <w:rFonts w:ascii="Tahoma" w:hAnsi="Tahoma" w:cs="Tahoma"/>
        </w:rPr>
        <w:t>position</w:t>
      </w:r>
      <w:r w:rsidR="00D21D65">
        <w:rPr>
          <w:rFonts w:ascii="Tahoma" w:hAnsi="Tahoma" w:cs="Tahoma"/>
        </w:rPr>
        <w:t>,</w:t>
      </w:r>
      <w:r w:rsidR="00D21D65" w:rsidRPr="005448F6">
        <w:rPr>
          <w:rFonts w:ascii="Tahoma" w:hAnsi="Tahoma" w:cs="Tahoma"/>
        </w:rPr>
        <w:t xml:space="preserve"> as it may only refuel one vehicle/vessel at a time. Note, that mobile refueling is eligible for match share only. </w:t>
      </w:r>
    </w:p>
    <w:p w14:paraId="590FD52D" w14:textId="77777777" w:rsidR="004967B7" w:rsidRDefault="004967B7" w:rsidP="004967B7">
      <w:pPr>
        <w:ind w:left="720" w:hanging="720"/>
        <w:rPr>
          <w:rFonts w:ascii="Tahoma" w:hAnsi="Tahoma" w:cs="Tahoma"/>
          <w:b/>
        </w:rPr>
      </w:pPr>
    </w:p>
    <w:p w14:paraId="095879AF" w14:textId="2947A646" w:rsidR="004967B7" w:rsidRPr="006B0C93" w:rsidRDefault="00E44777" w:rsidP="004967B7">
      <w:pPr>
        <w:ind w:left="720" w:hanging="720"/>
        <w:rPr>
          <w:rFonts w:ascii="Tahoma" w:hAnsi="Tahoma" w:cs="Tahoma"/>
          <w:b/>
        </w:rPr>
      </w:pPr>
      <w:r w:rsidRPr="006B0C93">
        <w:rPr>
          <w:rFonts w:ascii="Tahoma" w:hAnsi="Tahoma" w:cs="Tahoma"/>
          <w:b/>
        </w:rPr>
        <w:t>Q13</w:t>
      </w:r>
      <w:r w:rsidR="004967B7" w:rsidRPr="006B0C93">
        <w:rPr>
          <w:rFonts w:ascii="Tahoma" w:hAnsi="Tahoma" w:cs="Tahoma"/>
          <w:b/>
        </w:rPr>
        <w:t>:</w:t>
      </w:r>
      <w:r w:rsidR="004967B7" w:rsidRPr="006B0C93">
        <w:rPr>
          <w:rFonts w:ascii="Tahoma" w:hAnsi="Tahoma" w:cs="Tahoma"/>
          <w:b/>
        </w:rPr>
        <w:tab/>
        <w:t>Can proposed projects include existing medium- and heavy-duty (MDHD) vehicles, or must all vehicles be newly procured?</w:t>
      </w:r>
    </w:p>
    <w:p w14:paraId="2240DB9C" w14:textId="77777777" w:rsidR="004967B7" w:rsidRPr="006B0C93" w:rsidRDefault="004967B7" w:rsidP="004967B7">
      <w:pPr>
        <w:ind w:left="720" w:hanging="720"/>
        <w:rPr>
          <w:rFonts w:ascii="Tahoma" w:hAnsi="Tahoma" w:cs="Tahoma"/>
          <w:b/>
        </w:rPr>
      </w:pPr>
    </w:p>
    <w:p w14:paraId="067BFDE6" w14:textId="2E830EA1" w:rsidR="00DB65A8" w:rsidRPr="005B3F22" w:rsidRDefault="00E44777" w:rsidP="00370AB5">
      <w:pPr>
        <w:ind w:left="720" w:hanging="720"/>
        <w:rPr>
          <w:rFonts w:ascii="Tahoma" w:hAnsi="Tahoma" w:cs="Tahoma"/>
        </w:rPr>
      </w:pPr>
      <w:r w:rsidRPr="006B0C93">
        <w:rPr>
          <w:rFonts w:ascii="Tahoma" w:hAnsi="Tahoma" w:cs="Tahoma"/>
        </w:rPr>
        <w:t>A13</w:t>
      </w:r>
      <w:r w:rsidR="004967B7" w:rsidRPr="006B0C93">
        <w:rPr>
          <w:rFonts w:ascii="Tahoma" w:hAnsi="Tahoma" w:cs="Tahoma"/>
        </w:rPr>
        <w:t>:</w:t>
      </w:r>
      <w:r w:rsidR="004967B7" w:rsidRPr="006B0C93">
        <w:rPr>
          <w:rFonts w:ascii="Tahoma" w:hAnsi="Tahoma" w:cs="Tahoma"/>
        </w:rPr>
        <w:tab/>
      </w:r>
      <w:r w:rsidR="00DB65A8" w:rsidRPr="005B3F22">
        <w:rPr>
          <w:rFonts w:ascii="Tahoma" w:hAnsi="Tahoma" w:cs="Tahoma"/>
        </w:rPr>
        <w:t xml:space="preserve">If proposing a Private Access or Shared Access infrastructure project, the fleet that is being supported must commit to supporting: at least two MDHD EVs per Level 2 </w:t>
      </w:r>
      <w:r w:rsidR="00A63333" w:rsidRPr="005B3F22">
        <w:rPr>
          <w:rFonts w:ascii="Tahoma" w:hAnsi="Tahoma" w:cs="Tahoma"/>
        </w:rPr>
        <w:t xml:space="preserve">charging port </w:t>
      </w:r>
      <w:r w:rsidR="00DB65A8" w:rsidRPr="005B3F22">
        <w:rPr>
          <w:rFonts w:ascii="Tahoma" w:hAnsi="Tahoma" w:cs="Tahoma"/>
        </w:rPr>
        <w:t xml:space="preserve">proposed for CEC funding; at least three MDHD EVs per DC fast </w:t>
      </w:r>
      <w:r w:rsidR="00A63333" w:rsidRPr="005B3F22">
        <w:rPr>
          <w:rFonts w:ascii="Tahoma" w:hAnsi="Tahoma" w:cs="Tahoma"/>
        </w:rPr>
        <w:t xml:space="preserve">charging port </w:t>
      </w:r>
      <w:r w:rsidR="00DB65A8" w:rsidRPr="005B3F22">
        <w:rPr>
          <w:rFonts w:ascii="Tahoma" w:hAnsi="Tahoma" w:cs="Tahoma"/>
        </w:rPr>
        <w:t>proposed for CEC funding; at least 30 MDHD FCEVs per every two hydrogen fueling positions proposed for CEC funding</w:t>
      </w:r>
      <w:r w:rsidR="00A63333" w:rsidRPr="005B3F22">
        <w:rPr>
          <w:rFonts w:ascii="Tahoma" w:hAnsi="Tahoma" w:cs="Tahoma"/>
        </w:rPr>
        <w:t>; or</w:t>
      </w:r>
      <w:r w:rsidR="007B2C59" w:rsidRPr="005B3F22">
        <w:rPr>
          <w:rFonts w:ascii="Tahoma" w:hAnsi="Tahoma" w:cs="Tahoma"/>
        </w:rPr>
        <w:t xml:space="preserve"> </w:t>
      </w:r>
      <w:r w:rsidR="004462FF" w:rsidRPr="005B3F22">
        <w:rPr>
          <w:rFonts w:ascii="Tahoma" w:hAnsi="Tahoma" w:cs="Tahoma"/>
        </w:rPr>
        <w:t>at least one specialty vehicle, off-road equipment/vehicle, or non-road vehicle per EV charging port or hydrogen fueling position proposed for CEC funding</w:t>
      </w:r>
      <w:r w:rsidR="00DB65A8" w:rsidRPr="005B3F22">
        <w:rPr>
          <w:rFonts w:ascii="Tahoma" w:hAnsi="Tahoma" w:cs="Tahoma"/>
        </w:rPr>
        <w:t>.</w:t>
      </w:r>
    </w:p>
    <w:p w14:paraId="5009F410" w14:textId="0C5A32DB" w:rsidR="00FE0797" w:rsidRPr="005B3F22" w:rsidRDefault="00DB65A8" w:rsidP="005B3F22">
      <w:pPr>
        <w:ind w:left="720"/>
        <w:rPr>
          <w:rFonts w:ascii="Tahoma" w:hAnsi="Tahoma" w:cs="Tahoma"/>
        </w:rPr>
      </w:pPr>
      <w:r w:rsidRPr="005B3F22">
        <w:rPr>
          <w:rFonts w:ascii="Tahoma" w:hAnsi="Tahoma" w:cs="Tahoma"/>
        </w:rPr>
        <w:lastRenderedPageBreak/>
        <w:t xml:space="preserve">The vehicles being supported must either be new vehicles being </w:t>
      </w:r>
      <w:proofErr w:type="gramStart"/>
      <w:r w:rsidRPr="005B3F22">
        <w:rPr>
          <w:rFonts w:ascii="Tahoma" w:hAnsi="Tahoma" w:cs="Tahoma"/>
        </w:rPr>
        <w:t>procured</w:t>
      </w:r>
      <w:proofErr w:type="gramEnd"/>
      <w:r w:rsidRPr="005B3F22">
        <w:rPr>
          <w:rFonts w:ascii="Tahoma" w:hAnsi="Tahoma" w:cs="Tahoma"/>
        </w:rPr>
        <w:t xml:space="preserve"> or existing vehicles that were not able to be used due to a lack of infrastructure. New vehicles procured as part of a resulting grant agreement may be eligible for match funding. Existing vehicles are not eligible for reimbursement or match funding.</w:t>
      </w:r>
      <w:r w:rsidR="00EC6BF6" w:rsidRPr="005B3F22">
        <w:rPr>
          <w:rFonts w:ascii="Tahoma" w:hAnsi="Tahoma" w:cs="Tahoma"/>
        </w:rPr>
        <w:t xml:space="preserve"> Refer to Section II.B.4. Vehicle Deployment Requirements.</w:t>
      </w:r>
      <w:r w:rsidRPr="005B3F22">
        <w:rPr>
          <w:rFonts w:ascii="Tahoma" w:hAnsi="Tahoma" w:cs="Tahoma"/>
        </w:rPr>
        <w:br/>
      </w:r>
    </w:p>
    <w:p w14:paraId="32CAB552" w14:textId="0BF84471" w:rsidR="00FE0797" w:rsidRPr="005448F6" w:rsidRDefault="00E44777" w:rsidP="00FE0797">
      <w:pPr>
        <w:ind w:left="720" w:hanging="720"/>
        <w:rPr>
          <w:rFonts w:ascii="Tahoma" w:hAnsi="Tahoma" w:cs="Tahoma"/>
          <w:b/>
        </w:rPr>
      </w:pPr>
      <w:r w:rsidRPr="005448F6">
        <w:rPr>
          <w:rFonts w:ascii="Tahoma" w:hAnsi="Tahoma" w:cs="Tahoma"/>
          <w:b/>
        </w:rPr>
        <w:t>Q1</w:t>
      </w:r>
      <w:r>
        <w:rPr>
          <w:rFonts w:ascii="Tahoma" w:hAnsi="Tahoma" w:cs="Tahoma"/>
          <w:b/>
        </w:rPr>
        <w:t>4</w:t>
      </w:r>
      <w:r w:rsidR="00FE0797" w:rsidRPr="005448F6">
        <w:rPr>
          <w:rFonts w:ascii="Tahoma" w:hAnsi="Tahoma" w:cs="Tahoma"/>
          <w:b/>
        </w:rPr>
        <w:t>:</w:t>
      </w:r>
      <w:r w:rsidR="00FE0797" w:rsidRPr="005448F6">
        <w:rPr>
          <w:rFonts w:ascii="Tahoma" w:hAnsi="Tahoma" w:cs="Tahoma"/>
          <w:b/>
        </w:rPr>
        <w:tab/>
      </w:r>
      <w:r w:rsidR="00FE0797" w:rsidRPr="00D16AF8">
        <w:rPr>
          <w:rFonts w:ascii="Tahoma" w:hAnsi="Tahoma" w:cs="Tahoma"/>
          <w:b/>
        </w:rPr>
        <w:t xml:space="preserve">Are investor-owned utilities </w:t>
      </w:r>
      <w:r w:rsidR="00FE0797">
        <w:rPr>
          <w:rFonts w:ascii="Tahoma" w:hAnsi="Tahoma" w:cs="Tahoma"/>
          <w:b/>
        </w:rPr>
        <w:t xml:space="preserve">(IOUs) </w:t>
      </w:r>
      <w:r w:rsidR="00FE0797" w:rsidRPr="00D16AF8">
        <w:rPr>
          <w:rFonts w:ascii="Tahoma" w:hAnsi="Tahoma" w:cs="Tahoma"/>
          <w:b/>
        </w:rPr>
        <w:t>allowed to participate as project partners, even if they are not the lead applicant?</w:t>
      </w:r>
    </w:p>
    <w:p w14:paraId="259AE17C" w14:textId="77777777" w:rsidR="00FE0797" w:rsidRPr="005448F6" w:rsidRDefault="00FE0797" w:rsidP="00FE0797">
      <w:pPr>
        <w:ind w:left="720" w:hanging="720"/>
        <w:rPr>
          <w:rFonts w:ascii="Tahoma" w:hAnsi="Tahoma" w:cs="Tahoma"/>
          <w:b/>
        </w:rPr>
      </w:pPr>
    </w:p>
    <w:p w14:paraId="41C90B98" w14:textId="2F21ECA6" w:rsidR="00FE0797" w:rsidRPr="005448F6" w:rsidRDefault="00E44777" w:rsidP="00FE0797">
      <w:pPr>
        <w:ind w:left="720" w:hanging="720"/>
        <w:rPr>
          <w:rFonts w:ascii="Tahoma" w:hAnsi="Tahoma" w:cs="Tahoma"/>
        </w:rPr>
      </w:pPr>
      <w:r w:rsidRPr="005448F6">
        <w:rPr>
          <w:rFonts w:ascii="Tahoma" w:hAnsi="Tahoma" w:cs="Tahoma"/>
        </w:rPr>
        <w:t>A1</w:t>
      </w:r>
      <w:r>
        <w:rPr>
          <w:rFonts w:ascii="Tahoma" w:hAnsi="Tahoma" w:cs="Tahoma"/>
        </w:rPr>
        <w:t>4</w:t>
      </w:r>
      <w:r w:rsidR="00FE0797" w:rsidRPr="005448F6">
        <w:rPr>
          <w:rFonts w:ascii="Tahoma" w:hAnsi="Tahoma" w:cs="Tahoma"/>
        </w:rPr>
        <w:t>:</w:t>
      </w:r>
      <w:r w:rsidR="00FE0797" w:rsidRPr="005448F6">
        <w:rPr>
          <w:rFonts w:ascii="Tahoma" w:hAnsi="Tahoma" w:cs="Tahoma"/>
        </w:rPr>
        <w:tab/>
        <w:t>Yes</w:t>
      </w:r>
      <w:r w:rsidR="00FE0797">
        <w:rPr>
          <w:rFonts w:ascii="Tahoma" w:hAnsi="Tahoma" w:cs="Tahoma"/>
        </w:rPr>
        <w:t>, IOUs may participate as project partners; however, IOUs will not be eligible for CEC reimbursement</w:t>
      </w:r>
      <w:r w:rsidR="00FE0797" w:rsidRPr="005448F6">
        <w:rPr>
          <w:rFonts w:ascii="Tahoma" w:hAnsi="Tahoma" w:cs="Tahoma"/>
        </w:rPr>
        <w:t>.</w:t>
      </w:r>
      <w:r w:rsidR="00FE0797">
        <w:rPr>
          <w:rFonts w:ascii="Tahoma" w:hAnsi="Tahoma" w:cs="Tahoma"/>
        </w:rPr>
        <w:t xml:space="preserve"> IOUs may contribute match share funding.</w:t>
      </w:r>
    </w:p>
    <w:p w14:paraId="58CE8CE0" w14:textId="77777777" w:rsidR="00FE0797" w:rsidRPr="005448F6" w:rsidRDefault="00FE0797" w:rsidP="00FE0797">
      <w:pPr>
        <w:ind w:left="720" w:hanging="720"/>
        <w:rPr>
          <w:rFonts w:ascii="Tahoma" w:hAnsi="Tahoma" w:cs="Tahoma"/>
        </w:rPr>
      </w:pPr>
    </w:p>
    <w:p w14:paraId="53D7B7E5" w14:textId="2A39CBCD" w:rsidR="00AE2B74" w:rsidRPr="005448F6" w:rsidRDefault="00E44777" w:rsidP="00AE2B74">
      <w:pPr>
        <w:ind w:left="720" w:hanging="720"/>
        <w:rPr>
          <w:rFonts w:ascii="Tahoma" w:hAnsi="Tahoma" w:cs="Tahoma"/>
          <w:b/>
        </w:rPr>
      </w:pPr>
      <w:r w:rsidRPr="005448F6">
        <w:rPr>
          <w:rFonts w:ascii="Tahoma" w:hAnsi="Tahoma" w:cs="Tahoma"/>
          <w:b/>
        </w:rPr>
        <w:t>Q1</w:t>
      </w:r>
      <w:r>
        <w:rPr>
          <w:rFonts w:ascii="Tahoma" w:hAnsi="Tahoma" w:cs="Tahoma"/>
          <w:b/>
        </w:rPr>
        <w:t>5</w:t>
      </w:r>
      <w:r w:rsidR="00AE2B74" w:rsidRPr="005448F6">
        <w:rPr>
          <w:rFonts w:ascii="Tahoma" w:hAnsi="Tahoma" w:cs="Tahoma"/>
          <w:b/>
        </w:rPr>
        <w:t>:</w:t>
      </w:r>
      <w:r w:rsidR="00AE2B74" w:rsidRPr="005448F6">
        <w:rPr>
          <w:rFonts w:ascii="Tahoma" w:hAnsi="Tahoma" w:cs="Tahoma"/>
          <w:b/>
        </w:rPr>
        <w:tab/>
        <w:t>Can hydrogen compression/distribution sites in addition to hydrogen dispensing positions qualify in the total hydrogen dispenser positions?</w:t>
      </w:r>
    </w:p>
    <w:p w14:paraId="15B6A68F" w14:textId="77777777" w:rsidR="00AE2B74" w:rsidRPr="005448F6" w:rsidRDefault="00AE2B74" w:rsidP="00AE2B74">
      <w:pPr>
        <w:ind w:left="720" w:hanging="720"/>
        <w:rPr>
          <w:rFonts w:ascii="Tahoma" w:hAnsi="Tahoma" w:cs="Tahoma"/>
          <w:b/>
        </w:rPr>
      </w:pPr>
    </w:p>
    <w:p w14:paraId="1B2071AD" w14:textId="130F71BC" w:rsidR="00AE2B74" w:rsidRPr="005448F6" w:rsidRDefault="00E44777" w:rsidP="00AE2B74">
      <w:pPr>
        <w:ind w:left="720" w:hanging="720"/>
        <w:rPr>
          <w:rFonts w:ascii="Tahoma" w:hAnsi="Tahoma" w:cs="Tahoma"/>
        </w:rPr>
      </w:pPr>
      <w:r w:rsidRPr="005448F6">
        <w:rPr>
          <w:rFonts w:ascii="Tahoma" w:hAnsi="Tahoma" w:cs="Tahoma"/>
        </w:rPr>
        <w:t>A1</w:t>
      </w:r>
      <w:r>
        <w:rPr>
          <w:rFonts w:ascii="Tahoma" w:hAnsi="Tahoma" w:cs="Tahoma"/>
        </w:rPr>
        <w:t>5</w:t>
      </w:r>
      <w:r w:rsidR="00AE2B74" w:rsidRPr="005448F6">
        <w:rPr>
          <w:rFonts w:ascii="Tahoma" w:hAnsi="Tahoma" w:cs="Tahoma"/>
        </w:rPr>
        <w:t>:</w:t>
      </w:r>
      <w:r w:rsidR="00AE2B74" w:rsidRPr="005448F6">
        <w:rPr>
          <w:rFonts w:ascii="Tahoma" w:hAnsi="Tahoma" w:cs="Tahoma"/>
        </w:rPr>
        <w:tab/>
        <w:t xml:space="preserve">No. Only dispenser positions count toward the minimum deployment requirement. </w:t>
      </w:r>
    </w:p>
    <w:p w14:paraId="46B5B664" w14:textId="77777777" w:rsidR="00AE2B74" w:rsidRPr="005448F6" w:rsidRDefault="00AE2B74" w:rsidP="00AE2B74">
      <w:pPr>
        <w:ind w:left="720" w:hanging="720"/>
        <w:rPr>
          <w:rFonts w:ascii="Tahoma" w:hAnsi="Tahoma" w:cs="Tahoma"/>
        </w:rPr>
      </w:pPr>
    </w:p>
    <w:p w14:paraId="7BBAE5CA" w14:textId="01BAB6CE" w:rsidR="0014361E" w:rsidRPr="006B0C93" w:rsidRDefault="00E44777" w:rsidP="0014361E">
      <w:pPr>
        <w:ind w:left="720" w:hanging="720"/>
        <w:rPr>
          <w:rFonts w:ascii="Tahoma" w:hAnsi="Tahoma" w:cs="Tahoma"/>
          <w:b/>
        </w:rPr>
      </w:pPr>
      <w:r w:rsidRPr="006B0C93">
        <w:rPr>
          <w:rFonts w:ascii="Tahoma" w:hAnsi="Tahoma" w:cs="Tahoma"/>
          <w:b/>
        </w:rPr>
        <w:t>Q16</w:t>
      </w:r>
      <w:r w:rsidR="0014361E" w:rsidRPr="006B0C93">
        <w:rPr>
          <w:rFonts w:ascii="Tahoma" w:hAnsi="Tahoma" w:cs="Tahoma"/>
          <w:b/>
        </w:rPr>
        <w:t>:</w:t>
      </w:r>
      <w:r w:rsidR="0014361E" w:rsidRPr="006B0C93">
        <w:rPr>
          <w:rFonts w:ascii="Tahoma" w:hAnsi="Tahoma" w:cs="Tahoma"/>
          <w:b/>
        </w:rPr>
        <w:tab/>
        <w:t>If a project proposes 40 charging positions for some port cargo handling equipment, can it also include charging infrastructure for a marine vessel that serves the port? Would the marine vessel and its charging equipment be eligible for direct CEC funding and/or as match? Specifically, does “port equipment” include harbor craft such as ferries?</w:t>
      </w:r>
    </w:p>
    <w:p w14:paraId="4C0E72B0" w14:textId="77777777" w:rsidR="0014361E" w:rsidRPr="006B0C93" w:rsidRDefault="0014361E" w:rsidP="0014361E">
      <w:pPr>
        <w:ind w:left="720" w:hanging="720"/>
        <w:rPr>
          <w:rFonts w:ascii="Tahoma" w:hAnsi="Tahoma" w:cs="Tahoma"/>
        </w:rPr>
      </w:pPr>
    </w:p>
    <w:p w14:paraId="6152B0F6" w14:textId="6E812CBC" w:rsidR="0014361E" w:rsidRPr="005448F6" w:rsidRDefault="00E44777" w:rsidP="0014361E">
      <w:pPr>
        <w:ind w:left="720" w:hanging="720"/>
        <w:rPr>
          <w:rFonts w:ascii="Tahoma" w:hAnsi="Tahoma" w:cs="Tahoma"/>
        </w:rPr>
      </w:pPr>
      <w:r w:rsidRPr="006B0C93">
        <w:rPr>
          <w:rFonts w:ascii="Tahoma" w:hAnsi="Tahoma" w:cs="Tahoma"/>
        </w:rPr>
        <w:t>A16</w:t>
      </w:r>
      <w:r w:rsidR="0014361E" w:rsidRPr="006B0C93">
        <w:rPr>
          <w:rFonts w:ascii="Tahoma" w:hAnsi="Tahoma" w:cs="Tahoma"/>
        </w:rPr>
        <w:t>:</w:t>
      </w:r>
      <w:r w:rsidR="0014361E" w:rsidRPr="006B0C93">
        <w:rPr>
          <w:rFonts w:ascii="Tahoma" w:hAnsi="Tahoma" w:cs="Tahoma"/>
        </w:rPr>
        <w:tab/>
        <w:t xml:space="preserve">A proposed project may include charging or hydrogen refueling infrastructure to support a marine vessel or harbor craft. The proposed project must meet the minimum charger port or hydrogen fueling position deployment requirements outlined in Section I.G. </w:t>
      </w:r>
      <w:r w:rsidR="0042145E" w:rsidRPr="005B3F22">
        <w:rPr>
          <w:rFonts w:ascii="Tahoma" w:hAnsi="Tahoma" w:cs="Tahoma"/>
        </w:rPr>
        <w:t xml:space="preserve">Please refer to Addendum </w:t>
      </w:r>
      <w:r w:rsidR="0079632A" w:rsidRPr="005B3F22">
        <w:rPr>
          <w:rFonts w:ascii="Tahoma" w:hAnsi="Tahoma" w:cs="Tahoma"/>
        </w:rPr>
        <w:t>6</w:t>
      </w:r>
      <w:r w:rsidR="0042145E" w:rsidRPr="005B3F22">
        <w:rPr>
          <w:rFonts w:ascii="Tahoma" w:hAnsi="Tahoma" w:cs="Tahoma"/>
        </w:rPr>
        <w:t xml:space="preserve"> for new minimum </w:t>
      </w:r>
      <w:r w:rsidR="002A057F" w:rsidRPr="005B3F22">
        <w:rPr>
          <w:rFonts w:ascii="Tahoma" w:hAnsi="Tahoma" w:cs="Tahoma"/>
        </w:rPr>
        <w:t>infrastructure requirements. Z</w:t>
      </w:r>
      <w:r w:rsidR="0014361E" w:rsidRPr="005B3F22">
        <w:rPr>
          <w:rFonts w:ascii="Tahoma" w:hAnsi="Tahoma" w:cs="Tahoma"/>
        </w:rPr>
        <w:t>ero</w:t>
      </w:r>
      <w:r w:rsidR="0014361E" w:rsidRPr="006B0C93">
        <w:rPr>
          <w:rFonts w:ascii="Tahoma" w:hAnsi="Tahoma" w:cs="Tahoma"/>
        </w:rPr>
        <w:t>-emission vehicles (purchased, rented, or leased) and vehicle-related expenses (e.g., vehicle parts, labor for vehicle repairs, etc.) are not eligible as CEC reimbursable expenses, but may be included in the Applicant’s Match Share. Refer to Section II.E., Eligible Project Costs.</w:t>
      </w:r>
    </w:p>
    <w:p w14:paraId="3C5BC434" w14:textId="77777777" w:rsidR="0014361E" w:rsidRPr="005448F6" w:rsidRDefault="0014361E" w:rsidP="0014361E">
      <w:pPr>
        <w:ind w:left="720"/>
        <w:rPr>
          <w:rFonts w:ascii="Tahoma" w:hAnsi="Tahoma" w:cs="Tahoma"/>
        </w:rPr>
      </w:pPr>
    </w:p>
    <w:p w14:paraId="11A2CDFC" w14:textId="6932908F" w:rsidR="009D2FF4" w:rsidRPr="005448F6" w:rsidRDefault="00E44777" w:rsidP="009D2FF4">
      <w:pPr>
        <w:ind w:left="720" w:hanging="720"/>
        <w:rPr>
          <w:rFonts w:ascii="Tahoma" w:hAnsi="Tahoma" w:cs="Tahoma"/>
          <w:b/>
        </w:rPr>
      </w:pPr>
      <w:r w:rsidRPr="005448F6">
        <w:rPr>
          <w:rFonts w:ascii="Tahoma" w:hAnsi="Tahoma" w:cs="Tahoma"/>
          <w:b/>
        </w:rPr>
        <w:t>Q</w:t>
      </w:r>
      <w:r>
        <w:rPr>
          <w:rFonts w:ascii="Tahoma" w:hAnsi="Tahoma" w:cs="Tahoma"/>
          <w:b/>
        </w:rPr>
        <w:t>17</w:t>
      </w:r>
      <w:r w:rsidR="009D2FF4" w:rsidRPr="005448F6">
        <w:rPr>
          <w:rFonts w:ascii="Tahoma" w:hAnsi="Tahoma" w:cs="Tahoma"/>
          <w:b/>
        </w:rPr>
        <w:t>:</w:t>
      </w:r>
      <w:r w:rsidR="009D2FF4" w:rsidRPr="005448F6">
        <w:rPr>
          <w:rFonts w:ascii="Tahoma" w:hAnsi="Tahoma" w:cs="Tahoma"/>
          <w:b/>
        </w:rPr>
        <w:tab/>
        <w:t xml:space="preserve">If a </w:t>
      </w:r>
      <w:r w:rsidR="009D2FF4">
        <w:rPr>
          <w:rFonts w:ascii="Tahoma" w:hAnsi="Tahoma" w:cs="Tahoma"/>
          <w:b/>
        </w:rPr>
        <w:t xml:space="preserve">proposed </w:t>
      </w:r>
      <w:r w:rsidR="009D2FF4" w:rsidRPr="005448F6">
        <w:rPr>
          <w:rFonts w:ascii="Tahoma" w:hAnsi="Tahoma" w:cs="Tahoma"/>
          <w:b/>
        </w:rPr>
        <w:t xml:space="preserve">project </w:t>
      </w:r>
      <w:r w:rsidR="009D2FF4">
        <w:rPr>
          <w:rFonts w:ascii="Tahoma" w:hAnsi="Tahoma" w:cs="Tahoma"/>
          <w:b/>
        </w:rPr>
        <w:t xml:space="preserve">includes multiple types of charging, can a combination of </w:t>
      </w:r>
      <w:r w:rsidR="009D2FF4" w:rsidRPr="005448F6">
        <w:rPr>
          <w:rFonts w:ascii="Tahoma" w:hAnsi="Tahoma" w:cs="Tahoma"/>
          <w:b/>
        </w:rPr>
        <w:t xml:space="preserve">on-water MDHD vehicle hydrogen refuelers/charging </w:t>
      </w:r>
      <w:r w:rsidR="009D2FF4">
        <w:rPr>
          <w:rFonts w:ascii="Tahoma" w:hAnsi="Tahoma" w:cs="Tahoma"/>
          <w:b/>
        </w:rPr>
        <w:t xml:space="preserve">along with </w:t>
      </w:r>
      <w:r w:rsidR="009D2FF4" w:rsidRPr="005448F6">
        <w:rPr>
          <w:rFonts w:ascii="Tahoma" w:hAnsi="Tahoma" w:cs="Tahoma"/>
          <w:b/>
        </w:rPr>
        <w:t>shoreside or terminal charging infrastructure be combined to meet the positions threshold?</w:t>
      </w:r>
    </w:p>
    <w:p w14:paraId="2DC4EE13" w14:textId="77777777" w:rsidR="009D2FF4" w:rsidRPr="005448F6" w:rsidRDefault="009D2FF4" w:rsidP="009D2FF4">
      <w:pPr>
        <w:ind w:left="720" w:hanging="720"/>
        <w:rPr>
          <w:rFonts w:ascii="Tahoma" w:hAnsi="Tahoma" w:cs="Tahoma"/>
          <w:b/>
        </w:rPr>
      </w:pPr>
    </w:p>
    <w:p w14:paraId="1B414A43" w14:textId="4865C23C" w:rsidR="00FE0797" w:rsidRDefault="00E44777" w:rsidP="0021093F">
      <w:pPr>
        <w:ind w:left="720" w:hanging="720"/>
        <w:rPr>
          <w:rFonts w:ascii="Tahoma" w:hAnsi="Tahoma" w:cs="Tahoma"/>
        </w:rPr>
      </w:pPr>
      <w:r w:rsidRPr="005448F6">
        <w:rPr>
          <w:rFonts w:ascii="Tahoma" w:hAnsi="Tahoma" w:cs="Tahoma"/>
        </w:rPr>
        <w:t>A</w:t>
      </w:r>
      <w:r>
        <w:rPr>
          <w:rFonts w:ascii="Tahoma" w:hAnsi="Tahoma" w:cs="Tahoma"/>
        </w:rPr>
        <w:t>17</w:t>
      </w:r>
      <w:r w:rsidR="009D2FF4" w:rsidRPr="005448F6">
        <w:rPr>
          <w:rFonts w:ascii="Tahoma" w:hAnsi="Tahoma" w:cs="Tahoma"/>
        </w:rPr>
        <w:t>:</w:t>
      </w:r>
      <w:r w:rsidR="009D2FF4" w:rsidRPr="005448F6">
        <w:rPr>
          <w:rFonts w:ascii="Tahoma" w:hAnsi="Tahoma" w:cs="Tahoma"/>
        </w:rPr>
        <w:tab/>
      </w:r>
      <w:r w:rsidR="009D2FF4">
        <w:rPr>
          <w:rFonts w:ascii="Tahoma" w:hAnsi="Tahoma" w:cs="Tahoma"/>
        </w:rPr>
        <w:t>No. On-water MDHD vehicle hydrogen refuelers / electric chargers are not permitted. Funding will support new installation of in-ground fueling infrastructure, as stated in Section I.A and Section II.E.</w:t>
      </w:r>
    </w:p>
    <w:p w14:paraId="0E65B27A" w14:textId="2F470CBA" w:rsidR="00561C30" w:rsidRDefault="00E44777" w:rsidP="00561C30">
      <w:pPr>
        <w:ind w:left="720" w:hanging="720"/>
        <w:rPr>
          <w:rFonts w:ascii="Tahoma" w:hAnsi="Tahoma" w:cs="Tahoma"/>
          <w:b/>
        </w:rPr>
      </w:pPr>
      <w:r w:rsidRPr="005448F6">
        <w:rPr>
          <w:rFonts w:ascii="Tahoma" w:hAnsi="Tahoma" w:cs="Tahoma"/>
          <w:b/>
        </w:rPr>
        <w:lastRenderedPageBreak/>
        <w:t>Q</w:t>
      </w:r>
      <w:r>
        <w:rPr>
          <w:rFonts w:ascii="Tahoma" w:hAnsi="Tahoma" w:cs="Tahoma"/>
          <w:b/>
        </w:rPr>
        <w:t>18</w:t>
      </w:r>
      <w:r w:rsidR="00561C30" w:rsidRPr="005448F6">
        <w:rPr>
          <w:rFonts w:ascii="Tahoma" w:hAnsi="Tahoma" w:cs="Tahoma"/>
          <w:b/>
        </w:rPr>
        <w:t>:</w:t>
      </w:r>
      <w:r w:rsidR="00561C30" w:rsidRPr="005448F6">
        <w:rPr>
          <w:rFonts w:ascii="Tahoma" w:hAnsi="Tahoma" w:cs="Tahoma"/>
          <w:b/>
        </w:rPr>
        <w:tab/>
        <w:t xml:space="preserve">If port-serving trucks travel inland to pick up or deliver cargo, would inland sites be eligible </w:t>
      </w:r>
      <w:r w:rsidR="00561C30">
        <w:rPr>
          <w:rFonts w:ascii="Tahoma" w:hAnsi="Tahoma" w:cs="Tahoma"/>
          <w:b/>
        </w:rPr>
        <w:t>for</w:t>
      </w:r>
      <w:r w:rsidR="00561C30" w:rsidRPr="005448F6">
        <w:rPr>
          <w:rFonts w:ascii="Tahoma" w:hAnsi="Tahoma" w:cs="Tahoma"/>
          <w:b/>
        </w:rPr>
        <w:t xml:space="preserve"> infrastructure deploy</w:t>
      </w:r>
      <w:r w:rsidR="00561C30">
        <w:rPr>
          <w:rFonts w:ascii="Tahoma" w:hAnsi="Tahoma" w:cs="Tahoma"/>
          <w:b/>
        </w:rPr>
        <w:t xml:space="preserve">ment as </w:t>
      </w:r>
      <w:r w:rsidR="00561C30" w:rsidRPr="005448F6">
        <w:rPr>
          <w:rFonts w:ascii="Tahoma" w:hAnsi="Tahoma" w:cs="Tahoma"/>
          <w:b/>
        </w:rPr>
        <w:t xml:space="preserve">long as they directly </w:t>
      </w:r>
      <w:r w:rsidR="00561C30">
        <w:rPr>
          <w:rFonts w:ascii="Tahoma" w:hAnsi="Tahoma" w:cs="Tahoma"/>
          <w:b/>
        </w:rPr>
        <w:t>support</w:t>
      </w:r>
      <w:r w:rsidR="00561C30" w:rsidRPr="005448F6">
        <w:rPr>
          <w:rFonts w:ascii="Tahoma" w:hAnsi="Tahoma" w:cs="Tahoma"/>
          <w:b/>
        </w:rPr>
        <w:t xml:space="preserve"> port operations</w:t>
      </w:r>
      <w:r w:rsidR="00561C30">
        <w:rPr>
          <w:rFonts w:ascii="Tahoma" w:hAnsi="Tahoma" w:cs="Tahoma"/>
          <w:b/>
        </w:rPr>
        <w:t>?</w:t>
      </w:r>
    </w:p>
    <w:p w14:paraId="6E7CB6BA" w14:textId="77777777" w:rsidR="00561C30" w:rsidRPr="005448F6" w:rsidRDefault="00561C30" w:rsidP="00561C30">
      <w:pPr>
        <w:ind w:left="720" w:hanging="720"/>
        <w:rPr>
          <w:rFonts w:ascii="Tahoma" w:hAnsi="Tahoma" w:cs="Tahoma"/>
          <w:b/>
        </w:rPr>
      </w:pPr>
    </w:p>
    <w:p w14:paraId="417AF78E" w14:textId="3F2E4E5D" w:rsidR="00561C30" w:rsidRDefault="00E44777" w:rsidP="00561C30">
      <w:pPr>
        <w:ind w:left="720" w:hanging="720"/>
        <w:rPr>
          <w:rFonts w:ascii="Tahoma" w:hAnsi="Tahoma" w:cs="Tahoma"/>
        </w:rPr>
      </w:pPr>
      <w:r w:rsidRPr="005448F6">
        <w:rPr>
          <w:rFonts w:ascii="Tahoma" w:hAnsi="Tahoma" w:cs="Tahoma"/>
        </w:rPr>
        <w:t>A</w:t>
      </w:r>
      <w:r>
        <w:rPr>
          <w:rFonts w:ascii="Tahoma" w:hAnsi="Tahoma" w:cs="Tahoma"/>
        </w:rPr>
        <w:t>18</w:t>
      </w:r>
      <w:r w:rsidR="00561C30" w:rsidRPr="005448F6">
        <w:rPr>
          <w:rFonts w:ascii="Tahoma" w:hAnsi="Tahoma" w:cs="Tahoma"/>
        </w:rPr>
        <w:t>:</w:t>
      </w:r>
      <w:r w:rsidR="00561C30" w:rsidRPr="005448F6">
        <w:rPr>
          <w:rFonts w:ascii="Tahoma" w:hAnsi="Tahoma" w:cs="Tahoma"/>
        </w:rPr>
        <w:tab/>
        <w:t>Yes</w:t>
      </w:r>
      <w:r w:rsidR="00561C30">
        <w:rPr>
          <w:rFonts w:ascii="Tahoma" w:hAnsi="Tahoma" w:cs="Tahoma"/>
        </w:rPr>
        <w:t>. As referenced in Section II.B</w:t>
      </w:r>
      <w:r w:rsidR="005B3F22">
        <w:rPr>
          <w:rFonts w:ascii="Tahoma" w:hAnsi="Tahoma" w:cs="Tahoma"/>
        </w:rPr>
        <w:t>.</w:t>
      </w:r>
      <w:r w:rsidR="00EC258B" w:rsidRPr="005B3F22">
        <w:rPr>
          <w:rFonts w:ascii="Tahoma" w:hAnsi="Tahoma" w:cs="Tahoma"/>
        </w:rPr>
        <w:t>5</w:t>
      </w:r>
      <w:r w:rsidR="00561C30">
        <w:rPr>
          <w:rFonts w:ascii="Tahoma" w:hAnsi="Tahoma" w:cs="Tahoma"/>
        </w:rPr>
        <w:t>, Project Location, t</w:t>
      </w:r>
      <w:r w:rsidR="00561C30" w:rsidRPr="00A01A51">
        <w:rPr>
          <w:rFonts w:ascii="Tahoma" w:hAnsi="Tahoma" w:cs="Tahoma"/>
        </w:rPr>
        <w:t xml:space="preserve">he </w:t>
      </w:r>
      <w:r w:rsidR="00561C30">
        <w:rPr>
          <w:rFonts w:ascii="Tahoma" w:hAnsi="Tahoma" w:cs="Tahoma"/>
        </w:rPr>
        <w:t xml:space="preserve">proposed </w:t>
      </w:r>
      <w:r w:rsidR="00561C30" w:rsidRPr="00A01A51">
        <w:rPr>
          <w:rFonts w:ascii="Tahoma" w:hAnsi="Tahoma" w:cs="Tahoma"/>
        </w:rPr>
        <w:t xml:space="preserve">project must be located on the port </w:t>
      </w:r>
      <w:r w:rsidR="00561C30" w:rsidRPr="007B02B7">
        <w:rPr>
          <w:rFonts w:ascii="Tahoma" w:hAnsi="Tahoma" w:cs="Tahoma"/>
          <w:i/>
          <w:iCs/>
        </w:rPr>
        <w:t>or at a location that directly serves the port</w:t>
      </w:r>
      <w:r w:rsidR="00561C30" w:rsidRPr="00A01A51">
        <w:rPr>
          <w:rFonts w:ascii="Tahoma" w:hAnsi="Tahoma" w:cs="Tahoma"/>
        </w:rPr>
        <w:t>. If not located at a port, the project narrative should describe how the location directly supports the port operations</w:t>
      </w:r>
      <w:r w:rsidR="00561C30">
        <w:rPr>
          <w:rFonts w:ascii="Tahoma" w:hAnsi="Tahoma" w:cs="Tahoma"/>
        </w:rPr>
        <w:t xml:space="preserve">. </w:t>
      </w:r>
    </w:p>
    <w:p w14:paraId="0ECB6C2A" w14:textId="77777777" w:rsidR="0043007B" w:rsidRDefault="0043007B" w:rsidP="00561C30">
      <w:pPr>
        <w:ind w:left="720" w:hanging="720"/>
        <w:rPr>
          <w:rFonts w:ascii="Tahoma" w:hAnsi="Tahoma" w:cs="Tahoma"/>
        </w:rPr>
      </w:pPr>
    </w:p>
    <w:p w14:paraId="6CD42BFC" w14:textId="22FDEF94" w:rsidR="0043007B" w:rsidRPr="005448F6" w:rsidRDefault="009429E6" w:rsidP="0043007B">
      <w:pPr>
        <w:ind w:left="720" w:hanging="720"/>
        <w:rPr>
          <w:rFonts w:ascii="Tahoma" w:hAnsi="Tahoma" w:cs="Tahoma"/>
          <w:b/>
        </w:rPr>
      </w:pPr>
      <w:r w:rsidRPr="005448F6">
        <w:rPr>
          <w:rFonts w:ascii="Tahoma" w:hAnsi="Tahoma" w:cs="Tahoma"/>
          <w:b/>
        </w:rPr>
        <w:t>Q</w:t>
      </w:r>
      <w:r>
        <w:rPr>
          <w:rFonts w:ascii="Tahoma" w:hAnsi="Tahoma" w:cs="Tahoma"/>
          <w:b/>
        </w:rPr>
        <w:t>19</w:t>
      </w:r>
      <w:r w:rsidR="0043007B" w:rsidRPr="005448F6">
        <w:rPr>
          <w:rFonts w:ascii="Tahoma" w:hAnsi="Tahoma" w:cs="Tahoma"/>
          <w:b/>
        </w:rPr>
        <w:t>:</w:t>
      </w:r>
      <w:r w:rsidR="0043007B" w:rsidRPr="005448F6">
        <w:rPr>
          <w:rFonts w:ascii="Tahoma" w:hAnsi="Tahoma" w:cs="Tahoma"/>
          <w:b/>
        </w:rPr>
        <w:tab/>
        <w:t>Is the charger minimum requirement a firm threshold, or is there any flexibility for vessel chargers? The set number of chargers provision is not aligned with the inclusion of "marine" in the off-road category.</w:t>
      </w:r>
    </w:p>
    <w:p w14:paraId="22A854BD" w14:textId="77777777" w:rsidR="0043007B" w:rsidRPr="005448F6" w:rsidRDefault="0043007B" w:rsidP="0043007B">
      <w:pPr>
        <w:ind w:left="720" w:hanging="720"/>
        <w:rPr>
          <w:rFonts w:ascii="Tahoma" w:hAnsi="Tahoma" w:cs="Tahoma"/>
          <w:b/>
        </w:rPr>
      </w:pPr>
    </w:p>
    <w:p w14:paraId="2EC7A99B" w14:textId="34CD7775" w:rsidR="0043007B" w:rsidRDefault="009429E6" w:rsidP="0043007B">
      <w:pPr>
        <w:ind w:left="720" w:hanging="720"/>
        <w:rPr>
          <w:rFonts w:ascii="Tahoma" w:hAnsi="Tahoma" w:cs="Tahoma"/>
        </w:rPr>
      </w:pPr>
      <w:r w:rsidRPr="005448F6">
        <w:rPr>
          <w:rFonts w:ascii="Tahoma" w:hAnsi="Tahoma" w:cs="Tahoma"/>
        </w:rPr>
        <w:t>A</w:t>
      </w:r>
      <w:r>
        <w:rPr>
          <w:rFonts w:ascii="Tahoma" w:hAnsi="Tahoma" w:cs="Tahoma"/>
        </w:rPr>
        <w:t>19</w:t>
      </w:r>
      <w:r w:rsidR="0043007B" w:rsidRPr="005448F6">
        <w:rPr>
          <w:rFonts w:ascii="Tahoma" w:hAnsi="Tahoma" w:cs="Tahoma"/>
        </w:rPr>
        <w:t>:</w:t>
      </w:r>
      <w:r w:rsidR="0043007B" w:rsidRPr="005448F6">
        <w:rPr>
          <w:rFonts w:ascii="Tahoma" w:hAnsi="Tahoma" w:cs="Tahoma"/>
        </w:rPr>
        <w:tab/>
        <w:t xml:space="preserve">The charger minimum requirement is a firm threshold. Vessel chargers are allowed to count toward the minimum </w:t>
      </w:r>
      <w:r w:rsidR="0043007B">
        <w:rPr>
          <w:rFonts w:ascii="Tahoma" w:hAnsi="Tahoma" w:cs="Tahoma"/>
        </w:rPr>
        <w:t xml:space="preserve">infrastructure deployment </w:t>
      </w:r>
      <w:r w:rsidR="0043007B" w:rsidRPr="005448F6">
        <w:rPr>
          <w:rFonts w:ascii="Tahoma" w:hAnsi="Tahoma" w:cs="Tahoma"/>
        </w:rPr>
        <w:t>requirement; however, all charging ports</w:t>
      </w:r>
      <w:r w:rsidR="0043007B">
        <w:rPr>
          <w:rFonts w:ascii="Tahoma" w:hAnsi="Tahoma" w:cs="Tahoma"/>
        </w:rPr>
        <w:t xml:space="preserve"> or </w:t>
      </w:r>
      <w:r w:rsidR="0043007B" w:rsidRPr="005448F6">
        <w:rPr>
          <w:rFonts w:ascii="Tahoma" w:hAnsi="Tahoma" w:cs="Tahoma"/>
        </w:rPr>
        <w:t xml:space="preserve">refueling positions must be of the same </w:t>
      </w:r>
      <w:r w:rsidR="0043007B">
        <w:rPr>
          <w:rFonts w:ascii="Tahoma" w:hAnsi="Tahoma" w:cs="Tahoma"/>
        </w:rPr>
        <w:t>infrastructure</w:t>
      </w:r>
      <w:r w:rsidR="0043007B" w:rsidRPr="005448F6">
        <w:rPr>
          <w:rFonts w:ascii="Tahoma" w:hAnsi="Tahoma" w:cs="Tahoma"/>
        </w:rPr>
        <w:t xml:space="preserve"> type (electric charging or hydrogen refueling) to be </w:t>
      </w:r>
      <w:r w:rsidR="0043007B">
        <w:rPr>
          <w:rFonts w:ascii="Tahoma" w:hAnsi="Tahoma" w:cs="Tahoma"/>
        </w:rPr>
        <w:t xml:space="preserve">eligible for </w:t>
      </w:r>
      <w:r w:rsidR="0043007B" w:rsidRPr="005448F6">
        <w:rPr>
          <w:rFonts w:ascii="Tahoma" w:hAnsi="Tahoma" w:cs="Tahoma"/>
        </w:rPr>
        <w:t>CEC reimburs</w:t>
      </w:r>
      <w:r w:rsidR="0043007B">
        <w:rPr>
          <w:rFonts w:ascii="Tahoma" w:hAnsi="Tahoma" w:cs="Tahoma"/>
        </w:rPr>
        <w:t>ement</w:t>
      </w:r>
      <w:r w:rsidR="0043007B" w:rsidRPr="005448F6">
        <w:rPr>
          <w:rFonts w:ascii="Tahoma" w:hAnsi="Tahoma" w:cs="Tahoma"/>
        </w:rPr>
        <w:t xml:space="preserve">. Mixed </w:t>
      </w:r>
      <w:r w:rsidR="0043007B">
        <w:rPr>
          <w:rFonts w:ascii="Tahoma" w:hAnsi="Tahoma" w:cs="Tahoma"/>
        </w:rPr>
        <w:t>infrastructure types</w:t>
      </w:r>
      <w:r w:rsidR="0043007B" w:rsidRPr="005448F6">
        <w:rPr>
          <w:rFonts w:ascii="Tahoma" w:hAnsi="Tahoma" w:cs="Tahoma"/>
        </w:rPr>
        <w:t xml:space="preserve"> </w:t>
      </w:r>
      <w:r w:rsidR="0043007B">
        <w:rPr>
          <w:rFonts w:ascii="Tahoma" w:hAnsi="Tahoma" w:cs="Tahoma"/>
        </w:rPr>
        <w:t>are</w:t>
      </w:r>
      <w:r w:rsidR="0043007B" w:rsidRPr="005448F6">
        <w:rPr>
          <w:rFonts w:ascii="Tahoma" w:hAnsi="Tahoma" w:cs="Tahoma"/>
        </w:rPr>
        <w:t xml:space="preserve"> </w:t>
      </w:r>
      <w:proofErr w:type="gramStart"/>
      <w:r w:rsidR="0043007B" w:rsidRPr="005448F6">
        <w:rPr>
          <w:rFonts w:ascii="Tahoma" w:hAnsi="Tahoma" w:cs="Tahoma"/>
        </w:rPr>
        <w:t>allowed,</w:t>
      </w:r>
      <w:proofErr w:type="gramEnd"/>
      <w:r w:rsidR="0043007B" w:rsidRPr="005448F6">
        <w:rPr>
          <w:rFonts w:ascii="Tahoma" w:hAnsi="Tahoma" w:cs="Tahoma"/>
        </w:rPr>
        <w:t xml:space="preserve"> </w:t>
      </w:r>
      <w:r w:rsidR="0043007B">
        <w:rPr>
          <w:rFonts w:ascii="Tahoma" w:hAnsi="Tahoma" w:cs="Tahoma"/>
        </w:rPr>
        <w:t>however</w:t>
      </w:r>
      <w:r w:rsidR="0043007B" w:rsidRPr="005448F6">
        <w:rPr>
          <w:rFonts w:ascii="Tahoma" w:hAnsi="Tahoma" w:cs="Tahoma"/>
        </w:rPr>
        <w:t xml:space="preserve"> the secondary </w:t>
      </w:r>
      <w:r w:rsidR="0043007B">
        <w:rPr>
          <w:rFonts w:ascii="Tahoma" w:hAnsi="Tahoma" w:cs="Tahoma"/>
        </w:rPr>
        <w:t>infrastructure</w:t>
      </w:r>
      <w:r w:rsidR="0043007B" w:rsidRPr="005448F6">
        <w:rPr>
          <w:rFonts w:ascii="Tahoma" w:hAnsi="Tahoma" w:cs="Tahoma"/>
        </w:rPr>
        <w:t xml:space="preserve"> type would be used as match and would not be subject to the minimum charging port</w:t>
      </w:r>
      <w:r w:rsidR="0043007B">
        <w:rPr>
          <w:rFonts w:ascii="Tahoma" w:hAnsi="Tahoma" w:cs="Tahoma"/>
        </w:rPr>
        <w:t xml:space="preserve"> or hydrogen </w:t>
      </w:r>
      <w:r w:rsidR="0043007B" w:rsidRPr="005448F6">
        <w:rPr>
          <w:rFonts w:ascii="Tahoma" w:hAnsi="Tahoma" w:cs="Tahoma"/>
        </w:rPr>
        <w:t>fueling position deployment</w:t>
      </w:r>
      <w:r w:rsidR="0043007B">
        <w:rPr>
          <w:rFonts w:ascii="Tahoma" w:hAnsi="Tahoma" w:cs="Tahoma"/>
        </w:rPr>
        <w:t xml:space="preserve"> requirements</w:t>
      </w:r>
      <w:r w:rsidR="0043007B" w:rsidRPr="005448F6">
        <w:rPr>
          <w:rFonts w:ascii="Tahoma" w:hAnsi="Tahoma" w:cs="Tahoma"/>
        </w:rPr>
        <w:t xml:space="preserve">. </w:t>
      </w:r>
    </w:p>
    <w:p w14:paraId="3604F10F" w14:textId="77777777" w:rsidR="007E2735" w:rsidRDefault="007E2735" w:rsidP="0043007B">
      <w:pPr>
        <w:ind w:left="720" w:hanging="720"/>
        <w:rPr>
          <w:rFonts w:ascii="Tahoma" w:hAnsi="Tahoma" w:cs="Tahoma"/>
        </w:rPr>
      </w:pPr>
    </w:p>
    <w:p w14:paraId="59044E30" w14:textId="2A9C34CA" w:rsidR="007E2735" w:rsidRPr="006B0C93" w:rsidRDefault="009429E6" w:rsidP="007E2735">
      <w:pPr>
        <w:ind w:left="720" w:hanging="720"/>
        <w:rPr>
          <w:rFonts w:ascii="Tahoma" w:hAnsi="Tahoma" w:cs="Tahoma"/>
          <w:b/>
        </w:rPr>
      </w:pPr>
      <w:r w:rsidRPr="006B0C93">
        <w:rPr>
          <w:rFonts w:ascii="Tahoma" w:hAnsi="Tahoma" w:cs="Tahoma"/>
          <w:b/>
        </w:rPr>
        <w:t>Q20</w:t>
      </w:r>
      <w:r w:rsidR="007E2735" w:rsidRPr="006B0C93">
        <w:rPr>
          <w:rFonts w:ascii="Tahoma" w:hAnsi="Tahoma" w:cs="Tahoma"/>
          <w:b/>
        </w:rPr>
        <w:t>:</w:t>
      </w:r>
      <w:r w:rsidR="007E2735" w:rsidRPr="006B0C93">
        <w:rPr>
          <w:rFonts w:ascii="Tahoma" w:hAnsi="Tahoma" w:cs="Tahoma"/>
          <w:b/>
        </w:rPr>
        <w:tab/>
        <w:t xml:space="preserve">What assumptions does the solicitation make regarding access to the ZEV fueling infrastructure? Should the deployed infrastructure be publicly accessible, limited to behind the fence or in-port use by port operators only, or is another access model acceptable? </w:t>
      </w:r>
    </w:p>
    <w:p w14:paraId="15387164" w14:textId="77777777" w:rsidR="007E2735" w:rsidRPr="006B0C93" w:rsidRDefault="007E2735" w:rsidP="007E2735">
      <w:pPr>
        <w:ind w:left="720" w:hanging="720"/>
        <w:rPr>
          <w:rFonts w:ascii="Tahoma" w:hAnsi="Tahoma" w:cs="Tahoma"/>
          <w:b/>
        </w:rPr>
      </w:pPr>
    </w:p>
    <w:p w14:paraId="3162B6A9" w14:textId="4BD20A7F" w:rsidR="007E2735" w:rsidRDefault="009429E6" w:rsidP="007E2735">
      <w:pPr>
        <w:ind w:left="720" w:hanging="720"/>
        <w:rPr>
          <w:rFonts w:ascii="Tahoma" w:hAnsi="Tahoma" w:cs="Tahoma"/>
        </w:rPr>
      </w:pPr>
      <w:r w:rsidRPr="006B0C93">
        <w:rPr>
          <w:rFonts w:ascii="Tahoma" w:hAnsi="Tahoma" w:cs="Tahoma"/>
        </w:rPr>
        <w:t>A20</w:t>
      </w:r>
      <w:r w:rsidR="007E2735" w:rsidRPr="006B0C93">
        <w:rPr>
          <w:rFonts w:ascii="Tahoma" w:hAnsi="Tahoma" w:cs="Tahoma"/>
        </w:rPr>
        <w:t>:</w:t>
      </w:r>
      <w:r w:rsidR="007E2735" w:rsidRPr="006B0C93">
        <w:rPr>
          <w:rFonts w:ascii="Tahoma" w:hAnsi="Tahoma" w:cs="Tahoma"/>
        </w:rPr>
        <w:tab/>
        <w:t xml:space="preserve">Each of the models described in the question are eligible under this GFO. If the infrastructure is located entirely on port property and used solely by port operators, it may be restricted to private access. However, if the deployed infrastructure is located off-port property and the Applicant supports port-related operations, the minimum required deployed charging ports or hydrogen fueling positions may be </w:t>
      </w:r>
      <w:proofErr w:type="gramStart"/>
      <w:r w:rsidR="007E2735" w:rsidRPr="006B0C93">
        <w:rPr>
          <w:rFonts w:ascii="Tahoma" w:hAnsi="Tahoma" w:cs="Tahoma"/>
        </w:rPr>
        <w:t>either,</w:t>
      </w:r>
      <w:proofErr w:type="gramEnd"/>
      <w:r w:rsidR="005C0584" w:rsidRPr="006B0C93">
        <w:rPr>
          <w:rFonts w:ascii="Tahoma" w:hAnsi="Tahoma" w:cs="Tahoma"/>
        </w:rPr>
        <w:t xml:space="preserve"> </w:t>
      </w:r>
      <w:r w:rsidR="005C0584" w:rsidRPr="005B3F22">
        <w:rPr>
          <w:rFonts w:ascii="Tahoma" w:hAnsi="Tahoma" w:cs="Tahoma"/>
        </w:rPr>
        <w:t>private</w:t>
      </w:r>
      <w:r w:rsidR="007E2735" w:rsidRPr="005B3F22">
        <w:rPr>
          <w:rFonts w:ascii="Tahoma" w:hAnsi="Tahoma" w:cs="Tahoma"/>
        </w:rPr>
        <w:t xml:space="preserve">, shared, or publicly accessible. </w:t>
      </w:r>
      <w:r w:rsidR="00D61424" w:rsidRPr="005B3F22">
        <w:rPr>
          <w:rFonts w:ascii="Tahoma" w:hAnsi="Tahoma" w:cs="Tahoma"/>
        </w:rPr>
        <w:t xml:space="preserve">Applicants proposing Private Access infrastructure must meet the </w:t>
      </w:r>
      <w:r w:rsidR="00281001" w:rsidRPr="005B3F22">
        <w:rPr>
          <w:rFonts w:ascii="Tahoma" w:hAnsi="Tahoma" w:cs="Tahoma"/>
        </w:rPr>
        <w:t xml:space="preserve">requirements </w:t>
      </w:r>
      <w:r w:rsidR="00845042" w:rsidRPr="005B3F22">
        <w:rPr>
          <w:rFonts w:ascii="Tahoma" w:hAnsi="Tahoma" w:cs="Tahoma"/>
        </w:rPr>
        <w:t>listed in Section II.B.2</w:t>
      </w:r>
      <w:r w:rsidR="00AE4DE1" w:rsidRPr="005B3F22">
        <w:rPr>
          <w:rFonts w:ascii="Tahoma" w:hAnsi="Tahoma" w:cs="Tahoma"/>
        </w:rPr>
        <w:t xml:space="preserve">. Eligible Project Accessibility Requirements and </w:t>
      </w:r>
      <w:r w:rsidR="00D61424" w:rsidRPr="005B3F22">
        <w:rPr>
          <w:rFonts w:ascii="Tahoma" w:hAnsi="Tahoma" w:cs="Tahoma"/>
        </w:rPr>
        <w:t xml:space="preserve">additional requirements listed in </w:t>
      </w:r>
      <w:r w:rsidR="0000565B" w:rsidRPr="005B3F22">
        <w:rPr>
          <w:rFonts w:ascii="Tahoma" w:hAnsi="Tahoma" w:cs="Tahoma"/>
        </w:rPr>
        <w:t xml:space="preserve">Section </w:t>
      </w:r>
      <w:r w:rsidR="00D61424" w:rsidRPr="005B3F22">
        <w:rPr>
          <w:rFonts w:ascii="Tahoma" w:hAnsi="Tahoma" w:cs="Tahoma"/>
        </w:rPr>
        <w:t>II.B.3. Infrastructure Deployment Requirements.</w:t>
      </w:r>
      <w:r w:rsidR="00D61424" w:rsidRPr="006B0C93">
        <w:rPr>
          <w:rFonts w:ascii="Tahoma" w:hAnsi="Tahoma" w:cs="Tahoma"/>
        </w:rPr>
        <w:t xml:space="preserve"> </w:t>
      </w:r>
      <w:r w:rsidR="007E2735" w:rsidRPr="005448F6">
        <w:rPr>
          <w:rFonts w:ascii="Tahoma" w:hAnsi="Tahoma" w:cs="Tahoma"/>
        </w:rPr>
        <w:t xml:space="preserve"> </w:t>
      </w:r>
    </w:p>
    <w:p w14:paraId="2B3FCF8C" w14:textId="77777777" w:rsidR="001D4FCA" w:rsidRDefault="001D4FCA" w:rsidP="007E2735">
      <w:pPr>
        <w:ind w:left="720" w:hanging="720"/>
        <w:rPr>
          <w:rFonts w:ascii="Tahoma" w:hAnsi="Tahoma" w:cs="Tahoma"/>
        </w:rPr>
      </w:pPr>
    </w:p>
    <w:p w14:paraId="3ACE5C8D" w14:textId="5CD060A0" w:rsidR="001D4FCA" w:rsidRPr="005448F6" w:rsidRDefault="009429E6" w:rsidP="001D4FCA">
      <w:pPr>
        <w:ind w:left="720" w:hanging="720"/>
        <w:rPr>
          <w:rFonts w:ascii="Tahoma" w:hAnsi="Tahoma" w:cs="Tahoma"/>
          <w:b/>
        </w:rPr>
      </w:pPr>
      <w:r w:rsidRPr="005448F6">
        <w:rPr>
          <w:rFonts w:ascii="Tahoma" w:hAnsi="Tahoma" w:cs="Tahoma"/>
          <w:b/>
        </w:rPr>
        <w:t>Q</w:t>
      </w:r>
      <w:r>
        <w:rPr>
          <w:rFonts w:ascii="Tahoma" w:hAnsi="Tahoma" w:cs="Tahoma"/>
          <w:b/>
        </w:rPr>
        <w:t>21</w:t>
      </w:r>
      <w:r w:rsidR="001D4FCA" w:rsidRPr="005448F6">
        <w:rPr>
          <w:rFonts w:ascii="Tahoma" w:hAnsi="Tahoma" w:cs="Tahoma"/>
          <w:b/>
        </w:rPr>
        <w:t>:</w:t>
      </w:r>
      <w:r w:rsidR="001D4FCA" w:rsidRPr="005448F6">
        <w:rPr>
          <w:rFonts w:ascii="Tahoma" w:hAnsi="Tahoma" w:cs="Tahoma"/>
          <w:b/>
        </w:rPr>
        <w:tab/>
      </w:r>
      <w:proofErr w:type="gramStart"/>
      <w:r w:rsidR="001D4FCA">
        <w:rPr>
          <w:rFonts w:ascii="Tahoma" w:hAnsi="Tahoma" w:cs="Tahoma"/>
          <w:b/>
        </w:rPr>
        <w:t>Are</w:t>
      </w:r>
      <w:proofErr w:type="gramEnd"/>
      <w:r w:rsidR="001D4FCA">
        <w:rPr>
          <w:rFonts w:ascii="Tahoma" w:hAnsi="Tahoma" w:cs="Tahoma"/>
          <w:b/>
        </w:rPr>
        <w:t xml:space="preserve"> hydrogen fueling projects </w:t>
      </w:r>
      <w:r w:rsidR="001D4FCA" w:rsidRPr="005448F6">
        <w:rPr>
          <w:rFonts w:ascii="Tahoma" w:hAnsi="Tahoma" w:cs="Tahoma"/>
          <w:b/>
        </w:rPr>
        <w:t xml:space="preserve">for </w:t>
      </w:r>
      <w:r w:rsidR="001D4FCA">
        <w:rPr>
          <w:rFonts w:ascii="Tahoma" w:hAnsi="Tahoma" w:cs="Tahoma"/>
          <w:b/>
        </w:rPr>
        <w:t>h</w:t>
      </w:r>
      <w:r w:rsidR="001D4FCA" w:rsidRPr="005448F6">
        <w:rPr>
          <w:rFonts w:ascii="Tahoma" w:hAnsi="Tahoma" w:cs="Tahoma"/>
          <w:b/>
        </w:rPr>
        <w:t xml:space="preserve">ydrogen switcher locomotives </w:t>
      </w:r>
      <w:r w:rsidR="001D4FCA">
        <w:rPr>
          <w:rFonts w:ascii="Tahoma" w:hAnsi="Tahoma" w:cs="Tahoma"/>
          <w:b/>
        </w:rPr>
        <w:t>considered</w:t>
      </w:r>
      <w:r w:rsidR="001D4FCA" w:rsidRPr="005448F6">
        <w:rPr>
          <w:rFonts w:ascii="Tahoma" w:hAnsi="Tahoma" w:cs="Tahoma"/>
          <w:b/>
        </w:rPr>
        <w:t xml:space="preserve"> an eligible project</w:t>
      </w:r>
      <w:r w:rsidR="001D4FCA">
        <w:rPr>
          <w:rFonts w:ascii="Tahoma" w:hAnsi="Tahoma" w:cs="Tahoma"/>
          <w:b/>
        </w:rPr>
        <w:t xml:space="preserve"> under this solicitation</w:t>
      </w:r>
      <w:r w:rsidR="001D4FCA" w:rsidRPr="005448F6">
        <w:rPr>
          <w:rFonts w:ascii="Tahoma" w:hAnsi="Tahoma" w:cs="Tahoma"/>
          <w:b/>
        </w:rPr>
        <w:t>?</w:t>
      </w:r>
    </w:p>
    <w:p w14:paraId="19C166C4" w14:textId="77777777" w:rsidR="001D4FCA" w:rsidRPr="005448F6" w:rsidRDefault="001D4FCA" w:rsidP="001D4FCA">
      <w:pPr>
        <w:ind w:left="720" w:hanging="720"/>
        <w:rPr>
          <w:rFonts w:ascii="Tahoma" w:hAnsi="Tahoma" w:cs="Tahoma"/>
        </w:rPr>
      </w:pPr>
    </w:p>
    <w:p w14:paraId="391D0067" w14:textId="4EF17DF0" w:rsidR="00836939" w:rsidRDefault="009429E6" w:rsidP="00370AB5">
      <w:pPr>
        <w:ind w:left="720" w:hanging="720"/>
        <w:rPr>
          <w:rFonts w:ascii="Tahoma" w:hAnsi="Tahoma" w:cs="Tahoma"/>
        </w:rPr>
      </w:pPr>
      <w:r w:rsidRPr="005448F6">
        <w:rPr>
          <w:rFonts w:ascii="Tahoma" w:hAnsi="Tahoma" w:cs="Tahoma"/>
        </w:rPr>
        <w:t>A</w:t>
      </w:r>
      <w:r>
        <w:rPr>
          <w:rFonts w:ascii="Tahoma" w:hAnsi="Tahoma" w:cs="Tahoma"/>
        </w:rPr>
        <w:t>21</w:t>
      </w:r>
      <w:r w:rsidR="001D4FCA" w:rsidRPr="005448F6">
        <w:rPr>
          <w:rFonts w:ascii="Tahoma" w:hAnsi="Tahoma" w:cs="Tahoma"/>
        </w:rPr>
        <w:t>:</w:t>
      </w:r>
      <w:r w:rsidR="001D4FCA" w:rsidRPr="005448F6">
        <w:rPr>
          <w:rFonts w:ascii="Tahoma" w:hAnsi="Tahoma" w:cs="Tahoma"/>
        </w:rPr>
        <w:tab/>
      </w:r>
      <w:r w:rsidR="001D4FCA">
        <w:rPr>
          <w:rFonts w:ascii="Tahoma" w:hAnsi="Tahoma" w:cs="Tahoma"/>
        </w:rPr>
        <w:t xml:space="preserve">Yes, if the hydrogen switcher locomotives are </w:t>
      </w:r>
      <w:r w:rsidR="001D4FCA" w:rsidRPr="005448F6">
        <w:rPr>
          <w:rFonts w:ascii="Tahoma" w:hAnsi="Tahoma" w:cs="Tahoma"/>
        </w:rPr>
        <w:t xml:space="preserve">supporting port </w:t>
      </w:r>
      <w:r w:rsidR="001D4FCA">
        <w:rPr>
          <w:rFonts w:ascii="Tahoma" w:hAnsi="Tahoma" w:cs="Tahoma"/>
        </w:rPr>
        <w:t xml:space="preserve">operations, the hydrogen refueling infrastructure necessary to fuel the locomotives would be an eligible project cost as long as the minimum number of new </w:t>
      </w:r>
      <w:proofErr w:type="gramStart"/>
      <w:r w:rsidR="001D4FCA">
        <w:rPr>
          <w:rFonts w:ascii="Tahoma" w:hAnsi="Tahoma" w:cs="Tahoma"/>
        </w:rPr>
        <w:t>hydrogen</w:t>
      </w:r>
      <w:proofErr w:type="gramEnd"/>
      <w:r w:rsidR="001D4FCA">
        <w:rPr>
          <w:rFonts w:ascii="Tahoma" w:hAnsi="Tahoma" w:cs="Tahoma"/>
        </w:rPr>
        <w:t xml:space="preserve"> fueling positions are met in the proposed project. That said, the fuel for the hydrogen locomotive is not an eligible CEC reimbursable or match share cost</w:t>
      </w:r>
      <w:r w:rsidR="00370AB5">
        <w:rPr>
          <w:rFonts w:ascii="Tahoma" w:hAnsi="Tahoma" w:cs="Tahoma"/>
        </w:rPr>
        <w:t>.</w:t>
      </w:r>
    </w:p>
    <w:p w14:paraId="1987A1D2" w14:textId="203A6954" w:rsidR="00836939" w:rsidRPr="005448F6" w:rsidRDefault="009429E6" w:rsidP="00836939">
      <w:pPr>
        <w:ind w:left="720" w:hanging="720"/>
        <w:rPr>
          <w:rFonts w:ascii="Tahoma" w:hAnsi="Tahoma" w:cs="Tahoma"/>
          <w:b/>
        </w:rPr>
      </w:pPr>
      <w:r w:rsidRPr="005448F6">
        <w:rPr>
          <w:rFonts w:ascii="Tahoma" w:hAnsi="Tahoma" w:cs="Tahoma"/>
          <w:b/>
        </w:rPr>
        <w:lastRenderedPageBreak/>
        <w:t>Q</w:t>
      </w:r>
      <w:r>
        <w:rPr>
          <w:rFonts w:ascii="Tahoma" w:hAnsi="Tahoma" w:cs="Tahoma"/>
          <w:b/>
        </w:rPr>
        <w:t>22</w:t>
      </w:r>
      <w:r w:rsidR="00836939" w:rsidRPr="005448F6">
        <w:rPr>
          <w:rFonts w:ascii="Tahoma" w:hAnsi="Tahoma" w:cs="Tahoma"/>
          <w:b/>
        </w:rPr>
        <w:t>:</w:t>
      </w:r>
      <w:r w:rsidR="00836939" w:rsidRPr="005448F6">
        <w:rPr>
          <w:rFonts w:ascii="Tahoma" w:hAnsi="Tahoma" w:cs="Tahoma"/>
          <w:b/>
        </w:rPr>
        <w:tab/>
      </w:r>
      <w:r w:rsidR="00836939">
        <w:rPr>
          <w:rFonts w:ascii="Tahoma" w:hAnsi="Tahoma" w:cs="Tahoma"/>
          <w:b/>
        </w:rPr>
        <w:t xml:space="preserve">The solicitation refers to </w:t>
      </w:r>
      <w:r w:rsidR="00836939" w:rsidRPr="005448F6">
        <w:rPr>
          <w:rFonts w:ascii="Tahoma" w:hAnsi="Tahoma" w:cs="Tahoma"/>
          <w:b/>
        </w:rPr>
        <w:t>"</w:t>
      </w:r>
      <w:r w:rsidR="00836939">
        <w:rPr>
          <w:rFonts w:ascii="Tahoma" w:hAnsi="Tahoma" w:cs="Tahoma"/>
          <w:b/>
        </w:rPr>
        <w:t>r</w:t>
      </w:r>
      <w:r w:rsidR="00836939" w:rsidRPr="005448F6">
        <w:rPr>
          <w:rFonts w:ascii="Tahoma" w:hAnsi="Tahoma" w:cs="Tahoma"/>
          <w:b/>
        </w:rPr>
        <w:t xml:space="preserve">efueling positions" </w:t>
      </w:r>
      <w:r w:rsidR="00836939">
        <w:rPr>
          <w:rFonts w:ascii="Tahoma" w:hAnsi="Tahoma" w:cs="Tahoma"/>
          <w:b/>
        </w:rPr>
        <w:t>rather than</w:t>
      </w:r>
      <w:r w:rsidR="00836939" w:rsidRPr="005448F6">
        <w:rPr>
          <w:rFonts w:ascii="Tahoma" w:hAnsi="Tahoma" w:cs="Tahoma"/>
          <w:b/>
        </w:rPr>
        <w:t xml:space="preserve"> "refueling station</w:t>
      </w:r>
      <w:r w:rsidR="00836939">
        <w:rPr>
          <w:rFonts w:ascii="Tahoma" w:hAnsi="Tahoma" w:cs="Tahoma"/>
          <w:b/>
        </w:rPr>
        <w:t>s.</w:t>
      </w:r>
      <w:r w:rsidR="00836939" w:rsidRPr="005448F6">
        <w:rPr>
          <w:rFonts w:ascii="Tahoma" w:hAnsi="Tahoma" w:cs="Tahoma"/>
          <w:b/>
        </w:rPr>
        <w:t xml:space="preserve">" Does this mean </w:t>
      </w:r>
      <w:r w:rsidR="00836939">
        <w:rPr>
          <w:rFonts w:ascii="Tahoma" w:hAnsi="Tahoma" w:cs="Tahoma"/>
          <w:b/>
        </w:rPr>
        <w:t xml:space="preserve">that one refueling station with multiple dispensers, for example, two, would count as multiple refueling positions? </w:t>
      </w:r>
    </w:p>
    <w:p w14:paraId="0357AE8A" w14:textId="77777777" w:rsidR="00836939" w:rsidRPr="005448F6" w:rsidRDefault="00836939" w:rsidP="00836939">
      <w:pPr>
        <w:ind w:left="720" w:hanging="720"/>
        <w:rPr>
          <w:rFonts w:ascii="Tahoma" w:hAnsi="Tahoma" w:cs="Tahoma"/>
          <w:b/>
        </w:rPr>
      </w:pPr>
    </w:p>
    <w:p w14:paraId="55CF8EEA" w14:textId="5064F32E" w:rsidR="00836939" w:rsidRPr="005448F6" w:rsidRDefault="00675BD9" w:rsidP="00836939">
      <w:pPr>
        <w:ind w:left="720" w:hanging="720"/>
        <w:rPr>
          <w:rFonts w:ascii="Tahoma" w:hAnsi="Tahoma" w:cs="Tahoma"/>
        </w:rPr>
      </w:pPr>
      <w:r w:rsidRPr="006B0C93">
        <w:rPr>
          <w:rFonts w:ascii="Tahoma" w:hAnsi="Tahoma" w:cs="Tahoma"/>
        </w:rPr>
        <w:t>A22</w:t>
      </w:r>
      <w:r w:rsidR="00836939" w:rsidRPr="006B0C93">
        <w:rPr>
          <w:rFonts w:ascii="Tahoma" w:hAnsi="Tahoma" w:cs="Tahoma"/>
        </w:rPr>
        <w:t>:</w:t>
      </w:r>
      <w:r w:rsidR="00836939" w:rsidRPr="006B0C93">
        <w:rPr>
          <w:rFonts w:ascii="Tahoma" w:hAnsi="Tahoma" w:cs="Tahoma"/>
        </w:rPr>
        <w:tab/>
        <w:t>Yes. A single station with multiple hydrogen dispensers can count as multiple fueling positions. Refer to Section II.B.</w:t>
      </w:r>
      <w:r w:rsidR="00E20392" w:rsidRPr="005B3F22">
        <w:rPr>
          <w:rFonts w:ascii="Tahoma" w:hAnsi="Tahoma" w:cs="Tahoma"/>
          <w:bCs/>
        </w:rPr>
        <w:t>3</w:t>
      </w:r>
      <w:r w:rsidR="00836939" w:rsidRPr="006B0C93">
        <w:rPr>
          <w:rFonts w:ascii="Tahoma" w:hAnsi="Tahoma" w:cs="Tahoma"/>
        </w:rPr>
        <w:t>. If applying as a Small Port</w:t>
      </w:r>
      <w:r w:rsidR="0031752A" w:rsidRPr="006B0C93">
        <w:rPr>
          <w:rFonts w:ascii="Tahoma" w:hAnsi="Tahoma" w:cs="Tahoma"/>
        </w:rPr>
        <w:t xml:space="preserve"> </w:t>
      </w:r>
      <w:r w:rsidR="0031752A" w:rsidRPr="005B3F22">
        <w:rPr>
          <w:rFonts w:ascii="Tahoma" w:hAnsi="Tahoma" w:cs="Tahoma"/>
          <w:bCs/>
        </w:rPr>
        <w:t>or Large Port</w:t>
      </w:r>
      <w:r w:rsidR="00836939" w:rsidRPr="005B3F22">
        <w:rPr>
          <w:rFonts w:ascii="Tahoma" w:hAnsi="Tahoma" w:cs="Tahoma"/>
          <w:bCs/>
        </w:rPr>
        <w:t xml:space="preserve"> </w:t>
      </w:r>
      <w:r w:rsidR="00836939" w:rsidRPr="006B0C93">
        <w:rPr>
          <w:rFonts w:ascii="Tahoma" w:hAnsi="Tahoma" w:cs="Tahoma"/>
        </w:rPr>
        <w:t>Applicant, a minimum of 2 heavy-duty hydrogen dispensing positions for refueling must be included in the proposed project. Note that</w:t>
      </w:r>
      <w:r w:rsidR="00836939" w:rsidRPr="005B3F22">
        <w:rPr>
          <w:rFonts w:ascii="Tahoma" w:hAnsi="Tahoma" w:cs="Tahoma"/>
          <w:bCs/>
        </w:rPr>
        <w:t xml:space="preserve"> </w:t>
      </w:r>
      <w:r w:rsidR="000048F4" w:rsidRPr="005B3F22">
        <w:rPr>
          <w:rFonts w:ascii="Tahoma" w:hAnsi="Tahoma" w:cs="Tahoma"/>
          <w:bCs/>
        </w:rPr>
        <w:t xml:space="preserve">if </w:t>
      </w:r>
      <w:r w:rsidR="00EC673B" w:rsidRPr="005B3F22">
        <w:rPr>
          <w:rFonts w:ascii="Tahoma" w:hAnsi="Tahoma" w:cs="Tahoma"/>
          <w:bCs/>
        </w:rPr>
        <w:t xml:space="preserve">more than one heavy-duty hydrogen dispensing position is situated within the same physical footprint or fueling area, </w:t>
      </w:r>
      <w:r w:rsidR="007C5442" w:rsidRPr="005B3F22">
        <w:rPr>
          <w:rFonts w:ascii="Tahoma" w:hAnsi="Tahoma" w:cs="Tahoma"/>
          <w:bCs/>
        </w:rPr>
        <w:t>at least two dispensing positions</w:t>
      </w:r>
      <w:r w:rsidR="00BE2888" w:rsidRPr="005B3F22">
        <w:rPr>
          <w:rFonts w:ascii="Tahoma" w:hAnsi="Tahoma" w:cs="Tahoma"/>
          <w:bCs/>
        </w:rPr>
        <w:t xml:space="preserve"> capable of simultaneous refueling must be included</w:t>
      </w:r>
      <w:r w:rsidR="005E1B66" w:rsidRPr="005B3F22">
        <w:rPr>
          <w:rFonts w:ascii="Tahoma" w:hAnsi="Tahoma" w:cs="Tahoma"/>
          <w:bCs/>
        </w:rPr>
        <w:t xml:space="preserve">, and at least one of these positions must be capable of dispensing at 700-bar pressure. </w:t>
      </w:r>
    </w:p>
    <w:p w14:paraId="16AA9C59" w14:textId="77777777" w:rsidR="00836939" w:rsidRPr="005448F6" w:rsidRDefault="00836939" w:rsidP="00836939">
      <w:pPr>
        <w:ind w:left="720"/>
        <w:rPr>
          <w:rFonts w:ascii="Tahoma" w:hAnsi="Tahoma" w:cs="Tahoma"/>
        </w:rPr>
      </w:pPr>
    </w:p>
    <w:p w14:paraId="45184434" w14:textId="58256367" w:rsidR="009A2E53" w:rsidRPr="005448F6" w:rsidRDefault="00986FF8" w:rsidP="009A2E53">
      <w:pPr>
        <w:ind w:left="720" w:hanging="720"/>
        <w:rPr>
          <w:rFonts w:ascii="Tahoma" w:hAnsi="Tahoma" w:cs="Tahoma"/>
          <w:b/>
        </w:rPr>
      </w:pPr>
      <w:r w:rsidRPr="005448F6">
        <w:rPr>
          <w:rFonts w:ascii="Tahoma" w:hAnsi="Tahoma" w:cs="Tahoma"/>
          <w:b/>
        </w:rPr>
        <w:t>Q</w:t>
      </w:r>
      <w:r>
        <w:rPr>
          <w:rFonts w:ascii="Tahoma" w:hAnsi="Tahoma" w:cs="Tahoma"/>
          <w:b/>
        </w:rPr>
        <w:t>23</w:t>
      </w:r>
      <w:r w:rsidR="009A2E53" w:rsidRPr="005448F6">
        <w:rPr>
          <w:rFonts w:ascii="Tahoma" w:hAnsi="Tahoma" w:cs="Tahoma"/>
          <w:b/>
        </w:rPr>
        <w:t>:</w:t>
      </w:r>
      <w:r w:rsidR="009A2E53" w:rsidRPr="005448F6">
        <w:rPr>
          <w:rFonts w:ascii="Tahoma" w:hAnsi="Tahoma" w:cs="Tahoma"/>
          <w:b/>
        </w:rPr>
        <w:tab/>
        <w:t xml:space="preserve">Is there a requirement </w:t>
      </w:r>
      <w:r w:rsidR="009A2E53">
        <w:rPr>
          <w:rFonts w:ascii="Tahoma" w:hAnsi="Tahoma" w:cs="Tahoma"/>
          <w:b/>
        </w:rPr>
        <w:t>that the</w:t>
      </w:r>
      <w:r w:rsidR="009A2E53" w:rsidRPr="005448F6">
        <w:rPr>
          <w:rFonts w:ascii="Tahoma" w:hAnsi="Tahoma" w:cs="Tahoma"/>
          <w:b/>
        </w:rPr>
        <w:t xml:space="preserve"> infrastructure </w:t>
      </w:r>
      <w:r w:rsidR="009A2E53">
        <w:rPr>
          <w:rFonts w:ascii="Tahoma" w:hAnsi="Tahoma" w:cs="Tahoma"/>
          <w:b/>
        </w:rPr>
        <w:t>and</w:t>
      </w:r>
      <w:r w:rsidR="009A2E53" w:rsidRPr="005448F6">
        <w:rPr>
          <w:rFonts w:ascii="Tahoma" w:hAnsi="Tahoma" w:cs="Tahoma"/>
          <w:b/>
        </w:rPr>
        <w:t xml:space="preserve"> equipment </w:t>
      </w:r>
      <w:r w:rsidR="009A2E53">
        <w:rPr>
          <w:rFonts w:ascii="Tahoma" w:hAnsi="Tahoma" w:cs="Tahoma"/>
          <w:b/>
        </w:rPr>
        <w:t xml:space="preserve">funded through this solicitation must </w:t>
      </w:r>
      <w:r w:rsidR="009A2E53" w:rsidRPr="005448F6">
        <w:rPr>
          <w:rFonts w:ascii="Tahoma" w:hAnsi="Tahoma" w:cs="Tahoma"/>
          <w:b/>
        </w:rPr>
        <w:t>be human operated?</w:t>
      </w:r>
    </w:p>
    <w:p w14:paraId="4EFD49F8" w14:textId="77777777" w:rsidR="009A2E53" w:rsidRPr="005448F6" w:rsidRDefault="009A2E53" w:rsidP="009A2E53">
      <w:pPr>
        <w:ind w:left="720" w:hanging="720"/>
        <w:rPr>
          <w:rFonts w:ascii="Tahoma" w:hAnsi="Tahoma" w:cs="Tahoma"/>
          <w:b/>
        </w:rPr>
      </w:pPr>
    </w:p>
    <w:p w14:paraId="660B8915" w14:textId="3E130C85" w:rsidR="009A2E53" w:rsidRPr="005448F6" w:rsidRDefault="00986FF8" w:rsidP="009A2E53">
      <w:pPr>
        <w:ind w:left="720" w:hanging="720"/>
        <w:rPr>
          <w:rFonts w:ascii="Tahoma" w:hAnsi="Tahoma" w:cs="Tahoma"/>
        </w:rPr>
      </w:pPr>
      <w:r w:rsidRPr="005448F6">
        <w:rPr>
          <w:rFonts w:ascii="Tahoma" w:hAnsi="Tahoma" w:cs="Tahoma"/>
        </w:rPr>
        <w:t>A</w:t>
      </w:r>
      <w:r>
        <w:rPr>
          <w:rFonts w:ascii="Tahoma" w:hAnsi="Tahoma" w:cs="Tahoma"/>
        </w:rPr>
        <w:t>23</w:t>
      </w:r>
      <w:r w:rsidR="009A2E53" w:rsidRPr="005448F6">
        <w:rPr>
          <w:rFonts w:ascii="Tahoma" w:hAnsi="Tahoma" w:cs="Tahoma"/>
        </w:rPr>
        <w:t>:</w:t>
      </w:r>
      <w:r w:rsidR="009A2E53" w:rsidRPr="005448F6">
        <w:rPr>
          <w:rFonts w:ascii="Tahoma" w:hAnsi="Tahoma" w:cs="Tahoma"/>
        </w:rPr>
        <w:tab/>
      </w:r>
      <w:r w:rsidR="009A2E53">
        <w:rPr>
          <w:rFonts w:ascii="Tahoma" w:hAnsi="Tahoma" w:cs="Tahoma"/>
        </w:rPr>
        <w:t xml:space="preserve">No. The </w:t>
      </w:r>
      <w:r w:rsidR="009A2E53" w:rsidRPr="005448F6">
        <w:rPr>
          <w:rFonts w:ascii="Tahoma" w:hAnsi="Tahoma" w:cs="Tahoma"/>
        </w:rPr>
        <w:t xml:space="preserve">infrastructure </w:t>
      </w:r>
      <w:r w:rsidR="009A2E53">
        <w:rPr>
          <w:rFonts w:ascii="Tahoma" w:hAnsi="Tahoma" w:cs="Tahoma"/>
        </w:rPr>
        <w:t>and</w:t>
      </w:r>
      <w:r w:rsidR="009A2E53" w:rsidRPr="005448F6">
        <w:rPr>
          <w:rFonts w:ascii="Tahoma" w:hAnsi="Tahoma" w:cs="Tahoma"/>
        </w:rPr>
        <w:t xml:space="preserve"> equipment </w:t>
      </w:r>
      <w:r w:rsidR="009A2E53">
        <w:rPr>
          <w:rFonts w:ascii="Tahoma" w:hAnsi="Tahoma" w:cs="Tahoma"/>
        </w:rPr>
        <w:t xml:space="preserve">do not need to be </w:t>
      </w:r>
      <w:r w:rsidR="009A2E53" w:rsidRPr="005448F6">
        <w:rPr>
          <w:rFonts w:ascii="Tahoma" w:hAnsi="Tahoma" w:cs="Tahoma"/>
        </w:rPr>
        <w:t>human operated</w:t>
      </w:r>
      <w:r w:rsidR="009A2E53">
        <w:rPr>
          <w:rFonts w:ascii="Tahoma" w:hAnsi="Tahoma" w:cs="Tahoma"/>
        </w:rPr>
        <w:t xml:space="preserve"> to qualify for funding, though they must be commercially available technologies.</w:t>
      </w:r>
    </w:p>
    <w:p w14:paraId="675741E3" w14:textId="77777777" w:rsidR="00836939" w:rsidRPr="005448F6" w:rsidRDefault="00836939" w:rsidP="001D4FCA">
      <w:pPr>
        <w:ind w:left="720" w:hanging="720"/>
        <w:rPr>
          <w:rFonts w:ascii="Tahoma" w:hAnsi="Tahoma" w:cs="Tahoma"/>
        </w:rPr>
      </w:pPr>
    </w:p>
    <w:p w14:paraId="1DAA2426" w14:textId="194753E5" w:rsidR="0014193A" w:rsidRPr="005448F6" w:rsidRDefault="00986FF8" w:rsidP="0014193A">
      <w:pPr>
        <w:ind w:left="720" w:hanging="720"/>
        <w:rPr>
          <w:rFonts w:ascii="Tahoma" w:hAnsi="Tahoma" w:cs="Tahoma"/>
          <w:b/>
        </w:rPr>
      </w:pPr>
      <w:r w:rsidRPr="005448F6">
        <w:rPr>
          <w:rFonts w:ascii="Tahoma" w:hAnsi="Tahoma" w:cs="Tahoma"/>
          <w:b/>
        </w:rPr>
        <w:t>Q</w:t>
      </w:r>
      <w:r>
        <w:rPr>
          <w:rFonts w:ascii="Tahoma" w:hAnsi="Tahoma" w:cs="Tahoma"/>
          <w:b/>
        </w:rPr>
        <w:t>24</w:t>
      </w:r>
      <w:r w:rsidR="0014193A" w:rsidRPr="005448F6">
        <w:rPr>
          <w:rFonts w:ascii="Tahoma" w:hAnsi="Tahoma" w:cs="Tahoma"/>
          <w:b/>
        </w:rPr>
        <w:t>:</w:t>
      </w:r>
      <w:r w:rsidR="0014193A" w:rsidRPr="005448F6">
        <w:rPr>
          <w:rFonts w:ascii="Tahoma" w:hAnsi="Tahoma" w:cs="Tahoma"/>
          <w:b/>
        </w:rPr>
        <w:tab/>
        <w:t xml:space="preserve">How should </w:t>
      </w:r>
      <w:r w:rsidR="0014193A">
        <w:rPr>
          <w:rFonts w:ascii="Tahoma" w:hAnsi="Tahoma" w:cs="Tahoma"/>
          <w:b/>
        </w:rPr>
        <w:t>A</w:t>
      </w:r>
      <w:r w:rsidR="0014193A" w:rsidRPr="005448F6">
        <w:rPr>
          <w:rFonts w:ascii="Tahoma" w:hAnsi="Tahoma" w:cs="Tahoma"/>
          <w:b/>
        </w:rPr>
        <w:t xml:space="preserve">pplicants address site control for land that they do not own at </w:t>
      </w:r>
      <w:r w:rsidR="0014193A">
        <w:rPr>
          <w:rFonts w:ascii="Tahoma" w:hAnsi="Tahoma" w:cs="Tahoma"/>
          <w:b/>
        </w:rPr>
        <w:t>p</w:t>
      </w:r>
      <w:r w:rsidR="0014193A" w:rsidRPr="005448F6">
        <w:rPr>
          <w:rFonts w:ascii="Tahoma" w:hAnsi="Tahoma" w:cs="Tahoma"/>
          <w:b/>
        </w:rPr>
        <w:t xml:space="preserve">orts? Does the application require that </w:t>
      </w:r>
      <w:r w:rsidR="0014193A">
        <w:rPr>
          <w:rFonts w:ascii="Tahoma" w:hAnsi="Tahoma" w:cs="Tahoma"/>
          <w:b/>
        </w:rPr>
        <w:t>a specific site (i.e., space or footprint)</w:t>
      </w:r>
      <w:r w:rsidR="0014193A" w:rsidRPr="005448F6">
        <w:rPr>
          <w:rFonts w:ascii="Tahoma" w:hAnsi="Tahoma" w:cs="Tahoma"/>
          <w:b/>
        </w:rPr>
        <w:t xml:space="preserve"> </w:t>
      </w:r>
      <w:r w:rsidR="0014193A">
        <w:rPr>
          <w:rFonts w:ascii="Tahoma" w:hAnsi="Tahoma" w:cs="Tahoma"/>
          <w:b/>
        </w:rPr>
        <w:t xml:space="preserve">already be secured, </w:t>
      </w:r>
      <w:r w:rsidR="0014193A" w:rsidRPr="005448F6">
        <w:rPr>
          <w:rFonts w:ascii="Tahoma" w:hAnsi="Tahoma" w:cs="Tahoma"/>
          <w:b/>
        </w:rPr>
        <w:t xml:space="preserve">or a </w:t>
      </w:r>
      <w:r w:rsidR="0014193A">
        <w:rPr>
          <w:rFonts w:ascii="Tahoma" w:hAnsi="Tahoma" w:cs="Tahoma"/>
          <w:b/>
        </w:rPr>
        <w:t>designated common area</w:t>
      </w:r>
      <w:r w:rsidR="0014193A" w:rsidRPr="005448F6">
        <w:rPr>
          <w:rFonts w:ascii="Tahoma" w:hAnsi="Tahoma" w:cs="Tahoma"/>
          <w:b/>
        </w:rPr>
        <w:t xml:space="preserve"> footprint that is already reserved</w:t>
      </w:r>
      <w:r w:rsidR="0014193A">
        <w:rPr>
          <w:rFonts w:ascii="Tahoma" w:hAnsi="Tahoma" w:cs="Tahoma"/>
          <w:b/>
        </w:rPr>
        <w:t xml:space="preserve"> for the proposed project</w:t>
      </w:r>
      <w:r w:rsidR="0014193A" w:rsidRPr="005448F6">
        <w:rPr>
          <w:rFonts w:ascii="Tahoma" w:hAnsi="Tahoma" w:cs="Tahoma"/>
          <w:b/>
        </w:rPr>
        <w:t>?</w:t>
      </w:r>
    </w:p>
    <w:p w14:paraId="23398280" w14:textId="77777777" w:rsidR="0014193A" w:rsidRPr="005448F6" w:rsidRDefault="0014193A" w:rsidP="0014193A">
      <w:pPr>
        <w:ind w:left="720" w:hanging="720"/>
        <w:rPr>
          <w:rFonts w:ascii="Tahoma" w:hAnsi="Tahoma" w:cs="Tahoma"/>
          <w:b/>
        </w:rPr>
      </w:pPr>
    </w:p>
    <w:p w14:paraId="705020EB" w14:textId="552ED7CA" w:rsidR="0014193A" w:rsidRDefault="00986FF8" w:rsidP="0014193A">
      <w:pPr>
        <w:ind w:left="720" w:hanging="720"/>
        <w:rPr>
          <w:rFonts w:ascii="Tahoma" w:hAnsi="Tahoma" w:cs="Tahoma"/>
        </w:rPr>
      </w:pPr>
      <w:r w:rsidRPr="005448F6">
        <w:rPr>
          <w:rFonts w:ascii="Tahoma" w:hAnsi="Tahoma" w:cs="Tahoma"/>
        </w:rPr>
        <w:t>A</w:t>
      </w:r>
      <w:r>
        <w:rPr>
          <w:rFonts w:ascii="Tahoma" w:hAnsi="Tahoma" w:cs="Tahoma"/>
        </w:rPr>
        <w:t>24</w:t>
      </w:r>
      <w:r w:rsidR="0014193A" w:rsidRPr="005448F6">
        <w:rPr>
          <w:rFonts w:ascii="Tahoma" w:hAnsi="Tahoma" w:cs="Tahoma"/>
        </w:rPr>
        <w:t>:</w:t>
      </w:r>
      <w:r w:rsidR="0014193A" w:rsidRPr="005448F6">
        <w:rPr>
          <w:rFonts w:ascii="Tahoma" w:hAnsi="Tahoma" w:cs="Tahoma"/>
        </w:rPr>
        <w:tab/>
      </w:r>
      <w:r w:rsidR="0014193A">
        <w:rPr>
          <w:rFonts w:ascii="Tahoma" w:hAnsi="Tahoma" w:cs="Tahoma"/>
        </w:rPr>
        <w:t xml:space="preserve">Applicants must document site control in the Project Narrative. </w:t>
      </w:r>
      <w:r w:rsidR="0014193A" w:rsidRPr="0065645C">
        <w:rPr>
          <w:rFonts w:ascii="Tahoma" w:hAnsi="Tahoma" w:cs="Tahoma"/>
        </w:rPr>
        <w:t>Site control includes, but is not limited to leases, ownership, or access rights.</w:t>
      </w:r>
      <w:r w:rsidR="0014193A">
        <w:rPr>
          <w:rFonts w:ascii="Tahoma" w:hAnsi="Tahoma" w:cs="Tahoma"/>
        </w:rPr>
        <w:t xml:space="preserve"> If Applicants do not have secured site host agreements in place, they must describe in the Project Narrative how they plan to obtain a site host agreement or </w:t>
      </w:r>
      <w:proofErr w:type="gramStart"/>
      <w:r w:rsidR="0014193A">
        <w:rPr>
          <w:rFonts w:ascii="Tahoma" w:hAnsi="Tahoma" w:cs="Tahoma"/>
        </w:rPr>
        <w:t>lease, and</w:t>
      </w:r>
      <w:proofErr w:type="gramEnd"/>
      <w:r w:rsidR="0014193A">
        <w:rPr>
          <w:rFonts w:ascii="Tahoma" w:hAnsi="Tahoma" w:cs="Tahoma"/>
        </w:rPr>
        <w:t xml:space="preserve"> </w:t>
      </w:r>
      <w:r w:rsidR="0014193A" w:rsidRPr="005448F6">
        <w:rPr>
          <w:rFonts w:ascii="Tahoma" w:hAnsi="Tahoma" w:cs="Tahoma"/>
        </w:rPr>
        <w:t xml:space="preserve">provide an estimated timeline for securing </w:t>
      </w:r>
      <w:r w:rsidR="0014193A">
        <w:rPr>
          <w:rFonts w:ascii="Tahoma" w:hAnsi="Tahoma" w:cs="Tahoma"/>
        </w:rPr>
        <w:t>the site</w:t>
      </w:r>
      <w:r w:rsidR="0014193A" w:rsidRPr="005448F6">
        <w:rPr>
          <w:rFonts w:ascii="Tahoma" w:hAnsi="Tahoma" w:cs="Tahoma"/>
        </w:rPr>
        <w:t xml:space="preserve"> </w:t>
      </w:r>
      <w:r w:rsidR="0014193A">
        <w:rPr>
          <w:rFonts w:ascii="Tahoma" w:hAnsi="Tahoma" w:cs="Tahoma"/>
        </w:rPr>
        <w:t xml:space="preserve">including </w:t>
      </w:r>
      <w:r w:rsidR="0014193A" w:rsidRPr="005448F6">
        <w:rPr>
          <w:rFonts w:ascii="Tahoma" w:hAnsi="Tahoma" w:cs="Tahoma"/>
        </w:rPr>
        <w:t xml:space="preserve">how this process can be expedited. </w:t>
      </w:r>
      <w:r w:rsidR="0014193A">
        <w:rPr>
          <w:rFonts w:ascii="Tahoma" w:hAnsi="Tahoma" w:cs="Tahoma"/>
        </w:rPr>
        <w:t xml:space="preserve">Additionally, Applicants must submit a letter of commitment from the current owner of the site of the proposed station location, or if the proposed site is operated by another entity other than the site owner, </w:t>
      </w:r>
      <w:r w:rsidR="0014193A" w:rsidRPr="00EB1F27">
        <w:rPr>
          <w:rFonts w:ascii="Tahoma" w:hAnsi="Tahoma" w:cs="Tahoma"/>
        </w:rPr>
        <w:t>applications must also include a letter of commitment from the current operator of the site</w:t>
      </w:r>
      <w:r w:rsidR="0014193A">
        <w:rPr>
          <w:rFonts w:ascii="Tahoma" w:hAnsi="Tahoma" w:cs="Tahoma"/>
        </w:rPr>
        <w:t>. Note that</w:t>
      </w:r>
      <w:r w:rsidR="0014193A" w:rsidRPr="001D1109">
        <w:rPr>
          <w:rFonts w:ascii="Tahoma" w:hAnsi="Tahoma" w:cs="Tahoma"/>
        </w:rPr>
        <w:t xml:space="preserve"> if </w:t>
      </w:r>
      <w:r w:rsidR="0014193A">
        <w:rPr>
          <w:rFonts w:ascii="Tahoma" w:hAnsi="Tahoma" w:cs="Tahoma"/>
        </w:rPr>
        <w:t>a</w:t>
      </w:r>
      <w:r w:rsidR="0014193A" w:rsidRPr="001D1109">
        <w:rPr>
          <w:rFonts w:ascii="Tahoma" w:hAnsi="Tahoma" w:cs="Tahoma"/>
        </w:rPr>
        <w:t xml:space="preserve"> Port is the Prime Applicant and the project is located on-port, the application may include multiple sites within the port boundaries (e.g., across terminals)</w:t>
      </w:r>
      <w:r w:rsidR="0014193A">
        <w:rPr>
          <w:rFonts w:ascii="Tahoma" w:hAnsi="Tahoma" w:cs="Tahoma"/>
        </w:rPr>
        <w:t>.</w:t>
      </w:r>
      <w:r w:rsidR="0014193A" w:rsidRPr="00EB1F27">
        <w:rPr>
          <w:rFonts w:ascii="Tahoma" w:hAnsi="Tahoma" w:cs="Tahoma"/>
        </w:rPr>
        <w:t xml:space="preserve"> </w:t>
      </w:r>
      <w:r w:rsidR="0014193A">
        <w:rPr>
          <w:rFonts w:ascii="Tahoma" w:hAnsi="Tahoma" w:cs="Tahoma"/>
        </w:rPr>
        <w:t>In this instance, Port Applicants must submit letters of commitment</w:t>
      </w:r>
      <w:r w:rsidR="0014193A" w:rsidRPr="00EB1F27">
        <w:rPr>
          <w:rFonts w:ascii="Tahoma" w:hAnsi="Tahoma" w:cs="Tahoma"/>
        </w:rPr>
        <w:t xml:space="preserve"> </w:t>
      </w:r>
      <w:r w:rsidR="0014193A">
        <w:rPr>
          <w:rFonts w:ascii="Tahoma" w:hAnsi="Tahoma" w:cs="Tahoma"/>
        </w:rPr>
        <w:t>from the site operator of</w:t>
      </w:r>
      <w:r w:rsidR="0014193A" w:rsidRPr="00EB1F27">
        <w:rPr>
          <w:rFonts w:ascii="Tahoma" w:hAnsi="Tahoma" w:cs="Tahoma"/>
        </w:rPr>
        <w:t xml:space="preserve"> each proposed station location.</w:t>
      </w:r>
      <w:r w:rsidR="0014193A" w:rsidRPr="00EB1F27" w:rsidDel="007847F6">
        <w:rPr>
          <w:rFonts w:ascii="Tahoma" w:hAnsi="Tahoma" w:cs="Tahoma"/>
        </w:rPr>
        <w:t xml:space="preserve"> </w:t>
      </w:r>
    </w:p>
    <w:p w14:paraId="4D0BCEF5" w14:textId="77777777" w:rsidR="0014193A" w:rsidRDefault="0014193A" w:rsidP="0014193A">
      <w:pPr>
        <w:ind w:left="720" w:hanging="720"/>
        <w:rPr>
          <w:rFonts w:ascii="Tahoma" w:hAnsi="Tahoma" w:cs="Tahoma"/>
        </w:rPr>
      </w:pPr>
    </w:p>
    <w:p w14:paraId="3E53C4DE" w14:textId="25B599D5" w:rsidR="0014193A" w:rsidRPr="005448F6" w:rsidRDefault="0014193A" w:rsidP="0021093F">
      <w:pPr>
        <w:ind w:left="720" w:hanging="720"/>
        <w:rPr>
          <w:rFonts w:ascii="Tahoma" w:hAnsi="Tahoma" w:cs="Tahoma"/>
        </w:rPr>
      </w:pPr>
      <w:r>
        <w:rPr>
          <w:rFonts w:ascii="Tahoma" w:hAnsi="Tahoma" w:cs="Tahoma"/>
        </w:rPr>
        <w:tab/>
        <w:t>Additionally, i</w:t>
      </w:r>
      <w:r w:rsidRPr="00B52985">
        <w:rPr>
          <w:rFonts w:ascii="Tahoma" w:hAnsi="Tahoma" w:cs="Tahoma"/>
        </w:rPr>
        <w:t xml:space="preserve">f the current lease agreement for an eligible project site is valid for less than the required six years, the Applicant must commit to operating that station until the current lease ends and make a good faith effort to extend the lease to continue operation for the full six years. </w:t>
      </w:r>
      <w:r>
        <w:rPr>
          <w:rFonts w:ascii="Tahoma" w:hAnsi="Tahoma" w:cs="Tahoma"/>
        </w:rPr>
        <w:t xml:space="preserve">Refer to </w:t>
      </w:r>
      <w:r w:rsidRPr="005448F6">
        <w:rPr>
          <w:rFonts w:ascii="Tahoma" w:hAnsi="Tahoma" w:cs="Tahoma"/>
        </w:rPr>
        <w:t>Section III.D.2.a.</w:t>
      </w:r>
      <w:r w:rsidRPr="005448F6" w:rsidDel="00696279">
        <w:rPr>
          <w:rFonts w:ascii="Tahoma" w:hAnsi="Tahoma" w:cs="Tahoma"/>
        </w:rPr>
        <w:t xml:space="preserve">, </w:t>
      </w:r>
      <w:r w:rsidRPr="00611365">
        <w:rPr>
          <w:rFonts w:ascii="Tahoma" w:hAnsi="Tahoma" w:cs="Tahoma"/>
        </w:rPr>
        <w:t>Project Readiness</w:t>
      </w:r>
      <w:r w:rsidR="00B86679" w:rsidRPr="005B3F22">
        <w:rPr>
          <w:rFonts w:ascii="Tahoma" w:hAnsi="Tahoma" w:cs="Tahoma"/>
          <w:bCs/>
        </w:rPr>
        <w:t>/Implementation</w:t>
      </w:r>
      <w:r w:rsidRPr="005B3F22">
        <w:rPr>
          <w:rFonts w:ascii="Tahoma" w:hAnsi="Tahoma" w:cs="Tahoma"/>
          <w:b/>
        </w:rPr>
        <w:t xml:space="preserve"> </w:t>
      </w:r>
      <w:r>
        <w:rPr>
          <w:rFonts w:ascii="Tahoma" w:hAnsi="Tahoma" w:cs="Tahoma"/>
        </w:rPr>
        <w:t>and Section III.D.8., Letters of Commitment.</w:t>
      </w:r>
    </w:p>
    <w:p w14:paraId="2EB44228" w14:textId="089A90EB" w:rsidR="0014193A" w:rsidRPr="005448F6" w:rsidRDefault="00986FF8" w:rsidP="0014193A">
      <w:pPr>
        <w:ind w:left="720" w:hanging="720"/>
        <w:rPr>
          <w:rFonts w:ascii="Tahoma" w:hAnsi="Tahoma" w:cs="Tahoma"/>
          <w:b/>
        </w:rPr>
      </w:pPr>
      <w:r w:rsidRPr="005448F6">
        <w:rPr>
          <w:rFonts w:ascii="Tahoma" w:hAnsi="Tahoma" w:cs="Tahoma"/>
          <w:b/>
        </w:rPr>
        <w:lastRenderedPageBreak/>
        <w:t>Q</w:t>
      </w:r>
      <w:r>
        <w:rPr>
          <w:rFonts w:ascii="Tahoma" w:hAnsi="Tahoma" w:cs="Tahoma"/>
          <w:b/>
        </w:rPr>
        <w:t>25</w:t>
      </w:r>
      <w:r w:rsidR="0014193A" w:rsidRPr="005448F6">
        <w:rPr>
          <w:rFonts w:ascii="Tahoma" w:hAnsi="Tahoma" w:cs="Tahoma"/>
          <w:b/>
        </w:rPr>
        <w:t>:</w:t>
      </w:r>
      <w:r w:rsidR="0014193A" w:rsidRPr="005448F6">
        <w:rPr>
          <w:rFonts w:ascii="Tahoma" w:hAnsi="Tahoma" w:cs="Tahoma"/>
          <w:b/>
        </w:rPr>
        <w:tab/>
        <w:t>Is there a minimum local storage requirement for hydrogen stations?</w:t>
      </w:r>
    </w:p>
    <w:p w14:paraId="545AB346" w14:textId="77777777" w:rsidR="0014193A" w:rsidRPr="005448F6" w:rsidRDefault="0014193A" w:rsidP="0014193A">
      <w:pPr>
        <w:ind w:left="720" w:hanging="720"/>
        <w:rPr>
          <w:rFonts w:ascii="Tahoma" w:hAnsi="Tahoma" w:cs="Tahoma"/>
          <w:b/>
        </w:rPr>
      </w:pPr>
    </w:p>
    <w:p w14:paraId="7BDF2654" w14:textId="223141D1" w:rsidR="001D4FCA" w:rsidRPr="005448F6" w:rsidRDefault="00986FF8" w:rsidP="0014193A">
      <w:pPr>
        <w:ind w:left="720" w:hanging="720"/>
        <w:rPr>
          <w:rFonts w:ascii="Tahoma" w:hAnsi="Tahoma" w:cs="Tahoma"/>
        </w:rPr>
      </w:pPr>
      <w:r w:rsidRPr="005448F6">
        <w:rPr>
          <w:rFonts w:ascii="Tahoma" w:hAnsi="Tahoma" w:cs="Tahoma"/>
        </w:rPr>
        <w:t>A</w:t>
      </w:r>
      <w:r>
        <w:rPr>
          <w:rFonts w:ascii="Tahoma" w:hAnsi="Tahoma" w:cs="Tahoma"/>
        </w:rPr>
        <w:t>25</w:t>
      </w:r>
      <w:r w:rsidR="0014193A" w:rsidRPr="005448F6">
        <w:rPr>
          <w:rFonts w:ascii="Tahoma" w:hAnsi="Tahoma" w:cs="Tahoma"/>
        </w:rPr>
        <w:t>:</w:t>
      </w:r>
      <w:r w:rsidR="0014193A" w:rsidRPr="005448F6">
        <w:rPr>
          <w:rFonts w:ascii="Tahoma" w:hAnsi="Tahoma" w:cs="Tahoma"/>
        </w:rPr>
        <w:tab/>
        <w:t>No.</w:t>
      </w:r>
      <w:r w:rsidR="0014193A">
        <w:rPr>
          <w:rFonts w:ascii="Tahoma" w:hAnsi="Tahoma" w:cs="Tahoma"/>
        </w:rPr>
        <w:t xml:space="preserve"> There is no storage requirement for hydrogen stations.</w:t>
      </w:r>
    </w:p>
    <w:p w14:paraId="0B911CA3" w14:textId="77777777" w:rsidR="007E2735" w:rsidRPr="005448F6" w:rsidRDefault="007E2735" w:rsidP="0043007B">
      <w:pPr>
        <w:ind w:left="720" w:hanging="720"/>
        <w:rPr>
          <w:rFonts w:ascii="Tahoma" w:hAnsi="Tahoma" w:cs="Tahoma"/>
        </w:rPr>
      </w:pPr>
    </w:p>
    <w:p w14:paraId="5F158B48" w14:textId="0E4A1F40" w:rsidR="00F80F96" w:rsidRPr="005448F6" w:rsidRDefault="00986FF8" w:rsidP="00F80F96">
      <w:pPr>
        <w:ind w:left="720" w:hanging="720"/>
        <w:rPr>
          <w:rFonts w:ascii="Tahoma" w:hAnsi="Tahoma" w:cs="Tahoma"/>
          <w:b/>
        </w:rPr>
      </w:pPr>
      <w:r w:rsidRPr="005448F6">
        <w:rPr>
          <w:rFonts w:ascii="Tahoma" w:hAnsi="Tahoma" w:cs="Tahoma"/>
          <w:b/>
        </w:rPr>
        <w:t>Q</w:t>
      </w:r>
      <w:r>
        <w:rPr>
          <w:rFonts w:ascii="Tahoma" w:hAnsi="Tahoma" w:cs="Tahoma"/>
          <w:b/>
        </w:rPr>
        <w:t>26</w:t>
      </w:r>
      <w:r w:rsidR="00F80F96" w:rsidRPr="005448F6">
        <w:rPr>
          <w:rFonts w:ascii="Tahoma" w:hAnsi="Tahoma" w:cs="Tahoma"/>
          <w:b/>
        </w:rPr>
        <w:t>:</w:t>
      </w:r>
      <w:r w:rsidR="00F80F96" w:rsidRPr="005448F6">
        <w:rPr>
          <w:rFonts w:ascii="Tahoma" w:hAnsi="Tahoma" w:cs="Tahoma"/>
          <w:b/>
        </w:rPr>
        <w:tab/>
        <w:t xml:space="preserve">If </w:t>
      </w:r>
      <w:r w:rsidR="00F80F96">
        <w:rPr>
          <w:rFonts w:ascii="Tahoma" w:hAnsi="Tahoma" w:cs="Tahoma"/>
          <w:b/>
        </w:rPr>
        <w:t>a hydrogen</w:t>
      </w:r>
      <w:r w:rsidR="00F80F96" w:rsidRPr="005448F6">
        <w:rPr>
          <w:rFonts w:ascii="Tahoma" w:hAnsi="Tahoma" w:cs="Tahoma"/>
          <w:b/>
        </w:rPr>
        <w:t xml:space="preserve"> refueling station support</w:t>
      </w:r>
      <w:r w:rsidR="00F80F96">
        <w:rPr>
          <w:rFonts w:ascii="Tahoma" w:hAnsi="Tahoma" w:cs="Tahoma"/>
          <w:b/>
        </w:rPr>
        <w:t>s p</w:t>
      </w:r>
      <w:r w:rsidR="00F80F96" w:rsidRPr="005448F6">
        <w:rPr>
          <w:rFonts w:ascii="Tahoma" w:hAnsi="Tahoma" w:cs="Tahoma"/>
          <w:b/>
        </w:rPr>
        <w:t>ort</w:t>
      </w:r>
      <w:r w:rsidR="00F80F96">
        <w:rPr>
          <w:rFonts w:ascii="Tahoma" w:hAnsi="Tahoma" w:cs="Tahoma"/>
          <w:b/>
        </w:rPr>
        <w:t xml:space="preserve"> operations, but is located outside of port boundaries, is there </w:t>
      </w:r>
      <w:r w:rsidR="00F80F96" w:rsidRPr="005448F6">
        <w:rPr>
          <w:rFonts w:ascii="Tahoma" w:hAnsi="Tahoma" w:cs="Tahoma"/>
          <w:b/>
        </w:rPr>
        <w:t xml:space="preserve">any distance requirement between port and </w:t>
      </w:r>
      <w:r w:rsidR="00F80F96">
        <w:rPr>
          <w:rFonts w:ascii="Tahoma" w:hAnsi="Tahoma" w:cs="Tahoma"/>
          <w:b/>
        </w:rPr>
        <w:t>refueling</w:t>
      </w:r>
      <w:r w:rsidR="00F80F96" w:rsidRPr="005448F6">
        <w:rPr>
          <w:rFonts w:ascii="Tahoma" w:hAnsi="Tahoma" w:cs="Tahoma"/>
          <w:b/>
        </w:rPr>
        <w:t xml:space="preserve"> station?</w:t>
      </w:r>
    </w:p>
    <w:p w14:paraId="588D3175" w14:textId="77777777" w:rsidR="00F80F96" w:rsidRPr="005448F6" w:rsidRDefault="00F80F96" w:rsidP="00F80F96">
      <w:pPr>
        <w:ind w:left="720" w:hanging="720"/>
        <w:rPr>
          <w:rFonts w:ascii="Tahoma" w:hAnsi="Tahoma" w:cs="Tahoma"/>
          <w:b/>
        </w:rPr>
      </w:pPr>
    </w:p>
    <w:p w14:paraId="3BAF2959" w14:textId="4603F225" w:rsidR="00F80F96" w:rsidRPr="005448F6" w:rsidRDefault="00986FF8" w:rsidP="00F80F96">
      <w:pPr>
        <w:ind w:left="720" w:hanging="720"/>
        <w:rPr>
          <w:rFonts w:ascii="Tahoma" w:hAnsi="Tahoma" w:cs="Tahoma"/>
        </w:rPr>
      </w:pPr>
      <w:r w:rsidRPr="005448F6">
        <w:rPr>
          <w:rFonts w:ascii="Tahoma" w:hAnsi="Tahoma" w:cs="Tahoma"/>
        </w:rPr>
        <w:t>A</w:t>
      </w:r>
      <w:r>
        <w:rPr>
          <w:rFonts w:ascii="Tahoma" w:hAnsi="Tahoma" w:cs="Tahoma"/>
        </w:rPr>
        <w:t>26</w:t>
      </w:r>
      <w:r w:rsidR="00F80F96" w:rsidRPr="005448F6">
        <w:rPr>
          <w:rFonts w:ascii="Tahoma" w:hAnsi="Tahoma" w:cs="Tahoma"/>
        </w:rPr>
        <w:t>:</w:t>
      </w:r>
      <w:r w:rsidR="00F80F96" w:rsidRPr="005448F6">
        <w:rPr>
          <w:rFonts w:ascii="Tahoma" w:hAnsi="Tahoma" w:cs="Tahoma"/>
        </w:rPr>
        <w:tab/>
      </w:r>
      <w:r w:rsidR="00F80F96">
        <w:rPr>
          <w:rFonts w:ascii="Tahoma" w:hAnsi="Tahoma" w:cs="Tahoma"/>
        </w:rPr>
        <w:t xml:space="preserve">No, there is </w:t>
      </w:r>
      <w:r w:rsidR="00F80F96" w:rsidRPr="005448F6">
        <w:rPr>
          <w:rFonts w:ascii="Tahoma" w:hAnsi="Tahoma" w:cs="Tahoma"/>
        </w:rPr>
        <w:t>not a set distance requirement</w:t>
      </w:r>
      <w:r w:rsidR="00F80F96">
        <w:rPr>
          <w:rFonts w:ascii="Tahoma" w:hAnsi="Tahoma" w:cs="Tahoma"/>
        </w:rPr>
        <w:t xml:space="preserve"> in the solicitation.</w:t>
      </w:r>
      <w:r w:rsidR="00F80F96" w:rsidRPr="005448F6">
        <w:rPr>
          <w:rFonts w:ascii="Tahoma" w:hAnsi="Tahoma" w:cs="Tahoma"/>
        </w:rPr>
        <w:t xml:space="preserve"> However, the location must directly serve the port/port operations. Section II.A.1. states that “</w:t>
      </w:r>
      <w:proofErr w:type="gramStart"/>
      <w:r w:rsidR="00F80F96" w:rsidRPr="005448F6">
        <w:rPr>
          <w:rFonts w:ascii="Tahoma" w:hAnsi="Tahoma" w:cs="Tahoma"/>
        </w:rPr>
        <w:t>Non-port</w:t>
      </w:r>
      <w:proofErr w:type="gramEnd"/>
      <w:r w:rsidR="00F80F96" w:rsidRPr="005448F6">
        <w:rPr>
          <w:rFonts w:ascii="Tahoma" w:hAnsi="Tahoma" w:cs="Tahoma"/>
        </w:rPr>
        <w:t xml:space="preserve"> applicants will be required to either provide a letter of support from a port or otherwise describe in the project narrative how the project will support a port or ports.”</w:t>
      </w:r>
      <w:r w:rsidR="00F80F96">
        <w:rPr>
          <w:rFonts w:ascii="Tahoma" w:hAnsi="Tahoma" w:cs="Tahoma"/>
        </w:rPr>
        <w:t xml:space="preserve"> Additionally, </w:t>
      </w:r>
      <w:r w:rsidR="00F80F96" w:rsidRPr="006F1A63">
        <w:rPr>
          <w:rFonts w:ascii="Tahoma" w:hAnsi="Tahoma" w:cs="Tahoma"/>
        </w:rPr>
        <w:t>Section II.B</w:t>
      </w:r>
      <w:r w:rsidR="005B3F22">
        <w:rPr>
          <w:rFonts w:ascii="Tahoma" w:hAnsi="Tahoma" w:cs="Tahoma"/>
        </w:rPr>
        <w:t>.</w:t>
      </w:r>
      <w:r w:rsidR="00D926DC" w:rsidRPr="005B3F22">
        <w:rPr>
          <w:rFonts w:ascii="Tahoma" w:hAnsi="Tahoma" w:cs="Tahoma"/>
          <w:bCs/>
        </w:rPr>
        <w:t>5</w:t>
      </w:r>
      <w:r w:rsidR="00F80F96" w:rsidRPr="006F1A63">
        <w:rPr>
          <w:rFonts w:ascii="Tahoma" w:hAnsi="Tahoma" w:cs="Tahoma"/>
        </w:rPr>
        <w:t>.,</w:t>
      </w:r>
      <w:r w:rsidR="00F80F96">
        <w:rPr>
          <w:rFonts w:ascii="Tahoma" w:hAnsi="Tahoma" w:cs="Tahoma"/>
        </w:rPr>
        <w:t xml:space="preserve"> Project Location, states that t</w:t>
      </w:r>
      <w:r w:rsidR="00F80F96" w:rsidRPr="00936763">
        <w:rPr>
          <w:rFonts w:ascii="Tahoma" w:hAnsi="Tahoma" w:cs="Tahoma"/>
        </w:rPr>
        <w:t xml:space="preserve">he project must be </w:t>
      </w:r>
      <w:r w:rsidR="00F80F96">
        <w:rPr>
          <w:rFonts w:ascii="Tahoma" w:hAnsi="Tahoma" w:cs="Tahoma"/>
        </w:rPr>
        <w:t xml:space="preserve">located </w:t>
      </w:r>
      <w:r w:rsidR="00F80F96" w:rsidRPr="00936763">
        <w:rPr>
          <w:rFonts w:ascii="Tahoma" w:hAnsi="Tahoma" w:cs="Tahoma"/>
        </w:rPr>
        <w:t>at a location that directly serves the port</w:t>
      </w:r>
      <w:r w:rsidR="00F80F96">
        <w:rPr>
          <w:rFonts w:ascii="Tahoma" w:hAnsi="Tahoma" w:cs="Tahoma"/>
        </w:rPr>
        <w:t xml:space="preserve">. </w:t>
      </w:r>
      <w:r w:rsidR="00F80F96" w:rsidRPr="00936763">
        <w:rPr>
          <w:rFonts w:ascii="Tahoma" w:hAnsi="Tahoma" w:cs="Tahoma"/>
        </w:rPr>
        <w:t xml:space="preserve">If not located at a port, the </w:t>
      </w:r>
      <w:r w:rsidR="00F80F96">
        <w:rPr>
          <w:rFonts w:ascii="Tahoma" w:hAnsi="Tahoma" w:cs="Tahoma"/>
        </w:rPr>
        <w:t>P</w:t>
      </w:r>
      <w:r w:rsidR="00F80F96" w:rsidRPr="00936763">
        <w:rPr>
          <w:rFonts w:ascii="Tahoma" w:hAnsi="Tahoma" w:cs="Tahoma"/>
        </w:rPr>
        <w:t xml:space="preserve">roject </w:t>
      </w:r>
      <w:r w:rsidR="00F80F96">
        <w:rPr>
          <w:rFonts w:ascii="Tahoma" w:hAnsi="Tahoma" w:cs="Tahoma"/>
        </w:rPr>
        <w:t>N</w:t>
      </w:r>
      <w:r w:rsidR="00F80F96" w:rsidRPr="00936763">
        <w:rPr>
          <w:rFonts w:ascii="Tahoma" w:hAnsi="Tahoma" w:cs="Tahoma"/>
        </w:rPr>
        <w:t>arrative should describe how the location directly supports the port operations.</w:t>
      </w:r>
    </w:p>
    <w:p w14:paraId="244B038E" w14:textId="77777777" w:rsidR="0043007B" w:rsidRDefault="0043007B" w:rsidP="00561C30">
      <w:pPr>
        <w:ind w:left="720" w:hanging="720"/>
        <w:rPr>
          <w:rFonts w:ascii="Tahoma" w:hAnsi="Tahoma" w:cs="Tahoma"/>
        </w:rPr>
      </w:pPr>
    </w:p>
    <w:p w14:paraId="2EA8352E" w14:textId="56A6B2C7" w:rsidR="001930E6" w:rsidRPr="005448F6" w:rsidRDefault="00986FF8" w:rsidP="001930E6">
      <w:pPr>
        <w:ind w:left="720" w:hanging="720"/>
        <w:rPr>
          <w:rFonts w:ascii="Tahoma" w:hAnsi="Tahoma" w:cs="Tahoma"/>
          <w:b/>
        </w:rPr>
      </w:pPr>
      <w:r w:rsidRPr="005448F6">
        <w:rPr>
          <w:rFonts w:ascii="Tahoma" w:hAnsi="Tahoma" w:cs="Tahoma"/>
          <w:b/>
        </w:rPr>
        <w:t>Q</w:t>
      </w:r>
      <w:r>
        <w:rPr>
          <w:rFonts w:ascii="Tahoma" w:hAnsi="Tahoma" w:cs="Tahoma"/>
          <w:b/>
        </w:rPr>
        <w:t>27</w:t>
      </w:r>
      <w:r w:rsidR="001930E6" w:rsidRPr="005448F6">
        <w:rPr>
          <w:rFonts w:ascii="Tahoma" w:hAnsi="Tahoma" w:cs="Tahoma"/>
          <w:b/>
        </w:rPr>
        <w:t>:</w:t>
      </w:r>
      <w:r w:rsidR="001930E6" w:rsidRPr="005448F6">
        <w:rPr>
          <w:rFonts w:ascii="Tahoma" w:hAnsi="Tahoma" w:cs="Tahoma"/>
          <w:b/>
        </w:rPr>
        <w:tab/>
        <w:t xml:space="preserve">Are hybrid solutions that include </w:t>
      </w:r>
      <w:r w:rsidR="001930E6">
        <w:rPr>
          <w:rFonts w:ascii="Tahoma" w:hAnsi="Tahoma" w:cs="Tahoma"/>
          <w:b/>
        </w:rPr>
        <w:t xml:space="preserve">both </w:t>
      </w:r>
      <w:r w:rsidR="001930E6" w:rsidRPr="005448F6">
        <w:rPr>
          <w:rFonts w:ascii="Tahoma" w:hAnsi="Tahoma" w:cs="Tahoma"/>
          <w:b/>
        </w:rPr>
        <w:t xml:space="preserve">hydrogen </w:t>
      </w:r>
      <w:r w:rsidR="001930E6">
        <w:rPr>
          <w:rFonts w:ascii="Tahoma" w:hAnsi="Tahoma" w:cs="Tahoma"/>
          <w:b/>
        </w:rPr>
        <w:t>re</w:t>
      </w:r>
      <w:r w:rsidR="001930E6" w:rsidRPr="005448F6">
        <w:rPr>
          <w:rFonts w:ascii="Tahoma" w:hAnsi="Tahoma" w:cs="Tahoma"/>
          <w:b/>
        </w:rPr>
        <w:t xml:space="preserve">fueling and </w:t>
      </w:r>
      <w:r w:rsidR="001930E6">
        <w:rPr>
          <w:rFonts w:ascii="Tahoma" w:hAnsi="Tahoma" w:cs="Tahoma"/>
          <w:b/>
        </w:rPr>
        <w:t xml:space="preserve">battery-electric charging </w:t>
      </w:r>
      <w:r w:rsidR="001930E6" w:rsidRPr="005448F6">
        <w:rPr>
          <w:rFonts w:ascii="Tahoma" w:hAnsi="Tahoma" w:cs="Tahoma"/>
          <w:b/>
        </w:rPr>
        <w:t>capabilities</w:t>
      </w:r>
      <w:r w:rsidR="001930E6">
        <w:rPr>
          <w:rFonts w:ascii="Tahoma" w:hAnsi="Tahoma" w:cs="Tahoma"/>
          <w:b/>
        </w:rPr>
        <w:t>,</w:t>
      </w:r>
      <w:r w:rsidR="001930E6" w:rsidRPr="005448F6">
        <w:rPr>
          <w:rFonts w:ascii="Tahoma" w:hAnsi="Tahoma" w:cs="Tahoma"/>
          <w:b/>
        </w:rPr>
        <w:t xml:space="preserve"> using green hydrogen as the fuel source for </w:t>
      </w:r>
      <w:r w:rsidR="001930E6">
        <w:rPr>
          <w:rFonts w:ascii="Tahoma" w:hAnsi="Tahoma" w:cs="Tahoma"/>
          <w:b/>
        </w:rPr>
        <w:t>both,</w:t>
      </w:r>
      <w:r w:rsidR="001930E6" w:rsidRPr="005448F6">
        <w:rPr>
          <w:rFonts w:ascii="Tahoma" w:hAnsi="Tahoma" w:cs="Tahoma"/>
          <w:b/>
        </w:rPr>
        <w:t xml:space="preserve"> permissible</w:t>
      </w:r>
      <w:r w:rsidR="001930E6">
        <w:rPr>
          <w:rFonts w:ascii="Tahoma" w:hAnsi="Tahoma" w:cs="Tahoma"/>
          <w:b/>
        </w:rPr>
        <w:t>,</w:t>
      </w:r>
      <w:r w:rsidR="001930E6" w:rsidRPr="005448F6">
        <w:rPr>
          <w:rFonts w:ascii="Tahoma" w:hAnsi="Tahoma" w:cs="Tahoma"/>
          <w:b/>
        </w:rPr>
        <w:t xml:space="preserve"> provided that all </w:t>
      </w:r>
      <w:r w:rsidR="001930E6">
        <w:rPr>
          <w:rFonts w:ascii="Tahoma" w:hAnsi="Tahoma" w:cs="Tahoma"/>
          <w:b/>
        </w:rPr>
        <w:t>other</w:t>
      </w:r>
      <w:r w:rsidR="001930E6" w:rsidRPr="005448F6">
        <w:rPr>
          <w:rFonts w:ascii="Tahoma" w:hAnsi="Tahoma" w:cs="Tahoma"/>
          <w:b/>
        </w:rPr>
        <w:t xml:space="preserve"> solicitation requirements </w:t>
      </w:r>
      <w:r w:rsidR="001930E6">
        <w:rPr>
          <w:rFonts w:ascii="Tahoma" w:hAnsi="Tahoma" w:cs="Tahoma"/>
          <w:b/>
        </w:rPr>
        <w:t>are met</w:t>
      </w:r>
      <w:r w:rsidR="001930E6" w:rsidRPr="005448F6">
        <w:rPr>
          <w:rFonts w:ascii="Tahoma" w:hAnsi="Tahoma" w:cs="Tahoma"/>
          <w:b/>
        </w:rPr>
        <w:t>?</w:t>
      </w:r>
    </w:p>
    <w:p w14:paraId="060D03AD" w14:textId="77777777" w:rsidR="001930E6" w:rsidRPr="005448F6" w:rsidRDefault="001930E6" w:rsidP="001930E6">
      <w:pPr>
        <w:ind w:left="720" w:hanging="720"/>
        <w:rPr>
          <w:rFonts w:ascii="Tahoma" w:hAnsi="Tahoma" w:cs="Tahoma"/>
          <w:b/>
        </w:rPr>
      </w:pPr>
    </w:p>
    <w:p w14:paraId="3C52AEC8" w14:textId="4D84AD12" w:rsidR="001930E6" w:rsidRPr="005448F6" w:rsidRDefault="00986FF8" w:rsidP="001930E6">
      <w:pPr>
        <w:ind w:left="720" w:hanging="720"/>
        <w:rPr>
          <w:rFonts w:ascii="Tahoma" w:hAnsi="Tahoma" w:cs="Tahoma"/>
        </w:rPr>
      </w:pPr>
      <w:r w:rsidRPr="005448F6">
        <w:rPr>
          <w:rFonts w:ascii="Tahoma" w:hAnsi="Tahoma" w:cs="Tahoma"/>
        </w:rPr>
        <w:t>A</w:t>
      </w:r>
      <w:r>
        <w:rPr>
          <w:rFonts w:ascii="Tahoma" w:hAnsi="Tahoma" w:cs="Tahoma"/>
        </w:rPr>
        <w:t>27</w:t>
      </w:r>
      <w:r w:rsidR="001930E6" w:rsidRPr="005448F6">
        <w:rPr>
          <w:rFonts w:ascii="Tahoma" w:hAnsi="Tahoma" w:cs="Tahoma"/>
        </w:rPr>
        <w:t>:</w:t>
      </w:r>
      <w:r w:rsidR="001930E6" w:rsidRPr="005448F6">
        <w:rPr>
          <w:rFonts w:ascii="Tahoma" w:hAnsi="Tahoma" w:cs="Tahoma"/>
        </w:rPr>
        <w:tab/>
        <w:t xml:space="preserve">Yes. The </w:t>
      </w:r>
      <w:r w:rsidR="001930E6">
        <w:rPr>
          <w:rFonts w:ascii="Tahoma" w:hAnsi="Tahoma" w:cs="Tahoma"/>
        </w:rPr>
        <w:t>a</w:t>
      </w:r>
      <w:r w:rsidR="001930E6" w:rsidRPr="005448F6">
        <w:rPr>
          <w:rFonts w:ascii="Tahoma" w:hAnsi="Tahoma" w:cs="Tahoma"/>
        </w:rPr>
        <w:t xml:space="preserve">pplication must </w:t>
      </w:r>
      <w:r w:rsidR="001930E6">
        <w:rPr>
          <w:rFonts w:ascii="Tahoma" w:hAnsi="Tahoma" w:cs="Tahoma"/>
        </w:rPr>
        <w:t>identify</w:t>
      </w:r>
      <w:r w:rsidR="001930E6" w:rsidRPr="005448F6">
        <w:rPr>
          <w:rFonts w:ascii="Tahoma" w:hAnsi="Tahoma" w:cs="Tahoma"/>
        </w:rPr>
        <w:t xml:space="preserve"> which </w:t>
      </w:r>
      <w:r w:rsidR="001930E6">
        <w:rPr>
          <w:rFonts w:ascii="Tahoma" w:hAnsi="Tahoma" w:cs="Tahoma"/>
        </w:rPr>
        <w:t>infrastructure type</w:t>
      </w:r>
      <w:r w:rsidR="001930E6" w:rsidRPr="005448F6">
        <w:rPr>
          <w:rFonts w:ascii="Tahoma" w:hAnsi="Tahoma" w:cs="Tahoma"/>
        </w:rPr>
        <w:t xml:space="preserve"> is the principal and that </w:t>
      </w:r>
      <w:r w:rsidR="001930E6">
        <w:rPr>
          <w:rFonts w:ascii="Tahoma" w:hAnsi="Tahoma" w:cs="Tahoma"/>
        </w:rPr>
        <w:t>infrastructure type</w:t>
      </w:r>
      <w:r w:rsidR="001930E6" w:rsidRPr="005448F6">
        <w:rPr>
          <w:rFonts w:ascii="Tahoma" w:hAnsi="Tahoma" w:cs="Tahoma"/>
        </w:rPr>
        <w:t xml:space="preserve"> will be eligible for CEC funding. The secondary </w:t>
      </w:r>
      <w:r w:rsidR="001930E6">
        <w:rPr>
          <w:rFonts w:ascii="Tahoma" w:hAnsi="Tahoma" w:cs="Tahoma"/>
        </w:rPr>
        <w:t>infrastructure type</w:t>
      </w:r>
      <w:r w:rsidR="001930E6" w:rsidRPr="005448F6">
        <w:rPr>
          <w:rFonts w:ascii="Tahoma" w:hAnsi="Tahoma" w:cs="Tahoma"/>
        </w:rPr>
        <w:t xml:space="preserve"> is </w:t>
      </w:r>
      <w:proofErr w:type="gramStart"/>
      <w:r w:rsidR="001930E6" w:rsidRPr="005448F6">
        <w:rPr>
          <w:rFonts w:ascii="Tahoma" w:hAnsi="Tahoma" w:cs="Tahoma"/>
        </w:rPr>
        <w:t>allowed</w:t>
      </w:r>
      <w:r w:rsidR="001930E6">
        <w:rPr>
          <w:rFonts w:ascii="Tahoma" w:hAnsi="Tahoma" w:cs="Tahoma"/>
        </w:rPr>
        <w:t>,</w:t>
      </w:r>
      <w:r w:rsidR="001930E6" w:rsidRPr="005448F6">
        <w:rPr>
          <w:rFonts w:ascii="Tahoma" w:hAnsi="Tahoma" w:cs="Tahoma"/>
        </w:rPr>
        <w:t xml:space="preserve"> but</w:t>
      </w:r>
      <w:proofErr w:type="gramEnd"/>
      <w:r w:rsidR="001930E6" w:rsidRPr="005448F6">
        <w:rPr>
          <w:rFonts w:ascii="Tahoma" w:hAnsi="Tahoma" w:cs="Tahoma"/>
        </w:rPr>
        <w:t xml:space="preserve"> must be match share only.</w:t>
      </w:r>
      <w:r w:rsidR="001930E6">
        <w:rPr>
          <w:rFonts w:ascii="Tahoma" w:hAnsi="Tahoma" w:cs="Tahoma"/>
        </w:rPr>
        <w:t xml:space="preserve"> The secondary infrastructure type proposed would not be required to install the minimum infrastructure requirements in the solicitation.</w:t>
      </w:r>
    </w:p>
    <w:p w14:paraId="2577D156" w14:textId="77777777" w:rsidR="00561C30" w:rsidRPr="005448F6" w:rsidRDefault="00561C30" w:rsidP="00561C30">
      <w:pPr>
        <w:ind w:left="720" w:hanging="720"/>
        <w:rPr>
          <w:rFonts w:ascii="Tahoma" w:hAnsi="Tahoma" w:cs="Tahoma"/>
        </w:rPr>
      </w:pPr>
    </w:p>
    <w:p w14:paraId="378FE1B1" w14:textId="0D0147A6" w:rsidR="00EB67AC" w:rsidRDefault="00986FF8" w:rsidP="00EB67AC">
      <w:pPr>
        <w:ind w:left="720" w:hanging="720"/>
        <w:rPr>
          <w:rFonts w:ascii="Tahoma" w:hAnsi="Tahoma" w:cs="Tahoma"/>
          <w:b/>
        </w:rPr>
      </w:pPr>
      <w:r w:rsidRPr="005448F6">
        <w:rPr>
          <w:rFonts w:ascii="Tahoma" w:hAnsi="Tahoma" w:cs="Tahoma"/>
          <w:b/>
        </w:rPr>
        <w:t>Q</w:t>
      </w:r>
      <w:r>
        <w:rPr>
          <w:rFonts w:ascii="Tahoma" w:hAnsi="Tahoma" w:cs="Tahoma"/>
          <w:b/>
        </w:rPr>
        <w:t>28</w:t>
      </w:r>
      <w:r w:rsidR="00EB67AC" w:rsidRPr="005448F6">
        <w:rPr>
          <w:rFonts w:ascii="Tahoma" w:hAnsi="Tahoma" w:cs="Tahoma"/>
          <w:b/>
        </w:rPr>
        <w:t>:</w:t>
      </w:r>
      <w:r w:rsidR="00EB67AC" w:rsidRPr="005448F6">
        <w:rPr>
          <w:rFonts w:ascii="Tahoma" w:hAnsi="Tahoma" w:cs="Tahoma"/>
          <w:b/>
        </w:rPr>
        <w:tab/>
      </w:r>
      <w:r w:rsidR="00EB67AC">
        <w:rPr>
          <w:rFonts w:ascii="Tahoma" w:hAnsi="Tahoma" w:cs="Tahoma"/>
          <w:b/>
        </w:rPr>
        <w:t>Would</w:t>
      </w:r>
      <w:r w:rsidR="00EB67AC" w:rsidRPr="005448F6">
        <w:rPr>
          <w:rFonts w:ascii="Tahoma" w:hAnsi="Tahoma" w:cs="Tahoma"/>
          <w:b/>
        </w:rPr>
        <w:t xml:space="preserve"> </w:t>
      </w:r>
      <w:r w:rsidR="00EB67AC">
        <w:rPr>
          <w:rFonts w:ascii="Tahoma" w:hAnsi="Tahoma" w:cs="Tahoma"/>
          <w:b/>
        </w:rPr>
        <w:t>installation of</w:t>
      </w:r>
      <w:r w:rsidR="00EB67AC" w:rsidRPr="005448F6">
        <w:rPr>
          <w:rFonts w:ascii="Tahoma" w:hAnsi="Tahoma" w:cs="Tahoma"/>
          <w:b/>
        </w:rPr>
        <w:t xml:space="preserve"> non-</w:t>
      </w:r>
      <w:r w:rsidR="00EB67AC">
        <w:rPr>
          <w:rFonts w:ascii="Tahoma" w:hAnsi="Tahoma" w:cs="Tahoma"/>
          <w:b/>
        </w:rPr>
        <w:t>combined charging system (</w:t>
      </w:r>
      <w:r w:rsidR="00EB67AC" w:rsidRPr="005448F6">
        <w:rPr>
          <w:rFonts w:ascii="Tahoma" w:hAnsi="Tahoma" w:cs="Tahoma"/>
          <w:b/>
        </w:rPr>
        <w:t>CCS</w:t>
      </w:r>
      <w:r w:rsidR="00EB67AC">
        <w:rPr>
          <w:rFonts w:ascii="Tahoma" w:hAnsi="Tahoma" w:cs="Tahoma"/>
          <w:b/>
        </w:rPr>
        <w:t>)</w:t>
      </w:r>
      <w:r w:rsidR="00EB67AC" w:rsidRPr="005448F6">
        <w:rPr>
          <w:rFonts w:ascii="Tahoma" w:hAnsi="Tahoma" w:cs="Tahoma"/>
          <w:b/>
        </w:rPr>
        <w:t xml:space="preserve"> connectors, such as wireless inductive charging be considered </w:t>
      </w:r>
      <w:r w:rsidR="00EB67AC">
        <w:rPr>
          <w:rFonts w:ascii="Tahoma" w:hAnsi="Tahoma" w:cs="Tahoma"/>
          <w:b/>
        </w:rPr>
        <w:t xml:space="preserve">an </w:t>
      </w:r>
      <w:r w:rsidR="00EB67AC" w:rsidRPr="005448F6">
        <w:rPr>
          <w:rFonts w:ascii="Tahoma" w:hAnsi="Tahoma" w:cs="Tahoma"/>
          <w:b/>
        </w:rPr>
        <w:t>eligible</w:t>
      </w:r>
      <w:r w:rsidR="00EB67AC">
        <w:rPr>
          <w:rFonts w:ascii="Tahoma" w:hAnsi="Tahoma" w:cs="Tahoma"/>
          <w:b/>
        </w:rPr>
        <w:t xml:space="preserve"> project</w:t>
      </w:r>
      <w:r w:rsidR="00EB67AC" w:rsidRPr="005448F6">
        <w:rPr>
          <w:rFonts w:ascii="Tahoma" w:hAnsi="Tahoma" w:cs="Tahoma"/>
          <w:b/>
        </w:rPr>
        <w:t>?</w:t>
      </w:r>
    </w:p>
    <w:p w14:paraId="25D2210A" w14:textId="77777777" w:rsidR="00EB67AC" w:rsidRPr="005448F6" w:rsidRDefault="00EB67AC" w:rsidP="00EB67AC">
      <w:pPr>
        <w:ind w:left="720" w:hanging="720"/>
        <w:rPr>
          <w:rFonts w:ascii="Tahoma" w:hAnsi="Tahoma" w:cs="Tahoma"/>
          <w:b/>
        </w:rPr>
      </w:pPr>
    </w:p>
    <w:p w14:paraId="094A3907" w14:textId="6B709A57" w:rsidR="00EB67AC" w:rsidRPr="005448F6" w:rsidRDefault="00986FF8" w:rsidP="00EB67AC">
      <w:pPr>
        <w:ind w:left="720" w:hanging="720"/>
        <w:rPr>
          <w:rFonts w:ascii="Tahoma" w:hAnsi="Tahoma" w:cs="Tahoma"/>
        </w:rPr>
      </w:pPr>
      <w:r w:rsidRPr="005448F6">
        <w:rPr>
          <w:rFonts w:ascii="Tahoma" w:hAnsi="Tahoma" w:cs="Tahoma"/>
        </w:rPr>
        <w:t>A</w:t>
      </w:r>
      <w:r>
        <w:rPr>
          <w:rFonts w:ascii="Tahoma" w:hAnsi="Tahoma" w:cs="Tahoma"/>
        </w:rPr>
        <w:t>28</w:t>
      </w:r>
      <w:r w:rsidR="00EB67AC" w:rsidRPr="005448F6">
        <w:rPr>
          <w:rFonts w:ascii="Tahoma" w:hAnsi="Tahoma" w:cs="Tahoma"/>
        </w:rPr>
        <w:t>:</w:t>
      </w:r>
      <w:r w:rsidR="00EB67AC" w:rsidRPr="005448F6">
        <w:rPr>
          <w:rFonts w:ascii="Tahoma" w:hAnsi="Tahoma" w:cs="Tahoma"/>
        </w:rPr>
        <w:tab/>
        <w:t xml:space="preserve">Yes, wireless inductive charging is </w:t>
      </w:r>
      <w:r w:rsidR="00EB67AC">
        <w:rPr>
          <w:rFonts w:ascii="Tahoma" w:hAnsi="Tahoma" w:cs="Tahoma"/>
        </w:rPr>
        <w:t>an</w:t>
      </w:r>
      <w:r w:rsidR="00EB67AC" w:rsidRPr="005448F6">
        <w:rPr>
          <w:rFonts w:ascii="Tahoma" w:hAnsi="Tahoma" w:cs="Tahoma"/>
        </w:rPr>
        <w:t xml:space="preserve"> eligible</w:t>
      </w:r>
      <w:r w:rsidR="00EB67AC">
        <w:rPr>
          <w:rFonts w:ascii="Tahoma" w:hAnsi="Tahoma" w:cs="Tahoma"/>
        </w:rPr>
        <w:t xml:space="preserve"> project.</w:t>
      </w:r>
    </w:p>
    <w:p w14:paraId="7F7A8473" w14:textId="77777777" w:rsidR="00EB67AC" w:rsidRPr="005448F6" w:rsidRDefault="00EB67AC" w:rsidP="00EB67AC">
      <w:pPr>
        <w:rPr>
          <w:rFonts w:ascii="Tahoma" w:hAnsi="Tahoma" w:cs="Tahoma"/>
        </w:rPr>
      </w:pPr>
    </w:p>
    <w:p w14:paraId="53F8001E" w14:textId="2765D85C" w:rsidR="00415979" w:rsidRPr="005448F6" w:rsidRDefault="00986FF8" w:rsidP="00415979">
      <w:pPr>
        <w:ind w:left="720" w:hanging="720"/>
        <w:rPr>
          <w:rFonts w:ascii="Tahoma" w:hAnsi="Tahoma" w:cs="Tahoma"/>
          <w:b/>
        </w:rPr>
      </w:pPr>
      <w:r w:rsidRPr="005448F6">
        <w:rPr>
          <w:rFonts w:ascii="Tahoma" w:hAnsi="Tahoma" w:cs="Tahoma"/>
          <w:b/>
        </w:rPr>
        <w:t>Q</w:t>
      </w:r>
      <w:r>
        <w:rPr>
          <w:rFonts w:ascii="Tahoma" w:hAnsi="Tahoma" w:cs="Tahoma"/>
          <w:b/>
        </w:rPr>
        <w:t>29</w:t>
      </w:r>
      <w:r w:rsidR="00415979" w:rsidRPr="005448F6">
        <w:rPr>
          <w:rFonts w:ascii="Tahoma" w:hAnsi="Tahoma" w:cs="Tahoma"/>
          <w:b/>
        </w:rPr>
        <w:t>:</w:t>
      </w:r>
      <w:r w:rsidR="00415979" w:rsidRPr="005448F6">
        <w:rPr>
          <w:rFonts w:ascii="Tahoma" w:hAnsi="Tahoma" w:cs="Tahoma"/>
          <w:b/>
        </w:rPr>
        <w:tab/>
        <w:t>Are there minimum specifications or preferred standards for charging systems (e.g., plug type, interoperability, software communication standards)?</w:t>
      </w:r>
    </w:p>
    <w:p w14:paraId="6C29548A" w14:textId="77777777" w:rsidR="00415979" w:rsidRPr="005448F6" w:rsidRDefault="00415979" w:rsidP="00415979">
      <w:pPr>
        <w:ind w:left="720" w:hanging="720"/>
        <w:rPr>
          <w:rFonts w:ascii="Tahoma" w:hAnsi="Tahoma" w:cs="Tahoma"/>
          <w:b/>
        </w:rPr>
      </w:pPr>
    </w:p>
    <w:p w14:paraId="074F75C5" w14:textId="20DFB835" w:rsidR="00561C30" w:rsidRDefault="00986FF8" w:rsidP="00BE3E62">
      <w:pPr>
        <w:spacing w:after="160" w:line="278" w:lineRule="auto"/>
        <w:ind w:left="720" w:hanging="720"/>
        <w:rPr>
          <w:rFonts w:ascii="Tahoma" w:hAnsi="Tahoma" w:cs="Tahoma"/>
        </w:rPr>
      </w:pPr>
      <w:r w:rsidRPr="005448F6">
        <w:rPr>
          <w:rFonts w:ascii="Tahoma" w:hAnsi="Tahoma" w:cs="Tahoma"/>
        </w:rPr>
        <w:t>A</w:t>
      </w:r>
      <w:r>
        <w:rPr>
          <w:rFonts w:ascii="Tahoma" w:hAnsi="Tahoma" w:cs="Tahoma"/>
        </w:rPr>
        <w:t>29</w:t>
      </w:r>
      <w:r w:rsidR="00415979" w:rsidRPr="005448F6">
        <w:rPr>
          <w:rFonts w:ascii="Tahoma" w:hAnsi="Tahoma" w:cs="Tahoma"/>
        </w:rPr>
        <w:t>:</w:t>
      </w:r>
      <w:r w:rsidR="00415979" w:rsidRPr="005448F6">
        <w:rPr>
          <w:rFonts w:ascii="Tahoma" w:hAnsi="Tahoma" w:cs="Tahoma"/>
        </w:rPr>
        <w:tab/>
        <w:t>Yes</w:t>
      </w:r>
      <w:r w:rsidR="00415979">
        <w:rPr>
          <w:rFonts w:ascii="Tahoma" w:hAnsi="Tahoma" w:cs="Tahoma"/>
        </w:rPr>
        <w:t xml:space="preserve">. Refer to </w:t>
      </w:r>
      <w:r w:rsidR="00415979" w:rsidRPr="005448F6">
        <w:rPr>
          <w:rFonts w:ascii="Tahoma" w:hAnsi="Tahoma" w:cs="Tahoma"/>
        </w:rPr>
        <w:t>Section II.B</w:t>
      </w:r>
      <w:r w:rsidR="00415979" w:rsidRPr="005B3F22">
        <w:rPr>
          <w:rFonts w:ascii="Tahoma" w:hAnsi="Tahoma" w:cs="Tahoma"/>
        </w:rPr>
        <w:t>.</w:t>
      </w:r>
      <w:r w:rsidR="00BE3E62" w:rsidRPr="005B3F22">
        <w:rPr>
          <w:rFonts w:ascii="Tahoma" w:hAnsi="Tahoma" w:cs="Tahoma"/>
        </w:rPr>
        <w:t>7</w:t>
      </w:r>
      <w:r w:rsidR="00CC5E39" w:rsidRPr="005B3F22">
        <w:rPr>
          <w:rFonts w:ascii="Tahoma" w:hAnsi="Tahoma" w:cs="Tahoma"/>
        </w:rPr>
        <w:t>.</w:t>
      </w:r>
      <w:r w:rsidR="00415979" w:rsidRPr="005448F6">
        <w:rPr>
          <w:rFonts w:ascii="Tahoma" w:hAnsi="Tahoma" w:cs="Tahoma"/>
        </w:rPr>
        <w:t xml:space="preserve"> for California EVSE Commercial Device </w:t>
      </w:r>
      <w:r w:rsidR="00415979">
        <w:rPr>
          <w:rFonts w:ascii="Tahoma" w:hAnsi="Tahoma" w:cs="Tahoma"/>
        </w:rPr>
        <w:t>r</w:t>
      </w:r>
      <w:r w:rsidR="00415979" w:rsidRPr="005448F6">
        <w:rPr>
          <w:rFonts w:ascii="Tahoma" w:hAnsi="Tahoma" w:cs="Tahoma"/>
        </w:rPr>
        <w:t>equirements</w:t>
      </w:r>
      <w:r w:rsidR="00A964BA">
        <w:rPr>
          <w:rFonts w:ascii="Tahoma" w:hAnsi="Tahoma" w:cs="Tahoma"/>
        </w:rPr>
        <w:t>.</w:t>
      </w:r>
    </w:p>
    <w:p w14:paraId="6EAC72B3" w14:textId="3DDFFE6C" w:rsidR="00A964BA" w:rsidRPr="005448F6" w:rsidRDefault="00986FF8" w:rsidP="00370AB5">
      <w:pPr>
        <w:ind w:left="720" w:hanging="720"/>
        <w:rPr>
          <w:rFonts w:ascii="Tahoma" w:hAnsi="Tahoma" w:cs="Tahoma"/>
          <w:b/>
        </w:rPr>
      </w:pPr>
      <w:r w:rsidRPr="005448F6">
        <w:rPr>
          <w:rFonts w:ascii="Tahoma" w:hAnsi="Tahoma" w:cs="Tahoma"/>
          <w:b/>
        </w:rPr>
        <w:t>Q</w:t>
      </w:r>
      <w:r>
        <w:rPr>
          <w:rFonts w:ascii="Tahoma" w:hAnsi="Tahoma" w:cs="Tahoma"/>
          <w:b/>
        </w:rPr>
        <w:t>30</w:t>
      </w:r>
      <w:r w:rsidR="00A964BA" w:rsidRPr="005448F6">
        <w:rPr>
          <w:rFonts w:ascii="Tahoma" w:hAnsi="Tahoma" w:cs="Tahoma"/>
          <w:b/>
        </w:rPr>
        <w:t>:</w:t>
      </w:r>
      <w:r w:rsidR="00A964BA" w:rsidRPr="005448F6">
        <w:rPr>
          <w:rFonts w:ascii="Tahoma" w:hAnsi="Tahoma" w:cs="Tahoma"/>
          <w:b/>
        </w:rPr>
        <w:tab/>
        <w:t xml:space="preserve">For hydrogen </w:t>
      </w:r>
      <w:r w:rsidR="00A964BA">
        <w:rPr>
          <w:rFonts w:ascii="Tahoma" w:hAnsi="Tahoma" w:cs="Tahoma"/>
          <w:b/>
        </w:rPr>
        <w:t xml:space="preserve">refueling </w:t>
      </w:r>
      <w:r w:rsidR="00A964BA" w:rsidRPr="005448F6">
        <w:rPr>
          <w:rFonts w:ascii="Tahoma" w:hAnsi="Tahoma" w:cs="Tahoma"/>
          <w:b/>
        </w:rPr>
        <w:t xml:space="preserve">infrastructure, is there a </w:t>
      </w:r>
      <w:r w:rsidR="00A964BA">
        <w:rPr>
          <w:rFonts w:ascii="Tahoma" w:hAnsi="Tahoma" w:cs="Tahoma"/>
          <w:b/>
        </w:rPr>
        <w:t>requirement</w:t>
      </w:r>
      <w:r w:rsidR="00A964BA" w:rsidRPr="005448F6">
        <w:rPr>
          <w:rFonts w:ascii="Tahoma" w:hAnsi="Tahoma" w:cs="Tahoma"/>
          <w:b/>
        </w:rPr>
        <w:t xml:space="preserve"> </w:t>
      </w:r>
      <w:r w:rsidR="00A964BA">
        <w:rPr>
          <w:rFonts w:ascii="Tahoma" w:hAnsi="Tahoma" w:cs="Tahoma"/>
          <w:b/>
        </w:rPr>
        <w:t>to support</w:t>
      </w:r>
      <w:r w:rsidR="00A964BA" w:rsidRPr="005448F6">
        <w:rPr>
          <w:rFonts w:ascii="Tahoma" w:hAnsi="Tahoma" w:cs="Tahoma"/>
          <w:b/>
        </w:rPr>
        <w:t xml:space="preserve"> hydrogen powered watercraft? </w:t>
      </w:r>
      <w:r w:rsidR="00A964BA">
        <w:rPr>
          <w:rFonts w:ascii="Tahoma" w:hAnsi="Tahoma" w:cs="Tahoma"/>
          <w:b/>
        </w:rPr>
        <w:t>Given the</w:t>
      </w:r>
      <w:r w:rsidR="00A964BA" w:rsidRPr="005448F6">
        <w:rPr>
          <w:rFonts w:ascii="Tahoma" w:hAnsi="Tahoma" w:cs="Tahoma"/>
          <w:b/>
        </w:rPr>
        <w:t xml:space="preserve"> port focused</w:t>
      </w:r>
      <w:r w:rsidR="00A964BA">
        <w:rPr>
          <w:rFonts w:ascii="Tahoma" w:hAnsi="Tahoma" w:cs="Tahoma"/>
          <w:b/>
        </w:rPr>
        <w:t xml:space="preserve"> nature of the solicitation, is the ability to refuel waterborne vessels expected or required?</w:t>
      </w:r>
    </w:p>
    <w:p w14:paraId="68B93D87" w14:textId="750B277B" w:rsidR="00A964BA" w:rsidRPr="005448F6" w:rsidRDefault="00986FF8" w:rsidP="00A964BA">
      <w:pPr>
        <w:ind w:left="720" w:hanging="720"/>
        <w:rPr>
          <w:rFonts w:ascii="Tahoma" w:hAnsi="Tahoma" w:cs="Tahoma"/>
        </w:rPr>
      </w:pPr>
      <w:r w:rsidRPr="005448F6">
        <w:rPr>
          <w:rFonts w:ascii="Tahoma" w:hAnsi="Tahoma" w:cs="Tahoma"/>
        </w:rPr>
        <w:lastRenderedPageBreak/>
        <w:t>A</w:t>
      </w:r>
      <w:r>
        <w:rPr>
          <w:rFonts w:ascii="Tahoma" w:hAnsi="Tahoma" w:cs="Tahoma"/>
        </w:rPr>
        <w:t>30</w:t>
      </w:r>
      <w:r w:rsidR="00A964BA" w:rsidRPr="005448F6">
        <w:rPr>
          <w:rFonts w:ascii="Tahoma" w:hAnsi="Tahoma" w:cs="Tahoma"/>
        </w:rPr>
        <w:t>:</w:t>
      </w:r>
      <w:r w:rsidR="00A964BA" w:rsidRPr="005448F6">
        <w:rPr>
          <w:rFonts w:ascii="Tahoma" w:hAnsi="Tahoma" w:cs="Tahoma"/>
        </w:rPr>
        <w:tab/>
        <w:t>Charging</w:t>
      </w:r>
      <w:r w:rsidR="00A964BA">
        <w:rPr>
          <w:rFonts w:ascii="Tahoma" w:hAnsi="Tahoma" w:cs="Tahoma"/>
        </w:rPr>
        <w:t xml:space="preserve"> or </w:t>
      </w:r>
      <w:r w:rsidR="00A964BA" w:rsidRPr="005448F6">
        <w:rPr>
          <w:rFonts w:ascii="Tahoma" w:hAnsi="Tahoma" w:cs="Tahoma"/>
        </w:rPr>
        <w:t xml:space="preserve">refueling of watercraft is not a requirement of this solicitation. However, </w:t>
      </w:r>
      <w:r w:rsidR="00A964BA">
        <w:rPr>
          <w:rFonts w:ascii="Tahoma" w:hAnsi="Tahoma" w:cs="Tahoma"/>
        </w:rPr>
        <w:t xml:space="preserve">Applicants may include </w:t>
      </w:r>
      <w:r w:rsidR="00A964BA" w:rsidRPr="005448F6">
        <w:rPr>
          <w:rFonts w:ascii="Tahoma" w:hAnsi="Tahoma" w:cs="Tahoma"/>
        </w:rPr>
        <w:t xml:space="preserve">infrastructure </w:t>
      </w:r>
      <w:r w:rsidR="00A964BA">
        <w:rPr>
          <w:rFonts w:ascii="Tahoma" w:hAnsi="Tahoma" w:cs="Tahoma"/>
        </w:rPr>
        <w:t>to support</w:t>
      </w:r>
      <w:r w:rsidR="00A964BA" w:rsidRPr="005448F6">
        <w:rPr>
          <w:rFonts w:ascii="Tahoma" w:hAnsi="Tahoma" w:cs="Tahoma"/>
        </w:rPr>
        <w:t xml:space="preserve"> watercraft</w:t>
      </w:r>
      <w:r w:rsidR="00A964BA">
        <w:rPr>
          <w:rFonts w:ascii="Tahoma" w:hAnsi="Tahoma" w:cs="Tahoma"/>
        </w:rPr>
        <w:t xml:space="preserve">, provided </w:t>
      </w:r>
      <w:r w:rsidR="00A964BA" w:rsidRPr="005448F6">
        <w:rPr>
          <w:rFonts w:ascii="Tahoma" w:hAnsi="Tahoma" w:cs="Tahoma"/>
        </w:rPr>
        <w:t xml:space="preserve">all solicitation requirements are met. </w:t>
      </w:r>
    </w:p>
    <w:p w14:paraId="6614EFD5" w14:textId="77777777" w:rsidR="00A964BA" w:rsidRDefault="00A964BA" w:rsidP="00C87861">
      <w:pPr>
        <w:spacing w:line="278" w:lineRule="auto"/>
        <w:ind w:left="720" w:hanging="720"/>
        <w:rPr>
          <w:rFonts w:ascii="Tahoma" w:hAnsi="Tahoma" w:cs="Tahoma"/>
        </w:rPr>
      </w:pPr>
    </w:p>
    <w:p w14:paraId="3120B719" w14:textId="77777777" w:rsidR="00214078" w:rsidRPr="003D5889" w:rsidRDefault="00214078" w:rsidP="00214078">
      <w:pPr>
        <w:ind w:left="720" w:hanging="720"/>
        <w:rPr>
          <w:rFonts w:ascii="Tahoma" w:hAnsi="Tahoma" w:cs="Tahoma"/>
          <w:b/>
          <w:i/>
          <w:u w:val="single"/>
        </w:rPr>
      </w:pPr>
      <w:r w:rsidRPr="003D5889">
        <w:rPr>
          <w:rFonts w:ascii="Tahoma" w:hAnsi="Tahoma" w:cs="Tahoma"/>
          <w:b/>
          <w:i/>
          <w:u w:val="single"/>
        </w:rPr>
        <w:t xml:space="preserve">Eligible Reimbursable and Match Share Costs </w:t>
      </w:r>
    </w:p>
    <w:p w14:paraId="4F1D0E4D" w14:textId="77777777" w:rsidR="00214078" w:rsidRPr="005448F6" w:rsidRDefault="00214078" w:rsidP="00214078">
      <w:pPr>
        <w:ind w:left="720" w:hanging="720"/>
        <w:rPr>
          <w:rFonts w:ascii="Tahoma" w:hAnsi="Tahoma" w:cs="Tahoma"/>
          <w:b/>
        </w:rPr>
      </w:pPr>
    </w:p>
    <w:p w14:paraId="28BA801B" w14:textId="18E7FE18" w:rsidR="00214078" w:rsidRPr="005448F6" w:rsidRDefault="00986FF8" w:rsidP="00214078">
      <w:pPr>
        <w:ind w:left="720" w:hanging="720"/>
        <w:rPr>
          <w:rFonts w:ascii="Tahoma" w:hAnsi="Tahoma" w:cs="Tahoma"/>
          <w:b/>
        </w:rPr>
      </w:pPr>
      <w:r w:rsidRPr="005448F6">
        <w:rPr>
          <w:rFonts w:ascii="Tahoma" w:hAnsi="Tahoma" w:cs="Tahoma"/>
          <w:b/>
        </w:rPr>
        <w:t>Q</w:t>
      </w:r>
      <w:r>
        <w:rPr>
          <w:rFonts w:ascii="Tahoma" w:hAnsi="Tahoma" w:cs="Tahoma"/>
          <w:b/>
        </w:rPr>
        <w:t>31</w:t>
      </w:r>
      <w:r w:rsidR="00214078" w:rsidRPr="005448F6">
        <w:rPr>
          <w:rFonts w:ascii="Tahoma" w:hAnsi="Tahoma" w:cs="Tahoma"/>
          <w:b/>
        </w:rPr>
        <w:t xml:space="preserve">: </w:t>
      </w:r>
      <w:r w:rsidR="00214078" w:rsidRPr="005448F6">
        <w:rPr>
          <w:rFonts w:ascii="Tahoma" w:hAnsi="Tahoma" w:cs="Tahoma"/>
          <w:b/>
        </w:rPr>
        <w:tab/>
        <w:t xml:space="preserve">Can "Eligible Project Costs" such as grid infrastructure (e.g., </w:t>
      </w:r>
      <w:r w:rsidR="00214078">
        <w:rPr>
          <w:rFonts w:ascii="Tahoma" w:hAnsi="Tahoma" w:cs="Tahoma"/>
          <w:b/>
        </w:rPr>
        <w:t>t</w:t>
      </w:r>
      <w:r w:rsidR="00214078" w:rsidRPr="005448F6">
        <w:rPr>
          <w:rFonts w:ascii="Tahoma" w:hAnsi="Tahoma" w:cs="Tahoma"/>
          <w:b/>
        </w:rPr>
        <w:t xml:space="preserve">ransformers, </w:t>
      </w:r>
      <w:r w:rsidR="00214078">
        <w:rPr>
          <w:rFonts w:ascii="Tahoma" w:hAnsi="Tahoma" w:cs="Tahoma"/>
          <w:b/>
        </w:rPr>
        <w:t>e</w:t>
      </w:r>
      <w:r w:rsidR="00214078" w:rsidRPr="005448F6">
        <w:rPr>
          <w:rFonts w:ascii="Tahoma" w:hAnsi="Tahoma" w:cs="Tahoma"/>
          <w:b/>
        </w:rPr>
        <w:t xml:space="preserve">lectrical </w:t>
      </w:r>
      <w:r w:rsidR="00214078">
        <w:rPr>
          <w:rFonts w:ascii="Tahoma" w:hAnsi="Tahoma" w:cs="Tahoma"/>
          <w:b/>
        </w:rPr>
        <w:t>p</w:t>
      </w:r>
      <w:r w:rsidR="00214078" w:rsidRPr="005448F6">
        <w:rPr>
          <w:rFonts w:ascii="Tahoma" w:hAnsi="Tahoma" w:cs="Tahoma"/>
          <w:b/>
        </w:rPr>
        <w:t xml:space="preserve">anels, </w:t>
      </w:r>
      <w:r w:rsidR="00214078">
        <w:rPr>
          <w:rFonts w:ascii="Tahoma" w:hAnsi="Tahoma" w:cs="Tahoma"/>
          <w:b/>
        </w:rPr>
        <w:t>c</w:t>
      </w:r>
      <w:r w:rsidR="00214078" w:rsidRPr="005448F6">
        <w:rPr>
          <w:rFonts w:ascii="Tahoma" w:hAnsi="Tahoma" w:cs="Tahoma"/>
          <w:b/>
        </w:rPr>
        <w:t xml:space="preserve">onduit, </w:t>
      </w:r>
      <w:r w:rsidR="00214078">
        <w:rPr>
          <w:rFonts w:ascii="Tahoma" w:hAnsi="Tahoma" w:cs="Tahoma"/>
          <w:b/>
        </w:rPr>
        <w:t>w</w:t>
      </w:r>
      <w:r w:rsidR="00214078" w:rsidRPr="005448F6">
        <w:rPr>
          <w:rFonts w:ascii="Tahoma" w:hAnsi="Tahoma" w:cs="Tahoma"/>
          <w:b/>
        </w:rPr>
        <w:t xml:space="preserve">iring, </w:t>
      </w:r>
      <w:r w:rsidR="00214078">
        <w:rPr>
          <w:rFonts w:ascii="Tahoma" w:hAnsi="Tahoma" w:cs="Tahoma"/>
          <w:b/>
        </w:rPr>
        <w:t>m</w:t>
      </w:r>
      <w:r w:rsidR="00214078" w:rsidRPr="005448F6">
        <w:rPr>
          <w:rFonts w:ascii="Tahoma" w:hAnsi="Tahoma" w:cs="Tahoma"/>
          <w:b/>
        </w:rPr>
        <w:t xml:space="preserve">eters, </w:t>
      </w:r>
      <w:r w:rsidR="00214078">
        <w:rPr>
          <w:rFonts w:ascii="Tahoma" w:hAnsi="Tahoma" w:cs="Tahoma"/>
          <w:b/>
        </w:rPr>
        <w:t>i</w:t>
      </w:r>
      <w:r w:rsidR="00214078" w:rsidRPr="005448F6">
        <w:rPr>
          <w:rFonts w:ascii="Tahoma" w:hAnsi="Tahoma" w:cs="Tahoma"/>
          <w:b/>
        </w:rPr>
        <w:t xml:space="preserve">nstallation </w:t>
      </w:r>
      <w:r w:rsidR="00214078">
        <w:rPr>
          <w:rFonts w:ascii="Tahoma" w:hAnsi="Tahoma" w:cs="Tahoma"/>
          <w:b/>
        </w:rPr>
        <w:t>c</w:t>
      </w:r>
      <w:r w:rsidR="00214078" w:rsidRPr="005448F6">
        <w:rPr>
          <w:rFonts w:ascii="Tahoma" w:hAnsi="Tahoma" w:cs="Tahoma"/>
          <w:b/>
        </w:rPr>
        <w:t xml:space="preserve">osts, </w:t>
      </w:r>
      <w:r w:rsidR="00214078">
        <w:rPr>
          <w:rFonts w:ascii="Tahoma" w:hAnsi="Tahoma" w:cs="Tahoma"/>
          <w:b/>
        </w:rPr>
        <w:t>s</w:t>
      </w:r>
      <w:r w:rsidR="00214078" w:rsidRPr="005448F6">
        <w:rPr>
          <w:rFonts w:ascii="Tahoma" w:hAnsi="Tahoma" w:cs="Tahoma"/>
          <w:b/>
        </w:rPr>
        <w:t>tub-</w:t>
      </w:r>
      <w:r w:rsidR="00214078">
        <w:rPr>
          <w:rFonts w:ascii="Tahoma" w:hAnsi="Tahoma" w:cs="Tahoma"/>
          <w:b/>
        </w:rPr>
        <w:t>o</w:t>
      </w:r>
      <w:r w:rsidR="00214078" w:rsidRPr="005448F6">
        <w:rPr>
          <w:rFonts w:ascii="Tahoma" w:hAnsi="Tahoma" w:cs="Tahoma"/>
          <w:b/>
        </w:rPr>
        <w:t xml:space="preserve">uts, </w:t>
      </w:r>
      <w:r w:rsidR="00214078">
        <w:rPr>
          <w:rFonts w:ascii="Tahoma" w:hAnsi="Tahoma" w:cs="Tahoma"/>
          <w:b/>
        </w:rPr>
        <w:t>d</w:t>
      </w:r>
      <w:r w:rsidR="00214078" w:rsidRPr="005448F6">
        <w:rPr>
          <w:rFonts w:ascii="Tahoma" w:hAnsi="Tahoma" w:cs="Tahoma"/>
          <w:b/>
        </w:rPr>
        <w:t xml:space="preserve">emand </w:t>
      </w:r>
      <w:r w:rsidR="00214078">
        <w:rPr>
          <w:rFonts w:ascii="Tahoma" w:hAnsi="Tahoma" w:cs="Tahoma"/>
          <w:b/>
        </w:rPr>
        <w:t>m</w:t>
      </w:r>
      <w:r w:rsidR="00214078" w:rsidRPr="005448F6">
        <w:rPr>
          <w:rFonts w:ascii="Tahoma" w:hAnsi="Tahoma" w:cs="Tahoma"/>
          <w:b/>
        </w:rPr>
        <w:t xml:space="preserve">anagement </w:t>
      </w:r>
      <w:r w:rsidR="00214078">
        <w:rPr>
          <w:rFonts w:ascii="Tahoma" w:hAnsi="Tahoma" w:cs="Tahoma"/>
          <w:b/>
        </w:rPr>
        <w:t>e</w:t>
      </w:r>
      <w:r w:rsidR="00214078" w:rsidRPr="005448F6">
        <w:rPr>
          <w:rFonts w:ascii="Tahoma" w:hAnsi="Tahoma" w:cs="Tahoma"/>
          <w:b/>
        </w:rPr>
        <w:t xml:space="preserve">quipment, </w:t>
      </w:r>
      <w:r w:rsidR="00214078">
        <w:rPr>
          <w:rFonts w:ascii="Tahoma" w:hAnsi="Tahoma" w:cs="Tahoma"/>
          <w:b/>
        </w:rPr>
        <w:t>p</w:t>
      </w:r>
      <w:r w:rsidR="00214078" w:rsidRPr="005448F6">
        <w:rPr>
          <w:rFonts w:ascii="Tahoma" w:hAnsi="Tahoma" w:cs="Tahoma"/>
          <w:b/>
        </w:rPr>
        <w:t xml:space="preserve">lanning and </w:t>
      </w:r>
      <w:r w:rsidR="00214078">
        <w:rPr>
          <w:rFonts w:ascii="Tahoma" w:hAnsi="Tahoma" w:cs="Tahoma"/>
          <w:b/>
        </w:rPr>
        <w:t>e</w:t>
      </w:r>
      <w:r w:rsidR="00214078" w:rsidRPr="005448F6">
        <w:rPr>
          <w:rFonts w:ascii="Tahoma" w:hAnsi="Tahoma" w:cs="Tahoma"/>
          <w:b/>
        </w:rPr>
        <w:t xml:space="preserve">ngineering </w:t>
      </w:r>
      <w:r w:rsidR="00214078">
        <w:rPr>
          <w:rFonts w:ascii="Tahoma" w:hAnsi="Tahoma" w:cs="Tahoma"/>
          <w:b/>
        </w:rPr>
        <w:t>d</w:t>
      </w:r>
      <w:r w:rsidR="00214078" w:rsidRPr="005448F6">
        <w:rPr>
          <w:rFonts w:ascii="Tahoma" w:hAnsi="Tahoma" w:cs="Tahoma"/>
          <w:b/>
        </w:rPr>
        <w:t xml:space="preserve">esign, </w:t>
      </w:r>
      <w:r w:rsidR="00214078">
        <w:rPr>
          <w:rFonts w:ascii="Tahoma" w:hAnsi="Tahoma" w:cs="Tahoma"/>
          <w:b/>
        </w:rPr>
        <w:t>c</w:t>
      </w:r>
      <w:r w:rsidR="00214078" w:rsidRPr="005448F6">
        <w:rPr>
          <w:rFonts w:ascii="Tahoma" w:hAnsi="Tahoma" w:cs="Tahoma"/>
          <w:b/>
        </w:rPr>
        <w:t xml:space="preserve">ommissioning, </w:t>
      </w:r>
      <w:r w:rsidR="00214078">
        <w:rPr>
          <w:rFonts w:ascii="Tahoma" w:hAnsi="Tahoma" w:cs="Tahoma"/>
          <w:b/>
        </w:rPr>
        <w:t>u</w:t>
      </w:r>
      <w:r w:rsidR="00214078" w:rsidRPr="005448F6">
        <w:rPr>
          <w:rFonts w:ascii="Tahoma" w:hAnsi="Tahoma" w:cs="Tahoma"/>
          <w:b/>
        </w:rPr>
        <w:t xml:space="preserve">tility </w:t>
      </w:r>
      <w:r w:rsidR="00214078">
        <w:rPr>
          <w:rFonts w:ascii="Tahoma" w:hAnsi="Tahoma" w:cs="Tahoma"/>
          <w:b/>
        </w:rPr>
        <w:t>s</w:t>
      </w:r>
      <w:r w:rsidR="00214078" w:rsidRPr="005448F6">
        <w:rPr>
          <w:rFonts w:ascii="Tahoma" w:hAnsi="Tahoma" w:cs="Tahoma"/>
          <w:b/>
        </w:rPr>
        <w:t xml:space="preserve">ervice </w:t>
      </w:r>
      <w:r w:rsidR="00214078">
        <w:rPr>
          <w:rFonts w:ascii="Tahoma" w:hAnsi="Tahoma" w:cs="Tahoma"/>
          <w:b/>
        </w:rPr>
        <w:t>u</w:t>
      </w:r>
      <w:r w:rsidR="00214078" w:rsidRPr="005448F6">
        <w:rPr>
          <w:rFonts w:ascii="Tahoma" w:hAnsi="Tahoma" w:cs="Tahoma"/>
          <w:b/>
        </w:rPr>
        <w:t xml:space="preserve">pgrades) standalone in support of EV </w:t>
      </w:r>
      <w:r w:rsidR="00214078">
        <w:rPr>
          <w:rFonts w:ascii="Tahoma" w:hAnsi="Tahoma" w:cs="Tahoma"/>
          <w:b/>
        </w:rPr>
        <w:t>c</w:t>
      </w:r>
      <w:r w:rsidR="00214078" w:rsidRPr="005448F6">
        <w:rPr>
          <w:rFonts w:ascii="Tahoma" w:hAnsi="Tahoma" w:cs="Tahoma"/>
          <w:b/>
        </w:rPr>
        <w:t>hargers or EVSE</w:t>
      </w:r>
      <w:r w:rsidR="00214078">
        <w:rPr>
          <w:rFonts w:ascii="Tahoma" w:hAnsi="Tahoma" w:cs="Tahoma"/>
          <w:b/>
        </w:rPr>
        <w:t xml:space="preserve"> </w:t>
      </w:r>
      <w:r w:rsidR="00214078" w:rsidRPr="005448F6">
        <w:rPr>
          <w:rFonts w:ascii="Tahoma" w:hAnsi="Tahoma" w:cs="Tahoma"/>
          <w:b/>
        </w:rPr>
        <w:t xml:space="preserve">for existing planned </w:t>
      </w:r>
      <w:r w:rsidR="00214078">
        <w:rPr>
          <w:rFonts w:ascii="Tahoma" w:hAnsi="Tahoma" w:cs="Tahoma"/>
          <w:b/>
        </w:rPr>
        <w:t>c</w:t>
      </w:r>
      <w:r w:rsidR="00214078" w:rsidRPr="005448F6">
        <w:rPr>
          <w:rFonts w:ascii="Tahoma" w:hAnsi="Tahoma" w:cs="Tahoma"/>
          <w:b/>
        </w:rPr>
        <w:t>harger projects?</w:t>
      </w:r>
    </w:p>
    <w:p w14:paraId="15D16760" w14:textId="77777777" w:rsidR="00214078" w:rsidRPr="005448F6" w:rsidRDefault="00214078" w:rsidP="00214078">
      <w:pPr>
        <w:ind w:left="720" w:hanging="720"/>
        <w:rPr>
          <w:rFonts w:ascii="Tahoma" w:hAnsi="Tahoma" w:cs="Tahoma"/>
          <w:b/>
        </w:rPr>
      </w:pPr>
    </w:p>
    <w:p w14:paraId="1D778001" w14:textId="0EF5F690" w:rsidR="00214078" w:rsidRPr="005448F6" w:rsidRDefault="00986FF8" w:rsidP="00214078">
      <w:pPr>
        <w:ind w:left="720" w:hanging="720"/>
        <w:rPr>
          <w:rFonts w:ascii="Tahoma" w:hAnsi="Tahoma" w:cs="Tahoma"/>
        </w:rPr>
      </w:pPr>
      <w:r w:rsidRPr="005448F6">
        <w:rPr>
          <w:rFonts w:ascii="Tahoma" w:hAnsi="Tahoma" w:cs="Tahoma"/>
        </w:rPr>
        <w:t>A</w:t>
      </w:r>
      <w:r>
        <w:rPr>
          <w:rFonts w:ascii="Tahoma" w:hAnsi="Tahoma" w:cs="Tahoma"/>
        </w:rPr>
        <w:t>31</w:t>
      </w:r>
      <w:r w:rsidR="00214078" w:rsidRPr="005448F6">
        <w:rPr>
          <w:rFonts w:ascii="Tahoma" w:hAnsi="Tahoma" w:cs="Tahoma"/>
        </w:rPr>
        <w:t>:</w:t>
      </w:r>
      <w:r w:rsidR="00214078" w:rsidRPr="005448F6">
        <w:rPr>
          <w:rFonts w:ascii="Tahoma" w:hAnsi="Tahoma" w:cs="Tahoma"/>
        </w:rPr>
        <w:tab/>
        <w:t xml:space="preserve">No. </w:t>
      </w:r>
      <w:r w:rsidR="00214078">
        <w:rPr>
          <w:rFonts w:ascii="Tahoma" w:hAnsi="Tahoma" w:cs="Tahoma"/>
        </w:rPr>
        <w:t>To be eligible for funding, applications must include c</w:t>
      </w:r>
      <w:r w:rsidR="00214078" w:rsidRPr="005448F6">
        <w:rPr>
          <w:rFonts w:ascii="Tahoma" w:hAnsi="Tahoma" w:cs="Tahoma"/>
        </w:rPr>
        <w:t xml:space="preserve">harger deployment </w:t>
      </w:r>
      <w:r w:rsidR="00214078">
        <w:rPr>
          <w:rFonts w:ascii="Tahoma" w:hAnsi="Tahoma" w:cs="Tahoma"/>
        </w:rPr>
        <w:t xml:space="preserve">that meets the </w:t>
      </w:r>
      <w:r w:rsidR="00214078" w:rsidRPr="005448F6">
        <w:rPr>
          <w:rFonts w:ascii="Tahoma" w:hAnsi="Tahoma" w:cs="Tahoma"/>
        </w:rPr>
        <w:t>minimum</w:t>
      </w:r>
      <w:r w:rsidR="00214078">
        <w:rPr>
          <w:rFonts w:ascii="Tahoma" w:hAnsi="Tahoma" w:cs="Tahoma"/>
        </w:rPr>
        <w:t xml:space="preserve"> requirements outlined in Section I.G. While some grid infrastructure costs are eligible costs, they cannot be funded as standalone projects. Refer to Section II.E., Eligible Project Costs.</w:t>
      </w:r>
    </w:p>
    <w:p w14:paraId="5D7304D9" w14:textId="77777777" w:rsidR="0070206D" w:rsidRDefault="0070206D" w:rsidP="0070206D">
      <w:pPr>
        <w:ind w:left="720" w:hanging="720"/>
        <w:rPr>
          <w:rFonts w:ascii="Tahoma" w:hAnsi="Tahoma" w:cs="Tahoma"/>
          <w:b/>
        </w:rPr>
      </w:pPr>
    </w:p>
    <w:p w14:paraId="69516A78" w14:textId="7143C832" w:rsidR="0070206D" w:rsidRPr="005448F6" w:rsidRDefault="00986FF8" w:rsidP="0070206D">
      <w:pPr>
        <w:ind w:left="720" w:hanging="720"/>
        <w:rPr>
          <w:rFonts w:ascii="Tahoma" w:hAnsi="Tahoma" w:cs="Tahoma"/>
          <w:b/>
        </w:rPr>
      </w:pPr>
      <w:r w:rsidRPr="005448F6">
        <w:rPr>
          <w:rFonts w:ascii="Tahoma" w:hAnsi="Tahoma" w:cs="Tahoma"/>
          <w:b/>
        </w:rPr>
        <w:t>Q</w:t>
      </w:r>
      <w:r>
        <w:rPr>
          <w:rFonts w:ascii="Tahoma" w:hAnsi="Tahoma" w:cs="Tahoma"/>
          <w:b/>
        </w:rPr>
        <w:t>32</w:t>
      </w:r>
      <w:r w:rsidR="0070206D" w:rsidRPr="005448F6">
        <w:rPr>
          <w:rFonts w:ascii="Tahoma" w:hAnsi="Tahoma" w:cs="Tahoma"/>
          <w:b/>
        </w:rPr>
        <w:t>:</w:t>
      </w:r>
      <w:r w:rsidR="0070206D" w:rsidRPr="005448F6">
        <w:rPr>
          <w:rFonts w:ascii="Tahoma" w:hAnsi="Tahoma" w:cs="Tahoma"/>
          <w:b/>
        </w:rPr>
        <w:tab/>
        <w:t>Can IOUs provide cost share?</w:t>
      </w:r>
    </w:p>
    <w:p w14:paraId="736E6897" w14:textId="77777777" w:rsidR="0070206D" w:rsidRPr="005448F6" w:rsidRDefault="0070206D" w:rsidP="0070206D">
      <w:pPr>
        <w:rPr>
          <w:rFonts w:ascii="Tahoma" w:hAnsi="Tahoma" w:cs="Tahoma"/>
        </w:rPr>
      </w:pPr>
    </w:p>
    <w:p w14:paraId="6DAF5161" w14:textId="4640574E" w:rsidR="0070206D" w:rsidRPr="005448F6" w:rsidRDefault="00986FF8" w:rsidP="0070206D">
      <w:pPr>
        <w:ind w:left="720" w:hanging="720"/>
        <w:rPr>
          <w:rFonts w:ascii="Tahoma" w:hAnsi="Tahoma" w:cs="Tahoma"/>
        </w:rPr>
      </w:pPr>
      <w:r w:rsidRPr="005448F6">
        <w:rPr>
          <w:rFonts w:ascii="Tahoma" w:hAnsi="Tahoma" w:cs="Tahoma"/>
        </w:rPr>
        <w:t>A</w:t>
      </w:r>
      <w:r>
        <w:rPr>
          <w:rFonts w:ascii="Tahoma" w:hAnsi="Tahoma" w:cs="Tahoma"/>
        </w:rPr>
        <w:t>32</w:t>
      </w:r>
      <w:r w:rsidR="0070206D" w:rsidRPr="005448F6">
        <w:rPr>
          <w:rFonts w:ascii="Tahoma" w:hAnsi="Tahoma" w:cs="Tahoma"/>
        </w:rPr>
        <w:t>:</w:t>
      </w:r>
      <w:r w:rsidR="0070206D" w:rsidRPr="005448F6">
        <w:rPr>
          <w:rFonts w:ascii="Tahoma" w:hAnsi="Tahoma" w:cs="Tahoma"/>
        </w:rPr>
        <w:tab/>
        <w:t>Yes</w:t>
      </w:r>
      <w:r w:rsidR="0070206D">
        <w:rPr>
          <w:rFonts w:ascii="Tahoma" w:hAnsi="Tahoma" w:cs="Tahoma"/>
        </w:rPr>
        <w:t>.</w:t>
      </w:r>
    </w:p>
    <w:p w14:paraId="60991DF0" w14:textId="77777777" w:rsidR="00185E50" w:rsidRDefault="00185E50" w:rsidP="00185E50">
      <w:pPr>
        <w:ind w:left="720" w:hanging="720"/>
        <w:rPr>
          <w:rFonts w:ascii="Tahoma" w:hAnsi="Tahoma" w:cs="Tahoma"/>
          <w:b/>
        </w:rPr>
      </w:pPr>
    </w:p>
    <w:p w14:paraId="7EA45096" w14:textId="5328F28C" w:rsidR="00185E50" w:rsidRPr="005448F6" w:rsidRDefault="00986FF8" w:rsidP="00185E50">
      <w:pPr>
        <w:ind w:left="720" w:hanging="720"/>
        <w:rPr>
          <w:rFonts w:ascii="Tahoma" w:hAnsi="Tahoma" w:cs="Tahoma"/>
          <w:b/>
        </w:rPr>
      </w:pPr>
      <w:r w:rsidRPr="005448F6">
        <w:rPr>
          <w:rFonts w:ascii="Tahoma" w:hAnsi="Tahoma" w:cs="Tahoma"/>
          <w:b/>
        </w:rPr>
        <w:t>Q</w:t>
      </w:r>
      <w:r>
        <w:rPr>
          <w:rFonts w:ascii="Tahoma" w:hAnsi="Tahoma" w:cs="Tahoma"/>
          <w:b/>
        </w:rPr>
        <w:t>33</w:t>
      </w:r>
      <w:r w:rsidR="00185E50" w:rsidRPr="005448F6">
        <w:rPr>
          <w:rFonts w:ascii="Tahoma" w:hAnsi="Tahoma" w:cs="Tahoma"/>
          <w:b/>
        </w:rPr>
        <w:t>:</w:t>
      </w:r>
      <w:r w:rsidR="00185E50" w:rsidRPr="005448F6">
        <w:rPr>
          <w:rFonts w:ascii="Tahoma" w:hAnsi="Tahoma" w:cs="Tahoma"/>
          <w:b/>
        </w:rPr>
        <w:tab/>
        <w:t xml:space="preserve">Is a security fence allowable </w:t>
      </w:r>
      <w:r w:rsidR="00185E50">
        <w:rPr>
          <w:rFonts w:ascii="Tahoma" w:hAnsi="Tahoma" w:cs="Tahoma"/>
          <w:b/>
        </w:rPr>
        <w:t>to protect</w:t>
      </w:r>
      <w:r w:rsidR="00185E50" w:rsidRPr="005448F6">
        <w:rPr>
          <w:rFonts w:ascii="Tahoma" w:hAnsi="Tahoma" w:cs="Tahoma"/>
          <w:b/>
        </w:rPr>
        <w:t xml:space="preserve"> vehicles and drivers if </w:t>
      </w:r>
      <w:r w:rsidR="00185E50">
        <w:rPr>
          <w:rFonts w:ascii="Tahoma" w:hAnsi="Tahoma" w:cs="Tahoma"/>
          <w:b/>
        </w:rPr>
        <w:t>it can</w:t>
      </w:r>
      <w:r w:rsidR="00185E50" w:rsidRPr="005448F6">
        <w:rPr>
          <w:rFonts w:ascii="Tahoma" w:hAnsi="Tahoma" w:cs="Tahoma"/>
          <w:b/>
        </w:rPr>
        <w:t xml:space="preserve"> </w:t>
      </w:r>
      <w:r w:rsidR="00185E50">
        <w:rPr>
          <w:rFonts w:ascii="Tahoma" w:hAnsi="Tahoma" w:cs="Tahoma"/>
          <w:b/>
        </w:rPr>
        <w:t xml:space="preserve">be </w:t>
      </w:r>
      <w:r w:rsidR="00185E50" w:rsidRPr="005448F6">
        <w:rPr>
          <w:rFonts w:ascii="Tahoma" w:hAnsi="Tahoma" w:cs="Tahoma"/>
          <w:b/>
        </w:rPr>
        <w:t xml:space="preserve">opened by the general public </w:t>
      </w:r>
      <w:r w:rsidR="00185E50">
        <w:rPr>
          <w:rFonts w:ascii="Tahoma" w:hAnsi="Tahoma" w:cs="Tahoma"/>
          <w:b/>
        </w:rPr>
        <w:t>through</w:t>
      </w:r>
      <w:r w:rsidR="00185E50" w:rsidRPr="005448F6">
        <w:rPr>
          <w:rFonts w:ascii="Tahoma" w:hAnsi="Tahoma" w:cs="Tahoma"/>
          <w:b/>
        </w:rPr>
        <w:t xml:space="preserve"> an on-site manager?</w:t>
      </w:r>
    </w:p>
    <w:p w14:paraId="00B4859B" w14:textId="77777777" w:rsidR="00185E50" w:rsidRPr="005448F6" w:rsidRDefault="00185E50" w:rsidP="00185E50">
      <w:pPr>
        <w:ind w:left="720" w:hanging="720"/>
        <w:rPr>
          <w:rFonts w:ascii="Tahoma" w:hAnsi="Tahoma" w:cs="Tahoma"/>
          <w:b/>
        </w:rPr>
      </w:pPr>
    </w:p>
    <w:p w14:paraId="28762935" w14:textId="285F598F" w:rsidR="00185E50" w:rsidRPr="005448F6" w:rsidRDefault="00986FF8" w:rsidP="00185E50">
      <w:pPr>
        <w:ind w:left="720" w:hanging="720"/>
        <w:rPr>
          <w:rFonts w:ascii="Tahoma" w:hAnsi="Tahoma" w:cs="Tahoma"/>
        </w:rPr>
      </w:pPr>
      <w:r w:rsidRPr="005448F6">
        <w:rPr>
          <w:rFonts w:ascii="Tahoma" w:hAnsi="Tahoma" w:cs="Tahoma"/>
        </w:rPr>
        <w:t>A</w:t>
      </w:r>
      <w:r>
        <w:rPr>
          <w:rFonts w:ascii="Tahoma" w:hAnsi="Tahoma" w:cs="Tahoma"/>
        </w:rPr>
        <w:t>33</w:t>
      </w:r>
      <w:r w:rsidR="00185E50" w:rsidRPr="005448F6">
        <w:rPr>
          <w:rFonts w:ascii="Tahoma" w:hAnsi="Tahoma" w:cs="Tahoma"/>
        </w:rPr>
        <w:t>:</w:t>
      </w:r>
      <w:r w:rsidR="00185E50" w:rsidRPr="005448F6">
        <w:rPr>
          <w:rFonts w:ascii="Tahoma" w:hAnsi="Tahoma" w:cs="Tahoma"/>
        </w:rPr>
        <w:tab/>
        <w:t>Yes. However, a fen</w:t>
      </w:r>
      <w:r w:rsidR="00185E50">
        <w:rPr>
          <w:rFonts w:ascii="Tahoma" w:hAnsi="Tahoma" w:cs="Tahoma"/>
        </w:rPr>
        <w:t>c</w:t>
      </w:r>
      <w:r w:rsidR="00185E50" w:rsidRPr="005448F6">
        <w:rPr>
          <w:rFonts w:ascii="Tahoma" w:hAnsi="Tahoma" w:cs="Tahoma"/>
        </w:rPr>
        <w:t xml:space="preserve">e is not an eligible CEC reimbursable expense. </w:t>
      </w:r>
    </w:p>
    <w:p w14:paraId="30F06F10" w14:textId="77777777" w:rsidR="009E2473" w:rsidRDefault="009E2473" w:rsidP="009E2473">
      <w:pPr>
        <w:ind w:left="720" w:hanging="720"/>
        <w:rPr>
          <w:rFonts w:ascii="Tahoma" w:hAnsi="Tahoma" w:cs="Tahoma"/>
          <w:b/>
        </w:rPr>
      </w:pPr>
    </w:p>
    <w:p w14:paraId="15262071" w14:textId="770BE0C5" w:rsidR="009E2473" w:rsidRPr="005448F6" w:rsidRDefault="00986FF8" w:rsidP="009E2473">
      <w:pPr>
        <w:ind w:left="720" w:hanging="720"/>
        <w:rPr>
          <w:rFonts w:ascii="Tahoma" w:hAnsi="Tahoma" w:cs="Tahoma"/>
        </w:rPr>
      </w:pPr>
      <w:r w:rsidRPr="005448F6">
        <w:rPr>
          <w:rFonts w:ascii="Tahoma" w:hAnsi="Tahoma" w:cs="Tahoma"/>
          <w:b/>
        </w:rPr>
        <w:t>Q</w:t>
      </w:r>
      <w:r>
        <w:rPr>
          <w:rFonts w:ascii="Tahoma" w:hAnsi="Tahoma" w:cs="Tahoma"/>
          <w:b/>
        </w:rPr>
        <w:t>34</w:t>
      </w:r>
      <w:r w:rsidR="009E2473" w:rsidRPr="005448F6">
        <w:rPr>
          <w:rFonts w:ascii="Tahoma" w:hAnsi="Tahoma" w:cs="Tahoma"/>
          <w:b/>
        </w:rPr>
        <w:t>:</w:t>
      </w:r>
      <w:r w:rsidR="009E2473" w:rsidRPr="005448F6">
        <w:rPr>
          <w:rFonts w:ascii="Tahoma" w:hAnsi="Tahoma" w:cs="Tahoma"/>
          <w:b/>
        </w:rPr>
        <w:tab/>
        <w:t xml:space="preserve">Can a loan satisfy the cash </w:t>
      </w:r>
      <w:r w:rsidR="009E2473">
        <w:rPr>
          <w:rFonts w:ascii="Tahoma" w:hAnsi="Tahoma" w:cs="Tahoma"/>
          <w:b/>
        </w:rPr>
        <w:t xml:space="preserve">match </w:t>
      </w:r>
      <w:r w:rsidR="009E2473" w:rsidRPr="005448F6">
        <w:rPr>
          <w:rFonts w:ascii="Tahoma" w:hAnsi="Tahoma" w:cs="Tahoma"/>
          <w:b/>
        </w:rPr>
        <w:t>requirement?</w:t>
      </w:r>
    </w:p>
    <w:p w14:paraId="72B73CD4" w14:textId="77777777" w:rsidR="009E2473" w:rsidRPr="005448F6" w:rsidRDefault="009E2473" w:rsidP="009E2473">
      <w:pPr>
        <w:rPr>
          <w:rFonts w:ascii="Tahoma" w:hAnsi="Tahoma" w:cs="Tahoma"/>
        </w:rPr>
      </w:pPr>
    </w:p>
    <w:p w14:paraId="0F47EDA4" w14:textId="6FB76FCB" w:rsidR="00A964BA" w:rsidRDefault="00986FF8" w:rsidP="009E2473">
      <w:pPr>
        <w:spacing w:after="160" w:line="278" w:lineRule="auto"/>
        <w:ind w:left="720" w:hanging="720"/>
        <w:rPr>
          <w:rFonts w:ascii="Tahoma" w:hAnsi="Tahoma" w:cs="Tahoma"/>
        </w:rPr>
      </w:pPr>
      <w:r w:rsidRPr="005448F6">
        <w:rPr>
          <w:rFonts w:ascii="Tahoma" w:hAnsi="Tahoma" w:cs="Tahoma"/>
        </w:rPr>
        <w:t>A</w:t>
      </w:r>
      <w:r>
        <w:rPr>
          <w:rFonts w:ascii="Tahoma" w:hAnsi="Tahoma" w:cs="Tahoma"/>
        </w:rPr>
        <w:t>34</w:t>
      </w:r>
      <w:r w:rsidR="009E2473" w:rsidRPr="005448F6">
        <w:rPr>
          <w:rFonts w:ascii="Tahoma" w:hAnsi="Tahoma" w:cs="Tahoma"/>
        </w:rPr>
        <w:t>:</w:t>
      </w:r>
      <w:r w:rsidR="009E2473" w:rsidRPr="005448F6">
        <w:rPr>
          <w:rFonts w:ascii="Tahoma" w:hAnsi="Tahoma" w:cs="Tahoma"/>
        </w:rPr>
        <w:tab/>
        <w:t>Yes</w:t>
      </w:r>
      <w:r w:rsidR="009E2473">
        <w:rPr>
          <w:rFonts w:ascii="Tahoma" w:hAnsi="Tahoma" w:cs="Tahoma"/>
        </w:rPr>
        <w:t>.</w:t>
      </w:r>
    </w:p>
    <w:p w14:paraId="349A43FD" w14:textId="00FA4D68" w:rsidR="001F0EF4" w:rsidRPr="005448F6" w:rsidRDefault="00986FF8" w:rsidP="001F0EF4">
      <w:pPr>
        <w:ind w:left="720" w:hanging="720"/>
        <w:rPr>
          <w:rFonts w:ascii="Tahoma" w:hAnsi="Tahoma" w:cs="Tahoma"/>
          <w:b/>
        </w:rPr>
      </w:pPr>
      <w:bookmarkStart w:id="1" w:name="_Hlk200612752"/>
      <w:r w:rsidRPr="005448F6">
        <w:rPr>
          <w:rFonts w:ascii="Tahoma" w:hAnsi="Tahoma" w:cs="Tahoma"/>
          <w:b/>
        </w:rPr>
        <w:t>Q</w:t>
      </w:r>
      <w:r>
        <w:rPr>
          <w:rFonts w:ascii="Tahoma" w:hAnsi="Tahoma" w:cs="Tahoma"/>
          <w:b/>
        </w:rPr>
        <w:t>35</w:t>
      </w:r>
      <w:r w:rsidR="001F0EF4" w:rsidRPr="005448F6">
        <w:rPr>
          <w:rFonts w:ascii="Tahoma" w:hAnsi="Tahoma" w:cs="Tahoma"/>
          <w:b/>
        </w:rPr>
        <w:t>:</w:t>
      </w:r>
      <w:r w:rsidR="001F0EF4" w:rsidRPr="005448F6">
        <w:rPr>
          <w:rFonts w:ascii="Tahoma" w:hAnsi="Tahoma" w:cs="Tahoma"/>
          <w:b/>
        </w:rPr>
        <w:tab/>
        <w:t xml:space="preserve">Can </w:t>
      </w:r>
      <w:r w:rsidR="001F0EF4">
        <w:rPr>
          <w:rFonts w:ascii="Tahoma" w:hAnsi="Tahoma" w:cs="Tahoma"/>
          <w:b/>
        </w:rPr>
        <w:t>the</w:t>
      </w:r>
      <w:r w:rsidR="001F0EF4" w:rsidRPr="005448F6">
        <w:rPr>
          <w:rFonts w:ascii="Tahoma" w:hAnsi="Tahoma" w:cs="Tahoma"/>
          <w:b/>
        </w:rPr>
        <w:t xml:space="preserve"> funds </w:t>
      </w:r>
      <w:r w:rsidR="001F0EF4">
        <w:rPr>
          <w:rFonts w:ascii="Tahoma" w:hAnsi="Tahoma" w:cs="Tahoma"/>
          <w:b/>
        </w:rPr>
        <w:t xml:space="preserve">from this solicitation </w:t>
      </w:r>
      <w:r w:rsidR="001F0EF4" w:rsidRPr="005448F6">
        <w:rPr>
          <w:rFonts w:ascii="Tahoma" w:hAnsi="Tahoma" w:cs="Tahoma"/>
          <w:b/>
        </w:rPr>
        <w:t xml:space="preserve">be used </w:t>
      </w:r>
      <w:r w:rsidR="001F0EF4">
        <w:rPr>
          <w:rFonts w:ascii="Tahoma" w:hAnsi="Tahoma" w:cs="Tahoma"/>
          <w:b/>
        </w:rPr>
        <w:t>to support</w:t>
      </w:r>
      <w:r w:rsidR="001F0EF4" w:rsidRPr="005448F6">
        <w:rPr>
          <w:rFonts w:ascii="Tahoma" w:hAnsi="Tahoma" w:cs="Tahoma"/>
          <w:b/>
        </w:rPr>
        <w:t xml:space="preserve"> projects that are partially grant</w:t>
      </w:r>
      <w:r w:rsidR="001F0EF4">
        <w:rPr>
          <w:rFonts w:ascii="Tahoma" w:hAnsi="Tahoma" w:cs="Tahoma"/>
          <w:b/>
        </w:rPr>
        <w:t>-</w:t>
      </w:r>
      <w:r w:rsidR="001F0EF4" w:rsidRPr="005448F6">
        <w:rPr>
          <w:rFonts w:ascii="Tahoma" w:hAnsi="Tahoma" w:cs="Tahoma"/>
          <w:b/>
        </w:rPr>
        <w:t xml:space="preserve">funded and already underway? </w:t>
      </w:r>
      <w:r w:rsidR="001F0EF4">
        <w:rPr>
          <w:rFonts w:ascii="Tahoma" w:hAnsi="Tahoma" w:cs="Tahoma"/>
          <w:b/>
        </w:rPr>
        <w:t>Additionally, how do the match fund requirements apply in such cases?</w:t>
      </w:r>
    </w:p>
    <w:p w14:paraId="1D2F2325" w14:textId="77777777" w:rsidR="001F0EF4" w:rsidRPr="005448F6" w:rsidRDefault="001F0EF4" w:rsidP="001F0EF4">
      <w:pPr>
        <w:ind w:left="720" w:hanging="720"/>
        <w:rPr>
          <w:rFonts w:ascii="Tahoma" w:hAnsi="Tahoma" w:cs="Tahoma"/>
        </w:rPr>
      </w:pPr>
    </w:p>
    <w:p w14:paraId="34640671" w14:textId="5530555E" w:rsidR="001F0EF4" w:rsidRPr="001F0EF4" w:rsidRDefault="00986FF8" w:rsidP="001F0EF4">
      <w:pPr>
        <w:ind w:left="720" w:hanging="720"/>
        <w:rPr>
          <w:rFonts w:ascii="Tahoma" w:hAnsi="Tahoma" w:cs="Tahoma"/>
        </w:rPr>
      </w:pPr>
      <w:r w:rsidRPr="005448F6">
        <w:rPr>
          <w:rFonts w:ascii="Tahoma" w:hAnsi="Tahoma" w:cs="Tahoma"/>
        </w:rPr>
        <w:t>A</w:t>
      </w:r>
      <w:r>
        <w:rPr>
          <w:rFonts w:ascii="Tahoma" w:hAnsi="Tahoma" w:cs="Tahoma"/>
        </w:rPr>
        <w:t>35</w:t>
      </w:r>
      <w:r w:rsidR="001F0EF4" w:rsidRPr="005448F6">
        <w:rPr>
          <w:rFonts w:ascii="Tahoma" w:hAnsi="Tahoma" w:cs="Tahoma"/>
        </w:rPr>
        <w:t>:</w:t>
      </w:r>
      <w:r w:rsidR="001F0EF4">
        <w:tab/>
      </w:r>
      <w:r w:rsidR="001F0EF4" w:rsidRPr="001F0EF4">
        <w:rPr>
          <w:rFonts w:ascii="Tahoma" w:hAnsi="Tahoma" w:cs="Tahoma"/>
        </w:rPr>
        <w:t>Billable design and/or construction work and/or equipment procurement that is already in progress or completed prior to grant execution is ineligible for match or reimbursable funding. However, work that is expected to occur within the term of a grant agreement may be eligible for CEC funding or match share. The proposed project must meet the minimum charging port or hydrogen fueling position deployment requirements for work that occurs after the grant agreement is executed. This means that the minimum charging ports or hydrogen fueling positions must be constructed and installed during the term of the agreement. Match share expenditures are allowable under a CEC agreement</w:t>
      </w:r>
      <w:r w:rsidR="00370AB5">
        <w:rPr>
          <w:rFonts w:ascii="Tahoma" w:hAnsi="Tahoma" w:cs="Tahoma"/>
        </w:rPr>
        <w:t xml:space="preserve"> </w:t>
      </w:r>
      <w:r w:rsidR="001F0EF4" w:rsidRPr="001F0EF4">
        <w:rPr>
          <w:rFonts w:ascii="Tahoma" w:hAnsi="Tahoma" w:cs="Tahoma"/>
        </w:rPr>
        <w:lastRenderedPageBreak/>
        <w:t>only if they are incurred after execution of an awarded agreement. Refer to Section II.E., Eligible Project Costs, and Section II.F., Match Funding Requirements.</w:t>
      </w:r>
    </w:p>
    <w:bookmarkEnd w:id="1"/>
    <w:p w14:paraId="634662CA" w14:textId="77777777" w:rsidR="001F0EF4" w:rsidRDefault="001F0EF4" w:rsidP="003C3596">
      <w:pPr>
        <w:ind w:left="720" w:hanging="720"/>
        <w:rPr>
          <w:rFonts w:ascii="Tahoma" w:hAnsi="Tahoma" w:cs="Tahoma"/>
          <w:b/>
        </w:rPr>
      </w:pPr>
    </w:p>
    <w:p w14:paraId="76C89872" w14:textId="3A244FD7" w:rsidR="003C3596" w:rsidRPr="005448F6" w:rsidRDefault="00986FF8" w:rsidP="003C3596">
      <w:pPr>
        <w:ind w:left="720" w:hanging="720"/>
        <w:rPr>
          <w:rFonts w:ascii="Tahoma" w:hAnsi="Tahoma" w:cs="Tahoma"/>
          <w:b/>
        </w:rPr>
      </w:pPr>
      <w:r w:rsidRPr="005448F6">
        <w:rPr>
          <w:rFonts w:ascii="Tahoma" w:hAnsi="Tahoma" w:cs="Tahoma"/>
          <w:b/>
        </w:rPr>
        <w:t>Q</w:t>
      </w:r>
      <w:r>
        <w:rPr>
          <w:rFonts w:ascii="Tahoma" w:hAnsi="Tahoma" w:cs="Tahoma"/>
          <w:b/>
        </w:rPr>
        <w:t>36</w:t>
      </w:r>
      <w:r w:rsidR="003C3596" w:rsidRPr="005448F6">
        <w:rPr>
          <w:rFonts w:ascii="Tahoma" w:hAnsi="Tahoma" w:cs="Tahoma"/>
          <w:b/>
        </w:rPr>
        <w:t>:</w:t>
      </w:r>
      <w:r w:rsidR="003C3596" w:rsidRPr="005448F6">
        <w:rPr>
          <w:rFonts w:ascii="Tahoma" w:hAnsi="Tahoma" w:cs="Tahoma"/>
          <w:b/>
        </w:rPr>
        <w:tab/>
      </w:r>
      <w:r w:rsidR="003C3596" w:rsidRPr="000A5BB0">
        <w:rPr>
          <w:rFonts w:ascii="Tahoma" w:hAnsi="Tahoma" w:cs="Tahoma"/>
          <w:b/>
        </w:rPr>
        <w:t>The solicitation indicates that onsite hydrogen generation is only eligible as a match cost.</w:t>
      </w:r>
      <w:r w:rsidR="003C3596" w:rsidRPr="005448F6">
        <w:rPr>
          <w:rFonts w:ascii="Tahoma" w:hAnsi="Tahoma" w:cs="Tahoma"/>
          <w:b/>
        </w:rPr>
        <w:t xml:space="preserve"> Is </w:t>
      </w:r>
      <w:r w:rsidR="003C3596">
        <w:rPr>
          <w:rFonts w:ascii="Tahoma" w:hAnsi="Tahoma" w:cs="Tahoma"/>
          <w:b/>
        </w:rPr>
        <w:t>hydrogen</w:t>
      </w:r>
      <w:r w:rsidR="003C3596" w:rsidRPr="005448F6">
        <w:rPr>
          <w:rFonts w:ascii="Tahoma" w:hAnsi="Tahoma" w:cs="Tahoma"/>
          <w:b/>
        </w:rPr>
        <w:t xml:space="preserve"> conditioning equipment</w:t>
      </w:r>
      <w:r w:rsidR="003C3596">
        <w:rPr>
          <w:rFonts w:ascii="Tahoma" w:hAnsi="Tahoma" w:cs="Tahoma"/>
          <w:b/>
        </w:rPr>
        <w:t xml:space="preserve">, such as </w:t>
      </w:r>
      <w:r w:rsidR="003C3596" w:rsidRPr="005448F6">
        <w:rPr>
          <w:rFonts w:ascii="Tahoma" w:hAnsi="Tahoma" w:cs="Tahoma"/>
          <w:b/>
        </w:rPr>
        <w:t xml:space="preserve">compressors, </w:t>
      </w:r>
      <w:r w:rsidR="003C3596">
        <w:rPr>
          <w:rFonts w:ascii="Tahoma" w:hAnsi="Tahoma" w:cs="Tahoma"/>
          <w:b/>
        </w:rPr>
        <w:t>purifiers, or</w:t>
      </w:r>
      <w:r w:rsidR="003C3596" w:rsidRPr="005448F6">
        <w:rPr>
          <w:rFonts w:ascii="Tahoma" w:hAnsi="Tahoma" w:cs="Tahoma"/>
          <w:b/>
        </w:rPr>
        <w:t xml:space="preserve"> liquefiers</w:t>
      </w:r>
      <w:r w:rsidR="003C3596">
        <w:rPr>
          <w:rFonts w:ascii="Tahoma" w:hAnsi="Tahoma" w:cs="Tahoma"/>
          <w:b/>
        </w:rPr>
        <w:t>,</w:t>
      </w:r>
      <w:r w:rsidR="003C3596" w:rsidRPr="005448F6">
        <w:rPr>
          <w:rFonts w:ascii="Tahoma" w:hAnsi="Tahoma" w:cs="Tahoma"/>
          <w:b/>
        </w:rPr>
        <w:t xml:space="preserve"> </w:t>
      </w:r>
      <w:r w:rsidR="003C3596">
        <w:rPr>
          <w:rFonts w:ascii="Tahoma" w:hAnsi="Tahoma" w:cs="Tahoma"/>
          <w:b/>
        </w:rPr>
        <w:t>directly connected</w:t>
      </w:r>
      <w:r w:rsidR="003C3596" w:rsidRPr="005448F6">
        <w:rPr>
          <w:rFonts w:ascii="Tahoma" w:hAnsi="Tahoma" w:cs="Tahoma"/>
          <w:b/>
        </w:rPr>
        <w:t xml:space="preserve"> </w:t>
      </w:r>
      <w:r w:rsidR="003C3596">
        <w:rPr>
          <w:rFonts w:ascii="Tahoma" w:hAnsi="Tahoma" w:cs="Tahoma"/>
          <w:b/>
        </w:rPr>
        <w:t>t</w:t>
      </w:r>
      <w:r w:rsidR="003C3596" w:rsidRPr="005448F6">
        <w:rPr>
          <w:rFonts w:ascii="Tahoma" w:hAnsi="Tahoma" w:cs="Tahoma"/>
          <w:b/>
        </w:rPr>
        <w:t xml:space="preserve">o generation equipment eligible for </w:t>
      </w:r>
      <w:r w:rsidR="003C3596">
        <w:rPr>
          <w:rFonts w:ascii="Tahoma" w:hAnsi="Tahoma" w:cs="Tahoma"/>
          <w:b/>
        </w:rPr>
        <w:t xml:space="preserve">reimbursement as a </w:t>
      </w:r>
      <w:r w:rsidR="003C3596" w:rsidRPr="005448F6">
        <w:rPr>
          <w:rFonts w:ascii="Tahoma" w:hAnsi="Tahoma" w:cs="Tahoma"/>
          <w:b/>
        </w:rPr>
        <w:t>direct expense?</w:t>
      </w:r>
    </w:p>
    <w:p w14:paraId="088D3E8F" w14:textId="77777777" w:rsidR="003C3596" w:rsidRPr="005448F6" w:rsidRDefault="003C3596" w:rsidP="003C3596">
      <w:pPr>
        <w:ind w:left="720" w:hanging="720"/>
        <w:rPr>
          <w:rFonts w:ascii="Tahoma" w:hAnsi="Tahoma" w:cs="Tahoma"/>
        </w:rPr>
      </w:pPr>
    </w:p>
    <w:p w14:paraId="2DA5B237" w14:textId="303E3A08" w:rsidR="003C3596" w:rsidRPr="005448F6" w:rsidRDefault="00986FF8" w:rsidP="003C3596">
      <w:pPr>
        <w:ind w:left="720" w:hanging="720"/>
        <w:rPr>
          <w:rFonts w:ascii="Tahoma" w:hAnsi="Tahoma" w:cs="Tahoma"/>
        </w:rPr>
      </w:pPr>
      <w:r w:rsidRPr="005448F6">
        <w:rPr>
          <w:rFonts w:ascii="Tahoma" w:hAnsi="Tahoma" w:cs="Tahoma"/>
        </w:rPr>
        <w:t>A</w:t>
      </w:r>
      <w:r>
        <w:rPr>
          <w:rFonts w:ascii="Tahoma" w:hAnsi="Tahoma" w:cs="Tahoma"/>
        </w:rPr>
        <w:t>36</w:t>
      </w:r>
      <w:r w:rsidR="003C3596" w:rsidRPr="005448F6">
        <w:rPr>
          <w:rFonts w:ascii="Tahoma" w:hAnsi="Tahoma" w:cs="Tahoma"/>
        </w:rPr>
        <w:t>:</w:t>
      </w:r>
      <w:r w:rsidR="003C3596" w:rsidRPr="005448F6">
        <w:rPr>
          <w:rFonts w:ascii="Tahoma" w:hAnsi="Tahoma" w:cs="Tahoma"/>
        </w:rPr>
        <w:tab/>
      </w:r>
      <w:r w:rsidR="003C3596">
        <w:rPr>
          <w:rFonts w:ascii="Tahoma" w:hAnsi="Tahoma" w:cs="Tahoma"/>
        </w:rPr>
        <w:t>No. Renewable hydrogen production equipment is eligible as a match cost, which means the associated c</w:t>
      </w:r>
      <w:r w:rsidR="003C3596" w:rsidRPr="005448F6">
        <w:rPr>
          <w:rFonts w:ascii="Tahoma" w:hAnsi="Tahoma" w:cs="Tahoma"/>
        </w:rPr>
        <w:t xml:space="preserve">onditioning equipment </w:t>
      </w:r>
      <w:r w:rsidR="003C3596">
        <w:rPr>
          <w:rFonts w:ascii="Tahoma" w:hAnsi="Tahoma" w:cs="Tahoma"/>
        </w:rPr>
        <w:t xml:space="preserve">that is integrated with or dependent on the </w:t>
      </w:r>
      <w:r w:rsidR="003C3596" w:rsidRPr="005448F6">
        <w:rPr>
          <w:rFonts w:ascii="Tahoma" w:hAnsi="Tahoma" w:cs="Tahoma"/>
        </w:rPr>
        <w:t xml:space="preserve">generation equipment </w:t>
      </w:r>
      <w:r w:rsidR="003C3596">
        <w:rPr>
          <w:rFonts w:ascii="Tahoma" w:hAnsi="Tahoma" w:cs="Tahoma"/>
        </w:rPr>
        <w:t>is also only eligible as match. Only equipment and infrastructure directly supporting eligible dispensing operations are</w:t>
      </w:r>
      <w:r w:rsidR="003C3596" w:rsidRPr="005448F6">
        <w:rPr>
          <w:rFonts w:ascii="Tahoma" w:hAnsi="Tahoma" w:cs="Tahoma"/>
        </w:rPr>
        <w:t xml:space="preserve"> eligible for </w:t>
      </w:r>
      <w:r w:rsidR="003C3596">
        <w:rPr>
          <w:rFonts w:ascii="Tahoma" w:hAnsi="Tahoma" w:cs="Tahoma"/>
        </w:rPr>
        <w:t>CEC reimbursement. Refer to Section II.E., Eligible Project Costs.</w:t>
      </w:r>
      <w:r w:rsidR="003C3596" w:rsidRPr="005448F6">
        <w:rPr>
          <w:rFonts w:ascii="Tahoma" w:hAnsi="Tahoma" w:cs="Tahoma"/>
        </w:rPr>
        <w:t xml:space="preserve"> </w:t>
      </w:r>
    </w:p>
    <w:p w14:paraId="1446FA14" w14:textId="77777777" w:rsidR="008C1BB0" w:rsidRDefault="008C1BB0" w:rsidP="008C1BB0">
      <w:pPr>
        <w:ind w:left="720" w:hanging="720"/>
        <w:rPr>
          <w:rFonts w:ascii="Tahoma" w:hAnsi="Tahoma" w:cs="Tahoma"/>
          <w:b/>
        </w:rPr>
      </w:pPr>
    </w:p>
    <w:p w14:paraId="09E9CE69" w14:textId="6DDC56A1" w:rsidR="008C1BB0" w:rsidRPr="005448F6" w:rsidRDefault="00986FF8" w:rsidP="008C1BB0">
      <w:pPr>
        <w:ind w:left="720" w:hanging="720"/>
        <w:rPr>
          <w:rFonts w:ascii="Tahoma" w:hAnsi="Tahoma" w:cs="Tahoma"/>
          <w:b/>
        </w:rPr>
      </w:pPr>
      <w:r w:rsidRPr="005448F6">
        <w:rPr>
          <w:rFonts w:ascii="Tahoma" w:hAnsi="Tahoma" w:cs="Tahoma"/>
          <w:b/>
        </w:rPr>
        <w:t>Q</w:t>
      </w:r>
      <w:r>
        <w:rPr>
          <w:rFonts w:ascii="Tahoma" w:hAnsi="Tahoma" w:cs="Tahoma"/>
          <w:b/>
        </w:rPr>
        <w:t>37</w:t>
      </w:r>
      <w:r w:rsidR="008C1BB0" w:rsidRPr="005448F6">
        <w:rPr>
          <w:rFonts w:ascii="Tahoma" w:hAnsi="Tahoma" w:cs="Tahoma"/>
          <w:b/>
        </w:rPr>
        <w:t>:</w:t>
      </w:r>
      <w:r w:rsidR="008C1BB0" w:rsidRPr="005448F6">
        <w:rPr>
          <w:rFonts w:ascii="Tahoma" w:hAnsi="Tahoma" w:cs="Tahoma"/>
          <w:b/>
        </w:rPr>
        <w:tab/>
        <w:t xml:space="preserve">Are profit margins allowed in direct expenses? </w:t>
      </w:r>
    </w:p>
    <w:p w14:paraId="69A0526E" w14:textId="77777777" w:rsidR="008C1BB0" w:rsidRPr="005448F6" w:rsidRDefault="008C1BB0" w:rsidP="008C1BB0">
      <w:pPr>
        <w:rPr>
          <w:rFonts w:ascii="Tahoma" w:hAnsi="Tahoma" w:cs="Tahoma"/>
        </w:rPr>
      </w:pPr>
    </w:p>
    <w:p w14:paraId="46874052" w14:textId="455E1FB9" w:rsidR="008C1BB0" w:rsidRPr="005448F6" w:rsidRDefault="00986FF8" w:rsidP="008C1BB0">
      <w:pPr>
        <w:ind w:left="720" w:hanging="720"/>
        <w:rPr>
          <w:rFonts w:ascii="Tahoma" w:hAnsi="Tahoma" w:cs="Tahoma"/>
        </w:rPr>
      </w:pPr>
      <w:r w:rsidRPr="005448F6">
        <w:rPr>
          <w:rFonts w:ascii="Tahoma" w:hAnsi="Tahoma" w:cs="Tahoma"/>
        </w:rPr>
        <w:t>A</w:t>
      </w:r>
      <w:r>
        <w:rPr>
          <w:rFonts w:ascii="Tahoma" w:hAnsi="Tahoma" w:cs="Tahoma"/>
        </w:rPr>
        <w:t>37</w:t>
      </w:r>
      <w:r w:rsidR="008C1BB0" w:rsidRPr="005448F6">
        <w:rPr>
          <w:rFonts w:ascii="Tahoma" w:hAnsi="Tahoma" w:cs="Tahoma"/>
        </w:rPr>
        <w:t>:</w:t>
      </w:r>
      <w:r w:rsidR="008C1BB0" w:rsidRPr="005448F6">
        <w:rPr>
          <w:rFonts w:ascii="Tahoma" w:hAnsi="Tahoma" w:cs="Tahoma"/>
        </w:rPr>
        <w:tab/>
      </w:r>
      <w:r w:rsidR="008C1BB0">
        <w:rPr>
          <w:rFonts w:ascii="Tahoma" w:hAnsi="Tahoma" w:cs="Tahoma"/>
        </w:rPr>
        <w:t>Profit is not allowable for the Prime Applicant. However, s</w:t>
      </w:r>
      <w:r w:rsidR="008C1BB0" w:rsidRPr="00EF7231">
        <w:rPr>
          <w:rFonts w:ascii="Tahoma" w:hAnsi="Tahoma" w:cs="Tahoma"/>
        </w:rPr>
        <w:t>ubrecipients are allowed to include up to a maximum total of 10% profit, fees or mark-ups on their own actual allowable expenses less any expenses budgeted to sub-subrecipients (i.e., profit, fees and markups are not allowed on lower tier subrecipient expenses).</w:t>
      </w:r>
      <w:r w:rsidR="008C1BB0">
        <w:rPr>
          <w:rFonts w:ascii="Tahoma" w:hAnsi="Tahoma" w:cs="Tahoma"/>
        </w:rPr>
        <w:t xml:space="preserve"> Refer to Section III.D</w:t>
      </w:r>
      <w:r w:rsidR="005B3F22">
        <w:rPr>
          <w:rFonts w:ascii="Tahoma" w:hAnsi="Tahoma" w:cs="Tahoma"/>
        </w:rPr>
        <w:t>.</w:t>
      </w:r>
      <w:r w:rsidR="00457A47" w:rsidRPr="005B3F22">
        <w:rPr>
          <w:rFonts w:ascii="Tahoma" w:hAnsi="Tahoma" w:cs="Tahoma"/>
        </w:rPr>
        <w:t>5</w:t>
      </w:r>
      <w:r w:rsidR="008C1BB0">
        <w:rPr>
          <w:rFonts w:ascii="Tahoma" w:hAnsi="Tahoma" w:cs="Tahoma"/>
        </w:rPr>
        <w:t>., Budget Forms (Attachment 5).</w:t>
      </w:r>
    </w:p>
    <w:p w14:paraId="67EC4065" w14:textId="77777777" w:rsidR="00525F3A" w:rsidRDefault="00525F3A" w:rsidP="00525F3A">
      <w:pPr>
        <w:rPr>
          <w:rFonts w:ascii="Tahoma" w:hAnsi="Tahoma" w:cs="Tahoma"/>
          <w:b/>
          <w:i/>
          <w:u w:val="single"/>
        </w:rPr>
      </w:pPr>
    </w:p>
    <w:p w14:paraId="212BCA87" w14:textId="5D06C624" w:rsidR="00525F3A" w:rsidRPr="003D5889" w:rsidRDefault="00525F3A" w:rsidP="00525F3A">
      <w:pPr>
        <w:rPr>
          <w:rFonts w:ascii="Tahoma" w:hAnsi="Tahoma" w:cs="Tahoma"/>
          <w:b/>
          <w:i/>
          <w:u w:val="single"/>
        </w:rPr>
      </w:pPr>
      <w:r w:rsidRPr="003D5889">
        <w:rPr>
          <w:rFonts w:ascii="Tahoma" w:hAnsi="Tahoma" w:cs="Tahoma"/>
          <w:b/>
          <w:i/>
          <w:u w:val="single"/>
        </w:rPr>
        <w:t>Miscellaneous</w:t>
      </w:r>
    </w:p>
    <w:p w14:paraId="2805582A" w14:textId="77777777" w:rsidR="00525F3A" w:rsidRPr="005448F6" w:rsidRDefault="00525F3A" w:rsidP="00525F3A">
      <w:pPr>
        <w:rPr>
          <w:rFonts w:ascii="Tahoma" w:hAnsi="Tahoma" w:cs="Tahoma"/>
        </w:rPr>
      </w:pPr>
    </w:p>
    <w:p w14:paraId="701402CB" w14:textId="420A2925" w:rsidR="00525F3A" w:rsidRPr="005448F6" w:rsidRDefault="00986FF8" w:rsidP="00525F3A">
      <w:pPr>
        <w:ind w:left="720" w:hanging="720"/>
        <w:rPr>
          <w:rFonts w:ascii="Tahoma" w:hAnsi="Tahoma" w:cs="Tahoma"/>
          <w:b/>
        </w:rPr>
      </w:pPr>
      <w:r w:rsidRPr="005448F6">
        <w:rPr>
          <w:rFonts w:ascii="Tahoma" w:hAnsi="Tahoma" w:cs="Tahoma"/>
          <w:b/>
        </w:rPr>
        <w:t>Q</w:t>
      </w:r>
      <w:r>
        <w:rPr>
          <w:rFonts w:ascii="Tahoma" w:hAnsi="Tahoma" w:cs="Tahoma"/>
          <w:b/>
        </w:rPr>
        <w:t>38</w:t>
      </w:r>
      <w:r w:rsidR="00525F3A" w:rsidRPr="005448F6">
        <w:rPr>
          <w:rFonts w:ascii="Tahoma" w:hAnsi="Tahoma" w:cs="Tahoma"/>
          <w:b/>
        </w:rPr>
        <w:t>:</w:t>
      </w:r>
      <w:r w:rsidR="00525F3A" w:rsidRPr="005448F6">
        <w:rPr>
          <w:rFonts w:ascii="Tahoma" w:hAnsi="Tahoma" w:cs="Tahoma"/>
          <w:b/>
        </w:rPr>
        <w:tab/>
        <w:t xml:space="preserve">In the context of entities serving or supporting a port, </w:t>
      </w:r>
      <w:r w:rsidR="00525F3A">
        <w:rPr>
          <w:rFonts w:ascii="Tahoma" w:hAnsi="Tahoma" w:cs="Tahoma"/>
          <w:b/>
        </w:rPr>
        <w:t xml:space="preserve">how does the </w:t>
      </w:r>
      <w:r w:rsidR="00525F3A" w:rsidRPr="005448F6">
        <w:rPr>
          <w:rFonts w:ascii="Tahoma" w:hAnsi="Tahoma" w:cs="Tahoma"/>
          <w:b/>
        </w:rPr>
        <w:t>CEC</w:t>
      </w:r>
      <w:r w:rsidR="00525F3A">
        <w:rPr>
          <w:rFonts w:ascii="Tahoma" w:hAnsi="Tahoma" w:cs="Tahoma"/>
          <w:b/>
        </w:rPr>
        <w:t xml:space="preserve"> </w:t>
      </w:r>
      <w:r w:rsidR="00525F3A" w:rsidRPr="005448F6">
        <w:rPr>
          <w:rFonts w:ascii="Tahoma" w:hAnsi="Tahoma" w:cs="Tahoma"/>
          <w:b/>
        </w:rPr>
        <w:t>defin</w:t>
      </w:r>
      <w:r w:rsidR="00525F3A">
        <w:rPr>
          <w:rFonts w:ascii="Tahoma" w:hAnsi="Tahoma" w:cs="Tahoma"/>
          <w:b/>
        </w:rPr>
        <w:t>e</w:t>
      </w:r>
      <w:r w:rsidR="00525F3A" w:rsidRPr="005448F6">
        <w:rPr>
          <w:rFonts w:ascii="Tahoma" w:hAnsi="Tahoma" w:cs="Tahoma"/>
          <w:b/>
        </w:rPr>
        <w:t xml:space="preserve"> “serving or supporting” a port? </w:t>
      </w:r>
    </w:p>
    <w:p w14:paraId="4ABC2726" w14:textId="77777777" w:rsidR="00525F3A" w:rsidRPr="005448F6" w:rsidRDefault="00525F3A" w:rsidP="00525F3A">
      <w:pPr>
        <w:ind w:left="720" w:hanging="720"/>
        <w:rPr>
          <w:rFonts w:ascii="Tahoma" w:hAnsi="Tahoma" w:cs="Tahoma"/>
          <w:b/>
          <w:bCs/>
        </w:rPr>
      </w:pPr>
    </w:p>
    <w:p w14:paraId="39B44984" w14:textId="1AE885C2" w:rsidR="00370AB5" w:rsidRPr="005448F6" w:rsidRDefault="00986FF8" w:rsidP="0021093F">
      <w:pPr>
        <w:keepLines/>
        <w:widowControl w:val="0"/>
        <w:ind w:left="720" w:hanging="720"/>
        <w:rPr>
          <w:rFonts w:ascii="Tahoma" w:hAnsi="Tahoma" w:cs="Tahoma"/>
        </w:rPr>
      </w:pPr>
      <w:r w:rsidRPr="005448F6">
        <w:rPr>
          <w:rFonts w:ascii="Tahoma" w:hAnsi="Tahoma" w:cs="Tahoma"/>
        </w:rPr>
        <w:t>A</w:t>
      </w:r>
      <w:r>
        <w:rPr>
          <w:rFonts w:ascii="Tahoma" w:hAnsi="Tahoma" w:cs="Tahoma"/>
        </w:rPr>
        <w:t>38</w:t>
      </w:r>
      <w:r w:rsidR="00525F3A" w:rsidRPr="005448F6">
        <w:rPr>
          <w:rFonts w:ascii="Tahoma" w:hAnsi="Tahoma" w:cs="Tahoma"/>
        </w:rPr>
        <w:t>:</w:t>
      </w:r>
      <w:r w:rsidR="00525F3A">
        <w:tab/>
      </w:r>
      <w:r w:rsidR="00525F3A" w:rsidRPr="005448F6">
        <w:rPr>
          <w:rFonts w:ascii="Tahoma" w:hAnsi="Tahoma" w:cs="Tahoma"/>
        </w:rPr>
        <w:t xml:space="preserve">For </w:t>
      </w:r>
      <w:r w:rsidR="00525F3A">
        <w:rPr>
          <w:rFonts w:ascii="Tahoma" w:hAnsi="Tahoma" w:cs="Tahoma"/>
        </w:rPr>
        <w:t>the</w:t>
      </w:r>
      <w:r w:rsidR="00525F3A" w:rsidRPr="005448F6">
        <w:rPr>
          <w:rFonts w:ascii="Tahoma" w:hAnsi="Tahoma" w:cs="Tahoma"/>
        </w:rPr>
        <w:t xml:space="preserve"> purposes of this solicitation, “serving or supporting a port” may include</w:t>
      </w:r>
      <w:r w:rsidR="00525F3A">
        <w:rPr>
          <w:rFonts w:ascii="Tahoma" w:hAnsi="Tahoma" w:cs="Tahoma"/>
        </w:rPr>
        <w:t>, but is not limited to</w:t>
      </w:r>
      <w:r w:rsidR="00525F3A" w:rsidRPr="005448F6">
        <w:rPr>
          <w:rFonts w:ascii="Tahoma" w:hAnsi="Tahoma" w:cs="Tahoma"/>
        </w:rPr>
        <w:t xml:space="preserve">: MDHD fleets transporting goods to or from a port to warehouses, distribution centers, railways or other logistics hubs; MDHD fleets and Cargo Handling Equipment operating within a port, including ship-to-shore transfers and intra-terminal movement of goods; </w:t>
      </w:r>
      <w:r w:rsidR="00525F3A">
        <w:rPr>
          <w:rFonts w:ascii="Tahoma" w:hAnsi="Tahoma" w:cs="Tahoma"/>
        </w:rPr>
        <w:t>o</w:t>
      </w:r>
      <w:r w:rsidR="00525F3A" w:rsidRPr="005448F6">
        <w:rPr>
          <w:rFonts w:ascii="Tahoma" w:hAnsi="Tahoma" w:cs="Tahoma"/>
        </w:rPr>
        <w:t>ffshore support vessels (e.g., tugboats) that assist in the safe and efficient docking, departure, or movement of cargo and container vessels.</w:t>
      </w:r>
      <w:r w:rsidR="00525F3A">
        <w:rPr>
          <w:rFonts w:ascii="Tahoma" w:hAnsi="Tahoma" w:cs="Tahoma"/>
        </w:rPr>
        <w:t xml:space="preserve"> </w:t>
      </w:r>
      <w:r w:rsidR="00525F3A" w:rsidRPr="005922AC">
        <w:rPr>
          <w:rFonts w:ascii="Tahoma" w:hAnsi="Tahoma" w:cs="Tahoma"/>
        </w:rPr>
        <w:t xml:space="preserve">If </w:t>
      </w:r>
      <w:r w:rsidR="00525F3A">
        <w:rPr>
          <w:rFonts w:ascii="Tahoma" w:hAnsi="Tahoma" w:cs="Tahoma"/>
        </w:rPr>
        <w:t xml:space="preserve">Applicants are </w:t>
      </w:r>
      <w:r w:rsidR="00525F3A" w:rsidRPr="005922AC">
        <w:rPr>
          <w:rFonts w:ascii="Tahoma" w:hAnsi="Tahoma" w:cs="Tahoma"/>
        </w:rPr>
        <w:t>not located at a port, the project narrative should describe how port operations</w:t>
      </w:r>
      <w:r w:rsidR="00525F3A">
        <w:rPr>
          <w:rFonts w:ascii="Tahoma" w:hAnsi="Tahoma" w:cs="Tahoma"/>
        </w:rPr>
        <w:t xml:space="preserve"> are supported</w:t>
      </w:r>
      <w:r w:rsidR="00525F3A" w:rsidRPr="005922AC">
        <w:rPr>
          <w:rFonts w:ascii="Tahoma" w:hAnsi="Tahoma" w:cs="Tahoma"/>
        </w:rPr>
        <w:t>.</w:t>
      </w:r>
    </w:p>
    <w:p w14:paraId="1BB82EA1" w14:textId="77777777" w:rsidR="009674EC" w:rsidRDefault="009674EC" w:rsidP="0021093F">
      <w:pPr>
        <w:keepLines/>
        <w:widowControl w:val="0"/>
        <w:ind w:left="720" w:hanging="720"/>
        <w:rPr>
          <w:rFonts w:ascii="Tahoma" w:hAnsi="Tahoma" w:cs="Tahoma"/>
          <w:b/>
        </w:rPr>
      </w:pPr>
    </w:p>
    <w:p w14:paraId="59284A8F" w14:textId="3F2C066C" w:rsidR="009674EC" w:rsidRDefault="00986FF8" w:rsidP="001277B8">
      <w:pPr>
        <w:keepLines/>
        <w:widowControl w:val="0"/>
        <w:ind w:left="720" w:hanging="720"/>
        <w:rPr>
          <w:rFonts w:ascii="Tahoma" w:hAnsi="Tahoma" w:cs="Tahoma"/>
        </w:rPr>
      </w:pPr>
      <w:r w:rsidRPr="005448F6">
        <w:rPr>
          <w:rFonts w:ascii="Tahoma" w:hAnsi="Tahoma" w:cs="Tahoma"/>
          <w:b/>
        </w:rPr>
        <w:t>Q</w:t>
      </w:r>
      <w:r>
        <w:rPr>
          <w:rFonts w:ascii="Tahoma" w:hAnsi="Tahoma" w:cs="Tahoma"/>
          <w:b/>
        </w:rPr>
        <w:t>39</w:t>
      </w:r>
      <w:r w:rsidR="004D5D4E" w:rsidRPr="005448F6">
        <w:rPr>
          <w:rFonts w:ascii="Tahoma" w:hAnsi="Tahoma" w:cs="Tahoma"/>
          <w:b/>
        </w:rPr>
        <w:t>:</w:t>
      </w:r>
      <w:r w:rsidR="004D5D4E" w:rsidRPr="005448F6">
        <w:rPr>
          <w:rFonts w:ascii="Tahoma" w:hAnsi="Tahoma" w:cs="Tahoma"/>
          <w:b/>
        </w:rPr>
        <w:tab/>
        <w:t xml:space="preserve">What is </w:t>
      </w:r>
      <w:r w:rsidR="004D5D4E">
        <w:rPr>
          <w:rFonts w:ascii="Tahoma" w:hAnsi="Tahoma" w:cs="Tahoma"/>
          <w:b/>
        </w:rPr>
        <w:t xml:space="preserve">the </w:t>
      </w:r>
      <w:r w:rsidR="004D5D4E" w:rsidRPr="005448F6">
        <w:rPr>
          <w:rFonts w:ascii="Tahoma" w:hAnsi="Tahoma" w:cs="Tahoma"/>
          <w:b/>
        </w:rPr>
        <w:t>CEC’s definition of “seaport”?</w:t>
      </w:r>
    </w:p>
    <w:p w14:paraId="7165C6B1" w14:textId="77777777" w:rsidR="009674EC" w:rsidRPr="005448F6" w:rsidRDefault="009674EC" w:rsidP="0021093F">
      <w:pPr>
        <w:keepLines/>
        <w:widowControl w:val="0"/>
        <w:ind w:left="720" w:hanging="720"/>
        <w:rPr>
          <w:rFonts w:ascii="Tahoma" w:hAnsi="Tahoma" w:cs="Tahoma"/>
          <w:b/>
        </w:rPr>
      </w:pPr>
    </w:p>
    <w:p w14:paraId="334E3CA1" w14:textId="1D6FEA7B" w:rsidR="004D5D4E" w:rsidRPr="005448F6" w:rsidRDefault="00986FF8" w:rsidP="0021093F">
      <w:pPr>
        <w:keepLines/>
        <w:widowControl w:val="0"/>
        <w:ind w:left="720" w:hanging="720"/>
        <w:rPr>
          <w:rFonts w:ascii="Tahoma" w:hAnsi="Tahoma" w:cs="Tahoma"/>
        </w:rPr>
      </w:pPr>
      <w:r w:rsidRPr="005448F6">
        <w:rPr>
          <w:rFonts w:ascii="Tahoma" w:hAnsi="Tahoma" w:cs="Tahoma"/>
        </w:rPr>
        <w:t>A</w:t>
      </w:r>
      <w:r>
        <w:rPr>
          <w:rFonts w:ascii="Tahoma" w:hAnsi="Tahoma" w:cs="Tahoma"/>
        </w:rPr>
        <w:t>39</w:t>
      </w:r>
      <w:r w:rsidR="004D5D4E" w:rsidRPr="005448F6">
        <w:rPr>
          <w:rFonts w:ascii="Tahoma" w:hAnsi="Tahoma" w:cs="Tahoma"/>
        </w:rPr>
        <w:t>:</w:t>
      </w:r>
      <w:r w:rsidR="004D5D4E" w:rsidRPr="005448F6">
        <w:rPr>
          <w:rFonts w:ascii="Tahoma" w:hAnsi="Tahoma" w:cs="Tahoma"/>
        </w:rPr>
        <w:tab/>
      </w:r>
      <w:r w:rsidR="004D5D4E">
        <w:rPr>
          <w:rFonts w:ascii="Tahoma" w:hAnsi="Tahoma" w:cs="Tahoma"/>
        </w:rPr>
        <w:t xml:space="preserve">For the purposes of this solicitation, “seaport” refers to the </w:t>
      </w:r>
      <w:r w:rsidR="004D5D4E" w:rsidRPr="005448F6">
        <w:rPr>
          <w:rFonts w:ascii="Tahoma" w:hAnsi="Tahoma" w:cs="Tahoma"/>
        </w:rPr>
        <w:t>12 ports listed in the C</w:t>
      </w:r>
      <w:r w:rsidR="004D5D4E">
        <w:rPr>
          <w:rFonts w:ascii="Tahoma" w:hAnsi="Tahoma" w:cs="Tahoma"/>
        </w:rPr>
        <w:t>alifornia</w:t>
      </w:r>
      <w:r w:rsidR="004D5D4E" w:rsidRPr="005448F6">
        <w:rPr>
          <w:rFonts w:ascii="Tahoma" w:hAnsi="Tahoma" w:cs="Tahoma"/>
        </w:rPr>
        <w:t xml:space="preserve"> Legislative Analyst’s Office </w:t>
      </w:r>
      <w:r w:rsidR="004D5D4E" w:rsidRPr="003D5889">
        <w:rPr>
          <w:rFonts w:ascii="Tahoma" w:hAnsi="Tahoma" w:cs="Tahoma"/>
          <w:i/>
        </w:rPr>
        <w:t>Overview of California Ports</w:t>
      </w:r>
      <w:r w:rsidR="004D5D4E" w:rsidRPr="005448F6">
        <w:rPr>
          <w:rFonts w:ascii="Tahoma" w:hAnsi="Tahoma" w:cs="Tahoma"/>
        </w:rPr>
        <w:t xml:space="preserve"> </w:t>
      </w:r>
      <w:r w:rsidR="004D5D4E">
        <w:rPr>
          <w:rFonts w:ascii="Tahoma" w:hAnsi="Tahoma" w:cs="Tahoma"/>
        </w:rPr>
        <w:t>(</w:t>
      </w:r>
      <w:r w:rsidR="004D5D4E" w:rsidRPr="005448F6">
        <w:rPr>
          <w:rFonts w:ascii="Tahoma" w:hAnsi="Tahoma" w:cs="Tahoma"/>
        </w:rPr>
        <w:t>August 17, 2023</w:t>
      </w:r>
      <w:r w:rsidR="004D5D4E">
        <w:rPr>
          <w:rFonts w:ascii="Tahoma" w:hAnsi="Tahoma" w:cs="Tahoma"/>
        </w:rPr>
        <w:t xml:space="preserve">) available at </w:t>
      </w:r>
      <w:hyperlink r:id="rId11" w:history="1">
        <w:r w:rsidR="004D5D4E" w:rsidRPr="005448F6">
          <w:rPr>
            <w:rFonts w:ascii="Tahoma" w:hAnsi="Tahoma" w:cs="Tahoma"/>
          </w:rPr>
          <w:t>https://lao.ca.gov/handouts/resources/2023/Ports-Overview-081723.pdf</w:t>
        </w:r>
      </w:hyperlink>
      <w:r w:rsidR="004D5D4E">
        <w:t>.</w:t>
      </w:r>
    </w:p>
    <w:p w14:paraId="43D8F0A0" w14:textId="77777777" w:rsidR="004D5D4E" w:rsidRPr="005448F6" w:rsidRDefault="004D5D4E" w:rsidP="0021093F">
      <w:pPr>
        <w:pStyle w:val="ListParagraph"/>
        <w:keepNext/>
        <w:keepLines/>
        <w:widowControl w:val="0"/>
        <w:rPr>
          <w:rFonts w:ascii="Tahoma" w:hAnsi="Tahoma" w:cs="Tahoma"/>
        </w:rPr>
      </w:pPr>
      <w:r w:rsidRPr="005448F6">
        <w:rPr>
          <w:rFonts w:ascii="Tahoma" w:hAnsi="Tahoma" w:cs="Tahoma"/>
        </w:rPr>
        <w:lastRenderedPageBreak/>
        <w:t>The</w:t>
      </w:r>
      <w:r>
        <w:rPr>
          <w:rFonts w:ascii="Tahoma" w:hAnsi="Tahoma" w:cs="Tahoma"/>
        </w:rPr>
        <w:t xml:space="preserve"> 12 eligible </w:t>
      </w:r>
      <w:proofErr w:type="gramStart"/>
      <w:r>
        <w:rPr>
          <w:rFonts w:ascii="Tahoma" w:hAnsi="Tahoma" w:cs="Tahoma"/>
        </w:rPr>
        <w:t>sea</w:t>
      </w:r>
      <w:r w:rsidRPr="005448F6">
        <w:rPr>
          <w:rFonts w:ascii="Tahoma" w:hAnsi="Tahoma" w:cs="Tahoma"/>
        </w:rPr>
        <w:t>ports</w:t>
      </w:r>
      <w:proofErr w:type="gramEnd"/>
      <w:r w:rsidRPr="005448F6">
        <w:rPr>
          <w:rFonts w:ascii="Tahoma" w:hAnsi="Tahoma" w:cs="Tahoma"/>
        </w:rPr>
        <w:t xml:space="preserve"> are:</w:t>
      </w:r>
    </w:p>
    <w:p w14:paraId="7494121F" w14:textId="77777777" w:rsidR="004D5D4E" w:rsidRPr="005448F6" w:rsidRDefault="004D5D4E" w:rsidP="0021093F">
      <w:pPr>
        <w:pStyle w:val="ListParagraph"/>
        <w:keepNext/>
        <w:keepLines/>
        <w:widowControl w:val="0"/>
        <w:numPr>
          <w:ilvl w:val="0"/>
          <w:numId w:val="9"/>
        </w:numPr>
        <w:rPr>
          <w:rFonts w:ascii="Tahoma" w:hAnsi="Tahoma" w:cs="Tahoma"/>
        </w:rPr>
      </w:pPr>
      <w:r w:rsidRPr="005448F6">
        <w:rPr>
          <w:rFonts w:ascii="Tahoma" w:hAnsi="Tahoma" w:cs="Tahoma"/>
        </w:rPr>
        <w:t>Port of Long Beach</w:t>
      </w:r>
    </w:p>
    <w:p w14:paraId="6F8833F5" w14:textId="77777777" w:rsidR="004D5D4E" w:rsidRPr="005448F6" w:rsidRDefault="004D5D4E" w:rsidP="0021093F">
      <w:pPr>
        <w:pStyle w:val="ListParagraph"/>
        <w:keepNext/>
        <w:keepLines/>
        <w:widowControl w:val="0"/>
        <w:numPr>
          <w:ilvl w:val="0"/>
          <w:numId w:val="9"/>
        </w:numPr>
        <w:rPr>
          <w:rFonts w:ascii="Tahoma" w:hAnsi="Tahoma" w:cs="Tahoma"/>
        </w:rPr>
      </w:pPr>
      <w:r w:rsidRPr="005448F6">
        <w:rPr>
          <w:rFonts w:ascii="Tahoma" w:hAnsi="Tahoma" w:cs="Tahoma"/>
        </w:rPr>
        <w:t>Port of Los Angeles</w:t>
      </w:r>
    </w:p>
    <w:p w14:paraId="573E3237" w14:textId="77777777" w:rsidR="004D5D4E" w:rsidRPr="005448F6" w:rsidRDefault="004D5D4E" w:rsidP="0021093F">
      <w:pPr>
        <w:pStyle w:val="ListParagraph"/>
        <w:keepNext/>
        <w:keepLines/>
        <w:widowControl w:val="0"/>
        <w:numPr>
          <w:ilvl w:val="0"/>
          <w:numId w:val="9"/>
        </w:numPr>
        <w:rPr>
          <w:rFonts w:ascii="Tahoma" w:hAnsi="Tahoma" w:cs="Tahoma"/>
        </w:rPr>
      </w:pPr>
      <w:r w:rsidRPr="005448F6">
        <w:rPr>
          <w:rFonts w:ascii="Tahoma" w:hAnsi="Tahoma" w:cs="Tahoma"/>
        </w:rPr>
        <w:t>Port of Richmond</w:t>
      </w:r>
    </w:p>
    <w:p w14:paraId="08195DB2" w14:textId="77777777" w:rsidR="004D5D4E" w:rsidRPr="005448F6" w:rsidRDefault="004D5D4E" w:rsidP="0021093F">
      <w:pPr>
        <w:pStyle w:val="ListParagraph"/>
        <w:keepNext/>
        <w:keepLines/>
        <w:widowControl w:val="0"/>
        <w:numPr>
          <w:ilvl w:val="0"/>
          <w:numId w:val="9"/>
        </w:numPr>
        <w:rPr>
          <w:rFonts w:ascii="Tahoma" w:hAnsi="Tahoma" w:cs="Tahoma"/>
        </w:rPr>
      </w:pPr>
      <w:r w:rsidRPr="005448F6">
        <w:rPr>
          <w:rFonts w:ascii="Tahoma" w:hAnsi="Tahoma" w:cs="Tahoma"/>
        </w:rPr>
        <w:t>Port of Oakland</w:t>
      </w:r>
    </w:p>
    <w:p w14:paraId="502C36DA" w14:textId="77777777" w:rsidR="004D5D4E" w:rsidRPr="005448F6" w:rsidRDefault="004D5D4E" w:rsidP="004D5D4E">
      <w:pPr>
        <w:pStyle w:val="ListParagraph"/>
        <w:numPr>
          <w:ilvl w:val="0"/>
          <w:numId w:val="9"/>
        </w:numPr>
        <w:rPr>
          <w:rFonts w:ascii="Tahoma" w:hAnsi="Tahoma" w:cs="Tahoma"/>
        </w:rPr>
      </w:pPr>
      <w:r w:rsidRPr="005448F6">
        <w:rPr>
          <w:rFonts w:ascii="Tahoma" w:hAnsi="Tahoma" w:cs="Tahoma"/>
        </w:rPr>
        <w:t>Port of Stockton</w:t>
      </w:r>
    </w:p>
    <w:p w14:paraId="4B412415" w14:textId="77777777" w:rsidR="004D5D4E" w:rsidRPr="005448F6" w:rsidRDefault="004D5D4E" w:rsidP="004D5D4E">
      <w:pPr>
        <w:pStyle w:val="ListParagraph"/>
        <w:numPr>
          <w:ilvl w:val="0"/>
          <w:numId w:val="9"/>
        </w:numPr>
        <w:rPr>
          <w:rFonts w:ascii="Tahoma" w:hAnsi="Tahoma" w:cs="Tahoma"/>
        </w:rPr>
      </w:pPr>
      <w:r w:rsidRPr="005448F6">
        <w:rPr>
          <w:rFonts w:ascii="Tahoma" w:hAnsi="Tahoma" w:cs="Tahoma"/>
        </w:rPr>
        <w:t>Port of San Francisco</w:t>
      </w:r>
    </w:p>
    <w:p w14:paraId="1D122022" w14:textId="77777777" w:rsidR="004D5D4E" w:rsidRPr="005448F6" w:rsidRDefault="004D5D4E" w:rsidP="004D5D4E">
      <w:pPr>
        <w:pStyle w:val="ListParagraph"/>
        <w:numPr>
          <w:ilvl w:val="0"/>
          <w:numId w:val="9"/>
        </w:numPr>
        <w:rPr>
          <w:rFonts w:ascii="Tahoma" w:hAnsi="Tahoma" w:cs="Tahoma"/>
        </w:rPr>
      </w:pPr>
      <w:r w:rsidRPr="005448F6">
        <w:rPr>
          <w:rFonts w:ascii="Tahoma" w:hAnsi="Tahoma" w:cs="Tahoma"/>
        </w:rPr>
        <w:t>Port of Redwood City</w:t>
      </w:r>
    </w:p>
    <w:p w14:paraId="5B677E68" w14:textId="77777777" w:rsidR="004D5D4E" w:rsidRPr="005448F6" w:rsidRDefault="004D5D4E" w:rsidP="004D5D4E">
      <w:pPr>
        <w:pStyle w:val="ListParagraph"/>
        <w:numPr>
          <w:ilvl w:val="0"/>
          <w:numId w:val="9"/>
        </w:numPr>
        <w:rPr>
          <w:rFonts w:ascii="Tahoma" w:hAnsi="Tahoma" w:cs="Tahoma"/>
        </w:rPr>
      </w:pPr>
      <w:r w:rsidRPr="005448F6">
        <w:rPr>
          <w:rFonts w:ascii="Tahoma" w:hAnsi="Tahoma" w:cs="Tahoma"/>
        </w:rPr>
        <w:t>Port of Hueneme</w:t>
      </w:r>
    </w:p>
    <w:p w14:paraId="2C69559E" w14:textId="77777777" w:rsidR="004D5D4E" w:rsidRPr="005448F6" w:rsidRDefault="004D5D4E" w:rsidP="004D5D4E">
      <w:pPr>
        <w:pStyle w:val="ListParagraph"/>
        <w:numPr>
          <w:ilvl w:val="0"/>
          <w:numId w:val="9"/>
        </w:numPr>
        <w:rPr>
          <w:rFonts w:ascii="Tahoma" w:hAnsi="Tahoma" w:cs="Tahoma"/>
        </w:rPr>
      </w:pPr>
      <w:r w:rsidRPr="005448F6">
        <w:rPr>
          <w:rFonts w:ascii="Tahoma" w:hAnsi="Tahoma" w:cs="Tahoma"/>
        </w:rPr>
        <w:t>Port of San Diego</w:t>
      </w:r>
    </w:p>
    <w:p w14:paraId="60064F36" w14:textId="77777777" w:rsidR="004D5D4E" w:rsidRPr="005448F6" w:rsidRDefault="004D5D4E" w:rsidP="004D5D4E">
      <w:pPr>
        <w:pStyle w:val="ListParagraph"/>
        <w:numPr>
          <w:ilvl w:val="0"/>
          <w:numId w:val="9"/>
        </w:numPr>
        <w:rPr>
          <w:rFonts w:ascii="Tahoma" w:hAnsi="Tahoma" w:cs="Tahoma"/>
        </w:rPr>
      </w:pPr>
      <w:r w:rsidRPr="005448F6">
        <w:rPr>
          <w:rFonts w:ascii="Tahoma" w:hAnsi="Tahoma" w:cs="Tahoma"/>
        </w:rPr>
        <w:t>Port of West Sacramento</w:t>
      </w:r>
    </w:p>
    <w:p w14:paraId="6D19A906" w14:textId="77777777" w:rsidR="004D5D4E" w:rsidRPr="005448F6" w:rsidRDefault="004D5D4E" w:rsidP="004D5D4E">
      <w:pPr>
        <w:pStyle w:val="ListParagraph"/>
        <w:numPr>
          <w:ilvl w:val="0"/>
          <w:numId w:val="9"/>
        </w:numPr>
        <w:rPr>
          <w:rFonts w:ascii="Tahoma" w:hAnsi="Tahoma" w:cs="Tahoma"/>
        </w:rPr>
      </w:pPr>
      <w:r w:rsidRPr="005448F6">
        <w:rPr>
          <w:rFonts w:ascii="Tahoma" w:hAnsi="Tahoma" w:cs="Tahoma"/>
        </w:rPr>
        <w:t>Humbold Bay Harbor District</w:t>
      </w:r>
    </w:p>
    <w:p w14:paraId="0C76464A" w14:textId="77777777" w:rsidR="004D5D4E" w:rsidRPr="005448F6" w:rsidRDefault="004D5D4E" w:rsidP="004D5D4E">
      <w:pPr>
        <w:pStyle w:val="ListParagraph"/>
        <w:numPr>
          <w:ilvl w:val="0"/>
          <w:numId w:val="9"/>
        </w:numPr>
        <w:rPr>
          <w:rFonts w:ascii="Tahoma" w:hAnsi="Tahoma" w:cs="Tahoma"/>
        </w:rPr>
      </w:pPr>
      <w:r w:rsidRPr="005448F6">
        <w:rPr>
          <w:rFonts w:ascii="Tahoma" w:hAnsi="Tahoma" w:cs="Tahoma"/>
        </w:rPr>
        <w:t>Port of Benicia</w:t>
      </w:r>
    </w:p>
    <w:p w14:paraId="30734925" w14:textId="77777777" w:rsidR="004D5D4E" w:rsidRPr="005448F6" w:rsidRDefault="004D5D4E" w:rsidP="004D5D4E">
      <w:pPr>
        <w:rPr>
          <w:rFonts w:ascii="Tahoma" w:hAnsi="Tahoma" w:cs="Tahoma"/>
          <w:b/>
        </w:rPr>
      </w:pPr>
    </w:p>
    <w:p w14:paraId="51C9D620" w14:textId="6B43ECBC" w:rsidR="004D5D4E" w:rsidRPr="005448F6" w:rsidRDefault="00986FF8" w:rsidP="004D5D4E">
      <w:pPr>
        <w:ind w:left="720" w:hanging="720"/>
        <w:rPr>
          <w:rFonts w:ascii="Tahoma" w:hAnsi="Tahoma" w:cs="Tahoma"/>
          <w:b/>
        </w:rPr>
      </w:pPr>
      <w:r w:rsidRPr="005448F6">
        <w:rPr>
          <w:rFonts w:ascii="Tahoma" w:hAnsi="Tahoma" w:cs="Tahoma"/>
          <w:b/>
        </w:rPr>
        <w:t>Q</w:t>
      </w:r>
      <w:r>
        <w:rPr>
          <w:rFonts w:ascii="Tahoma" w:hAnsi="Tahoma" w:cs="Tahoma"/>
          <w:b/>
        </w:rPr>
        <w:t>40</w:t>
      </w:r>
      <w:r w:rsidR="004D5D4E" w:rsidRPr="005448F6">
        <w:rPr>
          <w:rFonts w:ascii="Tahoma" w:hAnsi="Tahoma" w:cs="Tahoma"/>
          <w:b/>
        </w:rPr>
        <w:t>:</w:t>
      </w:r>
      <w:r w:rsidR="004D5D4E" w:rsidRPr="005448F6">
        <w:rPr>
          <w:rFonts w:ascii="Tahoma" w:hAnsi="Tahoma" w:cs="Tahoma"/>
          <w:b/>
        </w:rPr>
        <w:tab/>
        <w:t xml:space="preserve">What is </w:t>
      </w:r>
      <w:r w:rsidR="004D5D4E">
        <w:rPr>
          <w:rFonts w:ascii="Tahoma" w:hAnsi="Tahoma" w:cs="Tahoma"/>
          <w:b/>
        </w:rPr>
        <w:t xml:space="preserve">the </w:t>
      </w:r>
      <w:r w:rsidR="004D5D4E" w:rsidRPr="005448F6">
        <w:rPr>
          <w:rFonts w:ascii="Tahoma" w:hAnsi="Tahoma" w:cs="Tahoma"/>
          <w:b/>
        </w:rPr>
        <w:t>CEC’s definition of “land port of entry”? </w:t>
      </w:r>
      <w:r w:rsidR="004D5D4E" w:rsidRPr="005D0119">
        <w:rPr>
          <w:rFonts w:ascii="Tahoma" w:hAnsi="Tahoma" w:cs="Tahoma"/>
          <w:b/>
        </w:rPr>
        <w:t>For example, are border crossings the only eligible facilities, or could this include other types of inland freight hubs or intermodal transfer points? Are truck freight depots eligible?</w:t>
      </w:r>
    </w:p>
    <w:p w14:paraId="4728609E" w14:textId="77777777" w:rsidR="004D5D4E" w:rsidRPr="005448F6" w:rsidRDefault="004D5D4E" w:rsidP="004D5D4E">
      <w:pPr>
        <w:ind w:left="720" w:hanging="720"/>
        <w:rPr>
          <w:rFonts w:ascii="Tahoma" w:hAnsi="Tahoma" w:cs="Tahoma"/>
        </w:rPr>
      </w:pPr>
    </w:p>
    <w:p w14:paraId="730F62D0" w14:textId="686C4D91" w:rsidR="004D5D4E" w:rsidRDefault="00986FF8" w:rsidP="004D5D4E">
      <w:pPr>
        <w:ind w:left="720" w:hanging="720"/>
        <w:rPr>
          <w:rFonts w:ascii="Tahoma" w:hAnsi="Tahoma" w:cs="Tahoma"/>
        </w:rPr>
      </w:pPr>
      <w:r w:rsidRPr="005448F6">
        <w:rPr>
          <w:rFonts w:ascii="Tahoma" w:hAnsi="Tahoma" w:cs="Tahoma"/>
        </w:rPr>
        <w:t>A</w:t>
      </w:r>
      <w:r>
        <w:rPr>
          <w:rFonts w:ascii="Tahoma" w:hAnsi="Tahoma" w:cs="Tahoma"/>
        </w:rPr>
        <w:t>40</w:t>
      </w:r>
      <w:r w:rsidR="004D5D4E" w:rsidRPr="005448F6">
        <w:rPr>
          <w:rFonts w:ascii="Tahoma" w:hAnsi="Tahoma" w:cs="Tahoma"/>
        </w:rPr>
        <w:t>:</w:t>
      </w:r>
      <w:r w:rsidR="004D5D4E" w:rsidRPr="005448F6">
        <w:rPr>
          <w:rFonts w:ascii="Tahoma" w:hAnsi="Tahoma" w:cs="Tahoma"/>
        </w:rPr>
        <w:tab/>
      </w:r>
      <w:r w:rsidR="004D5D4E" w:rsidRPr="00EF6255">
        <w:rPr>
          <w:rFonts w:ascii="Tahoma" w:hAnsi="Tahoma" w:cs="Tahoma"/>
        </w:rPr>
        <w:t>For the purposes of this solicitation</w:t>
      </w:r>
      <w:r w:rsidR="004D5D4E">
        <w:rPr>
          <w:rFonts w:ascii="Tahoma" w:hAnsi="Tahoma" w:cs="Tahoma"/>
        </w:rPr>
        <w:t>, “</w:t>
      </w:r>
      <w:r w:rsidR="004D5D4E" w:rsidRPr="005448F6">
        <w:rPr>
          <w:rFonts w:ascii="Tahoma" w:hAnsi="Tahoma" w:cs="Tahoma"/>
        </w:rPr>
        <w:t>land ports of entry</w:t>
      </w:r>
      <w:r w:rsidR="004D5D4E">
        <w:rPr>
          <w:rFonts w:ascii="Tahoma" w:hAnsi="Tahoma" w:cs="Tahoma"/>
        </w:rPr>
        <w:t xml:space="preserve">” refer to the designated border crossings identified by the </w:t>
      </w:r>
      <w:r w:rsidR="004D5D4E" w:rsidRPr="005448F6">
        <w:rPr>
          <w:rFonts w:ascii="Tahoma" w:hAnsi="Tahoma" w:cs="Tahoma"/>
        </w:rPr>
        <w:t>U.S. Department of Transportation</w:t>
      </w:r>
      <w:r w:rsidR="004D5D4E">
        <w:rPr>
          <w:rFonts w:ascii="Tahoma" w:hAnsi="Tahoma" w:cs="Tahoma"/>
        </w:rPr>
        <w:t>’s</w:t>
      </w:r>
      <w:r w:rsidR="004D5D4E" w:rsidRPr="005448F6">
        <w:rPr>
          <w:rFonts w:ascii="Tahoma" w:hAnsi="Tahoma" w:cs="Tahoma"/>
        </w:rPr>
        <w:t xml:space="preserve"> Bureau of Transportation Statistics</w:t>
      </w:r>
      <w:r w:rsidR="004D5D4E">
        <w:rPr>
          <w:rFonts w:ascii="Tahoma" w:hAnsi="Tahoma" w:cs="Tahoma"/>
        </w:rPr>
        <w:t xml:space="preserve"> available at </w:t>
      </w:r>
      <w:hyperlink r:id="rId12" w:history="1">
        <w:r w:rsidR="004D5D4E" w:rsidRPr="00717696">
          <w:rPr>
            <w:rStyle w:val="Hyperlink"/>
            <w:rFonts w:ascii="Tahoma" w:hAnsi="Tahoma" w:cs="Tahoma"/>
          </w:rPr>
          <w:t>https://data.bts.gov/stories/s/myhq-rm6q</w:t>
        </w:r>
      </w:hyperlink>
      <w:r w:rsidR="004D5D4E">
        <w:rPr>
          <w:rFonts w:ascii="Tahoma" w:hAnsi="Tahoma" w:cs="Tahoma"/>
        </w:rPr>
        <w:t xml:space="preserve">. </w:t>
      </w:r>
    </w:p>
    <w:p w14:paraId="304EC877" w14:textId="77777777" w:rsidR="004D5D4E" w:rsidRDefault="004D5D4E" w:rsidP="004D5D4E">
      <w:pPr>
        <w:ind w:left="720" w:hanging="720"/>
        <w:rPr>
          <w:rFonts w:ascii="Tahoma" w:hAnsi="Tahoma" w:cs="Tahoma"/>
        </w:rPr>
      </w:pPr>
    </w:p>
    <w:p w14:paraId="596D3D4B" w14:textId="77777777" w:rsidR="004D5D4E" w:rsidRPr="005448F6" w:rsidRDefault="004D5D4E" w:rsidP="004D5D4E">
      <w:pPr>
        <w:ind w:left="720"/>
        <w:rPr>
          <w:rFonts w:ascii="Tahoma" w:hAnsi="Tahoma" w:cs="Tahoma"/>
        </w:rPr>
      </w:pPr>
      <w:bookmarkStart w:id="2" w:name="_Hlk196913514"/>
      <w:r>
        <w:rPr>
          <w:rFonts w:ascii="Tahoma" w:hAnsi="Tahoma" w:cs="Tahoma"/>
        </w:rPr>
        <w:t xml:space="preserve">Eligible land ports of entry include: </w:t>
      </w:r>
    </w:p>
    <w:p w14:paraId="4ED54BB3" w14:textId="77777777" w:rsidR="004D5D4E" w:rsidRPr="005448F6" w:rsidRDefault="004D5D4E" w:rsidP="004D5D4E">
      <w:pPr>
        <w:pStyle w:val="ListParagraph"/>
        <w:numPr>
          <w:ilvl w:val="0"/>
          <w:numId w:val="8"/>
        </w:numPr>
        <w:rPr>
          <w:rFonts w:ascii="Tahoma" w:hAnsi="Tahoma" w:cs="Tahoma"/>
        </w:rPr>
      </w:pPr>
      <w:r w:rsidRPr="005448F6">
        <w:rPr>
          <w:rFonts w:ascii="Tahoma" w:hAnsi="Tahoma" w:cs="Tahoma"/>
        </w:rPr>
        <w:t>San Ysidro</w:t>
      </w:r>
    </w:p>
    <w:p w14:paraId="67C5E99E" w14:textId="77777777" w:rsidR="004D5D4E" w:rsidRPr="005448F6" w:rsidRDefault="004D5D4E" w:rsidP="004D5D4E">
      <w:pPr>
        <w:pStyle w:val="ListParagraph"/>
        <w:numPr>
          <w:ilvl w:val="0"/>
          <w:numId w:val="8"/>
        </w:numPr>
        <w:rPr>
          <w:rFonts w:ascii="Tahoma" w:hAnsi="Tahoma" w:cs="Tahoma"/>
        </w:rPr>
      </w:pPr>
      <w:r w:rsidRPr="005448F6">
        <w:rPr>
          <w:rFonts w:ascii="Tahoma" w:hAnsi="Tahoma" w:cs="Tahoma"/>
        </w:rPr>
        <w:t>Otay Mesa</w:t>
      </w:r>
    </w:p>
    <w:p w14:paraId="2EA03934" w14:textId="77777777" w:rsidR="004D5D4E" w:rsidRPr="005448F6" w:rsidRDefault="004D5D4E" w:rsidP="004D5D4E">
      <w:pPr>
        <w:pStyle w:val="ListParagraph"/>
        <w:numPr>
          <w:ilvl w:val="0"/>
          <w:numId w:val="8"/>
        </w:numPr>
        <w:rPr>
          <w:rFonts w:ascii="Tahoma" w:hAnsi="Tahoma" w:cs="Tahoma"/>
        </w:rPr>
      </w:pPr>
      <w:r w:rsidRPr="005448F6">
        <w:rPr>
          <w:rFonts w:ascii="Tahoma" w:hAnsi="Tahoma" w:cs="Tahoma"/>
        </w:rPr>
        <w:t>Tecate</w:t>
      </w:r>
    </w:p>
    <w:p w14:paraId="53BF3B75" w14:textId="77777777" w:rsidR="004D5D4E" w:rsidRPr="005448F6" w:rsidRDefault="004D5D4E" w:rsidP="004D5D4E">
      <w:pPr>
        <w:pStyle w:val="ListParagraph"/>
        <w:numPr>
          <w:ilvl w:val="0"/>
          <w:numId w:val="8"/>
        </w:numPr>
        <w:rPr>
          <w:rFonts w:ascii="Tahoma" w:hAnsi="Tahoma" w:cs="Tahoma"/>
        </w:rPr>
      </w:pPr>
      <w:r w:rsidRPr="005448F6">
        <w:rPr>
          <w:rFonts w:ascii="Tahoma" w:hAnsi="Tahoma" w:cs="Tahoma"/>
        </w:rPr>
        <w:t>Calexico West</w:t>
      </w:r>
    </w:p>
    <w:p w14:paraId="6A58E0DA" w14:textId="77777777" w:rsidR="004D5D4E" w:rsidRPr="005448F6" w:rsidRDefault="004D5D4E" w:rsidP="004D5D4E">
      <w:pPr>
        <w:pStyle w:val="ListParagraph"/>
        <w:numPr>
          <w:ilvl w:val="0"/>
          <w:numId w:val="8"/>
        </w:numPr>
        <w:rPr>
          <w:rFonts w:ascii="Tahoma" w:hAnsi="Tahoma" w:cs="Tahoma"/>
        </w:rPr>
      </w:pPr>
      <w:r w:rsidRPr="005448F6">
        <w:rPr>
          <w:rFonts w:ascii="Tahoma" w:hAnsi="Tahoma" w:cs="Tahoma"/>
        </w:rPr>
        <w:t>Calexico East</w:t>
      </w:r>
    </w:p>
    <w:p w14:paraId="6EB6F3DE" w14:textId="77777777" w:rsidR="004D5D4E" w:rsidRPr="005448F6" w:rsidRDefault="004D5D4E" w:rsidP="004D5D4E">
      <w:pPr>
        <w:pStyle w:val="ListParagraph"/>
        <w:numPr>
          <w:ilvl w:val="0"/>
          <w:numId w:val="8"/>
        </w:numPr>
        <w:rPr>
          <w:rFonts w:ascii="Tahoma" w:hAnsi="Tahoma" w:cs="Tahoma"/>
        </w:rPr>
      </w:pPr>
      <w:r w:rsidRPr="005448F6">
        <w:rPr>
          <w:rFonts w:ascii="Tahoma" w:hAnsi="Tahoma" w:cs="Tahoma"/>
        </w:rPr>
        <w:t>Andrade</w:t>
      </w:r>
    </w:p>
    <w:bookmarkEnd w:id="2"/>
    <w:p w14:paraId="7BB68255" w14:textId="77777777" w:rsidR="004D5D4E" w:rsidRDefault="004D5D4E" w:rsidP="004D5D4E">
      <w:pPr>
        <w:ind w:firstLine="720"/>
        <w:rPr>
          <w:rFonts w:ascii="Tahoma" w:hAnsi="Tahoma" w:cs="Tahoma"/>
        </w:rPr>
      </w:pPr>
    </w:p>
    <w:p w14:paraId="1DD3734A" w14:textId="0ADC9534" w:rsidR="00FB1D4E" w:rsidRDefault="004D5D4E" w:rsidP="0021093F">
      <w:pPr>
        <w:ind w:left="720"/>
        <w:rPr>
          <w:rFonts w:ascii="Tahoma" w:hAnsi="Tahoma" w:cs="Tahoma"/>
          <w:b/>
        </w:rPr>
      </w:pPr>
      <w:r w:rsidRPr="005D0119">
        <w:rPr>
          <w:rFonts w:ascii="Tahoma" w:hAnsi="Tahoma" w:cs="Tahoma"/>
        </w:rPr>
        <w:t>Inland freight hubs, intermodal transfer points, truck freight depots, etc. are also eligible. Non-port applicants will be required to provide a letter of support from a port or otherwise describe in the project narrative how the project will support the port</w:t>
      </w:r>
      <w:r w:rsidR="009674EC">
        <w:rPr>
          <w:rFonts w:ascii="Tahoma" w:hAnsi="Tahoma" w:cs="Tahoma"/>
          <w:b/>
        </w:rPr>
        <w:t>.</w:t>
      </w:r>
    </w:p>
    <w:p w14:paraId="37D55CFA" w14:textId="6E42B932" w:rsidR="004D5D4E" w:rsidRDefault="00986FF8" w:rsidP="0021093F">
      <w:pPr>
        <w:rPr>
          <w:rFonts w:ascii="Tahoma" w:hAnsi="Tahoma" w:cs="Tahoma"/>
          <w:b/>
        </w:rPr>
      </w:pPr>
      <w:r w:rsidRPr="005448F6">
        <w:rPr>
          <w:rFonts w:ascii="Tahoma" w:hAnsi="Tahoma" w:cs="Tahoma"/>
          <w:b/>
        </w:rPr>
        <w:t>Q</w:t>
      </w:r>
      <w:r>
        <w:rPr>
          <w:rFonts w:ascii="Tahoma" w:hAnsi="Tahoma" w:cs="Tahoma"/>
          <w:b/>
        </w:rPr>
        <w:t>41</w:t>
      </w:r>
      <w:r w:rsidR="004D5D4E" w:rsidRPr="005448F6">
        <w:rPr>
          <w:rFonts w:ascii="Tahoma" w:hAnsi="Tahoma" w:cs="Tahoma"/>
          <w:b/>
        </w:rPr>
        <w:t>:</w:t>
      </w:r>
      <w:r w:rsidR="004D5D4E" w:rsidRPr="005448F6">
        <w:rPr>
          <w:rFonts w:ascii="Tahoma" w:hAnsi="Tahoma" w:cs="Tahoma"/>
          <w:b/>
        </w:rPr>
        <w:tab/>
        <w:t xml:space="preserve">What is </w:t>
      </w:r>
      <w:r w:rsidR="004D5D4E">
        <w:rPr>
          <w:rFonts w:ascii="Tahoma" w:hAnsi="Tahoma" w:cs="Tahoma"/>
          <w:b/>
        </w:rPr>
        <w:t xml:space="preserve">the </w:t>
      </w:r>
      <w:r w:rsidR="004D5D4E" w:rsidRPr="005448F6">
        <w:rPr>
          <w:rFonts w:ascii="Tahoma" w:hAnsi="Tahoma" w:cs="Tahoma"/>
          <w:b/>
        </w:rPr>
        <w:t>CEC’s definition of “make-ready equipment”? </w:t>
      </w:r>
    </w:p>
    <w:p w14:paraId="0F5CC3B5" w14:textId="77777777" w:rsidR="004D5D4E" w:rsidRPr="005448F6" w:rsidRDefault="004D5D4E" w:rsidP="0021093F">
      <w:pPr>
        <w:keepLines/>
        <w:widowControl w:val="0"/>
        <w:ind w:left="720" w:hanging="720"/>
        <w:rPr>
          <w:rFonts w:ascii="Tahoma" w:hAnsi="Tahoma" w:cs="Tahoma"/>
          <w:b/>
        </w:rPr>
      </w:pPr>
    </w:p>
    <w:p w14:paraId="74CCA4E8" w14:textId="449A52EC" w:rsidR="004D5D4E" w:rsidRPr="005448F6" w:rsidRDefault="00986FF8" w:rsidP="0021093F">
      <w:pPr>
        <w:keepLines/>
        <w:widowControl w:val="0"/>
        <w:ind w:left="720" w:hanging="720"/>
        <w:rPr>
          <w:rFonts w:ascii="Tahoma" w:hAnsi="Tahoma" w:cs="Tahoma"/>
        </w:rPr>
      </w:pPr>
      <w:r w:rsidRPr="005448F6">
        <w:rPr>
          <w:rFonts w:ascii="Tahoma" w:hAnsi="Tahoma" w:cs="Tahoma"/>
        </w:rPr>
        <w:t>A</w:t>
      </w:r>
      <w:r>
        <w:rPr>
          <w:rFonts w:ascii="Tahoma" w:hAnsi="Tahoma" w:cs="Tahoma"/>
        </w:rPr>
        <w:t>41</w:t>
      </w:r>
      <w:r w:rsidR="004D5D4E" w:rsidRPr="005448F6">
        <w:rPr>
          <w:rFonts w:ascii="Tahoma" w:hAnsi="Tahoma" w:cs="Tahoma"/>
        </w:rPr>
        <w:t>:</w:t>
      </w:r>
      <w:r w:rsidR="004D5D4E">
        <w:tab/>
      </w:r>
      <w:r w:rsidR="004D5D4E" w:rsidRPr="002131D9">
        <w:rPr>
          <w:rFonts w:ascii="Tahoma" w:hAnsi="Tahoma" w:cs="Tahoma"/>
        </w:rPr>
        <w:t>For the purposes of this solicitation</w:t>
      </w:r>
      <w:r w:rsidR="004D5D4E">
        <w:rPr>
          <w:rFonts w:ascii="Tahoma" w:hAnsi="Tahoma" w:cs="Tahoma"/>
        </w:rPr>
        <w:t xml:space="preserve">, </w:t>
      </w:r>
      <w:r w:rsidR="004D5D4E" w:rsidRPr="005448F6">
        <w:rPr>
          <w:rFonts w:ascii="Tahoma" w:hAnsi="Tahoma" w:cs="Tahoma"/>
        </w:rPr>
        <w:t xml:space="preserve">“make-ready </w:t>
      </w:r>
      <w:r w:rsidR="004D5D4E">
        <w:rPr>
          <w:rFonts w:ascii="Tahoma" w:hAnsi="Tahoma" w:cs="Tahoma"/>
        </w:rPr>
        <w:t>equipment</w:t>
      </w:r>
      <w:r w:rsidR="004D5D4E" w:rsidRPr="15D50CD3">
        <w:rPr>
          <w:rFonts w:ascii="Tahoma" w:hAnsi="Tahoma" w:cs="Tahoma"/>
        </w:rPr>
        <w:t>”</w:t>
      </w:r>
      <w:r w:rsidR="004D5D4E" w:rsidRPr="007D4CB8">
        <w:rPr>
          <w:rFonts w:ascii="Tahoma" w:hAnsi="Tahoma" w:cs="Tahoma"/>
        </w:rPr>
        <w:t xml:space="preserve"> includes installation of wiring, conduit, etc. for a charging</w:t>
      </w:r>
      <w:r w:rsidR="004D5D4E" w:rsidRPr="005448F6">
        <w:rPr>
          <w:rFonts w:ascii="Tahoma" w:hAnsi="Tahoma" w:cs="Tahoma"/>
        </w:rPr>
        <w:t xml:space="preserve"> or </w:t>
      </w:r>
      <w:r w:rsidR="004D5D4E" w:rsidRPr="007D4CB8">
        <w:rPr>
          <w:rFonts w:ascii="Tahoma" w:hAnsi="Tahoma" w:cs="Tahoma"/>
        </w:rPr>
        <w:t>refueling site without installing the actual charging system or dispensing platform</w:t>
      </w:r>
      <w:r w:rsidR="004D5D4E" w:rsidRPr="005448F6">
        <w:rPr>
          <w:rFonts w:ascii="Tahoma" w:hAnsi="Tahoma" w:cs="Tahoma"/>
        </w:rPr>
        <w:t>.</w:t>
      </w:r>
    </w:p>
    <w:p w14:paraId="69DF5449" w14:textId="77777777" w:rsidR="004D5D4E" w:rsidRPr="005448F6" w:rsidRDefault="004D5D4E" w:rsidP="004D5D4E">
      <w:pPr>
        <w:ind w:left="720" w:hanging="720"/>
        <w:rPr>
          <w:rFonts w:ascii="Tahoma" w:hAnsi="Tahoma" w:cs="Tahoma"/>
        </w:rPr>
      </w:pPr>
    </w:p>
    <w:p w14:paraId="770009E7" w14:textId="54B37B89" w:rsidR="00A76175" w:rsidRPr="005448F6" w:rsidRDefault="00986FF8" w:rsidP="00A76175">
      <w:pPr>
        <w:ind w:left="720" w:hanging="720"/>
        <w:rPr>
          <w:rFonts w:ascii="Tahoma" w:hAnsi="Tahoma" w:cs="Tahoma"/>
          <w:b/>
        </w:rPr>
      </w:pPr>
      <w:r w:rsidRPr="005448F6">
        <w:rPr>
          <w:rFonts w:ascii="Tahoma" w:hAnsi="Tahoma" w:cs="Tahoma"/>
          <w:b/>
        </w:rPr>
        <w:t>Q</w:t>
      </w:r>
      <w:r>
        <w:rPr>
          <w:rFonts w:ascii="Tahoma" w:hAnsi="Tahoma" w:cs="Tahoma"/>
          <w:b/>
        </w:rPr>
        <w:t>42</w:t>
      </w:r>
      <w:r w:rsidR="00A76175" w:rsidRPr="005448F6">
        <w:rPr>
          <w:rFonts w:ascii="Tahoma" w:hAnsi="Tahoma" w:cs="Tahoma"/>
          <w:b/>
        </w:rPr>
        <w:t>:</w:t>
      </w:r>
      <w:r w:rsidR="00A76175" w:rsidRPr="005448F6">
        <w:rPr>
          <w:rFonts w:ascii="Tahoma" w:hAnsi="Tahoma" w:cs="Tahoma"/>
          <w:b/>
        </w:rPr>
        <w:tab/>
        <w:t xml:space="preserve">Is there a minimum </w:t>
      </w:r>
      <w:r w:rsidR="00A76175">
        <w:rPr>
          <w:rFonts w:ascii="Tahoma" w:hAnsi="Tahoma" w:cs="Tahoma"/>
          <w:b/>
        </w:rPr>
        <w:t xml:space="preserve">required </w:t>
      </w:r>
      <w:r w:rsidR="00A76175" w:rsidRPr="005448F6">
        <w:rPr>
          <w:rFonts w:ascii="Tahoma" w:hAnsi="Tahoma" w:cs="Tahoma"/>
          <w:b/>
        </w:rPr>
        <w:t xml:space="preserve">timeframe for </w:t>
      </w:r>
      <w:r w:rsidR="00A76175">
        <w:rPr>
          <w:rFonts w:ascii="Tahoma" w:hAnsi="Tahoma" w:cs="Tahoma"/>
          <w:b/>
        </w:rPr>
        <w:t>operational</w:t>
      </w:r>
      <w:r w:rsidR="00A76175" w:rsidRPr="005448F6">
        <w:rPr>
          <w:rFonts w:ascii="Tahoma" w:hAnsi="Tahoma" w:cs="Tahoma"/>
          <w:b/>
        </w:rPr>
        <w:t xml:space="preserve"> data reporting </w:t>
      </w:r>
      <w:r w:rsidR="00A76175">
        <w:rPr>
          <w:rFonts w:ascii="Tahoma" w:hAnsi="Tahoma" w:cs="Tahoma"/>
          <w:b/>
        </w:rPr>
        <w:t>under this solicitation?</w:t>
      </w:r>
    </w:p>
    <w:p w14:paraId="5788CB5E" w14:textId="77777777" w:rsidR="00A76175" w:rsidRPr="005448F6" w:rsidRDefault="00A76175" w:rsidP="00A76175">
      <w:pPr>
        <w:ind w:left="720" w:hanging="720"/>
        <w:rPr>
          <w:rFonts w:ascii="Tahoma" w:hAnsi="Tahoma" w:cs="Tahoma"/>
          <w:b/>
        </w:rPr>
      </w:pPr>
    </w:p>
    <w:p w14:paraId="35EEB715" w14:textId="2FA9907B" w:rsidR="00A76175" w:rsidRPr="005448F6" w:rsidRDefault="00986FF8" w:rsidP="00A76175">
      <w:pPr>
        <w:ind w:left="720" w:hanging="720"/>
        <w:rPr>
          <w:rFonts w:ascii="Tahoma" w:hAnsi="Tahoma" w:cs="Tahoma"/>
        </w:rPr>
      </w:pPr>
      <w:r w:rsidRPr="005448F6">
        <w:rPr>
          <w:rFonts w:ascii="Tahoma" w:hAnsi="Tahoma" w:cs="Tahoma"/>
        </w:rPr>
        <w:lastRenderedPageBreak/>
        <w:t>A</w:t>
      </w:r>
      <w:r>
        <w:rPr>
          <w:rFonts w:ascii="Tahoma" w:hAnsi="Tahoma" w:cs="Tahoma"/>
        </w:rPr>
        <w:t>42</w:t>
      </w:r>
      <w:r w:rsidR="00A76175" w:rsidRPr="005448F6">
        <w:rPr>
          <w:rFonts w:ascii="Tahoma" w:hAnsi="Tahoma" w:cs="Tahoma"/>
        </w:rPr>
        <w:t>:</w:t>
      </w:r>
      <w:r w:rsidR="00A76175" w:rsidRPr="005448F6">
        <w:rPr>
          <w:rFonts w:ascii="Tahoma" w:hAnsi="Tahoma" w:cs="Tahoma"/>
        </w:rPr>
        <w:tab/>
        <w:t xml:space="preserve">Yes. </w:t>
      </w:r>
      <w:r w:rsidR="00A76175">
        <w:rPr>
          <w:rFonts w:ascii="Tahoma" w:hAnsi="Tahoma" w:cs="Tahoma"/>
        </w:rPr>
        <w:t xml:space="preserve">Awarded projects must conduct </w:t>
      </w:r>
      <w:r w:rsidR="00A76175" w:rsidRPr="005448F6">
        <w:rPr>
          <w:rFonts w:ascii="Tahoma" w:hAnsi="Tahoma" w:cs="Tahoma"/>
        </w:rPr>
        <w:t xml:space="preserve">12 months of demonstration and data collection </w:t>
      </w:r>
      <w:r w:rsidR="00A76175">
        <w:rPr>
          <w:rFonts w:ascii="Tahoma" w:hAnsi="Tahoma" w:cs="Tahoma"/>
        </w:rPr>
        <w:t>on the deploying charging or hydrogen refueling infrastructure within the term of the agreement. In addition, r</w:t>
      </w:r>
      <w:r w:rsidR="00A76175" w:rsidRPr="007A2C73">
        <w:rPr>
          <w:rFonts w:ascii="Tahoma" w:hAnsi="Tahoma" w:cs="Tahoma"/>
        </w:rPr>
        <w:t xml:space="preserve">ecipients </w:t>
      </w:r>
      <w:r w:rsidR="00A76175">
        <w:rPr>
          <w:rFonts w:ascii="Tahoma" w:hAnsi="Tahoma" w:cs="Tahoma"/>
        </w:rPr>
        <w:t xml:space="preserve">of awarded projects </w:t>
      </w:r>
      <w:r w:rsidR="00A76175" w:rsidRPr="007A2C73">
        <w:rPr>
          <w:rFonts w:ascii="Tahoma" w:hAnsi="Tahoma" w:cs="Tahoma"/>
        </w:rPr>
        <w:t>shall comply with the reliability performance standards, recordkeeping, reporting, and maintenance requirements for EV chargers installed</w:t>
      </w:r>
      <w:r w:rsidR="00A76175">
        <w:rPr>
          <w:rFonts w:ascii="Tahoma" w:hAnsi="Tahoma" w:cs="Tahoma"/>
        </w:rPr>
        <w:t xml:space="preserve">, as outlined in the Scope of Work template (Attachment 2). While the data </w:t>
      </w:r>
      <w:r w:rsidR="00A76175" w:rsidRPr="005448F6">
        <w:rPr>
          <w:rFonts w:ascii="Tahoma" w:hAnsi="Tahoma" w:cs="Tahoma"/>
        </w:rPr>
        <w:t>is collected daily</w:t>
      </w:r>
      <w:r w:rsidR="00A76175">
        <w:rPr>
          <w:rFonts w:ascii="Tahoma" w:hAnsi="Tahoma" w:cs="Tahoma"/>
        </w:rPr>
        <w:t>, it must be reported to the CEC on a quarterly basis.</w:t>
      </w:r>
      <w:r w:rsidR="00A76175" w:rsidRPr="005448F6">
        <w:rPr>
          <w:rFonts w:ascii="Tahoma" w:hAnsi="Tahoma" w:cs="Tahoma"/>
        </w:rPr>
        <w:t xml:space="preserve"> </w:t>
      </w:r>
      <w:r w:rsidR="00A76175">
        <w:rPr>
          <w:rFonts w:ascii="Tahoma" w:hAnsi="Tahoma" w:cs="Tahoma"/>
        </w:rPr>
        <w:t>Refer to Section II.B.4., Data Collection.</w:t>
      </w:r>
    </w:p>
    <w:p w14:paraId="40DDDAE5" w14:textId="77777777" w:rsidR="004D5D4E" w:rsidRDefault="004D5D4E" w:rsidP="003C7378">
      <w:pPr>
        <w:spacing w:line="278" w:lineRule="auto"/>
        <w:ind w:left="720" w:hanging="720"/>
        <w:rPr>
          <w:rFonts w:ascii="Tahoma" w:hAnsi="Tahoma" w:cs="Tahoma"/>
        </w:rPr>
      </w:pPr>
    </w:p>
    <w:p w14:paraId="6488AEE8" w14:textId="73DF177B" w:rsidR="00A60D57" w:rsidRPr="005448F6" w:rsidRDefault="00986FF8" w:rsidP="00A60D57">
      <w:pPr>
        <w:ind w:left="720" w:hanging="720"/>
        <w:rPr>
          <w:rFonts w:ascii="Tahoma" w:hAnsi="Tahoma" w:cs="Tahoma"/>
          <w:b/>
        </w:rPr>
      </w:pPr>
      <w:r w:rsidRPr="005448F6">
        <w:rPr>
          <w:rFonts w:ascii="Tahoma" w:hAnsi="Tahoma" w:cs="Tahoma"/>
          <w:b/>
        </w:rPr>
        <w:t>Q</w:t>
      </w:r>
      <w:r>
        <w:rPr>
          <w:rFonts w:ascii="Tahoma" w:hAnsi="Tahoma" w:cs="Tahoma"/>
          <w:b/>
        </w:rPr>
        <w:t>43</w:t>
      </w:r>
      <w:r w:rsidR="00A60D57" w:rsidRPr="005448F6">
        <w:rPr>
          <w:rFonts w:ascii="Tahoma" w:hAnsi="Tahoma" w:cs="Tahoma"/>
          <w:b/>
        </w:rPr>
        <w:t>:</w:t>
      </w:r>
      <w:r w:rsidR="00A60D57" w:rsidRPr="005448F6">
        <w:rPr>
          <w:rFonts w:ascii="Tahoma" w:hAnsi="Tahoma" w:cs="Tahoma"/>
          <w:b/>
        </w:rPr>
        <w:tab/>
        <w:t>Is there a deadline by which time CEQA must be completed?</w:t>
      </w:r>
    </w:p>
    <w:p w14:paraId="6AAAE92C" w14:textId="77777777" w:rsidR="00A60D57" w:rsidRPr="005448F6" w:rsidRDefault="00A60D57" w:rsidP="00A60D57">
      <w:pPr>
        <w:ind w:left="720" w:hanging="720"/>
        <w:rPr>
          <w:rFonts w:ascii="Tahoma" w:hAnsi="Tahoma" w:cs="Tahoma"/>
          <w:b/>
        </w:rPr>
      </w:pPr>
    </w:p>
    <w:p w14:paraId="39C03698" w14:textId="7F4EAB73" w:rsidR="00A60D57" w:rsidRPr="005448F6" w:rsidRDefault="00986FF8" w:rsidP="00A60D57">
      <w:pPr>
        <w:ind w:left="720" w:hanging="720"/>
        <w:rPr>
          <w:rFonts w:ascii="Tahoma" w:hAnsi="Tahoma" w:cs="Tahoma"/>
        </w:rPr>
      </w:pPr>
      <w:r w:rsidRPr="005448F6">
        <w:rPr>
          <w:rFonts w:ascii="Tahoma" w:hAnsi="Tahoma" w:cs="Tahoma"/>
        </w:rPr>
        <w:t>A</w:t>
      </w:r>
      <w:r>
        <w:rPr>
          <w:rFonts w:ascii="Tahoma" w:hAnsi="Tahoma" w:cs="Tahoma"/>
        </w:rPr>
        <w:t>43</w:t>
      </w:r>
      <w:r w:rsidR="00A60D57" w:rsidRPr="005448F6">
        <w:rPr>
          <w:rFonts w:ascii="Tahoma" w:hAnsi="Tahoma" w:cs="Tahoma"/>
        </w:rPr>
        <w:t>:</w:t>
      </w:r>
      <w:r w:rsidR="00A60D57" w:rsidRPr="005448F6">
        <w:rPr>
          <w:rFonts w:ascii="Tahoma" w:hAnsi="Tahoma" w:cs="Tahoma"/>
        </w:rPr>
        <w:tab/>
        <w:t xml:space="preserve">The CEQA worksheet must be completed and submitted with the application packet. </w:t>
      </w:r>
      <w:r w:rsidR="00A60D57" w:rsidRPr="00355E8C">
        <w:rPr>
          <w:rFonts w:ascii="Tahoma" w:hAnsi="Tahoma" w:cs="Tahoma"/>
        </w:rPr>
        <w:t xml:space="preserve">Projects recommended for funding must complete the CEQA process within 6 months of the release date of the NOPA. The CEC reserves the right to cancel proposed awards that do not meet this CEQA compliance deadline and recommend funding for the next, </w:t>
      </w:r>
      <w:proofErr w:type="gramStart"/>
      <w:r w:rsidR="00A60D57" w:rsidRPr="00355E8C">
        <w:rPr>
          <w:rFonts w:ascii="Tahoma" w:hAnsi="Tahoma" w:cs="Tahoma"/>
        </w:rPr>
        <w:t>highest-scoring</w:t>
      </w:r>
      <w:proofErr w:type="gramEnd"/>
      <w:r w:rsidR="00A60D57" w:rsidRPr="00355E8C">
        <w:rPr>
          <w:rFonts w:ascii="Tahoma" w:hAnsi="Tahoma" w:cs="Tahoma"/>
        </w:rPr>
        <w:t xml:space="preserve"> passing proposal submitted under this </w:t>
      </w:r>
      <w:r w:rsidR="00A60D57" w:rsidRPr="001E13D8">
        <w:rPr>
          <w:rFonts w:ascii="Tahoma" w:hAnsi="Tahoma" w:cs="Tahoma"/>
        </w:rPr>
        <w:t>solicitation</w:t>
      </w:r>
      <w:r w:rsidR="00037C6A" w:rsidRPr="001E13D8">
        <w:rPr>
          <w:rFonts w:ascii="Tahoma" w:hAnsi="Tahoma" w:cs="Tahoma"/>
        </w:rPr>
        <w:t xml:space="preserve"> </w:t>
      </w:r>
      <w:r w:rsidR="00037C6A" w:rsidRPr="005B3F22">
        <w:rPr>
          <w:rFonts w:ascii="Tahoma" w:hAnsi="Tahoma" w:cs="Tahoma"/>
        </w:rPr>
        <w:t>consistent with the evaluation process</w:t>
      </w:r>
      <w:r w:rsidR="000D5BB4" w:rsidRPr="005B3F22">
        <w:rPr>
          <w:rFonts w:ascii="Tahoma" w:hAnsi="Tahoma" w:cs="Tahoma"/>
        </w:rPr>
        <w:t xml:space="preserve"> discussed in Section I.E. How Award is </w:t>
      </w:r>
      <w:r w:rsidR="0083692D" w:rsidRPr="005B3F22">
        <w:rPr>
          <w:rFonts w:ascii="Tahoma" w:hAnsi="Tahoma" w:cs="Tahoma"/>
        </w:rPr>
        <w:t>Determined</w:t>
      </w:r>
      <w:r w:rsidR="008C344F" w:rsidRPr="005B3F22">
        <w:rPr>
          <w:rFonts w:ascii="Tahoma" w:hAnsi="Tahoma" w:cs="Tahoma"/>
        </w:rPr>
        <w:t>,</w:t>
      </w:r>
      <w:r w:rsidR="0083692D" w:rsidRPr="005B3F22">
        <w:rPr>
          <w:rFonts w:ascii="Tahoma" w:hAnsi="Tahoma" w:cs="Tahoma"/>
        </w:rPr>
        <w:t xml:space="preserve"> in Addendum </w:t>
      </w:r>
      <w:r w:rsidR="00595797" w:rsidRPr="005B3F22">
        <w:rPr>
          <w:rFonts w:ascii="Tahoma" w:hAnsi="Tahoma" w:cs="Tahoma"/>
        </w:rPr>
        <w:t>6</w:t>
      </w:r>
      <w:r w:rsidR="00A60D57" w:rsidRPr="001E13D8">
        <w:rPr>
          <w:rFonts w:ascii="Tahoma" w:hAnsi="Tahoma" w:cs="Tahoma"/>
        </w:rPr>
        <w:t>. Refer</w:t>
      </w:r>
      <w:r w:rsidR="00A60D57">
        <w:rPr>
          <w:rFonts w:ascii="Tahoma" w:hAnsi="Tahoma" w:cs="Tahoma"/>
        </w:rPr>
        <w:t xml:space="preserve"> to Section III.D.10., CEQA Worksheet (Attachment 10).</w:t>
      </w:r>
    </w:p>
    <w:p w14:paraId="1DFB377E" w14:textId="77777777" w:rsidR="00A60D57" w:rsidRPr="005448F6" w:rsidRDefault="00A60D57" w:rsidP="00A60D57">
      <w:pPr>
        <w:ind w:left="720" w:hanging="720"/>
        <w:rPr>
          <w:rFonts w:ascii="Tahoma" w:hAnsi="Tahoma" w:cs="Tahoma"/>
        </w:rPr>
      </w:pPr>
    </w:p>
    <w:p w14:paraId="498CA12F" w14:textId="4CE177B2" w:rsidR="00A60D57" w:rsidRPr="005448F6" w:rsidRDefault="00986FF8" w:rsidP="00A60D57">
      <w:pPr>
        <w:ind w:left="720" w:hanging="720"/>
        <w:rPr>
          <w:rFonts w:ascii="Tahoma" w:hAnsi="Tahoma" w:cs="Tahoma"/>
          <w:b/>
        </w:rPr>
      </w:pPr>
      <w:r w:rsidRPr="005448F6">
        <w:rPr>
          <w:rFonts w:ascii="Tahoma" w:hAnsi="Tahoma" w:cs="Tahoma"/>
          <w:b/>
        </w:rPr>
        <w:t>Q</w:t>
      </w:r>
      <w:r>
        <w:rPr>
          <w:rFonts w:ascii="Tahoma" w:hAnsi="Tahoma" w:cs="Tahoma"/>
          <w:b/>
        </w:rPr>
        <w:t>44</w:t>
      </w:r>
      <w:r w:rsidR="00A60D57" w:rsidRPr="005448F6">
        <w:rPr>
          <w:rFonts w:ascii="Tahoma" w:hAnsi="Tahoma" w:cs="Tahoma"/>
          <w:b/>
        </w:rPr>
        <w:t>:</w:t>
      </w:r>
      <w:r w:rsidR="00A60D57" w:rsidRPr="005448F6">
        <w:rPr>
          <w:rFonts w:ascii="Tahoma" w:hAnsi="Tahoma" w:cs="Tahoma"/>
          <w:b/>
        </w:rPr>
        <w:tab/>
        <w:t xml:space="preserve">Is there an encumbrance deadline </w:t>
      </w:r>
      <w:r w:rsidR="00A60D57">
        <w:rPr>
          <w:rFonts w:ascii="Tahoma" w:hAnsi="Tahoma" w:cs="Tahoma"/>
          <w:b/>
        </w:rPr>
        <w:t>associated with the</w:t>
      </w:r>
      <w:r w:rsidR="00A60D57" w:rsidRPr="005448F6">
        <w:rPr>
          <w:rFonts w:ascii="Tahoma" w:hAnsi="Tahoma" w:cs="Tahoma"/>
          <w:b/>
        </w:rPr>
        <w:t xml:space="preserve"> funding</w:t>
      </w:r>
      <w:r w:rsidR="00A60D57">
        <w:rPr>
          <w:rFonts w:ascii="Tahoma" w:hAnsi="Tahoma" w:cs="Tahoma"/>
          <w:b/>
        </w:rPr>
        <w:t xml:space="preserve"> offered in this solicitation</w:t>
      </w:r>
      <w:r w:rsidR="00A60D57" w:rsidRPr="005448F6">
        <w:rPr>
          <w:rFonts w:ascii="Tahoma" w:hAnsi="Tahoma" w:cs="Tahoma"/>
          <w:b/>
        </w:rPr>
        <w:t>?</w:t>
      </w:r>
    </w:p>
    <w:p w14:paraId="33105BB2" w14:textId="77777777" w:rsidR="00A60D57" w:rsidRPr="005448F6" w:rsidRDefault="00A60D57" w:rsidP="00A60D57">
      <w:pPr>
        <w:ind w:left="720" w:hanging="720"/>
        <w:rPr>
          <w:rFonts w:ascii="Tahoma" w:hAnsi="Tahoma" w:cs="Tahoma"/>
          <w:b/>
        </w:rPr>
      </w:pPr>
    </w:p>
    <w:p w14:paraId="159A8A6B" w14:textId="46F27B37" w:rsidR="00A60D57" w:rsidRPr="005448F6" w:rsidRDefault="00986FF8" w:rsidP="00A60D57">
      <w:pPr>
        <w:ind w:left="720" w:hanging="720"/>
        <w:rPr>
          <w:rFonts w:ascii="Tahoma" w:hAnsi="Tahoma" w:cs="Tahoma"/>
        </w:rPr>
      </w:pPr>
      <w:r w:rsidRPr="005448F6">
        <w:rPr>
          <w:rFonts w:ascii="Tahoma" w:hAnsi="Tahoma" w:cs="Tahoma"/>
        </w:rPr>
        <w:t>A</w:t>
      </w:r>
      <w:r>
        <w:rPr>
          <w:rFonts w:ascii="Tahoma" w:hAnsi="Tahoma" w:cs="Tahoma"/>
        </w:rPr>
        <w:t>44</w:t>
      </w:r>
      <w:r w:rsidR="00A60D57" w:rsidRPr="005448F6">
        <w:rPr>
          <w:rFonts w:ascii="Tahoma" w:hAnsi="Tahoma" w:cs="Tahoma"/>
        </w:rPr>
        <w:t>:</w:t>
      </w:r>
      <w:r w:rsidR="00A60D57">
        <w:tab/>
      </w:r>
      <w:r w:rsidR="00A60D57">
        <w:rPr>
          <w:rFonts w:ascii="Tahoma" w:hAnsi="Tahoma" w:cs="Tahoma"/>
        </w:rPr>
        <w:t xml:space="preserve">Yes. </w:t>
      </w:r>
      <w:r w:rsidR="00A60D57" w:rsidRPr="005448F6">
        <w:rPr>
          <w:rFonts w:ascii="Tahoma" w:hAnsi="Tahoma" w:cs="Tahoma"/>
        </w:rPr>
        <w:t xml:space="preserve">This solicitation </w:t>
      </w:r>
      <w:r w:rsidR="00A60D57">
        <w:rPr>
          <w:rFonts w:ascii="Tahoma" w:hAnsi="Tahoma" w:cs="Tahoma"/>
        </w:rPr>
        <w:t xml:space="preserve">is supported by multiple </w:t>
      </w:r>
      <w:r w:rsidR="00A60D57" w:rsidRPr="005448F6">
        <w:rPr>
          <w:rFonts w:ascii="Tahoma" w:hAnsi="Tahoma" w:cs="Tahoma"/>
        </w:rPr>
        <w:t>funding sources</w:t>
      </w:r>
      <w:r w:rsidR="00A60D57">
        <w:rPr>
          <w:rFonts w:ascii="Tahoma" w:hAnsi="Tahoma" w:cs="Tahoma"/>
        </w:rPr>
        <w:t xml:space="preserve">, each with its own encumbrance deadline. </w:t>
      </w:r>
    </w:p>
    <w:p w14:paraId="64BCDAAC" w14:textId="77777777" w:rsidR="00A60D57" w:rsidRPr="005448F6" w:rsidRDefault="00A60D57" w:rsidP="00A60D57">
      <w:pPr>
        <w:ind w:left="720" w:hanging="720"/>
        <w:rPr>
          <w:rFonts w:ascii="Tahoma" w:hAnsi="Tahoma" w:cs="Tahoma"/>
        </w:rPr>
      </w:pPr>
    </w:p>
    <w:p w14:paraId="3C1DF457" w14:textId="20236B53" w:rsidR="00A60D57" w:rsidRPr="005448F6" w:rsidRDefault="00986FF8" w:rsidP="00A60D57">
      <w:pPr>
        <w:ind w:left="720" w:hanging="720"/>
        <w:rPr>
          <w:rFonts w:ascii="Tahoma" w:hAnsi="Tahoma" w:cs="Tahoma"/>
          <w:b/>
        </w:rPr>
      </w:pPr>
      <w:r w:rsidRPr="005448F6">
        <w:rPr>
          <w:rFonts w:ascii="Tahoma" w:hAnsi="Tahoma" w:cs="Tahoma"/>
          <w:b/>
        </w:rPr>
        <w:t>Q</w:t>
      </w:r>
      <w:r>
        <w:rPr>
          <w:rFonts w:ascii="Tahoma" w:hAnsi="Tahoma" w:cs="Tahoma"/>
          <w:b/>
        </w:rPr>
        <w:t>45</w:t>
      </w:r>
      <w:r w:rsidR="00A60D57" w:rsidRPr="005448F6">
        <w:rPr>
          <w:rFonts w:ascii="Tahoma" w:hAnsi="Tahoma" w:cs="Tahoma"/>
          <w:b/>
        </w:rPr>
        <w:t>:</w:t>
      </w:r>
      <w:r w:rsidR="00A60D57" w:rsidRPr="005448F6">
        <w:rPr>
          <w:rFonts w:ascii="Tahoma" w:hAnsi="Tahoma" w:cs="Tahoma"/>
          <w:b/>
        </w:rPr>
        <w:tab/>
        <w:t>Does the Executive Summary have a page limit?</w:t>
      </w:r>
    </w:p>
    <w:p w14:paraId="6433911C" w14:textId="77777777" w:rsidR="00A60D57" w:rsidRPr="005448F6" w:rsidRDefault="00A60D57" w:rsidP="00A60D57">
      <w:pPr>
        <w:ind w:left="720" w:hanging="720"/>
        <w:rPr>
          <w:rFonts w:ascii="Tahoma" w:hAnsi="Tahoma" w:cs="Tahoma"/>
          <w:b/>
        </w:rPr>
      </w:pPr>
    </w:p>
    <w:p w14:paraId="2952C168" w14:textId="1197F368" w:rsidR="00A60D57" w:rsidRPr="005448F6" w:rsidRDefault="00986FF8" w:rsidP="00A60D57">
      <w:pPr>
        <w:ind w:left="720" w:hanging="720"/>
        <w:rPr>
          <w:rFonts w:ascii="Tahoma" w:hAnsi="Tahoma" w:cs="Tahoma"/>
        </w:rPr>
      </w:pPr>
      <w:r w:rsidRPr="005448F6">
        <w:rPr>
          <w:rFonts w:ascii="Tahoma" w:hAnsi="Tahoma" w:cs="Tahoma"/>
        </w:rPr>
        <w:t>A</w:t>
      </w:r>
      <w:r>
        <w:rPr>
          <w:rFonts w:ascii="Tahoma" w:hAnsi="Tahoma" w:cs="Tahoma"/>
        </w:rPr>
        <w:t>45</w:t>
      </w:r>
      <w:r w:rsidR="00A60D57" w:rsidRPr="005448F6">
        <w:rPr>
          <w:rFonts w:ascii="Tahoma" w:hAnsi="Tahoma" w:cs="Tahoma"/>
        </w:rPr>
        <w:t>:</w:t>
      </w:r>
      <w:r w:rsidR="00A60D57" w:rsidRPr="005448F6">
        <w:rPr>
          <w:rFonts w:ascii="Tahoma" w:hAnsi="Tahoma" w:cs="Tahoma"/>
        </w:rPr>
        <w:tab/>
      </w:r>
      <w:r w:rsidR="00A60D57">
        <w:rPr>
          <w:rFonts w:ascii="Tahoma" w:hAnsi="Tahoma" w:cs="Tahoma"/>
        </w:rPr>
        <w:t xml:space="preserve">The </w:t>
      </w:r>
      <w:r w:rsidR="00A60D57" w:rsidRPr="005448F6">
        <w:rPr>
          <w:rFonts w:ascii="Tahoma" w:hAnsi="Tahoma" w:cs="Tahoma"/>
        </w:rPr>
        <w:t xml:space="preserve">Executive Summary </w:t>
      </w:r>
      <w:r w:rsidR="00A60D57">
        <w:rPr>
          <w:rFonts w:ascii="Tahoma" w:hAnsi="Tahoma" w:cs="Tahoma"/>
        </w:rPr>
        <w:t>has</w:t>
      </w:r>
      <w:r w:rsidR="00A60D57" w:rsidRPr="005448F6">
        <w:rPr>
          <w:rFonts w:ascii="Tahoma" w:hAnsi="Tahoma" w:cs="Tahoma"/>
        </w:rPr>
        <w:t xml:space="preserve"> a </w:t>
      </w:r>
      <w:r w:rsidR="00A60D57">
        <w:rPr>
          <w:rFonts w:ascii="Tahoma" w:hAnsi="Tahoma" w:cs="Tahoma"/>
        </w:rPr>
        <w:t>two-</w:t>
      </w:r>
      <w:r w:rsidR="00A60D57" w:rsidRPr="005448F6">
        <w:rPr>
          <w:rFonts w:ascii="Tahoma" w:hAnsi="Tahoma" w:cs="Tahoma"/>
        </w:rPr>
        <w:t>page limit. Refer to Section III.</w:t>
      </w:r>
      <w:r w:rsidR="00A60D57">
        <w:rPr>
          <w:rFonts w:ascii="Tahoma" w:hAnsi="Tahoma" w:cs="Tahoma"/>
        </w:rPr>
        <w:t>C</w:t>
      </w:r>
      <w:r w:rsidR="00A60D57" w:rsidRPr="005448F6">
        <w:rPr>
          <w:rFonts w:ascii="Tahoma" w:hAnsi="Tahoma" w:cs="Tahoma"/>
        </w:rPr>
        <w:t>. of the solicitation manual.</w:t>
      </w:r>
    </w:p>
    <w:p w14:paraId="66D26B46" w14:textId="77777777" w:rsidR="00A60D57" w:rsidRPr="005448F6" w:rsidRDefault="00A60D57" w:rsidP="00A60D57">
      <w:pPr>
        <w:ind w:left="720" w:hanging="720"/>
        <w:rPr>
          <w:rFonts w:ascii="Tahoma" w:hAnsi="Tahoma" w:cs="Tahoma"/>
        </w:rPr>
      </w:pPr>
    </w:p>
    <w:p w14:paraId="316A5AFC" w14:textId="6B882453" w:rsidR="00A60D57" w:rsidRPr="005448F6" w:rsidRDefault="00986FF8" w:rsidP="00A60D57">
      <w:pPr>
        <w:ind w:left="720" w:hanging="720"/>
        <w:rPr>
          <w:rFonts w:ascii="Tahoma" w:hAnsi="Tahoma" w:cs="Tahoma"/>
          <w:b/>
        </w:rPr>
      </w:pPr>
      <w:r w:rsidRPr="005448F6">
        <w:rPr>
          <w:rFonts w:ascii="Tahoma" w:hAnsi="Tahoma" w:cs="Tahoma"/>
          <w:b/>
        </w:rPr>
        <w:t>Q</w:t>
      </w:r>
      <w:r>
        <w:rPr>
          <w:rFonts w:ascii="Tahoma" w:hAnsi="Tahoma" w:cs="Tahoma"/>
          <w:b/>
        </w:rPr>
        <w:t>46</w:t>
      </w:r>
      <w:r w:rsidR="00A60D57" w:rsidRPr="005448F6">
        <w:rPr>
          <w:rFonts w:ascii="Tahoma" w:hAnsi="Tahoma" w:cs="Tahoma"/>
          <w:b/>
        </w:rPr>
        <w:t>:</w:t>
      </w:r>
      <w:r w:rsidR="00A60D57" w:rsidRPr="005448F6">
        <w:rPr>
          <w:rFonts w:ascii="Tahoma" w:hAnsi="Tahoma" w:cs="Tahoma"/>
          <w:b/>
        </w:rPr>
        <w:tab/>
        <w:t xml:space="preserve">The Scope of Work template (Attachment 2) requires contractors to “submit an AB 841 Certification that certifies the project has complied with all AB 841 (2020) requirements specified in the Agreement Terms and Conditions or describes why the AB 841 requirements do not apply to the project.” </w:t>
      </w:r>
      <w:r w:rsidR="00A60D57">
        <w:rPr>
          <w:rFonts w:ascii="Tahoma" w:hAnsi="Tahoma" w:cs="Tahoma"/>
          <w:b/>
        </w:rPr>
        <w:t>Will the</w:t>
      </w:r>
      <w:r w:rsidR="00A60D57" w:rsidRPr="005448F6">
        <w:rPr>
          <w:rFonts w:ascii="Tahoma" w:hAnsi="Tahoma" w:cs="Tahoma"/>
          <w:b/>
        </w:rPr>
        <w:t xml:space="preserve"> CEC provide</w:t>
      </w:r>
      <w:r w:rsidR="00A60D57">
        <w:rPr>
          <w:rFonts w:ascii="Tahoma" w:hAnsi="Tahoma" w:cs="Tahoma"/>
          <w:b/>
        </w:rPr>
        <w:t xml:space="preserve"> this certification template</w:t>
      </w:r>
      <w:r w:rsidR="00A60D57" w:rsidRPr="005448F6">
        <w:rPr>
          <w:rFonts w:ascii="Tahoma" w:hAnsi="Tahoma" w:cs="Tahoma"/>
          <w:b/>
        </w:rPr>
        <w:t xml:space="preserve">? If not, where </w:t>
      </w:r>
      <w:r w:rsidR="00A60D57">
        <w:rPr>
          <w:rFonts w:ascii="Tahoma" w:hAnsi="Tahoma" w:cs="Tahoma"/>
          <w:b/>
        </w:rPr>
        <w:t>can this be accessed for review in advance</w:t>
      </w:r>
      <w:r w:rsidR="00A60D57" w:rsidRPr="005448F6">
        <w:rPr>
          <w:rFonts w:ascii="Tahoma" w:hAnsi="Tahoma" w:cs="Tahoma"/>
          <w:b/>
        </w:rPr>
        <w:t>?</w:t>
      </w:r>
    </w:p>
    <w:p w14:paraId="5831475E" w14:textId="77777777" w:rsidR="00A60D57" w:rsidRPr="005448F6" w:rsidRDefault="00A60D57" w:rsidP="00A60D57">
      <w:pPr>
        <w:ind w:left="720" w:hanging="720"/>
        <w:rPr>
          <w:rFonts w:ascii="Tahoma" w:hAnsi="Tahoma" w:cs="Tahoma"/>
          <w:b/>
        </w:rPr>
      </w:pPr>
    </w:p>
    <w:p w14:paraId="758BC879" w14:textId="15EFBE30" w:rsidR="00A60D57" w:rsidRPr="005448F6" w:rsidRDefault="00986FF8" w:rsidP="00A60D57">
      <w:pPr>
        <w:ind w:left="720" w:hanging="720"/>
        <w:rPr>
          <w:rFonts w:ascii="Tahoma" w:hAnsi="Tahoma" w:cs="Tahoma"/>
        </w:rPr>
      </w:pPr>
      <w:r w:rsidRPr="005448F6">
        <w:rPr>
          <w:rFonts w:ascii="Tahoma" w:hAnsi="Tahoma" w:cs="Tahoma"/>
        </w:rPr>
        <w:t>A</w:t>
      </w:r>
      <w:r>
        <w:rPr>
          <w:rFonts w:ascii="Tahoma" w:hAnsi="Tahoma" w:cs="Tahoma"/>
        </w:rPr>
        <w:t>46</w:t>
      </w:r>
      <w:r w:rsidR="00A60D57" w:rsidRPr="005448F6">
        <w:rPr>
          <w:rFonts w:ascii="Tahoma" w:hAnsi="Tahoma" w:cs="Tahoma"/>
        </w:rPr>
        <w:t>:</w:t>
      </w:r>
      <w:r w:rsidR="00A60D57" w:rsidRPr="005448F6">
        <w:rPr>
          <w:rFonts w:ascii="Tahoma" w:hAnsi="Tahoma" w:cs="Tahoma"/>
        </w:rPr>
        <w:tab/>
      </w:r>
      <w:r w:rsidR="00A60D57">
        <w:rPr>
          <w:rFonts w:ascii="Tahoma" w:hAnsi="Tahoma" w:cs="Tahoma"/>
        </w:rPr>
        <w:t>Yes, the CEC will provide this template or guidance once the agreement has been executed. Additional information related to AB 841 requirements can be found in Section II.B.5.</w:t>
      </w:r>
    </w:p>
    <w:p w14:paraId="0E96B64F" w14:textId="77777777" w:rsidR="00A60D57" w:rsidRPr="005448F6" w:rsidRDefault="00A60D57" w:rsidP="00A60D57">
      <w:pPr>
        <w:ind w:left="720" w:hanging="720"/>
        <w:rPr>
          <w:rFonts w:ascii="Tahoma" w:hAnsi="Tahoma" w:cs="Tahoma"/>
        </w:rPr>
      </w:pPr>
    </w:p>
    <w:p w14:paraId="46DC9AFD" w14:textId="1B36555A" w:rsidR="00A60D57" w:rsidRPr="005448F6" w:rsidRDefault="00986FF8" w:rsidP="00A60D57">
      <w:pPr>
        <w:ind w:left="720" w:hanging="720"/>
        <w:rPr>
          <w:rFonts w:ascii="Tahoma" w:hAnsi="Tahoma" w:cs="Tahoma"/>
          <w:b/>
        </w:rPr>
      </w:pPr>
      <w:r w:rsidRPr="005448F6">
        <w:rPr>
          <w:rFonts w:ascii="Tahoma" w:hAnsi="Tahoma" w:cs="Tahoma"/>
          <w:b/>
        </w:rPr>
        <w:t>Q</w:t>
      </w:r>
      <w:r>
        <w:rPr>
          <w:rFonts w:ascii="Tahoma" w:hAnsi="Tahoma" w:cs="Tahoma"/>
          <w:b/>
        </w:rPr>
        <w:t>47</w:t>
      </w:r>
      <w:r w:rsidR="00A60D57" w:rsidRPr="005448F6">
        <w:rPr>
          <w:rFonts w:ascii="Tahoma" w:hAnsi="Tahoma" w:cs="Tahoma"/>
          <w:b/>
        </w:rPr>
        <w:t>:</w:t>
      </w:r>
      <w:r w:rsidR="00A60D57">
        <w:tab/>
      </w:r>
      <w:r w:rsidR="00A60D57">
        <w:rPr>
          <w:rFonts w:ascii="Tahoma" w:hAnsi="Tahoma" w:cs="Tahoma"/>
          <w:b/>
        </w:rPr>
        <w:t xml:space="preserve">Is a </w:t>
      </w:r>
      <w:r w:rsidR="00A60D57" w:rsidRPr="005448F6">
        <w:rPr>
          <w:rFonts w:ascii="Tahoma" w:hAnsi="Tahoma" w:cs="Tahoma"/>
          <w:b/>
        </w:rPr>
        <w:t>hydrogen “position” the same as a “fueling hose”</w:t>
      </w:r>
      <w:r w:rsidR="00A60D57">
        <w:rPr>
          <w:rFonts w:ascii="Tahoma" w:hAnsi="Tahoma" w:cs="Tahoma"/>
          <w:b/>
        </w:rPr>
        <w:t>? I</w:t>
      </w:r>
      <w:r w:rsidR="00A60D57" w:rsidRPr="005448F6">
        <w:rPr>
          <w:rFonts w:ascii="Tahoma" w:hAnsi="Tahoma" w:cs="Tahoma"/>
          <w:b/>
        </w:rPr>
        <w:t>s</w:t>
      </w:r>
      <w:r w:rsidR="00A60D57">
        <w:rPr>
          <w:rFonts w:ascii="Tahoma" w:hAnsi="Tahoma" w:cs="Tahoma"/>
          <w:b/>
        </w:rPr>
        <w:t xml:space="preserve"> it</w:t>
      </w:r>
      <w:r w:rsidR="00A60D57" w:rsidRPr="005448F6">
        <w:rPr>
          <w:rFonts w:ascii="Tahoma" w:hAnsi="Tahoma" w:cs="Tahoma"/>
          <w:b/>
        </w:rPr>
        <w:t xml:space="preserve"> possible for a hydrogen dispenser to have two positions</w:t>
      </w:r>
      <w:r w:rsidR="00A60D57">
        <w:rPr>
          <w:rFonts w:ascii="Tahoma" w:hAnsi="Tahoma" w:cs="Tahoma"/>
          <w:b/>
        </w:rPr>
        <w:t>?</w:t>
      </w:r>
    </w:p>
    <w:p w14:paraId="1832AEC9" w14:textId="77777777" w:rsidR="00A60D57" w:rsidRPr="005448F6" w:rsidRDefault="00A60D57" w:rsidP="00A60D57">
      <w:pPr>
        <w:ind w:left="720" w:hanging="720"/>
        <w:rPr>
          <w:rFonts w:ascii="Tahoma" w:hAnsi="Tahoma" w:cs="Tahoma"/>
          <w:b/>
        </w:rPr>
      </w:pPr>
    </w:p>
    <w:p w14:paraId="6B680472" w14:textId="7AE5E1B6" w:rsidR="00A60D57" w:rsidRPr="005448F6" w:rsidRDefault="00986FF8" w:rsidP="00A60D57">
      <w:pPr>
        <w:ind w:left="720" w:hanging="720"/>
        <w:rPr>
          <w:rFonts w:ascii="Tahoma" w:hAnsi="Tahoma" w:cs="Tahoma"/>
        </w:rPr>
      </w:pPr>
      <w:r w:rsidRPr="005448F6">
        <w:rPr>
          <w:rFonts w:ascii="Tahoma" w:hAnsi="Tahoma" w:cs="Tahoma"/>
        </w:rPr>
        <w:t>A</w:t>
      </w:r>
      <w:r>
        <w:rPr>
          <w:rFonts w:ascii="Tahoma" w:hAnsi="Tahoma" w:cs="Tahoma"/>
        </w:rPr>
        <w:t>47</w:t>
      </w:r>
      <w:r w:rsidR="00A60D57" w:rsidRPr="005448F6">
        <w:rPr>
          <w:rFonts w:ascii="Tahoma" w:hAnsi="Tahoma" w:cs="Tahoma"/>
        </w:rPr>
        <w:t>:</w:t>
      </w:r>
      <w:r w:rsidR="00A60D57" w:rsidRPr="005448F6">
        <w:rPr>
          <w:rFonts w:ascii="Tahoma" w:hAnsi="Tahoma" w:cs="Tahoma"/>
        </w:rPr>
        <w:tab/>
        <w:t>“Position,” “hose,” and “nozzle,” all refer to a singular pathway to refuel one MDHD vehicle at a time. A hydrogen dispenser may have one or more positions, hoses, or nozzles.</w:t>
      </w:r>
    </w:p>
    <w:p w14:paraId="107F88CC" w14:textId="77777777" w:rsidR="00A60D57" w:rsidRPr="005448F6" w:rsidRDefault="00A60D57" w:rsidP="00A60D57">
      <w:pPr>
        <w:ind w:left="720" w:hanging="720"/>
        <w:rPr>
          <w:rFonts w:ascii="Tahoma" w:hAnsi="Tahoma" w:cs="Tahoma"/>
        </w:rPr>
      </w:pPr>
    </w:p>
    <w:p w14:paraId="07AFA57F" w14:textId="674E3A0C" w:rsidR="00A60D57" w:rsidRPr="005448F6" w:rsidRDefault="00986FF8" w:rsidP="00A60D57">
      <w:pPr>
        <w:ind w:left="720" w:hanging="720"/>
        <w:rPr>
          <w:rFonts w:ascii="Tahoma" w:hAnsi="Tahoma" w:cs="Tahoma"/>
          <w:b/>
        </w:rPr>
      </w:pPr>
      <w:r w:rsidRPr="005448F6">
        <w:rPr>
          <w:rFonts w:ascii="Tahoma" w:hAnsi="Tahoma" w:cs="Tahoma"/>
          <w:b/>
        </w:rPr>
        <w:t>Q</w:t>
      </w:r>
      <w:r>
        <w:rPr>
          <w:rFonts w:ascii="Tahoma" w:hAnsi="Tahoma" w:cs="Tahoma"/>
          <w:b/>
        </w:rPr>
        <w:t>48</w:t>
      </w:r>
      <w:r w:rsidR="00A60D57" w:rsidRPr="005448F6">
        <w:rPr>
          <w:rFonts w:ascii="Tahoma" w:hAnsi="Tahoma" w:cs="Tahoma"/>
          <w:b/>
        </w:rPr>
        <w:t>:</w:t>
      </w:r>
      <w:r w:rsidR="00A60D57" w:rsidRPr="005448F6">
        <w:rPr>
          <w:rFonts w:ascii="Tahoma" w:hAnsi="Tahoma" w:cs="Tahoma"/>
          <w:b/>
        </w:rPr>
        <w:tab/>
      </w:r>
      <w:r w:rsidR="00A60D57">
        <w:rPr>
          <w:rFonts w:ascii="Tahoma" w:hAnsi="Tahoma" w:cs="Tahoma"/>
          <w:b/>
        </w:rPr>
        <w:t>The solicitation requires that h</w:t>
      </w:r>
      <w:r w:rsidR="00A60D57" w:rsidRPr="005448F6">
        <w:rPr>
          <w:rFonts w:ascii="Tahoma" w:hAnsi="Tahoma" w:cs="Tahoma"/>
          <w:b/>
        </w:rPr>
        <w:t xml:space="preserve">ardware must conform to </w:t>
      </w:r>
      <w:r w:rsidR="00A60D57" w:rsidRPr="00F750FE">
        <w:rPr>
          <w:rFonts w:ascii="Tahoma" w:hAnsi="Tahoma" w:cs="Tahoma"/>
          <w:b/>
        </w:rPr>
        <w:t>International Organization for Standardization (ISO)</w:t>
      </w:r>
      <w:r w:rsidR="00A60D57" w:rsidRPr="005448F6">
        <w:rPr>
          <w:rFonts w:ascii="Tahoma" w:hAnsi="Tahoma" w:cs="Tahoma"/>
          <w:b/>
        </w:rPr>
        <w:t xml:space="preserve"> 15118</w:t>
      </w:r>
      <w:r w:rsidR="00A60D57">
        <w:rPr>
          <w:rFonts w:ascii="Tahoma" w:hAnsi="Tahoma" w:cs="Tahoma"/>
          <w:b/>
        </w:rPr>
        <w:t>-</w:t>
      </w:r>
      <w:r w:rsidR="00A60D57" w:rsidRPr="005448F6">
        <w:rPr>
          <w:rFonts w:ascii="Tahoma" w:hAnsi="Tahoma" w:cs="Tahoma"/>
          <w:b/>
        </w:rPr>
        <w:t xml:space="preserve">3 and be capable of implementing </w:t>
      </w:r>
      <w:r w:rsidR="00A60D57">
        <w:rPr>
          <w:rFonts w:ascii="Tahoma" w:hAnsi="Tahoma" w:cs="Tahoma"/>
          <w:b/>
        </w:rPr>
        <w:t xml:space="preserve">ISO </w:t>
      </w:r>
      <w:r w:rsidR="00A60D57" w:rsidRPr="005448F6">
        <w:rPr>
          <w:rFonts w:ascii="Tahoma" w:hAnsi="Tahoma" w:cs="Tahoma"/>
          <w:b/>
        </w:rPr>
        <w:t>15118</w:t>
      </w:r>
      <w:r w:rsidR="00A60D57">
        <w:rPr>
          <w:rFonts w:ascii="Tahoma" w:hAnsi="Tahoma" w:cs="Tahoma"/>
          <w:b/>
        </w:rPr>
        <w:t>-</w:t>
      </w:r>
      <w:r w:rsidR="00A60D57" w:rsidRPr="005448F6">
        <w:rPr>
          <w:rFonts w:ascii="Tahoma" w:hAnsi="Tahoma" w:cs="Tahoma"/>
          <w:b/>
        </w:rPr>
        <w:t xml:space="preserve">2 &amp; </w:t>
      </w:r>
      <w:r w:rsidR="00A60D57">
        <w:rPr>
          <w:rFonts w:ascii="Tahoma" w:hAnsi="Tahoma" w:cs="Tahoma"/>
          <w:b/>
        </w:rPr>
        <w:t>ISO 15118-</w:t>
      </w:r>
      <w:r w:rsidR="00A60D57" w:rsidRPr="005448F6">
        <w:rPr>
          <w:rFonts w:ascii="Tahoma" w:hAnsi="Tahoma" w:cs="Tahoma"/>
          <w:b/>
        </w:rPr>
        <w:t>20</w:t>
      </w:r>
      <w:r w:rsidR="00A60D57">
        <w:rPr>
          <w:rFonts w:ascii="Tahoma" w:hAnsi="Tahoma" w:cs="Tahoma"/>
          <w:b/>
        </w:rPr>
        <w:t xml:space="preserve"> with </w:t>
      </w:r>
      <w:r w:rsidR="00A60D57" w:rsidRPr="005448F6">
        <w:rPr>
          <w:rFonts w:ascii="Tahoma" w:hAnsi="Tahoma" w:cs="Tahoma"/>
          <w:b/>
        </w:rPr>
        <w:t>conformance testing follow</w:t>
      </w:r>
      <w:r w:rsidR="00A60D57">
        <w:rPr>
          <w:rFonts w:ascii="Tahoma" w:hAnsi="Tahoma" w:cs="Tahoma"/>
          <w:b/>
        </w:rPr>
        <w:t>ing ISO</w:t>
      </w:r>
      <w:r w:rsidR="00A60D57" w:rsidRPr="005448F6">
        <w:rPr>
          <w:rFonts w:ascii="Tahoma" w:hAnsi="Tahoma" w:cs="Tahoma"/>
          <w:b/>
        </w:rPr>
        <w:t xml:space="preserve"> 151184/ 5 respectively.</w:t>
      </w:r>
      <w:r w:rsidR="00A60D57">
        <w:rPr>
          <w:rFonts w:ascii="Tahoma" w:hAnsi="Tahoma" w:cs="Tahoma"/>
          <w:b/>
        </w:rPr>
        <w:t xml:space="preserve"> </w:t>
      </w:r>
      <w:r w:rsidR="00A60D57" w:rsidRPr="005448F6">
        <w:rPr>
          <w:rFonts w:ascii="Tahoma" w:hAnsi="Tahoma" w:cs="Tahoma"/>
          <w:b/>
        </w:rPr>
        <w:t xml:space="preserve">Will certification be required to </w:t>
      </w:r>
      <w:r w:rsidR="00A60D57">
        <w:rPr>
          <w:rFonts w:ascii="Tahoma" w:hAnsi="Tahoma" w:cs="Tahoma"/>
          <w:b/>
        </w:rPr>
        <w:t>demonstrate</w:t>
      </w:r>
      <w:r w:rsidR="00A60D57" w:rsidRPr="005448F6">
        <w:rPr>
          <w:rFonts w:ascii="Tahoma" w:hAnsi="Tahoma" w:cs="Tahoma"/>
          <w:b/>
        </w:rPr>
        <w:t xml:space="preserve"> this?</w:t>
      </w:r>
    </w:p>
    <w:p w14:paraId="786CB321" w14:textId="77777777" w:rsidR="00A60D57" w:rsidRPr="005448F6" w:rsidRDefault="00A60D57" w:rsidP="00A60D57">
      <w:pPr>
        <w:ind w:left="720"/>
        <w:rPr>
          <w:rFonts w:ascii="Tahoma" w:hAnsi="Tahoma" w:cs="Tahoma"/>
          <w:b/>
        </w:rPr>
      </w:pPr>
    </w:p>
    <w:p w14:paraId="7D20E974" w14:textId="60DD8DB0" w:rsidR="00A60D57" w:rsidRPr="005448F6" w:rsidRDefault="00A60D57" w:rsidP="00A60D57">
      <w:pPr>
        <w:ind w:left="720" w:hanging="720"/>
        <w:rPr>
          <w:rFonts w:ascii="Tahoma" w:hAnsi="Tahoma" w:cs="Tahoma"/>
        </w:rPr>
      </w:pPr>
      <w:r w:rsidRPr="005448F6">
        <w:rPr>
          <w:rFonts w:ascii="Tahoma" w:hAnsi="Tahoma" w:cs="Tahoma"/>
        </w:rPr>
        <w:t>A</w:t>
      </w:r>
      <w:r>
        <w:rPr>
          <w:rFonts w:ascii="Tahoma" w:hAnsi="Tahoma" w:cs="Tahoma"/>
        </w:rPr>
        <w:t>48</w:t>
      </w:r>
      <w:r w:rsidRPr="005448F6">
        <w:rPr>
          <w:rFonts w:ascii="Tahoma" w:hAnsi="Tahoma" w:cs="Tahoma"/>
        </w:rPr>
        <w:t>:</w:t>
      </w:r>
      <w:r>
        <w:tab/>
      </w:r>
      <w:r w:rsidRPr="00CA1EAE">
        <w:rPr>
          <w:rFonts w:ascii="Tahoma" w:hAnsi="Tahoma" w:cs="Tahoma"/>
        </w:rPr>
        <w:t xml:space="preserve">At the time of this writing, </w:t>
      </w:r>
      <w:r>
        <w:rPr>
          <w:rFonts w:ascii="Tahoma" w:hAnsi="Tahoma" w:cs="Tahoma"/>
        </w:rPr>
        <w:t>a</w:t>
      </w:r>
      <w:r w:rsidRPr="00CA1EAE">
        <w:rPr>
          <w:rFonts w:ascii="Tahoma" w:hAnsi="Tahoma" w:cs="Tahoma"/>
        </w:rPr>
        <w:t xml:space="preserve"> certification test tool is not yet available. </w:t>
      </w:r>
      <w:r w:rsidRPr="005448F6">
        <w:rPr>
          <w:rFonts w:ascii="Tahoma" w:hAnsi="Tahoma" w:cs="Tahoma"/>
        </w:rPr>
        <w:t xml:space="preserve">The charger manufacturer must </w:t>
      </w:r>
      <w:r>
        <w:rPr>
          <w:rFonts w:ascii="Tahoma" w:hAnsi="Tahoma" w:cs="Tahoma"/>
        </w:rPr>
        <w:t>self-</w:t>
      </w:r>
      <w:r w:rsidRPr="005448F6">
        <w:rPr>
          <w:rFonts w:ascii="Tahoma" w:hAnsi="Tahoma" w:cs="Tahoma"/>
        </w:rPr>
        <w:t>attest that the charger conforms to ISO 15118-3 and is capable of implementing ISO 15118-2 and ISO 15118-20.</w:t>
      </w:r>
    </w:p>
    <w:p w14:paraId="71FE5567" w14:textId="77777777" w:rsidR="004A3A7E" w:rsidRDefault="004A3A7E" w:rsidP="004A3A7E">
      <w:pPr>
        <w:ind w:left="720" w:hanging="720"/>
        <w:rPr>
          <w:rFonts w:ascii="Tahoma" w:hAnsi="Tahoma" w:cs="Tahoma"/>
          <w:b/>
        </w:rPr>
      </w:pPr>
    </w:p>
    <w:p w14:paraId="5D4749A9" w14:textId="348BC72C" w:rsidR="004A3A7E" w:rsidRPr="005448F6" w:rsidRDefault="004A3A7E" w:rsidP="004A3A7E">
      <w:pPr>
        <w:ind w:left="720" w:hanging="720"/>
        <w:rPr>
          <w:rFonts w:ascii="Tahoma" w:hAnsi="Tahoma" w:cs="Tahoma"/>
          <w:b/>
        </w:rPr>
      </w:pPr>
      <w:r w:rsidRPr="005448F6">
        <w:rPr>
          <w:rFonts w:ascii="Tahoma" w:hAnsi="Tahoma" w:cs="Tahoma"/>
          <w:b/>
        </w:rPr>
        <w:t>Q</w:t>
      </w:r>
      <w:r>
        <w:rPr>
          <w:rFonts w:ascii="Tahoma" w:hAnsi="Tahoma" w:cs="Tahoma"/>
          <w:b/>
        </w:rPr>
        <w:t>49</w:t>
      </w:r>
      <w:r w:rsidRPr="005448F6">
        <w:rPr>
          <w:rFonts w:ascii="Tahoma" w:hAnsi="Tahoma" w:cs="Tahoma"/>
          <w:b/>
        </w:rPr>
        <w:t>:</w:t>
      </w:r>
      <w:r w:rsidRPr="005448F6">
        <w:rPr>
          <w:rFonts w:ascii="Tahoma" w:hAnsi="Tahoma" w:cs="Tahoma"/>
          <w:b/>
        </w:rPr>
        <w:tab/>
      </w:r>
      <w:r>
        <w:rPr>
          <w:rFonts w:ascii="Tahoma" w:hAnsi="Tahoma" w:cs="Tahoma"/>
          <w:b/>
        </w:rPr>
        <w:t>The solicitation requires that c</w:t>
      </w:r>
      <w:r w:rsidRPr="005448F6">
        <w:rPr>
          <w:rFonts w:ascii="Tahoma" w:hAnsi="Tahoma" w:cs="Tahoma"/>
          <w:b/>
        </w:rPr>
        <w:t xml:space="preserve">hargers must accept open standard price or load control signals (via </w:t>
      </w:r>
      <w:r w:rsidRPr="003A6AB7">
        <w:rPr>
          <w:rFonts w:ascii="Tahoma" w:hAnsi="Tahoma" w:cs="Tahoma"/>
          <w:b/>
        </w:rPr>
        <w:t xml:space="preserve">Open Charge Point Protocol (OCPP) </w:t>
      </w:r>
      <w:r w:rsidRPr="005448F6">
        <w:rPr>
          <w:rFonts w:ascii="Tahoma" w:hAnsi="Tahoma" w:cs="Tahoma"/>
          <w:b/>
        </w:rPr>
        <w:t>2.0.1 or other network communication) and automatically adjust load.</w:t>
      </w:r>
      <w:r>
        <w:rPr>
          <w:rFonts w:ascii="Tahoma" w:hAnsi="Tahoma" w:cs="Tahoma"/>
          <w:b/>
        </w:rPr>
        <w:t xml:space="preserve"> </w:t>
      </w:r>
      <w:r w:rsidRPr="005448F6">
        <w:rPr>
          <w:rFonts w:ascii="Tahoma" w:hAnsi="Tahoma" w:cs="Tahoma"/>
          <w:b/>
        </w:rPr>
        <w:t>Who will be setting price and load-control from OCPP in this case?</w:t>
      </w:r>
    </w:p>
    <w:p w14:paraId="12E1B89B" w14:textId="77777777" w:rsidR="004A3A7E" w:rsidRPr="005448F6" w:rsidRDefault="004A3A7E" w:rsidP="004A3A7E">
      <w:pPr>
        <w:ind w:left="720"/>
        <w:rPr>
          <w:rFonts w:ascii="Tahoma" w:hAnsi="Tahoma" w:cs="Tahoma"/>
          <w:b/>
        </w:rPr>
      </w:pPr>
    </w:p>
    <w:p w14:paraId="7873CE79" w14:textId="093064C0" w:rsidR="004A3A7E" w:rsidRPr="005448F6" w:rsidRDefault="004A3A7E" w:rsidP="004A3A7E">
      <w:pPr>
        <w:ind w:left="720" w:hanging="720"/>
        <w:rPr>
          <w:rFonts w:ascii="Tahoma" w:hAnsi="Tahoma" w:cs="Tahoma"/>
        </w:rPr>
      </w:pPr>
      <w:r w:rsidRPr="005448F6">
        <w:rPr>
          <w:rFonts w:ascii="Tahoma" w:hAnsi="Tahoma" w:cs="Tahoma"/>
        </w:rPr>
        <w:t>A</w:t>
      </w:r>
      <w:r>
        <w:rPr>
          <w:rFonts w:ascii="Tahoma" w:hAnsi="Tahoma" w:cs="Tahoma"/>
        </w:rPr>
        <w:t>49</w:t>
      </w:r>
      <w:r w:rsidRPr="005448F6">
        <w:rPr>
          <w:rFonts w:ascii="Tahoma" w:hAnsi="Tahoma" w:cs="Tahoma"/>
        </w:rPr>
        <w:t>:</w:t>
      </w:r>
      <w:r w:rsidRPr="005448F6">
        <w:rPr>
          <w:rFonts w:ascii="Tahoma" w:hAnsi="Tahoma" w:cs="Tahoma"/>
        </w:rPr>
        <w:tab/>
        <w:t>The charger must be capable of receiving prices and other grid signals to inform automated load adjustment and management when appropriate. The charging station operator may utilize OCPP or similar protocols for such communication.</w:t>
      </w:r>
    </w:p>
    <w:p w14:paraId="0DC4F2B1" w14:textId="77777777" w:rsidR="004A3A7E" w:rsidRPr="005448F6" w:rsidRDefault="004A3A7E" w:rsidP="004A3A7E">
      <w:pPr>
        <w:ind w:left="720" w:hanging="720"/>
        <w:rPr>
          <w:rFonts w:ascii="Tahoma" w:hAnsi="Tahoma" w:cs="Tahoma"/>
        </w:rPr>
      </w:pPr>
    </w:p>
    <w:p w14:paraId="579F3828" w14:textId="2C139079" w:rsidR="004A3A7E" w:rsidRPr="005448F6" w:rsidRDefault="004A3A7E" w:rsidP="004A3A7E">
      <w:pPr>
        <w:ind w:left="720" w:hanging="720"/>
        <w:rPr>
          <w:rFonts w:ascii="Tahoma" w:hAnsi="Tahoma" w:cs="Tahoma"/>
          <w:b/>
        </w:rPr>
      </w:pPr>
      <w:r w:rsidRPr="005448F6">
        <w:rPr>
          <w:rFonts w:ascii="Tahoma" w:hAnsi="Tahoma" w:cs="Tahoma"/>
          <w:b/>
        </w:rPr>
        <w:t>Q</w:t>
      </w:r>
      <w:r>
        <w:rPr>
          <w:rFonts w:ascii="Tahoma" w:hAnsi="Tahoma" w:cs="Tahoma"/>
          <w:b/>
        </w:rPr>
        <w:t>50</w:t>
      </w:r>
      <w:r w:rsidRPr="005448F6">
        <w:rPr>
          <w:rFonts w:ascii="Tahoma" w:hAnsi="Tahoma" w:cs="Tahoma"/>
          <w:b/>
        </w:rPr>
        <w:t>:</w:t>
      </w:r>
      <w:r w:rsidRPr="005448F6">
        <w:rPr>
          <w:rFonts w:ascii="Tahoma" w:hAnsi="Tahoma" w:cs="Tahoma"/>
          <w:b/>
        </w:rPr>
        <w:tab/>
      </w:r>
      <w:r>
        <w:rPr>
          <w:rFonts w:ascii="Tahoma" w:hAnsi="Tahoma" w:cs="Tahoma"/>
          <w:b/>
        </w:rPr>
        <w:t>The solicitation requires that the c</w:t>
      </w:r>
      <w:r w:rsidRPr="005448F6">
        <w:rPr>
          <w:rFonts w:ascii="Tahoma" w:hAnsi="Tahoma" w:cs="Tahoma"/>
          <w:b/>
        </w:rPr>
        <w:t>harging port must conform to OCPP 2.0.1 or later, and the charging port’s networking software must connect to a central management system using OCPP 2.0.1 for the purposes of charger management and data reporting, including for reliability data reporting requirements</w:t>
      </w:r>
      <w:r>
        <w:rPr>
          <w:rFonts w:ascii="Tahoma" w:hAnsi="Tahoma" w:cs="Tahoma"/>
          <w:b/>
        </w:rPr>
        <w:t>. Our preferred charging</w:t>
      </w:r>
      <w:r w:rsidRPr="005448F6">
        <w:rPr>
          <w:rFonts w:ascii="Tahoma" w:hAnsi="Tahoma" w:cs="Tahoma"/>
          <w:b/>
        </w:rPr>
        <w:t xml:space="preserve"> equipment is certified for OCPP 2.0.1 </w:t>
      </w:r>
      <w:r>
        <w:rPr>
          <w:rFonts w:ascii="Tahoma" w:hAnsi="Tahoma" w:cs="Tahoma"/>
          <w:b/>
        </w:rPr>
        <w:t>but</w:t>
      </w:r>
      <w:r w:rsidRPr="005448F6">
        <w:rPr>
          <w:rFonts w:ascii="Tahoma" w:hAnsi="Tahoma" w:cs="Tahoma"/>
          <w:b/>
        </w:rPr>
        <w:t xml:space="preserve"> utilizes internal software for </w:t>
      </w:r>
      <w:r>
        <w:rPr>
          <w:rFonts w:ascii="Tahoma" w:hAnsi="Tahoma" w:cs="Tahoma"/>
          <w:b/>
        </w:rPr>
        <w:t>its charging</w:t>
      </w:r>
      <w:r w:rsidRPr="005448F6">
        <w:rPr>
          <w:rFonts w:ascii="Tahoma" w:hAnsi="Tahoma" w:cs="Tahoma"/>
          <w:b/>
        </w:rPr>
        <w:t xml:space="preserve"> network. Does this requirement mean </w:t>
      </w:r>
      <w:r>
        <w:rPr>
          <w:rFonts w:ascii="Tahoma" w:hAnsi="Tahoma" w:cs="Tahoma"/>
          <w:b/>
        </w:rPr>
        <w:t>that we</w:t>
      </w:r>
      <w:r w:rsidRPr="005448F6">
        <w:rPr>
          <w:rFonts w:ascii="Tahoma" w:hAnsi="Tahoma" w:cs="Tahoma"/>
          <w:b/>
        </w:rPr>
        <w:t xml:space="preserve"> would need to hire a third party </w:t>
      </w:r>
      <w:r w:rsidRPr="008B49EA">
        <w:rPr>
          <w:rFonts w:ascii="Tahoma" w:hAnsi="Tahoma" w:cs="Tahoma"/>
          <w:b/>
        </w:rPr>
        <w:t>charging station management system</w:t>
      </w:r>
      <w:r w:rsidRPr="005448F6">
        <w:rPr>
          <w:rFonts w:ascii="Tahoma" w:hAnsi="Tahoma" w:cs="Tahoma"/>
          <w:b/>
        </w:rPr>
        <w:t xml:space="preserve">? </w:t>
      </w:r>
    </w:p>
    <w:p w14:paraId="123A37CB" w14:textId="77777777" w:rsidR="004A3A7E" w:rsidRPr="005448F6" w:rsidRDefault="004A3A7E" w:rsidP="004A3A7E">
      <w:pPr>
        <w:ind w:left="720"/>
        <w:rPr>
          <w:rFonts w:ascii="Tahoma" w:hAnsi="Tahoma" w:cs="Tahoma"/>
          <w:b/>
        </w:rPr>
      </w:pPr>
    </w:p>
    <w:p w14:paraId="5E7B1161" w14:textId="56A960CC" w:rsidR="004A3A7E" w:rsidRPr="005448F6" w:rsidRDefault="004A3A7E" w:rsidP="0021093F">
      <w:pPr>
        <w:spacing w:after="160" w:line="278" w:lineRule="auto"/>
        <w:rPr>
          <w:rFonts w:ascii="Tahoma" w:hAnsi="Tahoma" w:cs="Tahoma"/>
        </w:rPr>
      </w:pPr>
      <w:r w:rsidRPr="005448F6">
        <w:rPr>
          <w:rFonts w:ascii="Tahoma" w:hAnsi="Tahoma" w:cs="Tahoma"/>
        </w:rPr>
        <w:t>A</w:t>
      </w:r>
      <w:r>
        <w:rPr>
          <w:rFonts w:ascii="Tahoma" w:hAnsi="Tahoma" w:cs="Tahoma"/>
        </w:rPr>
        <w:t>50</w:t>
      </w:r>
      <w:r w:rsidRPr="005448F6">
        <w:rPr>
          <w:rFonts w:ascii="Tahoma" w:hAnsi="Tahoma" w:cs="Tahoma"/>
        </w:rPr>
        <w:t>:</w:t>
      </w:r>
      <w:r>
        <w:tab/>
      </w:r>
      <w:r w:rsidRPr="005448F6">
        <w:rPr>
          <w:rFonts w:ascii="Tahoma" w:hAnsi="Tahoma" w:cs="Tahoma"/>
        </w:rPr>
        <w:t>OCPP must be used to communicate with the charger for reliability related messages. Other communications (proprietary or otherwise) may be used in parallel with OCPP, but the reliability related messages must be communicated as specified in OCPP 2.0.1 to be able to compare performance of all funding Recipients in a standard way.</w:t>
      </w:r>
    </w:p>
    <w:p w14:paraId="3FB6C068" w14:textId="77777777" w:rsidR="00962C05" w:rsidRDefault="00962C05" w:rsidP="00962C05">
      <w:pPr>
        <w:ind w:left="720" w:hanging="720"/>
        <w:rPr>
          <w:rFonts w:ascii="Tahoma" w:hAnsi="Tahoma" w:cs="Tahoma"/>
          <w:b/>
        </w:rPr>
      </w:pPr>
    </w:p>
    <w:p w14:paraId="29416695" w14:textId="0CB610FF" w:rsidR="00962C05" w:rsidRPr="001E13D8" w:rsidRDefault="00962C05" w:rsidP="00962C05">
      <w:pPr>
        <w:ind w:left="720" w:hanging="720"/>
        <w:rPr>
          <w:rFonts w:ascii="Tahoma" w:hAnsi="Tahoma" w:cs="Tahoma"/>
          <w:b/>
        </w:rPr>
      </w:pPr>
      <w:r w:rsidRPr="001E13D8">
        <w:rPr>
          <w:rFonts w:ascii="Tahoma" w:hAnsi="Tahoma" w:cs="Tahoma"/>
          <w:b/>
        </w:rPr>
        <w:t>Q51:</w:t>
      </w:r>
      <w:r w:rsidRPr="001E13D8">
        <w:rPr>
          <w:rFonts w:ascii="Tahoma" w:hAnsi="Tahoma" w:cs="Tahoma"/>
          <w:b/>
        </w:rPr>
        <w:tab/>
        <w:t xml:space="preserve">Regarding Section II.C. of the Application Manual, “Minimum Technical Requirements for Open Retail Electric Vehicle Charging Stations,” what is the CEC’s definition of open retail? For non-publicly accessible charging stations, i.e., projects that are behind-the-fence, within a port </w:t>
      </w:r>
      <w:r w:rsidRPr="001E13D8">
        <w:rPr>
          <w:rFonts w:ascii="Tahoma" w:hAnsi="Tahoma" w:cs="Tahoma"/>
          <w:b/>
        </w:rPr>
        <w:lastRenderedPageBreak/>
        <w:t>complex, and solely for private fleet use, is it required that Applicants certify that their selected electric vehicle supply equipment (EVSE) meet each of the Minimum Technical Requirements listed in Section II.C? Are applicants required to submit the Open Retail Station Checklist (Attachment 20) for non-public charging stations?</w:t>
      </w:r>
    </w:p>
    <w:p w14:paraId="4D092424" w14:textId="77777777" w:rsidR="00962C05" w:rsidRPr="001E13D8" w:rsidRDefault="00962C05" w:rsidP="00962C05">
      <w:pPr>
        <w:ind w:left="720"/>
        <w:rPr>
          <w:rFonts w:ascii="Tahoma" w:hAnsi="Tahoma" w:cs="Tahoma"/>
          <w:b/>
        </w:rPr>
      </w:pPr>
      <w:r w:rsidRPr="001E13D8">
        <w:rPr>
          <w:rFonts w:ascii="Tahoma" w:hAnsi="Tahoma" w:cs="Tahoma"/>
          <w:b/>
        </w:rPr>
        <w:t>Are charging stations required to meet and adhere to each of the Minimum Technical Requirements for Open Retail Electric Vehicle Charging Stations at the time of proposal submission? Or may applicants certify that their charging stations meet these requirements at a later date such as the date of station energization or prior to submitting an invoice for CEC reimbursement?</w:t>
      </w:r>
    </w:p>
    <w:p w14:paraId="72BC53E3" w14:textId="77777777" w:rsidR="00962C05" w:rsidRPr="001E13D8" w:rsidRDefault="00962C05" w:rsidP="00962C05">
      <w:pPr>
        <w:ind w:left="720"/>
        <w:rPr>
          <w:rFonts w:ascii="Tahoma" w:hAnsi="Tahoma" w:cs="Tahoma"/>
          <w:b/>
        </w:rPr>
      </w:pPr>
    </w:p>
    <w:p w14:paraId="3DEB315D" w14:textId="2D35729A" w:rsidR="00962C05" w:rsidRPr="00CC5E39" w:rsidRDefault="00962C05" w:rsidP="00962C05">
      <w:pPr>
        <w:ind w:left="720" w:hanging="720"/>
        <w:rPr>
          <w:rFonts w:ascii="Tahoma" w:hAnsi="Tahoma" w:cs="Tahoma"/>
          <w:b/>
        </w:rPr>
      </w:pPr>
      <w:r w:rsidRPr="001E13D8">
        <w:rPr>
          <w:rFonts w:ascii="Tahoma" w:hAnsi="Tahoma" w:cs="Tahoma"/>
        </w:rPr>
        <w:t>A51:</w:t>
      </w:r>
      <w:r w:rsidRPr="001E13D8">
        <w:tab/>
      </w:r>
      <w:r w:rsidR="006F43CA" w:rsidRPr="005B3F22">
        <w:rPr>
          <w:rFonts w:ascii="Tahoma" w:hAnsi="Tahoma" w:cs="Tahoma"/>
        </w:rPr>
        <w:t xml:space="preserve">Sections II.C. Minimum Technical Requirements for Electric Vehicle Charging Stations and </w:t>
      </w:r>
      <w:r w:rsidR="00146AF3" w:rsidRPr="005B3F22">
        <w:rPr>
          <w:rFonts w:ascii="Tahoma" w:hAnsi="Tahoma" w:cs="Tahoma"/>
        </w:rPr>
        <w:t xml:space="preserve">II.D. </w:t>
      </w:r>
      <w:r w:rsidR="006F43CA" w:rsidRPr="005B3F22">
        <w:rPr>
          <w:rFonts w:ascii="Tahoma" w:hAnsi="Tahoma" w:cs="Tahoma"/>
        </w:rPr>
        <w:t xml:space="preserve">Minimum Technical Requirements for </w:t>
      </w:r>
      <w:r w:rsidR="00146AF3" w:rsidRPr="005B3F22">
        <w:rPr>
          <w:rFonts w:ascii="Tahoma" w:hAnsi="Tahoma" w:cs="Tahoma"/>
        </w:rPr>
        <w:t xml:space="preserve">Hydrogen Refueling Stations apply to all stations: Private, Shared, and Public Access. To be considered completed, </w:t>
      </w:r>
      <w:r w:rsidR="008D6F31" w:rsidRPr="005B3F22">
        <w:rPr>
          <w:rFonts w:ascii="Tahoma" w:hAnsi="Tahoma" w:cs="Tahoma"/>
        </w:rPr>
        <w:t xml:space="preserve">infrastructure funded under this solicitation shall, at a minimum, meet and adhere to each of the </w:t>
      </w:r>
      <w:r w:rsidR="00915540" w:rsidRPr="005B3F22">
        <w:rPr>
          <w:rFonts w:ascii="Tahoma" w:hAnsi="Tahoma" w:cs="Tahoma"/>
        </w:rPr>
        <w:t>listed</w:t>
      </w:r>
      <w:r w:rsidR="008D6F31" w:rsidRPr="005B3F22">
        <w:rPr>
          <w:rFonts w:ascii="Tahoma" w:hAnsi="Tahoma" w:cs="Tahoma"/>
        </w:rPr>
        <w:t xml:space="preserve"> Minimum Technical Requirements during station operation. </w:t>
      </w:r>
      <w:r w:rsidR="00B1463C" w:rsidRPr="005B3F22">
        <w:rPr>
          <w:rFonts w:ascii="Tahoma" w:hAnsi="Tahoma" w:cs="Tahoma"/>
        </w:rPr>
        <w:t>Infrastructure is not required to meet and adhere to each of the Minimum Technical Requirements at proposal submission, but rather once the project is energized and operational.</w:t>
      </w:r>
    </w:p>
    <w:p w14:paraId="0E922FEE" w14:textId="77777777" w:rsidR="000D21E7" w:rsidRDefault="000D21E7" w:rsidP="000D21E7">
      <w:pPr>
        <w:ind w:left="720" w:hanging="720"/>
        <w:rPr>
          <w:rFonts w:ascii="Tahoma" w:hAnsi="Tahoma" w:cs="Tahoma"/>
          <w:b/>
        </w:rPr>
      </w:pPr>
    </w:p>
    <w:p w14:paraId="33AD00BD" w14:textId="3B9275A8" w:rsidR="000D21E7" w:rsidRPr="005448F6" w:rsidRDefault="000D21E7" w:rsidP="000D21E7">
      <w:pPr>
        <w:ind w:left="720" w:hanging="720"/>
        <w:rPr>
          <w:rFonts w:ascii="Tahoma" w:hAnsi="Tahoma" w:cs="Tahoma"/>
          <w:b/>
        </w:rPr>
      </w:pPr>
      <w:r w:rsidRPr="005448F6">
        <w:rPr>
          <w:rFonts w:ascii="Tahoma" w:hAnsi="Tahoma" w:cs="Tahoma"/>
          <w:b/>
        </w:rPr>
        <w:t>Q</w:t>
      </w:r>
      <w:r>
        <w:rPr>
          <w:rFonts w:ascii="Tahoma" w:hAnsi="Tahoma" w:cs="Tahoma"/>
          <w:b/>
        </w:rPr>
        <w:t>52</w:t>
      </w:r>
      <w:r w:rsidRPr="005448F6">
        <w:rPr>
          <w:rFonts w:ascii="Tahoma" w:hAnsi="Tahoma" w:cs="Tahoma"/>
          <w:b/>
        </w:rPr>
        <w:t>:</w:t>
      </w:r>
      <w:r w:rsidRPr="005448F6">
        <w:rPr>
          <w:rFonts w:ascii="Tahoma" w:hAnsi="Tahoma" w:cs="Tahoma"/>
          <w:b/>
        </w:rPr>
        <w:tab/>
        <w:t>Regarding Section II.B.</w:t>
      </w:r>
      <w:r w:rsidR="008D33CF" w:rsidRPr="00E6144E">
        <w:rPr>
          <w:rFonts w:ascii="Tahoma" w:hAnsi="Tahoma" w:cs="Tahoma"/>
          <w:b/>
        </w:rPr>
        <w:t>7</w:t>
      </w:r>
      <w:r w:rsidRPr="005448F6">
        <w:rPr>
          <w:rFonts w:ascii="Tahoma" w:hAnsi="Tahoma" w:cs="Tahoma"/>
          <w:b/>
        </w:rPr>
        <w:t>. of the Application Manual “Compliance with California EVSE Commercial Device Requirements</w:t>
      </w:r>
    </w:p>
    <w:p w14:paraId="0F0220D0" w14:textId="6F87BC49" w:rsidR="000D21E7" w:rsidRPr="005448F6" w:rsidRDefault="000D21E7" w:rsidP="000D21E7">
      <w:pPr>
        <w:ind w:left="720"/>
        <w:rPr>
          <w:rFonts w:ascii="Tahoma" w:hAnsi="Tahoma" w:cs="Tahoma"/>
          <w:b/>
        </w:rPr>
      </w:pPr>
      <w:r w:rsidRPr="005448F6">
        <w:rPr>
          <w:rFonts w:ascii="Tahoma" w:hAnsi="Tahoma" w:cs="Tahoma"/>
          <w:b/>
        </w:rPr>
        <w:t>“Commercial” is defined as applying to “operations in which the amount dispensed affects customer charges or compensation.” Are the requirements listed in Section II.B.</w:t>
      </w:r>
      <w:r w:rsidR="002508C3" w:rsidRPr="00E6144E">
        <w:rPr>
          <w:rFonts w:ascii="Tahoma" w:hAnsi="Tahoma" w:cs="Tahoma"/>
          <w:b/>
        </w:rPr>
        <w:t>7</w:t>
      </w:r>
      <w:r w:rsidRPr="005448F6">
        <w:rPr>
          <w:rFonts w:ascii="Tahoma" w:hAnsi="Tahoma" w:cs="Tahoma"/>
          <w:b/>
        </w:rPr>
        <w:t>. applicable to charging stations that are behind-the-fence, within a port complex, and for private-use only? For example, projects where a port terminal operator owns and operates the EV chargers for their fleet alone and is therefore not subject to a Charging-as-a-Service (or similar Charge Point Operator-based) billing model?</w:t>
      </w:r>
      <w:r>
        <w:rPr>
          <w:rFonts w:ascii="Tahoma" w:hAnsi="Tahoma" w:cs="Tahoma"/>
          <w:b/>
        </w:rPr>
        <w:t xml:space="preserve"> </w:t>
      </w:r>
      <w:r w:rsidRPr="005448F6">
        <w:rPr>
          <w:rFonts w:ascii="Tahoma" w:hAnsi="Tahoma" w:cs="Tahoma"/>
          <w:b/>
        </w:rPr>
        <w:t xml:space="preserve">If this is required for </w:t>
      </w:r>
      <w:proofErr w:type="gramStart"/>
      <w:r w:rsidRPr="005448F6">
        <w:rPr>
          <w:rFonts w:ascii="Tahoma" w:hAnsi="Tahoma" w:cs="Tahoma"/>
          <w:b/>
        </w:rPr>
        <w:t>private-use</w:t>
      </w:r>
      <w:proofErr w:type="gramEnd"/>
      <w:r w:rsidRPr="005448F6">
        <w:rPr>
          <w:rFonts w:ascii="Tahoma" w:hAnsi="Tahoma" w:cs="Tahoma"/>
          <w:b/>
        </w:rPr>
        <w:t xml:space="preserve"> charging stations, when are </w:t>
      </w:r>
      <w:r>
        <w:rPr>
          <w:rFonts w:ascii="Tahoma" w:hAnsi="Tahoma" w:cs="Tahoma"/>
          <w:b/>
        </w:rPr>
        <w:t>A</w:t>
      </w:r>
      <w:r w:rsidRPr="005448F6">
        <w:rPr>
          <w:rFonts w:ascii="Tahoma" w:hAnsi="Tahoma" w:cs="Tahoma"/>
          <w:b/>
        </w:rPr>
        <w:t>pplicants required to certify that their selected EVSE meets the criteria?</w:t>
      </w:r>
    </w:p>
    <w:p w14:paraId="5FB19058" w14:textId="77777777" w:rsidR="000D21E7" w:rsidRPr="005448F6" w:rsidRDefault="000D21E7" w:rsidP="000D21E7">
      <w:pPr>
        <w:ind w:left="720"/>
        <w:rPr>
          <w:rFonts w:ascii="Tahoma" w:hAnsi="Tahoma" w:cs="Tahoma"/>
          <w:b/>
        </w:rPr>
      </w:pPr>
    </w:p>
    <w:p w14:paraId="39FB766E" w14:textId="03083CD2" w:rsidR="000D21E7" w:rsidRPr="005448F6" w:rsidRDefault="000D21E7" w:rsidP="000D21E7">
      <w:pPr>
        <w:ind w:left="720" w:hanging="720"/>
        <w:rPr>
          <w:rFonts w:ascii="Tahoma" w:hAnsi="Tahoma" w:cs="Tahoma"/>
        </w:rPr>
      </w:pPr>
      <w:r w:rsidRPr="005448F6">
        <w:rPr>
          <w:rFonts w:ascii="Tahoma" w:hAnsi="Tahoma" w:cs="Tahoma"/>
        </w:rPr>
        <w:t>A</w:t>
      </w:r>
      <w:r>
        <w:rPr>
          <w:rFonts w:ascii="Tahoma" w:hAnsi="Tahoma" w:cs="Tahoma"/>
        </w:rPr>
        <w:t>52</w:t>
      </w:r>
      <w:r w:rsidRPr="005448F6">
        <w:rPr>
          <w:rFonts w:ascii="Tahoma" w:hAnsi="Tahoma" w:cs="Tahoma"/>
        </w:rPr>
        <w:t>:</w:t>
      </w:r>
      <w:r w:rsidRPr="005448F6">
        <w:rPr>
          <w:rFonts w:ascii="Tahoma" w:hAnsi="Tahoma" w:cs="Tahoma"/>
        </w:rPr>
        <w:tab/>
        <w:t xml:space="preserve">“Compliance with California EVSE Commercial Device Requirements” would not apply to private fleets operating private equipment. </w:t>
      </w:r>
    </w:p>
    <w:p w14:paraId="7EFB3A77" w14:textId="77777777" w:rsidR="000D21E7" w:rsidRPr="005448F6" w:rsidRDefault="000D21E7" w:rsidP="000D21E7">
      <w:pPr>
        <w:ind w:left="720" w:hanging="720"/>
        <w:rPr>
          <w:rFonts w:ascii="Tahoma" w:hAnsi="Tahoma" w:cs="Tahoma"/>
        </w:rPr>
      </w:pPr>
    </w:p>
    <w:p w14:paraId="06FEE5A3" w14:textId="788FF2DA" w:rsidR="000D21E7" w:rsidRPr="005448F6" w:rsidRDefault="000D21E7" w:rsidP="000D21E7">
      <w:pPr>
        <w:ind w:left="720" w:hanging="720"/>
        <w:rPr>
          <w:rFonts w:ascii="Tahoma" w:hAnsi="Tahoma" w:cs="Tahoma"/>
          <w:b/>
        </w:rPr>
      </w:pPr>
      <w:r w:rsidRPr="005448F6">
        <w:rPr>
          <w:rFonts w:ascii="Tahoma" w:hAnsi="Tahoma" w:cs="Tahoma"/>
          <w:b/>
        </w:rPr>
        <w:t>Q</w:t>
      </w:r>
      <w:r>
        <w:rPr>
          <w:rFonts w:ascii="Tahoma" w:hAnsi="Tahoma" w:cs="Tahoma"/>
          <w:b/>
        </w:rPr>
        <w:t>53</w:t>
      </w:r>
      <w:r w:rsidRPr="005448F6">
        <w:rPr>
          <w:rFonts w:ascii="Tahoma" w:hAnsi="Tahoma" w:cs="Tahoma"/>
          <w:b/>
        </w:rPr>
        <w:t>:</w:t>
      </w:r>
      <w:r w:rsidRPr="005448F6">
        <w:rPr>
          <w:rFonts w:ascii="Tahoma" w:hAnsi="Tahoma" w:cs="Tahoma"/>
          <w:b/>
        </w:rPr>
        <w:tab/>
        <w:t>Please define what is meant by or what the boundaries are for ‘in-ground infrastructure for battery electric or hydrogen fuel cell MDHD vehicles and/or port equipment and/or off-road equipment (e.g. gantries, cargo handling equipment, etc.).” Are fueling stations that are containerized but stationary (vs</w:t>
      </w:r>
      <w:r>
        <w:rPr>
          <w:rFonts w:ascii="Tahoma" w:hAnsi="Tahoma" w:cs="Tahoma"/>
          <w:b/>
        </w:rPr>
        <w:t>.</w:t>
      </w:r>
      <w:r w:rsidRPr="005448F6">
        <w:rPr>
          <w:rFonts w:ascii="Tahoma" w:hAnsi="Tahoma" w:cs="Tahoma"/>
          <w:b/>
        </w:rPr>
        <w:t xml:space="preserve"> mobile) considered “inground”? </w:t>
      </w:r>
    </w:p>
    <w:p w14:paraId="73ED11C7" w14:textId="77777777" w:rsidR="00F20ED9" w:rsidRPr="005448F6" w:rsidRDefault="00F20ED9" w:rsidP="000D21E7">
      <w:pPr>
        <w:ind w:left="720" w:hanging="720"/>
        <w:rPr>
          <w:rFonts w:ascii="Tahoma" w:hAnsi="Tahoma" w:cs="Tahoma"/>
          <w:b/>
        </w:rPr>
      </w:pPr>
    </w:p>
    <w:p w14:paraId="050F2886" w14:textId="73CEC6B3" w:rsidR="000D21E7" w:rsidRPr="005448F6" w:rsidRDefault="000D21E7" w:rsidP="0021093F">
      <w:pPr>
        <w:rPr>
          <w:rFonts w:ascii="Tahoma" w:hAnsi="Tahoma" w:cs="Tahoma"/>
        </w:rPr>
      </w:pPr>
      <w:r w:rsidRPr="005448F6">
        <w:rPr>
          <w:rFonts w:ascii="Tahoma" w:hAnsi="Tahoma" w:cs="Tahoma"/>
        </w:rPr>
        <w:lastRenderedPageBreak/>
        <w:t>A</w:t>
      </w:r>
      <w:r>
        <w:rPr>
          <w:rFonts w:ascii="Tahoma" w:hAnsi="Tahoma" w:cs="Tahoma"/>
        </w:rPr>
        <w:t>53</w:t>
      </w:r>
      <w:r w:rsidRPr="005448F6">
        <w:rPr>
          <w:rFonts w:ascii="Tahoma" w:hAnsi="Tahoma" w:cs="Tahoma"/>
        </w:rPr>
        <w:t>:</w:t>
      </w:r>
      <w:r w:rsidRPr="005448F6">
        <w:rPr>
          <w:rFonts w:ascii="Tahoma" w:hAnsi="Tahoma" w:cs="Tahoma"/>
        </w:rPr>
        <w:tab/>
        <w:t xml:space="preserve">Fueling stations that are containerized but stationary would be eligible for CEC reimbursement or match. </w:t>
      </w:r>
    </w:p>
    <w:p w14:paraId="31925DF2" w14:textId="77777777" w:rsidR="000D21E7" w:rsidRPr="005448F6" w:rsidRDefault="000D21E7" w:rsidP="000D21E7">
      <w:pPr>
        <w:ind w:left="720"/>
        <w:rPr>
          <w:rFonts w:ascii="Tahoma" w:hAnsi="Tahoma" w:cs="Tahoma"/>
        </w:rPr>
      </w:pPr>
    </w:p>
    <w:p w14:paraId="572AC868" w14:textId="65AD16FF" w:rsidR="000D21E7" w:rsidRPr="005448F6" w:rsidRDefault="000D21E7" w:rsidP="000D21E7">
      <w:pPr>
        <w:ind w:left="720" w:hanging="720"/>
        <w:rPr>
          <w:rFonts w:ascii="Tahoma" w:hAnsi="Tahoma" w:cs="Tahoma"/>
          <w:b/>
        </w:rPr>
      </w:pPr>
      <w:r w:rsidRPr="005448F6">
        <w:rPr>
          <w:rFonts w:ascii="Tahoma" w:hAnsi="Tahoma" w:cs="Tahoma"/>
          <w:b/>
        </w:rPr>
        <w:t>Q</w:t>
      </w:r>
      <w:r>
        <w:rPr>
          <w:rFonts w:ascii="Tahoma" w:hAnsi="Tahoma" w:cs="Tahoma"/>
          <w:b/>
        </w:rPr>
        <w:t>54</w:t>
      </w:r>
      <w:r w:rsidRPr="005448F6">
        <w:rPr>
          <w:rFonts w:ascii="Tahoma" w:hAnsi="Tahoma" w:cs="Tahoma"/>
          <w:b/>
        </w:rPr>
        <w:t>:</w:t>
      </w:r>
      <w:r w:rsidRPr="005448F6">
        <w:rPr>
          <w:rFonts w:ascii="Tahoma" w:hAnsi="Tahoma" w:cs="Tahoma"/>
          <w:b/>
        </w:rPr>
        <w:tab/>
      </w:r>
      <w:r w:rsidRPr="00C77E69">
        <w:rPr>
          <w:rFonts w:ascii="Tahoma" w:hAnsi="Tahoma" w:cs="Tahoma"/>
          <w:b/>
        </w:rPr>
        <w:t xml:space="preserve">Are </w:t>
      </w:r>
      <w:r>
        <w:rPr>
          <w:rFonts w:ascii="Tahoma" w:hAnsi="Tahoma" w:cs="Tahoma"/>
          <w:b/>
        </w:rPr>
        <w:t>A</w:t>
      </w:r>
      <w:r w:rsidRPr="00C77E69">
        <w:rPr>
          <w:rFonts w:ascii="Tahoma" w:hAnsi="Tahoma" w:cs="Tahoma"/>
          <w:b/>
        </w:rPr>
        <w:t>pplicants allowed to distribute fleet RFID cards to contracted customers while keeping the station open to the public, where use of access cards or personal identification (PIN) codes is optional and not required to dispense fuel?</w:t>
      </w:r>
    </w:p>
    <w:p w14:paraId="1F57202A" w14:textId="77777777" w:rsidR="000D21E7" w:rsidRPr="005448F6" w:rsidRDefault="000D21E7" w:rsidP="000D21E7">
      <w:pPr>
        <w:ind w:left="720" w:hanging="720"/>
        <w:rPr>
          <w:rFonts w:ascii="Tahoma" w:hAnsi="Tahoma" w:cs="Tahoma"/>
          <w:b/>
        </w:rPr>
      </w:pPr>
    </w:p>
    <w:p w14:paraId="6C79B1B0" w14:textId="3A39F7AC" w:rsidR="000D21E7" w:rsidRPr="005448F6" w:rsidRDefault="000D21E7" w:rsidP="000D21E7">
      <w:pPr>
        <w:ind w:left="720" w:hanging="720"/>
        <w:rPr>
          <w:rFonts w:ascii="Tahoma" w:hAnsi="Tahoma" w:cs="Tahoma"/>
        </w:rPr>
      </w:pPr>
      <w:r w:rsidRPr="005448F6">
        <w:rPr>
          <w:rFonts w:ascii="Tahoma" w:hAnsi="Tahoma" w:cs="Tahoma"/>
        </w:rPr>
        <w:t>A</w:t>
      </w:r>
      <w:r>
        <w:rPr>
          <w:rFonts w:ascii="Tahoma" w:hAnsi="Tahoma" w:cs="Tahoma"/>
        </w:rPr>
        <w:t>54</w:t>
      </w:r>
      <w:r w:rsidRPr="005448F6">
        <w:rPr>
          <w:rFonts w:ascii="Tahoma" w:hAnsi="Tahoma" w:cs="Tahoma"/>
        </w:rPr>
        <w:t>:</w:t>
      </w:r>
      <w:r w:rsidRPr="005448F6">
        <w:rPr>
          <w:rFonts w:ascii="Tahoma" w:hAnsi="Tahoma" w:cs="Tahoma"/>
        </w:rPr>
        <w:tab/>
        <w:t>Yes</w:t>
      </w:r>
      <w:r>
        <w:rPr>
          <w:rFonts w:ascii="Tahoma" w:hAnsi="Tahoma" w:cs="Tahoma"/>
        </w:rPr>
        <w:t>.</w:t>
      </w:r>
    </w:p>
    <w:p w14:paraId="3692E155" w14:textId="77777777" w:rsidR="00630B5D" w:rsidRDefault="00630B5D" w:rsidP="00630B5D">
      <w:pPr>
        <w:ind w:left="720" w:hanging="720"/>
        <w:rPr>
          <w:rFonts w:ascii="Tahoma" w:hAnsi="Tahoma" w:cs="Tahoma"/>
          <w:b/>
        </w:rPr>
      </w:pPr>
    </w:p>
    <w:p w14:paraId="30F2C6BE" w14:textId="58765F3D" w:rsidR="00630B5D" w:rsidRPr="005448F6" w:rsidRDefault="00630B5D" w:rsidP="00630B5D">
      <w:pPr>
        <w:ind w:left="720" w:hanging="720"/>
        <w:rPr>
          <w:rFonts w:ascii="Tahoma" w:hAnsi="Tahoma" w:cs="Tahoma"/>
          <w:b/>
        </w:rPr>
      </w:pPr>
      <w:r w:rsidRPr="005448F6">
        <w:rPr>
          <w:rFonts w:ascii="Tahoma" w:hAnsi="Tahoma" w:cs="Tahoma"/>
          <w:b/>
        </w:rPr>
        <w:t>Q</w:t>
      </w:r>
      <w:r>
        <w:rPr>
          <w:rFonts w:ascii="Tahoma" w:hAnsi="Tahoma" w:cs="Tahoma"/>
          <w:b/>
        </w:rPr>
        <w:t>55</w:t>
      </w:r>
      <w:r w:rsidRPr="005448F6">
        <w:rPr>
          <w:rFonts w:ascii="Tahoma" w:hAnsi="Tahoma" w:cs="Tahoma"/>
          <w:b/>
        </w:rPr>
        <w:t>:</w:t>
      </w:r>
      <w:r w:rsidRPr="005448F6">
        <w:rPr>
          <w:rFonts w:ascii="Tahoma" w:hAnsi="Tahoma" w:cs="Tahoma"/>
          <w:b/>
        </w:rPr>
        <w:tab/>
      </w:r>
      <w:r w:rsidRPr="00490FEC">
        <w:rPr>
          <w:rFonts w:ascii="Tahoma" w:hAnsi="Tahoma" w:cs="Tahoma"/>
          <w:b/>
        </w:rPr>
        <w:t xml:space="preserve">The Application Manual references “off-road” vehicles and equipment but does not provide a full definition, instead including examples followed by “etc.” Can the CEC clarify what qualifies as “off-road” for the purposes of this solicitation, and confirm whether harbor craft vessels are considered </w:t>
      </w:r>
      <w:r w:rsidRPr="005448F6">
        <w:rPr>
          <w:rFonts w:ascii="Tahoma" w:hAnsi="Tahoma" w:cs="Tahoma"/>
          <w:b/>
        </w:rPr>
        <w:t>off-road</w:t>
      </w:r>
      <w:r w:rsidRPr="00490FEC">
        <w:rPr>
          <w:rFonts w:ascii="Tahoma" w:hAnsi="Tahoma" w:cs="Tahoma"/>
          <w:b/>
        </w:rPr>
        <w:t xml:space="preserve"> equipment?</w:t>
      </w:r>
      <w:r>
        <w:rPr>
          <w:rFonts w:ascii="Tahoma" w:hAnsi="Tahoma" w:cs="Tahoma"/>
          <w:b/>
        </w:rPr>
        <w:t xml:space="preserve"> </w:t>
      </w:r>
    </w:p>
    <w:p w14:paraId="6CBF3240" w14:textId="77777777" w:rsidR="00630B5D" w:rsidRPr="005448F6" w:rsidRDefault="00630B5D" w:rsidP="00630B5D">
      <w:pPr>
        <w:ind w:left="720" w:hanging="720"/>
        <w:rPr>
          <w:rFonts w:ascii="Tahoma" w:hAnsi="Tahoma" w:cs="Tahoma"/>
          <w:b/>
        </w:rPr>
      </w:pPr>
    </w:p>
    <w:p w14:paraId="7DF7A92C" w14:textId="65AF4B5D" w:rsidR="00630B5D" w:rsidRPr="005448F6" w:rsidRDefault="00630B5D" w:rsidP="00630B5D">
      <w:pPr>
        <w:ind w:left="720" w:hanging="720"/>
        <w:rPr>
          <w:rFonts w:ascii="Tahoma" w:hAnsi="Tahoma" w:cs="Tahoma"/>
        </w:rPr>
      </w:pPr>
      <w:r w:rsidRPr="005448F6">
        <w:rPr>
          <w:rFonts w:ascii="Tahoma" w:hAnsi="Tahoma" w:cs="Tahoma"/>
        </w:rPr>
        <w:t>A</w:t>
      </w:r>
      <w:r>
        <w:rPr>
          <w:rFonts w:ascii="Tahoma" w:hAnsi="Tahoma" w:cs="Tahoma"/>
        </w:rPr>
        <w:t>55</w:t>
      </w:r>
      <w:r w:rsidRPr="005448F6">
        <w:rPr>
          <w:rFonts w:ascii="Tahoma" w:hAnsi="Tahoma" w:cs="Tahoma"/>
        </w:rPr>
        <w:t>:</w:t>
      </w:r>
      <w:r w:rsidRPr="005448F6">
        <w:rPr>
          <w:rFonts w:ascii="Tahoma" w:hAnsi="Tahoma" w:cs="Tahoma"/>
        </w:rPr>
        <w:tab/>
        <w:t>For the purposes of this solicitation, off-road applications include vehicles or equipment that do not perform their primary operations on a road or highway. “Off-road” may include, but is not limited to, cargo-handling equipment, yard tractors, as well as marine</w:t>
      </w:r>
      <w:r>
        <w:rPr>
          <w:rFonts w:ascii="Tahoma" w:hAnsi="Tahoma" w:cs="Tahoma"/>
        </w:rPr>
        <w:t xml:space="preserve"> or</w:t>
      </w:r>
      <w:r w:rsidRPr="005448F6">
        <w:rPr>
          <w:rFonts w:ascii="Tahoma" w:hAnsi="Tahoma" w:cs="Tahoma"/>
        </w:rPr>
        <w:t xml:space="preserve"> rail</w:t>
      </w:r>
      <w:r>
        <w:rPr>
          <w:rFonts w:ascii="Tahoma" w:hAnsi="Tahoma" w:cs="Tahoma"/>
        </w:rPr>
        <w:t>.</w:t>
      </w:r>
    </w:p>
    <w:p w14:paraId="2121FACB" w14:textId="77777777" w:rsidR="00630B5D" w:rsidRPr="005448F6" w:rsidRDefault="00630B5D" w:rsidP="00630B5D">
      <w:pPr>
        <w:ind w:left="720"/>
        <w:rPr>
          <w:rFonts w:ascii="Tahoma" w:hAnsi="Tahoma" w:cs="Tahoma"/>
        </w:rPr>
      </w:pPr>
    </w:p>
    <w:p w14:paraId="2F9EF053" w14:textId="1B50D8E1" w:rsidR="00630B5D" w:rsidRPr="001E13D8" w:rsidRDefault="00630B5D" w:rsidP="00630B5D">
      <w:pPr>
        <w:ind w:left="720" w:hanging="720"/>
        <w:rPr>
          <w:rFonts w:ascii="Tahoma" w:hAnsi="Tahoma" w:cs="Tahoma"/>
          <w:b/>
        </w:rPr>
      </w:pPr>
      <w:r w:rsidRPr="001E13D8">
        <w:rPr>
          <w:rFonts w:ascii="Tahoma" w:hAnsi="Tahoma" w:cs="Tahoma"/>
          <w:b/>
        </w:rPr>
        <w:t>Q56:</w:t>
      </w:r>
      <w:r w:rsidRPr="001E13D8">
        <w:rPr>
          <w:rFonts w:ascii="Tahoma" w:hAnsi="Tahoma" w:cs="Tahoma"/>
          <w:b/>
        </w:rPr>
        <w:tab/>
        <w:t xml:space="preserve">There's a green hydrogen requirement mentioned, however fuel procurement is considered an operating expense instead of </w:t>
      </w:r>
      <w:proofErr w:type="gramStart"/>
      <w:r w:rsidRPr="001E13D8">
        <w:rPr>
          <w:rFonts w:ascii="Tahoma" w:hAnsi="Tahoma" w:cs="Tahoma"/>
          <w:b/>
        </w:rPr>
        <w:t>a capital</w:t>
      </w:r>
      <w:proofErr w:type="gramEnd"/>
      <w:r w:rsidRPr="001E13D8">
        <w:rPr>
          <w:rFonts w:ascii="Tahoma" w:hAnsi="Tahoma" w:cs="Tahoma"/>
          <w:b/>
        </w:rPr>
        <w:t xml:space="preserve"> expenditure. Is it possible to use the CEC funds to install hydrogen stations and then select whatever hydrogen is available? </w:t>
      </w:r>
    </w:p>
    <w:p w14:paraId="7F766AED" w14:textId="77777777" w:rsidR="00630B5D" w:rsidRPr="001E13D8" w:rsidRDefault="00630B5D" w:rsidP="00630B5D">
      <w:pPr>
        <w:ind w:left="720" w:hanging="720"/>
        <w:rPr>
          <w:rFonts w:ascii="Tahoma" w:hAnsi="Tahoma" w:cs="Tahoma"/>
          <w:b/>
        </w:rPr>
      </w:pPr>
    </w:p>
    <w:p w14:paraId="7CF110F0" w14:textId="0C7630A9" w:rsidR="00630B5D" w:rsidRPr="005448F6" w:rsidRDefault="00630B5D" w:rsidP="00630B5D">
      <w:pPr>
        <w:ind w:left="720" w:hanging="720"/>
        <w:rPr>
          <w:rFonts w:ascii="Tahoma" w:hAnsi="Tahoma" w:cs="Tahoma"/>
        </w:rPr>
      </w:pPr>
      <w:r w:rsidRPr="001E13D8">
        <w:rPr>
          <w:rFonts w:ascii="Tahoma" w:hAnsi="Tahoma" w:cs="Tahoma"/>
        </w:rPr>
        <w:t>A56:</w:t>
      </w:r>
      <w:r w:rsidRPr="001E13D8">
        <w:rPr>
          <w:rFonts w:ascii="Tahoma" w:hAnsi="Tahoma" w:cs="Tahoma"/>
        </w:rPr>
        <w:tab/>
        <w:t>As stated in Section II.B.</w:t>
      </w:r>
      <w:r w:rsidR="00C326FC" w:rsidRPr="005B3F22">
        <w:rPr>
          <w:rFonts w:ascii="Tahoma" w:hAnsi="Tahoma" w:cs="Tahoma"/>
          <w:bCs/>
        </w:rPr>
        <w:t>8</w:t>
      </w:r>
      <w:r w:rsidRPr="001E13D8">
        <w:rPr>
          <w:rFonts w:ascii="Tahoma" w:hAnsi="Tahoma" w:cs="Tahoma"/>
        </w:rPr>
        <w:t xml:space="preserve">, hydrogen refueling station(s) funded under this solicitation shall dispense renewable hydrogen to comply with the requirements specified in the CARB LCFS regulation </w:t>
      </w:r>
      <w:r w:rsidRPr="001E13D8">
        <w:rPr>
          <w:rStyle w:val="normaltextrun"/>
          <w:rFonts w:ascii="Tahoma" w:hAnsi="Tahoma" w:cs="Tahoma"/>
        </w:rPr>
        <w:t>found at https://ww2.arb.ca.gov/sites/default/files/2020-07/2020_lcfs_fro_oal-approved_unofficial_06302020.pdf</w:t>
      </w:r>
      <w:r w:rsidRPr="001E13D8">
        <w:rPr>
          <w:rFonts w:ascii="Tahoma" w:hAnsi="Tahoma" w:cs="Tahoma"/>
        </w:rPr>
        <w:t xml:space="preserve"> and shall report quarterly on hydrogen dispensed once the station becomes operational.</w:t>
      </w:r>
      <w:r>
        <w:rPr>
          <w:rFonts w:ascii="Tahoma" w:hAnsi="Tahoma" w:cs="Tahoma"/>
        </w:rPr>
        <w:t xml:space="preserve"> </w:t>
      </w:r>
    </w:p>
    <w:p w14:paraId="4723B75B" w14:textId="77777777" w:rsidR="00630B5D" w:rsidRPr="005448F6" w:rsidRDefault="00630B5D" w:rsidP="00630B5D">
      <w:pPr>
        <w:ind w:left="720"/>
        <w:rPr>
          <w:rFonts w:ascii="Tahoma" w:hAnsi="Tahoma" w:cs="Tahoma"/>
        </w:rPr>
      </w:pPr>
    </w:p>
    <w:p w14:paraId="403DF4C0" w14:textId="20B13AC3" w:rsidR="00630B5D" w:rsidRPr="005448F6" w:rsidRDefault="00630B5D" w:rsidP="00630B5D">
      <w:pPr>
        <w:ind w:left="720" w:hanging="720"/>
        <w:rPr>
          <w:rFonts w:ascii="Tahoma" w:hAnsi="Tahoma" w:cs="Tahoma"/>
          <w:b/>
        </w:rPr>
      </w:pPr>
      <w:r w:rsidRPr="005448F6">
        <w:rPr>
          <w:rFonts w:ascii="Tahoma" w:hAnsi="Tahoma" w:cs="Tahoma"/>
          <w:b/>
        </w:rPr>
        <w:t>Q</w:t>
      </w:r>
      <w:r>
        <w:rPr>
          <w:rFonts w:ascii="Tahoma" w:hAnsi="Tahoma" w:cs="Tahoma"/>
          <w:b/>
        </w:rPr>
        <w:t>57</w:t>
      </w:r>
      <w:r w:rsidRPr="005448F6">
        <w:rPr>
          <w:rFonts w:ascii="Tahoma" w:hAnsi="Tahoma" w:cs="Tahoma"/>
          <w:b/>
        </w:rPr>
        <w:t>:</w:t>
      </w:r>
      <w:r>
        <w:tab/>
      </w:r>
      <w:r w:rsidRPr="005448F6">
        <w:rPr>
          <w:rFonts w:ascii="Tahoma" w:hAnsi="Tahoma" w:cs="Tahoma"/>
          <w:b/>
        </w:rPr>
        <w:t xml:space="preserve">Currently, many </w:t>
      </w:r>
      <w:proofErr w:type="gramStart"/>
      <w:r w:rsidRPr="005448F6">
        <w:rPr>
          <w:rFonts w:ascii="Tahoma" w:hAnsi="Tahoma" w:cs="Tahoma"/>
          <w:b/>
        </w:rPr>
        <w:t>Cargo</w:t>
      </w:r>
      <w:proofErr w:type="gramEnd"/>
      <w:r w:rsidRPr="005448F6">
        <w:rPr>
          <w:rFonts w:ascii="Tahoma" w:hAnsi="Tahoma" w:cs="Tahoma"/>
          <w:b/>
        </w:rPr>
        <w:t xml:space="preserve"> Handling Equipment (CHE)</w:t>
      </w:r>
      <w:r>
        <w:rPr>
          <w:rFonts w:ascii="Tahoma" w:hAnsi="Tahoma" w:cs="Tahoma"/>
          <w:b/>
        </w:rPr>
        <w:t xml:space="preserve"> </w:t>
      </w:r>
      <w:r w:rsidRPr="005448F6">
        <w:rPr>
          <w:rFonts w:ascii="Tahoma" w:hAnsi="Tahoma" w:cs="Tahoma"/>
          <w:b/>
        </w:rPr>
        <w:t xml:space="preserve">at </w:t>
      </w:r>
      <w:r>
        <w:rPr>
          <w:rFonts w:ascii="Tahoma" w:hAnsi="Tahoma" w:cs="Tahoma"/>
          <w:b/>
        </w:rPr>
        <w:t>the P</w:t>
      </w:r>
      <w:r w:rsidRPr="005448F6">
        <w:rPr>
          <w:rFonts w:ascii="Tahoma" w:hAnsi="Tahoma" w:cs="Tahoma"/>
          <w:b/>
        </w:rPr>
        <w:t>orts of L</w:t>
      </w:r>
      <w:r>
        <w:rPr>
          <w:rFonts w:ascii="Tahoma" w:hAnsi="Tahoma" w:cs="Tahoma"/>
          <w:b/>
        </w:rPr>
        <w:t xml:space="preserve">os Angeles and </w:t>
      </w:r>
      <w:r w:rsidRPr="005448F6">
        <w:rPr>
          <w:rFonts w:ascii="Tahoma" w:hAnsi="Tahoma" w:cs="Tahoma"/>
          <w:b/>
        </w:rPr>
        <w:t>L</w:t>
      </w:r>
      <w:r>
        <w:rPr>
          <w:rFonts w:ascii="Tahoma" w:hAnsi="Tahoma" w:cs="Tahoma"/>
          <w:b/>
        </w:rPr>
        <w:t xml:space="preserve">ong </w:t>
      </w:r>
      <w:r w:rsidRPr="005448F6">
        <w:rPr>
          <w:rFonts w:ascii="Tahoma" w:hAnsi="Tahoma" w:cs="Tahoma"/>
          <w:b/>
        </w:rPr>
        <w:t>B</w:t>
      </w:r>
      <w:r>
        <w:rPr>
          <w:rFonts w:ascii="Tahoma" w:hAnsi="Tahoma" w:cs="Tahoma"/>
          <w:b/>
        </w:rPr>
        <w:t>each</w:t>
      </w:r>
      <w:r w:rsidRPr="005448F6">
        <w:rPr>
          <w:rFonts w:ascii="Tahoma" w:hAnsi="Tahoma" w:cs="Tahoma"/>
          <w:b/>
        </w:rPr>
        <w:t xml:space="preserve"> get refueled </w:t>
      </w:r>
      <w:r>
        <w:rPr>
          <w:rFonts w:ascii="Tahoma" w:hAnsi="Tahoma" w:cs="Tahoma"/>
          <w:b/>
        </w:rPr>
        <w:t xml:space="preserve">with </w:t>
      </w:r>
      <w:r w:rsidRPr="005448F6">
        <w:rPr>
          <w:rFonts w:ascii="Tahoma" w:hAnsi="Tahoma" w:cs="Tahoma"/>
          <w:b/>
        </w:rPr>
        <w:t xml:space="preserve">diesel during the downtime from 3 </w:t>
      </w:r>
      <w:r>
        <w:rPr>
          <w:rFonts w:ascii="Tahoma" w:hAnsi="Tahoma" w:cs="Tahoma"/>
          <w:b/>
        </w:rPr>
        <w:t xml:space="preserve">AM </w:t>
      </w:r>
      <w:r w:rsidRPr="005448F6">
        <w:rPr>
          <w:rFonts w:ascii="Tahoma" w:hAnsi="Tahoma" w:cs="Tahoma"/>
          <w:b/>
        </w:rPr>
        <w:t>to 7</w:t>
      </w:r>
      <w:r>
        <w:rPr>
          <w:rFonts w:ascii="Tahoma" w:hAnsi="Tahoma" w:cs="Tahoma"/>
          <w:b/>
        </w:rPr>
        <w:t xml:space="preserve"> AM</w:t>
      </w:r>
      <w:r w:rsidRPr="005448F6">
        <w:rPr>
          <w:rFonts w:ascii="Tahoma" w:hAnsi="Tahoma" w:cs="Tahoma"/>
          <w:b/>
        </w:rPr>
        <w:t>, therefore, I see a challenge to be compliant with uptime requirement. If the infrastructure performs refueling within the downtime more than threshold, is it allowed?</w:t>
      </w:r>
    </w:p>
    <w:p w14:paraId="23E349A9" w14:textId="77777777" w:rsidR="00630B5D" w:rsidRPr="005448F6" w:rsidRDefault="00630B5D" w:rsidP="00630B5D">
      <w:pPr>
        <w:ind w:left="720" w:hanging="720"/>
        <w:rPr>
          <w:rFonts w:ascii="Tahoma" w:hAnsi="Tahoma" w:cs="Tahoma"/>
          <w:b/>
        </w:rPr>
      </w:pPr>
    </w:p>
    <w:p w14:paraId="618D9F0D" w14:textId="1BAB75C8" w:rsidR="00630B5D" w:rsidRPr="005448F6" w:rsidRDefault="00630B5D" w:rsidP="00630B5D">
      <w:pPr>
        <w:ind w:left="720" w:hanging="720"/>
        <w:rPr>
          <w:rFonts w:ascii="Tahoma" w:hAnsi="Tahoma" w:cs="Tahoma"/>
        </w:rPr>
      </w:pPr>
      <w:r w:rsidRPr="005448F6">
        <w:rPr>
          <w:rFonts w:ascii="Tahoma" w:hAnsi="Tahoma" w:cs="Tahoma"/>
        </w:rPr>
        <w:t>A</w:t>
      </w:r>
      <w:r>
        <w:rPr>
          <w:rFonts w:ascii="Tahoma" w:hAnsi="Tahoma" w:cs="Tahoma"/>
        </w:rPr>
        <w:t>57</w:t>
      </w:r>
      <w:r w:rsidRPr="005448F6">
        <w:rPr>
          <w:rFonts w:ascii="Tahoma" w:hAnsi="Tahoma" w:cs="Tahoma"/>
        </w:rPr>
        <w:t>:</w:t>
      </w:r>
      <w:r>
        <w:tab/>
      </w:r>
      <w:r w:rsidRPr="00CA1EAE">
        <w:rPr>
          <w:rFonts w:ascii="Tahoma" w:hAnsi="Tahoma" w:cs="Tahoma"/>
        </w:rPr>
        <w:t>For hydrogen refueling station projects</w:t>
      </w:r>
      <w:r>
        <w:t xml:space="preserve">, </w:t>
      </w:r>
      <w:r w:rsidRPr="005448F6">
        <w:rPr>
          <w:rFonts w:ascii="Tahoma" w:hAnsi="Tahoma" w:cs="Tahoma"/>
        </w:rPr>
        <w:t>“</w:t>
      </w:r>
      <w:r>
        <w:rPr>
          <w:rFonts w:ascii="Tahoma" w:hAnsi="Tahoma" w:cs="Tahoma"/>
        </w:rPr>
        <w:t>u</w:t>
      </w:r>
      <w:r w:rsidRPr="005448F6">
        <w:rPr>
          <w:rFonts w:ascii="Tahoma" w:hAnsi="Tahoma" w:cs="Tahoma"/>
        </w:rPr>
        <w:t xml:space="preserve">ptime” is defined as (total hours the station is available over the quarter / the total possible hours of operation over the quarter) X 100. </w:t>
      </w:r>
      <w:r>
        <w:rPr>
          <w:rFonts w:ascii="Tahoma" w:hAnsi="Tahoma" w:cs="Tahoma"/>
        </w:rPr>
        <w:t>Applicants shall commit to achieving 95% uptime at each eligible hydrogen refueling station included in their application if awarded under this solicitation.</w:t>
      </w:r>
      <w:r w:rsidRPr="005448F6">
        <w:rPr>
          <w:rFonts w:ascii="Tahoma" w:hAnsi="Tahoma" w:cs="Tahoma"/>
        </w:rPr>
        <w:t xml:space="preserve"> </w:t>
      </w:r>
      <w:r>
        <w:rPr>
          <w:rFonts w:ascii="Tahoma" w:hAnsi="Tahoma" w:cs="Tahoma"/>
        </w:rPr>
        <w:t xml:space="preserve">For EV charging infrastructure projects, the charging port uptime </w:t>
      </w:r>
      <w:r>
        <w:rPr>
          <w:rFonts w:ascii="Tahoma" w:hAnsi="Tahoma" w:cs="Tahoma"/>
        </w:rPr>
        <w:lastRenderedPageBreak/>
        <w:t>for each charging port installed in the project must be at least 97% of each year for six years after the beginning of operation. See the Scope of Work template (Attachment 2) for more details on operations and reliability requirements.</w:t>
      </w:r>
      <w:r w:rsidRPr="005448F6">
        <w:rPr>
          <w:rFonts w:ascii="Tahoma" w:hAnsi="Tahoma" w:cs="Tahoma"/>
        </w:rPr>
        <w:t xml:space="preserve"> </w:t>
      </w:r>
      <w:r w:rsidRPr="007032F6">
        <w:t xml:space="preserve"> </w:t>
      </w:r>
    </w:p>
    <w:p w14:paraId="2E1A0E61" w14:textId="77777777" w:rsidR="00DD6DFD" w:rsidRDefault="00DD6DFD" w:rsidP="00DD6DFD">
      <w:pPr>
        <w:ind w:left="720" w:hanging="720"/>
        <w:rPr>
          <w:rFonts w:ascii="Tahoma" w:hAnsi="Tahoma" w:cs="Tahoma"/>
          <w:b/>
        </w:rPr>
      </w:pPr>
    </w:p>
    <w:p w14:paraId="7FDF7192" w14:textId="03F04F03" w:rsidR="00DD6DFD" w:rsidRPr="005448F6" w:rsidRDefault="00DD6DFD" w:rsidP="00DD6DFD">
      <w:pPr>
        <w:ind w:left="720" w:hanging="720"/>
        <w:rPr>
          <w:rFonts w:ascii="Tahoma" w:hAnsi="Tahoma" w:cs="Tahoma"/>
          <w:b/>
        </w:rPr>
      </w:pPr>
      <w:r w:rsidRPr="005448F6">
        <w:rPr>
          <w:rFonts w:ascii="Tahoma" w:hAnsi="Tahoma" w:cs="Tahoma"/>
          <w:b/>
        </w:rPr>
        <w:t>Q</w:t>
      </w:r>
      <w:r>
        <w:rPr>
          <w:rFonts w:ascii="Tahoma" w:hAnsi="Tahoma" w:cs="Tahoma"/>
          <w:b/>
        </w:rPr>
        <w:t>58</w:t>
      </w:r>
      <w:r w:rsidRPr="005448F6">
        <w:rPr>
          <w:rFonts w:ascii="Tahoma" w:hAnsi="Tahoma" w:cs="Tahoma"/>
          <w:b/>
        </w:rPr>
        <w:t>:</w:t>
      </w:r>
      <w:r w:rsidRPr="005448F6">
        <w:rPr>
          <w:rFonts w:ascii="Tahoma" w:hAnsi="Tahoma" w:cs="Tahoma"/>
          <w:b/>
        </w:rPr>
        <w:tab/>
        <w:t>Does 100% of dispensed hydrogen need to be renewable?</w:t>
      </w:r>
    </w:p>
    <w:p w14:paraId="3A14F92E" w14:textId="77777777" w:rsidR="00DD6DFD" w:rsidRPr="005448F6" w:rsidRDefault="00DD6DFD" w:rsidP="00DD6DFD">
      <w:pPr>
        <w:ind w:left="720" w:hanging="720"/>
        <w:rPr>
          <w:rFonts w:ascii="Tahoma" w:hAnsi="Tahoma" w:cs="Tahoma"/>
        </w:rPr>
      </w:pPr>
    </w:p>
    <w:p w14:paraId="51A83F63" w14:textId="24F4E31F" w:rsidR="00DD6DFD" w:rsidRPr="005448F6" w:rsidRDefault="00DD6DFD" w:rsidP="00DD6DFD">
      <w:pPr>
        <w:ind w:left="720" w:hanging="720"/>
        <w:rPr>
          <w:rFonts w:ascii="Tahoma" w:hAnsi="Tahoma" w:cs="Tahoma"/>
        </w:rPr>
      </w:pPr>
      <w:r w:rsidRPr="005448F6">
        <w:rPr>
          <w:rFonts w:ascii="Tahoma" w:hAnsi="Tahoma" w:cs="Tahoma"/>
        </w:rPr>
        <w:t>A</w:t>
      </w:r>
      <w:r>
        <w:rPr>
          <w:rFonts w:ascii="Tahoma" w:hAnsi="Tahoma" w:cs="Tahoma"/>
        </w:rPr>
        <w:t>58</w:t>
      </w:r>
      <w:r w:rsidRPr="005448F6">
        <w:rPr>
          <w:rFonts w:ascii="Tahoma" w:hAnsi="Tahoma" w:cs="Tahoma"/>
        </w:rPr>
        <w:t>:</w:t>
      </w:r>
      <w:r>
        <w:tab/>
      </w:r>
      <w:r>
        <w:rPr>
          <w:rFonts w:ascii="Tahoma" w:hAnsi="Tahoma" w:cs="Tahoma"/>
        </w:rPr>
        <w:t>No</w:t>
      </w:r>
      <w:r w:rsidRPr="005448F6">
        <w:rPr>
          <w:rFonts w:ascii="Tahoma" w:hAnsi="Tahoma" w:cs="Tahoma"/>
        </w:rPr>
        <w:t xml:space="preserve">. </w:t>
      </w:r>
      <w:r>
        <w:rPr>
          <w:rFonts w:ascii="Tahoma" w:hAnsi="Tahoma" w:cs="Tahoma"/>
        </w:rPr>
        <w:t xml:space="preserve">At this time, 40% or greater of </w:t>
      </w:r>
      <w:r w:rsidRPr="6F2DBB9D">
        <w:rPr>
          <w:rFonts w:ascii="Tahoma" w:hAnsi="Tahoma" w:cs="Tahoma"/>
        </w:rPr>
        <w:t>dispensed</w:t>
      </w:r>
      <w:r>
        <w:rPr>
          <w:rFonts w:ascii="Tahoma" w:hAnsi="Tahoma" w:cs="Tahoma"/>
        </w:rPr>
        <w:t xml:space="preserve"> hydrogen must be renewable. However, please review </w:t>
      </w:r>
      <w:r w:rsidRPr="00254A31">
        <w:rPr>
          <w:rFonts w:ascii="Tahoma" w:hAnsi="Tahoma" w:cs="Tahoma"/>
        </w:rPr>
        <w:t xml:space="preserve">the requirements specified in the CARB LCFS regulation, found at </w:t>
      </w:r>
      <w:hyperlink r:id="rId13">
        <w:r w:rsidRPr="6F2DBB9D">
          <w:rPr>
            <w:rStyle w:val="Hyperlink"/>
            <w:rFonts w:ascii="Tahoma" w:hAnsi="Tahoma" w:cs="Tahoma"/>
          </w:rPr>
          <w:t>https://ww2.arb.ca.gov/sites/default/files/2020-07/2020_lcfs_fro_oal-approved_unofficial_06302020.pdf</w:t>
        </w:r>
      </w:hyperlink>
      <w:r w:rsidRPr="6F2DBB9D">
        <w:rPr>
          <w:rFonts w:ascii="Tahoma" w:hAnsi="Tahoma" w:cs="Tahoma"/>
        </w:rPr>
        <w:t>.</w:t>
      </w:r>
      <w:r>
        <w:rPr>
          <w:rFonts w:ascii="Tahoma" w:hAnsi="Tahoma" w:cs="Tahoma"/>
        </w:rPr>
        <w:t xml:space="preserve"> </w:t>
      </w:r>
      <w:r w:rsidRPr="00903C8C">
        <w:rPr>
          <w:rFonts w:ascii="Tahoma" w:hAnsi="Tahoma" w:cs="Tahoma"/>
        </w:rPr>
        <w:t xml:space="preserve">Once the </w:t>
      </w:r>
      <w:r>
        <w:rPr>
          <w:rFonts w:ascii="Tahoma" w:hAnsi="Tahoma" w:cs="Tahoma"/>
        </w:rPr>
        <w:t xml:space="preserve">hydrogen </w:t>
      </w:r>
      <w:r w:rsidRPr="00903C8C">
        <w:rPr>
          <w:rFonts w:ascii="Tahoma" w:hAnsi="Tahoma" w:cs="Tahoma"/>
        </w:rPr>
        <w:t xml:space="preserve">station becomes operational, </w:t>
      </w:r>
      <w:r>
        <w:rPr>
          <w:rFonts w:ascii="Tahoma" w:hAnsi="Tahoma" w:cs="Tahoma"/>
        </w:rPr>
        <w:t>project Recipients</w:t>
      </w:r>
      <w:r w:rsidRPr="00903C8C">
        <w:rPr>
          <w:rFonts w:ascii="Tahoma" w:hAnsi="Tahoma" w:cs="Tahoma"/>
        </w:rPr>
        <w:t xml:space="preserve"> shall report on hydrogen dispensed </w:t>
      </w:r>
      <w:r>
        <w:rPr>
          <w:rFonts w:ascii="Tahoma" w:hAnsi="Tahoma" w:cs="Tahoma"/>
        </w:rPr>
        <w:t xml:space="preserve">on a quarterly basis </w:t>
      </w:r>
      <w:r w:rsidRPr="00903C8C">
        <w:rPr>
          <w:rFonts w:ascii="Tahoma" w:hAnsi="Tahoma" w:cs="Tahoma"/>
        </w:rPr>
        <w:t>using the Renewable Hydrogen Report</w:t>
      </w:r>
      <w:r>
        <w:rPr>
          <w:rFonts w:ascii="Tahoma" w:hAnsi="Tahoma" w:cs="Tahoma"/>
        </w:rPr>
        <w:t xml:space="preserve"> (Attachment 19).</w:t>
      </w:r>
      <w:r w:rsidRPr="00903C8C">
        <w:rPr>
          <w:rFonts w:ascii="Tahoma" w:hAnsi="Tahoma" w:cs="Tahoma"/>
        </w:rPr>
        <w:t xml:space="preserve"> </w:t>
      </w:r>
      <w:r>
        <w:rPr>
          <w:rFonts w:ascii="Tahoma" w:hAnsi="Tahoma" w:cs="Tahoma"/>
        </w:rPr>
        <w:t>Refer to Section II.B.6.</w:t>
      </w:r>
      <w:r w:rsidRPr="005448F6">
        <w:rPr>
          <w:rFonts w:ascii="Tahoma" w:hAnsi="Tahoma" w:cs="Tahoma"/>
        </w:rPr>
        <w:t xml:space="preserve"> </w:t>
      </w:r>
    </w:p>
    <w:p w14:paraId="3E94A576" w14:textId="77777777" w:rsidR="00DD6DFD" w:rsidRPr="005448F6" w:rsidRDefault="00DD6DFD" w:rsidP="00DD6DFD">
      <w:pPr>
        <w:ind w:left="720"/>
        <w:rPr>
          <w:rFonts w:ascii="Tahoma" w:hAnsi="Tahoma" w:cs="Tahoma"/>
        </w:rPr>
      </w:pPr>
    </w:p>
    <w:p w14:paraId="679C7A4E" w14:textId="08D9C746" w:rsidR="00DD6DFD" w:rsidRPr="001E13D8" w:rsidRDefault="00DD6DFD" w:rsidP="00DD6DFD">
      <w:pPr>
        <w:ind w:left="720" w:hanging="720"/>
        <w:rPr>
          <w:rFonts w:ascii="Tahoma" w:hAnsi="Tahoma" w:cs="Tahoma"/>
          <w:b/>
        </w:rPr>
      </w:pPr>
      <w:r w:rsidRPr="001E13D8">
        <w:rPr>
          <w:rFonts w:ascii="Tahoma" w:hAnsi="Tahoma" w:cs="Tahoma"/>
          <w:b/>
        </w:rPr>
        <w:t>Q59:</w:t>
      </w:r>
      <w:r w:rsidRPr="001E13D8">
        <w:tab/>
      </w:r>
      <w:r w:rsidRPr="001E13D8">
        <w:rPr>
          <w:rFonts w:ascii="Tahoma" w:hAnsi="Tahoma" w:cs="Tahoma"/>
          <w:b/>
        </w:rPr>
        <w:t>Is the 150kW per nozzle during simultaneous charging a hard requirement?</w:t>
      </w:r>
    </w:p>
    <w:p w14:paraId="790CE563" w14:textId="77777777" w:rsidR="00DD6DFD" w:rsidRPr="001E13D8" w:rsidRDefault="00DD6DFD" w:rsidP="00DD6DFD">
      <w:pPr>
        <w:ind w:left="720" w:hanging="720"/>
        <w:rPr>
          <w:rFonts w:ascii="Tahoma" w:hAnsi="Tahoma" w:cs="Tahoma"/>
          <w:b/>
        </w:rPr>
      </w:pPr>
    </w:p>
    <w:p w14:paraId="7EC90C1C" w14:textId="728A7751" w:rsidR="00DD6DFD" w:rsidRPr="0083388C" w:rsidRDefault="00DD6DFD" w:rsidP="00DD6DFD">
      <w:pPr>
        <w:ind w:left="720" w:hanging="720"/>
        <w:rPr>
          <w:rFonts w:ascii="Tahoma" w:hAnsi="Tahoma" w:cs="Tahoma"/>
          <w:b/>
          <w:u w:val="single"/>
        </w:rPr>
      </w:pPr>
      <w:r w:rsidRPr="001E13D8">
        <w:rPr>
          <w:rFonts w:ascii="Tahoma" w:hAnsi="Tahoma" w:cs="Tahoma"/>
        </w:rPr>
        <w:t>A59:</w:t>
      </w:r>
      <w:r w:rsidRPr="001E13D8">
        <w:tab/>
      </w:r>
      <w:r w:rsidR="0084166A" w:rsidRPr="008559F0">
        <w:rPr>
          <w:rFonts w:ascii="Tahoma" w:hAnsi="Tahoma" w:cs="Tahoma"/>
        </w:rPr>
        <w:t>If the electric vehicle charging station will be Private or Shared Access and not 100</w:t>
      </w:r>
      <w:r w:rsidR="0083388C" w:rsidRPr="008559F0">
        <w:rPr>
          <w:rFonts w:ascii="Tahoma" w:hAnsi="Tahoma" w:cs="Tahoma"/>
        </w:rPr>
        <w:t xml:space="preserve"> percent</w:t>
      </w:r>
      <w:r w:rsidR="0084166A" w:rsidRPr="008559F0">
        <w:rPr>
          <w:rFonts w:ascii="Tahoma" w:hAnsi="Tahoma" w:cs="Tahoma"/>
        </w:rPr>
        <w:t xml:space="preserve"> Public Access, each charging port must be capable of at least </w:t>
      </w:r>
      <w:r w:rsidR="00AA722B" w:rsidRPr="008559F0">
        <w:rPr>
          <w:rFonts w:ascii="Tahoma" w:hAnsi="Tahoma" w:cs="Tahoma"/>
        </w:rPr>
        <w:t>Level 2 charging</w:t>
      </w:r>
      <w:r w:rsidR="0084166A" w:rsidRPr="008559F0">
        <w:rPr>
          <w:rFonts w:ascii="Tahoma" w:hAnsi="Tahoma" w:cs="Tahoma"/>
        </w:rPr>
        <w:t>.</w:t>
      </w:r>
      <w:r w:rsidR="00AC363A" w:rsidRPr="008559F0">
        <w:t xml:space="preserve"> </w:t>
      </w:r>
      <w:r w:rsidR="00AC363A" w:rsidRPr="008559F0">
        <w:rPr>
          <w:rFonts w:ascii="Tahoma" w:hAnsi="Tahoma" w:cs="Tahoma"/>
        </w:rPr>
        <w:t>If the electric vehicle charging station will be 100</w:t>
      </w:r>
      <w:r w:rsidR="0083388C" w:rsidRPr="008559F0">
        <w:rPr>
          <w:rFonts w:ascii="Tahoma" w:hAnsi="Tahoma" w:cs="Tahoma"/>
        </w:rPr>
        <w:t xml:space="preserve"> percent</w:t>
      </w:r>
      <w:r w:rsidR="00AC363A" w:rsidRPr="008559F0">
        <w:rPr>
          <w:rFonts w:ascii="Tahoma" w:hAnsi="Tahoma" w:cs="Tahoma"/>
        </w:rPr>
        <w:t xml:space="preserve"> Public Access, each charging station port must be capable of providing at least 200 kW. If using automated load management (ALM), which is not a requirement for this solicitation, each port would need to be capable of simultaneously delivering at least 150 kW when all ports are in use.</w:t>
      </w:r>
    </w:p>
    <w:p w14:paraId="01E285D6" w14:textId="77777777" w:rsidR="00DD6DFD" w:rsidRPr="005448F6" w:rsidRDefault="00DD6DFD" w:rsidP="00DD6DFD">
      <w:pPr>
        <w:ind w:left="720"/>
        <w:rPr>
          <w:rFonts w:ascii="Tahoma" w:hAnsi="Tahoma" w:cs="Tahoma"/>
        </w:rPr>
      </w:pPr>
    </w:p>
    <w:p w14:paraId="6A35195D" w14:textId="223FA041" w:rsidR="00DD6DFD" w:rsidRPr="005448F6" w:rsidRDefault="00DD6DFD" w:rsidP="0021093F">
      <w:pPr>
        <w:spacing w:after="160" w:line="278" w:lineRule="auto"/>
        <w:rPr>
          <w:rFonts w:ascii="Tahoma" w:hAnsi="Tahoma" w:cs="Tahoma"/>
          <w:b/>
        </w:rPr>
      </w:pPr>
      <w:r w:rsidRPr="005448F6">
        <w:rPr>
          <w:rFonts w:ascii="Tahoma" w:hAnsi="Tahoma" w:cs="Tahoma"/>
          <w:b/>
        </w:rPr>
        <w:t>Q</w:t>
      </w:r>
      <w:r>
        <w:rPr>
          <w:rFonts w:ascii="Tahoma" w:hAnsi="Tahoma" w:cs="Tahoma"/>
          <w:b/>
        </w:rPr>
        <w:t>60</w:t>
      </w:r>
      <w:r w:rsidRPr="005448F6">
        <w:rPr>
          <w:rFonts w:ascii="Tahoma" w:hAnsi="Tahoma" w:cs="Tahoma"/>
          <w:b/>
        </w:rPr>
        <w:t>:</w:t>
      </w:r>
      <w:r w:rsidRPr="005448F6">
        <w:rPr>
          <w:rFonts w:ascii="Tahoma" w:hAnsi="Tahoma" w:cs="Tahoma"/>
          <w:b/>
        </w:rPr>
        <w:tab/>
        <w:t xml:space="preserve">Is there a requirement for </w:t>
      </w:r>
      <w:r>
        <w:rPr>
          <w:rFonts w:ascii="Tahoma" w:hAnsi="Tahoma" w:cs="Tahoma"/>
          <w:b/>
        </w:rPr>
        <w:t>electric vehicle</w:t>
      </w:r>
      <w:r w:rsidRPr="005448F6">
        <w:rPr>
          <w:rFonts w:ascii="Tahoma" w:hAnsi="Tahoma" w:cs="Tahoma"/>
          <w:b/>
        </w:rPr>
        <w:t xml:space="preserve"> charging projects to have at least 50% of locations benefit </w:t>
      </w:r>
      <w:r>
        <w:rPr>
          <w:rFonts w:ascii="Tahoma" w:hAnsi="Tahoma" w:cs="Tahoma"/>
          <w:b/>
        </w:rPr>
        <w:t xml:space="preserve">disadvantaged communities, </w:t>
      </w:r>
      <w:proofErr w:type="gramStart"/>
      <w:r>
        <w:rPr>
          <w:rFonts w:ascii="Tahoma" w:hAnsi="Tahoma" w:cs="Tahoma"/>
          <w:b/>
        </w:rPr>
        <w:t>similar to</w:t>
      </w:r>
      <w:proofErr w:type="gramEnd"/>
      <w:r>
        <w:rPr>
          <w:rFonts w:ascii="Tahoma" w:hAnsi="Tahoma" w:cs="Tahoma"/>
          <w:b/>
        </w:rPr>
        <w:t xml:space="preserve"> the requirement for hydrogen refueling stations? </w:t>
      </w:r>
      <w:r w:rsidRPr="005448F6">
        <w:rPr>
          <w:rFonts w:ascii="Tahoma" w:hAnsi="Tahoma" w:cs="Tahoma"/>
          <w:b/>
        </w:rPr>
        <w:t>If not, can you please explain the difference?</w:t>
      </w:r>
    </w:p>
    <w:p w14:paraId="121AEE97" w14:textId="77777777" w:rsidR="00DD6DFD" w:rsidRPr="005448F6" w:rsidRDefault="00DD6DFD" w:rsidP="00DD6DFD">
      <w:pPr>
        <w:ind w:left="720" w:hanging="720"/>
        <w:rPr>
          <w:rFonts w:ascii="Tahoma" w:hAnsi="Tahoma" w:cs="Tahoma"/>
          <w:b/>
        </w:rPr>
      </w:pPr>
    </w:p>
    <w:p w14:paraId="2E3FCD41" w14:textId="7FCC313A" w:rsidR="00DD6DFD" w:rsidRPr="005448F6" w:rsidRDefault="00DD6DFD" w:rsidP="00DD6DFD">
      <w:pPr>
        <w:ind w:left="720" w:hanging="720"/>
        <w:rPr>
          <w:rFonts w:ascii="Tahoma" w:hAnsi="Tahoma" w:cs="Tahoma"/>
        </w:rPr>
      </w:pPr>
      <w:r w:rsidRPr="005448F6">
        <w:rPr>
          <w:rFonts w:ascii="Tahoma" w:hAnsi="Tahoma" w:cs="Tahoma"/>
        </w:rPr>
        <w:t>A</w:t>
      </w:r>
      <w:r>
        <w:rPr>
          <w:rFonts w:ascii="Tahoma" w:hAnsi="Tahoma" w:cs="Tahoma"/>
        </w:rPr>
        <w:t>60</w:t>
      </w:r>
      <w:r w:rsidRPr="005448F6">
        <w:rPr>
          <w:rFonts w:ascii="Tahoma" w:hAnsi="Tahoma" w:cs="Tahoma"/>
        </w:rPr>
        <w:t>:</w:t>
      </w:r>
      <w:r>
        <w:tab/>
      </w:r>
      <w:r>
        <w:rPr>
          <w:rFonts w:ascii="Tahoma" w:hAnsi="Tahoma" w:cs="Tahoma"/>
        </w:rPr>
        <w:t xml:space="preserve">Yes. At least </w:t>
      </w:r>
      <w:r w:rsidRPr="005448F6">
        <w:rPr>
          <w:rFonts w:ascii="Tahoma" w:hAnsi="Tahoma" w:cs="Tahoma"/>
        </w:rPr>
        <w:t xml:space="preserve">50% of </w:t>
      </w:r>
      <w:r w:rsidRPr="6F2DBB9D">
        <w:rPr>
          <w:rFonts w:ascii="Tahoma" w:hAnsi="Tahoma" w:cs="Tahoma"/>
        </w:rPr>
        <w:t>the funding</w:t>
      </w:r>
      <w:r w:rsidRPr="005448F6">
        <w:rPr>
          <w:rFonts w:ascii="Tahoma" w:hAnsi="Tahoma" w:cs="Tahoma"/>
        </w:rPr>
        <w:t xml:space="preserve"> </w:t>
      </w:r>
      <w:r>
        <w:rPr>
          <w:rFonts w:ascii="Tahoma" w:hAnsi="Tahoma" w:cs="Tahoma"/>
        </w:rPr>
        <w:t>must</w:t>
      </w:r>
      <w:r w:rsidRPr="005448F6">
        <w:rPr>
          <w:rFonts w:ascii="Tahoma" w:hAnsi="Tahoma" w:cs="Tahoma"/>
        </w:rPr>
        <w:t xml:space="preserve"> directly benefit or serve residents of low-income communities and disadvantaged communities </w:t>
      </w:r>
      <w:r w:rsidRPr="0088168D">
        <w:rPr>
          <w:rFonts w:ascii="Tahoma" w:hAnsi="Tahoma" w:cs="Tahoma"/>
        </w:rPr>
        <w:t>with the map provided at Priority Populations — California Climate Investments https://www.caclimateinvestments.ca.gov/priority-populations</w:t>
      </w:r>
      <w:r w:rsidRPr="005448F6">
        <w:rPr>
          <w:rFonts w:ascii="Tahoma" w:hAnsi="Tahoma" w:cs="Tahoma"/>
        </w:rPr>
        <w:t xml:space="preserve">. </w:t>
      </w:r>
      <w:r>
        <w:rPr>
          <w:rFonts w:ascii="Tahoma" w:hAnsi="Tahoma" w:cs="Tahoma"/>
        </w:rPr>
        <w:t>Refer to Section II.B.3.</w:t>
      </w:r>
    </w:p>
    <w:p w14:paraId="14782347" w14:textId="77777777" w:rsidR="00E37FCA" w:rsidRDefault="00E37FCA" w:rsidP="00E37FCA">
      <w:pPr>
        <w:ind w:left="720" w:hanging="720"/>
        <w:rPr>
          <w:rFonts w:ascii="Tahoma" w:hAnsi="Tahoma" w:cs="Tahoma"/>
          <w:b/>
        </w:rPr>
      </w:pPr>
    </w:p>
    <w:p w14:paraId="082E31C6" w14:textId="37DCB3D5" w:rsidR="00E37FCA" w:rsidRDefault="00E37FCA" w:rsidP="00E37FCA">
      <w:pPr>
        <w:ind w:left="720" w:hanging="720"/>
        <w:rPr>
          <w:rFonts w:ascii="Tahoma" w:hAnsi="Tahoma" w:cs="Tahoma"/>
          <w:b/>
        </w:rPr>
      </w:pPr>
      <w:r w:rsidRPr="005448F6">
        <w:rPr>
          <w:rFonts w:ascii="Tahoma" w:hAnsi="Tahoma" w:cs="Tahoma"/>
          <w:b/>
        </w:rPr>
        <w:t>Q</w:t>
      </w:r>
      <w:r>
        <w:rPr>
          <w:rFonts w:ascii="Tahoma" w:hAnsi="Tahoma" w:cs="Tahoma"/>
          <w:b/>
        </w:rPr>
        <w:t>61</w:t>
      </w:r>
      <w:r w:rsidRPr="005448F6">
        <w:rPr>
          <w:rFonts w:ascii="Tahoma" w:hAnsi="Tahoma" w:cs="Tahoma"/>
          <w:b/>
        </w:rPr>
        <w:t>:</w:t>
      </w:r>
      <w:r w:rsidRPr="005448F6">
        <w:rPr>
          <w:rFonts w:ascii="Tahoma" w:hAnsi="Tahoma" w:cs="Tahoma"/>
          <w:b/>
        </w:rPr>
        <w:tab/>
        <w:t>Do EVSE projects also have uptime requirements?</w:t>
      </w:r>
    </w:p>
    <w:p w14:paraId="6F382416" w14:textId="77777777" w:rsidR="00E37FCA" w:rsidRPr="005448F6" w:rsidRDefault="00E37FCA" w:rsidP="00E37FCA">
      <w:pPr>
        <w:ind w:left="720" w:hanging="720"/>
        <w:rPr>
          <w:rFonts w:ascii="Tahoma" w:hAnsi="Tahoma" w:cs="Tahoma"/>
        </w:rPr>
      </w:pPr>
    </w:p>
    <w:p w14:paraId="57CD51CF" w14:textId="0C45EB61" w:rsidR="00E37FCA" w:rsidRPr="005448F6" w:rsidRDefault="00E37FCA" w:rsidP="00E37FCA">
      <w:pPr>
        <w:ind w:left="720" w:hanging="720"/>
        <w:rPr>
          <w:rFonts w:ascii="Tahoma" w:hAnsi="Tahoma" w:cs="Tahoma"/>
        </w:rPr>
      </w:pPr>
      <w:r w:rsidRPr="005448F6">
        <w:rPr>
          <w:rFonts w:ascii="Tahoma" w:hAnsi="Tahoma" w:cs="Tahoma"/>
        </w:rPr>
        <w:t>A</w:t>
      </w:r>
      <w:r>
        <w:rPr>
          <w:rFonts w:ascii="Tahoma" w:hAnsi="Tahoma" w:cs="Tahoma"/>
        </w:rPr>
        <w:t>61</w:t>
      </w:r>
      <w:r w:rsidRPr="005448F6">
        <w:rPr>
          <w:rFonts w:ascii="Tahoma" w:hAnsi="Tahoma" w:cs="Tahoma"/>
        </w:rPr>
        <w:t>:</w:t>
      </w:r>
      <w:r w:rsidRPr="005448F6">
        <w:rPr>
          <w:rFonts w:ascii="Tahoma" w:hAnsi="Tahoma" w:cs="Tahoma"/>
        </w:rPr>
        <w:tab/>
      </w:r>
      <w:r>
        <w:rPr>
          <w:rFonts w:ascii="Tahoma" w:hAnsi="Tahoma" w:cs="Tahoma"/>
        </w:rPr>
        <w:t xml:space="preserve">Yes. </w:t>
      </w:r>
      <w:r w:rsidRPr="005448F6">
        <w:rPr>
          <w:rFonts w:ascii="Tahoma" w:hAnsi="Tahoma" w:cs="Tahoma"/>
        </w:rPr>
        <w:t>EVSE projects require 97% uptime</w:t>
      </w:r>
      <w:r>
        <w:rPr>
          <w:rFonts w:ascii="Tahoma" w:hAnsi="Tahoma" w:cs="Tahoma"/>
        </w:rPr>
        <w:t xml:space="preserve"> for each installed charging port. Refer to the Scope of Work template (Attachment 2). </w:t>
      </w:r>
      <w:r w:rsidRPr="00540282">
        <w:rPr>
          <w:rFonts w:ascii="Tahoma" w:hAnsi="Tahoma" w:cs="Tahoma"/>
        </w:rPr>
        <w:t>The Recipient shall ensure that the charging port uptime for each charging port installed in the project is at least 97 percent of each year for six years after the beginning of operation</w:t>
      </w:r>
      <w:r w:rsidRPr="005448F6">
        <w:rPr>
          <w:rFonts w:ascii="Tahoma" w:hAnsi="Tahoma" w:cs="Tahoma"/>
        </w:rPr>
        <w:t>.</w:t>
      </w:r>
    </w:p>
    <w:p w14:paraId="7AC848BD" w14:textId="77777777" w:rsidR="00E37FCA" w:rsidRPr="005448F6" w:rsidRDefault="00E37FCA" w:rsidP="00E37FCA">
      <w:pPr>
        <w:ind w:left="720" w:hanging="720"/>
        <w:rPr>
          <w:rFonts w:ascii="Tahoma" w:hAnsi="Tahoma" w:cs="Tahoma"/>
        </w:rPr>
      </w:pPr>
    </w:p>
    <w:p w14:paraId="709B72FE" w14:textId="073F1163" w:rsidR="00E37FCA" w:rsidRPr="005448F6" w:rsidRDefault="00E37FCA" w:rsidP="00E37FCA">
      <w:pPr>
        <w:ind w:left="720" w:hanging="720"/>
        <w:rPr>
          <w:rFonts w:ascii="Tahoma" w:hAnsi="Tahoma" w:cs="Tahoma"/>
          <w:b/>
        </w:rPr>
      </w:pPr>
      <w:r w:rsidRPr="005448F6">
        <w:rPr>
          <w:rFonts w:ascii="Tahoma" w:hAnsi="Tahoma" w:cs="Tahoma"/>
          <w:b/>
        </w:rPr>
        <w:lastRenderedPageBreak/>
        <w:t>Q</w:t>
      </w:r>
      <w:r>
        <w:rPr>
          <w:rFonts w:ascii="Tahoma" w:hAnsi="Tahoma" w:cs="Tahoma"/>
          <w:b/>
        </w:rPr>
        <w:t>62</w:t>
      </w:r>
      <w:r w:rsidRPr="005448F6">
        <w:rPr>
          <w:rFonts w:ascii="Tahoma" w:hAnsi="Tahoma" w:cs="Tahoma"/>
          <w:b/>
        </w:rPr>
        <w:t>:</w:t>
      </w:r>
      <w:r w:rsidRPr="005448F6">
        <w:rPr>
          <w:rFonts w:ascii="Tahoma" w:hAnsi="Tahoma" w:cs="Tahoma"/>
          <w:b/>
        </w:rPr>
        <w:tab/>
        <w:t>Can we stack this funding with CARB fund?</w:t>
      </w:r>
    </w:p>
    <w:p w14:paraId="16976FB0" w14:textId="77777777" w:rsidR="00E37FCA" w:rsidRPr="005448F6" w:rsidRDefault="00E37FCA" w:rsidP="00E37FCA">
      <w:pPr>
        <w:ind w:left="720" w:hanging="720"/>
        <w:rPr>
          <w:rFonts w:ascii="Tahoma" w:hAnsi="Tahoma" w:cs="Tahoma"/>
          <w:b/>
        </w:rPr>
      </w:pPr>
    </w:p>
    <w:p w14:paraId="4AA47EB1" w14:textId="75FF5624" w:rsidR="00E37FCA" w:rsidRPr="005448F6" w:rsidRDefault="00E37FCA" w:rsidP="00E37FCA">
      <w:pPr>
        <w:ind w:left="720" w:hanging="720"/>
        <w:rPr>
          <w:rFonts w:ascii="Tahoma" w:hAnsi="Tahoma" w:cs="Tahoma"/>
        </w:rPr>
      </w:pPr>
      <w:r w:rsidRPr="005448F6">
        <w:rPr>
          <w:rFonts w:ascii="Tahoma" w:hAnsi="Tahoma" w:cs="Tahoma"/>
        </w:rPr>
        <w:t>A</w:t>
      </w:r>
      <w:r>
        <w:rPr>
          <w:rFonts w:ascii="Tahoma" w:hAnsi="Tahoma" w:cs="Tahoma"/>
        </w:rPr>
        <w:t>62</w:t>
      </w:r>
      <w:r w:rsidRPr="005448F6">
        <w:rPr>
          <w:rFonts w:ascii="Tahoma" w:hAnsi="Tahoma" w:cs="Tahoma"/>
        </w:rPr>
        <w:t>:</w:t>
      </w:r>
      <w:r>
        <w:tab/>
      </w:r>
      <w:r w:rsidRPr="005448F6">
        <w:rPr>
          <w:rFonts w:ascii="Tahoma" w:hAnsi="Tahoma" w:cs="Tahoma"/>
        </w:rPr>
        <w:t>Yes</w:t>
      </w:r>
      <w:r>
        <w:rPr>
          <w:rFonts w:ascii="Tahoma" w:hAnsi="Tahoma" w:cs="Tahoma"/>
        </w:rPr>
        <w:t>. Please refer to the CARB funding program for additional requirements of the specific funding being stacked.</w:t>
      </w:r>
      <w:r w:rsidRPr="6F2DBB9D">
        <w:rPr>
          <w:rFonts w:ascii="Tahoma" w:hAnsi="Tahoma" w:cs="Tahoma"/>
        </w:rPr>
        <w:t xml:space="preserve"> Project costs reimbursed under one award cannot also be reimbursed by the other award.</w:t>
      </w:r>
    </w:p>
    <w:p w14:paraId="31DF34A9" w14:textId="77777777" w:rsidR="00523B1E" w:rsidRDefault="00523B1E" w:rsidP="00523B1E">
      <w:pPr>
        <w:ind w:left="720" w:hanging="720"/>
        <w:rPr>
          <w:rFonts w:ascii="Tahoma" w:hAnsi="Tahoma" w:cs="Tahoma"/>
          <w:b/>
        </w:rPr>
      </w:pPr>
    </w:p>
    <w:p w14:paraId="1A1FDB40" w14:textId="1088EF40" w:rsidR="00523B1E" w:rsidRPr="001E13D8" w:rsidRDefault="00523B1E" w:rsidP="00523B1E">
      <w:pPr>
        <w:ind w:left="720" w:hanging="720"/>
        <w:rPr>
          <w:rFonts w:ascii="Tahoma" w:hAnsi="Tahoma" w:cs="Tahoma"/>
          <w:b/>
        </w:rPr>
      </w:pPr>
      <w:r w:rsidRPr="001E13D8">
        <w:rPr>
          <w:rFonts w:ascii="Tahoma" w:hAnsi="Tahoma" w:cs="Tahoma"/>
          <w:b/>
        </w:rPr>
        <w:t>Q63:</w:t>
      </w:r>
      <w:r w:rsidRPr="001E13D8">
        <w:rPr>
          <w:rFonts w:ascii="Tahoma" w:hAnsi="Tahoma" w:cs="Tahoma"/>
          <w:b/>
        </w:rPr>
        <w:tab/>
        <w:t>Regarding the 150 kW requirement per charging port, could you please clarify between charger and dispensers (“nozzle”). For example, if a single charger with two dispensers or “nozzles” has a total capacity of 200 kW but has smart charging capabilities to supply 150 kW to one dispenser at a time, but when two vehicles are plugged in simultaneously, the power per dispenser might drop below 150 kW per dispenser (e.g., 100 kW per port) during part of the charging cycle. Would this type of equipment be allowed under this solicitation?</w:t>
      </w:r>
    </w:p>
    <w:p w14:paraId="532AE0EB" w14:textId="77777777" w:rsidR="00523B1E" w:rsidRPr="001E13D8" w:rsidRDefault="00523B1E" w:rsidP="00523B1E">
      <w:pPr>
        <w:ind w:left="720" w:hanging="720"/>
        <w:rPr>
          <w:rFonts w:ascii="Tahoma" w:hAnsi="Tahoma" w:cs="Tahoma"/>
          <w:b/>
        </w:rPr>
      </w:pPr>
    </w:p>
    <w:p w14:paraId="2F0379D4" w14:textId="4108329D" w:rsidR="00523B1E" w:rsidRPr="006B498B" w:rsidRDefault="00523B1E" w:rsidP="00523B1E">
      <w:pPr>
        <w:ind w:left="720" w:hanging="720"/>
        <w:rPr>
          <w:rFonts w:ascii="Tahoma" w:hAnsi="Tahoma" w:cs="Tahoma"/>
          <w:b/>
          <w:u w:val="single"/>
        </w:rPr>
      </w:pPr>
      <w:r w:rsidRPr="001E13D8">
        <w:rPr>
          <w:rFonts w:ascii="Tahoma" w:hAnsi="Tahoma" w:cs="Tahoma"/>
        </w:rPr>
        <w:t>A63:</w:t>
      </w:r>
      <w:r w:rsidRPr="001E13D8">
        <w:tab/>
      </w:r>
      <w:r w:rsidR="0037197A" w:rsidRPr="008559F0">
        <w:rPr>
          <w:rFonts w:ascii="Tahoma" w:hAnsi="Tahoma" w:cs="Tahoma"/>
        </w:rPr>
        <w:t xml:space="preserve">For simultaneous charging, </w:t>
      </w:r>
      <w:r w:rsidRPr="008559F0">
        <w:rPr>
          <w:rFonts w:ascii="Tahoma" w:hAnsi="Tahoma" w:cs="Tahoma"/>
        </w:rPr>
        <w:t>Section II.B.</w:t>
      </w:r>
      <w:r w:rsidR="00826AE5" w:rsidRPr="008559F0">
        <w:rPr>
          <w:rFonts w:ascii="Tahoma" w:hAnsi="Tahoma" w:cs="Tahoma"/>
        </w:rPr>
        <w:t>3</w:t>
      </w:r>
      <w:r w:rsidRPr="008559F0">
        <w:rPr>
          <w:rFonts w:ascii="Tahoma" w:hAnsi="Tahoma" w:cs="Tahoma"/>
        </w:rPr>
        <w:t xml:space="preserve">. </w:t>
      </w:r>
      <w:r w:rsidR="00BF63C5" w:rsidRPr="008559F0">
        <w:rPr>
          <w:rFonts w:ascii="Tahoma" w:hAnsi="Tahoma" w:cs="Tahoma"/>
        </w:rPr>
        <w:t>Infrastructure Deployment Requirements</w:t>
      </w:r>
      <w:r w:rsidR="004D78E4" w:rsidRPr="008559F0">
        <w:rPr>
          <w:rFonts w:ascii="Tahoma" w:hAnsi="Tahoma" w:cs="Tahoma"/>
        </w:rPr>
        <w:t xml:space="preserve"> </w:t>
      </w:r>
      <w:r w:rsidR="00DA2E2B" w:rsidRPr="008559F0">
        <w:rPr>
          <w:rFonts w:ascii="Tahoma" w:hAnsi="Tahoma" w:cs="Tahoma"/>
        </w:rPr>
        <w:t xml:space="preserve">states that </w:t>
      </w:r>
      <w:r w:rsidRPr="008559F0">
        <w:rPr>
          <w:rFonts w:ascii="Tahoma" w:hAnsi="Tahoma" w:cs="Tahoma"/>
        </w:rPr>
        <w:t xml:space="preserve">if the electric vehicle charging station will be </w:t>
      </w:r>
      <w:r w:rsidR="007A5C02" w:rsidRPr="008559F0">
        <w:rPr>
          <w:rFonts w:ascii="Tahoma" w:hAnsi="Tahoma" w:cs="Tahoma"/>
        </w:rPr>
        <w:t>100</w:t>
      </w:r>
      <w:r w:rsidR="006B498B" w:rsidRPr="008559F0">
        <w:rPr>
          <w:rFonts w:ascii="Tahoma" w:hAnsi="Tahoma" w:cs="Tahoma"/>
        </w:rPr>
        <w:t xml:space="preserve"> percent</w:t>
      </w:r>
      <w:r w:rsidR="007A5C02" w:rsidRPr="008559F0">
        <w:rPr>
          <w:rFonts w:ascii="Tahoma" w:hAnsi="Tahoma" w:cs="Tahoma"/>
        </w:rPr>
        <w:t xml:space="preserve"> </w:t>
      </w:r>
      <w:r w:rsidR="0039021E" w:rsidRPr="008559F0">
        <w:rPr>
          <w:rFonts w:ascii="Tahoma" w:hAnsi="Tahoma" w:cs="Tahoma"/>
        </w:rPr>
        <w:t>Public Access</w:t>
      </w:r>
      <w:r w:rsidR="008559F0">
        <w:rPr>
          <w:rFonts w:ascii="Tahoma" w:hAnsi="Tahoma" w:cs="Tahoma"/>
        </w:rPr>
        <w:t xml:space="preserve">, </w:t>
      </w:r>
      <w:r w:rsidRPr="008559F0">
        <w:rPr>
          <w:rFonts w:ascii="Tahoma" w:hAnsi="Tahoma" w:cs="Tahoma"/>
        </w:rPr>
        <w:t>each charging station port must be capable of providing at least 200 kW (and if Automated Load Management (ALM) is being utilized, each charging station port must be capable of simultaneously providing at least 150 kW when all ports are in use).</w:t>
      </w:r>
      <w:r w:rsidR="00F82526" w:rsidRPr="008559F0">
        <w:rPr>
          <w:rFonts w:ascii="Tahoma" w:hAnsi="Tahoma" w:cs="Tahoma"/>
        </w:rPr>
        <w:t xml:space="preserve"> If t</w:t>
      </w:r>
      <w:r w:rsidR="00424075" w:rsidRPr="008559F0">
        <w:rPr>
          <w:rFonts w:ascii="Tahoma" w:hAnsi="Tahoma" w:cs="Tahoma"/>
        </w:rPr>
        <w:t>he electric vehicle charging st</w:t>
      </w:r>
      <w:r w:rsidR="00C479B8" w:rsidRPr="008559F0">
        <w:rPr>
          <w:rFonts w:ascii="Tahoma" w:hAnsi="Tahoma" w:cs="Tahoma"/>
        </w:rPr>
        <w:t>ation will be Private or Shared Access and not 100</w:t>
      </w:r>
      <w:r w:rsidR="006B498B" w:rsidRPr="008559F0">
        <w:rPr>
          <w:rFonts w:ascii="Tahoma" w:hAnsi="Tahoma" w:cs="Tahoma"/>
        </w:rPr>
        <w:t xml:space="preserve"> percent</w:t>
      </w:r>
      <w:r w:rsidR="00C479B8" w:rsidRPr="008559F0">
        <w:rPr>
          <w:rFonts w:ascii="Tahoma" w:hAnsi="Tahoma" w:cs="Tahoma"/>
        </w:rPr>
        <w:t xml:space="preserve"> Public Access, each </w:t>
      </w:r>
      <w:r w:rsidR="002C7899" w:rsidRPr="008559F0">
        <w:rPr>
          <w:rFonts w:ascii="Tahoma" w:hAnsi="Tahoma" w:cs="Tahoma"/>
        </w:rPr>
        <w:t>charging station port must b</w:t>
      </w:r>
      <w:r w:rsidR="00EE5A02" w:rsidRPr="008559F0">
        <w:rPr>
          <w:rFonts w:ascii="Tahoma" w:hAnsi="Tahoma" w:cs="Tahoma"/>
        </w:rPr>
        <w:t xml:space="preserve">e capable of </w:t>
      </w:r>
      <w:r w:rsidR="00543EA4" w:rsidRPr="008559F0">
        <w:rPr>
          <w:rFonts w:ascii="Tahoma" w:hAnsi="Tahoma" w:cs="Tahoma"/>
        </w:rPr>
        <w:t xml:space="preserve">providing at least </w:t>
      </w:r>
      <w:r w:rsidR="00331019" w:rsidRPr="008559F0">
        <w:rPr>
          <w:rFonts w:ascii="Tahoma" w:hAnsi="Tahoma" w:cs="Tahoma"/>
        </w:rPr>
        <w:t>Level 2 charging</w:t>
      </w:r>
      <w:r w:rsidR="00543EA4" w:rsidRPr="008559F0">
        <w:rPr>
          <w:rFonts w:ascii="Tahoma" w:hAnsi="Tahoma" w:cs="Tahoma"/>
        </w:rPr>
        <w:t>.</w:t>
      </w:r>
    </w:p>
    <w:p w14:paraId="1A0E54E4" w14:textId="77777777" w:rsidR="00295F09" w:rsidRDefault="00295F09" w:rsidP="00295F09">
      <w:pPr>
        <w:ind w:left="720" w:hanging="720"/>
        <w:rPr>
          <w:rFonts w:ascii="Tahoma" w:hAnsi="Tahoma" w:cs="Tahoma"/>
          <w:b/>
          <w:bCs/>
        </w:rPr>
      </w:pPr>
    </w:p>
    <w:p w14:paraId="468ADD7A" w14:textId="242B2A97" w:rsidR="00295F09" w:rsidRPr="00C33D43" w:rsidRDefault="00295F09" w:rsidP="00295F09">
      <w:pPr>
        <w:ind w:left="720" w:hanging="720"/>
        <w:rPr>
          <w:rFonts w:ascii="Tahoma" w:hAnsi="Tahoma" w:cs="Tahoma"/>
          <w:b/>
          <w:bCs/>
        </w:rPr>
      </w:pPr>
      <w:r w:rsidRPr="00C33D43">
        <w:rPr>
          <w:rFonts w:ascii="Tahoma" w:hAnsi="Tahoma" w:cs="Tahoma"/>
          <w:b/>
          <w:bCs/>
        </w:rPr>
        <w:t>Q</w:t>
      </w:r>
      <w:r>
        <w:rPr>
          <w:rFonts w:ascii="Tahoma" w:hAnsi="Tahoma" w:cs="Tahoma"/>
          <w:b/>
          <w:bCs/>
        </w:rPr>
        <w:t>64</w:t>
      </w:r>
      <w:r w:rsidRPr="00C33D43">
        <w:rPr>
          <w:rFonts w:ascii="Tahoma" w:hAnsi="Tahoma" w:cs="Tahoma"/>
          <w:b/>
          <w:bCs/>
        </w:rPr>
        <w:t>:</w:t>
      </w:r>
      <w:r w:rsidRPr="00C33D43">
        <w:rPr>
          <w:rFonts w:ascii="Tahoma" w:hAnsi="Tahoma" w:cs="Tahoma"/>
          <w:b/>
          <w:bCs/>
        </w:rPr>
        <w:tab/>
        <w:t xml:space="preserve">The Manual states Applicant is to </w:t>
      </w:r>
      <w:r>
        <w:rPr>
          <w:rFonts w:ascii="Tahoma" w:hAnsi="Tahoma" w:cs="Tahoma"/>
          <w:b/>
          <w:bCs/>
        </w:rPr>
        <w:t>“</w:t>
      </w:r>
      <w:r w:rsidRPr="00C33D43">
        <w:rPr>
          <w:rFonts w:ascii="Tahoma" w:hAnsi="Tahoma" w:cs="Tahoma"/>
          <w:b/>
          <w:bCs/>
        </w:rPr>
        <w:t xml:space="preserve">…submit a separate Past Performance Reference Form for each CEC agreement…” and yet the actual Attachment 12 instructions do not contain the word “each.” Can an Applicant target the most recent </w:t>
      </w:r>
      <w:r>
        <w:rPr>
          <w:rFonts w:ascii="Tahoma" w:hAnsi="Tahoma" w:cs="Tahoma"/>
          <w:b/>
          <w:bCs/>
        </w:rPr>
        <w:t>five</w:t>
      </w:r>
      <w:r w:rsidRPr="00C33D43">
        <w:rPr>
          <w:rFonts w:ascii="Tahoma" w:hAnsi="Tahoma" w:cs="Tahoma"/>
          <w:b/>
          <w:bCs/>
        </w:rPr>
        <w:t xml:space="preserve"> CEC references that are similar in scope, size, and topic to GFO-24-610?</w:t>
      </w:r>
    </w:p>
    <w:p w14:paraId="0EB86973" w14:textId="70A2E42B" w:rsidR="004B0AD1" w:rsidRDefault="00295F09" w:rsidP="004B0AD1">
      <w:pPr>
        <w:spacing w:before="100" w:beforeAutospacing="1" w:after="100" w:afterAutospacing="1"/>
        <w:ind w:left="720" w:hanging="720"/>
        <w:rPr>
          <w:rFonts w:ascii="Tahoma" w:hAnsi="Tahoma" w:cs="Tahoma"/>
          <w:bCs/>
        </w:rPr>
      </w:pPr>
      <w:r>
        <w:rPr>
          <w:rFonts w:ascii="Tahoma" w:hAnsi="Tahoma" w:cs="Tahoma"/>
        </w:rPr>
        <w:t>A64:</w:t>
      </w:r>
      <w:r>
        <w:tab/>
      </w:r>
      <w:r>
        <w:rPr>
          <w:rFonts w:ascii="Tahoma" w:hAnsi="Tahoma" w:cs="Tahoma"/>
        </w:rPr>
        <w:t>The Attachment 12 form is a template form used across CEC grant solicitations, which is why the word “each” is not included in the instructions on the form. As instructed in Section III.D.12, “</w:t>
      </w:r>
      <w:r w:rsidRPr="00BA3215">
        <w:rPr>
          <w:rFonts w:ascii="Tahoma" w:hAnsi="Tahoma" w:cs="Tahoma"/>
          <w:bCs/>
        </w:rPr>
        <w:t>Applicants must complete and submit a separate Past Performance Reference Form for each CEC agreement (e.g., contract, grant or loan) received by the Applicant in the last 10 years, including ongoing agreements, and the 5 most recent agreements with other public agencies within the past 10 years.</w:t>
      </w:r>
      <w:r>
        <w:rPr>
          <w:rFonts w:ascii="Tahoma" w:hAnsi="Tahoma" w:cs="Tahoma"/>
          <w:bCs/>
        </w:rPr>
        <w:t xml:space="preserve">” Applicants may not selectively choose which agreements to report, whether CEC agreements or agreements with other public agencies, and should submit a separate </w:t>
      </w:r>
      <w:r w:rsidRPr="6F2DBB9D">
        <w:rPr>
          <w:rFonts w:ascii="Tahoma" w:hAnsi="Tahoma" w:cs="Tahoma"/>
        </w:rPr>
        <w:t xml:space="preserve">Past Performance Reference Form </w:t>
      </w:r>
      <w:r>
        <w:rPr>
          <w:rFonts w:ascii="Tahoma" w:hAnsi="Tahoma" w:cs="Tahoma"/>
          <w:bCs/>
        </w:rPr>
        <w:t xml:space="preserve">for each agreement. </w:t>
      </w:r>
    </w:p>
    <w:p w14:paraId="0D5B5253" w14:textId="09C8F1FB" w:rsidR="00310F45" w:rsidRPr="00310F45" w:rsidRDefault="00310F45" w:rsidP="00310F45">
      <w:pPr>
        <w:rPr>
          <w:rFonts w:ascii="Tahoma" w:hAnsi="Tahoma" w:cs="Tahoma"/>
          <w:b/>
          <w:bCs/>
        </w:rPr>
      </w:pPr>
      <w:r>
        <w:rPr>
          <w:rFonts w:ascii="Tahoma" w:hAnsi="Tahoma" w:cs="Tahoma"/>
          <w:b/>
          <w:bCs/>
        </w:rPr>
        <w:t>NEW Questions &amp; Answers</w:t>
      </w:r>
    </w:p>
    <w:p w14:paraId="6ACEAA0F" w14:textId="012897FC" w:rsidR="004B0AD1" w:rsidRPr="004B0AD1" w:rsidRDefault="004B0AD1" w:rsidP="00C17EAD">
      <w:pPr>
        <w:spacing w:before="100" w:beforeAutospacing="1" w:after="100" w:afterAutospacing="1"/>
        <w:ind w:left="720" w:hanging="720"/>
        <w:rPr>
          <w:rFonts w:ascii="Tahoma" w:hAnsi="Tahoma" w:cs="Tahoma"/>
          <w:b/>
          <w:u w:val="single"/>
        </w:rPr>
      </w:pPr>
      <w:r>
        <w:rPr>
          <w:rFonts w:ascii="Tahoma" w:hAnsi="Tahoma" w:cs="Tahoma"/>
          <w:b/>
          <w:u w:val="single"/>
        </w:rPr>
        <w:t>Q65:</w:t>
      </w:r>
      <w:r>
        <w:rPr>
          <w:rFonts w:ascii="Tahoma" w:hAnsi="Tahoma" w:cs="Tahoma"/>
          <w:b/>
          <w:u w:val="single"/>
        </w:rPr>
        <w:tab/>
      </w:r>
      <w:r w:rsidR="00C17EAD" w:rsidRPr="00C17EAD">
        <w:rPr>
          <w:rFonts w:ascii="Tahoma" w:hAnsi="Tahoma" w:cs="Tahoma"/>
          <w:b/>
          <w:u w:val="single"/>
        </w:rPr>
        <w:t xml:space="preserve">Our infrastructure project might take longer to complete than the time it takes for vehicles or off-road equipment to be delivered. If the </w:t>
      </w:r>
      <w:r w:rsidR="00C17EAD" w:rsidRPr="00C17EAD">
        <w:rPr>
          <w:rFonts w:ascii="Tahoma" w:hAnsi="Tahoma" w:cs="Tahoma"/>
          <w:b/>
          <w:u w:val="single"/>
        </w:rPr>
        <w:lastRenderedPageBreak/>
        <w:t xml:space="preserve">solicitation requires us to place a purchase order within </w:t>
      </w:r>
      <w:r w:rsidR="00C17EAD">
        <w:rPr>
          <w:rFonts w:ascii="Tahoma" w:hAnsi="Tahoma" w:cs="Tahoma"/>
          <w:b/>
          <w:u w:val="single"/>
        </w:rPr>
        <w:t>three</w:t>
      </w:r>
      <w:r w:rsidR="00C17EAD" w:rsidRPr="00C17EAD">
        <w:rPr>
          <w:rFonts w:ascii="Tahoma" w:hAnsi="Tahoma" w:cs="Tahoma"/>
          <w:b/>
          <w:u w:val="single"/>
        </w:rPr>
        <w:t xml:space="preserve"> months of </w:t>
      </w:r>
      <w:r w:rsidR="00C17EAD">
        <w:rPr>
          <w:rFonts w:ascii="Tahoma" w:hAnsi="Tahoma" w:cs="Tahoma"/>
          <w:b/>
          <w:u w:val="single"/>
        </w:rPr>
        <w:t>executing</w:t>
      </w:r>
      <w:r w:rsidR="00C17EAD" w:rsidRPr="00C17EAD">
        <w:rPr>
          <w:rFonts w:ascii="Tahoma" w:hAnsi="Tahoma" w:cs="Tahoma"/>
          <w:b/>
          <w:u w:val="single"/>
        </w:rPr>
        <w:t xml:space="preserve"> the </w:t>
      </w:r>
      <w:r w:rsidR="00C17EAD">
        <w:rPr>
          <w:rFonts w:ascii="Tahoma" w:hAnsi="Tahoma" w:cs="Tahoma"/>
          <w:b/>
          <w:u w:val="single"/>
        </w:rPr>
        <w:t xml:space="preserve">grant </w:t>
      </w:r>
      <w:r w:rsidR="00C17EAD" w:rsidRPr="00C17EAD">
        <w:rPr>
          <w:rFonts w:ascii="Tahoma" w:hAnsi="Tahoma" w:cs="Tahoma"/>
          <w:b/>
          <w:u w:val="single"/>
        </w:rPr>
        <w:t xml:space="preserve">agreement, how can we prevent vehicles from arriving before the charging </w:t>
      </w:r>
      <w:r w:rsidR="00DB0E6B">
        <w:rPr>
          <w:rFonts w:ascii="Tahoma" w:hAnsi="Tahoma" w:cs="Tahoma"/>
          <w:b/>
          <w:u w:val="single"/>
        </w:rPr>
        <w:t xml:space="preserve">or hydrogen </w:t>
      </w:r>
      <w:r w:rsidR="00C17EAD" w:rsidRPr="00C17EAD">
        <w:rPr>
          <w:rFonts w:ascii="Tahoma" w:hAnsi="Tahoma" w:cs="Tahoma"/>
          <w:b/>
          <w:u w:val="single"/>
        </w:rPr>
        <w:t xml:space="preserve">infrastructure is ready and sitting idle? Can we place purchase orders after </w:t>
      </w:r>
      <w:proofErr w:type="gramStart"/>
      <w:r w:rsidR="00C17EAD" w:rsidRPr="00C17EAD">
        <w:rPr>
          <w:rFonts w:ascii="Tahoma" w:hAnsi="Tahoma" w:cs="Tahoma"/>
          <w:b/>
          <w:u w:val="single"/>
        </w:rPr>
        <w:t xml:space="preserve">the </w:t>
      </w:r>
      <w:r w:rsidR="00C17EAD">
        <w:rPr>
          <w:rFonts w:ascii="Tahoma" w:hAnsi="Tahoma" w:cs="Tahoma"/>
          <w:b/>
          <w:u w:val="single"/>
        </w:rPr>
        <w:t>three</w:t>
      </w:r>
      <w:proofErr w:type="gramEnd"/>
      <w:r w:rsidR="00C17EAD">
        <w:rPr>
          <w:rFonts w:ascii="Tahoma" w:hAnsi="Tahoma" w:cs="Tahoma"/>
          <w:b/>
          <w:u w:val="single"/>
        </w:rPr>
        <w:t xml:space="preserve"> </w:t>
      </w:r>
      <w:r w:rsidR="00C17EAD" w:rsidRPr="00C17EAD">
        <w:rPr>
          <w:rFonts w:ascii="Tahoma" w:hAnsi="Tahoma" w:cs="Tahoma"/>
          <w:b/>
          <w:u w:val="single"/>
        </w:rPr>
        <w:t>months?</w:t>
      </w:r>
    </w:p>
    <w:p w14:paraId="1D28C9E9" w14:textId="6714CDC0" w:rsidR="00C17EAD" w:rsidRDefault="004B0AD1" w:rsidP="00C17EAD">
      <w:pPr>
        <w:spacing w:before="100" w:beforeAutospacing="1" w:after="100" w:afterAutospacing="1"/>
        <w:ind w:left="720" w:hanging="720"/>
        <w:rPr>
          <w:rFonts w:ascii="Tahoma" w:hAnsi="Tahoma" w:cs="Tahoma"/>
          <w:b/>
          <w:u w:val="single"/>
        </w:rPr>
      </w:pPr>
      <w:r>
        <w:rPr>
          <w:rFonts w:ascii="Tahoma" w:hAnsi="Tahoma" w:cs="Tahoma"/>
          <w:b/>
          <w:u w:val="single"/>
        </w:rPr>
        <w:t>A65:</w:t>
      </w:r>
      <w:r>
        <w:rPr>
          <w:rFonts w:ascii="Tahoma" w:hAnsi="Tahoma" w:cs="Tahoma"/>
          <w:b/>
          <w:u w:val="single"/>
        </w:rPr>
        <w:tab/>
      </w:r>
      <w:r w:rsidR="000C5952" w:rsidRPr="000C5952">
        <w:rPr>
          <w:rFonts w:ascii="Tahoma" w:hAnsi="Tahoma" w:cs="Tahoma"/>
          <w:b/>
          <w:u w:val="single"/>
        </w:rPr>
        <w:t>While the CEC reserves the right to cancel a grant agreement award if the Applicant cannot place a purchase order within three months, the application will be scored on the degree to which the proposed project is ready for implementation and capable of maximizing zero-emission vehicle deployment. This includes demonstrating how the project will expedite infrastructure installation, ensure timely vehicle utilization, and address potential timing challenges through coordination with utilities and planning agencies. If placing a purchase order within three months of agreement execution is not feasible, the Applicant should provide a clear, detailed timeline and plan for vehicle acquisition, including strategies to minimize delays and align delivery with infrastructure readiness. Applicants whose infrastructure will provide Public Access are not required to meet the three-month purchase order requirement.</w:t>
      </w:r>
    </w:p>
    <w:p w14:paraId="09A37B3E" w14:textId="53C7DB66" w:rsidR="00C17EAD" w:rsidRDefault="00C17EAD" w:rsidP="004B0AD1">
      <w:pPr>
        <w:spacing w:before="100" w:beforeAutospacing="1" w:after="100" w:afterAutospacing="1"/>
        <w:ind w:left="720" w:hanging="720"/>
        <w:rPr>
          <w:rFonts w:ascii="Tahoma" w:hAnsi="Tahoma" w:cs="Tahoma"/>
          <w:b/>
          <w:u w:val="single"/>
        </w:rPr>
      </w:pPr>
      <w:r>
        <w:rPr>
          <w:rFonts w:ascii="Tahoma" w:hAnsi="Tahoma" w:cs="Tahoma"/>
          <w:b/>
          <w:u w:val="single"/>
        </w:rPr>
        <w:t>Q66:</w:t>
      </w:r>
      <w:r>
        <w:rPr>
          <w:rFonts w:ascii="Tahoma" w:hAnsi="Tahoma" w:cs="Tahoma"/>
          <w:b/>
          <w:u w:val="single"/>
        </w:rPr>
        <w:tab/>
      </w:r>
      <w:r w:rsidRPr="00C17EAD">
        <w:rPr>
          <w:rFonts w:ascii="Tahoma" w:hAnsi="Tahoma" w:cs="Tahoma"/>
          <w:b/>
          <w:u w:val="single"/>
        </w:rPr>
        <w:t xml:space="preserve">The solicitation requires that vehicles be delivered by the time the infrastructure becomes energized and operational. However, </w:t>
      </w:r>
      <w:r>
        <w:rPr>
          <w:rFonts w:ascii="Tahoma" w:hAnsi="Tahoma" w:cs="Tahoma"/>
          <w:b/>
          <w:u w:val="single"/>
        </w:rPr>
        <w:t>ports</w:t>
      </w:r>
      <w:r w:rsidRPr="00C17EAD">
        <w:rPr>
          <w:rFonts w:ascii="Tahoma" w:hAnsi="Tahoma" w:cs="Tahoma"/>
          <w:b/>
          <w:u w:val="single"/>
        </w:rPr>
        <w:t xml:space="preserve"> and </w:t>
      </w:r>
      <w:r>
        <w:rPr>
          <w:rFonts w:ascii="Tahoma" w:hAnsi="Tahoma" w:cs="Tahoma"/>
          <w:b/>
          <w:u w:val="single"/>
        </w:rPr>
        <w:t>their</w:t>
      </w:r>
      <w:r w:rsidRPr="00C17EAD">
        <w:rPr>
          <w:rFonts w:ascii="Tahoma" w:hAnsi="Tahoma" w:cs="Tahoma"/>
          <w:b/>
          <w:u w:val="single"/>
        </w:rPr>
        <w:t xml:space="preserve"> partners have limited control over vehicle and off-road equipment delivery timelines, as most acquisitions are through the EPA Clean Ports Program. Given that this program’s requirements are expected to strain supply and manufacturing capacity, how should Applicants address this requirement in their proposal?</w:t>
      </w:r>
    </w:p>
    <w:p w14:paraId="7D9273F3" w14:textId="7B7BC175" w:rsidR="00930443" w:rsidRDefault="00C17EAD" w:rsidP="00930443">
      <w:pPr>
        <w:spacing w:before="100" w:beforeAutospacing="1" w:after="100" w:afterAutospacing="1"/>
        <w:ind w:left="720" w:hanging="720"/>
        <w:rPr>
          <w:rFonts w:ascii="Tahoma" w:hAnsi="Tahoma" w:cs="Tahoma"/>
          <w:b/>
          <w:u w:val="single"/>
        </w:rPr>
      </w:pPr>
      <w:r>
        <w:rPr>
          <w:rFonts w:ascii="Tahoma" w:hAnsi="Tahoma" w:cs="Tahoma"/>
          <w:b/>
          <w:u w:val="single"/>
        </w:rPr>
        <w:t>A66:</w:t>
      </w:r>
      <w:r>
        <w:rPr>
          <w:rFonts w:ascii="Tahoma" w:hAnsi="Tahoma" w:cs="Tahoma"/>
          <w:b/>
          <w:u w:val="single"/>
        </w:rPr>
        <w:tab/>
      </w:r>
      <w:r w:rsidR="000C5952" w:rsidRPr="000C5952">
        <w:rPr>
          <w:rFonts w:ascii="Tahoma" w:hAnsi="Tahoma" w:cs="Tahoma"/>
          <w:b/>
          <w:u w:val="single"/>
        </w:rPr>
        <w:t xml:space="preserve">Applicants must demonstrate that vehicles will be deployed and actively utilizing the funded infrastructure for at least 12 months before grant agreement </w:t>
      </w:r>
      <w:r w:rsidR="00670089">
        <w:rPr>
          <w:rFonts w:ascii="Tahoma" w:hAnsi="Tahoma" w:cs="Tahoma"/>
          <w:b/>
          <w:u w:val="single"/>
        </w:rPr>
        <w:t>end date</w:t>
      </w:r>
      <w:r w:rsidR="000C5952" w:rsidRPr="000C5952">
        <w:rPr>
          <w:rFonts w:ascii="Tahoma" w:hAnsi="Tahoma" w:cs="Tahoma"/>
          <w:b/>
          <w:u w:val="single"/>
        </w:rPr>
        <w:t xml:space="preserve">. While the solicitation requires vehicles to be delivered by the time the infrastructure becomes energized and operational, the CEC recognizes that delivery timelines may be influenced by external factors such as the EPA Clean Ports Program and associated supply chain constraints. Project timelines should account for potential delays and include at least 12 months of data collection following commissioning to demonstrate successful utilization of the infrastructure. The application will be scored </w:t>
      </w:r>
      <w:proofErr w:type="gramStart"/>
      <w:r w:rsidR="000C5952" w:rsidRPr="000C5952">
        <w:rPr>
          <w:rFonts w:ascii="Tahoma" w:hAnsi="Tahoma" w:cs="Tahoma"/>
          <w:b/>
          <w:u w:val="single"/>
        </w:rPr>
        <w:t>on</w:t>
      </w:r>
      <w:proofErr w:type="gramEnd"/>
      <w:r w:rsidR="000C5952" w:rsidRPr="000C5952">
        <w:rPr>
          <w:rFonts w:ascii="Tahoma" w:hAnsi="Tahoma" w:cs="Tahoma"/>
          <w:b/>
          <w:u w:val="single"/>
        </w:rPr>
        <w:t xml:space="preserve"> the degree to which the estimated timeline for acquisition of new MDHD ZEVs and the purchase and installation of supporting infrastructure can be expedited. It will also be scored </w:t>
      </w:r>
      <w:proofErr w:type="gramStart"/>
      <w:r w:rsidR="000C5952" w:rsidRPr="000C5952">
        <w:rPr>
          <w:rFonts w:ascii="Tahoma" w:hAnsi="Tahoma" w:cs="Tahoma"/>
          <w:b/>
          <w:u w:val="single"/>
        </w:rPr>
        <w:t>on</w:t>
      </w:r>
      <w:proofErr w:type="gramEnd"/>
      <w:r w:rsidR="000C5952" w:rsidRPr="000C5952">
        <w:rPr>
          <w:rFonts w:ascii="Tahoma" w:hAnsi="Tahoma" w:cs="Tahoma"/>
          <w:b/>
          <w:u w:val="single"/>
        </w:rPr>
        <w:t xml:space="preserve"> the degree to which the tasks in the Scope of Work and the dates in the project schedule are complete, sequential, and will lead to successful and scheduled completion of the project.</w:t>
      </w:r>
    </w:p>
    <w:p w14:paraId="2C7A8E0E" w14:textId="77777777" w:rsidR="00930443" w:rsidRDefault="00930443" w:rsidP="00930443">
      <w:pPr>
        <w:spacing w:before="100" w:beforeAutospacing="1" w:after="100" w:afterAutospacing="1"/>
        <w:ind w:left="720" w:hanging="720"/>
      </w:pPr>
      <w:r w:rsidRPr="00930443">
        <w:rPr>
          <w:rFonts w:ascii="Tahoma" w:hAnsi="Tahoma" w:cs="Tahoma"/>
          <w:b/>
          <w:u w:val="single"/>
        </w:rPr>
        <w:lastRenderedPageBreak/>
        <w:t>Q67:</w:t>
      </w:r>
      <w:r>
        <w:rPr>
          <w:rFonts w:ascii="Tahoma" w:hAnsi="Tahoma" w:cs="Tahoma"/>
          <w:b/>
          <w:u w:val="single"/>
        </w:rPr>
        <w:tab/>
        <w:t xml:space="preserve">The solicitation manual states that Applicants may </w:t>
      </w:r>
      <w:r w:rsidRPr="00930443">
        <w:rPr>
          <w:rFonts w:ascii="Tahoma" w:hAnsi="Tahoma" w:cs="Tahoma"/>
          <w:b/>
          <w:u w:val="single"/>
        </w:rPr>
        <w:t xml:space="preserve">begin the project only after full execution of the agreement. </w:t>
      </w:r>
      <w:r>
        <w:rPr>
          <w:rFonts w:ascii="Tahoma" w:hAnsi="Tahoma" w:cs="Tahoma"/>
          <w:b/>
          <w:u w:val="single"/>
        </w:rPr>
        <w:t>Can these requirements be changed to allow projects to begin after the Notice of Proposed Awards (NOPA) is released to allow for earlier procurement of equipment and materials?</w:t>
      </w:r>
    </w:p>
    <w:p w14:paraId="2C4BB3AB" w14:textId="55B99A77" w:rsidR="00930443" w:rsidRPr="004B0AD1" w:rsidRDefault="00930443" w:rsidP="000C5952">
      <w:pPr>
        <w:spacing w:before="100" w:beforeAutospacing="1" w:after="100" w:afterAutospacing="1"/>
        <w:ind w:left="720" w:hanging="720"/>
        <w:rPr>
          <w:rFonts w:ascii="Tahoma" w:hAnsi="Tahoma" w:cs="Tahoma"/>
          <w:b/>
          <w:u w:val="single"/>
        </w:rPr>
      </w:pPr>
      <w:r w:rsidRPr="00930443">
        <w:rPr>
          <w:rFonts w:ascii="Tahoma" w:hAnsi="Tahoma" w:cs="Tahoma"/>
          <w:b/>
          <w:u w:val="single"/>
        </w:rPr>
        <w:t>A67:</w:t>
      </w:r>
      <w:r>
        <w:tab/>
      </w:r>
      <w:r w:rsidR="000C5952" w:rsidRPr="000C5952">
        <w:rPr>
          <w:rFonts w:ascii="Tahoma" w:hAnsi="Tahoma" w:cs="Tahoma"/>
          <w:b/>
          <w:u w:val="single"/>
        </w:rPr>
        <w:t>Under the Greenhouse Gas Reduction Fund (GGRF)</w:t>
      </w:r>
      <w:r w:rsidR="00670089">
        <w:rPr>
          <w:rFonts w:ascii="Tahoma" w:hAnsi="Tahoma" w:cs="Tahoma"/>
          <w:b/>
          <w:u w:val="single"/>
        </w:rPr>
        <w:t xml:space="preserve"> which funds this grant solicitation,</w:t>
      </w:r>
      <w:r w:rsidR="000C5952" w:rsidRPr="000C5952">
        <w:rPr>
          <w:rFonts w:ascii="Tahoma" w:hAnsi="Tahoma" w:cs="Tahoma"/>
          <w:b/>
          <w:u w:val="single"/>
        </w:rPr>
        <w:t xml:space="preserve"> any </w:t>
      </w:r>
      <w:r w:rsidR="00776D62">
        <w:rPr>
          <w:rFonts w:ascii="Tahoma" w:hAnsi="Tahoma" w:cs="Tahoma"/>
          <w:b/>
          <w:u w:val="single"/>
        </w:rPr>
        <w:t>work or</w:t>
      </w:r>
      <w:r w:rsidR="000C5952" w:rsidRPr="000C5952">
        <w:rPr>
          <w:rFonts w:ascii="Tahoma" w:hAnsi="Tahoma" w:cs="Tahoma"/>
          <w:b/>
          <w:u w:val="single"/>
        </w:rPr>
        <w:t xml:space="preserve"> procurement that occurs prior to full execution of the grant agreement is not eligible for reimbursement or match funding. This means that costs incurred before the agreement is </w:t>
      </w:r>
      <w:proofErr w:type="gramStart"/>
      <w:r w:rsidR="000C5952" w:rsidRPr="000C5952">
        <w:rPr>
          <w:rFonts w:ascii="Tahoma" w:hAnsi="Tahoma" w:cs="Tahoma"/>
          <w:b/>
          <w:u w:val="single"/>
        </w:rPr>
        <w:t>executed</w:t>
      </w:r>
      <w:proofErr w:type="gramEnd"/>
      <w:r w:rsidR="000C5952" w:rsidRPr="000C5952">
        <w:rPr>
          <w:rFonts w:ascii="Tahoma" w:hAnsi="Tahoma" w:cs="Tahoma"/>
          <w:b/>
          <w:u w:val="single"/>
        </w:rPr>
        <w:t xml:space="preserve"> cannot be counted toward the required match share or reimbursed by the CEC. However, this does not prohibit </w:t>
      </w:r>
      <w:r w:rsidR="000C5952">
        <w:rPr>
          <w:rFonts w:ascii="Tahoma" w:hAnsi="Tahoma" w:cs="Tahoma"/>
          <w:b/>
          <w:u w:val="single"/>
        </w:rPr>
        <w:t>A</w:t>
      </w:r>
      <w:r w:rsidR="000C5952" w:rsidRPr="000C5952">
        <w:rPr>
          <w:rFonts w:ascii="Tahoma" w:hAnsi="Tahoma" w:cs="Tahoma"/>
          <w:b/>
          <w:u w:val="single"/>
        </w:rPr>
        <w:t>pplicants from beginning work at their own risk before the agreement is executed. To remain eligible, the project must meet the minimum deployment requirements for charging ports or hydrogen fueling positions during the term of the executed agreement. In other words, the construction and installation of the minimum required infrastructure must occur after the agreement is executed. The minimum match share required is 25%, and there is no cash match requirement.</w:t>
      </w:r>
    </w:p>
    <w:p w14:paraId="730A6469" w14:textId="1825D067" w:rsidR="004B0AD1" w:rsidRPr="004B0AD1" w:rsidRDefault="004B0AD1" w:rsidP="00942904">
      <w:pPr>
        <w:spacing w:before="100" w:beforeAutospacing="1" w:after="100" w:afterAutospacing="1"/>
        <w:ind w:left="720" w:hanging="720"/>
        <w:rPr>
          <w:rFonts w:ascii="Tahoma" w:hAnsi="Tahoma" w:cs="Tahoma"/>
          <w:b/>
          <w:u w:val="single"/>
        </w:rPr>
      </w:pPr>
    </w:p>
    <w:sectPr w:rsidR="004B0AD1" w:rsidRPr="004B0AD1">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2BB20" w14:textId="77777777" w:rsidR="003857C7" w:rsidRDefault="003857C7" w:rsidP="00494408">
      <w:r>
        <w:separator/>
      </w:r>
    </w:p>
  </w:endnote>
  <w:endnote w:type="continuationSeparator" w:id="0">
    <w:p w14:paraId="41D95619" w14:textId="77777777" w:rsidR="003857C7" w:rsidRDefault="003857C7" w:rsidP="00494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8545695"/>
      <w:docPartObj>
        <w:docPartGallery w:val="Page Numbers (Bottom of Page)"/>
        <w:docPartUnique/>
      </w:docPartObj>
    </w:sdtPr>
    <w:sdtEndPr>
      <w:rPr>
        <w:rFonts w:ascii="Arial" w:hAnsi="Arial" w:cs="Arial"/>
        <w:sz w:val="22"/>
        <w:szCs w:val="22"/>
      </w:rPr>
    </w:sdtEndPr>
    <w:sdtContent>
      <w:sdt>
        <w:sdtPr>
          <w:id w:val="1728636285"/>
          <w:docPartObj>
            <w:docPartGallery w:val="Page Numbers (Top of Page)"/>
            <w:docPartUnique/>
          </w:docPartObj>
        </w:sdtPr>
        <w:sdtEndPr>
          <w:rPr>
            <w:rFonts w:ascii="Arial" w:hAnsi="Arial" w:cs="Arial"/>
            <w:sz w:val="22"/>
            <w:szCs w:val="22"/>
          </w:rPr>
        </w:sdtEndPr>
        <w:sdtContent>
          <w:p w14:paraId="17B24B2D" w14:textId="62903DAC" w:rsidR="00494408" w:rsidRPr="00494408" w:rsidRDefault="00494408">
            <w:pPr>
              <w:pStyle w:val="Footer"/>
              <w:jc w:val="center"/>
              <w:rPr>
                <w:rFonts w:ascii="Arial" w:hAnsi="Arial" w:cs="Arial"/>
                <w:sz w:val="22"/>
                <w:szCs w:val="22"/>
              </w:rPr>
            </w:pPr>
            <w:r w:rsidRPr="00494408">
              <w:rPr>
                <w:rFonts w:ascii="Arial" w:hAnsi="Arial" w:cs="Arial"/>
                <w:sz w:val="22"/>
                <w:szCs w:val="22"/>
              </w:rPr>
              <w:t xml:space="preserve">Page </w:t>
            </w:r>
            <w:r w:rsidRPr="00494408">
              <w:rPr>
                <w:rFonts w:ascii="Arial" w:hAnsi="Arial" w:cs="Arial"/>
                <w:b/>
                <w:bCs/>
                <w:sz w:val="22"/>
                <w:szCs w:val="22"/>
              </w:rPr>
              <w:fldChar w:fldCharType="begin"/>
            </w:r>
            <w:r w:rsidRPr="00494408">
              <w:rPr>
                <w:rFonts w:ascii="Arial" w:hAnsi="Arial" w:cs="Arial"/>
                <w:b/>
                <w:bCs/>
                <w:sz w:val="22"/>
                <w:szCs w:val="22"/>
              </w:rPr>
              <w:instrText xml:space="preserve"> PAGE </w:instrText>
            </w:r>
            <w:r w:rsidRPr="00494408">
              <w:rPr>
                <w:rFonts w:ascii="Arial" w:hAnsi="Arial" w:cs="Arial"/>
                <w:b/>
                <w:bCs/>
                <w:sz w:val="22"/>
                <w:szCs w:val="22"/>
              </w:rPr>
              <w:fldChar w:fldCharType="separate"/>
            </w:r>
            <w:r w:rsidRPr="00494408">
              <w:rPr>
                <w:rFonts w:ascii="Arial" w:hAnsi="Arial" w:cs="Arial"/>
                <w:b/>
                <w:bCs/>
                <w:noProof/>
                <w:sz w:val="22"/>
                <w:szCs w:val="22"/>
              </w:rPr>
              <w:t>2</w:t>
            </w:r>
            <w:r w:rsidRPr="00494408">
              <w:rPr>
                <w:rFonts w:ascii="Arial" w:hAnsi="Arial" w:cs="Arial"/>
                <w:b/>
                <w:bCs/>
                <w:sz w:val="22"/>
                <w:szCs w:val="22"/>
              </w:rPr>
              <w:fldChar w:fldCharType="end"/>
            </w:r>
            <w:r w:rsidRPr="00494408">
              <w:rPr>
                <w:rFonts w:ascii="Arial" w:hAnsi="Arial" w:cs="Arial"/>
                <w:sz w:val="22"/>
                <w:szCs w:val="22"/>
              </w:rPr>
              <w:t xml:space="preserve"> of </w:t>
            </w:r>
            <w:r w:rsidRPr="00494408">
              <w:rPr>
                <w:rFonts w:ascii="Arial" w:hAnsi="Arial" w:cs="Arial"/>
                <w:b/>
                <w:bCs/>
                <w:sz w:val="22"/>
                <w:szCs w:val="22"/>
              </w:rPr>
              <w:fldChar w:fldCharType="begin"/>
            </w:r>
            <w:r w:rsidRPr="00494408">
              <w:rPr>
                <w:rFonts w:ascii="Arial" w:hAnsi="Arial" w:cs="Arial"/>
                <w:b/>
                <w:bCs/>
                <w:sz w:val="22"/>
                <w:szCs w:val="22"/>
              </w:rPr>
              <w:instrText xml:space="preserve"> NUMPAGES  </w:instrText>
            </w:r>
            <w:r w:rsidRPr="00494408">
              <w:rPr>
                <w:rFonts w:ascii="Arial" w:hAnsi="Arial" w:cs="Arial"/>
                <w:b/>
                <w:bCs/>
                <w:sz w:val="22"/>
                <w:szCs w:val="22"/>
              </w:rPr>
              <w:fldChar w:fldCharType="separate"/>
            </w:r>
            <w:r w:rsidRPr="00494408">
              <w:rPr>
                <w:rFonts w:ascii="Arial" w:hAnsi="Arial" w:cs="Arial"/>
                <w:b/>
                <w:bCs/>
                <w:noProof/>
                <w:sz w:val="22"/>
                <w:szCs w:val="22"/>
              </w:rPr>
              <w:t>2</w:t>
            </w:r>
            <w:r w:rsidRPr="00494408">
              <w:rPr>
                <w:rFonts w:ascii="Arial" w:hAnsi="Arial" w:cs="Arial"/>
                <w:b/>
                <w:bCs/>
                <w:sz w:val="22"/>
                <w:szCs w:val="22"/>
              </w:rPr>
              <w:fldChar w:fldCharType="end"/>
            </w:r>
          </w:p>
        </w:sdtContent>
      </w:sdt>
    </w:sdtContent>
  </w:sdt>
  <w:p w14:paraId="26E83318" w14:textId="77777777" w:rsidR="00494408" w:rsidRDefault="004944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F48F9" w14:textId="77777777" w:rsidR="003857C7" w:rsidRDefault="003857C7" w:rsidP="00494408">
      <w:r>
        <w:separator/>
      </w:r>
    </w:p>
  </w:footnote>
  <w:footnote w:type="continuationSeparator" w:id="0">
    <w:p w14:paraId="013B66EA" w14:textId="77777777" w:rsidR="003857C7" w:rsidRDefault="003857C7" w:rsidP="004944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97DDE"/>
    <w:multiLevelType w:val="hybridMultilevel"/>
    <w:tmpl w:val="23863CEA"/>
    <w:lvl w:ilvl="0" w:tplc="D55CD1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A27F5C"/>
    <w:multiLevelType w:val="multilevel"/>
    <w:tmpl w:val="5BC4CA1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DE26935"/>
    <w:multiLevelType w:val="hybridMultilevel"/>
    <w:tmpl w:val="B70CDE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5D869B8"/>
    <w:multiLevelType w:val="multilevel"/>
    <w:tmpl w:val="00D2C0B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E7E34F2"/>
    <w:multiLevelType w:val="multilevel"/>
    <w:tmpl w:val="B3F2F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B26984"/>
    <w:multiLevelType w:val="hybridMultilevel"/>
    <w:tmpl w:val="6CCA20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87624B6"/>
    <w:multiLevelType w:val="hybridMultilevel"/>
    <w:tmpl w:val="3A10E49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65053CA"/>
    <w:multiLevelType w:val="multilevel"/>
    <w:tmpl w:val="630C3E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807745A"/>
    <w:multiLevelType w:val="multilevel"/>
    <w:tmpl w:val="D7683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A20CFC"/>
    <w:multiLevelType w:val="hybridMultilevel"/>
    <w:tmpl w:val="C138F9D4"/>
    <w:lvl w:ilvl="0" w:tplc="066825FA">
      <w:start w:val="1"/>
      <w:numFmt w:val="bullet"/>
      <w:lvlText w:val=""/>
      <w:lvlJc w:val="left"/>
      <w:pPr>
        <w:ind w:left="1080" w:hanging="360"/>
      </w:pPr>
      <w:rPr>
        <w:rFonts w:ascii="Symbol" w:hAnsi="Symbol"/>
      </w:rPr>
    </w:lvl>
    <w:lvl w:ilvl="1" w:tplc="62E8F79A">
      <w:start w:val="1"/>
      <w:numFmt w:val="bullet"/>
      <w:lvlText w:val=""/>
      <w:lvlJc w:val="left"/>
      <w:pPr>
        <w:ind w:left="1080" w:hanging="360"/>
      </w:pPr>
      <w:rPr>
        <w:rFonts w:ascii="Symbol" w:hAnsi="Symbol"/>
      </w:rPr>
    </w:lvl>
    <w:lvl w:ilvl="2" w:tplc="6950BF18">
      <w:start w:val="1"/>
      <w:numFmt w:val="bullet"/>
      <w:lvlText w:val=""/>
      <w:lvlJc w:val="left"/>
      <w:pPr>
        <w:ind w:left="1080" w:hanging="360"/>
      </w:pPr>
      <w:rPr>
        <w:rFonts w:ascii="Symbol" w:hAnsi="Symbol"/>
      </w:rPr>
    </w:lvl>
    <w:lvl w:ilvl="3" w:tplc="8806F262">
      <w:start w:val="1"/>
      <w:numFmt w:val="bullet"/>
      <w:lvlText w:val=""/>
      <w:lvlJc w:val="left"/>
      <w:pPr>
        <w:ind w:left="1080" w:hanging="360"/>
      </w:pPr>
      <w:rPr>
        <w:rFonts w:ascii="Symbol" w:hAnsi="Symbol"/>
      </w:rPr>
    </w:lvl>
    <w:lvl w:ilvl="4" w:tplc="5FD49E3C">
      <w:start w:val="1"/>
      <w:numFmt w:val="bullet"/>
      <w:lvlText w:val=""/>
      <w:lvlJc w:val="left"/>
      <w:pPr>
        <w:ind w:left="1080" w:hanging="360"/>
      </w:pPr>
      <w:rPr>
        <w:rFonts w:ascii="Symbol" w:hAnsi="Symbol"/>
      </w:rPr>
    </w:lvl>
    <w:lvl w:ilvl="5" w:tplc="DB6EB9A6">
      <w:start w:val="1"/>
      <w:numFmt w:val="bullet"/>
      <w:lvlText w:val=""/>
      <w:lvlJc w:val="left"/>
      <w:pPr>
        <w:ind w:left="1080" w:hanging="360"/>
      </w:pPr>
      <w:rPr>
        <w:rFonts w:ascii="Symbol" w:hAnsi="Symbol"/>
      </w:rPr>
    </w:lvl>
    <w:lvl w:ilvl="6" w:tplc="8EA4B50E">
      <w:start w:val="1"/>
      <w:numFmt w:val="bullet"/>
      <w:lvlText w:val=""/>
      <w:lvlJc w:val="left"/>
      <w:pPr>
        <w:ind w:left="1080" w:hanging="360"/>
      </w:pPr>
      <w:rPr>
        <w:rFonts w:ascii="Symbol" w:hAnsi="Symbol"/>
      </w:rPr>
    </w:lvl>
    <w:lvl w:ilvl="7" w:tplc="5EF0A308">
      <w:start w:val="1"/>
      <w:numFmt w:val="bullet"/>
      <w:lvlText w:val=""/>
      <w:lvlJc w:val="left"/>
      <w:pPr>
        <w:ind w:left="1080" w:hanging="360"/>
      </w:pPr>
      <w:rPr>
        <w:rFonts w:ascii="Symbol" w:hAnsi="Symbol"/>
      </w:rPr>
    </w:lvl>
    <w:lvl w:ilvl="8" w:tplc="DC509D82">
      <w:start w:val="1"/>
      <w:numFmt w:val="bullet"/>
      <w:lvlText w:val=""/>
      <w:lvlJc w:val="left"/>
      <w:pPr>
        <w:ind w:left="1080" w:hanging="360"/>
      </w:pPr>
      <w:rPr>
        <w:rFonts w:ascii="Symbol" w:hAnsi="Symbol"/>
      </w:rPr>
    </w:lvl>
  </w:abstractNum>
  <w:num w:numId="1" w16cid:durableId="19852300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321938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151414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9215226">
    <w:abstractNumId w:val="2"/>
  </w:num>
  <w:num w:numId="5" w16cid:durableId="25716343">
    <w:abstractNumId w:val="4"/>
  </w:num>
  <w:num w:numId="6" w16cid:durableId="95709074">
    <w:abstractNumId w:val="8"/>
  </w:num>
  <w:num w:numId="7" w16cid:durableId="936448976">
    <w:abstractNumId w:val="5"/>
  </w:num>
  <w:num w:numId="8" w16cid:durableId="1989817800">
    <w:abstractNumId w:val="6"/>
  </w:num>
  <w:num w:numId="9" w16cid:durableId="122892476">
    <w:abstractNumId w:val="0"/>
  </w:num>
  <w:num w:numId="10" w16cid:durableId="4212954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416"/>
    <w:rsid w:val="00000781"/>
    <w:rsid w:val="000048F4"/>
    <w:rsid w:val="0000565B"/>
    <w:rsid w:val="000103D1"/>
    <w:rsid w:val="0003039F"/>
    <w:rsid w:val="00035FCC"/>
    <w:rsid w:val="00037C6A"/>
    <w:rsid w:val="00041E9C"/>
    <w:rsid w:val="000506F0"/>
    <w:rsid w:val="000664E4"/>
    <w:rsid w:val="0008287A"/>
    <w:rsid w:val="000836CD"/>
    <w:rsid w:val="00084A4B"/>
    <w:rsid w:val="0008619C"/>
    <w:rsid w:val="0009515F"/>
    <w:rsid w:val="00095B39"/>
    <w:rsid w:val="000967F2"/>
    <w:rsid w:val="000A1AC3"/>
    <w:rsid w:val="000A3672"/>
    <w:rsid w:val="000A7B0B"/>
    <w:rsid w:val="000B2DB5"/>
    <w:rsid w:val="000B696B"/>
    <w:rsid w:val="000C5952"/>
    <w:rsid w:val="000D0E3B"/>
    <w:rsid w:val="000D21E7"/>
    <w:rsid w:val="000D5BB4"/>
    <w:rsid w:val="000E725A"/>
    <w:rsid w:val="0010169C"/>
    <w:rsid w:val="00104C9F"/>
    <w:rsid w:val="00106715"/>
    <w:rsid w:val="00117EA6"/>
    <w:rsid w:val="00122CB6"/>
    <w:rsid w:val="001277B8"/>
    <w:rsid w:val="00140305"/>
    <w:rsid w:val="0014193A"/>
    <w:rsid w:val="0014290E"/>
    <w:rsid w:val="00143029"/>
    <w:rsid w:val="0014361E"/>
    <w:rsid w:val="00146AF3"/>
    <w:rsid w:val="00160A48"/>
    <w:rsid w:val="00164093"/>
    <w:rsid w:val="00177E76"/>
    <w:rsid w:val="00180AD0"/>
    <w:rsid w:val="00185E50"/>
    <w:rsid w:val="00191883"/>
    <w:rsid w:val="001930E6"/>
    <w:rsid w:val="001B0332"/>
    <w:rsid w:val="001B1D59"/>
    <w:rsid w:val="001D20A4"/>
    <w:rsid w:val="001D354C"/>
    <w:rsid w:val="001D36FC"/>
    <w:rsid w:val="001D4BBD"/>
    <w:rsid w:val="001D4FCA"/>
    <w:rsid w:val="001D60E8"/>
    <w:rsid w:val="001E13D8"/>
    <w:rsid w:val="001F08C9"/>
    <w:rsid w:val="001F0EF4"/>
    <w:rsid w:val="001F51A1"/>
    <w:rsid w:val="001F5966"/>
    <w:rsid w:val="0021093F"/>
    <w:rsid w:val="00214078"/>
    <w:rsid w:val="00220BBB"/>
    <w:rsid w:val="00223473"/>
    <w:rsid w:val="00236748"/>
    <w:rsid w:val="00244D4F"/>
    <w:rsid w:val="0024537F"/>
    <w:rsid w:val="00246B55"/>
    <w:rsid w:val="002508C3"/>
    <w:rsid w:val="00262DD6"/>
    <w:rsid w:val="002647CE"/>
    <w:rsid w:val="002801B3"/>
    <w:rsid w:val="00280350"/>
    <w:rsid w:val="00281001"/>
    <w:rsid w:val="00282819"/>
    <w:rsid w:val="00294BBA"/>
    <w:rsid w:val="00295F09"/>
    <w:rsid w:val="002A057F"/>
    <w:rsid w:val="002B5962"/>
    <w:rsid w:val="002C10A2"/>
    <w:rsid w:val="002C7899"/>
    <w:rsid w:val="002D7C2A"/>
    <w:rsid w:val="002E7646"/>
    <w:rsid w:val="002F0463"/>
    <w:rsid w:val="002F1BC5"/>
    <w:rsid w:val="002F24CC"/>
    <w:rsid w:val="002F4582"/>
    <w:rsid w:val="00305AEB"/>
    <w:rsid w:val="00310F45"/>
    <w:rsid w:val="0031752A"/>
    <w:rsid w:val="0032243E"/>
    <w:rsid w:val="00322AA8"/>
    <w:rsid w:val="00331019"/>
    <w:rsid w:val="00333A0D"/>
    <w:rsid w:val="00342700"/>
    <w:rsid w:val="003448E9"/>
    <w:rsid w:val="003504CB"/>
    <w:rsid w:val="00355329"/>
    <w:rsid w:val="00364EE3"/>
    <w:rsid w:val="00365A31"/>
    <w:rsid w:val="00370AB5"/>
    <w:rsid w:val="00370FB2"/>
    <w:rsid w:val="00371197"/>
    <w:rsid w:val="00371392"/>
    <w:rsid w:val="0037197A"/>
    <w:rsid w:val="0037385C"/>
    <w:rsid w:val="00375411"/>
    <w:rsid w:val="003775DB"/>
    <w:rsid w:val="0038246F"/>
    <w:rsid w:val="003830CB"/>
    <w:rsid w:val="0038399A"/>
    <w:rsid w:val="003857C7"/>
    <w:rsid w:val="0039021E"/>
    <w:rsid w:val="0039077E"/>
    <w:rsid w:val="00394A98"/>
    <w:rsid w:val="003A2C83"/>
    <w:rsid w:val="003B6C6F"/>
    <w:rsid w:val="003C3596"/>
    <w:rsid w:val="003C55EF"/>
    <w:rsid w:val="003C7378"/>
    <w:rsid w:val="003E5FE5"/>
    <w:rsid w:val="003E70EE"/>
    <w:rsid w:val="003F12B0"/>
    <w:rsid w:val="003F265A"/>
    <w:rsid w:val="003F77EA"/>
    <w:rsid w:val="00403498"/>
    <w:rsid w:val="00404F77"/>
    <w:rsid w:val="00415979"/>
    <w:rsid w:val="0041778F"/>
    <w:rsid w:val="0042145E"/>
    <w:rsid w:val="00421BAB"/>
    <w:rsid w:val="00421DFB"/>
    <w:rsid w:val="004228DF"/>
    <w:rsid w:val="00424075"/>
    <w:rsid w:val="0042632E"/>
    <w:rsid w:val="0043007B"/>
    <w:rsid w:val="004310D2"/>
    <w:rsid w:val="00431B03"/>
    <w:rsid w:val="00431E92"/>
    <w:rsid w:val="00432E32"/>
    <w:rsid w:val="00432F2C"/>
    <w:rsid w:val="00444FC5"/>
    <w:rsid w:val="004462FF"/>
    <w:rsid w:val="00451795"/>
    <w:rsid w:val="00454050"/>
    <w:rsid w:val="00457A47"/>
    <w:rsid w:val="00470087"/>
    <w:rsid w:val="00471F2F"/>
    <w:rsid w:val="00472600"/>
    <w:rsid w:val="00477345"/>
    <w:rsid w:val="00477D79"/>
    <w:rsid w:val="0049011C"/>
    <w:rsid w:val="00492CD9"/>
    <w:rsid w:val="00494408"/>
    <w:rsid w:val="004967B7"/>
    <w:rsid w:val="004A046C"/>
    <w:rsid w:val="004A3A7E"/>
    <w:rsid w:val="004A4A06"/>
    <w:rsid w:val="004B0AD1"/>
    <w:rsid w:val="004B1514"/>
    <w:rsid w:val="004C3BE9"/>
    <w:rsid w:val="004C6A14"/>
    <w:rsid w:val="004D0B6B"/>
    <w:rsid w:val="004D5D4E"/>
    <w:rsid w:val="004D78E4"/>
    <w:rsid w:val="004E3E7F"/>
    <w:rsid w:val="004F6808"/>
    <w:rsid w:val="005027C9"/>
    <w:rsid w:val="00510987"/>
    <w:rsid w:val="00517121"/>
    <w:rsid w:val="00517904"/>
    <w:rsid w:val="00520933"/>
    <w:rsid w:val="00523B1E"/>
    <w:rsid w:val="00525F3A"/>
    <w:rsid w:val="00527299"/>
    <w:rsid w:val="00543EA4"/>
    <w:rsid w:val="005525E9"/>
    <w:rsid w:val="00561C30"/>
    <w:rsid w:val="005645B8"/>
    <w:rsid w:val="00595797"/>
    <w:rsid w:val="005964E3"/>
    <w:rsid w:val="005967DA"/>
    <w:rsid w:val="00597822"/>
    <w:rsid w:val="005A3A7B"/>
    <w:rsid w:val="005A64F0"/>
    <w:rsid w:val="005B08D4"/>
    <w:rsid w:val="005B1416"/>
    <w:rsid w:val="005B3F22"/>
    <w:rsid w:val="005B5E1B"/>
    <w:rsid w:val="005C0584"/>
    <w:rsid w:val="005C0F00"/>
    <w:rsid w:val="005C3818"/>
    <w:rsid w:val="005D0271"/>
    <w:rsid w:val="005D05C9"/>
    <w:rsid w:val="005D3DD5"/>
    <w:rsid w:val="005D4C6E"/>
    <w:rsid w:val="005D5811"/>
    <w:rsid w:val="005E0B5F"/>
    <w:rsid w:val="005E1B66"/>
    <w:rsid w:val="005E2B12"/>
    <w:rsid w:val="005F6E77"/>
    <w:rsid w:val="00610D8E"/>
    <w:rsid w:val="00611365"/>
    <w:rsid w:val="00614EE0"/>
    <w:rsid w:val="00615E9D"/>
    <w:rsid w:val="00630B5D"/>
    <w:rsid w:val="0064637D"/>
    <w:rsid w:val="0064667D"/>
    <w:rsid w:val="00654524"/>
    <w:rsid w:val="00656044"/>
    <w:rsid w:val="00661193"/>
    <w:rsid w:val="00663178"/>
    <w:rsid w:val="00663D84"/>
    <w:rsid w:val="00670089"/>
    <w:rsid w:val="00671B04"/>
    <w:rsid w:val="00675BD9"/>
    <w:rsid w:val="00685B64"/>
    <w:rsid w:val="006873E6"/>
    <w:rsid w:val="006957BD"/>
    <w:rsid w:val="006A04C4"/>
    <w:rsid w:val="006A09A3"/>
    <w:rsid w:val="006A5AA2"/>
    <w:rsid w:val="006B0C93"/>
    <w:rsid w:val="006B498B"/>
    <w:rsid w:val="006B7DA2"/>
    <w:rsid w:val="006C2A66"/>
    <w:rsid w:val="006C3BB0"/>
    <w:rsid w:val="006D22AE"/>
    <w:rsid w:val="006D40DC"/>
    <w:rsid w:val="006D64D8"/>
    <w:rsid w:val="006D7CB3"/>
    <w:rsid w:val="006E583E"/>
    <w:rsid w:val="006F1A63"/>
    <w:rsid w:val="006F3ADD"/>
    <w:rsid w:val="006F43CA"/>
    <w:rsid w:val="0070206D"/>
    <w:rsid w:val="007213CE"/>
    <w:rsid w:val="00722572"/>
    <w:rsid w:val="007354B3"/>
    <w:rsid w:val="007359B1"/>
    <w:rsid w:val="00737B9D"/>
    <w:rsid w:val="00741F4F"/>
    <w:rsid w:val="00742863"/>
    <w:rsid w:val="00752C8D"/>
    <w:rsid w:val="00776D62"/>
    <w:rsid w:val="007909A3"/>
    <w:rsid w:val="0079356D"/>
    <w:rsid w:val="007943AB"/>
    <w:rsid w:val="0079632A"/>
    <w:rsid w:val="007A446A"/>
    <w:rsid w:val="007A5C02"/>
    <w:rsid w:val="007B190E"/>
    <w:rsid w:val="007B2C59"/>
    <w:rsid w:val="007C0D45"/>
    <w:rsid w:val="007C1BCA"/>
    <w:rsid w:val="007C5442"/>
    <w:rsid w:val="007E2215"/>
    <w:rsid w:val="007E2735"/>
    <w:rsid w:val="007E3982"/>
    <w:rsid w:val="007E6D1D"/>
    <w:rsid w:val="007F347E"/>
    <w:rsid w:val="007F5FB0"/>
    <w:rsid w:val="0080546B"/>
    <w:rsid w:val="008055F4"/>
    <w:rsid w:val="00817CF9"/>
    <w:rsid w:val="00820888"/>
    <w:rsid w:val="0082150C"/>
    <w:rsid w:val="0082185F"/>
    <w:rsid w:val="00826AE5"/>
    <w:rsid w:val="0083257F"/>
    <w:rsid w:val="0083295D"/>
    <w:rsid w:val="0083388C"/>
    <w:rsid w:val="0083692D"/>
    <w:rsid w:val="00836939"/>
    <w:rsid w:val="0084166A"/>
    <w:rsid w:val="00845042"/>
    <w:rsid w:val="0084733E"/>
    <w:rsid w:val="00850D5D"/>
    <w:rsid w:val="0085203B"/>
    <w:rsid w:val="0085297B"/>
    <w:rsid w:val="008559F0"/>
    <w:rsid w:val="008643BB"/>
    <w:rsid w:val="00872E47"/>
    <w:rsid w:val="0087380E"/>
    <w:rsid w:val="00882174"/>
    <w:rsid w:val="00884E59"/>
    <w:rsid w:val="00885253"/>
    <w:rsid w:val="0088595D"/>
    <w:rsid w:val="00887A96"/>
    <w:rsid w:val="00890151"/>
    <w:rsid w:val="0089088D"/>
    <w:rsid w:val="0089214D"/>
    <w:rsid w:val="00892CD0"/>
    <w:rsid w:val="008978AB"/>
    <w:rsid w:val="00897DA3"/>
    <w:rsid w:val="00897E59"/>
    <w:rsid w:val="008A6FEF"/>
    <w:rsid w:val="008A7E35"/>
    <w:rsid w:val="008B166D"/>
    <w:rsid w:val="008B5077"/>
    <w:rsid w:val="008B5275"/>
    <w:rsid w:val="008B61DA"/>
    <w:rsid w:val="008C1735"/>
    <w:rsid w:val="008C1BB0"/>
    <w:rsid w:val="008C344F"/>
    <w:rsid w:val="008C6CAC"/>
    <w:rsid w:val="008D33CF"/>
    <w:rsid w:val="008D6F31"/>
    <w:rsid w:val="008E6D33"/>
    <w:rsid w:val="008F373E"/>
    <w:rsid w:val="00901553"/>
    <w:rsid w:val="009064ED"/>
    <w:rsid w:val="00915540"/>
    <w:rsid w:val="009209CD"/>
    <w:rsid w:val="00921DF2"/>
    <w:rsid w:val="00923D11"/>
    <w:rsid w:val="00925729"/>
    <w:rsid w:val="00930443"/>
    <w:rsid w:val="009338D8"/>
    <w:rsid w:val="00942904"/>
    <w:rsid w:val="009429E6"/>
    <w:rsid w:val="00951656"/>
    <w:rsid w:val="00962C05"/>
    <w:rsid w:val="00966750"/>
    <w:rsid w:val="009674EC"/>
    <w:rsid w:val="0097083E"/>
    <w:rsid w:val="00975503"/>
    <w:rsid w:val="00986FF8"/>
    <w:rsid w:val="009970BB"/>
    <w:rsid w:val="00997307"/>
    <w:rsid w:val="009A2E53"/>
    <w:rsid w:val="009A48CE"/>
    <w:rsid w:val="009A4ABA"/>
    <w:rsid w:val="009B3889"/>
    <w:rsid w:val="009B561F"/>
    <w:rsid w:val="009C225C"/>
    <w:rsid w:val="009D2FF4"/>
    <w:rsid w:val="009E134F"/>
    <w:rsid w:val="009E1618"/>
    <w:rsid w:val="009E1FC4"/>
    <w:rsid w:val="009E2473"/>
    <w:rsid w:val="009F3C9B"/>
    <w:rsid w:val="009F59B4"/>
    <w:rsid w:val="00A023EE"/>
    <w:rsid w:val="00A06610"/>
    <w:rsid w:val="00A0704C"/>
    <w:rsid w:val="00A177AB"/>
    <w:rsid w:val="00A300C4"/>
    <w:rsid w:val="00A36BF0"/>
    <w:rsid w:val="00A40248"/>
    <w:rsid w:val="00A45E26"/>
    <w:rsid w:val="00A51AEF"/>
    <w:rsid w:val="00A528BB"/>
    <w:rsid w:val="00A57031"/>
    <w:rsid w:val="00A60D57"/>
    <w:rsid w:val="00A6254C"/>
    <w:rsid w:val="00A62F23"/>
    <w:rsid w:val="00A63333"/>
    <w:rsid w:val="00A66482"/>
    <w:rsid w:val="00A76175"/>
    <w:rsid w:val="00A9103B"/>
    <w:rsid w:val="00A964BA"/>
    <w:rsid w:val="00A96858"/>
    <w:rsid w:val="00AA2ED3"/>
    <w:rsid w:val="00AA52CE"/>
    <w:rsid w:val="00AA722B"/>
    <w:rsid w:val="00AB0985"/>
    <w:rsid w:val="00AC363A"/>
    <w:rsid w:val="00AC6C6E"/>
    <w:rsid w:val="00AC6EBD"/>
    <w:rsid w:val="00AD0AA5"/>
    <w:rsid w:val="00AD0B09"/>
    <w:rsid w:val="00AE0023"/>
    <w:rsid w:val="00AE2B74"/>
    <w:rsid w:val="00AE2FA8"/>
    <w:rsid w:val="00AE4DE1"/>
    <w:rsid w:val="00AF0DF6"/>
    <w:rsid w:val="00B016C9"/>
    <w:rsid w:val="00B044A4"/>
    <w:rsid w:val="00B047C1"/>
    <w:rsid w:val="00B06F51"/>
    <w:rsid w:val="00B1463C"/>
    <w:rsid w:val="00B268B0"/>
    <w:rsid w:val="00B26F84"/>
    <w:rsid w:val="00B3410A"/>
    <w:rsid w:val="00B4017E"/>
    <w:rsid w:val="00B502F7"/>
    <w:rsid w:val="00B52A44"/>
    <w:rsid w:val="00B63A5B"/>
    <w:rsid w:val="00B73B60"/>
    <w:rsid w:val="00B83F56"/>
    <w:rsid w:val="00B85B87"/>
    <w:rsid w:val="00B86679"/>
    <w:rsid w:val="00BB0530"/>
    <w:rsid w:val="00BC1D2C"/>
    <w:rsid w:val="00BC2810"/>
    <w:rsid w:val="00BC7571"/>
    <w:rsid w:val="00BE1BFD"/>
    <w:rsid w:val="00BE2888"/>
    <w:rsid w:val="00BE3E62"/>
    <w:rsid w:val="00BE4F67"/>
    <w:rsid w:val="00BF536F"/>
    <w:rsid w:val="00BF63C5"/>
    <w:rsid w:val="00C00FB8"/>
    <w:rsid w:val="00C0657A"/>
    <w:rsid w:val="00C10DF2"/>
    <w:rsid w:val="00C129B9"/>
    <w:rsid w:val="00C15857"/>
    <w:rsid w:val="00C17EAD"/>
    <w:rsid w:val="00C21EC0"/>
    <w:rsid w:val="00C241FB"/>
    <w:rsid w:val="00C2451F"/>
    <w:rsid w:val="00C326FC"/>
    <w:rsid w:val="00C32864"/>
    <w:rsid w:val="00C4361A"/>
    <w:rsid w:val="00C44FE3"/>
    <w:rsid w:val="00C4531C"/>
    <w:rsid w:val="00C45503"/>
    <w:rsid w:val="00C46110"/>
    <w:rsid w:val="00C46EF8"/>
    <w:rsid w:val="00C479B8"/>
    <w:rsid w:val="00C64324"/>
    <w:rsid w:val="00C657C9"/>
    <w:rsid w:val="00C75ED5"/>
    <w:rsid w:val="00C775A6"/>
    <w:rsid w:val="00C82531"/>
    <w:rsid w:val="00C8528F"/>
    <w:rsid w:val="00C87861"/>
    <w:rsid w:val="00C93124"/>
    <w:rsid w:val="00C93641"/>
    <w:rsid w:val="00C95F48"/>
    <w:rsid w:val="00C96505"/>
    <w:rsid w:val="00C9703F"/>
    <w:rsid w:val="00CA219D"/>
    <w:rsid w:val="00CB2801"/>
    <w:rsid w:val="00CB44CB"/>
    <w:rsid w:val="00CB77F2"/>
    <w:rsid w:val="00CC0C71"/>
    <w:rsid w:val="00CC32A9"/>
    <w:rsid w:val="00CC495E"/>
    <w:rsid w:val="00CC5E39"/>
    <w:rsid w:val="00CC5F91"/>
    <w:rsid w:val="00CE438A"/>
    <w:rsid w:val="00CF41EA"/>
    <w:rsid w:val="00D02009"/>
    <w:rsid w:val="00D03B67"/>
    <w:rsid w:val="00D1090D"/>
    <w:rsid w:val="00D154F0"/>
    <w:rsid w:val="00D21D65"/>
    <w:rsid w:val="00D2311A"/>
    <w:rsid w:val="00D26F1B"/>
    <w:rsid w:val="00D33981"/>
    <w:rsid w:val="00D33D50"/>
    <w:rsid w:val="00D34BDF"/>
    <w:rsid w:val="00D36ABC"/>
    <w:rsid w:val="00D40A64"/>
    <w:rsid w:val="00D40D0A"/>
    <w:rsid w:val="00D4522F"/>
    <w:rsid w:val="00D45BE3"/>
    <w:rsid w:val="00D51C85"/>
    <w:rsid w:val="00D564CC"/>
    <w:rsid w:val="00D60C0B"/>
    <w:rsid w:val="00D61424"/>
    <w:rsid w:val="00D62F53"/>
    <w:rsid w:val="00D6576E"/>
    <w:rsid w:val="00D82BCF"/>
    <w:rsid w:val="00D926DC"/>
    <w:rsid w:val="00D9283B"/>
    <w:rsid w:val="00D95899"/>
    <w:rsid w:val="00D96D06"/>
    <w:rsid w:val="00DA2E2B"/>
    <w:rsid w:val="00DA67D9"/>
    <w:rsid w:val="00DB0E6B"/>
    <w:rsid w:val="00DB270C"/>
    <w:rsid w:val="00DB65A8"/>
    <w:rsid w:val="00DC05B2"/>
    <w:rsid w:val="00DC404B"/>
    <w:rsid w:val="00DD0206"/>
    <w:rsid w:val="00DD6DFD"/>
    <w:rsid w:val="00DE3705"/>
    <w:rsid w:val="00DE432C"/>
    <w:rsid w:val="00DE4607"/>
    <w:rsid w:val="00DE563A"/>
    <w:rsid w:val="00DF2548"/>
    <w:rsid w:val="00E02990"/>
    <w:rsid w:val="00E05AD3"/>
    <w:rsid w:val="00E06F6C"/>
    <w:rsid w:val="00E16FD2"/>
    <w:rsid w:val="00E20392"/>
    <w:rsid w:val="00E31359"/>
    <w:rsid w:val="00E3238A"/>
    <w:rsid w:val="00E334F3"/>
    <w:rsid w:val="00E3755D"/>
    <w:rsid w:val="00E37FCA"/>
    <w:rsid w:val="00E409ED"/>
    <w:rsid w:val="00E44777"/>
    <w:rsid w:val="00E53874"/>
    <w:rsid w:val="00E6144E"/>
    <w:rsid w:val="00E62FF4"/>
    <w:rsid w:val="00E64CC6"/>
    <w:rsid w:val="00E74588"/>
    <w:rsid w:val="00E8538E"/>
    <w:rsid w:val="00E92548"/>
    <w:rsid w:val="00E9412F"/>
    <w:rsid w:val="00E960F6"/>
    <w:rsid w:val="00E96FF2"/>
    <w:rsid w:val="00EB1461"/>
    <w:rsid w:val="00EB67AC"/>
    <w:rsid w:val="00EC1FEF"/>
    <w:rsid w:val="00EC258B"/>
    <w:rsid w:val="00EC673B"/>
    <w:rsid w:val="00EC6BF6"/>
    <w:rsid w:val="00ED0205"/>
    <w:rsid w:val="00ED0EB4"/>
    <w:rsid w:val="00EE27A4"/>
    <w:rsid w:val="00EE5A02"/>
    <w:rsid w:val="00EE5F8B"/>
    <w:rsid w:val="00EE7AA5"/>
    <w:rsid w:val="00EF16AB"/>
    <w:rsid w:val="00EF212C"/>
    <w:rsid w:val="00EF2A91"/>
    <w:rsid w:val="00F01D55"/>
    <w:rsid w:val="00F046E8"/>
    <w:rsid w:val="00F05A1E"/>
    <w:rsid w:val="00F20ED9"/>
    <w:rsid w:val="00F30D88"/>
    <w:rsid w:val="00F37FA4"/>
    <w:rsid w:val="00F412E9"/>
    <w:rsid w:val="00F6050C"/>
    <w:rsid w:val="00F65345"/>
    <w:rsid w:val="00F8022C"/>
    <w:rsid w:val="00F80F96"/>
    <w:rsid w:val="00F82526"/>
    <w:rsid w:val="00F87868"/>
    <w:rsid w:val="00F937C9"/>
    <w:rsid w:val="00FA6786"/>
    <w:rsid w:val="00FB1D4E"/>
    <w:rsid w:val="00FB4378"/>
    <w:rsid w:val="00FC6F91"/>
    <w:rsid w:val="00FD5FB6"/>
    <w:rsid w:val="00FE06D4"/>
    <w:rsid w:val="00FE0797"/>
    <w:rsid w:val="00FE0E87"/>
    <w:rsid w:val="00FF3340"/>
    <w:rsid w:val="00FF3A3F"/>
    <w:rsid w:val="00FF4E21"/>
    <w:rsid w:val="00FF71F6"/>
    <w:rsid w:val="0407D905"/>
    <w:rsid w:val="398ECB3B"/>
    <w:rsid w:val="6EC6526B"/>
    <w:rsid w:val="74D3D0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E8299"/>
  <w15:chartTrackingRefBased/>
  <w15:docId w15:val="{6183CD1F-6D09-454C-AC87-4B95FA467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1E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B14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14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14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14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14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14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14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14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141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4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14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14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14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14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14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14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14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1416"/>
    <w:rPr>
      <w:rFonts w:eastAsiaTheme="majorEastAsia" w:cstheme="majorBidi"/>
      <w:color w:val="272727" w:themeColor="text1" w:themeTint="D8"/>
    </w:rPr>
  </w:style>
  <w:style w:type="paragraph" w:styleId="Title">
    <w:name w:val="Title"/>
    <w:basedOn w:val="Normal"/>
    <w:next w:val="Normal"/>
    <w:link w:val="TitleChar"/>
    <w:uiPriority w:val="10"/>
    <w:qFormat/>
    <w:rsid w:val="005B14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4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14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14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1416"/>
    <w:pPr>
      <w:spacing w:before="160"/>
      <w:jc w:val="center"/>
    </w:pPr>
    <w:rPr>
      <w:i/>
      <w:iCs/>
      <w:color w:val="404040" w:themeColor="text1" w:themeTint="BF"/>
    </w:rPr>
  </w:style>
  <w:style w:type="character" w:customStyle="1" w:styleId="QuoteChar">
    <w:name w:val="Quote Char"/>
    <w:basedOn w:val="DefaultParagraphFont"/>
    <w:link w:val="Quote"/>
    <w:uiPriority w:val="29"/>
    <w:rsid w:val="005B1416"/>
    <w:rPr>
      <w:i/>
      <w:iCs/>
      <w:color w:val="404040" w:themeColor="text1" w:themeTint="BF"/>
    </w:rPr>
  </w:style>
  <w:style w:type="paragraph" w:styleId="ListParagraph">
    <w:name w:val="List Paragraph"/>
    <w:basedOn w:val="Normal"/>
    <w:uiPriority w:val="34"/>
    <w:qFormat/>
    <w:rsid w:val="005B1416"/>
    <w:pPr>
      <w:ind w:left="720"/>
      <w:contextualSpacing/>
    </w:pPr>
  </w:style>
  <w:style w:type="character" w:styleId="IntenseEmphasis">
    <w:name w:val="Intense Emphasis"/>
    <w:basedOn w:val="DefaultParagraphFont"/>
    <w:uiPriority w:val="21"/>
    <w:qFormat/>
    <w:rsid w:val="005B1416"/>
    <w:rPr>
      <w:i/>
      <w:iCs/>
      <w:color w:val="0F4761" w:themeColor="accent1" w:themeShade="BF"/>
    </w:rPr>
  </w:style>
  <w:style w:type="paragraph" w:styleId="IntenseQuote">
    <w:name w:val="Intense Quote"/>
    <w:basedOn w:val="Normal"/>
    <w:next w:val="Normal"/>
    <w:link w:val="IntenseQuoteChar"/>
    <w:uiPriority w:val="30"/>
    <w:qFormat/>
    <w:rsid w:val="005B14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1416"/>
    <w:rPr>
      <w:i/>
      <w:iCs/>
      <w:color w:val="0F4761" w:themeColor="accent1" w:themeShade="BF"/>
    </w:rPr>
  </w:style>
  <w:style w:type="character" w:styleId="IntenseReference">
    <w:name w:val="Intense Reference"/>
    <w:basedOn w:val="DefaultParagraphFont"/>
    <w:uiPriority w:val="32"/>
    <w:qFormat/>
    <w:rsid w:val="005B1416"/>
    <w:rPr>
      <w:b/>
      <w:bCs/>
      <w:smallCaps/>
      <w:color w:val="0F4761" w:themeColor="accent1" w:themeShade="BF"/>
      <w:spacing w:val="5"/>
    </w:rPr>
  </w:style>
  <w:style w:type="paragraph" w:styleId="NormalWeb">
    <w:name w:val="Normal (Web)"/>
    <w:basedOn w:val="Normal"/>
    <w:uiPriority w:val="99"/>
    <w:unhideWhenUsed/>
    <w:rsid w:val="005B1416"/>
  </w:style>
  <w:style w:type="character" w:styleId="CommentReference">
    <w:name w:val="annotation reference"/>
    <w:basedOn w:val="DefaultParagraphFont"/>
    <w:uiPriority w:val="99"/>
    <w:semiHidden/>
    <w:unhideWhenUsed/>
    <w:rsid w:val="00C45503"/>
    <w:rPr>
      <w:sz w:val="16"/>
      <w:szCs w:val="16"/>
    </w:rPr>
  </w:style>
  <w:style w:type="paragraph" w:styleId="CommentText">
    <w:name w:val="annotation text"/>
    <w:basedOn w:val="Normal"/>
    <w:link w:val="CommentTextChar"/>
    <w:uiPriority w:val="99"/>
    <w:unhideWhenUsed/>
    <w:rsid w:val="00C45503"/>
    <w:rPr>
      <w:sz w:val="20"/>
      <w:szCs w:val="20"/>
    </w:rPr>
  </w:style>
  <w:style w:type="character" w:customStyle="1" w:styleId="CommentTextChar">
    <w:name w:val="Comment Text Char"/>
    <w:basedOn w:val="DefaultParagraphFont"/>
    <w:link w:val="CommentText"/>
    <w:uiPriority w:val="99"/>
    <w:rsid w:val="00C45503"/>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45503"/>
    <w:rPr>
      <w:b/>
      <w:bCs/>
    </w:rPr>
  </w:style>
  <w:style w:type="character" w:customStyle="1" w:styleId="CommentSubjectChar">
    <w:name w:val="Comment Subject Char"/>
    <w:basedOn w:val="CommentTextChar"/>
    <w:link w:val="CommentSubject"/>
    <w:uiPriority w:val="99"/>
    <w:semiHidden/>
    <w:rsid w:val="00C45503"/>
    <w:rPr>
      <w:rFonts w:ascii="Times New Roman" w:eastAsia="Times New Roman" w:hAnsi="Times New Roman" w:cs="Times New Roman"/>
      <w:b/>
      <w:bCs/>
      <w:kern w:val="0"/>
      <w:sz w:val="20"/>
      <w:szCs w:val="20"/>
      <w14:ligatures w14:val="none"/>
    </w:rPr>
  </w:style>
  <w:style w:type="character" w:customStyle="1" w:styleId="normaltextrun">
    <w:name w:val="normaltextrun"/>
    <w:basedOn w:val="DefaultParagraphFont"/>
    <w:rsid w:val="00106715"/>
  </w:style>
  <w:style w:type="paragraph" w:customStyle="1" w:styleId="paragraph">
    <w:name w:val="paragraph"/>
    <w:basedOn w:val="Normal"/>
    <w:rsid w:val="0084733E"/>
    <w:pPr>
      <w:spacing w:before="100" w:beforeAutospacing="1" w:after="100" w:afterAutospacing="1"/>
    </w:pPr>
  </w:style>
  <w:style w:type="character" w:customStyle="1" w:styleId="eop">
    <w:name w:val="eop"/>
    <w:basedOn w:val="DefaultParagraphFont"/>
    <w:rsid w:val="0084733E"/>
  </w:style>
  <w:style w:type="character" w:styleId="Hyperlink">
    <w:name w:val="Hyperlink"/>
    <w:basedOn w:val="DefaultParagraphFont"/>
    <w:uiPriority w:val="99"/>
    <w:unhideWhenUsed/>
    <w:rsid w:val="004D5D4E"/>
    <w:rPr>
      <w:color w:val="467886" w:themeColor="hyperlink"/>
      <w:u w:val="single"/>
    </w:rPr>
  </w:style>
  <w:style w:type="paragraph" w:styleId="Revision">
    <w:name w:val="Revision"/>
    <w:hidden/>
    <w:uiPriority w:val="99"/>
    <w:semiHidden/>
    <w:rsid w:val="008A6FEF"/>
    <w:pPr>
      <w:spacing w:after="0" w:line="240" w:lineRule="auto"/>
    </w:pPr>
    <w:rPr>
      <w:rFonts w:ascii="Times New Roman" w:eastAsia="Times New Roman" w:hAnsi="Times New Roman" w:cs="Times New Roman"/>
      <w:kern w:val="0"/>
      <w14:ligatures w14:val="none"/>
    </w:rPr>
  </w:style>
  <w:style w:type="character" w:styleId="Mention">
    <w:name w:val="Mention"/>
    <w:basedOn w:val="DefaultParagraphFont"/>
    <w:uiPriority w:val="99"/>
    <w:unhideWhenUsed/>
    <w:rsid w:val="0032243E"/>
    <w:rPr>
      <w:color w:val="2B579A"/>
      <w:shd w:val="clear" w:color="auto" w:fill="E1DFDD"/>
    </w:rPr>
  </w:style>
  <w:style w:type="paragraph" w:styleId="Header">
    <w:name w:val="header"/>
    <w:basedOn w:val="Normal"/>
    <w:link w:val="HeaderChar"/>
    <w:uiPriority w:val="99"/>
    <w:unhideWhenUsed/>
    <w:rsid w:val="00494408"/>
    <w:pPr>
      <w:tabs>
        <w:tab w:val="center" w:pos="4680"/>
        <w:tab w:val="right" w:pos="9360"/>
      </w:tabs>
    </w:pPr>
  </w:style>
  <w:style w:type="character" w:customStyle="1" w:styleId="HeaderChar">
    <w:name w:val="Header Char"/>
    <w:basedOn w:val="DefaultParagraphFont"/>
    <w:link w:val="Header"/>
    <w:uiPriority w:val="99"/>
    <w:rsid w:val="00494408"/>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494408"/>
    <w:pPr>
      <w:tabs>
        <w:tab w:val="center" w:pos="4680"/>
        <w:tab w:val="right" w:pos="9360"/>
      </w:tabs>
    </w:pPr>
  </w:style>
  <w:style w:type="character" w:customStyle="1" w:styleId="FooterChar">
    <w:name w:val="Footer Char"/>
    <w:basedOn w:val="DefaultParagraphFont"/>
    <w:link w:val="Footer"/>
    <w:uiPriority w:val="99"/>
    <w:rsid w:val="00494408"/>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470355">
      <w:bodyDiv w:val="1"/>
      <w:marLeft w:val="0"/>
      <w:marRight w:val="0"/>
      <w:marTop w:val="0"/>
      <w:marBottom w:val="0"/>
      <w:divBdr>
        <w:top w:val="none" w:sz="0" w:space="0" w:color="auto"/>
        <w:left w:val="none" w:sz="0" w:space="0" w:color="auto"/>
        <w:bottom w:val="none" w:sz="0" w:space="0" w:color="auto"/>
        <w:right w:val="none" w:sz="0" w:space="0" w:color="auto"/>
      </w:divBdr>
      <w:divsChild>
        <w:div w:id="654650022">
          <w:marLeft w:val="0"/>
          <w:marRight w:val="0"/>
          <w:marTop w:val="0"/>
          <w:marBottom w:val="0"/>
          <w:divBdr>
            <w:top w:val="none" w:sz="0" w:space="0" w:color="auto"/>
            <w:left w:val="none" w:sz="0" w:space="0" w:color="auto"/>
            <w:bottom w:val="none" w:sz="0" w:space="0" w:color="auto"/>
            <w:right w:val="none" w:sz="0" w:space="0" w:color="auto"/>
          </w:divBdr>
          <w:divsChild>
            <w:div w:id="359090082">
              <w:marLeft w:val="0"/>
              <w:marRight w:val="0"/>
              <w:marTop w:val="0"/>
              <w:marBottom w:val="0"/>
              <w:divBdr>
                <w:top w:val="none" w:sz="0" w:space="0" w:color="auto"/>
                <w:left w:val="none" w:sz="0" w:space="0" w:color="auto"/>
                <w:bottom w:val="none" w:sz="0" w:space="0" w:color="auto"/>
                <w:right w:val="none" w:sz="0" w:space="0" w:color="auto"/>
              </w:divBdr>
            </w:div>
            <w:div w:id="1099915217">
              <w:marLeft w:val="0"/>
              <w:marRight w:val="0"/>
              <w:marTop w:val="0"/>
              <w:marBottom w:val="0"/>
              <w:divBdr>
                <w:top w:val="none" w:sz="0" w:space="0" w:color="auto"/>
                <w:left w:val="none" w:sz="0" w:space="0" w:color="auto"/>
                <w:bottom w:val="none" w:sz="0" w:space="0" w:color="auto"/>
                <w:right w:val="none" w:sz="0" w:space="0" w:color="auto"/>
              </w:divBdr>
            </w:div>
            <w:div w:id="1601987932">
              <w:marLeft w:val="0"/>
              <w:marRight w:val="0"/>
              <w:marTop w:val="0"/>
              <w:marBottom w:val="0"/>
              <w:divBdr>
                <w:top w:val="none" w:sz="0" w:space="0" w:color="auto"/>
                <w:left w:val="none" w:sz="0" w:space="0" w:color="auto"/>
                <w:bottom w:val="none" w:sz="0" w:space="0" w:color="auto"/>
                <w:right w:val="none" w:sz="0" w:space="0" w:color="auto"/>
              </w:divBdr>
            </w:div>
            <w:div w:id="176495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86958">
      <w:bodyDiv w:val="1"/>
      <w:marLeft w:val="0"/>
      <w:marRight w:val="0"/>
      <w:marTop w:val="0"/>
      <w:marBottom w:val="0"/>
      <w:divBdr>
        <w:top w:val="none" w:sz="0" w:space="0" w:color="auto"/>
        <w:left w:val="none" w:sz="0" w:space="0" w:color="auto"/>
        <w:bottom w:val="none" w:sz="0" w:space="0" w:color="auto"/>
        <w:right w:val="none" w:sz="0" w:space="0" w:color="auto"/>
      </w:divBdr>
    </w:div>
    <w:div w:id="1643998630">
      <w:bodyDiv w:val="1"/>
      <w:marLeft w:val="0"/>
      <w:marRight w:val="0"/>
      <w:marTop w:val="0"/>
      <w:marBottom w:val="0"/>
      <w:divBdr>
        <w:top w:val="none" w:sz="0" w:space="0" w:color="auto"/>
        <w:left w:val="none" w:sz="0" w:space="0" w:color="auto"/>
        <w:bottom w:val="none" w:sz="0" w:space="0" w:color="auto"/>
        <w:right w:val="none" w:sz="0" w:space="0" w:color="auto"/>
      </w:divBdr>
      <w:divsChild>
        <w:div w:id="1032613835">
          <w:marLeft w:val="0"/>
          <w:marRight w:val="0"/>
          <w:marTop w:val="0"/>
          <w:marBottom w:val="0"/>
          <w:divBdr>
            <w:top w:val="none" w:sz="0" w:space="0" w:color="auto"/>
            <w:left w:val="none" w:sz="0" w:space="0" w:color="auto"/>
            <w:bottom w:val="none" w:sz="0" w:space="0" w:color="auto"/>
            <w:right w:val="none" w:sz="0" w:space="0" w:color="auto"/>
          </w:divBdr>
          <w:divsChild>
            <w:div w:id="14815399">
              <w:marLeft w:val="0"/>
              <w:marRight w:val="0"/>
              <w:marTop w:val="0"/>
              <w:marBottom w:val="0"/>
              <w:divBdr>
                <w:top w:val="none" w:sz="0" w:space="0" w:color="auto"/>
                <w:left w:val="none" w:sz="0" w:space="0" w:color="auto"/>
                <w:bottom w:val="none" w:sz="0" w:space="0" w:color="auto"/>
                <w:right w:val="none" w:sz="0" w:space="0" w:color="auto"/>
              </w:divBdr>
              <w:divsChild>
                <w:div w:id="507019139">
                  <w:marLeft w:val="0"/>
                  <w:marRight w:val="0"/>
                  <w:marTop w:val="0"/>
                  <w:marBottom w:val="0"/>
                  <w:divBdr>
                    <w:top w:val="none" w:sz="0" w:space="0" w:color="auto"/>
                    <w:left w:val="none" w:sz="0" w:space="0" w:color="auto"/>
                    <w:bottom w:val="none" w:sz="0" w:space="0" w:color="auto"/>
                    <w:right w:val="none" w:sz="0" w:space="0" w:color="auto"/>
                  </w:divBdr>
                  <w:divsChild>
                    <w:div w:id="68503959">
                      <w:marLeft w:val="0"/>
                      <w:marRight w:val="0"/>
                      <w:marTop w:val="0"/>
                      <w:marBottom w:val="0"/>
                      <w:divBdr>
                        <w:top w:val="none" w:sz="0" w:space="0" w:color="auto"/>
                        <w:left w:val="none" w:sz="0" w:space="0" w:color="auto"/>
                        <w:bottom w:val="none" w:sz="0" w:space="0" w:color="auto"/>
                        <w:right w:val="none" w:sz="0" w:space="0" w:color="auto"/>
                      </w:divBdr>
                      <w:divsChild>
                        <w:div w:id="193076513">
                          <w:marLeft w:val="0"/>
                          <w:marRight w:val="0"/>
                          <w:marTop w:val="0"/>
                          <w:marBottom w:val="0"/>
                          <w:divBdr>
                            <w:top w:val="none" w:sz="0" w:space="0" w:color="auto"/>
                            <w:left w:val="none" w:sz="0" w:space="0" w:color="auto"/>
                            <w:bottom w:val="none" w:sz="0" w:space="0" w:color="auto"/>
                            <w:right w:val="none" w:sz="0" w:space="0" w:color="auto"/>
                          </w:divBdr>
                        </w:div>
                      </w:divsChild>
                    </w:div>
                    <w:div w:id="179241472">
                      <w:marLeft w:val="0"/>
                      <w:marRight w:val="0"/>
                      <w:marTop w:val="0"/>
                      <w:marBottom w:val="0"/>
                      <w:divBdr>
                        <w:top w:val="none" w:sz="0" w:space="0" w:color="auto"/>
                        <w:left w:val="none" w:sz="0" w:space="0" w:color="auto"/>
                        <w:bottom w:val="none" w:sz="0" w:space="0" w:color="auto"/>
                        <w:right w:val="none" w:sz="0" w:space="0" w:color="auto"/>
                      </w:divBdr>
                      <w:divsChild>
                        <w:div w:id="585847160">
                          <w:marLeft w:val="0"/>
                          <w:marRight w:val="0"/>
                          <w:marTop w:val="0"/>
                          <w:marBottom w:val="0"/>
                          <w:divBdr>
                            <w:top w:val="none" w:sz="0" w:space="0" w:color="auto"/>
                            <w:left w:val="none" w:sz="0" w:space="0" w:color="auto"/>
                            <w:bottom w:val="none" w:sz="0" w:space="0" w:color="auto"/>
                            <w:right w:val="none" w:sz="0" w:space="0" w:color="auto"/>
                          </w:divBdr>
                        </w:div>
                      </w:divsChild>
                    </w:div>
                    <w:div w:id="417867918">
                      <w:marLeft w:val="0"/>
                      <w:marRight w:val="0"/>
                      <w:marTop w:val="0"/>
                      <w:marBottom w:val="0"/>
                      <w:divBdr>
                        <w:top w:val="none" w:sz="0" w:space="0" w:color="auto"/>
                        <w:left w:val="none" w:sz="0" w:space="0" w:color="auto"/>
                        <w:bottom w:val="none" w:sz="0" w:space="0" w:color="auto"/>
                        <w:right w:val="none" w:sz="0" w:space="0" w:color="auto"/>
                      </w:divBdr>
                      <w:divsChild>
                        <w:div w:id="2061202044">
                          <w:marLeft w:val="0"/>
                          <w:marRight w:val="0"/>
                          <w:marTop w:val="0"/>
                          <w:marBottom w:val="0"/>
                          <w:divBdr>
                            <w:top w:val="none" w:sz="0" w:space="0" w:color="auto"/>
                            <w:left w:val="none" w:sz="0" w:space="0" w:color="auto"/>
                            <w:bottom w:val="none" w:sz="0" w:space="0" w:color="auto"/>
                            <w:right w:val="none" w:sz="0" w:space="0" w:color="auto"/>
                          </w:divBdr>
                        </w:div>
                      </w:divsChild>
                    </w:div>
                    <w:div w:id="453837702">
                      <w:marLeft w:val="0"/>
                      <w:marRight w:val="0"/>
                      <w:marTop w:val="0"/>
                      <w:marBottom w:val="0"/>
                      <w:divBdr>
                        <w:top w:val="none" w:sz="0" w:space="0" w:color="auto"/>
                        <w:left w:val="none" w:sz="0" w:space="0" w:color="auto"/>
                        <w:bottom w:val="none" w:sz="0" w:space="0" w:color="auto"/>
                        <w:right w:val="none" w:sz="0" w:space="0" w:color="auto"/>
                      </w:divBdr>
                      <w:divsChild>
                        <w:div w:id="1035620508">
                          <w:marLeft w:val="0"/>
                          <w:marRight w:val="0"/>
                          <w:marTop w:val="0"/>
                          <w:marBottom w:val="0"/>
                          <w:divBdr>
                            <w:top w:val="none" w:sz="0" w:space="0" w:color="auto"/>
                            <w:left w:val="none" w:sz="0" w:space="0" w:color="auto"/>
                            <w:bottom w:val="none" w:sz="0" w:space="0" w:color="auto"/>
                            <w:right w:val="none" w:sz="0" w:space="0" w:color="auto"/>
                          </w:divBdr>
                        </w:div>
                      </w:divsChild>
                    </w:div>
                    <w:div w:id="791242894">
                      <w:marLeft w:val="0"/>
                      <w:marRight w:val="0"/>
                      <w:marTop w:val="0"/>
                      <w:marBottom w:val="0"/>
                      <w:divBdr>
                        <w:top w:val="none" w:sz="0" w:space="0" w:color="auto"/>
                        <w:left w:val="none" w:sz="0" w:space="0" w:color="auto"/>
                        <w:bottom w:val="none" w:sz="0" w:space="0" w:color="auto"/>
                        <w:right w:val="none" w:sz="0" w:space="0" w:color="auto"/>
                      </w:divBdr>
                      <w:divsChild>
                        <w:div w:id="1457336515">
                          <w:marLeft w:val="0"/>
                          <w:marRight w:val="0"/>
                          <w:marTop w:val="0"/>
                          <w:marBottom w:val="0"/>
                          <w:divBdr>
                            <w:top w:val="none" w:sz="0" w:space="0" w:color="auto"/>
                            <w:left w:val="none" w:sz="0" w:space="0" w:color="auto"/>
                            <w:bottom w:val="none" w:sz="0" w:space="0" w:color="auto"/>
                            <w:right w:val="none" w:sz="0" w:space="0" w:color="auto"/>
                          </w:divBdr>
                        </w:div>
                      </w:divsChild>
                    </w:div>
                    <w:div w:id="856624820">
                      <w:marLeft w:val="0"/>
                      <w:marRight w:val="0"/>
                      <w:marTop w:val="0"/>
                      <w:marBottom w:val="0"/>
                      <w:divBdr>
                        <w:top w:val="none" w:sz="0" w:space="0" w:color="auto"/>
                        <w:left w:val="none" w:sz="0" w:space="0" w:color="auto"/>
                        <w:bottom w:val="none" w:sz="0" w:space="0" w:color="auto"/>
                        <w:right w:val="none" w:sz="0" w:space="0" w:color="auto"/>
                      </w:divBdr>
                      <w:divsChild>
                        <w:div w:id="1013455241">
                          <w:marLeft w:val="0"/>
                          <w:marRight w:val="0"/>
                          <w:marTop w:val="0"/>
                          <w:marBottom w:val="0"/>
                          <w:divBdr>
                            <w:top w:val="none" w:sz="0" w:space="0" w:color="auto"/>
                            <w:left w:val="none" w:sz="0" w:space="0" w:color="auto"/>
                            <w:bottom w:val="none" w:sz="0" w:space="0" w:color="auto"/>
                            <w:right w:val="none" w:sz="0" w:space="0" w:color="auto"/>
                          </w:divBdr>
                        </w:div>
                      </w:divsChild>
                    </w:div>
                    <w:div w:id="877819167">
                      <w:marLeft w:val="0"/>
                      <w:marRight w:val="0"/>
                      <w:marTop w:val="0"/>
                      <w:marBottom w:val="0"/>
                      <w:divBdr>
                        <w:top w:val="none" w:sz="0" w:space="0" w:color="auto"/>
                        <w:left w:val="none" w:sz="0" w:space="0" w:color="auto"/>
                        <w:bottom w:val="none" w:sz="0" w:space="0" w:color="auto"/>
                        <w:right w:val="none" w:sz="0" w:space="0" w:color="auto"/>
                      </w:divBdr>
                      <w:divsChild>
                        <w:div w:id="249850912">
                          <w:marLeft w:val="0"/>
                          <w:marRight w:val="0"/>
                          <w:marTop w:val="0"/>
                          <w:marBottom w:val="0"/>
                          <w:divBdr>
                            <w:top w:val="none" w:sz="0" w:space="0" w:color="auto"/>
                            <w:left w:val="none" w:sz="0" w:space="0" w:color="auto"/>
                            <w:bottom w:val="none" w:sz="0" w:space="0" w:color="auto"/>
                            <w:right w:val="none" w:sz="0" w:space="0" w:color="auto"/>
                          </w:divBdr>
                        </w:div>
                      </w:divsChild>
                    </w:div>
                    <w:div w:id="1087729218">
                      <w:marLeft w:val="0"/>
                      <w:marRight w:val="0"/>
                      <w:marTop w:val="0"/>
                      <w:marBottom w:val="0"/>
                      <w:divBdr>
                        <w:top w:val="none" w:sz="0" w:space="0" w:color="auto"/>
                        <w:left w:val="none" w:sz="0" w:space="0" w:color="auto"/>
                        <w:bottom w:val="none" w:sz="0" w:space="0" w:color="auto"/>
                        <w:right w:val="none" w:sz="0" w:space="0" w:color="auto"/>
                      </w:divBdr>
                      <w:divsChild>
                        <w:div w:id="1590387290">
                          <w:marLeft w:val="0"/>
                          <w:marRight w:val="0"/>
                          <w:marTop w:val="0"/>
                          <w:marBottom w:val="0"/>
                          <w:divBdr>
                            <w:top w:val="none" w:sz="0" w:space="0" w:color="auto"/>
                            <w:left w:val="none" w:sz="0" w:space="0" w:color="auto"/>
                            <w:bottom w:val="none" w:sz="0" w:space="0" w:color="auto"/>
                            <w:right w:val="none" w:sz="0" w:space="0" w:color="auto"/>
                          </w:divBdr>
                        </w:div>
                      </w:divsChild>
                    </w:div>
                    <w:div w:id="1129934201">
                      <w:marLeft w:val="0"/>
                      <w:marRight w:val="0"/>
                      <w:marTop w:val="0"/>
                      <w:marBottom w:val="0"/>
                      <w:divBdr>
                        <w:top w:val="none" w:sz="0" w:space="0" w:color="auto"/>
                        <w:left w:val="none" w:sz="0" w:space="0" w:color="auto"/>
                        <w:bottom w:val="none" w:sz="0" w:space="0" w:color="auto"/>
                        <w:right w:val="none" w:sz="0" w:space="0" w:color="auto"/>
                      </w:divBdr>
                      <w:divsChild>
                        <w:div w:id="1231380458">
                          <w:marLeft w:val="0"/>
                          <w:marRight w:val="0"/>
                          <w:marTop w:val="0"/>
                          <w:marBottom w:val="0"/>
                          <w:divBdr>
                            <w:top w:val="none" w:sz="0" w:space="0" w:color="auto"/>
                            <w:left w:val="none" w:sz="0" w:space="0" w:color="auto"/>
                            <w:bottom w:val="none" w:sz="0" w:space="0" w:color="auto"/>
                            <w:right w:val="none" w:sz="0" w:space="0" w:color="auto"/>
                          </w:divBdr>
                        </w:div>
                      </w:divsChild>
                    </w:div>
                    <w:div w:id="1133140277">
                      <w:marLeft w:val="0"/>
                      <w:marRight w:val="0"/>
                      <w:marTop w:val="0"/>
                      <w:marBottom w:val="0"/>
                      <w:divBdr>
                        <w:top w:val="none" w:sz="0" w:space="0" w:color="auto"/>
                        <w:left w:val="none" w:sz="0" w:space="0" w:color="auto"/>
                        <w:bottom w:val="none" w:sz="0" w:space="0" w:color="auto"/>
                        <w:right w:val="none" w:sz="0" w:space="0" w:color="auto"/>
                      </w:divBdr>
                      <w:divsChild>
                        <w:div w:id="1529948858">
                          <w:marLeft w:val="0"/>
                          <w:marRight w:val="0"/>
                          <w:marTop w:val="0"/>
                          <w:marBottom w:val="0"/>
                          <w:divBdr>
                            <w:top w:val="none" w:sz="0" w:space="0" w:color="auto"/>
                            <w:left w:val="none" w:sz="0" w:space="0" w:color="auto"/>
                            <w:bottom w:val="none" w:sz="0" w:space="0" w:color="auto"/>
                            <w:right w:val="none" w:sz="0" w:space="0" w:color="auto"/>
                          </w:divBdr>
                        </w:div>
                      </w:divsChild>
                    </w:div>
                    <w:div w:id="1190221700">
                      <w:marLeft w:val="0"/>
                      <w:marRight w:val="0"/>
                      <w:marTop w:val="0"/>
                      <w:marBottom w:val="0"/>
                      <w:divBdr>
                        <w:top w:val="none" w:sz="0" w:space="0" w:color="auto"/>
                        <w:left w:val="none" w:sz="0" w:space="0" w:color="auto"/>
                        <w:bottom w:val="none" w:sz="0" w:space="0" w:color="auto"/>
                        <w:right w:val="none" w:sz="0" w:space="0" w:color="auto"/>
                      </w:divBdr>
                      <w:divsChild>
                        <w:div w:id="905990328">
                          <w:marLeft w:val="0"/>
                          <w:marRight w:val="0"/>
                          <w:marTop w:val="0"/>
                          <w:marBottom w:val="0"/>
                          <w:divBdr>
                            <w:top w:val="none" w:sz="0" w:space="0" w:color="auto"/>
                            <w:left w:val="none" w:sz="0" w:space="0" w:color="auto"/>
                            <w:bottom w:val="none" w:sz="0" w:space="0" w:color="auto"/>
                            <w:right w:val="none" w:sz="0" w:space="0" w:color="auto"/>
                          </w:divBdr>
                        </w:div>
                      </w:divsChild>
                    </w:div>
                    <w:div w:id="1305351934">
                      <w:marLeft w:val="0"/>
                      <w:marRight w:val="0"/>
                      <w:marTop w:val="0"/>
                      <w:marBottom w:val="0"/>
                      <w:divBdr>
                        <w:top w:val="none" w:sz="0" w:space="0" w:color="auto"/>
                        <w:left w:val="none" w:sz="0" w:space="0" w:color="auto"/>
                        <w:bottom w:val="none" w:sz="0" w:space="0" w:color="auto"/>
                        <w:right w:val="none" w:sz="0" w:space="0" w:color="auto"/>
                      </w:divBdr>
                      <w:divsChild>
                        <w:div w:id="563373632">
                          <w:marLeft w:val="0"/>
                          <w:marRight w:val="0"/>
                          <w:marTop w:val="0"/>
                          <w:marBottom w:val="0"/>
                          <w:divBdr>
                            <w:top w:val="none" w:sz="0" w:space="0" w:color="auto"/>
                            <w:left w:val="none" w:sz="0" w:space="0" w:color="auto"/>
                            <w:bottom w:val="none" w:sz="0" w:space="0" w:color="auto"/>
                            <w:right w:val="none" w:sz="0" w:space="0" w:color="auto"/>
                          </w:divBdr>
                        </w:div>
                      </w:divsChild>
                    </w:div>
                    <w:div w:id="1366365754">
                      <w:marLeft w:val="0"/>
                      <w:marRight w:val="0"/>
                      <w:marTop w:val="0"/>
                      <w:marBottom w:val="0"/>
                      <w:divBdr>
                        <w:top w:val="none" w:sz="0" w:space="0" w:color="auto"/>
                        <w:left w:val="none" w:sz="0" w:space="0" w:color="auto"/>
                        <w:bottom w:val="none" w:sz="0" w:space="0" w:color="auto"/>
                        <w:right w:val="none" w:sz="0" w:space="0" w:color="auto"/>
                      </w:divBdr>
                      <w:divsChild>
                        <w:div w:id="1925189044">
                          <w:marLeft w:val="0"/>
                          <w:marRight w:val="0"/>
                          <w:marTop w:val="0"/>
                          <w:marBottom w:val="0"/>
                          <w:divBdr>
                            <w:top w:val="none" w:sz="0" w:space="0" w:color="auto"/>
                            <w:left w:val="none" w:sz="0" w:space="0" w:color="auto"/>
                            <w:bottom w:val="none" w:sz="0" w:space="0" w:color="auto"/>
                            <w:right w:val="none" w:sz="0" w:space="0" w:color="auto"/>
                          </w:divBdr>
                        </w:div>
                      </w:divsChild>
                    </w:div>
                    <w:div w:id="1369800541">
                      <w:marLeft w:val="0"/>
                      <w:marRight w:val="0"/>
                      <w:marTop w:val="0"/>
                      <w:marBottom w:val="0"/>
                      <w:divBdr>
                        <w:top w:val="none" w:sz="0" w:space="0" w:color="auto"/>
                        <w:left w:val="none" w:sz="0" w:space="0" w:color="auto"/>
                        <w:bottom w:val="none" w:sz="0" w:space="0" w:color="auto"/>
                        <w:right w:val="none" w:sz="0" w:space="0" w:color="auto"/>
                      </w:divBdr>
                      <w:divsChild>
                        <w:div w:id="1638992031">
                          <w:marLeft w:val="0"/>
                          <w:marRight w:val="0"/>
                          <w:marTop w:val="0"/>
                          <w:marBottom w:val="0"/>
                          <w:divBdr>
                            <w:top w:val="none" w:sz="0" w:space="0" w:color="auto"/>
                            <w:left w:val="none" w:sz="0" w:space="0" w:color="auto"/>
                            <w:bottom w:val="none" w:sz="0" w:space="0" w:color="auto"/>
                            <w:right w:val="none" w:sz="0" w:space="0" w:color="auto"/>
                          </w:divBdr>
                        </w:div>
                      </w:divsChild>
                    </w:div>
                    <w:div w:id="1406688296">
                      <w:marLeft w:val="0"/>
                      <w:marRight w:val="0"/>
                      <w:marTop w:val="0"/>
                      <w:marBottom w:val="0"/>
                      <w:divBdr>
                        <w:top w:val="none" w:sz="0" w:space="0" w:color="auto"/>
                        <w:left w:val="none" w:sz="0" w:space="0" w:color="auto"/>
                        <w:bottom w:val="none" w:sz="0" w:space="0" w:color="auto"/>
                        <w:right w:val="none" w:sz="0" w:space="0" w:color="auto"/>
                      </w:divBdr>
                      <w:divsChild>
                        <w:div w:id="1011761892">
                          <w:marLeft w:val="0"/>
                          <w:marRight w:val="0"/>
                          <w:marTop w:val="0"/>
                          <w:marBottom w:val="0"/>
                          <w:divBdr>
                            <w:top w:val="none" w:sz="0" w:space="0" w:color="auto"/>
                            <w:left w:val="none" w:sz="0" w:space="0" w:color="auto"/>
                            <w:bottom w:val="none" w:sz="0" w:space="0" w:color="auto"/>
                            <w:right w:val="none" w:sz="0" w:space="0" w:color="auto"/>
                          </w:divBdr>
                        </w:div>
                      </w:divsChild>
                    </w:div>
                    <w:div w:id="1452940638">
                      <w:marLeft w:val="0"/>
                      <w:marRight w:val="0"/>
                      <w:marTop w:val="0"/>
                      <w:marBottom w:val="0"/>
                      <w:divBdr>
                        <w:top w:val="none" w:sz="0" w:space="0" w:color="auto"/>
                        <w:left w:val="none" w:sz="0" w:space="0" w:color="auto"/>
                        <w:bottom w:val="none" w:sz="0" w:space="0" w:color="auto"/>
                        <w:right w:val="none" w:sz="0" w:space="0" w:color="auto"/>
                      </w:divBdr>
                      <w:divsChild>
                        <w:div w:id="1110511102">
                          <w:marLeft w:val="0"/>
                          <w:marRight w:val="0"/>
                          <w:marTop w:val="0"/>
                          <w:marBottom w:val="0"/>
                          <w:divBdr>
                            <w:top w:val="none" w:sz="0" w:space="0" w:color="auto"/>
                            <w:left w:val="none" w:sz="0" w:space="0" w:color="auto"/>
                            <w:bottom w:val="none" w:sz="0" w:space="0" w:color="auto"/>
                            <w:right w:val="none" w:sz="0" w:space="0" w:color="auto"/>
                          </w:divBdr>
                        </w:div>
                      </w:divsChild>
                    </w:div>
                    <w:div w:id="1720058531">
                      <w:marLeft w:val="0"/>
                      <w:marRight w:val="0"/>
                      <w:marTop w:val="0"/>
                      <w:marBottom w:val="0"/>
                      <w:divBdr>
                        <w:top w:val="none" w:sz="0" w:space="0" w:color="auto"/>
                        <w:left w:val="none" w:sz="0" w:space="0" w:color="auto"/>
                        <w:bottom w:val="none" w:sz="0" w:space="0" w:color="auto"/>
                        <w:right w:val="none" w:sz="0" w:space="0" w:color="auto"/>
                      </w:divBdr>
                      <w:divsChild>
                        <w:div w:id="858854464">
                          <w:marLeft w:val="0"/>
                          <w:marRight w:val="0"/>
                          <w:marTop w:val="0"/>
                          <w:marBottom w:val="0"/>
                          <w:divBdr>
                            <w:top w:val="none" w:sz="0" w:space="0" w:color="auto"/>
                            <w:left w:val="none" w:sz="0" w:space="0" w:color="auto"/>
                            <w:bottom w:val="none" w:sz="0" w:space="0" w:color="auto"/>
                            <w:right w:val="none" w:sz="0" w:space="0" w:color="auto"/>
                          </w:divBdr>
                        </w:div>
                      </w:divsChild>
                    </w:div>
                    <w:div w:id="2108455556">
                      <w:marLeft w:val="0"/>
                      <w:marRight w:val="0"/>
                      <w:marTop w:val="0"/>
                      <w:marBottom w:val="0"/>
                      <w:divBdr>
                        <w:top w:val="none" w:sz="0" w:space="0" w:color="auto"/>
                        <w:left w:val="none" w:sz="0" w:space="0" w:color="auto"/>
                        <w:bottom w:val="none" w:sz="0" w:space="0" w:color="auto"/>
                        <w:right w:val="none" w:sz="0" w:space="0" w:color="auto"/>
                      </w:divBdr>
                      <w:divsChild>
                        <w:div w:id="19234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962930">
              <w:marLeft w:val="0"/>
              <w:marRight w:val="0"/>
              <w:marTop w:val="0"/>
              <w:marBottom w:val="0"/>
              <w:divBdr>
                <w:top w:val="none" w:sz="0" w:space="0" w:color="auto"/>
                <w:left w:val="none" w:sz="0" w:space="0" w:color="auto"/>
                <w:bottom w:val="none" w:sz="0" w:space="0" w:color="auto"/>
                <w:right w:val="none" w:sz="0" w:space="0" w:color="auto"/>
              </w:divBdr>
              <w:divsChild>
                <w:div w:id="29040763">
                  <w:marLeft w:val="0"/>
                  <w:marRight w:val="0"/>
                  <w:marTop w:val="0"/>
                  <w:marBottom w:val="0"/>
                  <w:divBdr>
                    <w:top w:val="none" w:sz="0" w:space="0" w:color="auto"/>
                    <w:left w:val="none" w:sz="0" w:space="0" w:color="auto"/>
                    <w:bottom w:val="none" w:sz="0" w:space="0" w:color="auto"/>
                    <w:right w:val="none" w:sz="0" w:space="0" w:color="auto"/>
                  </w:divBdr>
                </w:div>
                <w:div w:id="76174187">
                  <w:marLeft w:val="0"/>
                  <w:marRight w:val="0"/>
                  <w:marTop w:val="0"/>
                  <w:marBottom w:val="0"/>
                  <w:divBdr>
                    <w:top w:val="none" w:sz="0" w:space="0" w:color="auto"/>
                    <w:left w:val="none" w:sz="0" w:space="0" w:color="auto"/>
                    <w:bottom w:val="none" w:sz="0" w:space="0" w:color="auto"/>
                    <w:right w:val="none" w:sz="0" w:space="0" w:color="auto"/>
                  </w:divBdr>
                </w:div>
                <w:div w:id="84150588">
                  <w:marLeft w:val="0"/>
                  <w:marRight w:val="0"/>
                  <w:marTop w:val="0"/>
                  <w:marBottom w:val="0"/>
                  <w:divBdr>
                    <w:top w:val="none" w:sz="0" w:space="0" w:color="auto"/>
                    <w:left w:val="none" w:sz="0" w:space="0" w:color="auto"/>
                    <w:bottom w:val="none" w:sz="0" w:space="0" w:color="auto"/>
                    <w:right w:val="none" w:sz="0" w:space="0" w:color="auto"/>
                  </w:divBdr>
                </w:div>
                <w:div w:id="406653642">
                  <w:marLeft w:val="0"/>
                  <w:marRight w:val="0"/>
                  <w:marTop w:val="0"/>
                  <w:marBottom w:val="0"/>
                  <w:divBdr>
                    <w:top w:val="none" w:sz="0" w:space="0" w:color="auto"/>
                    <w:left w:val="none" w:sz="0" w:space="0" w:color="auto"/>
                    <w:bottom w:val="none" w:sz="0" w:space="0" w:color="auto"/>
                    <w:right w:val="none" w:sz="0" w:space="0" w:color="auto"/>
                  </w:divBdr>
                </w:div>
                <w:div w:id="448359522">
                  <w:marLeft w:val="0"/>
                  <w:marRight w:val="0"/>
                  <w:marTop w:val="0"/>
                  <w:marBottom w:val="0"/>
                  <w:divBdr>
                    <w:top w:val="none" w:sz="0" w:space="0" w:color="auto"/>
                    <w:left w:val="none" w:sz="0" w:space="0" w:color="auto"/>
                    <w:bottom w:val="none" w:sz="0" w:space="0" w:color="auto"/>
                    <w:right w:val="none" w:sz="0" w:space="0" w:color="auto"/>
                  </w:divBdr>
                </w:div>
                <w:div w:id="689913123">
                  <w:marLeft w:val="0"/>
                  <w:marRight w:val="0"/>
                  <w:marTop w:val="0"/>
                  <w:marBottom w:val="0"/>
                  <w:divBdr>
                    <w:top w:val="none" w:sz="0" w:space="0" w:color="auto"/>
                    <w:left w:val="none" w:sz="0" w:space="0" w:color="auto"/>
                    <w:bottom w:val="none" w:sz="0" w:space="0" w:color="auto"/>
                    <w:right w:val="none" w:sz="0" w:space="0" w:color="auto"/>
                  </w:divBdr>
                </w:div>
                <w:div w:id="698506501">
                  <w:marLeft w:val="0"/>
                  <w:marRight w:val="0"/>
                  <w:marTop w:val="0"/>
                  <w:marBottom w:val="0"/>
                  <w:divBdr>
                    <w:top w:val="none" w:sz="0" w:space="0" w:color="auto"/>
                    <w:left w:val="none" w:sz="0" w:space="0" w:color="auto"/>
                    <w:bottom w:val="none" w:sz="0" w:space="0" w:color="auto"/>
                    <w:right w:val="none" w:sz="0" w:space="0" w:color="auto"/>
                  </w:divBdr>
                </w:div>
                <w:div w:id="1012687265">
                  <w:marLeft w:val="0"/>
                  <w:marRight w:val="0"/>
                  <w:marTop w:val="0"/>
                  <w:marBottom w:val="0"/>
                  <w:divBdr>
                    <w:top w:val="none" w:sz="0" w:space="0" w:color="auto"/>
                    <w:left w:val="none" w:sz="0" w:space="0" w:color="auto"/>
                    <w:bottom w:val="none" w:sz="0" w:space="0" w:color="auto"/>
                    <w:right w:val="none" w:sz="0" w:space="0" w:color="auto"/>
                  </w:divBdr>
                </w:div>
                <w:div w:id="1287783541">
                  <w:marLeft w:val="0"/>
                  <w:marRight w:val="0"/>
                  <w:marTop w:val="0"/>
                  <w:marBottom w:val="0"/>
                  <w:divBdr>
                    <w:top w:val="none" w:sz="0" w:space="0" w:color="auto"/>
                    <w:left w:val="none" w:sz="0" w:space="0" w:color="auto"/>
                    <w:bottom w:val="none" w:sz="0" w:space="0" w:color="auto"/>
                    <w:right w:val="none" w:sz="0" w:space="0" w:color="auto"/>
                  </w:divBdr>
                </w:div>
                <w:div w:id="1407612114">
                  <w:marLeft w:val="0"/>
                  <w:marRight w:val="0"/>
                  <w:marTop w:val="0"/>
                  <w:marBottom w:val="0"/>
                  <w:divBdr>
                    <w:top w:val="none" w:sz="0" w:space="0" w:color="auto"/>
                    <w:left w:val="none" w:sz="0" w:space="0" w:color="auto"/>
                    <w:bottom w:val="none" w:sz="0" w:space="0" w:color="auto"/>
                    <w:right w:val="none" w:sz="0" w:space="0" w:color="auto"/>
                  </w:divBdr>
                </w:div>
                <w:div w:id="1446466013">
                  <w:marLeft w:val="0"/>
                  <w:marRight w:val="0"/>
                  <w:marTop w:val="0"/>
                  <w:marBottom w:val="0"/>
                  <w:divBdr>
                    <w:top w:val="none" w:sz="0" w:space="0" w:color="auto"/>
                    <w:left w:val="none" w:sz="0" w:space="0" w:color="auto"/>
                    <w:bottom w:val="none" w:sz="0" w:space="0" w:color="auto"/>
                    <w:right w:val="none" w:sz="0" w:space="0" w:color="auto"/>
                  </w:divBdr>
                </w:div>
                <w:div w:id="1501967356">
                  <w:marLeft w:val="0"/>
                  <w:marRight w:val="0"/>
                  <w:marTop w:val="0"/>
                  <w:marBottom w:val="0"/>
                  <w:divBdr>
                    <w:top w:val="none" w:sz="0" w:space="0" w:color="auto"/>
                    <w:left w:val="none" w:sz="0" w:space="0" w:color="auto"/>
                    <w:bottom w:val="none" w:sz="0" w:space="0" w:color="auto"/>
                    <w:right w:val="none" w:sz="0" w:space="0" w:color="auto"/>
                  </w:divBdr>
                </w:div>
                <w:div w:id="2030525125">
                  <w:marLeft w:val="0"/>
                  <w:marRight w:val="0"/>
                  <w:marTop w:val="0"/>
                  <w:marBottom w:val="0"/>
                  <w:divBdr>
                    <w:top w:val="none" w:sz="0" w:space="0" w:color="auto"/>
                    <w:left w:val="none" w:sz="0" w:space="0" w:color="auto"/>
                    <w:bottom w:val="none" w:sz="0" w:space="0" w:color="auto"/>
                    <w:right w:val="none" w:sz="0" w:space="0" w:color="auto"/>
                  </w:divBdr>
                </w:div>
              </w:divsChild>
            </w:div>
            <w:div w:id="156101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12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2.arb.ca.gov/sites/default/files/2020-07/2020_lcfs_fro_oal-approved_unofficial_06302020.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ata.bts.gov/stories/s/myhq-rm6q"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ao.ca.gov/handouts/resources/2023/Ports-Overview-081723.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27" ma:contentTypeDescription="Create a new document." ma:contentTypeScope="" ma:versionID="7c3a804d124f351d180a343fd8256516">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f2562e47cfe6c4ffb8151826110331f7"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Date" minOccurs="0"/>
                <xsd:element ref="ns2:MediaServiceSearchProperties" minOccurs="0"/>
                <xsd:element ref="ns2:Descr" minOccurs="0"/>
                <xsd:element ref="ns2:TopicsofInterest" minOccurs="0"/>
                <xsd:element ref="ns2:DateofPublicationorEvent" minOccurs="0"/>
                <xsd:element ref="ns2:MediaServiceBillingMetadata" minOccurs="0"/>
                <xsd:element ref="ns2:Obsolete" minOccurs="0"/>
                <xsd:element ref="ns2:Sort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Date" ma:index="23" nillable="true" ma:displayName="Date" ma:format="DateTime" ma:internalName="Date">
      <xsd:simpleType>
        <xsd:restriction base="dms:DateTim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escr" ma:index="25" nillable="true" ma:displayName="Descr" ma:format="Dropdown" ma:internalName="Descr">
      <xsd:simpleType>
        <xsd:restriction base="dms:Note">
          <xsd:maxLength value="255"/>
        </xsd:restriction>
      </xsd:simpleType>
    </xsd:element>
    <xsd:element name="TopicsofInterest" ma:index="26" nillable="true" ma:displayName="Topics of Interest" ma:format="Dropdown" ma:internalName="TopicsofInterest">
      <xsd:simpleType>
        <xsd:restriction base="dms:Note">
          <xsd:maxLength value="255"/>
        </xsd:restriction>
      </xsd:simpleType>
    </xsd:element>
    <xsd:element name="DateofPublicationorEvent" ma:index="27" nillable="true" ma:displayName="Date of Publication or Event" ma:format="DateOnly" ma:indexed="true" ma:internalName="DateofPublicationorEvent">
      <xsd:simpleType>
        <xsd:restriction base="dms:DateTim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Obsolete" ma:index="30" nillable="true" ma:displayName="Obsolete" ma:default="0" ma:description="Whether this publication has been replaced by a newer version" ma:format="Dropdown" ma:internalName="Obsolete">
      <xsd:simpleType>
        <xsd:restriction base="dms:Boolean"/>
      </xsd:simpleType>
    </xsd:element>
    <xsd:element name="Sort_x0020_Order" ma:index="31" nillable="true" ma:displayName="Sort Order" ma:format="Dropdown" ma:internalName="Sort_x0020_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56ce4c4a-7fe1-4beb-a9c7-54d9dfc92e85}"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2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DateofPublicationorEvent xmlns="785685f2-c2e1-4352-89aa-3faca8eaba52" xsi:nil="true"/>
    <Sort_x0020_Order xmlns="785685f2-c2e1-4352-89aa-3faca8eaba52" xsi:nil="true"/>
    <TopicsofInterest xmlns="785685f2-c2e1-4352-89aa-3faca8eaba52" xsi:nil="true"/>
    <Obsolete xmlns="785685f2-c2e1-4352-89aa-3faca8eaba52">false</Obsolete>
    <Descr xmlns="785685f2-c2e1-4352-89aa-3faca8eaba52" xsi:nil="true"/>
    <Date xmlns="785685f2-c2e1-4352-89aa-3faca8eaba5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39818E-8B8B-41E8-89E8-7AB1E201E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88C9AB-37EF-4B86-9BD9-C6DB9FB438C3}">
  <ds:schemaRefs>
    <ds:schemaRef ds:uri="http://schemas.openxmlformats.org/officeDocument/2006/bibliography"/>
  </ds:schemaRefs>
</ds:datastoreItem>
</file>

<file path=customXml/itemProps3.xml><?xml version="1.0" encoding="utf-8"?>
<ds:datastoreItem xmlns:ds="http://schemas.openxmlformats.org/officeDocument/2006/customXml" ds:itemID="{A02FB4B3-89AF-40E6-8419-61D374AE7E0B}">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4.xml><?xml version="1.0" encoding="utf-8"?>
<ds:datastoreItem xmlns:ds="http://schemas.openxmlformats.org/officeDocument/2006/customXml" ds:itemID="{DBFB3EB7-0F8C-453D-B76B-ACB5A0732D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7033</Words>
  <Characters>40090</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47029</CharactersWithSpaces>
  <SharedDoc>false</SharedDoc>
  <HLinks>
    <vt:vector size="18" baseType="variant">
      <vt:variant>
        <vt:i4>6029344</vt:i4>
      </vt:variant>
      <vt:variant>
        <vt:i4>6</vt:i4>
      </vt:variant>
      <vt:variant>
        <vt:i4>0</vt:i4>
      </vt:variant>
      <vt:variant>
        <vt:i4>5</vt:i4>
      </vt:variant>
      <vt:variant>
        <vt:lpwstr>https://ww2.arb.ca.gov/sites/default/files/2020-07/2020_lcfs_fro_oal-approved_unofficial_06302020.pdf</vt:lpwstr>
      </vt:variant>
      <vt:variant>
        <vt:lpwstr/>
      </vt:variant>
      <vt:variant>
        <vt:i4>5242955</vt:i4>
      </vt:variant>
      <vt:variant>
        <vt:i4>3</vt:i4>
      </vt:variant>
      <vt:variant>
        <vt:i4>0</vt:i4>
      </vt:variant>
      <vt:variant>
        <vt:i4>5</vt:i4>
      </vt:variant>
      <vt:variant>
        <vt:lpwstr>https://data.bts.gov/stories/s/myhq-rm6q</vt:lpwstr>
      </vt:variant>
      <vt:variant>
        <vt:lpwstr/>
      </vt:variant>
      <vt:variant>
        <vt:i4>4325459</vt:i4>
      </vt:variant>
      <vt:variant>
        <vt:i4>0</vt:i4>
      </vt:variant>
      <vt:variant>
        <vt:i4>0</vt:i4>
      </vt:variant>
      <vt:variant>
        <vt:i4>5</vt:i4>
      </vt:variant>
      <vt:variant>
        <vt:lpwstr>https://lao.ca.gov/handouts/resources/2023/Ports-Overview-081723.pdf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 Kathryn@Energy</dc:creator>
  <cp:keywords/>
  <dc:description/>
  <cp:lastModifiedBy>Reid, Kathryn@Energy</cp:lastModifiedBy>
  <cp:revision>4</cp:revision>
  <dcterms:created xsi:type="dcterms:W3CDTF">2025-12-28T00:25:00Z</dcterms:created>
  <dcterms:modified xsi:type="dcterms:W3CDTF">2025-12-28T00:31:00Z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ies>
</file>