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4826AD7B" w:rsidR="009E6C35" w:rsidRPr="00571C4B" w:rsidRDefault="001D3FB8" w:rsidP="00B33F69">
      <w:pPr>
        <w:pStyle w:val="paragraph"/>
        <w:ind w:left="4320"/>
        <w:jc w:val="right"/>
        <w:textAlignment w:val="baseline"/>
        <w:rPr>
          <w:rStyle w:val="normaltextrun"/>
          <w:rFonts w:ascii="Tahoma" w:hAnsi="Tahoma" w:cs="Tahoma"/>
        </w:rPr>
      </w:pPr>
      <w:r>
        <w:rPr>
          <w:rStyle w:val="normaltextrun"/>
          <w:rFonts w:ascii="Tahoma" w:hAnsi="Tahoma" w:cs="Tahoma"/>
        </w:rPr>
        <w:tab/>
      </w:r>
      <w:r w:rsidR="003B1A9F" w:rsidRPr="00356C62">
        <w:rPr>
          <w:rStyle w:val="normaltextrun"/>
          <w:rFonts w:ascii="Tahoma" w:hAnsi="Tahoma" w:cs="Tahoma"/>
        </w:rPr>
        <w:t xml:space="preserve">December </w:t>
      </w:r>
      <w:r w:rsidR="00712D01">
        <w:rPr>
          <w:rStyle w:val="normaltextrun"/>
          <w:rFonts w:ascii="Tahoma" w:hAnsi="Tahoma" w:cs="Tahoma"/>
        </w:rPr>
        <w:t>17</w:t>
      </w:r>
      <w:r w:rsidR="72D36FB0" w:rsidRPr="00356C62">
        <w:rPr>
          <w:rStyle w:val="normaltextrun"/>
          <w:rFonts w:ascii="Tahoma" w:hAnsi="Tahoma" w:cs="Tahoma"/>
        </w:rPr>
        <w:t>,</w:t>
      </w:r>
      <w:r w:rsidR="0079120A" w:rsidRPr="00356C62">
        <w:rPr>
          <w:rStyle w:val="normaltextrun"/>
          <w:rFonts w:ascii="Tahoma" w:hAnsi="Tahoma" w:cs="Tahoma"/>
        </w:rPr>
        <w:t xml:space="preserve"> 202</w:t>
      </w:r>
      <w:r w:rsidR="00434543" w:rsidRPr="00356C62">
        <w:rPr>
          <w:rStyle w:val="normaltextrun"/>
          <w:rFonts w:ascii="Tahoma" w:hAnsi="Tahoma" w:cs="Tahoma"/>
        </w:rPr>
        <w:t>5</w:t>
      </w:r>
    </w:p>
    <w:p w14:paraId="3049D69B" w14:textId="4BFAFC00" w:rsidR="00B1122A" w:rsidRPr="00571C4B" w:rsidRDefault="00B1122A" w:rsidP="00B1122A">
      <w:pPr>
        <w:jc w:val="center"/>
        <w:rPr>
          <w:rFonts w:ascii="Tahoma" w:hAnsi="Tahoma" w:cs="Tahoma"/>
          <w:b/>
          <w:bCs/>
        </w:rPr>
      </w:pPr>
      <w:r w:rsidRPr="00571C4B">
        <w:rPr>
          <w:rFonts w:ascii="Tahoma" w:hAnsi="Tahoma" w:cs="Tahoma"/>
          <w:b/>
          <w:bCs/>
        </w:rPr>
        <w:t>GFO-2</w:t>
      </w:r>
      <w:r w:rsidR="3E07790D" w:rsidRPr="00571C4B">
        <w:rPr>
          <w:rFonts w:ascii="Tahoma" w:hAnsi="Tahoma" w:cs="Tahoma"/>
          <w:b/>
          <w:bCs/>
        </w:rPr>
        <w:t>4</w:t>
      </w:r>
      <w:r w:rsidR="00353981" w:rsidRPr="00571C4B">
        <w:rPr>
          <w:rFonts w:ascii="Tahoma" w:hAnsi="Tahoma" w:cs="Tahoma"/>
          <w:b/>
          <w:bCs/>
        </w:rPr>
        <w:t>-6</w:t>
      </w:r>
      <w:r w:rsidR="00076083" w:rsidRPr="00571C4B">
        <w:rPr>
          <w:rFonts w:ascii="Tahoma" w:hAnsi="Tahoma" w:cs="Tahoma"/>
          <w:b/>
          <w:bCs/>
        </w:rPr>
        <w:t>11</w:t>
      </w:r>
    </w:p>
    <w:p w14:paraId="3CF3724C" w14:textId="10C8E4C7" w:rsidR="00076083" w:rsidRPr="00571C4B" w:rsidRDefault="00076083" w:rsidP="00076083">
      <w:pPr>
        <w:jc w:val="center"/>
        <w:rPr>
          <w:rFonts w:ascii="Tahoma" w:eastAsia="Calibri" w:hAnsi="Tahoma" w:cs="Tahoma"/>
          <w:b/>
          <w:color w:val="000000" w:themeColor="text1"/>
        </w:rPr>
      </w:pPr>
      <w:r w:rsidRPr="00571C4B">
        <w:rPr>
          <w:rFonts w:ascii="Tahoma" w:eastAsia="Calibri" w:hAnsi="Tahoma" w:cs="Tahoma"/>
          <w:b/>
          <w:color w:val="000000" w:themeColor="text1"/>
        </w:rPr>
        <w:t xml:space="preserve">Implementation of Medium- and Heavy-Duty </w:t>
      </w:r>
    </w:p>
    <w:p w14:paraId="6274A38D" w14:textId="77777777" w:rsidR="00076083" w:rsidRPr="00571C4B" w:rsidRDefault="00076083" w:rsidP="00076083">
      <w:pPr>
        <w:jc w:val="center"/>
        <w:rPr>
          <w:rFonts w:ascii="Tahoma" w:eastAsia="Calibri" w:hAnsi="Tahoma" w:cs="Tahoma"/>
          <w:b/>
          <w:color w:val="000000" w:themeColor="text1"/>
        </w:rPr>
      </w:pPr>
      <w:r w:rsidRPr="00571C4B">
        <w:rPr>
          <w:rFonts w:ascii="Tahoma" w:eastAsia="Calibri" w:hAnsi="Tahoma" w:cs="Tahoma"/>
          <w:b/>
          <w:color w:val="000000" w:themeColor="text1"/>
        </w:rPr>
        <w:t>Zero-Emission Vehicle Infrastructure Blueprints 2.0</w:t>
      </w:r>
    </w:p>
    <w:p w14:paraId="6587D6BB" w14:textId="77414541" w:rsidR="00B1122A" w:rsidRPr="00571C4B" w:rsidRDefault="00B1122A" w:rsidP="2FECB163">
      <w:pPr>
        <w:autoSpaceDE w:val="0"/>
        <w:autoSpaceDN w:val="0"/>
        <w:adjustRightInd w:val="0"/>
        <w:jc w:val="center"/>
        <w:rPr>
          <w:rFonts w:ascii="Tahoma" w:eastAsia="Calibri" w:hAnsi="Tahoma" w:cs="Tahoma"/>
          <w:b/>
          <w:bCs/>
          <w:color w:val="000000"/>
          <w:u w:val="single"/>
        </w:rPr>
      </w:pPr>
      <w:r w:rsidRPr="00571C4B">
        <w:rPr>
          <w:rFonts w:ascii="Tahoma" w:eastAsia="Calibri" w:hAnsi="Tahoma" w:cs="Tahoma"/>
          <w:b/>
          <w:bCs/>
          <w:color w:val="000000" w:themeColor="text1"/>
          <w:u w:val="single"/>
        </w:rPr>
        <w:t xml:space="preserve">Addendum </w:t>
      </w:r>
      <w:r w:rsidR="00807D47" w:rsidRPr="00571C4B">
        <w:rPr>
          <w:rFonts w:ascii="Tahoma" w:eastAsia="Calibri" w:hAnsi="Tahoma" w:cs="Tahoma"/>
          <w:b/>
          <w:bCs/>
          <w:color w:val="000000" w:themeColor="text1"/>
          <w:u w:val="single"/>
        </w:rPr>
        <w:t>0</w:t>
      </w:r>
      <w:r w:rsidR="003B1A9F" w:rsidRPr="00571C4B">
        <w:rPr>
          <w:rFonts w:ascii="Tahoma" w:eastAsia="Calibri" w:hAnsi="Tahoma" w:cs="Tahoma"/>
          <w:b/>
          <w:bCs/>
          <w:color w:val="000000" w:themeColor="text1"/>
          <w:u w:val="single"/>
        </w:rPr>
        <w:t>6</w:t>
      </w:r>
    </w:p>
    <w:p w14:paraId="363B15A9" w14:textId="77777777" w:rsidR="00B1122A" w:rsidRPr="00571C4B" w:rsidRDefault="00B1122A" w:rsidP="00B1122A">
      <w:pPr>
        <w:autoSpaceDE w:val="0"/>
        <w:autoSpaceDN w:val="0"/>
        <w:adjustRightInd w:val="0"/>
        <w:jc w:val="center"/>
        <w:rPr>
          <w:rFonts w:ascii="Tahoma" w:eastAsia="Calibri" w:hAnsi="Tahoma" w:cs="Tahoma"/>
          <w:b/>
          <w:bCs/>
          <w:color w:val="000000"/>
        </w:rPr>
      </w:pPr>
    </w:p>
    <w:p w14:paraId="28220DB1" w14:textId="1D818C2D" w:rsidR="00FD441B" w:rsidRPr="00571C4B" w:rsidRDefault="00B1122A" w:rsidP="00B1122A">
      <w:pPr>
        <w:autoSpaceDE w:val="0"/>
        <w:autoSpaceDN w:val="0"/>
        <w:adjustRightInd w:val="0"/>
        <w:rPr>
          <w:rFonts w:ascii="Tahoma" w:eastAsia="Calibri" w:hAnsi="Tahoma" w:cs="Tahoma"/>
          <w:color w:val="000000"/>
        </w:rPr>
      </w:pPr>
      <w:r w:rsidRPr="00571C4B">
        <w:rPr>
          <w:rFonts w:ascii="Tahoma" w:eastAsia="Calibri" w:hAnsi="Tahoma" w:cs="Tahoma"/>
          <w:color w:val="000000" w:themeColor="text1"/>
        </w:rPr>
        <w:t>The purpose of this addendum is to notify potential applicants of changes that have been made to GFO-2</w:t>
      </w:r>
      <w:r w:rsidR="6BF0E62C" w:rsidRPr="00571C4B">
        <w:rPr>
          <w:rFonts w:ascii="Tahoma" w:eastAsia="Calibri" w:hAnsi="Tahoma" w:cs="Tahoma"/>
          <w:color w:val="000000" w:themeColor="text1"/>
        </w:rPr>
        <w:t>4</w:t>
      </w:r>
      <w:r w:rsidR="00353981" w:rsidRPr="00571C4B">
        <w:rPr>
          <w:rFonts w:ascii="Tahoma" w:eastAsia="Calibri" w:hAnsi="Tahoma" w:cs="Tahoma"/>
          <w:color w:val="000000" w:themeColor="text1"/>
        </w:rPr>
        <w:t>-6</w:t>
      </w:r>
      <w:r w:rsidR="00076083" w:rsidRPr="00571C4B">
        <w:rPr>
          <w:rFonts w:ascii="Tahoma" w:eastAsia="Calibri" w:hAnsi="Tahoma" w:cs="Tahoma"/>
          <w:color w:val="000000" w:themeColor="text1"/>
        </w:rPr>
        <w:t>11</w:t>
      </w:r>
      <w:r w:rsidRPr="00571C4B">
        <w:rPr>
          <w:rFonts w:ascii="Tahoma" w:eastAsia="Calibri" w:hAnsi="Tahoma" w:cs="Tahoma"/>
          <w:color w:val="000000" w:themeColor="text1"/>
        </w:rPr>
        <w:t xml:space="preserve">. </w:t>
      </w:r>
    </w:p>
    <w:p w14:paraId="24A5A8EC" w14:textId="77777777" w:rsidR="00FD441B" w:rsidRPr="00571C4B" w:rsidRDefault="00FD441B" w:rsidP="00B1122A">
      <w:pPr>
        <w:autoSpaceDE w:val="0"/>
        <w:autoSpaceDN w:val="0"/>
        <w:adjustRightInd w:val="0"/>
        <w:rPr>
          <w:rFonts w:ascii="Tahoma" w:eastAsia="Calibri" w:hAnsi="Tahoma" w:cs="Tahoma"/>
          <w:color w:val="000000"/>
        </w:rPr>
      </w:pPr>
    </w:p>
    <w:p w14:paraId="000B0B09" w14:textId="351F41F9" w:rsidR="00B1122A" w:rsidRPr="00571C4B" w:rsidRDefault="00B1122A" w:rsidP="0000028A">
      <w:pPr>
        <w:autoSpaceDE w:val="0"/>
        <w:autoSpaceDN w:val="0"/>
        <w:adjustRightInd w:val="0"/>
        <w:rPr>
          <w:rFonts w:ascii="Tahoma" w:eastAsia="Calibri" w:hAnsi="Tahoma" w:cs="Tahoma"/>
          <w:color w:val="000000"/>
        </w:rPr>
      </w:pPr>
      <w:r w:rsidRPr="00571C4B">
        <w:rPr>
          <w:rFonts w:ascii="Tahoma" w:eastAsia="Calibri" w:hAnsi="Tahoma" w:cs="Tahoma"/>
          <w:color w:val="000000" w:themeColor="text1"/>
        </w:rPr>
        <w:t>The addendum includes revisions to the Solicitation Manual</w:t>
      </w:r>
      <w:r w:rsidR="00D10CD4" w:rsidRPr="00571C4B">
        <w:rPr>
          <w:rFonts w:ascii="Tahoma" w:eastAsia="Calibri" w:hAnsi="Tahoma" w:cs="Tahoma"/>
          <w:color w:val="000000" w:themeColor="text1"/>
        </w:rPr>
        <w:t xml:space="preserve"> and Questions and Answers</w:t>
      </w:r>
      <w:r w:rsidR="00DB61B4" w:rsidRPr="00571C4B">
        <w:rPr>
          <w:rFonts w:ascii="Tahoma" w:eastAsia="Calibri" w:hAnsi="Tahoma" w:cs="Tahoma"/>
          <w:color w:val="000000" w:themeColor="text1"/>
        </w:rPr>
        <w:t>. </w:t>
      </w:r>
      <w:r w:rsidRPr="00571C4B">
        <w:rPr>
          <w:rFonts w:ascii="Tahoma" w:eastAsia="Calibri" w:hAnsi="Tahoma" w:cs="Tahoma"/>
          <w:color w:val="000000" w:themeColor="text1"/>
        </w:rPr>
        <w:t xml:space="preserve">Added language appears in </w:t>
      </w:r>
      <w:r w:rsidRPr="00571C4B">
        <w:rPr>
          <w:rFonts w:ascii="Tahoma" w:eastAsia="Calibri" w:hAnsi="Tahoma" w:cs="Tahoma"/>
          <w:b/>
          <w:color w:val="000000" w:themeColor="text1"/>
          <w:u w:val="single"/>
        </w:rPr>
        <w:t>bold underline</w:t>
      </w:r>
      <w:r w:rsidRPr="00571C4B">
        <w:rPr>
          <w:rFonts w:ascii="Tahoma" w:eastAsia="Calibri" w:hAnsi="Tahoma" w:cs="Tahoma"/>
          <w:color w:val="000000" w:themeColor="text1"/>
        </w:rPr>
        <w:t>, and deleted language appears in [</w:t>
      </w:r>
      <w:r w:rsidRPr="00571C4B">
        <w:rPr>
          <w:rFonts w:ascii="Tahoma" w:eastAsia="Calibri" w:hAnsi="Tahoma" w:cs="Tahoma"/>
          <w:strike/>
          <w:color w:val="000000" w:themeColor="text1"/>
        </w:rPr>
        <w:t>strikethrough</w:t>
      </w:r>
      <w:r w:rsidRPr="00571C4B">
        <w:rPr>
          <w:rFonts w:ascii="Tahoma" w:eastAsia="Calibri" w:hAnsi="Tahoma" w:cs="Tahoma"/>
          <w:color w:val="000000" w:themeColor="text1"/>
        </w:rPr>
        <w:t>] and within square brackets.</w:t>
      </w:r>
    </w:p>
    <w:p w14:paraId="75680E49" w14:textId="77777777" w:rsidR="008F4EE9" w:rsidRPr="00571C4B" w:rsidRDefault="008F4EE9" w:rsidP="0000028A">
      <w:pPr>
        <w:autoSpaceDE w:val="0"/>
        <w:autoSpaceDN w:val="0"/>
        <w:adjustRightInd w:val="0"/>
        <w:rPr>
          <w:rFonts w:ascii="Tahoma" w:eastAsia="Calibri" w:hAnsi="Tahoma" w:cs="Tahoma"/>
          <w:color w:val="000000"/>
        </w:rPr>
      </w:pPr>
    </w:p>
    <w:p w14:paraId="4FC72C8F" w14:textId="42804494" w:rsidR="005D7090" w:rsidRPr="00571C4B" w:rsidRDefault="00262EBE" w:rsidP="0000028A">
      <w:pPr>
        <w:autoSpaceDE w:val="0"/>
        <w:autoSpaceDN w:val="0"/>
        <w:adjustRightInd w:val="0"/>
        <w:rPr>
          <w:rFonts w:ascii="Tahoma" w:eastAsia="Calibri" w:hAnsi="Tahoma" w:cs="Tahoma"/>
          <w:color w:val="000000"/>
        </w:rPr>
      </w:pPr>
      <w:r w:rsidRPr="00571C4B">
        <w:rPr>
          <w:rFonts w:ascii="Tahoma" w:eastAsia="Calibri" w:hAnsi="Tahoma" w:cs="Tahoma"/>
          <w:color w:val="000000"/>
        </w:rPr>
        <w:t xml:space="preserve">The addendum also includes </w:t>
      </w:r>
      <w:r w:rsidR="00F64A04" w:rsidRPr="00571C4B">
        <w:rPr>
          <w:rFonts w:ascii="Tahoma" w:eastAsia="Calibri" w:hAnsi="Tahoma" w:cs="Tahoma"/>
          <w:color w:val="000000"/>
        </w:rPr>
        <w:t xml:space="preserve">an updated question-and-answer set posted on the </w:t>
      </w:r>
      <w:hyperlink r:id="rId11" w:history="1">
        <w:r w:rsidR="00F64A04" w:rsidRPr="00571C4B">
          <w:rPr>
            <w:rStyle w:val="Hyperlink"/>
            <w:rFonts w:ascii="Tahoma" w:eastAsia="Calibri" w:hAnsi="Tahoma" w:cs="Tahoma"/>
          </w:rPr>
          <w:t>CEC’s solicitation information website</w:t>
        </w:r>
      </w:hyperlink>
      <w:r w:rsidR="00F64A04" w:rsidRPr="00571C4B">
        <w:rPr>
          <w:rFonts w:ascii="Tahoma" w:eastAsia="Calibri" w:hAnsi="Tahoma" w:cs="Tahoma"/>
          <w:color w:val="000000"/>
        </w:rPr>
        <w:t xml:space="preserve"> at </w:t>
      </w:r>
      <w:r w:rsidR="00537A58" w:rsidRPr="00571C4B">
        <w:rPr>
          <w:rStyle w:val="normaltextrun"/>
          <w:rFonts w:ascii="Tahoma" w:hAnsi="Tahoma" w:cs="Tahoma"/>
          <w:color w:val="000000"/>
          <w:shd w:val="clear" w:color="auto" w:fill="FFFFFF"/>
        </w:rPr>
        <w:t>www.energy.ca.gov/funding-opportunities/solicitations.</w:t>
      </w:r>
    </w:p>
    <w:p w14:paraId="74482B55" w14:textId="77777777" w:rsidR="009F4B67" w:rsidRPr="00571C4B" w:rsidRDefault="009F4B67" w:rsidP="00D3505A">
      <w:pPr>
        <w:autoSpaceDE w:val="0"/>
        <w:autoSpaceDN w:val="0"/>
        <w:adjustRightInd w:val="0"/>
        <w:rPr>
          <w:rFonts w:ascii="Tahoma" w:eastAsiaTheme="majorEastAsia" w:hAnsi="Tahoma" w:cs="Tahoma"/>
          <w:b/>
        </w:rPr>
      </w:pPr>
    </w:p>
    <w:p w14:paraId="784AD453" w14:textId="4EC490EB" w:rsidR="00BE400E" w:rsidRPr="00571C4B" w:rsidRDefault="00B1122A" w:rsidP="009719FB">
      <w:pPr>
        <w:keepNext/>
        <w:keepLines/>
        <w:spacing w:after="240"/>
        <w:outlineLvl w:val="1"/>
        <w:rPr>
          <w:b/>
        </w:rPr>
      </w:pPr>
      <w:r w:rsidRPr="00571C4B">
        <w:rPr>
          <w:rFonts w:ascii="Tahoma" w:eastAsiaTheme="majorEastAsia" w:hAnsi="Tahoma" w:cs="Tahoma"/>
          <w:b/>
        </w:rPr>
        <w:t xml:space="preserve">Solicitation Manual </w:t>
      </w:r>
      <w:bookmarkStart w:id="0" w:name="_Toc155803478"/>
    </w:p>
    <w:bookmarkEnd w:id="0"/>
    <w:p w14:paraId="368DF8FE" w14:textId="2307AB14" w:rsidR="00B93AF0" w:rsidRDefault="00BD07DD" w:rsidP="0087224D">
      <w:pPr>
        <w:pStyle w:val="ListParagraph"/>
        <w:numPr>
          <w:ilvl w:val="0"/>
          <w:numId w:val="1"/>
        </w:numPr>
        <w:ind w:left="540" w:hanging="540"/>
        <w:rPr>
          <w:rFonts w:ascii="Tahoma" w:eastAsia="Tahoma" w:hAnsi="Tahoma" w:cs="Tahoma"/>
          <w:b/>
          <w:bCs/>
          <w:color w:val="000000"/>
        </w:rPr>
      </w:pPr>
      <w:r w:rsidRPr="00BD07DD">
        <w:rPr>
          <w:rFonts w:ascii="Tahoma" w:eastAsia="Tahoma" w:hAnsi="Tahoma" w:cs="Tahoma"/>
          <w:b/>
          <w:bCs/>
          <w:color w:val="000000"/>
        </w:rPr>
        <w:t>Section I.D. Key Activities and Dates</w:t>
      </w:r>
    </w:p>
    <w:p w14:paraId="74AC1C09" w14:textId="77777777" w:rsidR="00FE2773" w:rsidRDefault="00FE2773" w:rsidP="00FE2773">
      <w:pPr>
        <w:pStyle w:val="ListParagraph"/>
        <w:ind w:left="540"/>
        <w:rPr>
          <w:rFonts w:ascii="Tahoma" w:hAnsi="Tahoma" w:cs="Tahoma"/>
        </w:rPr>
      </w:pPr>
    </w:p>
    <w:p w14:paraId="7F1C0BC9" w14:textId="47F09C61" w:rsidR="00FE2773" w:rsidRDefault="00FE2773" w:rsidP="00FE2773">
      <w:pPr>
        <w:pStyle w:val="ListParagraph"/>
        <w:ind w:left="540"/>
        <w:rPr>
          <w:rFonts w:ascii="Tahoma" w:hAnsi="Tahoma" w:cs="Tahoma"/>
        </w:rPr>
      </w:pPr>
      <w:r w:rsidRPr="00FE2773">
        <w:rPr>
          <w:rFonts w:ascii="Tahoma" w:hAnsi="Tahoma" w:cs="Tahoma"/>
        </w:rPr>
        <w:t>Key activities including dates and times for this solicitation are presented below.  An addendum will be released if the dates change for the asterisked (*) activities. Times listed are Pacific Standard Time or Pacific Daylight Time, whichever is being observed.</w:t>
      </w:r>
    </w:p>
    <w:p w14:paraId="5081D888" w14:textId="77777777" w:rsidR="002675E9" w:rsidRDefault="002675E9" w:rsidP="00FE2773">
      <w:pPr>
        <w:pStyle w:val="ListParagraph"/>
        <w:ind w:left="540"/>
        <w:rPr>
          <w:rFonts w:ascii="Tahoma" w:hAnsi="Tahoma" w:cs="Tahoma"/>
        </w:rPr>
      </w:pPr>
    </w:p>
    <w:tbl>
      <w:tblPr>
        <w:tblStyle w:val="TableGrid"/>
        <w:tblW w:w="9535" w:type="dxa"/>
        <w:tblLayout w:type="fixed"/>
        <w:tblLook w:val="0020" w:firstRow="1" w:lastRow="0" w:firstColumn="0" w:lastColumn="0" w:noHBand="0" w:noVBand="0"/>
        <w:tblCaption w:val="key activities and dates"/>
        <w:tblDescription w:val="dates of key activities in solicitation"/>
      </w:tblPr>
      <w:tblGrid>
        <w:gridCol w:w="5485"/>
        <w:gridCol w:w="4050"/>
      </w:tblGrid>
      <w:tr w:rsidR="009C7D74" w:rsidRPr="00C83361" w14:paraId="34D23FF3" w14:textId="77777777" w:rsidTr="009D5C62">
        <w:trPr>
          <w:trHeight w:hRule="exact" w:val="288"/>
        </w:trPr>
        <w:tc>
          <w:tcPr>
            <w:tcW w:w="5485" w:type="dxa"/>
            <w:shd w:val="clear" w:color="auto" w:fill="D9D9D9" w:themeFill="background1" w:themeFillShade="D9"/>
          </w:tcPr>
          <w:p w14:paraId="3DEC685E" w14:textId="77777777" w:rsidR="009C7D74" w:rsidRPr="00103D65" w:rsidRDefault="009C7D74" w:rsidP="009D5C62">
            <w:pPr>
              <w:jc w:val="center"/>
              <w:rPr>
                <w:rFonts w:ascii="Tahoma" w:hAnsi="Tahoma" w:cs="Tahoma"/>
                <w:b/>
                <w:szCs w:val="22"/>
              </w:rPr>
            </w:pPr>
            <w:bookmarkStart w:id="1" w:name="_Hlk200023675"/>
            <w:r w:rsidRPr="00103D65">
              <w:rPr>
                <w:rFonts w:ascii="Tahoma" w:hAnsi="Tahoma" w:cs="Tahoma"/>
                <w:b/>
                <w:szCs w:val="22"/>
              </w:rPr>
              <w:t>ACTIVITY</w:t>
            </w:r>
          </w:p>
        </w:tc>
        <w:tc>
          <w:tcPr>
            <w:tcW w:w="4050" w:type="dxa"/>
            <w:shd w:val="clear" w:color="auto" w:fill="D9D9D9" w:themeFill="background1" w:themeFillShade="D9"/>
          </w:tcPr>
          <w:p w14:paraId="316CC51A" w14:textId="77777777" w:rsidR="009C7D74" w:rsidRPr="00103D65" w:rsidRDefault="009C7D74" w:rsidP="009D5C62">
            <w:pPr>
              <w:jc w:val="center"/>
              <w:rPr>
                <w:rFonts w:ascii="Tahoma" w:hAnsi="Tahoma" w:cs="Tahoma"/>
                <w:b/>
                <w:szCs w:val="22"/>
              </w:rPr>
            </w:pPr>
            <w:r w:rsidRPr="00103D65">
              <w:rPr>
                <w:rFonts w:ascii="Tahoma" w:hAnsi="Tahoma" w:cs="Tahoma"/>
                <w:b/>
                <w:szCs w:val="22"/>
              </w:rPr>
              <w:t>ACTION DATE</w:t>
            </w:r>
          </w:p>
        </w:tc>
      </w:tr>
      <w:bookmarkEnd w:id="1"/>
      <w:tr w:rsidR="009C7D74" w:rsidRPr="00C83361" w14:paraId="763088D2" w14:textId="77777777" w:rsidTr="009D5C62">
        <w:trPr>
          <w:trHeight w:hRule="exact" w:val="288"/>
        </w:trPr>
        <w:tc>
          <w:tcPr>
            <w:tcW w:w="5485" w:type="dxa"/>
          </w:tcPr>
          <w:p w14:paraId="00EC2E63" w14:textId="77777777" w:rsidR="009C7D74" w:rsidRPr="00103D65" w:rsidRDefault="009C7D74" w:rsidP="009D5C62">
            <w:pPr>
              <w:rPr>
                <w:rFonts w:ascii="Tahoma" w:hAnsi="Tahoma" w:cs="Tahoma"/>
                <w:szCs w:val="22"/>
              </w:rPr>
            </w:pPr>
            <w:r w:rsidRPr="00103D65">
              <w:rPr>
                <w:rFonts w:ascii="Tahoma" w:hAnsi="Tahoma" w:cs="Tahoma"/>
                <w:szCs w:val="22"/>
              </w:rPr>
              <w:t>Solicitation Release</w:t>
            </w:r>
          </w:p>
        </w:tc>
        <w:tc>
          <w:tcPr>
            <w:tcW w:w="4050" w:type="dxa"/>
          </w:tcPr>
          <w:p w14:paraId="7FBC4F06" w14:textId="77777777" w:rsidR="009C7D74" w:rsidRPr="00103D65" w:rsidRDefault="009C7D74" w:rsidP="009D5C62">
            <w:pPr>
              <w:rPr>
                <w:rFonts w:ascii="Tahoma" w:hAnsi="Tahoma" w:cs="Tahoma"/>
                <w:szCs w:val="22"/>
              </w:rPr>
            </w:pPr>
            <w:r>
              <w:rPr>
                <w:rFonts w:ascii="Tahoma" w:hAnsi="Tahoma" w:cs="Tahoma"/>
                <w:szCs w:val="22"/>
              </w:rPr>
              <w:t>March</w:t>
            </w:r>
            <w:r w:rsidRPr="00103D65">
              <w:rPr>
                <w:rFonts w:ascii="Tahoma" w:hAnsi="Tahoma" w:cs="Tahoma"/>
                <w:szCs w:val="22"/>
              </w:rPr>
              <w:t xml:space="preserve"> </w:t>
            </w:r>
            <w:r>
              <w:rPr>
                <w:rFonts w:ascii="Tahoma" w:hAnsi="Tahoma" w:cs="Tahoma"/>
                <w:szCs w:val="22"/>
              </w:rPr>
              <w:t>28</w:t>
            </w:r>
            <w:r w:rsidRPr="00103D65">
              <w:rPr>
                <w:rFonts w:ascii="Tahoma" w:hAnsi="Tahoma" w:cs="Tahoma"/>
                <w:szCs w:val="22"/>
              </w:rPr>
              <w:t>, 2025</w:t>
            </w:r>
          </w:p>
        </w:tc>
      </w:tr>
      <w:tr w:rsidR="009C7D74" w:rsidRPr="00C83361" w14:paraId="6A4CB246" w14:textId="77777777" w:rsidTr="009D5C62">
        <w:trPr>
          <w:trHeight w:hRule="exact" w:val="723"/>
        </w:trPr>
        <w:tc>
          <w:tcPr>
            <w:tcW w:w="5485" w:type="dxa"/>
          </w:tcPr>
          <w:p w14:paraId="3EFDDE65" w14:textId="77777777" w:rsidR="009C7D74" w:rsidRPr="00103D65" w:rsidRDefault="009C7D74" w:rsidP="009D5C62">
            <w:pPr>
              <w:rPr>
                <w:rFonts w:ascii="Tahoma" w:hAnsi="Tahoma" w:cs="Tahoma"/>
                <w:szCs w:val="22"/>
              </w:rPr>
            </w:pPr>
            <w:r w:rsidRPr="00103D65">
              <w:rPr>
                <w:rFonts w:ascii="Tahoma" w:hAnsi="Tahoma" w:cs="Tahoma"/>
                <w:szCs w:val="22"/>
              </w:rPr>
              <w:t xml:space="preserve">Pre-Application Workshop* </w:t>
            </w:r>
          </w:p>
        </w:tc>
        <w:tc>
          <w:tcPr>
            <w:tcW w:w="4050" w:type="dxa"/>
          </w:tcPr>
          <w:p w14:paraId="2C499725" w14:textId="77777777" w:rsidR="009C7D74" w:rsidRDefault="009C7D74" w:rsidP="009D5C62">
            <w:pPr>
              <w:rPr>
                <w:rFonts w:ascii="Tahoma" w:hAnsi="Tahoma" w:cs="Tahoma"/>
                <w:szCs w:val="22"/>
              </w:rPr>
            </w:pPr>
            <w:r>
              <w:rPr>
                <w:rFonts w:ascii="Tahoma" w:hAnsi="Tahoma" w:cs="Tahoma"/>
                <w:szCs w:val="22"/>
              </w:rPr>
              <w:t>April 10</w:t>
            </w:r>
            <w:r w:rsidRPr="00103D65">
              <w:rPr>
                <w:rFonts w:ascii="Tahoma" w:hAnsi="Tahoma" w:cs="Tahoma"/>
                <w:szCs w:val="22"/>
              </w:rPr>
              <w:t>, 2025</w:t>
            </w:r>
          </w:p>
          <w:p w14:paraId="1E3820BD" w14:textId="77777777" w:rsidR="009C7D74" w:rsidRPr="00F01D8C" w:rsidRDefault="009C7D74" w:rsidP="009D5C62">
            <w:pPr>
              <w:rPr>
                <w:rFonts w:ascii="Tahoma" w:hAnsi="Tahoma" w:cs="Tahoma"/>
                <w:szCs w:val="22"/>
              </w:rPr>
            </w:pPr>
            <w:r>
              <w:rPr>
                <w:rFonts w:ascii="Tahoma" w:hAnsi="Tahoma" w:cs="Tahoma"/>
                <w:szCs w:val="22"/>
              </w:rPr>
              <w:t>10 AM to 12 PM Via Zoom</w:t>
            </w:r>
          </w:p>
        </w:tc>
      </w:tr>
      <w:tr w:rsidR="009C7D74" w:rsidRPr="00C83361" w14:paraId="749B9321" w14:textId="77777777" w:rsidTr="009D5C62">
        <w:trPr>
          <w:trHeight w:hRule="exact" w:val="363"/>
        </w:trPr>
        <w:tc>
          <w:tcPr>
            <w:tcW w:w="5485" w:type="dxa"/>
          </w:tcPr>
          <w:p w14:paraId="1B600970" w14:textId="77777777" w:rsidR="009C7D74" w:rsidRPr="00103D65" w:rsidRDefault="009C7D74" w:rsidP="009D5C62">
            <w:pPr>
              <w:rPr>
                <w:rFonts w:ascii="Tahoma" w:hAnsi="Tahoma" w:cs="Tahoma"/>
                <w:szCs w:val="22"/>
              </w:rPr>
            </w:pPr>
            <w:r w:rsidRPr="00103D65">
              <w:rPr>
                <w:rFonts w:ascii="Tahoma" w:hAnsi="Tahoma" w:cs="Tahoma"/>
                <w:szCs w:val="22"/>
              </w:rPr>
              <w:t>Deadline for Written Questions</w:t>
            </w:r>
            <w:r>
              <w:rPr>
                <w:rFonts w:ascii="Tahoma" w:hAnsi="Tahoma" w:cs="Tahoma"/>
                <w:szCs w:val="22"/>
              </w:rPr>
              <w:t xml:space="preserve"> </w:t>
            </w:r>
            <w:r>
              <w:rPr>
                <w:rFonts w:ascii="Tahoma" w:hAnsi="Tahoma" w:cs="Tahoma"/>
                <w:b/>
                <w:bCs/>
                <w:szCs w:val="22"/>
              </w:rPr>
              <w:t>by 5:00 p.m.</w:t>
            </w:r>
            <w:r w:rsidRPr="00103D65">
              <w:rPr>
                <w:rFonts w:ascii="Tahoma" w:hAnsi="Tahoma" w:cs="Tahoma"/>
                <w:szCs w:val="22"/>
              </w:rPr>
              <w:t>*</w:t>
            </w:r>
          </w:p>
        </w:tc>
        <w:tc>
          <w:tcPr>
            <w:tcW w:w="4050" w:type="dxa"/>
          </w:tcPr>
          <w:p w14:paraId="4E56D7A4" w14:textId="77777777" w:rsidR="009C7D74" w:rsidRPr="001C0EA3" w:rsidRDefault="009C7D74" w:rsidP="009D5C62">
            <w:pPr>
              <w:rPr>
                <w:rFonts w:ascii="Tahoma" w:hAnsi="Tahoma" w:cs="Tahoma"/>
              </w:rPr>
            </w:pPr>
            <w:r w:rsidRPr="5579F8F6">
              <w:rPr>
                <w:rFonts w:ascii="Tahoma" w:hAnsi="Tahoma" w:cs="Tahoma"/>
              </w:rPr>
              <w:t>August 29, 2025</w:t>
            </w:r>
          </w:p>
        </w:tc>
      </w:tr>
      <w:tr w:rsidR="009C7D74" w:rsidRPr="00C83361" w14:paraId="6B9F2A8E" w14:textId="77777777" w:rsidTr="009D5C62">
        <w:trPr>
          <w:trHeight w:val="667"/>
        </w:trPr>
        <w:tc>
          <w:tcPr>
            <w:tcW w:w="5485" w:type="dxa"/>
          </w:tcPr>
          <w:p w14:paraId="0F68500D" w14:textId="77777777" w:rsidR="009C7D74" w:rsidRPr="00103D65" w:rsidRDefault="009C7D74" w:rsidP="009D5C62">
            <w:pPr>
              <w:rPr>
                <w:rFonts w:ascii="Tahoma" w:hAnsi="Tahoma" w:cs="Tahoma"/>
                <w:szCs w:val="22"/>
              </w:rPr>
            </w:pPr>
            <w:r w:rsidRPr="00103D65">
              <w:rPr>
                <w:rFonts w:ascii="Tahoma" w:hAnsi="Tahoma" w:cs="Tahoma"/>
                <w:szCs w:val="22"/>
              </w:rPr>
              <w:t>Anticipated Distribution of Questions/Answers</w:t>
            </w:r>
          </w:p>
        </w:tc>
        <w:tc>
          <w:tcPr>
            <w:tcW w:w="4050" w:type="dxa"/>
          </w:tcPr>
          <w:p w14:paraId="2FD3CE54" w14:textId="77777777" w:rsidR="009C7D74" w:rsidRPr="00AF5D58" w:rsidRDefault="009C7D74" w:rsidP="009D5C62">
            <w:pPr>
              <w:rPr>
                <w:rFonts w:ascii="Tahoma" w:hAnsi="Tahoma" w:cs="Tahoma"/>
                <w:b/>
                <w:bCs/>
                <w:strike/>
                <w:u w:val="single"/>
              </w:rPr>
            </w:pPr>
            <w:proofErr w:type="gramStart"/>
            <w:r w:rsidRPr="5579F8F6">
              <w:rPr>
                <w:rFonts w:ascii="Tahoma" w:hAnsi="Tahoma" w:cs="Tahoma"/>
              </w:rPr>
              <w:t xml:space="preserve">Week of </w:t>
            </w:r>
            <w:r w:rsidRPr="004B40BF">
              <w:rPr>
                <w:rFonts w:ascii="Tahoma" w:hAnsi="Tahoma" w:cs="Tahoma"/>
              </w:rPr>
              <w:t>November</w:t>
            </w:r>
            <w:proofErr w:type="gramEnd"/>
            <w:r w:rsidRPr="004B40BF">
              <w:rPr>
                <w:rFonts w:ascii="Tahoma" w:hAnsi="Tahoma" w:cs="Tahoma"/>
              </w:rPr>
              <w:t xml:space="preserve"> 10, 2025</w:t>
            </w:r>
          </w:p>
        </w:tc>
      </w:tr>
      <w:tr w:rsidR="009C7D74" w:rsidRPr="00C83361" w14:paraId="58AC5805" w14:textId="77777777" w:rsidTr="009D5C62">
        <w:trPr>
          <w:trHeight w:hRule="exact" w:val="1002"/>
        </w:trPr>
        <w:tc>
          <w:tcPr>
            <w:tcW w:w="5485" w:type="dxa"/>
          </w:tcPr>
          <w:p w14:paraId="543072B6" w14:textId="77777777" w:rsidR="009C7D74" w:rsidRPr="00103D65" w:rsidRDefault="009C7D74" w:rsidP="009D5C62">
            <w:pPr>
              <w:rPr>
                <w:rFonts w:ascii="Tahoma" w:hAnsi="Tahoma" w:cs="Tahoma"/>
                <w:bCs/>
                <w:szCs w:val="22"/>
              </w:rPr>
            </w:pPr>
            <w:r w:rsidRPr="00103D65">
              <w:rPr>
                <w:rFonts w:ascii="Tahoma" w:hAnsi="Tahoma" w:cs="Tahoma"/>
                <w:bCs/>
                <w:szCs w:val="22"/>
              </w:rPr>
              <w:t>Support for Application Submission in the Energy Commission Agreement Management System (ECAMS) until 5:00 p.m.</w:t>
            </w:r>
          </w:p>
        </w:tc>
        <w:tc>
          <w:tcPr>
            <w:tcW w:w="4050" w:type="dxa"/>
          </w:tcPr>
          <w:p w14:paraId="61AD83F6" w14:textId="77777777" w:rsidR="009C7D74" w:rsidRPr="0090591A" w:rsidRDefault="009C7D74" w:rsidP="009D5C62">
            <w:pPr>
              <w:rPr>
                <w:rFonts w:ascii="Tahoma" w:hAnsi="Tahoma" w:cs="Tahoma"/>
              </w:rPr>
            </w:pPr>
            <w:r w:rsidRPr="5579F8F6">
              <w:rPr>
                <w:rFonts w:ascii="Tahoma" w:hAnsi="Tahoma" w:cs="Tahoma"/>
              </w:rPr>
              <w:t xml:space="preserve">Ongoing until </w:t>
            </w:r>
            <w:r>
              <w:rPr>
                <w:rFonts w:ascii="Tahoma" w:hAnsi="Tahoma" w:cs="Tahoma"/>
              </w:rPr>
              <w:t>[</w:t>
            </w:r>
            <w:r w:rsidRPr="0006128A">
              <w:rPr>
                <w:rFonts w:ascii="Tahoma" w:hAnsi="Tahoma" w:cs="Tahoma"/>
                <w:strike/>
              </w:rPr>
              <w:t>January 16, 2026</w:t>
            </w:r>
            <w:r>
              <w:rPr>
                <w:rFonts w:ascii="Tahoma" w:hAnsi="Tahoma" w:cs="Tahoma"/>
              </w:rPr>
              <w:t xml:space="preserve">] </w:t>
            </w:r>
            <w:r w:rsidRPr="00950D74">
              <w:rPr>
                <w:rFonts w:ascii="Tahoma" w:hAnsi="Tahoma" w:cs="Tahoma"/>
                <w:b/>
                <w:bCs/>
                <w:u w:val="single"/>
              </w:rPr>
              <w:t>February 6, 2026</w:t>
            </w:r>
          </w:p>
        </w:tc>
      </w:tr>
      <w:tr w:rsidR="009C7D74" w:rsidRPr="00C83361" w14:paraId="50603532" w14:textId="77777777" w:rsidTr="009D5C62">
        <w:trPr>
          <w:trHeight w:hRule="exact" w:val="813"/>
        </w:trPr>
        <w:tc>
          <w:tcPr>
            <w:tcW w:w="5485" w:type="dxa"/>
          </w:tcPr>
          <w:p w14:paraId="66B9A7FB" w14:textId="77777777" w:rsidR="009C7D74" w:rsidRPr="00103D65" w:rsidRDefault="009C7D74" w:rsidP="009D5C62">
            <w:pPr>
              <w:rPr>
                <w:rFonts w:ascii="Tahoma" w:hAnsi="Tahoma" w:cs="Tahoma"/>
                <w:b/>
                <w:szCs w:val="22"/>
              </w:rPr>
            </w:pPr>
            <w:r w:rsidRPr="00103D65">
              <w:rPr>
                <w:rFonts w:ascii="Tahoma" w:hAnsi="Tahoma" w:cs="Tahoma"/>
                <w:b/>
                <w:szCs w:val="22"/>
              </w:rPr>
              <w:t>Deadline to Submit Applications by 11:59 p.m.*</w:t>
            </w:r>
          </w:p>
        </w:tc>
        <w:tc>
          <w:tcPr>
            <w:tcW w:w="4050" w:type="dxa"/>
          </w:tcPr>
          <w:p w14:paraId="7B6E4529" w14:textId="77777777" w:rsidR="009C7D74" w:rsidRPr="003A3490" w:rsidRDefault="009C7D74" w:rsidP="009D5C62">
            <w:pPr>
              <w:rPr>
                <w:rFonts w:ascii="Tahoma" w:hAnsi="Tahoma" w:cs="Tahoma"/>
              </w:rPr>
            </w:pPr>
            <w:r>
              <w:rPr>
                <w:rFonts w:ascii="Tahoma" w:hAnsi="Tahoma" w:cs="Tahoma"/>
              </w:rPr>
              <w:t>[</w:t>
            </w:r>
            <w:r w:rsidRPr="00950D74">
              <w:rPr>
                <w:rFonts w:ascii="Tahoma" w:hAnsi="Tahoma" w:cs="Tahoma"/>
                <w:strike/>
              </w:rPr>
              <w:t>January 16, 2026</w:t>
            </w:r>
            <w:r>
              <w:rPr>
                <w:rFonts w:ascii="Tahoma" w:hAnsi="Tahoma" w:cs="Tahoma"/>
              </w:rPr>
              <w:t xml:space="preserve">] </w:t>
            </w:r>
            <w:r w:rsidRPr="00950D74">
              <w:rPr>
                <w:rFonts w:ascii="Tahoma" w:hAnsi="Tahoma" w:cs="Tahoma"/>
                <w:b/>
                <w:bCs/>
                <w:u w:val="single"/>
              </w:rPr>
              <w:t>February 6, 2026</w:t>
            </w:r>
          </w:p>
        </w:tc>
      </w:tr>
      <w:tr w:rsidR="009C7D74" w:rsidRPr="00C83361" w14:paraId="1B9F798C" w14:textId="77777777" w:rsidTr="009D5C62">
        <w:trPr>
          <w:trHeight w:hRule="exact" w:val="822"/>
        </w:trPr>
        <w:tc>
          <w:tcPr>
            <w:tcW w:w="5485" w:type="dxa"/>
          </w:tcPr>
          <w:p w14:paraId="15E5B062" w14:textId="77777777" w:rsidR="009C7D74" w:rsidRPr="00103D65" w:rsidRDefault="009C7D74" w:rsidP="009D5C62">
            <w:pPr>
              <w:rPr>
                <w:rFonts w:ascii="Tahoma" w:hAnsi="Tahoma" w:cs="Tahoma"/>
                <w:szCs w:val="22"/>
              </w:rPr>
            </w:pPr>
            <w:r w:rsidRPr="00103D65">
              <w:rPr>
                <w:rFonts w:ascii="Tahoma" w:hAnsi="Tahoma" w:cs="Tahoma"/>
                <w:szCs w:val="22"/>
              </w:rPr>
              <w:t xml:space="preserve">Anticipated Notice of Proposed Awards Posting </w:t>
            </w:r>
          </w:p>
        </w:tc>
        <w:tc>
          <w:tcPr>
            <w:tcW w:w="4050" w:type="dxa"/>
          </w:tcPr>
          <w:p w14:paraId="27AC64B0" w14:textId="77777777" w:rsidR="009C7D74" w:rsidRPr="00E65803" w:rsidRDefault="009C7D74" w:rsidP="009D5C62">
            <w:pPr>
              <w:rPr>
                <w:rFonts w:ascii="Tahoma" w:hAnsi="Tahoma" w:cs="Tahoma"/>
                <w:b/>
                <w:bCs/>
                <w:u w:val="single"/>
              </w:rPr>
            </w:pPr>
            <w:r w:rsidRPr="004B40BF">
              <w:rPr>
                <w:rFonts w:ascii="Tahoma" w:hAnsi="Tahoma" w:cs="Tahoma"/>
              </w:rPr>
              <w:t xml:space="preserve">Week of </w:t>
            </w:r>
            <w:r>
              <w:rPr>
                <w:rFonts w:ascii="Tahoma" w:hAnsi="Tahoma" w:cs="Tahoma"/>
              </w:rPr>
              <w:t>[</w:t>
            </w:r>
            <w:r w:rsidRPr="00535083">
              <w:rPr>
                <w:rFonts w:ascii="Tahoma" w:hAnsi="Tahoma" w:cs="Tahoma"/>
                <w:strike/>
              </w:rPr>
              <w:t>February 23, 2026</w:t>
            </w:r>
            <w:r>
              <w:rPr>
                <w:rFonts w:ascii="Tahoma" w:hAnsi="Tahoma" w:cs="Tahoma"/>
              </w:rPr>
              <w:t xml:space="preserve">] </w:t>
            </w:r>
            <w:r w:rsidRPr="00535083">
              <w:rPr>
                <w:rFonts w:ascii="Tahoma" w:hAnsi="Tahoma" w:cs="Tahoma"/>
                <w:b/>
                <w:bCs/>
                <w:u w:val="single"/>
              </w:rPr>
              <w:t>March 16, 2026</w:t>
            </w:r>
          </w:p>
        </w:tc>
      </w:tr>
      <w:tr w:rsidR="009C7D74" w:rsidRPr="00C83361" w14:paraId="3B96E1BE" w14:textId="77777777" w:rsidTr="009D5C62">
        <w:trPr>
          <w:trHeight w:hRule="exact" w:val="723"/>
        </w:trPr>
        <w:tc>
          <w:tcPr>
            <w:tcW w:w="5485" w:type="dxa"/>
          </w:tcPr>
          <w:p w14:paraId="5006BFE2" w14:textId="77777777" w:rsidR="009C7D74" w:rsidRPr="00103D65" w:rsidRDefault="009C7D74" w:rsidP="009D5C62">
            <w:pPr>
              <w:rPr>
                <w:rFonts w:ascii="Tahoma" w:hAnsi="Tahoma" w:cs="Tahoma"/>
                <w:szCs w:val="22"/>
              </w:rPr>
            </w:pPr>
            <w:r w:rsidRPr="00103D65">
              <w:rPr>
                <w:rFonts w:ascii="Tahoma" w:hAnsi="Tahoma" w:cs="Tahoma"/>
                <w:szCs w:val="22"/>
              </w:rPr>
              <w:lastRenderedPageBreak/>
              <w:t xml:space="preserve">Anticipated CEC Business Meeting </w:t>
            </w:r>
          </w:p>
        </w:tc>
        <w:tc>
          <w:tcPr>
            <w:tcW w:w="4050" w:type="dxa"/>
          </w:tcPr>
          <w:p w14:paraId="2DFC1AA4" w14:textId="77777777" w:rsidR="009C7D74" w:rsidRPr="00D72E7F" w:rsidRDefault="009C7D74" w:rsidP="009D5C62">
            <w:pPr>
              <w:rPr>
                <w:rFonts w:ascii="Tahoma" w:hAnsi="Tahoma" w:cs="Tahoma"/>
                <w:b/>
                <w:bCs/>
                <w:u w:val="single"/>
              </w:rPr>
            </w:pPr>
            <w:r>
              <w:rPr>
                <w:rFonts w:ascii="Tahoma" w:hAnsi="Tahoma" w:cs="Tahoma"/>
              </w:rPr>
              <w:t>[</w:t>
            </w:r>
            <w:r w:rsidRPr="00841A0C">
              <w:rPr>
                <w:rFonts w:ascii="Tahoma" w:hAnsi="Tahoma" w:cs="Tahoma"/>
                <w:strike/>
              </w:rPr>
              <w:t>June</w:t>
            </w:r>
            <w:r>
              <w:rPr>
                <w:rFonts w:ascii="Tahoma" w:hAnsi="Tahoma" w:cs="Tahoma"/>
              </w:rPr>
              <w:t xml:space="preserve">] </w:t>
            </w:r>
            <w:r w:rsidRPr="00841A0C">
              <w:rPr>
                <w:rFonts w:ascii="Tahoma" w:hAnsi="Tahoma" w:cs="Tahoma"/>
                <w:b/>
                <w:bCs/>
                <w:u w:val="single"/>
              </w:rPr>
              <w:t>July</w:t>
            </w:r>
            <w:r w:rsidRPr="004B40BF">
              <w:rPr>
                <w:rFonts w:ascii="Tahoma" w:hAnsi="Tahoma" w:cs="Tahoma"/>
              </w:rPr>
              <w:t xml:space="preserve"> 2026</w:t>
            </w:r>
          </w:p>
        </w:tc>
      </w:tr>
    </w:tbl>
    <w:p w14:paraId="218FB6BD" w14:textId="77777777" w:rsidR="00FE2773" w:rsidRPr="00FE2773" w:rsidRDefault="00FE2773" w:rsidP="00FE2773">
      <w:pPr>
        <w:pStyle w:val="ListParagraph"/>
        <w:ind w:left="540"/>
        <w:rPr>
          <w:rFonts w:ascii="Tahoma" w:hAnsi="Tahoma" w:cs="Tahoma"/>
        </w:rPr>
      </w:pPr>
    </w:p>
    <w:p w14:paraId="062539D3" w14:textId="77777777" w:rsidR="00BD07DD" w:rsidRPr="00BD07DD" w:rsidRDefault="00BD07DD" w:rsidP="00BD07DD">
      <w:pPr>
        <w:pStyle w:val="ListParagraph"/>
        <w:ind w:left="540"/>
        <w:rPr>
          <w:rFonts w:ascii="Tahoma" w:eastAsia="Tahoma" w:hAnsi="Tahoma" w:cs="Tahoma"/>
          <w:b/>
          <w:bCs/>
          <w:color w:val="000000"/>
        </w:rPr>
      </w:pPr>
    </w:p>
    <w:p w14:paraId="757E5E08" w14:textId="352DBBE4" w:rsidR="0087224D" w:rsidRPr="0087224D" w:rsidRDefault="004A14D0" w:rsidP="0087224D">
      <w:pPr>
        <w:pStyle w:val="ListParagraph"/>
        <w:numPr>
          <w:ilvl w:val="0"/>
          <w:numId w:val="1"/>
        </w:numPr>
        <w:ind w:left="540" w:hanging="540"/>
        <w:rPr>
          <w:rFonts w:ascii="Tahoma" w:eastAsia="Tahoma" w:hAnsi="Tahoma" w:cs="Tahoma"/>
          <w:color w:val="000000"/>
        </w:rPr>
      </w:pPr>
      <w:r w:rsidRPr="0087224D">
        <w:rPr>
          <w:rFonts w:ascii="Tahoma" w:hAnsi="Tahoma" w:cs="Tahoma"/>
          <w:b/>
          <w:bCs/>
        </w:rPr>
        <w:t xml:space="preserve">Section II.B.2. </w:t>
      </w:r>
      <w:r w:rsidR="000936CF" w:rsidRPr="0087224D">
        <w:rPr>
          <w:rFonts w:ascii="Tahoma" w:hAnsi="Tahoma" w:cs="Tahoma"/>
          <w:b/>
          <w:bCs/>
        </w:rPr>
        <w:t xml:space="preserve">Eligible </w:t>
      </w:r>
      <w:r w:rsidR="00CA012F" w:rsidRPr="0087224D">
        <w:rPr>
          <w:rFonts w:ascii="Tahoma" w:hAnsi="Tahoma" w:cs="Tahoma"/>
          <w:b/>
          <w:bCs/>
        </w:rPr>
        <w:t xml:space="preserve">Project </w:t>
      </w:r>
      <w:r w:rsidR="000936CF" w:rsidRPr="0087224D">
        <w:rPr>
          <w:rFonts w:ascii="Tahoma" w:hAnsi="Tahoma" w:cs="Tahoma"/>
          <w:b/>
          <w:bCs/>
        </w:rPr>
        <w:t xml:space="preserve">Accessibility </w:t>
      </w:r>
      <w:r w:rsidR="00CA012F" w:rsidRPr="0087224D">
        <w:rPr>
          <w:rFonts w:ascii="Tahoma" w:hAnsi="Tahoma" w:cs="Tahoma"/>
          <w:b/>
          <w:bCs/>
        </w:rPr>
        <w:t>Requirements</w:t>
      </w:r>
      <w:r w:rsidR="00B52D50" w:rsidRPr="0087224D">
        <w:rPr>
          <w:rFonts w:ascii="Tahoma" w:hAnsi="Tahoma" w:cs="Tahoma"/>
          <w:b/>
          <w:bCs/>
        </w:rPr>
        <w:br/>
      </w:r>
      <w:r w:rsidR="00B52D50" w:rsidRPr="0087224D">
        <w:rPr>
          <w:rFonts w:ascii="Tahoma" w:hAnsi="Tahoma" w:cs="Tahoma"/>
          <w:b/>
          <w:bCs/>
        </w:rPr>
        <w:br/>
      </w:r>
      <w:r w:rsidR="0087224D" w:rsidRPr="0087224D">
        <w:rPr>
          <w:rFonts w:ascii="Tahoma" w:eastAsia="Tahoma" w:hAnsi="Tahoma" w:cs="Tahoma"/>
          <w:color w:val="000000" w:themeColor="text1"/>
        </w:rPr>
        <w:t xml:space="preserve">For the purposes of this solicitation, project accessibility types are as follows: </w:t>
      </w:r>
    </w:p>
    <w:p w14:paraId="580F31F3" w14:textId="77777777" w:rsidR="0087224D" w:rsidRPr="0087224D" w:rsidRDefault="0087224D" w:rsidP="0087224D">
      <w:pPr>
        <w:pStyle w:val="ListParagraph"/>
        <w:numPr>
          <w:ilvl w:val="0"/>
          <w:numId w:val="14"/>
        </w:numPr>
        <w:rPr>
          <w:rFonts w:ascii="Tahoma" w:eastAsia="Tahoma" w:hAnsi="Tahoma" w:cs="Tahoma"/>
          <w:color w:val="000000"/>
        </w:rPr>
      </w:pPr>
      <w:r w:rsidRPr="0087224D">
        <w:rPr>
          <w:rFonts w:ascii="Tahoma" w:eastAsia="Tahoma" w:hAnsi="Tahoma" w:cs="Tahoma"/>
          <w:color w:val="000000" w:themeColor="text1"/>
        </w:rPr>
        <w:t xml:space="preserve">Public Access – Open to the </w:t>
      </w:r>
      <w:proofErr w:type="gramStart"/>
      <w:r w:rsidRPr="0087224D">
        <w:rPr>
          <w:rFonts w:ascii="Tahoma" w:eastAsia="Tahoma" w:hAnsi="Tahoma" w:cs="Tahoma"/>
          <w:color w:val="000000" w:themeColor="text1"/>
        </w:rPr>
        <w:t>general public</w:t>
      </w:r>
      <w:proofErr w:type="gramEnd"/>
      <w:r w:rsidRPr="0087224D">
        <w:rPr>
          <w:rFonts w:ascii="Tahoma" w:eastAsia="Tahoma" w:hAnsi="Tahoma" w:cs="Tahoma"/>
          <w:color w:val="000000" w:themeColor="text1"/>
        </w:rPr>
        <w:t xml:space="preserve"> without restriction. </w:t>
      </w:r>
    </w:p>
    <w:p w14:paraId="4C7A9440" w14:textId="0B04F3F2" w:rsidR="0087224D" w:rsidRPr="0087224D" w:rsidRDefault="0087224D" w:rsidP="0087224D">
      <w:pPr>
        <w:pStyle w:val="ListParagraph"/>
        <w:numPr>
          <w:ilvl w:val="1"/>
          <w:numId w:val="14"/>
        </w:numPr>
        <w:rPr>
          <w:rFonts w:ascii="Tahoma" w:eastAsia="Tahoma" w:hAnsi="Tahoma" w:cs="Tahoma"/>
          <w:color w:val="000000"/>
        </w:rPr>
      </w:pPr>
      <w:r w:rsidRPr="0087224D">
        <w:rPr>
          <w:rFonts w:ascii="Tahoma" w:eastAsia="Tahoma" w:hAnsi="Tahoma" w:cs="Tahoma"/>
          <w:color w:val="000000" w:themeColor="text1"/>
        </w:rPr>
        <w:t>Examples include truck stops and locations along major freight corridors or a mix of overnight and opportunity (</w:t>
      </w:r>
      <w:proofErr w:type="spellStart"/>
      <w:r w:rsidRPr="0087224D">
        <w:rPr>
          <w:rFonts w:ascii="Tahoma" w:eastAsia="Tahoma" w:hAnsi="Tahoma" w:cs="Tahoma"/>
          <w:color w:val="000000" w:themeColor="text1"/>
        </w:rPr>
        <w:t>en</w:t>
      </w:r>
      <w:proofErr w:type="spellEnd"/>
      <w:r w:rsidRPr="0087224D">
        <w:rPr>
          <w:rFonts w:ascii="Tahoma" w:eastAsia="Tahoma" w:hAnsi="Tahoma" w:cs="Tahoma"/>
          <w:color w:val="000000" w:themeColor="text1"/>
        </w:rPr>
        <w:t xml:space="preserve">-route, fast charging/fast filling). Public Access may allow reservation systems so that operators are confident that a charging port or hydrogen nozzle will be available when they arrive. </w:t>
      </w:r>
    </w:p>
    <w:p w14:paraId="15964401" w14:textId="77777777" w:rsidR="0087224D" w:rsidRPr="0087224D" w:rsidRDefault="0087224D" w:rsidP="0087224D">
      <w:pPr>
        <w:pStyle w:val="ListParagraph"/>
        <w:numPr>
          <w:ilvl w:val="0"/>
          <w:numId w:val="14"/>
        </w:numPr>
        <w:rPr>
          <w:rFonts w:ascii="Tahoma" w:eastAsia="Tahoma" w:hAnsi="Tahoma" w:cs="Tahoma"/>
          <w:color w:val="000000" w:themeColor="text1"/>
        </w:rPr>
      </w:pPr>
      <w:r w:rsidRPr="5579F8F6">
        <w:rPr>
          <w:rFonts w:ascii="Tahoma" w:eastAsia="Tahoma" w:hAnsi="Tahoma" w:cs="Tahoma"/>
          <w:color w:val="000000" w:themeColor="text1"/>
        </w:rPr>
        <w:t xml:space="preserve">Shared Access – Available to more than one </w:t>
      </w:r>
      <w:proofErr w:type="gramStart"/>
      <w:r w:rsidRPr="5579F8F6">
        <w:rPr>
          <w:rFonts w:ascii="Tahoma" w:eastAsia="Tahoma" w:hAnsi="Tahoma" w:cs="Tahoma"/>
          <w:color w:val="000000" w:themeColor="text1"/>
        </w:rPr>
        <w:t>fleet, but</w:t>
      </w:r>
      <w:proofErr w:type="gramEnd"/>
      <w:r w:rsidRPr="5579F8F6">
        <w:rPr>
          <w:rFonts w:ascii="Tahoma" w:eastAsia="Tahoma" w:hAnsi="Tahoma" w:cs="Tahoma"/>
          <w:color w:val="000000" w:themeColor="text1"/>
        </w:rPr>
        <w:t xml:space="preserve"> not open to the </w:t>
      </w:r>
      <w:proofErr w:type="gramStart"/>
      <w:r w:rsidRPr="5579F8F6">
        <w:rPr>
          <w:rFonts w:ascii="Tahoma" w:eastAsia="Tahoma" w:hAnsi="Tahoma" w:cs="Tahoma"/>
          <w:color w:val="000000" w:themeColor="text1"/>
        </w:rPr>
        <w:t>general public</w:t>
      </w:r>
      <w:proofErr w:type="gramEnd"/>
      <w:r w:rsidRPr="5579F8F6">
        <w:rPr>
          <w:rFonts w:ascii="Tahoma" w:eastAsia="Tahoma" w:hAnsi="Tahoma" w:cs="Tahoma"/>
          <w:color w:val="000000" w:themeColor="text1"/>
        </w:rPr>
        <w:t>.</w:t>
      </w:r>
    </w:p>
    <w:p w14:paraId="40BB8B4B" w14:textId="77777777" w:rsidR="0087224D" w:rsidRPr="0087224D" w:rsidRDefault="0087224D" w:rsidP="0087224D">
      <w:pPr>
        <w:pStyle w:val="ListParagraph"/>
        <w:numPr>
          <w:ilvl w:val="0"/>
          <w:numId w:val="14"/>
        </w:numPr>
        <w:rPr>
          <w:rFonts w:ascii="Tahoma" w:eastAsia="Tahoma" w:hAnsi="Tahoma" w:cs="Tahoma"/>
          <w:color w:val="000000" w:themeColor="text1"/>
        </w:rPr>
      </w:pPr>
      <w:r w:rsidRPr="5579F8F6">
        <w:rPr>
          <w:rFonts w:ascii="Tahoma" w:eastAsia="Tahoma" w:hAnsi="Tahoma" w:cs="Tahoma"/>
          <w:color w:val="000000" w:themeColor="text1"/>
        </w:rPr>
        <w:t>Private Access – Available to one dedicated fleet. Infrastructure is not shared with another fleet and not open to the public.</w:t>
      </w:r>
    </w:p>
    <w:p w14:paraId="6EDBC64C" w14:textId="77777777" w:rsidR="0087224D" w:rsidRDefault="0087224D" w:rsidP="0087224D">
      <w:pPr>
        <w:ind w:left="540"/>
        <w:rPr>
          <w:rFonts w:ascii="Tahoma" w:hAnsi="Tahoma" w:cs="Tahoma"/>
        </w:rPr>
      </w:pPr>
    </w:p>
    <w:p w14:paraId="75DB872C" w14:textId="321F1E57" w:rsidR="0087224D" w:rsidRDefault="0087224D" w:rsidP="0087224D">
      <w:pPr>
        <w:ind w:left="540"/>
        <w:rPr>
          <w:rFonts w:ascii="Tahoma" w:hAnsi="Tahoma" w:cs="Tahoma"/>
          <w:highlight w:val="yellow"/>
        </w:rPr>
      </w:pPr>
      <w:r w:rsidRPr="5579F8F6">
        <w:rPr>
          <w:rFonts w:ascii="Tahoma" w:hAnsi="Tahoma" w:cs="Tahoma"/>
        </w:rPr>
        <w:t>Applicants may propose Private Access infrastructure as an eligible project so long as the infrastructure meets the additional requirements listed below in II.B.3.</w:t>
      </w:r>
    </w:p>
    <w:p w14:paraId="3A97C210" w14:textId="1233BCCB" w:rsidR="009A37ED" w:rsidRPr="0087224D" w:rsidRDefault="0087224D" w:rsidP="0087224D">
      <w:pPr>
        <w:spacing w:before="100" w:beforeAutospacing="1" w:after="100" w:afterAutospacing="1"/>
        <w:ind w:left="540"/>
        <w:rPr>
          <w:rFonts w:ascii="Tahoma" w:hAnsi="Tahoma" w:cs="Tahoma"/>
          <w:b/>
          <w:bCs/>
          <w:u w:val="single"/>
        </w:rPr>
      </w:pPr>
      <w:r w:rsidRPr="0087224D">
        <w:rPr>
          <w:rFonts w:ascii="Tahoma" w:hAnsi="Tahoma" w:cs="Tahoma"/>
          <w:b/>
          <w:bCs/>
          <w:u w:val="single"/>
        </w:rPr>
        <w:t xml:space="preserve">Projects will be evaluated </w:t>
      </w:r>
      <w:proofErr w:type="gramStart"/>
      <w:r w:rsidRPr="0087224D">
        <w:rPr>
          <w:rFonts w:ascii="Tahoma" w:hAnsi="Tahoma" w:cs="Tahoma"/>
          <w:b/>
          <w:bCs/>
          <w:u w:val="single"/>
        </w:rPr>
        <w:t>on</w:t>
      </w:r>
      <w:proofErr w:type="gramEnd"/>
      <w:r w:rsidRPr="0087224D">
        <w:rPr>
          <w:rFonts w:ascii="Tahoma" w:hAnsi="Tahoma" w:cs="Tahoma"/>
          <w:b/>
          <w:bCs/>
          <w:u w:val="single"/>
        </w:rPr>
        <w:t xml:space="preserve"> the degree to which the proposed infrastructure is accessible to the public.</w:t>
      </w:r>
    </w:p>
    <w:p w14:paraId="28FD71E0" w14:textId="48BA9FF8" w:rsidR="00DA4EDA" w:rsidRPr="00571C4B" w:rsidRDefault="00DA4EDA" w:rsidP="009A37ED">
      <w:pPr>
        <w:pStyle w:val="ListParagraph"/>
        <w:ind w:left="540"/>
        <w:rPr>
          <w:rFonts w:ascii="Tahoma" w:hAnsi="Tahoma" w:cs="Tahoma"/>
          <w:b/>
          <w:bCs/>
        </w:rPr>
      </w:pPr>
      <w:r w:rsidRPr="00571C4B">
        <w:rPr>
          <w:rFonts w:ascii="Tahoma" w:hAnsi="Tahoma" w:cs="Tahoma"/>
        </w:rPr>
        <w:t>For infrastructure projects providing charging or fueling for the fleets of public entities (other than California state government agencies, which are ineligible under this GFO</w:t>
      </w:r>
      <w:r w:rsidRPr="00571C4B">
        <w:rPr>
          <w:rFonts w:ascii="Tahoma" w:hAnsi="Tahoma" w:cs="Tahoma"/>
          <w:b/>
          <w:bCs/>
          <w:u w:val="single"/>
        </w:rPr>
        <w:t>, and entities covered by the exceptions listed below</w:t>
      </w:r>
      <w:r w:rsidRPr="00571C4B">
        <w:rPr>
          <w:rFonts w:ascii="Tahoma" w:hAnsi="Tahoma" w:cs="Tahoma"/>
          <w:b/>
          <w:bCs/>
        </w:rPr>
        <w:t>)</w:t>
      </w:r>
      <w:r w:rsidRPr="00571C4B">
        <w:rPr>
          <w:rFonts w:ascii="Tahoma" w:hAnsi="Tahoma" w:cs="Tahoma"/>
        </w:rPr>
        <w:t>, applicants must propose infrastructure with at least 25% of the charging ports/hydrogen fueling positions available as Public Access during normal operating hours. The remaining 75% of infrastructure may be Public, Shared, or Private Access.</w:t>
      </w:r>
      <w:r w:rsidR="00D073E8" w:rsidRPr="00571C4B">
        <w:rPr>
          <w:rFonts w:ascii="Tahoma" w:hAnsi="Tahoma" w:cs="Tahoma"/>
        </w:rPr>
        <w:br/>
      </w:r>
    </w:p>
    <w:p w14:paraId="1E066676" w14:textId="77777777" w:rsidR="00DA4EDA" w:rsidRPr="00571C4B" w:rsidRDefault="00DA4EDA" w:rsidP="00DA4EDA">
      <w:pPr>
        <w:pStyle w:val="ListParagraph"/>
        <w:ind w:left="540"/>
        <w:rPr>
          <w:rFonts w:ascii="Tahoma" w:hAnsi="Tahoma" w:cs="Tahoma"/>
          <w:b/>
          <w:bCs/>
        </w:rPr>
      </w:pPr>
      <w:r w:rsidRPr="00571C4B">
        <w:rPr>
          <w:rFonts w:ascii="Tahoma" w:hAnsi="Tahoma" w:cs="Tahoma"/>
          <w:b/>
          <w:bCs/>
          <w:u w:val="single"/>
        </w:rPr>
        <w:t>Public Access requirements apply to all public entity Applicants with the following exceptions:</w:t>
      </w:r>
    </w:p>
    <w:p w14:paraId="229F6665" w14:textId="77777777" w:rsidR="00651919" w:rsidRPr="00571C4B" w:rsidRDefault="00651919" w:rsidP="00A960A4">
      <w:pPr>
        <w:pStyle w:val="ListParagraph"/>
        <w:numPr>
          <w:ilvl w:val="0"/>
          <w:numId w:val="7"/>
        </w:numPr>
        <w:rPr>
          <w:rFonts w:ascii="Tahoma" w:hAnsi="Tahoma" w:cs="Tahoma"/>
          <w:b/>
          <w:bCs/>
          <w:u w:val="single"/>
        </w:rPr>
      </w:pPr>
      <w:r w:rsidRPr="00571C4B">
        <w:rPr>
          <w:rFonts w:ascii="Tahoma" w:hAnsi="Tahoma" w:cs="Tahoma"/>
          <w:b/>
          <w:bCs/>
          <w:u w:val="single"/>
        </w:rPr>
        <w:t xml:space="preserve">Infrastructure for off-road and non-road applications </w:t>
      </w:r>
      <w:proofErr w:type="gramStart"/>
      <w:r w:rsidRPr="00571C4B">
        <w:rPr>
          <w:rFonts w:ascii="Tahoma" w:hAnsi="Tahoma" w:cs="Tahoma"/>
          <w:b/>
          <w:bCs/>
          <w:u w:val="single"/>
        </w:rPr>
        <w:t>are</w:t>
      </w:r>
      <w:proofErr w:type="gramEnd"/>
      <w:r w:rsidRPr="00571C4B">
        <w:rPr>
          <w:rFonts w:ascii="Tahoma" w:hAnsi="Tahoma" w:cs="Tahoma"/>
          <w:b/>
          <w:bCs/>
          <w:u w:val="single"/>
        </w:rPr>
        <w:t xml:space="preserve"> not required to be Public Access.</w:t>
      </w:r>
    </w:p>
    <w:p w14:paraId="5827FD31" w14:textId="77777777" w:rsidR="00651919" w:rsidRPr="00571C4B" w:rsidRDefault="00651919" w:rsidP="00A960A4">
      <w:pPr>
        <w:pStyle w:val="ListParagraph"/>
        <w:numPr>
          <w:ilvl w:val="0"/>
          <w:numId w:val="7"/>
        </w:numPr>
        <w:rPr>
          <w:rFonts w:ascii="Tahoma" w:hAnsi="Tahoma" w:cs="Tahoma"/>
          <w:b/>
          <w:bCs/>
          <w:u w:val="single"/>
        </w:rPr>
      </w:pPr>
      <w:r w:rsidRPr="00571C4B">
        <w:rPr>
          <w:rFonts w:ascii="Tahoma" w:hAnsi="Tahoma" w:cs="Tahoma"/>
          <w:b/>
          <w:bCs/>
          <w:u w:val="single"/>
        </w:rPr>
        <w:t>Infrastructure that is used for the sole purpose of supporting ZEVs that provide essential city services and are vehicles upfitted to meet such a need (i.e. street sweepers and sanitation trucks) are not required to be Public Access.</w:t>
      </w:r>
    </w:p>
    <w:p w14:paraId="11292C1A" w14:textId="77777777" w:rsidR="00651919" w:rsidRPr="00571C4B" w:rsidRDefault="00651919" w:rsidP="00A960A4">
      <w:pPr>
        <w:pStyle w:val="ListParagraph"/>
        <w:numPr>
          <w:ilvl w:val="0"/>
          <w:numId w:val="7"/>
        </w:numPr>
        <w:rPr>
          <w:rFonts w:ascii="Tahoma" w:hAnsi="Tahoma" w:cs="Tahoma"/>
          <w:b/>
          <w:bCs/>
          <w:u w:val="single"/>
        </w:rPr>
      </w:pPr>
      <w:r w:rsidRPr="00571C4B">
        <w:rPr>
          <w:rFonts w:ascii="Tahoma" w:hAnsi="Tahoma" w:cs="Tahoma"/>
          <w:b/>
          <w:bCs/>
          <w:u w:val="single"/>
        </w:rPr>
        <w:t>If the Applicant is a school district and their blueprint implementation project is solely for recharging and/or refueling school buses, there is no Public Access requirement for their project.</w:t>
      </w:r>
    </w:p>
    <w:p w14:paraId="7AAD1A9F" w14:textId="77777777" w:rsidR="00E41C2D" w:rsidRPr="00E41C2D" w:rsidRDefault="00651919" w:rsidP="00A960A4">
      <w:pPr>
        <w:pStyle w:val="ListParagraph"/>
        <w:numPr>
          <w:ilvl w:val="0"/>
          <w:numId w:val="7"/>
        </w:numPr>
        <w:rPr>
          <w:rFonts w:ascii="Tahoma" w:hAnsi="Tahoma" w:cs="Tahoma"/>
          <w:b/>
          <w:bCs/>
        </w:rPr>
      </w:pPr>
      <w:r w:rsidRPr="00571C4B">
        <w:rPr>
          <w:rFonts w:ascii="Tahoma" w:hAnsi="Tahoma" w:cs="Tahoma"/>
          <w:b/>
          <w:bCs/>
          <w:u w:val="single"/>
        </w:rPr>
        <w:t>If the Applicant is a transit agency and their blueprint implementation project is solely for charging and/or refueling transit buses, then there is no Public Access requirement for their project.</w:t>
      </w:r>
    </w:p>
    <w:p w14:paraId="66595288" w14:textId="77777777" w:rsidR="0025343E" w:rsidRDefault="0025343E" w:rsidP="001534E0">
      <w:pPr>
        <w:spacing w:after="120"/>
        <w:ind w:left="540"/>
        <w:contextualSpacing/>
        <w:rPr>
          <w:rFonts w:ascii="Tahoma" w:eastAsia="Tahoma" w:hAnsi="Tahoma" w:cs="Tahoma"/>
          <w:b/>
          <w:bCs/>
          <w:color w:val="000000"/>
          <w:u w:val="single"/>
        </w:rPr>
      </w:pPr>
    </w:p>
    <w:p w14:paraId="332A9112" w14:textId="3D33862F" w:rsidR="001534E0" w:rsidRPr="006B7AF5" w:rsidRDefault="001534E0" w:rsidP="001534E0">
      <w:pPr>
        <w:spacing w:after="120"/>
        <w:ind w:left="540"/>
        <w:contextualSpacing/>
        <w:rPr>
          <w:rFonts w:ascii="Tahoma" w:eastAsia="Tahoma" w:hAnsi="Tahoma" w:cs="Tahoma"/>
          <w:b/>
          <w:bCs/>
          <w:color w:val="000000"/>
          <w:u w:val="single"/>
        </w:rPr>
      </w:pPr>
      <w:r w:rsidRPr="0474F321">
        <w:rPr>
          <w:rFonts w:ascii="Tahoma" w:eastAsia="Tahoma" w:hAnsi="Tahoma" w:cs="Tahoma"/>
          <w:b/>
          <w:color w:val="000000" w:themeColor="text1"/>
          <w:u w:val="single"/>
        </w:rPr>
        <w:t xml:space="preserve">Applicants proposing to support blueprint implementation on behalf of </w:t>
      </w:r>
      <w:r w:rsidR="17125072" w:rsidRPr="0474F321">
        <w:rPr>
          <w:rFonts w:ascii="Tahoma" w:eastAsia="Tahoma" w:hAnsi="Tahoma" w:cs="Tahoma"/>
          <w:b/>
          <w:bCs/>
          <w:color w:val="000000" w:themeColor="text1"/>
          <w:u w:val="single"/>
        </w:rPr>
        <w:t xml:space="preserve">a </w:t>
      </w:r>
      <w:r w:rsidRPr="0474F321">
        <w:rPr>
          <w:rFonts w:ascii="Tahoma" w:eastAsia="Tahoma" w:hAnsi="Tahoma" w:cs="Tahoma"/>
          <w:b/>
          <w:color w:val="000000" w:themeColor="text1"/>
          <w:u w:val="single"/>
        </w:rPr>
        <w:t xml:space="preserve">public </w:t>
      </w:r>
      <w:r w:rsidRPr="0474F321">
        <w:rPr>
          <w:rFonts w:ascii="Tahoma" w:eastAsia="Tahoma" w:hAnsi="Tahoma" w:cs="Tahoma"/>
          <w:b/>
          <w:bCs/>
          <w:color w:val="000000" w:themeColor="text1"/>
          <w:u w:val="single"/>
        </w:rPr>
        <w:t>entit</w:t>
      </w:r>
      <w:r w:rsidR="48495296" w:rsidRPr="0474F321">
        <w:rPr>
          <w:rFonts w:ascii="Tahoma" w:eastAsia="Tahoma" w:hAnsi="Tahoma" w:cs="Tahoma"/>
          <w:b/>
          <w:bCs/>
          <w:color w:val="000000" w:themeColor="text1"/>
          <w:u w:val="single"/>
        </w:rPr>
        <w:t>y</w:t>
      </w:r>
      <w:r w:rsidRPr="0474F321">
        <w:rPr>
          <w:rFonts w:ascii="Tahoma" w:eastAsia="Tahoma" w:hAnsi="Tahoma" w:cs="Tahoma"/>
          <w:b/>
          <w:color w:val="000000" w:themeColor="text1"/>
          <w:u w:val="single"/>
        </w:rPr>
        <w:t xml:space="preserve"> must adhere to all requirements established for public entities. Exceptions will apply only for the specific vehicle types as described above.</w:t>
      </w:r>
    </w:p>
    <w:p w14:paraId="1DACCEAB" w14:textId="692D45EC" w:rsidR="00CA012F" w:rsidRPr="00E41C2D" w:rsidRDefault="00CA012F" w:rsidP="00E41C2D">
      <w:pPr>
        <w:ind w:left="540"/>
        <w:rPr>
          <w:rFonts w:ascii="Tahoma" w:hAnsi="Tahoma" w:cs="Tahoma"/>
          <w:b/>
          <w:bCs/>
        </w:rPr>
      </w:pPr>
    </w:p>
    <w:p w14:paraId="368B4085" w14:textId="3AFA6F53" w:rsidR="009B4218" w:rsidRPr="00571C4B" w:rsidRDefault="009B4218" w:rsidP="00A960A4">
      <w:pPr>
        <w:pStyle w:val="ListParagraph"/>
        <w:numPr>
          <w:ilvl w:val="0"/>
          <w:numId w:val="1"/>
        </w:numPr>
        <w:ind w:left="540" w:hanging="540"/>
        <w:rPr>
          <w:rFonts w:ascii="Tahoma" w:hAnsi="Tahoma" w:cs="Tahoma"/>
          <w:b/>
          <w:bCs/>
        </w:rPr>
      </w:pPr>
      <w:r w:rsidRPr="00571C4B">
        <w:rPr>
          <w:rFonts w:ascii="Tahoma" w:hAnsi="Tahoma" w:cs="Tahoma"/>
          <w:b/>
          <w:bCs/>
        </w:rPr>
        <w:t>Section III.D.</w:t>
      </w:r>
      <w:r w:rsidR="00346A69" w:rsidRPr="00571C4B">
        <w:rPr>
          <w:rFonts w:ascii="Tahoma" w:hAnsi="Tahoma" w:cs="Tahoma"/>
          <w:b/>
          <w:bCs/>
        </w:rPr>
        <w:t>2.c.v. Blueprint Project Implementation and Infrastructure Development</w:t>
      </w:r>
      <w:r w:rsidR="00405FE4" w:rsidRPr="00571C4B">
        <w:rPr>
          <w:rFonts w:ascii="Tahoma" w:hAnsi="Tahoma" w:cs="Tahoma"/>
          <w:b/>
          <w:bCs/>
        </w:rPr>
        <w:br/>
      </w:r>
    </w:p>
    <w:p w14:paraId="6AA0E0ED" w14:textId="239615C5" w:rsidR="00346A69" w:rsidRPr="00571C4B" w:rsidRDefault="001E6852" w:rsidP="00A960A4">
      <w:pPr>
        <w:pStyle w:val="ListParagraph"/>
        <w:numPr>
          <w:ilvl w:val="1"/>
          <w:numId w:val="8"/>
        </w:numPr>
        <w:rPr>
          <w:rFonts w:ascii="Tahoma" w:hAnsi="Tahoma" w:cs="Tahoma"/>
          <w:b/>
          <w:bCs/>
        </w:rPr>
      </w:pPr>
      <w:r w:rsidRPr="00571C4B">
        <w:rPr>
          <w:rFonts w:ascii="Tahoma" w:hAnsi="Tahoma" w:cs="Tahoma"/>
        </w:rPr>
        <w:t>Clearly identify and describe the section(s) and chapter(s) of the completed and approved CEC-funded Final Blueprint that the proposed project aims to implement. Applicants must reference the specific section(s) and chapter(s) of the Final Blueprint.</w:t>
      </w:r>
      <w:r w:rsidRPr="00571C4B">
        <w:rPr>
          <w:rFonts w:ascii="Tahoma" w:hAnsi="Tahoma" w:cs="Tahoma"/>
          <w:b/>
          <w:bCs/>
        </w:rPr>
        <w:t xml:space="preserve"> NOTE: The Evaluation Committee may </w:t>
      </w:r>
      <w:proofErr w:type="gramStart"/>
      <w:r w:rsidRPr="00571C4B">
        <w:rPr>
          <w:rFonts w:ascii="Tahoma" w:hAnsi="Tahoma" w:cs="Tahoma"/>
          <w:b/>
          <w:bCs/>
        </w:rPr>
        <w:t>refer back</w:t>
      </w:r>
      <w:proofErr w:type="gramEnd"/>
      <w:r w:rsidRPr="00571C4B">
        <w:rPr>
          <w:rFonts w:ascii="Tahoma" w:hAnsi="Tahoma" w:cs="Tahoma"/>
          <w:b/>
          <w:bCs/>
        </w:rPr>
        <w:t xml:space="preserve"> to the CEC-approved Final Blueprint to confirm alignment.</w:t>
      </w:r>
    </w:p>
    <w:p w14:paraId="081DF7E7" w14:textId="77777777" w:rsidR="005524C8" w:rsidRPr="00571C4B" w:rsidRDefault="005524C8" w:rsidP="00A960A4">
      <w:pPr>
        <w:pStyle w:val="ListParagraph"/>
        <w:numPr>
          <w:ilvl w:val="1"/>
          <w:numId w:val="8"/>
        </w:numPr>
        <w:rPr>
          <w:rFonts w:ascii="Tahoma" w:hAnsi="Tahoma" w:cs="Tahoma"/>
        </w:rPr>
      </w:pPr>
      <w:r w:rsidRPr="00571C4B">
        <w:rPr>
          <w:rFonts w:ascii="Tahoma" w:hAnsi="Tahoma" w:cs="Tahoma"/>
        </w:rPr>
        <w:t xml:space="preserve">Describe the infrastructure to be installed </w:t>
      </w:r>
      <w:proofErr w:type="gramStart"/>
      <w:r w:rsidRPr="00571C4B">
        <w:rPr>
          <w:rFonts w:ascii="Tahoma" w:hAnsi="Tahoma" w:cs="Tahoma"/>
        </w:rPr>
        <w:t>consistent</w:t>
      </w:r>
      <w:proofErr w:type="gramEnd"/>
      <w:r w:rsidRPr="00571C4B">
        <w:rPr>
          <w:rFonts w:ascii="Tahoma" w:hAnsi="Tahoma" w:cs="Tahoma"/>
        </w:rPr>
        <w:t xml:space="preserve"> with the infrastructure and equipment identified in the final blueprint.</w:t>
      </w:r>
    </w:p>
    <w:p w14:paraId="7A317ADE" w14:textId="77777777" w:rsidR="00D63B5C" w:rsidRPr="00571C4B" w:rsidRDefault="00D63B5C" w:rsidP="00A960A4">
      <w:pPr>
        <w:pStyle w:val="ListParagraph"/>
        <w:numPr>
          <w:ilvl w:val="1"/>
          <w:numId w:val="8"/>
        </w:numPr>
        <w:rPr>
          <w:rFonts w:ascii="Tahoma" w:hAnsi="Tahoma" w:cs="Tahoma"/>
        </w:rPr>
      </w:pPr>
      <w:r w:rsidRPr="00571C4B">
        <w:rPr>
          <w:rFonts w:ascii="Tahoma" w:hAnsi="Tahoma" w:cs="Tahoma"/>
        </w:rPr>
        <w:t>If Applicant received funding under GFO-23-603, Applicant must:</w:t>
      </w:r>
    </w:p>
    <w:p w14:paraId="57438817" w14:textId="77777777" w:rsidR="00D63B5C" w:rsidRPr="00571C4B" w:rsidRDefault="00D63B5C" w:rsidP="00A960A4">
      <w:pPr>
        <w:pStyle w:val="ListParagraph"/>
        <w:numPr>
          <w:ilvl w:val="2"/>
          <w:numId w:val="10"/>
        </w:numPr>
        <w:rPr>
          <w:rFonts w:ascii="Tahoma" w:hAnsi="Tahoma" w:cs="Tahoma"/>
        </w:rPr>
      </w:pPr>
      <w:r w:rsidRPr="00571C4B">
        <w:rPr>
          <w:rFonts w:ascii="Tahoma" w:hAnsi="Tahoma" w:cs="Tahoma"/>
        </w:rPr>
        <w:t>Describe how the proposed project pertains to a different site identified in the completed and approved Final Blueprint and awarded under GFO-23-603.</w:t>
      </w:r>
    </w:p>
    <w:p w14:paraId="54C8B47E" w14:textId="77777777" w:rsidR="00D63B5C" w:rsidRPr="00571C4B" w:rsidRDefault="00D63B5C" w:rsidP="00A960A4">
      <w:pPr>
        <w:pStyle w:val="ListParagraph"/>
        <w:numPr>
          <w:ilvl w:val="2"/>
          <w:numId w:val="10"/>
        </w:numPr>
        <w:rPr>
          <w:rFonts w:ascii="Tahoma" w:hAnsi="Tahoma" w:cs="Tahoma"/>
        </w:rPr>
      </w:pPr>
      <w:r w:rsidRPr="00571C4B">
        <w:rPr>
          <w:rFonts w:ascii="Tahoma" w:hAnsi="Tahoma" w:cs="Tahoma"/>
        </w:rPr>
        <w:t>Describe how the new infrastructure will support a different fleet from funding awarded under GFO-23-603.</w:t>
      </w:r>
    </w:p>
    <w:p w14:paraId="32C13352" w14:textId="77777777" w:rsidR="00D63B5C" w:rsidRPr="00571C4B" w:rsidRDefault="00D63B5C" w:rsidP="00A960A4">
      <w:pPr>
        <w:pStyle w:val="ListParagraph"/>
        <w:numPr>
          <w:ilvl w:val="2"/>
          <w:numId w:val="10"/>
        </w:numPr>
        <w:rPr>
          <w:rFonts w:ascii="Tahoma" w:hAnsi="Tahoma" w:cs="Tahoma"/>
        </w:rPr>
      </w:pPr>
      <w:r w:rsidRPr="00571C4B">
        <w:rPr>
          <w:rFonts w:ascii="Tahoma" w:hAnsi="Tahoma" w:cs="Tahoma"/>
        </w:rPr>
        <w:t>Clearly describe how the proposed project under this solicitation is distinct from the award made under GFO-23-603 and will contribute to advancing state decarbonizing goals.</w:t>
      </w:r>
    </w:p>
    <w:p w14:paraId="6BE2503B" w14:textId="77777777" w:rsidR="0018440F" w:rsidRPr="00571C4B" w:rsidRDefault="00D63B5C" w:rsidP="00A960A4">
      <w:pPr>
        <w:pStyle w:val="ListParagraph"/>
        <w:numPr>
          <w:ilvl w:val="1"/>
          <w:numId w:val="8"/>
        </w:numPr>
        <w:rPr>
          <w:rFonts w:ascii="Tahoma" w:hAnsi="Tahoma" w:cs="Tahoma"/>
        </w:rPr>
      </w:pPr>
      <w:r w:rsidRPr="00571C4B">
        <w:rPr>
          <w:rFonts w:ascii="Tahoma" w:hAnsi="Tahoma" w:cs="Tahoma"/>
        </w:rPr>
        <w:t>Describe site(s) information consistent with the information provided in the final blueprint.</w:t>
      </w:r>
    </w:p>
    <w:p w14:paraId="682D8DC6" w14:textId="69466767" w:rsidR="002A5E73" w:rsidRPr="00571C4B" w:rsidRDefault="00405FE4" w:rsidP="00A960A4">
      <w:pPr>
        <w:pStyle w:val="ListParagraph"/>
        <w:numPr>
          <w:ilvl w:val="2"/>
          <w:numId w:val="9"/>
        </w:numPr>
        <w:rPr>
          <w:rFonts w:ascii="Tahoma" w:hAnsi="Tahoma" w:cs="Tahoma"/>
        </w:rPr>
      </w:pPr>
      <w:r w:rsidRPr="00571C4B">
        <w:rPr>
          <w:rFonts w:ascii="Tahoma" w:hAnsi="Tahoma" w:cs="Tahoma"/>
          <w:bCs/>
        </w:rPr>
        <w:t xml:space="preserve">If the site(s) is/are not included in the final blueprint, Applicant must </w:t>
      </w:r>
      <w:proofErr w:type="gramStart"/>
      <w:r w:rsidRPr="00571C4B">
        <w:rPr>
          <w:rFonts w:ascii="Tahoma" w:hAnsi="Tahoma" w:cs="Tahoma"/>
          <w:bCs/>
        </w:rPr>
        <w:t>describe</w:t>
      </w:r>
      <w:proofErr w:type="gramEnd"/>
      <w:r w:rsidRPr="00571C4B">
        <w:rPr>
          <w:rFonts w:ascii="Tahoma" w:hAnsi="Tahoma" w:cs="Tahoma"/>
          <w:bCs/>
        </w:rPr>
        <w:t xml:space="preserve"> in the narrative and in addition, complete the </w:t>
      </w:r>
      <w:r w:rsidRPr="00571C4B">
        <w:rPr>
          <w:rFonts w:ascii="Tahoma" w:hAnsi="Tahoma" w:cs="Tahoma"/>
        </w:rPr>
        <w:t>Justification for Site</w:t>
      </w:r>
      <w:r w:rsidRPr="00571C4B">
        <w:rPr>
          <w:rFonts w:ascii="Tahoma" w:hAnsi="Tahoma" w:cs="Tahoma"/>
          <w:b/>
        </w:rPr>
        <w:t xml:space="preserve"> </w:t>
      </w:r>
      <w:r w:rsidRPr="00571C4B">
        <w:rPr>
          <w:rFonts w:ascii="Tahoma" w:hAnsi="Tahoma" w:cs="Tahoma"/>
        </w:rPr>
        <w:t xml:space="preserve">Not Included in the Final Blueprint </w:t>
      </w:r>
      <w:r w:rsidRPr="00571C4B">
        <w:rPr>
          <w:rFonts w:ascii="Tahoma" w:hAnsi="Tahoma" w:cs="Tahoma"/>
          <w:bCs/>
        </w:rPr>
        <w:t>(Attachment 15), and provide justification for the site(s) and how it will conform to the recommendations of the Final Blueprint.</w:t>
      </w:r>
    </w:p>
    <w:p w14:paraId="1EA6B38F" w14:textId="25E5AA64" w:rsidR="002A5E73" w:rsidRPr="00571C4B" w:rsidRDefault="002A5E73" w:rsidP="00A960A4">
      <w:pPr>
        <w:pStyle w:val="ListParagraph"/>
        <w:numPr>
          <w:ilvl w:val="1"/>
          <w:numId w:val="8"/>
        </w:numPr>
        <w:rPr>
          <w:rFonts w:ascii="Tahoma" w:hAnsi="Tahoma" w:cs="Tahoma"/>
          <w:b/>
          <w:bCs/>
          <w:u w:val="single"/>
        </w:rPr>
      </w:pPr>
      <w:r w:rsidRPr="00571C4B">
        <w:rPr>
          <w:rFonts w:ascii="Tahoma" w:hAnsi="Tahoma" w:cs="Tahoma"/>
          <w:b/>
          <w:bCs/>
          <w:u w:val="single"/>
        </w:rPr>
        <w:t xml:space="preserve">Describe how the infrastructure proposed in the project will be made accessible to the public. Describe the nature and extent of access, including physical location, hours of availability, any restrictions (e.g., fees, memberships), and how the infrastructure serves the </w:t>
      </w:r>
      <w:proofErr w:type="gramStart"/>
      <w:r w:rsidRPr="00571C4B">
        <w:rPr>
          <w:rFonts w:ascii="Tahoma" w:hAnsi="Tahoma" w:cs="Tahoma"/>
          <w:b/>
          <w:bCs/>
          <w:u w:val="single"/>
        </w:rPr>
        <w:t>general public</w:t>
      </w:r>
      <w:proofErr w:type="gramEnd"/>
      <w:r w:rsidRPr="00571C4B">
        <w:rPr>
          <w:rFonts w:ascii="Tahoma" w:hAnsi="Tahoma" w:cs="Tahoma"/>
          <w:b/>
          <w:bCs/>
          <w:u w:val="single"/>
        </w:rPr>
        <w:t>. Describe any outreach or engagement efforts to ensure public awareness and equitable use.</w:t>
      </w:r>
      <w:r w:rsidRPr="00571C4B">
        <w:rPr>
          <w:rFonts w:ascii="Tahoma" w:hAnsi="Tahoma" w:cs="Tahoma"/>
          <w:b/>
          <w:bCs/>
          <w:u w:val="single"/>
        </w:rPr>
        <w:br/>
      </w:r>
    </w:p>
    <w:p w14:paraId="62AAB17D" w14:textId="56A29717" w:rsidR="00F23F72" w:rsidRPr="00571C4B" w:rsidRDefault="00E93B33" w:rsidP="00A960A4">
      <w:pPr>
        <w:pStyle w:val="ListParagraph"/>
        <w:numPr>
          <w:ilvl w:val="0"/>
          <w:numId w:val="1"/>
        </w:numPr>
        <w:ind w:left="540" w:hanging="540"/>
        <w:rPr>
          <w:rFonts w:ascii="Tahoma" w:hAnsi="Tahoma" w:cs="Tahoma"/>
          <w:b/>
          <w:bCs/>
        </w:rPr>
      </w:pPr>
      <w:r w:rsidRPr="00571C4B">
        <w:rPr>
          <w:rFonts w:ascii="Tahoma" w:hAnsi="Tahoma" w:cs="Tahoma"/>
          <w:b/>
          <w:bCs/>
        </w:rPr>
        <w:t xml:space="preserve">Section </w:t>
      </w:r>
      <w:r w:rsidR="00A30FAE" w:rsidRPr="00571C4B">
        <w:rPr>
          <w:rFonts w:ascii="Tahoma" w:hAnsi="Tahoma" w:cs="Tahoma"/>
          <w:b/>
          <w:bCs/>
        </w:rPr>
        <w:t>IV.E. Evaluation Criteria</w:t>
      </w:r>
      <w:r w:rsidR="00A30FAE" w:rsidRPr="00571C4B">
        <w:rPr>
          <w:rFonts w:ascii="Tahoma" w:hAnsi="Tahoma" w:cs="Tahoma"/>
          <w:b/>
          <w:bCs/>
        </w:rPr>
        <w:br/>
      </w: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235022" w:rsidRPr="00571C4B" w14:paraId="004708CE" w14:textId="77777777" w:rsidTr="000564FC">
        <w:tc>
          <w:tcPr>
            <w:tcW w:w="7863" w:type="dxa"/>
            <w:shd w:val="clear" w:color="auto" w:fill="D9D9D9" w:themeFill="background1" w:themeFillShade="D9"/>
          </w:tcPr>
          <w:p w14:paraId="4288D67A" w14:textId="77777777" w:rsidR="00235022" w:rsidRPr="00571C4B" w:rsidRDefault="00235022" w:rsidP="000564FC">
            <w:pPr>
              <w:ind w:left="720"/>
              <w:jc w:val="center"/>
              <w:rPr>
                <w:rFonts w:ascii="Tahoma" w:hAnsi="Tahoma" w:cs="Tahoma"/>
                <w:b/>
              </w:rPr>
            </w:pPr>
            <w:r w:rsidRPr="00571C4B">
              <w:rPr>
                <w:rFonts w:ascii="Tahoma" w:hAnsi="Tahoma" w:cs="Tahoma"/>
                <w:b/>
              </w:rPr>
              <w:t>Criterion</w:t>
            </w:r>
          </w:p>
        </w:tc>
        <w:tc>
          <w:tcPr>
            <w:tcW w:w="1487" w:type="dxa"/>
            <w:shd w:val="clear" w:color="auto" w:fill="D9D9D9" w:themeFill="background1" w:themeFillShade="D9"/>
          </w:tcPr>
          <w:p w14:paraId="1698D599" w14:textId="77777777" w:rsidR="00235022" w:rsidRPr="00571C4B" w:rsidRDefault="00235022" w:rsidP="000564FC">
            <w:pPr>
              <w:jc w:val="center"/>
              <w:rPr>
                <w:rFonts w:ascii="Tahoma" w:hAnsi="Tahoma" w:cs="Tahoma"/>
              </w:rPr>
            </w:pPr>
            <w:r w:rsidRPr="00571C4B">
              <w:rPr>
                <w:rFonts w:ascii="Tahoma" w:hAnsi="Tahoma" w:cs="Tahoma"/>
                <w:b/>
              </w:rPr>
              <w:t>Possible Points</w:t>
            </w:r>
          </w:p>
        </w:tc>
      </w:tr>
      <w:tr w:rsidR="00235022" w:rsidRPr="00571C4B" w14:paraId="1E239AC7" w14:textId="77777777" w:rsidTr="000564FC">
        <w:tc>
          <w:tcPr>
            <w:tcW w:w="7863" w:type="dxa"/>
          </w:tcPr>
          <w:p w14:paraId="40297F7B" w14:textId="77777777" w:rsidR="00235022" w:rsidRPr="00571C4B" w:rsidRDefault="00235022" w:rsidP="00A960A4">
            <w:pPr>
              <w:pStyle w:val="ListParagraph"/>
              <w:numPr>
                <w:ilvl w:val="0"/>
                <w:numId w:val="5"/>
              </w:numPr>
              <w:spacing w:after="60"/>
              <w:ind w:hanging="720"/>
              <w:contextualSpacing w:val="0"/>
              <w:rPr>
                <w:rFonts w:ascii="Tahoma" w:hAnsi="Tahoma" w:cs="Tahoma"/>
                <w:b/>
              </w:rPr>
            </w:pPr>
            <w:r w:rsidRPr="00571C4B">
              <w:rPr>
                <w:rFonts w:ascii="Tahoma" w:hAnsi="Tahoma" w:cs="Tahoma"/>
                <w:b/>
              </w:rPr>
              <w:t>Team Experience and Qualifications</w:t>
            </w:r>
          </w:p>
          <w:p w14:paraId="130C77D1" w14:textId="77777777" w:rsidR="00235022" w:rsidRPr="00571C4B" w:rsidRDefault="00235022" w:rsidP="000564FC">
            <w:pPr>
              <w:spacing w:after="60"/>
              <w:rPr>
                <w:rFonts w:ascii="Tahoma" w:hAnsi="Tahoma" w:cs="Tahoma"/>
              </w:rPr>
            </w:pPr>
            <w:r w:rsidRPr="00571C4B">
              <w:rPr>
                <w:rFonts w:ascii="Tahoma" w:hAnsi="Tahoma" w:cs="Tahoma"/>
              </w:rPr>
              <w:t xml:space="preserve">Applications will be evaluated </w:t>
            </w:r>
            <w:proofErr w:type="gramStart"/>
            <w:r w:rsidRPr="00571C4B">
              <w:rPr>
                <w:rFonts w:ascii="Tahoma" w:hAnsi="Tahoma" w:cs="Tahoma"/>
              </w:rPr>
              <w:t>on</w:t>
            </w:r>
            <w:proofErr w:type="gramEnd"/>
            <w:r w:rsidRPr="00571C4B">
              <w:rPr>
                <w:rFonts w:ascii="Tahoma" w:hAnsi="Tahoma" w:cs="Tahoma"/>
              </w:rPr>
              <w:t xml:space="preserve"> the degree to which:</w:t>
            </w:r>
          </w:p>
          <w:p w14:paraId="605D3E87" w14:textId="77777777" w:rsidR="00235022" w:rsidRPr="00571C4B" w:rsidRDefault="00235022" w:rsidP="00A960A4">
            <w:pPr>
              <w:numPr>
                <w:ilvl w:val="0"/>
                <w:numId w:val="2"/>
              </w:numPr>
              <w:spacing w:after="60"/>
              <w:textAlignment w:val="baseline"/>
              <w:rPr>
                <w:rFonts w:ascii="Tahoma" w:hAnsi="Tahoma" w:cs="Tahoma"/>
              </w:rPr>
            </w:pPr>
            <w:r w:rsidRPr="00571C4B">
              <w:rPr>
                <w:rFonts w:ascii="Tahoma" w:hAnsi="Tahoma" w:cs="Tahoma"/>
              </w:rPr>
              <w:lastRenderedPageBreak/>
              <w:t xml:space="preserve">The project team’s qualifications (including relevant expertise, experience, and skill sets) are suitable </w:t>
            </w:r>
            <w:proofErr w:type="gramStart"/>
            <w:r w:rsidRPr="00571C4B">
              <w:rPr>
                <w:rFonts w:ascii="Tahoma" w:hAnsi="Tahoma" w:cs="Tahoma"/>
              </w:rPr>
              <w:t>to</w:t>
            </w:r>
            <w:proofErr w:type="gramEnd"/>
            <w:r w:rsidRPr="00571C4B">
              <w:rPr>
                <w:rFonts w:ascii="Tahoma" w:hAnsi="Tahoma" w:cs="Tahoma"/>
              </w:rPr>
              <w:t xml:space="preserve"> the tasks described in the proposed Scope of Work. </w:t>
            </w:r>
          </w:p>
          <w:p w14:paraId="7434A452" w14:textId="77777777" w:rsidR="00235022" w:rsidRPr="00571C4B" w:rsidRDefault="00235022" w:rsidP="00A960A4">
            <w:pPr>
              <w:numPr>
                <w:ilvl w:val="0"/>
                <w:numId w:val="2"/>
              </w:numPr>
              <w:spacing w:after="60"/>
              <w:textAlignment w:val="baseline"/>
              <w:rPr>
                <w:rFonts w:ascii="Tahoma" w:hAnsi="Tahoma" w:cs="Tahoma"/>
              </w:rPr>
            </w:pPr>
            <w:r w:rsidRPr="00571C4B">
              <w:rPr>
                <w:rFonts w:ascii="Tahoma" w:hAnsi="Tahoma" w:cs="Tahoma"/>
              </w:rPr>
              <w:t xml:space="preserve">The project team has members with at least three </w:t>
            </w:r>
            <w:r w:rsidRPr="00571C4B">
              <w:t>(3)</w:t>
            </w:r>
            <w:r w:rsidRPr="00571C4B">
              <w:rPr>
                <w:rFonts w:ascii="Tahoma" w:hAnsi="Tahoma" w:cs="Tahoma"/>
              </w:rPr>
              <w:t xml:space="preserve"> years of experience designing, planning, constructing, testing, operating, or maintaining electric vehicle or hydrogen r</w:t>
            </w:r>
            <w:r w:rsidRPr="00571C4B">
              <w:t>e</w:t>
            </w:r>
            <w:r w:rsidRPr="00571C4B">
              <w:rPr>
                <w:rFonts w:ascii="Tahoma" w:hAnsi="Tahoma" w:cs="Tahoma"/>
              </w:rPr>
              <w:t>fueling stations, and qualifications, skills, abilities, and relevant technical and business experience align with the needs and successful completion of the proposed project.</w:t>
            </w:r>
          </w:p>
          <w:p w14:paraId="2290D17B" w14:textId="77777777" w:rsidR="00235022" w:rsidRPr="00571C4B" w:rsidRDefault="00235022" w:rsidP="00A960A4">
            <w:pPr>
              <w:numPr>
                <w:ilvl w:val="0"/>
                <w:numId w:val="2"/>
              </w:numPr>
              <w:spacing w:after="60"/>
              <w:textAlignment w:val="baseline"/>
              <w:rPr>
                <w:rFonts w:ascii="Tahoma" w:hAnsi="Tahoma" w:cs="Tahoma"/>
              </w:rPr>
            </w:pPr>
            <w:r w:rsidRPr="00571C4B">
              <w:rPr>
                <w:rFonts w:ascii="Tahoma" w:hAnsi="Tahoma" w:cs="Tahoma"/>
              </w:rPr>
              <w:t>The project team has verifiable experience working with AHJ and utility personnel to overcome permitting and planning barriers. </w:t>
            </w:r>
          </w:p>
          <w:p w14:paraId="28C1208B" w14:textId="77777777" w:rsidR="00235022" w:rsidRPr="00571C4B" w:rsidRDefault="00235022" w:rsidP="00A960A4">
            <w:pPr>
              <w:numPr>
                <w:ilvl w:val="0"/>
                <w:numId w:val="2"/>
              </w:numPr>
              <w:spacing w:after="60"/>
              <w:textAlignment w:val="baseline"/>
              <w:rPr>
                <w:rFonts w:ascii="Tahoma" w:hAnsi="Tahoma" w:cs="Tahoma"/>
              </w:rPr>
            </w:pPr>
            <w:r w:rsidRPr="00571C4B">
              <w:rPr>
                <w:rFonts w:ascii="Tahoma" w:hAnsi="Tahoma" w:cs="Tahoma"/>
              </w:rPr>
              <w:t>The project team has sufficient personnel and organizational capacity to complete the project given its other project commitments. </w:t>
            </w:r>
          </w:p>
          <w:p w14:paraId="140A4B91" w14:textId="77777777" w:rsidR="00235022" w:rsidRPr="00571C4B" w:rsidRDefault="00235022" w:rsidP="00A960A4">
            <w:pPr>
              <w:numPr>
                <w:ilvl w:val="0"/>
                <w:numId w:val="2"/>
              </w:numPr>
              <w:spacing w:after="60"/>
              <w:textAlignment w:val="baseline"/>
              <w:rPr>
                <w:rFonts w:ascii="Tahoma" w:hAnsi="Tahoma" w:cs="Tahoma"/>
              </w:rPr>
            </w:pPr>
            <w:r w:rsidRPr="00571C4B">
              <w:rPr>
                <w:rFonts w:ascii="Tahoma" w:hAnsi="Tahoma" w:cs="Tahoma"/>
              </w:rPr>
              <w:t>The Applicant and project team have demonstrated exceptional administrative and technical performance under existing or prior funding agreements (CEC and/or other public agencies), if the Applicant or project team worked on such projects, including: </w:t>
            </w:r>
          </w:p>
          <w:p w14:paraId="6A01AFB2"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Adherence to schedules and due dates. </w:t>
            </w:r>
          </w:p>
          <w:p w14:paraId="5DBE3E71"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Effective and timely issue resolution. </w:t>
            </w:r>
          </w:p>
          <w:p w14:paraId="666E5BC7"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Quality of deliverables. </w:t>
            </w:r>
          </w:p>
          <w:p w14:paraId="32C3BC42"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Objectives of past projects have been attained. </w:t>
            </w:r>
          </w:p>
          <w:p w14:paraId="1A19F716"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Honest, timely, and professional communication with staff from the funding entity. </w:t>
            </w:r>
          </w:p>
          <w:p w14:paraId="7128C8ED"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Effective coordination with project partners, subrecipients, vendors, and other stakeholders.</w:t>
            </w:r>
          </w:p>
          <w:p w14:paraId="44B1264E" w14:textId="77777777" w:rsidR="00235022" w:rsidRPr="00571C4B" w:rsidRDefault="00235022" w:rsidP="00A960A4">
            <w:pPr>
              <w:numPr>
                <w:ilvl w:val="1"/>
                <w:numId w:val="2"/>
              </w:numPr>
              <w:spacing w:after="60"/>
              <w:textAlignment w:val="baseline"/>
              <w:rPr>
                <w:rFonts w:ascii="Tahoma" w:hAnsi="Tahoma" w:cs="Tahoma"/>
              </w:rPr>
            </w:pPr>
            <w:r w:rsidRPr="00571C4B">
              <w:rPr>
                <w:rFonts w:ascii="Tahoma" w:hAnsi="Tahoma" w:cs="Tahoma"/>
              </w:rPr>
              <w:t>Timely and accurate invoicing.</w:t>
            </w:r>
          </w:p>
        </w:tc>
        <w:tc>
          <w:tcPr>
            <w:tcW w:w="1487" w:type="dxa"/>
          </w:tcPr>
          <w:p w14:paraId="5B176210" w14:textId="77777777" w:rsidR="00235022" w:rsidRPr="00571C4B" w:rsidRDefault="00235022" w:rsidP="000564FC">
            <w:pPr>
              <w:jc w:val="center"/>
              <w:rPr>
                <w:rFonts w:ascii="Tahoma" w:hAnsi="Tahoma" w:cs="Tahoma"/>
                <w:b/>
                <w:bCs/>
              </w:rPr>
            </w:pPr>
          </w:p>
          <w:p w14:paraId="2B19F6F3" w14:textId="1A7087BD" w:rsidR="00235022" w:rsidRPr="00571C4B" w:rsidRDefault="00235022" w:rsidP="000564FC">
            <w:pPr>
              <w:jc w:val="center"/>
              <w:rPr>
                <w:rFonts w:ascii="Tahoma" w:hAnsi="Tahoma" w:cs="Tahoma"/>
              </w:rPr>
            </w:pPr>
            <w:r w:rsidRPr="00571C4B">
              <w:rPr>
                <w:rFonts w:ascii="Tahoma" w:hAnsi="Tahoma" w:cs="Tahoma"/>
              </w:rPr>
              <w:t>10</w:t>
            </w:r>
          </w:p>
        </w:tc>
      </w:tr>
      <w:tr w:rsidR="00235022" w:rsidRPr="00571C4B" w14:paraId="30CA4FBD" w14:textId="77777777" w:rsidTr="000564FC">
        <w:trPr>
          <w:trHeight w:val="70"/>
        </w:trPr>
        <w:tc>
          <w:tcPr>
            <w:tcW w:w="7863" w:type="dxa"/>
          </w:tcPr>
          <w:p w14:paraId="56F5773E" w14:textId="77777777" w:rsidR="00235022" w:rsidRPr="00571C4B" w:rsidRDefault="00235022" w:rsidP="00A960A4">
            <w:pPr>
              <w:pStyle w:val="ListParagraph"/>
              <w:numPr>
                <w:ilvl w:val="0"/>
                <w:numId w:val="5"/>
              </w:numPr>
              <w:spacing w:after="60"/>
              <w:ind w:hanging="750"/>
              <w:contextualSpacing w:val="0"/>
              <w:rPr>
                <w:rFonts w:ascii="Tahoma" w:hAnsi="Tahoma" w:cs="Tahoma"/>
                <w:b/>
              </w:rPr>
            </w:pPr>
            <w:r w:rsidRPr="00571C4B">
              <w:rPr>
                <w:rFonts w:ascii="Tahoma" w:hAnsi="Tahoma" w:cs="Tahoma"/>
                <w:b/>
              </w:rPr>
              <w:t>Project Readiness</w:t>
            </w:r>
          </w:p>
          <w:p w14:paraId="21EC7325" w14:textId="77777777" w:rsidR="00235022" w:rsidRPr="00571C4B" w:rsidRDefault="00235022" w:rsidP="000564FC">
            <w:pPr>
              <w:spacing w:after="60"/>
              <w:rPr>
                <w:rFonts w:ascii="Tahoma" w:hAnsi="Tahoma" w:cs="Tahoma"/>
              </w:rPr>
            </w:pPr>
            <w:r w:rsidRPr="00571C4B">
              <w:rPr>
                <w:rFonts w:ascii="Tahoma" w:hAnsi="Tahoma" w:cs="Tahoma"/>
              </w:rPr>
              <w:t xml:space="preserve">Applications will be evaluated </w:t>
            </w:r>
            <w:proofErr w:type="gramStart"/>
            <w:r w:rsidRPr="00571C4B">
              <w:rPr>
                <w:rFonts w:ascii="Tahoma" w:hAnsi="Tahoma" w:cs="Tahoma"/>
              </w:rPr>
              <w:t>on</w:t>
            </w:r>
            <w:proofErr w:type="gramEnd"/>
            <w:r w:rsidRPr="00571C4B">
              <w:rPr>
                <w:rFonts w:ascii="Tahoma" w:hAnsi="Tahoma" w:cs="Tahoma"/>
              </w:rPr>
              <w:t xml:space="preserve"> the degree to which:</w:t>
            </w:r>
          </w:p>
          <w:p w14:paraId="070A2252" w14:textId="77777777" w:rsidR="00235022" w:rsidRPr="00571C4B" w:rsidRDefault="00235022" w:rsidP="00A960A4">
            <w:pPr>
              <w:numPr>
                <w:ilvl w:val="0"/>
                <w:numId w:val="3"/>
              </w:numPr>
              <w:spacing w:after="60"/>
              <w:rPr>
                <w:rFonts w:ascii="Tahoma" w:hAnsi="Tahoma" w:cs="Tahoma"/>
              </w:rPr>
            </w:pPr>
            <w:r w:rsidRPr="00571C4B">
              <w:rPr>
                <w:rFonts w:ascii="Tahoma" w:hAnsi="Tahoma" w:cs="Tahoma"/>
              </w:rPr>
              <w:t>The proposed project maximizes vehicle deployment.</w:t>
            </w:r>
          </w:p>
          <w:p w14:paraId="2AD34908"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Required permitting for the proposed project has been completed.</w:t>
            </w:r>
          </w:p>
          <w:p w14:paraId="06A575F3"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The proposed project has achieved compliance under the CEQA.</w:t>
            </w:r>
          </w:p>
          <w:p w14:paraId="14AAAE0B"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Site control is secured, viable back-up sites are identified, and a sufficient plan for managing site or site host changes is provided.</w:t>
            </w:r>
          </w:p>
          <w:p w14:paraId="72E38966"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Coordination with the respective utility provider for utility connection demonstrates accelerated timeline to energize the sites.</w:t>
            </w:r>
          </w:p>
          <w:p w14:paraId="1E1B111B" w14:textId="77777777" w:rsidR="00235022" w:rsidRPr="00571C4B" w:rsidRDefault="00235022" w:rsidP="00A960A4">
            <w:pPr>
              <w:pStyle w:val="ListParagraph"/>
              <w:numPr>
                <w:ilvl w:val="0"/>
                <w:numId w:val="3"/>
              </w:numPr>
              <w:spacing w:after="120"/>
              <w:contextualSpacing w:val="0"/>
              <w:rPr>
                <w:rFonts w:ascii="Tahoma" w:hAnsi="Tahoma" w:cs="Tahoma"/>
              </w:rPr>
            </w:pPr>
            <w:r w:rsidRPr="00571C4B">
              <w:rPr>
                <w:rFonts w:ascii="Tahoma" w:hAnsi="Tahoma" w:cs="Tahoma"/>
              </w:rPr>
              <w:t xml:space="preserve">The equipment to be deployed meets the Charger Port/Hydrogen Refueling Dispenser Minimums and accelerates project timelines. </w:t>
            </w:r>
          </w:p>
          <w:p w14:paraId="0F6C06D0"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lastRenderedPageBreak/>
              <w:t>The timeline for charger or hydrogen refueling dispenser installation and commissioning is expedited.</w:t>
            </w:r>
          </w:p>
          <w:p w14:paraId="3E4E1069"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A clear and realistic timeline is provided for the acquisition of MDHD ZEVs. Strategies to expedite the vehicle acquisition process are identified.</w:t>
            </w:r>
          </w:p>
          <w:p w14:paraId="53D8647C" w14:textId="77777777" w:rsidR="00235022" w:rsidRPr="00571C4B" w:rsidRDefault="00235022" w:rsidP="00A960A4">
            <w:pPr>
              <w:pStyle w:val="ListParagraph"/>
              <w:numPr>
                <w:ilvl w:val="0"/>
                <w:numId w:val="3"/>
              </w:numPr>
              <w:spacing w:after="120"/>
              <w:contextualSpacing w:val="0"/>
              <w:rPr>
                <w:rFonts w:ascii="Tahoma" w:hAnsi="Tahoma" w:cs="Tahoma"/>
              </w:rPr>
            </w:pPr>
            <w:r w:rsidRPr="00571C4B">
              <w:rPr>
                <w:rFonts w:ascii="Tahoma" w:hAnsi="Tahoma" w:cs="Tahoma"/>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2F93C8CE" w14:textId="77777777" w:rsidR="00235022" w:rsidRPr="00571C4B" w:rsidRDefault="00235022" w:rsidP="00A960A4">
            <w:pPr>
              <w:pStyle w:val="ListParagraph"/>
              <w:numPr>
                <w:ilvl w:val="0"/>
                <w:numId w:val="3"/>
              </w:numPr>
              <w:spacing w:after="120"/>
              <w:contextualSpacing w:val="0"/>
              <w:rPr>
                <w:rFonts w:ascii="Tahoma" w:hAnsi="Tahoma" w:cs="Tahoma"/>
              </w:rPr>
            </w:pPr>
            <w:r w:rsidRPr="00571C4B">
              <w:rPr>
                <w:rFonts w:ascii="Tahoma" w:hAnsi="Tahoma" w:cs="Tahoma"/>
              </w:rPr>
              <w:t>If solar or storage equipment is included in the project, the equipment to be deployed will lower the cost of electricity for charging or hydrogen fuel for customers.</w:t>
            </w:r>
          </w:p>
          <w:p w14:paraId="538B65EB"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The tasks in the Scope of Work contribute to the successful and timely completion of the proposed project.</w:t>
            </w:r>
          </w:p>
          <w:p w14:paraId="25D1D578" w14:textId="77777777" w:rsidR="00235022" w:rsidRPr="00571C4B" w:rsidRDefault="00235022" w:rsidP="00A960A4">
            <w:pPr>
              <w:pStyle w:val="ListParagraph"/>
              <w:numPr>
                <w:ilvl w:val="0"/>
                <w:numId w:val="3"/>
              </w:numPr>
              <w:spacing w:after="120"/>
              <w:contextualSpacing w:val="0"/>
              <w:rPr>
                <w:rFonts w:ascii="Tahoma" w:hAnsi="Tahoma" w:cs="Tahoma"/>
              </w:rPr>
            </w:pPr>
            <w:r w:rsidRPr="00571C4B">
              <w:rPr>
                <w:rFonts w:ascii="Tahoma" w:hAnsi="Tahoma" w:cs="Tahoma"/>
              </w:rPr>
              <w:t>Planned community outreach is appropriate and comprehensive and contributes to the overall success of the proposed project.</w:t>
            </w:r>
          </w:p>
          <w:p w14:paraId="7DF7220C"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Major risks and barriers to successful project completion are identified and mitigated.</w:t>
            </w:r>
          </w:p>
          <w:p w14:paraId="0CE2352D"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The project team demonstrates it has the resources to operate each charging port and/or hydrogen refueling position for at least six years.</w:t>
            </w:r>
          </w:p>
          <w:p w14:paraId="5D1EBAEA" w14:textId="77777777" w:rsidR="00235022" w:rsidRPr="00571C4B" w:rsidRDefault="00235022" w:rsidP="00A960A4">
            <w:pPr>
              <w:pStyle w:val="ListParagraph"/>
              <w:numPr>
                <w:ilvl w:val="0"/>
                <w:numId w:val="3"/>
              </w:numPr>
              <w:spacing w:after="60"/>
              <w:contextualSpacing w:val="0"/>
              <w:rPr>
                <w:rFonts w:ascii="Tahoma" w:hAnsi="Tahoma" w:cs="Tahoma"/>
              </w:rPr>
            </w:pPr>
            <w:r w:rsidRPr="00571C4B">
              <w:rPr>
                <w:rFonts w:ascii="Tahoma" w:hAnsi="Tahoma" w:cs="Tahoma"/>
              </w:rPr>
              <w:t>The ZEV infrastructure to be deployed is appropriate for the project’s vehicle population and leads to successful deployment of zero-emission MDHD vehicles.</w:t>
            </w:r>
          </w:p>
          <w:p w14:paraId="7EF58C5A" w14:textId="77777777" w:rsidR="00235022" w:rsidRPr="00571C4B" w:rsidRDefault="00235022" w:rsidP="00A960A4">
            <w:pPr>
              <w:numPr>
                <w:ilvl w:val="0"/>
                <w:numId w:val="3"/>
              </w:numPr>
              <w:textAlignment w:val="baseline"/>
              <w:rPr>
                <w:rFonts w:ascii="Tahoma" w:hAnsi="Tahoma" w:cs="Tahoma"/>
              </w:rPr>
            </w:pPr>
            <w:r w:rsidRPr="00571C4B">
              <w:rPr>
                <w:rFonts w:ascii="Tahoma" w:hAnsi="Tahoma" w:cs="Tahoma"/>
              </w:rPr>
              <w:t>The retail price of fuel and/or the cost of charging will be minimized.</w:t>
            </w:r>
          </w:p>
          <w:p w14:paraId="2D1667BC" w14:textId="50031761" w:rsidR="00235022" w:rsidRPr="00571C4B" w:rsidRDefault="00235022" w:rsidP="000564FC">
            <w:pPr>
              <w:spacing w:before="120"/>
              <w:textAlignment w:val="baseline"/>
              <w:rPr>
                <w:rFonts w:ascii="Tahoma" w:hAnsi="Tahoma" w:cs="Tahoma"/>
                <w:b/>
                <w:bCs/>
              </w:rPr>
            </w:pPr>
            <w:r w:rsidRPr="00571C4B">
              <w:rPr>
                <w:rFonts w:ascii="Tahoma" w:hAnsi="Tahoma" w:cs="Tahoma"/>
                <w:b/>
                <w:bCs/>
              </w:rPr>
              <w:t xml:space="preserve">NOTE: Project Readiness </w:t>
            </w:r>
            <w:r w:rsidRPr="00571C4B">
              <w:rPr>
                <w:rFonts w:ascii="Tahoma" w:hAnsi="Tahoma" w:cs="Tahoma"/>
                <w:b/>
                <w:bCs/>
                <w:u w:val="single"/>
              </w:rPr>
              <w:t>must</w:t>
            </w:r>
            <w:r w:rsidRPr="00571C4B">
              <w:rPr>
                <w:rFonts w:ascii="Tahoma" w:hAnsi="Tahoma" w:cs="Tahoma"/>
                <w:b/>
                <w:bCs/>
              </w:rPr>
              <w:t xml:space="preserve"> obtain a minimum passing score of 21 points (70% percent) within this evaluation </w:t>
            </w:r>
            <w:proofErr w:type="gramStart"/>
            <w:r w:rsidRPr="00571C4B">
              <w:rPr>
                <w:rFonts w:ascii="Tahoma" w:hAnsi="Tahoma" w:cs="Tahoma"/>
                <w:b/>
                <w:bCs/>
              </w:rPr>
              <w:t>criterion</w:t>
            </w:r>
            <w:proofErr w:type="gramEnd"/>
            <w:r w:rsidRPr="00571C4B">
              <w:rPr>
                <w:rFonts w:ascii="Tahoma" w:hAnsi="Tahoma" w:cs="Tahoma"/>
                <w:b/>
                <w:bCs/>
              </w:rPr>
              <w:t xml:space="preserve"> to be eligible for funding.</w:t>
            </w:r>
          </w:p>
          <w:p w14:paraId="4F9667B2" w14:textId="77777777" w:rsidR="00235022" w:rsidRPr="00571C4B" w:rsidRDefault="00235022" w:rsidP="000564FC">
            <w:pPr>
              <w:rPr>
                <w:rFonts w:ascii="Tahoma" w:hAnsi="Tahoma" w:cs="Tahoma"/>
                <w:b/>
                <w:bCs/>
                <w:sz w:val="20"/>
                <w:u w:val="single"/>
              </w:rPr>
            </w:pPr>
          </w:p>
        </w:tc>
        <w:tc>
          <w:tcPr>
            <w:tcW w:w="1487" w:type="dxa"/>
          </w:tcPr>
          <w:p w14:paraId="5814EDAE" w14:textId="77777777" w:rsidR="00235022" w:rsidRPr="00571C4B" w:rsidRDefault="00235022" w:rsidP="000564FC">
            <w:pPr>
              <w:jc w:val="center"/>
              <w:rPr>
                <w:rFonts w:ascii="Tahoma" w:hAnsi="Tahoma" w:cs="Tahoma"/>
              </w:rPr>
            </w:pPr>
          </w:p>
          <w:p w14:paraId="35EF1A22" w14:textId="01D47E6F" w:rsidR="00235022" w:rsidRPr="00571C4B" w:rsidRDefault="00235022" w:rsidP="000564FC">
            <w:pPr>
              <w:jc w:val="center"/>
              <w:rPr>
                <w:rFonts w:ascii="Tahoma" w:hAnsi="Tahoma" w:cs="Tahoma"/>
                <w:b/>
                <w:bCs/>
                <w:strike/>
                <w:u w:val="single"/>
              </w:rPr>
            </w:pPr>
            <w:r w:rsidRPr="00571C4B">
              <w:rPr>
                <w:rFonts w:ascii="Tahoma" w:hAnsi="Tahoma" w:cs="Tahoma"/>
              </w:rPr>
              <w:t>30</w:t>
            </w:r>
          </w:p>
        </w:tc>
      </w:tr>
      <w:tr w:rsidR="00235022" w:rsidRPr="00571C4B" w14:paraId="01F3F27B" w14:textId="77777777" w:rsidTr="000564FC">
        <w:tc>
          <w:tcPr>
            <w:tcW w:w="7863" w:type="dxa"/>
          </w:tcPr>
          <w:p w14:paraId="5C61C0C7" w14:textId="77777777" w:rsidR="00235022" w:rsidRPr="00571C4B" w:rsidRDefault="00235022" w:rsidP="00A960A4">
            <w:pPr>
              <w:pStyle w:val="ListParagraph"/>
              <w:numPr>
                <w:ilvl w:val="0"/>
                <w:numId w:val="5"/>
              </w:numPr>
              <w:spacing w:after="60"/>
              <w:ind w:hanging="720"/>
              <w:contextualSpacing w:val="0"/>
              <w:rPr>
                <w:rFonts w:ascii="Tahoma" w:hAnsi="Tahoma" w:cs="Tahoma"/>
                <w:b/>
              </w:rPr>
            </w:pPr>
            <w:r w:rsidRPr="00571C4B">
              <w:rPr>
                <w:rFonts w:ascii="Tahoma" w:hAnsi="Tahoma" w:cs="Tahoma"/>
                <w:b/>
              </w:rPr>
              <w:t>Blueprint Project Implementation and Infrastructure Deployment</w:t>
            </w:r>
          </w:p>
          <w:p w14:paraId="2D2D7832" w14:textId="77777777" w:rsidR="00235022" w:rsidRPr="00571C4B" w:rsidRDefault="00235022" w:rsidP="000564FC">
            <w:pPr>
              <w:spacing w:after="60"/>
              <w:rPr>
                <w:rFonts w:ascii="Tahoma" w:hAnsi="Tahoma" w:cs="Tahoma"/>
              </w:rPr>
            </w:pPr>
            <w:r w:rsidRPr="00571C4B">
              <w:rPr>
                <w:rFonts w:ascii="Tahoma" w:hAnsi="Tahoma" w:cs="Tahoma"/>
              </w:rPr>
              <w:t xml:space="preserve">Applications will be evaluated </w:t>
            </w:r>
            <w:proofErr w:type="gramStart"/>
            <w:r w:rsidRPr="00571C4B">
              <w:rPr>
                <w:rFonts w:ascii="Tahoma" w:hAnsi="Tahoma" w:cs="Tahoma"/>
              </w:rPr>
              <w:t>on</w:t>
            </w:r>
            <w:proofErr w:type="gramEnd"/>
            <w:r w:rsidRPr="00571C4B">
              <w:rPr>
                <w:rFonts w:ascii="Tahoma" w:hAnsi="Tahoma" w:cs="Tahoma"/>
              </w:rPr>
              <w:t xml:space="preserve"> the degree to which:</w:t>
            </w:r>
          </w:p>
          <w:p w14:paraId="4468F134" w14:textId="77777777" w:rsidR="00235022" w:rsidRPr="00571C4B" w:rsidRDefault="00235022" w:rsidP="00A960A4">
            <w:pPr>
              <w:pStyle w:val="ListParagraph"/>
              <w:numPr>
                <w:ilvl w:val="0"/>
                <w:numId w:val="4"/>
              </w:numPr>
              <w:spacing w:after="60"/>
              <w:contextualSpacing w:val="0"/>
              <w:rPr>
                <w:rStyle w:val="cf01"/>
                <w:rFonts w:ascii="Tahoma" w:hAnsi="Tahoma" w:cs="Tahoma"/>
                <w:b/>
                <w:sz w:val="24"/>
                <w:szCs w:val="24"/>
              </w:rPr>
            </w:pPr>
            <w:r w:rsidRPr="00571C4B">
              <w:rPr>
                <w:rStyle w:val="cf01"/>
                <w:rFonts w:ascii="Tahoma" w:hAnsi="Tahoma" w:cs="Tahoma"/>
                <w:sz w:val="24"/>
                <w:szCs w:val="24"/>
              </w:rPr>
              <w:t xml:space="preserve">The Project Narrative clearly and thoroughly identifies the specific section(s) of the CEC-approved Final Blueprint that will be implemented with infrastructure to support MDHD ZEVs, off-road equipment or specialty vehicles. Note: The Evaluation Committee may </w:t>
            </w:r>
            <w:proofErr w:type="gramStart"/>
            <w:r w:rsidRPr="00571C4B">
              <w:rPr>
                <w:rStyle w:val="cf01"/>
                <w:rFonts w:ascii="Tahoma" w:hAnsi="Tahoma" w:cs="Tahoma"/>
                <w:sz w:val="24"/>
                <w:szCs w:val="24"/>
              </w:rPr>
              <w:t>refer back</w:t>
            </w:r>
            <w:proofErr w:type="gramEnd"/>
            <w:r w:rsidRPr="00571C4B">
              <w:rPr>
                <w:rStyle w:val="cf01"/>
                <w:rFonts w:ascii="Tahoma" w:hAnsi="Tahoma" w:cs="Tahoma"/>
                <w:sz w:val="24"/>
                <w:szCs w:val="24"/>
              </w:rPr>
              <w:t xml:space="preserve"> to the CEC-approved Final Blueprint to confirm alignment.</w:t>
            </w:r>
            <w:r w:rsidRPr="00571C4B">
              <w:rPr>
                <w:rStyle w:val="cf01"/>
                <w:b/>
                <w:bCs/>
                <w:sz w:val="24"/>
                <w:szCs w:val="24"/>
              </w:rPr>
              <w:t xml:space="preserve"> </w:t>
            </w:r>
          </w:p>
          <w:p w14:paraId="08FA25F8" w14:textId="77777777" w:rsidR="00235022" w:rsidRPr="00571C4B" w:rsidRDefault="00235022" w:rsidP="00A960A4">
            <w:pPr>
              <w:pStyle w:val="ListParagraph"/>
              <w:numPr>
                <w:ilvl w:val="0"/>
                <w:numId w:val="4"/>
              </w:numPr>
              <w:spacing w:after="60"/>
              <w:contextualSpacing w:val="0"/>
              <w:rPr>
                <w:rStyle w:val="cf01"/>
                <w:rFonts w:ascii="Tahoma" w:hAnsi="Tahoma" w:cs="Tahoma"/>
                <w:b/>
                <w:sz w:val="24"/>
                <w:szCs w:val="24"/>
              </w:rPr>
            </w:pPr>
            <w:r w:rsidRPr="00571C4B">
              <w:rPr>
                <w:rStyle w:val="cf01"/>
                <w:rFonts w:ascii="Tahoma" w:hAnsi="Tahoma" w:cs="Tahoma"/>
                <w:sz w:val="24"/>
                <w:szCs w:val="24"/>
              </w:rPr>
              <w:lastRenderedPageBreak/>
              <w:t>The Project Narrative demonstrates strong alignment between the proposed project and the recommendations in the Final Blueprint.</w:t>
            </w:r>
          </w:p>
          <w:p w14:paraId="7F8F58E8" w14:textId="77777777" w:rsidR="00235022" w:rsidRPr="00571C4B" w:rsidRDefault="00235022" w:rsidP="00A960A4">
            <w:pPr>
              <w:pStyle w:val="ListParagraph"/>
              <w:numPr>
                <w:ilvl w:val="0"/>
                <w:numId w:val="4"/>
              </w:numPr>
              <w:spacing w:after="60"/>
              <w:contextualSpacing w:val="0"/>
              <w:rPr>
                <w:rStyle w:val="cf01"/>
                <w:rFonts w:ascii="Tahoma" w:hAnsi="Tahoma" w:cs="Tahoma"/>
                <w:b/>
                <w:sz w:val="24"/>
                <w:szCs w:val="24"/>
              </w:rPr>
            </w:pPr>
            <w:r w:rsidRPr="00571C4B">
              <w:rPr>
                <w:rStyle w:val="cf01"/>
                <w:rFonts w:ascii="Tahoma" w:hAnsi="Tahoma" w:cs="Tahoma"/>
                <w:sz w:val="24"/>
                <w:szCs w:val="24"/>
              </w:rPr>
              <w:t>The level of detail provided supports feasibility, showing a clear pathway from planning to execution.</w:t>
            </w:r>
          </w:p>
          <w:p w14:paraId="3952B6DD" w14:textId="77777777" w:rsidR="00235022" w:rsidRPr="00571C4B" w:rsidRDefault="00235022" w:rsidP="00A960A4">
            <w:pPr>
              <w:pStyle w:val="ListParagraph"/>
              <w:numPr>
                <w:ilvl w:val="0"/>
                <w:numId w:val="4"/>
              </w:numPr>
              <w:spacing w:after="60"/>
              <w:contextualSpacing w:val="0"/>
              <w:rPr>
                <w:rStyle w:val="cf01"/>
                <w:rFonts w:ascii="Tahoma" w:hAnsi="Tahoma" w:cs="Tahoma"/>
                <w:b/>
                <w:sz w:val="24"/>
                <w:szCs w:val="24"/>
              </w:rPr>
            </w:pPr>
            <w:r w:rsidRPr="00571C4B">
              <w:rPr>
                <w:rStyle w:val="cf01"/>
                <w:rFonts w:ascii="Tahoma" w:hAnsi="Tahoma" w:cs="Tahoma"/>
                <w:sz w:val="24"/>
                <w:szCs w:val="24"/>
              </w:rPr>
              <w:t>Equipment and infrastructure to be deployed at the proposed site align with what was identified in the Final Blueprint in terms of type, scale, and location.</w:t>
            </w:r>
          </w:p>
          <w:p w14:paraId="353E1C6B" w14:textId="77777777" w:rsidR="00235022" w:rsidRPr="00571C4B" w:rsidRDefault="00235022" w:rsidP="00A960A4">
            <w:pPr>
              <w:pStyle w:val="ListParagraph"/>
              <w:numPr>
                <w:ilvl w:val="0"/>
                <w:numId w:val="4"/>
              </w:numPr>
              <w:spacing w:after="60"/>
              <w:contextualSpacing w:val="0"/>
              <w:rPr>
                <w:rStyle w:val="cf01"/>
                <w:rFonts w:ascii="Tahoma" w:hAnsi="Tahoma" w:cs="Tahoma"/>
                <w:bCs/>
                <w:sz w:val="24"/>
                <w:szCs w:val="24"/>
              </w:rPr>
            </w:pPr>
            <w:r w:rsidRPr="00571C4B">
              <w:rPr>
                <w:rStyle w:val="cf01"/>
                <w:rFonts w:ascii="Tahoma" w:hAnsi="Tahoma" w:cs="Tahoma"/>
                <w:bCs/>
                <w:sz w:val="24"/>
                <w:szCs w:val="24"/>
              </w:rPr>
              <w:t>Site information aligns with the approved Final Blueprint.</w:t>
            </w:r>
          </w:p>
          <w:p w14:paraId="2AD5106F" w14:textId="77777777" w:rsidR="00235022" w:rsidRPr="00571C4B" w:rsidRDefault="00235022" w:rsidP="00A960A4">
            <w:pPr>
              <w:pStyle w:val="ListParagraph"/>
              <w:numPr>
                <w:ilvl w:val="1"/>
                <w:numId w:val="4"/>
              </w:numPr>
              <w:spacing w:after="60"/>
              <w:ind w:hanging="747"/>
              <w:contextualSpacing w:val="0"/>
              <w:rPr>
                <w:rStyle w:val="cf01"/>
                <w:rFonts w:ascii="Tahoma" w:hAnsi="Tahoma" w:cs="Tahoma"/>
                <w:bCs/>
                <w:sz w:val="24"/>
                <w:szCs w:val="24"/>
              </w:rPr>
            </w:pPr>
            <w:r w:rsidRPr="00571C4B">
              <w:rPr>
                <w:rStyle w:val="cf01"/>
                <w:rFonts w:ascii="Tahoma" w:hAnsi="Tahoma" w:cs="Tahoma"/>
                <w:bCs/>
                <w:sz w:val="24"/>
                <w:szCs w:val="24"/>
              </w:rPr>
              <w:t xml:space="preserve">If the proposed site for the proposed project is not included in the approved Final Blueprint, the new site location and justification for the proposed change are clearly described and identified in the Project Narrative and Attachment 15, Justification for Site Not Included in the Final Blueprint, has been completed and submitted. </w:t>
            </w:r>
          </w:p>
          <w:p w14:paraId="4AE44AD0" w14:textId="77777777" w:rsidR="00235022" w:rsidRPr="00571C4B" w:rsidRDefault="00235022" w:rsidP="00A960A4">
            <w:pPr>
              <w:pStyle w:val="ListParagraph"/>
              <w:numPr>
                <w:ilvl w:val="1"/>
                <w:numId w:val="4"/>
              </w:numPr>
              <w:spacing w:after="60"/>
              <w:ind w:hanging="747"/>
              <w:contextualSpacing w:val="0"/>
              <w:rPr>
                <w:rStyle w:val="cf01"/>
                <w:rFonts w:ascii="Tahoma" w:hAnsi="Tahoma" w:cs="Tahoma"/>
                <w:bCs/>
                <w:sz w:val="24"/>
                <w:szCs w:val="24"/>
              </w:rPr>
            </w:pPr>
            <w:r w:rsidRPr="00571C4B">
              <w:rPr>
                <w:rStyle w:val="cf01"/>
                <w:rFonts w:ascii="Tahoma" w:hAnsi="Tahoma" w:cs="Tahoma"/>
                <w:bCs/>
                <w:sz w:val="24"/>
                <w:szCs w:val="24"/>
              </w:rPr>
              <w:t>The justification for the site change clearly demonstrates how the site change conforms to the Final Blueprint recommendations.</w:t>
            </w:r>
          </w:p>
          <w:p w14:paraId="3316FB42" w14:textId="77777777" w:rsidR="00235022" w:rsidRPr="00571C4B" w:rsidRDefault="00235022" w:rsidP="00A960A4">
            <w:pPr>
              <w:pStyle w:val="ListParagraph"/>
              <w:numPr>
                <w:ilvl w:val="0"/>
                <w:numId w:val="4"/>
              </w:numPr>
              <w:spacing w:after="60"/>
              <w:contextualSpacing w:val="0"/>
              <w:rPr>
                <w:rFonts w:ascii="Tahoma" w:hAnsi="Tahoma" w:cs="Tahoma"/>
                <w:b/>
              </w:rPr>
            </w:pPr>
            <w:r w:rsidRPr="00571C4B">
              <w:rPr>
                <w:rFonts w:ascii="Tahoma" w:hAnsi="Tahoma" w:cs="Tahoma"/>
              </w:rPr>
              <w:t xml:space="preserve">If the Applicant received funding under GFO-23-603: </w:t>
            </w:r>
          </w:p>
          <w:p w14:paraId="13B1E9D2" w14:textId="77777777" w:rsidR="00235022" w:rsidRPr="00571C4B" w:rsidRDefault="00235022" w:rsidP="00A960A4">
            <w:pPr>
              <w:pStyle w:val="ListParagraph"/>
              <w:numPr>
                <w:ilvl w:val="0"/>
                <w:numId w:val="6"/>
              </w:numPr>
              <w:spacing w:after="60"/>
              <w:ind w:hanging="747"/>
              <w:contextualSpacing w:val="0"/>
              <w:rPr>
                <w:rFonts w:ascii="Tahoma" w:hAnsi="Tahoma" w:cs="Tahoma"/>
                <w:b/>
              </w:rPr>
            </w:pPr>
            <w:r w:rsidRPr="00571C4B">
              <w:rPr>
                <w:rFonts w:ascii="Tahoma" w:hAnsi="Tahoma" w:cs="Tahoma"/>
                <w:bCs/>
              </w:rPr>
              <w:t>The proposed project pertains to a different site from the site funded under GFO-23-603.</w:t>
            </w:r>
          </w:p>
          <w:p w14:paraId="2B63E4C6" w14:textId="77777777" w:rsidR="00235022" w:rsidRPr="00571C4B" w:rsidRDefault="00235022" w:rsidP="00A960A4">
            <w:pPr>
              <w:pStyle w:val="ListParagraph"/>
              <w:numPr>
                <w:ilvl w:val="0"/>
                <w:numId w:val="6"/>
              </w:numPr>
              <w:spacing w:after="60"/>
              <w:ind w:hanging="747"/>
              <w:contextualSpacing w:val="0"/>
              <w:rPr>
                <w:rFonts w:ascii="Tahoma" w:hAnsi="Tahoma" w:cs="Tahoma"/>
                <w:b/>
              </w:rPr>
            </w:pPr>
            <w:r w:rsidRPr="00571C4B">
              <w:rPr>
                <w:rFonts w:ascii="Tahoma" w:hAnsi="Tahoma" w:cs="Tahoma"/>
                <w:bCs/>
              </w:rPr>
              <w:t>The new infrastructure supports a different fleet than the previous award.</w:t>
            </w:r>
          </w:p>
          <w:p w14:paraId="324C3E59" w14:textId="77777777" w:rsidR="00235022" w:rsidRPr="00571C4B" w:rsidRDefault="00235022" w:rsidP="00A960A4">
            <w:pPr>
              <w:pStyle w:val="ListParagraph"/>
              <w:numPr>
                <w:ilvl w:val="0"/>
                <w:numId w:val="6"/>
              </w:numPr>
              <w:spacing w:after="60"/>
              <w:ind w:hanging="747"/>
              <w:contextualSpacing w:val="0"/>
              <w:rPr>
                <w:rFonts w:ascii="Tahoma" w:hAnsi="Tahoma" w:cs="Tahoma"/>
                <w:b/>
              </w:rPr>
            </w:pPr>
            <w:r w:rsidRPr="00571C4B">
              <w:rPr>
                <w:rFonts w:ascii="Tahoma" w:hAnsi="Tahoma" w:cs="Tahoma"/>
                <w:bCs/>
              </w:rPr>
              <w:t xml:space="preserve">The proposal clearly demonstrates how the proposed project is distinct from the prior award under GFO-23-603 and contributes to advancing California’s decarbonization goals. </w:t>
            </w:r>
          </w:p>
          <w:p w14:paraId="32009B93" w14:textId="7F285E37" w:rsidR="00235022" w:rsidRPr="00571C4B" w:rsidRDefault="00110B2A" w:rsidP="00A960A4">
            <w:pPr>
              <w:pStyle w:val="ListParagraph"/>
              <w:numPr>
                <w:ilvl w:val="0"/>
                <w:numId w:val="11"/>
              </w:numPr>
              <w:spacing w:after="60"/>
              <w:rPr>
                <w:rFonts w:ascii="Tahoma" w:hAnsi="Tahoma" w:cs="Tahoma"/>
                <w:b/>
              </w:rPr>
            </w:pPr>
            <w:r w:rsidRPr="00571C4B">
              <w:rPr>
                <w:rFonts w:ascii="Tahoma" w:eastAsia="Times New Roman" w:hAnsi="Tahoma" w:cs="Tahoma"/>
                <w:b/>
                <w:bCs/>
                <w:u w:val="single"/>
              </w:rPr>
              <w:t>The proposed infrastructure is accessible to the public.</w:t>
            </w:r>
          </w:p>
        </w:tc>
        <w:tc>
          <w:tcPr>
            <w:tcW w:w="1487" w:type="dxa"/>
          </w:tcPr>
          <w:p w14:paraId="5C5D1591" w14:textId="77777777" w:rsidR="00235022" w:rsidRPr="00571C4B" w:rsidRDefault="00235022" w:rsidP="000564FC">
            <w:pPr>
              <w:jc w:val="center"/>
              <w:rPr>
                <w:rFonts w:ascii="Tahoma" w:hAnsi="Tahoma" w:cs="Tahoma"/>
              </w:rPr>
            </w:pPr>
          </w:p>
          <w:p w14:paraId="7A113A3B" w14:textId="21A4C0C7" w:rsidR="00235022" w:rsidRPr="00571C4B" w:rsidRDefault="00235022" w:rsidP="000564FC">
            <w:pPr>
              <w:jc w:val="center"/>
              <w:rPr>
                <w:rFonts w:ascii="Tahoma" w:hAnsi="Tahoma" w:cs="Tahoma"/>
              </w:rPr>
            </w:pPr>
            <w:r w:rsidRPr="00571C4B">
              <w:rPr>
                <w:rFonts w:ascii="Tahoma" w:hAnsi="Tahoma" w:cs="Tahoma"/>
              </w:rPr>
              <w:t>20</w:t>
            </w:r>
          </w:p>
        </w:tc>
      </w:tr>
      <w:tr w:rsidR="00235022" w:rsidRPr="00571C4B" w14:paraId="5C05F759" w14:textId="77777777" w:rsidTr="000564FC">
        <w:tc>
          <w:tcPr>
            <w:tcW w:w="7863" w:type="dxa"/>
          </w:tcPr>
          <w:p w14:paraId="06AA14B4" w14:textId="77777777" w:rsidR="00235022" w:rsidRPr="00571C4B" w:rsidRDefault="00235022" w:rsidP="00A960A4">
            <w:pPr>
              <w:pStyle w:val="ListParagraph"/>
              <w:numPr>
                <w:ilvl w:val="0"/>
                <w:numId w:val="5"/>
              </w:numPr>
              <w:spacing w:after="60"/>
              <w:ind w:hanging="750"/>
              <w:contextualSpacing w:val="0"/>
              <w:rPr>
                <w:rFonts w:ascii="Tahoma" w:hAnsi="Tahoma" w:cs="Tahoma"/>
                <w:b/>
              </w:rPr>
            </w:pPr>
            <w:r w:rsidRPr="00571C4B">
              <w:rPr>
                <w:rFonts w:ascii="Tahoma" w:hAnsi="Tahoma" w:cs="Tahoma"/>
                <w:b/>
              </w:rPr>
              <w:t>Project Budget</w:t>
            </w:r>
          </w:p>
          <w:p w14:paraId="45E903D3" w14:textId="77777777" w:rsidR="00235022" w:rsidRPr="00571C4B" w:rsidRDefault="00235022" w:rsidP="000564FC">
            <w:pPr>
              <w:spacing w:after="60"/>
              <w:rPr>
                <w:rFonts w:ascii="Tahoma" w:hAnsi="Tahoma" w:cs="Tahoma"/>
              </w:rPr>
            </w:pPr>
            <w:r w:rsidRPr="00571C4B">
              <w:rPr>
                <w:rFonts w:ascii="Tahoma" w:hAnsi="Tahoma" w:cs="Tahoma"/>
              </w:rPr>
              <w:t xml:space="preserve">Applications will be evaluated </w:t>
            </w:r>
            <w:proofErr w:type="gramStart"/>
            <w:r w:rsidRPr="00571C4B">
              <w:rPr>
                <w:rFonts w:ascii="Tahoma" w:hAnsi="Tahoma" w:cs="Tahoma"/>
              </w:rPr>
              <w:t>on</w:t>
            </w:r>
            <w:proofErr w:type="gramEnd"/>
            <w:r w:rsidRPr="00571C4B">
              <w:rPr>
                <w:rFonts w:ascii="Tahoma" w:hAnsi="Tahoma" w:cs="Tahoma"/>
              </w:rPr>
              <w:t xml:space="preserve"> the degree to which:</w:t>
            </w:r>
          </w:p>
          <w:p w14:paraId="17449C99" w14:textId="77777777" w:rsidR="00235022" w:rsidRPr="00571C4B" w:rsidRDefault="00235022" w:rsidP="00A960A4">
            <w:pPr>
              <w:numPr>
                <w:ilvl w:val="0"/>
                <w:numId w:val="2"/>
              </w:numPr>
              <w:contextualSpacing/>
              <w:rPr>
                <w:rFonts w:ascii="Tahoma" w:hAnsi="Tahoma" w:cs="Tahoma"/>
              </w:rPr>
            </w:pPr>
            <w:r w:rsidRPr="00571C4B">
              <w:rPr>
                <w:rFonts w:ascii="Tahoma" w:hAnsi="Tahoma" w:cs="Tahoma"/>
              </w:rPr>
              <w:t>The proposed budget maximizes the quantity of proposed charging ports / refueling positions.</w:t>
            </w:r>
          </w:p>
          <w:p w14:paraId="3E3853CD" w14:textId="77777777" w:rsidR="00235022" w:rsidRPr="00571C4B" w:rsidRDefault="00235022" w:rsidP="00A960A4">
            <w:pPr>
              <w:pStyle w:val="ListParagraph"/>
              <w:numPr>
                <w:ilvl w:val="0"/>
                <w:numId w:val="2"/>
              </w:numPr>
              <w:spacing w:after="120"/>
              <w:contextualSpacing w:val="0"/>
              <w:rPr>
                <w:rFonts w:ascii="Tahoma" w:hAnsi="Tahoma" w:cs="Tahoma"/>
              </w:rPr>
            </w:pPr>
            <w:r w:rsidRPr="00571C4B">
              <w:rPr>
                <w:rFonts w:ascii="Tahoma" w:hAnsi="Tahoma" w:cs="Tahoma"/>
              </w:rPr>
              <w:t xml:space="preserve">The proposed budget maximizes aggregate new charging capacity (kW) / refueling capacity (kg) across all charging ports / refueling positions. </w:t>
            </w:r>
          </w:p>
          <w:p w14:paraId="11F3BE7C" w14:textId="24C3709D" w:rsidR="00235022" w:rsidRPr="00571C4B" w:rsidRDefault="00235022" w:rsidP="00A960A4">
            <w:pPr>
              <w:pStyle w:val="ListParagraph"/>
              <w:numPr>
                <w:ilvl w:val="0"/>
                <w:numId w:val="2"/>
              </w:numPr>
              <w:spacing w:after="120"/>
              <w:contextualSpacing w:val="0"/>
              <w:rPr>
                <w:rFonts w:ascii="Tahoma" w:hAnsi="Tahoma" w:cs="Tahoma"/>
              </w:rPr>
            </w:pPr>
            <w:r w:rsidRPr="00571C4B">
              <w:rPr>
                <w:rFonts w:ascii="Tahoma" w:hAnsi="Tahoma" w:cs="Tahoma"/>
              </w:rPr>
              <w:t>The proposed budget minimizes (1) the cost per port / refueling position and (2) cost per kW / kg requested in CEC funding.</w:t>
            </w:r>
          </w:p>
          <w:p w14:paraId="4EDF5ACF" w14:textId="77777777" w:rsidR="00235022" w:rsidRPr="00571C4B" w:rsidRDefault="00235022" w:rsidP="00A960A4">
            <w:pPr>
              <w:numPr>
                <w:ilvl w:val="0"/>
                <w:numId w:val="2"/>
              </w:numPr>
              <w:spacing w:after="60"/>
              <w:rPr>
                <w:rFonts w:ascii="Tahoma" w:hAnsi="Tahoma" w:cs="Tahoma"/>
              </w:rPr>
            </w:pPr>
            <w:r w:rsidRPr="00571C4B">
              <w:rPr>
                <w:rFonts w:ascii="Tahoma" w:hAnsi="Tahoma" w:cs="Tahoma"/>
              </w:rPr>
              <w:t>The proposed budget demonstrates cost-effectiveness.</w:t>
            </w:r>
          </w:p>
          <w:p w14:paraId="69ABA724" w14:textId="77777777" w:rsidR="00235022" w:rsidRPr="00571C4B" w:rsidRDefault="00235022" w:rsidP="00A960A4">
            <w:pPr>
              <w:numPr>
                <w:ilvl w:val="0"/>
                <w:numId w:val="2"/>
              </w:numPr>
              <w:spacing w:after="60"/>
              <w:rPr>
                <w:rFonts w:ascii="Tahoma" w:hAnsi="Tahoma" w:cs="Tahoma"/>
              </w:rPr>
            </w:pPr>
            <w:r w:rsidRPr="00571C4B">
              <w:rPr>
                <w:rFonts w:ascii="Tahoma" w:hAnsi="Tahoma" w:cs="Tahoma"/>
              </w:rPr>
              <w:t xml:space="preserve">The proposed project minimizes administrative and overhead expenses. </w:t>
            </w:r>
          </w:p>
          <w:p w14:paraId="7937F826" w14:textId="46A6B1A0" w:rsidR="00235022" w:rsidRPr="00571C4B" w:rsidRDefault="00235022" w:rsidP="00A960A4">
            <w:pPr>
              <w:numPr>
                <w:ilvl w:val="0"/>
                <w:numId w:val="2"/>
              </w:numPr>
              <w:spacing w:after="60"/>
              <w:rPr>
                <w:rFonts w:ascii="Tahoma" w:hAnsi="Tahoma" w:cs="Tahoma"/>
              </w:rPr>
            </w:pPr>
            <w:r w:rsidRPr="00571C4B">
              <w:rPr>
                <w:rFonts w:ascii="Tahoma" w:hAnsi="Tahoma" w:cs="Tahoma"/>
              </w:rPr>
              <w:lastRenderedPageBreak/>
              <w:t>The application provides a clear and well-supported cost rationale for the requested CEC funds, including cost per charging port / refueling position and cost per kW / kg.</w:t>
            </w:r>
          </w:p>
          <w:p w14:paraId="7337D578" w14:textId="77777777" w:rsidR="00235022" w:rsidRPr="00571C4B" w:rsidRDefault="00235022" w:rsidP="00A960A4">
            <w:pPr>
              <w:numPr>
                <w:ilvl w:val="0"/>
                <w:numId w:val="2"/>
              </w:numPr>
              <w:spacing w:line="259" w:lineRule="auto"/>
              <w:rPr>
                <w:rFonts w:ascii="Tahoma" w:hAnsi="Tahoma" w:cs="Tahoma"/>
              </w:rPr>
            </w:pPr>
            <w:r w:rsidRPr="00571C4B">
              <w:rPr>
                <w:rFonts w:ascii="Tahoma" w:hAnsi="Tahoma" w:cs="Tahoma"/>
              </w:rPr>
              <w:t>The proposed match funding commitments are documented and verifiable.</w:t>
            </w:r>
          </w:p>
          <w:p w14:paraId="40054C9D" w14:textId="7B79B265" w:rsidR="00235022" w:rsidRPr="00571C4B" w:rsidRDefault="00235022" w:rsidP="00A960A4">
            <w:pPr>
              <w:numPr>
                <w:ilvl w:val="0"/>
                <w:numId w:val="2"/>
              </w:numPr>
              <w:spacing w:line="259" w:lineRule="auto"/>
              <w:rPr>
                <w:rFonts w:ascii="Tahoma" w:hAnsi="Tahoma" w:cs="Tahoma"/>
              </w:rPr>
            </w:pPr>
            <w:r w:rsidRPr="00571C4B">
              <w:rPr>
                <w:rFonts w:ascii="Tahoma" w:hAnsi="Tahoma" w:cs="Tahoma"/>
              </w:rPr>
              <w:t>The application demonstrates the need for state funding for the proposed project.</w:t>
            </w:r>
            <w:r w:rsidR="00110B2A" w:rsidRPr="00571C4B">
              <w:rPr>
                <w:rFonts w:ascii="Tahoma" w:hAnsi="Tahoma" w:cs="Tahoma"/>
              </w:rPr>
              <w:br/>
            </w:r>
          </w:p>
          <w:p w14:paraId="6B500963" w14:textId="77777777" w:rsidR="00235022" w:rsidRPr="00571C4B" w:rsidRDefault="00235022" w:rsidP="000564FC">
            <w:pPr>
              <w:spacing w:after="60"/>
              <w:rPr>
                <w:rFonts w:ascii="Tahoma" w:hAnsi="Tahoma" w:cs="Tahoma"/>
                <w:b/>
                <w:bCs/>
              </w:rPr>
            </w:pPr>
            <w:r w:rsidRPr="00571C4B">
              <w:rPr>
                <w:rFonts w:ascii="Tahoma" w:hAnsi="Tahoma" w:cs="Tahoma"/>
                <w:b/>
              </w:rPr>
              <w:t xml:space="preserve">NOTE: Project Budget must obtain a minimum passing score of 21 points (70% percent) within this evaluation </w:t>
            </w:r>
            <w:proofErr w:type="gramStart"/>
            <w:r w:rsidRPr="00571C4B">
              <w:rPr>
                <w:rFonts w:ascii="Tahoma" w:hAnsi="Tahoma" w:cs="Tahoma"/>
                <w:b/>
              </w:rPr>
              <w:t>criterion</w:t>
            </w:r>
            <w:proofErr w:type="gramEnd"/>
            <w:r w:rsidRPr="00571C4B">
              <w:rPr>
                <w:rFonts w:ascii="Tahoma" w:hAnsi="Tahoma" w:cs="Tahoma"/>
                <w:b/>
              </w:rPr>
              <w:t xml:space="preserve"> to be eligible for funding.</w:t>
            </w:r>
          </w:p>
        </w:tc>
        <w:tc>
          <w:tcPr>
            <w:tcW w:w="1487" w:type="dxa"/>
          </w:tcPr>
          <w:p w14:paraId="78850356" w14:textId="77777777" w:rsidR="00235022" w:rsidRPr="00571C4B" w:rsidRDefault="00235022" w:rsidP="000564FC">
            <w:pPr>
              <w:jc w:val="center"/>
              <w:rPr>
                <w:rFonts w:ascii="Tahoma" w:hAnsi="Tahoma" w:cs="Tahoma"/>
              </w:rPr>
            </w:pPr>
          </w:p>
          <w:p w14:paraId="21DDFB7F" w14:textId="445CF950" w:rsidR="00235022" w:rsidRPr="00571C4B" w:rsidRDefault="00235022" w:rsidP="000564FC">
            <w:pPr>
              <w:jc w:val="center"/>
              <w:rPr>
                <w:rFonts w:ascii="Tahoma" w:hAnsi="Tahoma" w:cs="Tahoma"/>
              </w:rPr>
            </w:pPr>
            <w:r w:rsidRPr="00571C4B">
              <w:rPr>
                <w:rFonts w:ascii="Tahoma" w:hAnsi="Tahoma" w:cs="Tahoma"/>
              </w:rPr>
              <w:t>30</w:t>
            </w:r>
          </w:p>
        </w:tc>
      </w:tr>
      <w:tr w:rsidR="00235022" w:rsidRPr="00571C4B" w14:paraId="58DC8FA7" w14:textId="77777777" w:rsidTr="000564FC">
        <w:tc>
          <w:tcPr>
            <w:tcW w:w="7863" w:type="dxa"/>
          </w:tcPr>
          <w:p w14:paraId="6BEF04B8" w14:textId="77777777" w:rsidR="00235022" w:rsidRPr="00571C4B" w:rsidRDefault="00235022" w:rsidP="00A960A4">
            <w:pPr>
              <w:pStyle w:val="ListParagraph"/>
              <w:numPr>
                <w:ilvl w:val="0"/>
                <w:numId w:val="5"/>
              </w:numPr>
              <w:spacing w:after="60"/>
              <w:ind w:hanging="750"/>
              <w:contextualSpacing w:val="0"/>
              <w:rPr>
                <w:rFonts w:ascii="Tahoma" w:hAnsi="Tahoma" w:cs="Tahoma"/>
                <w:b/>
              </w:rPr>
            </w:pPr>
            <w:r w:rsidRPr="00571C4B">
              <w:rPr>
                <w:rFonts w:ascii="Tahoma" w:hAnsi="Tahoma" w:cs="Tahoma"/>
                <w:b/>
              </w:rPr>
              <w:t>Environmental and Economic Benefits</w:t>
            </w:r>
          </w:p>
          <w:p w14:paraId="4B94FC8E" w14:textId="77777777" w:rsidR="00235022" w:rsidRPr="00571C4B" w:rsidRDefault="00235022" w:rsidP="000564FC">
            <w:pPr>
              <w:spacing w:after="60"/>
              <w:rPr>
                <w:rFonts w:ascii="Tahoma" w:hAnsi="Tahoma" w:cs="Tahoma"/>
              </w:rPr>
            </w:pPr>
            <w:r w:rsidRPr="00571C4B">
              <w:rPr>
                <w:rFonts w:ascii="Tahoma" w:hAnsi="Tahoma" w:cs="Tahoma"/>
              </w:rPr>
              <w:t xml:space="preserve">Applications will be evaluated </w:t>
            </w:r>
            <w:proofErr w:type="gramStart"/>
            <w:r w:rsidRPr="00571C4B">
              <w:rPr>
                <w:rFonts w:ascii="Tahoma" w:hAnsi="Tahoma" w:cs="Tahoma"/>
              </w:rPr>
              <w:t>on</w:t>
            </w:r>
            <w:proofErr w:type="gramEnd"/>
            <w:r w:rsidRPr="00571C4B">
              <w:rPr>
                <w:rFonts w:ascii="Tahoma" w:hAnsi="Tahoma" w:cs="Tahoma"/>
              </w:rPr>
              <w:t xml:space="preserve"> the degree to which:</w:t>
            </w:r>
          </w:p>
          <w:p w14:paraId="2DA9BB37" w14:textId="77777777" w:rsidR="00235022" w:rsidRPr="00571C4B" w:rsidRDefault="00235022" w:rsidP="00A960A4">
            <w:pPr>
              <w:numPr>
                <w:ilvl w:val="0"/>
                <w:numId w:val="2"/>
              </w:numPr>
              <w:spacing w:after="60"/>
              <w:rPr>
                <w:rFonts w:ascii="Tahoma" w:hAnsi="Tahoma" w:cs="Tahoma"/>
              </w:rPr>
            </w:pPr>
            <w:r w:rsidRPr="00571C4B">
              <w:rPr>
                <w:rFonts w:ascii="Tahoma" w:hAnsi="Tahoma" w:cs="Tahoma"/>
              </w:rPr>
              <w:t xml:space="preserve">The proposed project provides air quality benefits, as well as health and safety, access, education, financial benefits, economic development, and consumer protection to California’s priority populations or adjacent communities. (NOTE: 50% of allocated funds shall directly benefit or serve residents of low-income communities and disadvantaged communities as defined by </w:t>
            </w:r>
            <w:proofErr w:type="spellStart"/>
            <w:r w:rsidRPr="00571C4B">
              <w:rPr>
                <w:rFonts w:ascii="Tahoma" w:hAnsi="Tahoma" w:cs="Tahoma"/>
              </w:rPr>
              <w:t>CalEnviroScreen</w:t>
            </w:r>
            <w:proofErr w:type="spellEnd"/>
            <w:r w:rsidRPr="00571C4B">
              <w:rPr>
                <w:rFonts w:ascii="Tahoma" w:hAnsi="Tahoma" w:cs="Tahoma"/>
              </w:rPr>
              <w:t>.)</w:t>
            </w:r>
          </w:p>
          <w:p w14:paraId="637FE879" w14:textId="77777777" w:rsidR="00235022" w:rsidRPr="00571C4B" w:rsidRDefault="00235022" w:rsidP="00A960A4">
            <w:pPr>
              <w:numPr>
                <w:ilvl w:val="0"/>
                <w:numId w:val="2"/>
              </w:numPr>
              <w:spacing w:after="60"/>
              <w:rPr>
                <w:rFonts w:ascii="Tahoma" w:hAnsi="Tahoma" w:cs="Tahoma"/>
              </w:rPr>
            </w:pPr>
            <w:r w:rsidRPr="00571C4B">
              <w:rPr>
                <w:rFonts w:ascii="Tahoma" w:hAnsi="Tahoma" w:cs="Tahoma"/>
              </w:rPr>
              <w:t xml:space="preserve">The proposed project reduces carbon intensity relative to the relevant fossil fuel baseline as measured in gCO2e/MJ. </w:t>
            </w:r>
          </w:p>
          <w:p w14:paraId="3D064C57" w14:textId="77777777" w:rsidR="00235022" w:rsidRPr="00571C4B" w:rsidRDefault="00235022" w:rsidP="00A960A4">
            <w:pPr>
              <w:numPr>
                <w:ilvl w:val="0"/>
                <w:numId w:val="2"/>
              </w:numPr>
              <w:spacing w:after="120"/>
              <w:rPr>
                <w:rFonts w:ascii="Tahoma" w:hAnsi="Tahoma" w:cs="Tahoma"/>
              </w:rPr>
            </w:pPr>
            <w:r w:rsidRPr="00571C4B">
              <w:rPr>
                <w:rFonts w:ascii="Tahoma" w:hAnsi="Tahoma" w:cs="Tahoma"/>
              </w:rPr>
              <w:t>The proposed project cost effectively reduces GHG emissions.</w:t>
            </w:r>
          </w:p>
          <w:p w14:paraId="35AB6C0A" w14:textId="77777777" w:rsidR="00235022" w:rsidRPr="00571C4B" w:rsidRDefault="00235022" w:rsidP="00A960A4">
            <w:pPr>
              <w:pStyle w:val="ListParagraph"/>
              <w:numPr>
                <w:ilvl w:val="0"/>
                <w:numId w:val="2"/>
              </w:numPr>
              <w:spacing w:after="120"/>
              <w:contextualSpacing w:val="0"/>
              <w:rPr>
                <w:rFonts w:ascii="Tahoma" w:hAnsi="Tahoma" w:cs="Tahoma"/>
              </w:rPr>
            </w:pPr>
            <w:r w:rsidRPr="00571C4B">
              <w:rPr>
                <w:rFonts w:ascii="Tahoma" w:hAnsi="Tahoma" w:cs="Tahoma"/>
              </w:rPr>
              <w:t xml:space="preserve">There is a clear and well-substantiated description of expected infrastructure utilization, including projected usage levels and supporting data or rationale.  </w:t>
            </w:r>
          </w:p>
          <w:p w14:paraId="0C5C8B96" w14:textId="77777777" w:rsidR="00235022" w:rsidRPr="00571C4B" w:rsidRDefault="00235022" w:rsidP="00A960A4">
            <w:pPr>
              <w:pStyle w:val="ListParagraph"/>
              <w:numPr>
                <w:ilvl w:val="0"/>
                <w:numId w:val="2"/>
              </w:numPr>
              <w:spacing w:after="120"/>
              <w:contextualSpacing w:val="0"/>
              <w:rPr>
                <w:rFonts w:ascii="Tahoma" w:hAnsi="Tahoma" w:cs="Tahoma"/>
              </w:rPr>
            </w:pPr>
            <w:r w:rsidRPr="00571C4B">
              <w:rPr>
                <w:rFonts w:ascii="Tahoma" w:hAnsi="Tahoma" w:cs="Tahoma"/>
              </w:rPr>
              <w:t>The proposed project demonstrates realistic and credible year-over-year growth in utilization, where applicable, with a clear explanation of the factors driving increased demand over time.</w:t>
            </w:r>
          </w:p>
          <w:p w14:paraId="5563A5B3" w14:textId="03D5227C" w:rsidR="00235022" w:rsidRPr="00571C4B" w:rsidRDefault="00235022" w:rsidP="00A960A4">
            <w:pPr>
              <w:pStyle w:val="ListParagraph"/>
              <w:numPr>
                <w:ilvl w:val="0"/>
                <w:numId w:val="2"/>
              </w:numPr>
              <w:spacing w:after="120"/>
              <w:contextualSpacing w:val="0"/>
              <w:rPr>
                <w:rFonts w:ascii="Tahoma" w:hAnsi="Tahoma" w:cs="Tahoma"/>
              </w:rPr>
            </w:pPr>
            <w:r w:rsidRPr="00571C4B">
              <w:rPr>
                <w:rFonts w:ascii="Tahoma" w:hAnsi="Tahoma" w:cs="Tahoma"/>
              </w:rPr>
              <w:t>For hydrogen projects, the proposed project substantiates the use of renewable hydrogen, aligning with environmental and sustainability goals.</w:t>
            </w:r>
          </w:p>
          <w:p w14:paraId="14245434" w14:textId="77777777" w:rsidR="00235022" w:rsidRPr="00571C4B" w:rsidRDefault="00235022" w:rsidP="00A960A4">
            <w:pPr>
              <w:numPr>
                <w:ilvl w:val="0"/>
                <w:numId w:val="2"/>
              </w:numPr>
              <w:spacing w:after="60"/>
              <w:rPr>
                <w:rFonts w:ascii="Tahoma" w:hAnsi="Tahoma" w:cs="Tahoma"/>
              </w:rPr>
            </w:pPr>
            <w:r w:rsidRPr="00571C4B">
              <w:rPr>
                <w:rFonts w:ascii="Tahoma" w:hAnsi="Tahoma" w:cs="Tahoma"/>
              </w:rPr>
              <w:t xml:space="preserve">The proposed project reduces total GHG emissions in metric tons. </w:t>
            </w:r>
          </w:p>
          <w:p w14:paraId="50BEF8C6" w14:textId="77777777" w:rsidR="00235022" w:rsidRPr="00571C4B" w:rsidRDefault="00235022" w:rsidP="00A960A4">
            <w:pPr>
              <w:numPr>
                <w:ilvl w:val="0"/>
                <w:numId w:val="2"/>
              </w:numPr>
              <w:spacing w:after="60"/>
              <w:rPr>
                <w:rFonts w:ascii="Tahoma" w:hAnsi="Tahoma" w:cs="Tahoma"/>
              </w:rPr>
            </w:pPr>
            <w:r w:rsidRPr="00571C4B">
              <w:rPr>
                <w:rFonts w:ascii="Tahoma" w:hAnsi="Tahoma" w:cs="Tahoma"/>
              </w:rPr>
              <w:t xml:space="preserve">The infrastructure installed under the proposed project will be utilized by zero-emission MDHD vehicles (class 3-8), off-road equipment or specialty vehicles.  </w:t>
            </w:r>
          </w:p>
          <w:p w14:paraId="59139D7B" w14:textId="5D6D83A5" w:rsidR="00235022" w:rsidRPr="00571C4B" w:rsidRDefault="00235022" w:rsidP="00A960A4">
            <w:pPr>
              <w:numPr>
                <w:ilvl w:val="0"/>
                <w:numId w:val="2"/>
              </w:numPr>
              <w:spacing w:after="60"/>
              <w:rPr>
                <w:rFonts w:ascii="Tahoma" w:hAnsi="Tahoma" w:cs="Tahoma"/>
              </w:rPr>
            </w:pPr>
            <w:r w:rsidRPr="00571C4B">
              <w:rPr>
                <w:rFonts w:ascii="Tahoma" w:hAnsi="Tahoma" w:cs="Tahoma"/>
              </w:rPr>
              <w:t>The proposed project incorporates resiliency measures, ensuring the goals of the project will continue to be carried out during an emergency.</w:t>
            </w:r>
          </w:p>
        </w:tc>
        <w:tc>
          <w:tcPr>
            <w:tcW w:w="1487" w:type="dxa"/>
          </w:tcPr>
          <w:p w14:paraId="608D6035" w14:textId="77777777" w:rsidR="00235022" w:rsidRPr="00571C4B" w:rsidRDefault="00235022" w:rsidP="000564FC">
            <w:pPr>
              <w:jc w:val="center"/>
              <w:rPr>
                <w:rFonts w:ascii="Tahoma" w:hAnsi="Tahoma" w:cs="Tahoma"/>
              </w:rPr>
            </w:pPr>
          </w:p>
          <w:p w14:paraId="2AB0BA01" w14:textId="77777777" w:rsidR="00235022" w:rsidRPr="00571C4B" w:rsidRDefault="00235022" w:rsidP="000564FC">
            <w:pPr>
              <w:jc w:val="center"/>
              <w:rPr>
                <w:rFonts w:ascii="Tahoma" w:hAnsi="Tahoma" w:cs="Tahoma"/>
              </w:rPr>
            </w:pPr>
            <w:r w:rsidRPr="00571C4B">
              <w:rPr>
                <w:rFonts w:ascii="Tahoma" w:hAnsi="Tahoma" w:cs="Tahoma"/>
              </w:rPr>
              <w:t>10</w:t>
            </w:r>
          </w:p>
        </w:tc>
      </w:tr>
      <w:tr w:rsidR="00235022" w:rsidRPr="00571C4B" w14:paraId="656E0FB8" w14:textId="77777777" w:rsidTr="000564FC">
        <w:tc>
          <w:tcPr>
            <w:tcW w:w="7863" w:type="dxa"/>
            <w:shd w:val="clear" w:color="auto" w:fill="D9D9D9" w:themeFill="background1" w:themeFillShade="D9"/>
          </w:tcPr>
          <w:p w14:paraId="207FEAF6" w14:textId="77777777" w:rsidR="00235022" w:rsidRPr="00571C4B" w:rsidRDefault="00235022" w:rsidP="000564FC">
            <w:pPr>
              <w:jc w:val="right"/>
              <w:rPr>
                <w:rFonts w:ascii="Tahoma" w:hAnsi="Tahoma" w:cs="Tahoma"/>
                <w:b/>
              </w:rPr>
            </w:pPr>
            <w:r w:rsidRPr="00571C4B">
              <w:rPr>
                <w:rFonts w:ascii="Tahoma" w:hAnsi="Tahoma" w:cs="Tahoma"/>
                <w:b/>
              </w:rPr>
              <w:lastRenderedPageBreak/>
              <w:t>Total Possible Points</w:t>
            </w:r>
          </w:p>
        </w:tc>
        <w:tc>
          <w:tcPr>
            <w:tcW w:w="1487" w:type="dxa"/>
            <w:shd w:val="clear" w:color="auto" w:fill="D9D9D9" w:themeFill="background1" w:themeFillShade="D9"/>
          </w:tcPr>
          <w:p w14:paraId="6665AB6B" w14:textId="77777777" w:rsidR="00235022" w:rsidRPr="00571C4B" w:rsidRDefault="00235022" w:rsidP="000564FC">
            <w:pPr>
              <w:jc w:val="center"/>
              <w:rPr>
                <w:rFonts w:ascii="Tahoma" w:hAnsi="Tahoma" w:cs="Tahoma"/>
                <w:b/>
              </w:rPr>
            </w:pPr>
            <w:r w:rsidRPr="00571C4B">
              <w:rPr>
                <w:rFonts w:ascii="Tahoma" w:hAnsi="Tahoma" w:cs="Tahoma"/>
              </w:rPr>
              <w:t>100</w:t>
            </w:r>
          </w:p>
        </w:tc>
      </w:tr>
      <w:tr w:rsidR="00235022" w:rsidRPr="00571C4B" w14:paraId="1C6A0A13" w14:textId="77777777" w:rsidTr="000564FC">
        <w:tc>
          <w:tcPr>
            <w:tcW w:w="7863" w:type="dxa"/>
            <w:shd w:val="clear" w:color="auto" w:fill="D9D9D9" w:themeFill="background1" w:themeFillShade="D9"/>
          </w:tcPr>
          <w:p w14:paraId="4A5DFC9B" w14:textId="77777777" w:rsidR="00235022" w:rsidRPr="00571C4B" w:rsidRDefault="00235022" w:rsidP="000564FC">
            <w:pPr>
              <w:jc w:val="right"/>
              <w:rPr>
                <w:rFonts w:ascii="Tahoma" w:hAnsi="Tahoma" w:cs="Tahoma"/>
                <w:b/>
              </w:rPr>
            </w:pPr>
            <w:r w:rsidRPr="00571C4B">
              <w:rPr>
                <w:rFonts w:ascii="Tahoma" w:hAnsi="Tahoma" w:cs="Tahoma"/>
                <w:b/>
              </w:rPr>
              <w:t>Minimum Passing Score (70%)</w:t>
            </w:r>
          </w:p>
        </w:tc>
        <w:tc>
          <w:tcPr>
            <w:tcW w:w="1487" w:type="dxa"/>
            <w:shd w:val="clear" w:color="auto" w:fill="D9D9D9" w:themeFill="background1" w:themeFillShade="D9"/>
          </w:tcPr>
          <w:p w14:paraId="12B09C54" w14:textId="77777777" w:rsidR="00235022" w:rsidRPr="00571C4B" w:rsidRDefault="00235022" w:rsidP="000564FC">
            <w:pPr>
              <w:jc w:val="center"/>
              <w:rPr>
                <w:rFonts w:ascii="Tahoma" w:hAnsi="Tahoma" w:cs="Tahoma"/>
                <w:b/>
              </w:rPr>
            </w:pPr>
            <w:r w:rsidRPr="00571C4B">
              <w:rPr>
                <w:rFonts w:ascii="Tahoma" w:hAnsi="Tahoma" w:cs="Tahoma"/>
              </w:rPr>
              <w:t>70</w:t>
            </w:r>
          </w:p>
        </w:tc>
      </w:tr>
    </w:tbl>
    <w:p w14:paraId="421F2D94" w14:textId="77777777" w:rsidR="00190EFB" w:rsidRPr="00571C4B" w:rsidRDefault="00190EFB" w:rsidP="00190EFB">
      <w:pPr>
        <w:rPr>
          <w:rFonts w:ascii="Tahoma" w:hAnsi="Tahoma" w:cs="Tahoma"/>
          <w:b/>
          <w:bCs/>
        </w:rPr>
      </w:pPr>
    </w:p>
    <w:p w14:paraId="5B14A4DB" w14:textId="46980A81" w:rsidR="00190EFB" w:rsidRPr="00571C4B" w:rsidRDefault="00845A7B" w:rsidP="00190EFB">
      <w:pPr>
        <w:rPr>
          <w:rFonts w:ascii="Tahoma" w:hAnsi="Tahoma" w:cs="Tahoma"/>
          <w:b/>
          <w:bCs/>
        </w:rPr>
      </w:pPr>
      <w:r w:rsidRPr="00571C4B">
        <w:rPr>
          <w:rFonts w:ascii="Tahoma" w:hAnsi="Tahoma" w:cs="Tahoma"/>
          <w:b/>
          <w:bCs/>
        </w:rPr>
        <w:t>Questions and Answers</w:t>
      </w:r>
    </w:p>
    <w:p w14:paraId="6003D456" w14:textId="77777777" w:rsidR="00845A7B" w:rsidRPr="00571C4B" w:rsidRDefault="00845A7B" w:rsidP="00190EFB">
      <w:pPr>
        <w:rPr>
          <w:rFonts w:ascii="Tahoma" w:hAnsi="Tahoma" w:cs="Tahoma"/>
          <w:b/>
          <w:bCs/>
        </w:rPr>
      </w:pPr>
    </w:p>
    <w:p w14:paraId="23815502" w14:textId="77777777" w:rsidR="00053B0A" w:rsidRPr="00571C4B" w:rsidRDefault="00053B0A" w:rsidP="00243835">
      <w:pPr>
        <w:ind w:left="1440" w:hanging="720"/>
        <w:rPr>
          <w:rFonts w:ascii="Tahoma" w:eastAsia="Calibri" w:hAnsi="Tahoma" w:cs="Tahoma"/>
        </w:rPr>
      </w:pPr>
      <w:r w:rsidRPr="00571C4B">
        <w:rPr>
          <w:rFonts w:ascii="Tahoma" w:eastAsia="Tahoma" w:hAnsi="Tahoma" w:cs="Tahoma"/>
          <w:b/>
          <w:color w:val="000000"/>
        </w:rPr>
        <w:t>Q12:</w:t>
      </w:r>
      <w:r w:rsidRPr="00571C4B">
        <w:rPr>
          <w:rFonts w:ascii="Tahoma" w:eastAsia="Calibri" w:hAnsi="Tahoma" w:cs="Tahoma"/>
        </w:rPr>
        <w:tab/>
      </w:r>
      <w:r w:rsidRPr="00571C4B">
        <w:rPr>
          <w:rFonts w:ascii="Tahoma" w:eastAsia="Calibri" w:hAnsi="Tahoma" w:cs="Tahoma"/>
          <w:b/>
        </w:rPr>
        <w:t xml:space="preserve">How does this solicitation assess the charging port capacity? In </w:t>
      </w:r>
      <w:proofErr w:type="gramStart"/>
      <w:r w:rsidRPr="00571C4B">
        <w:rPr>
          <w:rFonts w:ascii="Tahoma" w:eastAsia="Calibri" w:hAnsi="Tahoma" w:cs="Tahoma"/>
          <w:b/>
        </w:rPr>
        <w:t>the instance</w:t>
      </w:r>
      <w:proofErr w:type="gramEnd"/>
      <w:r w:rsidRPr="00571C4B">
        <w:rPr>
          <w:rFonts w:ascii="Tahoma" w:eastAsia="Calibri" w:hAnsi="Tahoma" w:cs="Tahoma"/>
          <w:b/>
        </w:rPr>
        <w:t xml:space="preserve"> where a 360 kW Power Cabinet supports three charging ports, charging capacity varies based on how many </w:t>
      </w:r>
      <w:proofErr w:type="gramStart"/>
      <w:r w:rsidRPr="00571C4B">
        <w:rPr>
          <w:rFonts w:ascii="Tahoma" w:eastAsia="Calibri" w:hAnsi="Tahoma" w:cs="Tahoma"/>
          <w:b/>
        </w:rPr>
        <w:t>port</w:t>
      </w:r>
      <w:proofErr w:type="gramEnd"/>
      <w:r w:rsidRPr="00571C4B">
        <w:rPr>
          <w:rFonts w:ascii="Tahoma" w:eastAsia="Calibri" w:hAnsi="Tahoma" w:cs="Tahoma"/>
          <w:b/>
        </w:rPr>
        <w:t xml:space="preserve"> are active simultaneously, 360 kW if only one port is active, 180 kW two ports are simultaneously active and 90 kW when three ports are simultaneously active. Is the maximum, average, minimum, or other </w:t>
      </w:r>
      <w:proofErr w:type="gramStart"/>
      <w:r w:rsidRPr="00571C4B">
        <w:rPr>
          <w:rFonts w:ascii="Tahoma" w:eastAsia="Calibri" w:hAnsi="Tahoma" w:cs="Tahoma"/>
          <w:b/>
        </w:rPr>
        <w:t>factor</w:t>
      </w:r>
      <w:proofErr w:type="gramEnd"/>
      <w:r w:rsidRPr="00571C4B">
        <w:rPr>
          <w:rFonts w:ascii="Tahoma" w:eastAsia="Calibri" w:hAnsi="Tahoma" w:cs="Tahoma"/>
          <w:b/>
        </w:rPr>
        <w:t xml:space="preserve"> considered </w:t>
      </w:r>
      <w:proofErr w:type="gramStart"/>
      <w:r w:rsidRPr="00571C4B">
        <w:rPr>
          <w:rFonts w:ascii="Tahoma" w:eastAsia="Calibri" w:hAnsi="Tahoma" w:cs="Tahoma"/>
          <w:b/>
        </w:rPr>
        <w:t>for the amount of</w:t>
      </w:r>
      <w:proofErr w:type="gramEnd"/>
      <w:r w:rsidRPr="00571C4B">
        <w:rPr>
          <w:rFonts w:ascii="Tahoma" w:eastAsia="Calibri" w:hAnsi="Tahoma" w:cs="Tahoma"/>
          <w:b/>
        </w:rPr>
        <w:t xml:space="preserve"> eligible funding available?</w:t>
      </w:r>
      <w:r w:rsidRPr="00571C4B">
        <w:rPr>
          <w:rFonts w:ascii="Tahoma" w:eastAsia="Calibri" w:hAnsi="Tahoma" w:cs="Tahoma"/>
        </w:rPr>
        <w:t> </w:t>
      </w:r>
    </w:p>
    <w:p w14:paraId="33A6E194" w14:textId="77777777" w:rsidR="00053B0A" w:rsidRPr="00571C4B" w:rsidRDefault="00053B0A" w:rsidP="00243835">
      <w:pPr>
        <w:ind w:left="1440" w:hanging="720"/>
        <w:rPr>
          <w:rFonts w:ascii="Tahoma" w:eastAsia="Calibri" w:hAnsi="Tahoma" w:cs="Tahoma"/>
        </w:rPr>
      </w:pPr>
    </w:p>
    <w:p w14:paraId="2428B8EB" w14:textId="77777777" w:rsidR="00053B0A" w:rsidRPr="00571C4B" w:rsidRDefault="00053B0A" w:rsidP="00243835">
      <w:pPr>
        <w:ind w:left="1440" w:hanging="720"/>
        <w:rPr>
          <w:rFonts w:ascii="Tahoma" w:eastAsia="Calibri" w:hAnsi="Tahoma" w:cs="Tahoma"/>
        </w:rPr>
      </w:pPr>
      <w:r w:rsidRPr="00571C4B">
        <w:rPr>
          <w:rFonts w:ascii="Tahoma" w:eastAsia="Calibri" w:hAnsi="Tahoma" w:cs="Tahoma"/>
        </w:rPr>
        <w:t>A12.</w:t>
      </w:r>
      <w:r w:rsidRPr="00571C4B">
        <w:rPr>
          <w:rFonts w:ascii="Tahoma" w:eastAsia="Calibri" w:hAnsi="Tahoma" w:cs="Tahoma"/>
        </w:rPr>
        <w:t> </w:t>
      </w:r>
      <w:r w:rsidRPr="00571C4B">
        <w:rPr>
          <w:rFonts w:ascii="Tahoma" w:eastAsia="Calibri" w:hAnsi="Tahoma" w:cs="Tahoma"/>
        </w:rPr>
        <w:tab/>
        <w:t xml:space="preserve">Please see Addendum </w:t>
      </w:r>
      <w:r w:rsidRPr="00571C4B">
        <w:rPr>
          <w:rFonts w:ascii="Tahoma" w:eastAsia="Calibri" w:hAnsi="Tahoma" w:cs="Tahoma"/>
          <w:b/>
          <w:bCs/>
          <w:u w:val="single"/>
        </w:rPr>
        <w:t>6</w:t>
      </w:r>
      <w:r w:rsidRPr="00571C4B">
        <w:rPr>
          <w:rFonts w:ascii="Tahoma" w:eastAsia="Calibri" w:hAnsi="Tahoma" w:cs="Tahoma"/>
        </w:rPr>
        <w:t>[</w:t>
      </w:r>
      <w:r w:rsidRPr="00571C4B">
        <w:rPr>
          <w:rFonts w:ascii="Tahoma" w:eastAsia="Calibri" w:hAnsi="Tahoma" w:cs="Tahoma"/>
          <w:strike/>
        </w:rPr>
        <w:t>5</w:t>
      </w:r>
      <w:r w:rsidRPr="00571C4B">
        <w:rPr>
          <w:rFonts w:ascii="Tahoma" w:eastAsia="Calibri" w:hAnsi="Tahoma" w:cs="Tahoma"/>
        </w:rPr>
        <w:t xml:space="preserve">], which no longer sets a maximum award amount per charging port. Projects will be evaluated </w:t>
      </w:r>
      <w:proofErr w:type="gramStart"/>
      <w:r w:rsidRPr="00571C4B">
        <w:rPr>
          <w:rFonts w:ascii="Tahoma" w:eastAsia="Calibri" w:hAnsi="Tahoma" w:cs="Tahoma"/>
        </w:rPr>
        <w:t>on</w:t>
      </w:r>
      <w:proofErr w:type="gramEnd"/>
      <w:r w:rsidRPr="00571C4B">
        <w:rPr>
          <w:rFonts w:ascii="Tahoma" w:eastAsia="Calibri" w:hAnsi="Tahoma" w:cs="Tahoma"/>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494AD428" w14:textId="77777777" w:rsidR="00053B0A" w:rsidRPr="00571C4B" w:rsidRDefault="00053B0A" w:rsidP="00243835">
      <w:pPr>
        <w:ind w:left="1440" w:hanging="720"/>
        <w:rPr>
          <w:rFonts w:ascii="Tahoma" w:eastAsia="Calibri" w:hAnsi="Tahoma" w:cs="Tahoma"/>
        </w:rPr>
      </w:pPr>
    </w:p>
    <w:p w14:paraId="56B9D2A1" w14:textId="77777777" w:rsidR="00053B0A" w:rsidRPr="00571C4B" w:rsidRDefault="00053B0A" w:rsidP="00243835">
      <w:pPr>
        <w:ind w:left="1440"/>
        <w:rPr>
          <w:rFonts w:ascii="Tahoma" w:eastAsia="Calibri" w:hAnsi="Tahoma" w:cs="Tahoma"/>
        </w:rPr>
      </w:pPr>
      <w:r w:rsidRPr="00571C4B">
        <w:rPr>
          <w:rFonts w:ascii="Tahoma" w:eastAsia="Calibri" w:hAnsi="Tahoma" w:cs="Tahoma"/>
        </w:rPr>
        <w:t xml:space="preserve">Please see Section I.E. How Award is Determined and Section I.G. Minimum Infrastructure Requirements and Maximum Award Amounts. </w:t>
      </w:r>
    </w:p>
    <w:p w14:paraId="1BE0BC4D" w14:textId="77777777" w:rsidR="00243835" w:rsidRPr="00571C4B" w:rsidRDefault="00243835" w:rsidP="008E6DCC">
      <w:pPr>
        <w:ind w:left="720"/>
        <w:rPr>
          <w:rFonts w:ascii="Tahoma" w:eastAsia="Tahoma" w:hAnsi="Tahoma" w:cs="Tahoma"/>
          <w:b/>
          <w:bCs/>
        </w:rPr>
      </w:pPr>
    </w:p>
    <w:p w14:paraId="110497FA" w14:textId="77777777" w:rsidR="0011258C" w:rsidRPr="00571C4B" w:rsidRDefault="0011258C" w:rsidP="0011258C">
      <w:pPr>
        <w:ind w:left="1440" w:hanging="720"/>
        <w:rPr>
          <w:rFonts w:ascii="Tahoma" w:eastAsia="Tahoma" w:hAnsi="Tahoma" w:cs="Tahoma"/>
          <w:b/>
          <w:bCs/>
        </w:rPr>
      </w:pPr>
      <w:r w:rsidRPr="00571C4B">
        <w:rPr>
          <w:rFonts w:ascii="Tahoma" w:eastAsia="Tahoma" w:hAnsi="Tahoma" w:cs="Tahoma"/>
          <w:b/>
          <w:bCs/>
        </w:rPr>
        <w:t>Q13:</w:t>
      </w:r>
      <w:r w:rsidRPr="00571C4B">
        <w:rPr>
          <w:rFonts w:ascii="Tahoma" w:eastAsia="Tahoma" w:hAnsi="Tahoma" w:cs="Tahoma"/>
          <w:b/>
          <w:bCs/>
        </w:rPr>
        <w:tab/>
        <w:t xml:space="preserve">As written, this solicitation appears to encourage eliminating a charging port if the minimum simultaneous delivery is used as an applicant could receive $225,000 for a </w:t>
      </w:r>
      <w:proofErr w:type="gramStart"/>
      <w:r w:rsidRPr="00571C4B">
        <w:rPr>
          <w:rFonts w:ascii="Tahoma" w:eastAsia="Tahoma" w:hAnsi="Tahoma" w:cs="Tahoma"/>
          <w:b/>
          <w:bCs/>
        </w:rPr>
        <w:t>three port</w:t>
      </w:r>
      <w:proofErr w:type="gramEnd"/>
      <w:r w:rsidRPr="00571C4B">
        <w:rPr>
          <w:rFonts w:ascii="Tahoma" w:eastAsia="Tahoma" w:hAnsi="Tahoma" w:cs="Tahoma"/>
          <w:b/>
          <w:bCs/>
        </w:rPr>
        <w:t xml:space="preserve"> configuration ($75,000 * 3) and $500,000 ($250,000 * 2) for a </w:t>
      </w:r>
      <w:proofErr w:type="gramStart"/>
      <w:r w:rsidRPr="00571C4B">
        <w:rPr>
          <w:rFonts w:ascii="Tahoma" w:eastAsia="Tahoma" w:hAnsi="Tahoma" w:cs="Tahoma"/>
          <w:b/>
          <w:bCs/>
        </w:rPr>
        <w:t>two port</w:t>
      </w:r>
      <w:proofErr w:type="gramEnd"/>
      <w:r w:rsidRPr="00571C4B">
        <w:rPr>
          <w:rFonts w:ascii="Tahoma" w:eastAsia="Tahoma" w:hAnsi="Tahoma" w:cs="Tahoma"/>
          <w:b/>
          <w:bCs/>
        </w:rPr>
        <w:t xml:space="preserve"> configuration with the same power cabinet. Is the goal of the CEC to have higher power ratings for all applications as opposed to more charging ports? This seems like an odd incentive as it is cheaper to have a </w:t>
      </w:r>
      <w:proofErr w:type="gramStart"/>
      <w:r w:rsidRPr="00571C4B">
        <w:rPr>
          <w:rFonts w:ascii="Tahoma" w:eastAsia="Tahoma" w:hAnsi="Tahoma" w:cs="Tahoma"/>
          <w:b/>
          <w:bCs/>
        </w:rPr>
        <w:t>two port</w:t>
      </w:r>
      <w:proofErr w:type="gramEnd"/>
      <w:r w:rsidRPr="00571C4B">
        <w:rPr>
          <w:rFonts w:ascii="Tahoma" w:eastAsia="Tahoma" w:hAnsi="Tahoma" w:cs="Tahoma"/>
          <w:b/>
          <w:bCs/>
        </w:rPr>
        <w:t xml:space="preserve"> configuration than a </w:t>
      </w:r>
      <w:proofErr w:type="gramStart"/>
      <w:r w:rsidRPr="00571C4B">
        <w:rPr>
          <w:rFonts w:ascii="Tahoma" w:eastAsia="Tahoma" w:hAnsi="Tahoma" w:cs="Tahoma"/>
          <w:b/>
          <w:bCs/>
        </w:rPr>
        <w:t>three port</w:t>
      </w:r>
      <w:proofErr w:type="gramEnd"/>
      <w:r w:rsidRPr="00571C4B">
        <w:rPr>
          <w:rFonts w:ascii="Tahoma" w:eastAsia="Tahoma" w:hAnsi="Tahoma" w:cs="Tahoma"/>
          <w:b/>
          <w:bCs/>
        </w:rPr>
        <w:t xml:space="preserve"> configuration, but it is rewarded with more eligible dollars. </w:t>
      </w:r>
    </w:p>
    <w:p w14:paraId="784708F7" w14:textId="77777777" w:rsidR="0011258C" w:rsidRPr="00571C4B" w:rsidRDefault="0011258C" w:rsidP="0011258C">
      <w:pPr>
        <w:ind w:left="1440" w:hanging="720"/>
        <w:rPr>
          <w:rFonts w:ascii="Tahoma" w:eastAsia="Tahoma" w:hAnsi="Tahoma" w:cs="Tahoma"/>
          <w:b/>
          <w:bCs/>
        </w:rPr>
      </w:pPr>
      <w:r w:rsidRPr="00571C4B">
        <w:rPr>
          <w:rFonts w:ascii="Tahoma" w:eastAsia="Tahoma" w:hAnsi="Tahoma" w:cs="Tahoma"/>
          <w:b/>
          <w:bCs/>
        </w:rPr>
        <w:t> </w:t>
      </w:r>
    </w:p>
    <w:p w14:paraId="582FDFF1" w14:textId="721C709B" w:rsidR="0011258C" w:rsidRPr="00571C4B" w:rsidRDefault="0011258C" w:rsidP="0011258C">
      <w:pPr>
        <w:ind w:left="1440" w:hanging="720"/>
        <w:rPr>
          <w:rFonts w:ascii="Tahoma" w:eastAsia="Tahoma" w:hAnsi="Tahoma" w:cs="Tahoma"/>
          <w:b/>
          <w:bCs/>
        </w:rPr>
      </w:pPr>
      <w:r w:rsidRPr="00571C4B">
        <w:rPr>
          <w:rFonts w:ascii="Tahoma" w:eastAsia="Tahoma" w:hAnsi="Tahoma" w:cs="Tahoma"/>
        </w:rPr>
        <w:t>A13.</w:t>
      </w:r>
      <w:r w:rsidRPr="00571C4B">
        <w:rPr>
          <w:rFonts w:ascii="Tahoma" w:eastAsia="Tahoma" w:hAnsi="Tahoma" w:cs="Tahoma"/>
        </w:rPr>
        <w:t> </w:t>
      </w:r>
      <w:r w:rsidRPr="00571C4B">
        <w:rPr>
          <w:rFonts w:ascii="Tahoma" w:eastAsia="Tahoma" w:hAnsi="Tahoma" w:cs="Tahoma"/>
        </w:rPr>
        <w:t xml:space="preserve">The CEC does not </w:t>
      </w:r>
      <w:proofErr w:type="gramStart"/>
      <w:r w:rsidRPr="00571C4B">
        <w:rPr>
          <w:rFonts w:ascii="Tahoma" w:eastAsia="Tahoma" w:hAnsi="Tahoma" w:cs="Tahoma"/>
        </w:rPr>
        <w:t>have a preference for</w:t>
      </w:r>
      <w:proofErr w:type="gramEnd"/>
      <w:r w:rsidRPr="00571C4B">
        <w:rPr>
          <w:rFonts w:ascii="Tahoma" w:eastAsia="Tahoma" w:hAnsi="Tahoma" w:cs="Tahoma"/>
        </w:rPr>
        <w:t xml:space="preserve"> higher power ratings over the number of charging ports. Applicants are encouraged to focus on the infrastructure needs for planned ZEVs and choose the infrastructure type(s) accordingly. Please see Addendum </w:t>
      </w:r>
      <w:r w:rsidRPr="00571C4B">
        <w:rPr>
          <w:rFonts w:ascii="Tahoma" w:eastAsia="Tahoma" w:hAnsi="Tahoma" w:cs="Tahoma"/>
          <w:b/>
          <w:bCs/>
          <w:u w:val="single"/>
        </w:rPr>
        <w:t>6</w:t>
      </w:r>
      <w:r w:rsidRPr="00571C4B">
        <w:rPr>
          <w:rFonts w:ascii="Tahoma" w:eastAsia="Tahoma" w:hAnsi="Tahoma" w:cs="Tahoma"/>
        </w:rPr>
        <w:t>[</w:t>
      </w:r>
      <w:r w:rsidRPr="00571C4B">
        <w:rPr>
          <w:rFonts w:ascii="Tahoma" w:eastAsia="Tahoma" w:hAnsi="Tahoma" w:cs="Tahoma"/>
          <w:strike/>
        </w:rPr>
        <w:t>5</w:t>
      </w:r>
      <w:r w:rsidRPr="00571C4B">
        <w:rPr>
          <w:rFonts w:ascii="Tahoma" w:eastAsia="Tahoma" w:hAnsi="Tahoma" w:cs="Tahoma"/>
        </w:rPr>
        <w:t>], which no longer sets a maximum award amount per charging port.</w:t>
      </w:r>
      <w:r w:rsidRPr="00571C4B">
        <w:rPr>
          <w:rFonts w:ascii="Tahoma" w:eastAsia="Tahoma" w:hAnsi="Tahoma" w:cs="Tahoma"/>
          <w:b/>
          <w:bCs/>
        </w:rPr>
        <w:t xml:space="preserve">   </w:t>
      </w:r>
    </w:p>
    <w:p w14:paraId="6EADF895" w14:textId="77777777" w:rsidR="0011258C" w:rsidRPr="00571C4B" w:rsidRDefault="0011258C" w:rsidP="00243835">
      <w:pPr>
        <w:ind w:left="1440" w:hanging="720"/>
        <w:rPr>
          <w:rFonts w:ascii="Tahoma" w:eastAsia="Tahoma" w:hAnsi="Tahoma" w:cs="Tahoma"/>
          <w:b/>
          <w:bCs/>
        </w:rPr>
      </w:pPr>
    </w:p>
    <w:p w14:paraId="56986856" w14:textId="77777777" w:rsidR="00791606" w:rsidRPr="00571C4B" w:rsidRDefault="00791606" w:rsidP="00791606">
      <w:pPr>
        <w:ind w:left="1440" w:hanging="720"/>
        <w:rPr>
          <w:rFonts w:ascii="Tahoma" w:eastAsia="Tahoma" w:hAnsi="Tahoma" w:cs="Tahoma"/>
          <w:b/>
          <w:bCs/>
        </w:rPr>
      </w:pPr>
      <w:r w:rsidRPr="00571C4B">
        <w:rPr>
          <w:rFonts w:ascii="Tahoma" w:eastAsia="Tahoma" w:hAnsi="Tahoma" w:cs="Tahoma"/>
          <w:b/>
          <w:bCs/>
        </w:rPr>
        <w:t xml:space="preserve">Q14: </w:t>
      </w:r>
      <w:r w:rsidRPr="00571C4B">
        <w:rPr>
          <w:rFonts w:ascii="Tahoma" w:eastAsia="Tahoma" w:hAnsi="Tahoma" w:cs="Tahoma"/>
          <w:b/>
          <w:bCs/>
        </w:rPr>
        <w:tab/>
        <w:t xml:space="preserve">In the vehicle deployment requirement (three MDHD EVs per DCFC), does the CEC define a “charger”? Is this per dispenser/port? For multi-port load-sharing systems does each port count as a separate charger or is the cabinet treated as one charger? </w:t>
      </w:r>
    </w:p>
    <w:p w14:paraId="2FE78695" w14:textId="77777777" w:rsidR="00791606" w:rsidRPr="00571C4B" w:rsidRDefault="00791606" w:rsidP="00791606">
      <w:pPr>
        <w:ind w:left="1440" w:hanging="720"/>
        <w:rPr>
          <w:rFonts w:ascii="Tahoma" w:eastAsia="Tahoma" w:hAnsi="Tahoma" w:cs="Tahoma"/>
          <w:b/>
          <w:bCs/>
        </w:rPr>
      </w:pPr>
    </w:p>
    <w:p w14:paraId="6022C5B6" w14:textId="54602520" w:rsidR="00791606" w:rsidRPr="00571C4B" w:rsidRDefault="00791606" w:rsidP="00791606">
      <w:pPr>
        <w:ind w:left="1440" w:hanging="720"/>
        <w:rPr>
          <w:rFonts w:ascii="Tahoma" w:eastAsia="Tahoma" w:hAnsi="Tahoma" w:cs="Tahoma"/>
        </w:rPr>
      </w:pPr>
      <w:r w:rsidRPr="00571C4B">
        <w:rPr>
          <w:rFonts w:ascii="Tahoma" w:eastAsia="Tahoma" w:hAnsi="Tahoma" w:cs="Tahoma"/>
        </w:rPr>
        <w:lastRenderedPageBreak/>
        <w:t xml:space="preserve">A14: </w:t>
      </w:r>
      <w:r w:rsidRPr="00571C4B">
        <w:rPr>
          <w:rFonts w:ascii="Tahoma" w:eastAsia="Tahoma" w:hAnsi="Tahoma" w:cs="Tahoma"/>
        </w:rPr>
        <w:tab/>
        <w:t xml:space="preserve">Section II.B.4 of Addendum </w:t>
      </w:r>
      <w:r w:rsidRPr="00571C4B">
        <w:rPr>
          <w:rFonts w:ascii="Tahoma" w:eastAsia="Tahoma" w:hAnsi="Tahoma" w:cs="Tahoma"/>
          <w:b/>
          <w:bCs/>
          <w:u w:val="single"/>
        </w:rPr>
        <w:t>6</w:t>
      </w:r>
      <w:r w:rsidRPr="00571C4B">
        <w:rPr>
          <w:rFonts w:ascii="Tahoma" w:eastAsia="Tahoma" w:hAnsi="Tahoma" w:cs="Tahoma"/>
        </w:rPr>
        <w:t>[</w:t>
      </w:r>
      <w:r w:rsidRPr="00571C4B">
        <w:rPr>
          <w:rFonts w:ascii="Tahoma" w:eastAsia="Tahoma" w:hAnsi="Tahoma" w:cs="Tahoma"/>
          <w:strike/>
        </w:rPr>
        <w:t>5</w:t>
      </w:r>
      <w:r w:rsidRPr="00571C4B">
        <w:rPr>
          <w:rFonts w:ascii="Tahoma" w:eastAsia="Tahoma" w:hAnsi="Tahoma" w:cs="Tahoma"/>
        </w:rPr>
        <w:t>], clarifies that vehicle deployment requirements are based on charging port instead of charger. For the purposes of this solicitation, “charging port” is defined as the system within a charger that charges one electric vehicle. A charging port may have multiple connectors, but it can provide power to charge only one electric vehicle through one connector at a time. In this solicitation CEC is defining charger as the ability to charge/dispense one vehicle at a time, regardless of how many connectors it has. For example, a multi-port-load sharing system that can simultaneously charge three (3) vehicles would count as three (3) charging ports.</w:t>
      </w:r>
    </w:p>
    <w:p w14:paraId="102B97D7" w14:textId="77777777" w:rsidR="00791606" w:rsidRPr="00571C4B" w:rsidRDefault="00791606" w:rsidP="00791606">
      <w:pPr>
        <w:ind w:left="1440" w:hanging="720"/>
        <w:rPr>
          <w:rFonts w:ascii="Tahoma" w:eastAsia="Tahoma" w:hAnsi="Tahoma" w:cs="Tahoma"/>
          <w:b/>
          <w:bCs/>
        </w:rPr>
      </w:pPr>
    </w:p>
    <w:p w14:paraId="2736D17D" w14:textId="62681E05" w:rsidR="008E6DCC" w:rsidRPr="00571C4B" w:rsidRDefault="008E6DCC" w:rsidP="00243835">
      <w:pPr>
        <w:ind w:left="1440" w:hanging="720"/>
        <w:rPr>
          <w:rFonts w:ascii="Tahoma" w:eastAsia="Tahoma" w:hAnsi="Tahoma" w:cs="Tahoma"/>
          <w:b/>
          <w:bCs/>
        </w:rPr>
      </w:pPr>
      <w:r w:rsidRPr="00571C4B">
        <w:rPr>
          <w:rFonts w:ascii="Tahoma" w:eastAsia="Tahoma" w:hAnsi="Tahoma" w:cs="Tahoma"/>
          <w:b/>
          <w:bCs/>
        </w:rPr>
        <w:t xml:space="preserve">Q15: </w:t>
      </w:r>
      <w:r w:rsidR="00243835" w:rsidRPr="00571C4B">
        <w:rPr>
          <w:rFonts w:ascii="Tahoma" w:eastAsia="Tahoma" w:hAnsi="Tahoma" w:cs="Tahoma"/>
          <w:b/>
          <w:bCs/>
        </w:rPr>
        <w:tab/>
      </w:r>
      <w:r w:rsidRPr="00571C4B">
        <w:rPr>
          <w:rFonts w:ascii="Tahoma" w:eastAsia="Tahoma" w:hAnsi="Tahoma" w:cs="Tahoma"/>
          <w:b/>
          <w:bCs/>
        </w:rPr>
        <w:t>As an applicant with secure, fenced yards where public access poses safety and liability risks, is there an exception to the requirement that at least 25% of charging ports must be available for public access during normal hours? If not, this may limit eligibility for transit agencies. Can you clarify?</w:t>
      </w:r>
    </w:p>
    <w:p w14:paraId="7D0F798E" w14:textId="77777777" w:rsidR="008E6DCC" w:rsidRPr="00571C4B" w:rsidRDefault="008E6DCC" w:rsidP="008E6DCC">
      <w:pPr>
        <w:ind w:left="720" w:hanging="720"/>
        <w:rPr>
          <w:rFonts w:ascii="Tahoma" w:eastAsia="Tahoma" w:hAnsi="Tahoma" w:cs="Tahoma"/>
          <w:color w:val="000000" w:themeColor="text1"/>
        </w:rPr>
      </w:pPr>
    </w:p>
    <w:p w14:paraId="55B731EC" w14:textId="51900651" w:rsidR="008E6DCC" w:rsidRPr="00571C4B" w:rsidRDefault="008E6DCC" w:rsidP="00243835">
      <w:pPr>
        <w:spacing w:after="120"/>
        <w:ind w:left="1440" w:hanging="720"/>
        <w:rPr>
          <w:rFonts w:ascii="Tahoma" w:eastAsia="Tahoma" w:hAnsi="Tahoma" w:cs="Tahoma"/>
          <w:b/>
          <w:u w:val="single"/>
        </w:rPr>
      </w:pPr>
      <w:r w:rsidRPr="00571C4B">
        <w:rPr>
          <w:rFonts w:ascii="Tahoma" w:eastAsia="Tahoma" w:hAnsi="Tahoma" w:cs="Tahoma"/>
        </w:rPr>
        <w:t xml:space="preserve">A15: </w:t>
      </w:r>
      <w:r w:rsidR="00243835">
        <w:tab/>
      </w:r>
      <w:r w:rsidRPr="00571C4B">
        <w:rPr>
          <w:rFonts w:ascii="Tahoma" w:eastAsia="Tahoma" w:hAnsi="Tahoma" w:cs="Tahoma"/>
        </w:rPr>
        <w:t xml:space="preserve">The requirement that at least 25% of charging ports be available for public access during normal operating hours applies to applicants providing charging or fueling for the fleets of public entities (other than California state government agencies, which are ineligible under this solicitation). </w:t>
      </w:r>
      <w:r w:rsidR="08C99D21" w:rsidRPr="0474F321">
        <w:rPr>
          <w:rFonts w:ascii="Tahoma" w:eastAsia="Tahoma" w:hAnsi="Tahoma" w:cs="Tahoma"/>
          <w:b/>
          <w:bCs/>
          <w:u w:val="single"/>
        </w:rPr>
        <w:t>Addendum 6 clarifies</w:t>
      </w:r>
      <w:r w:rsidRPr="00571C4B">
        <w:rPr>
          <w:rFonts w:ascii="Tahoma" w:eastAsia="Tahoma" w:hAnsi="Tahoma" w:cs="Tahoma"/>
          <w:b/>
          <w:bCs/>
          <w:u w:val="single"/>
        </w:rPr>
        <w:t xml:space="preserve"> exceptions to </w:t>
      </w:r>
      <w:r w:rsidR="4AFE4A67" w:rsidRPr="0474F321">
        <w:rPr>
          <w:rFonts w:ascii="Tahoma" w:eastAsia="Tahoma" w:hAnsi="Tahoma" w:cs="Tahoma"/>
          <w:b/>
          <w:bCs/>
          <w:u w:val="single"/>
        </w:rPr>
        <w:t xml:space="preserve">these </w:t>
      </w:r>
      <w:r w:rsidRPr="00571C4B">
        <w:rPr>
          <w:rFonts w:ascii="Tahoma" w:eastAsia="Tahoma" w:hAnsi="Tahoma" w:cs="Tahoma"/>
          <w:b/>
          <w:bCs/>
          <w:u w:val="single"/>
        </w:rPr>
        <w:t>public access requirements:</w:t>
      </w:r>
    </w:p>
    <w:p w14:paraId="700315F4" w14:textId="77777777" w:rsidR="008E6DCC" w:rsidRPr="00571C4B" w:rsidRDefault="008E6DCC" w:rsidP="00243835">
      <w:pPr>
        <w:numPr>
          <w:ilvl w:val="0"/>
          <w:numId w:val="12"/>
        </w:numPr>
        <w:spacing w:after="120"/>
        <w:ind w:left="1800"/>
        <w:contextualSpacing/>
        <w:rPr>
          <w:rFonts w:ascii="Tahoma" w:eastAsia="Tahoma" w:hAnsi="Tahoma" w:cs="Tahoma"/>
          <w:color w:val="000000"/>
        </w:rPr>
      </w:pPr>
      <w:r w:rsidRPr="00571C4B">
        <w:rPr>
          <w:rFonts w:ascii="Tahoma" w:eastAsia="Tahoma" w:hAnsi="Tahoma" w:cs="Tahoma"/>
          <w:b/>
          <w:bCs/>
          <w:color w:val="000000"/>
          <w:u w:val="single"/>
        </w:rPr>
        <w:t xml:space="preserve">Infrastructure for off-road and non-road applications </w:t>
      </w:r>
      <w:proofErr w:type="gramStart"/>
      <w:r w:rsidRPr="00571C4B">
        <w:rPr>
          <w:rFonts w:ascii="Tahoma" w:eastAsia="Tahoma" w:hAnsi="Tahoma" w:cs="Tahoma"/>
          <w:b/>
          <w:bCs/>
          <w:color w:val="000000"/>
          <w:u w:val="single"/>
        </w:rPr>
        <w:t>are</w:t>
      </w:r>
      <w:proofErr w:type="gramEnd"/>
      <w:r w:rsidRPr="00571C4B">
        <w:rPr>
          <w:rFonts w:ascii="Tahoma" w:eastAsia="Tahoma" w:hAnsi="Tahoma" w:cs="Tahoma"/>
          <w:b/>
          <w:bCs/>
          <w:color w:val="000000"/>
          <w:u w:val="single"/>
        </w:rPr>
        <w:t xml:space="preserve"> not required to be Public Access.</w:t>
      </w:r>
    </w:p>
    <w:p w14:paraId="416E2F12" w14:textId="77777777" w:rsidR="008E6DCC" w:rsidRPr="00571C4B" w:rsidRDefault="008E6DCC" w:rsidP="00243835">
      <w:pPr>
        <w:numPr>
          <w:ilvl w:val="0"/>
          <w:numId w:val="12"/>
        </w:numPr>
        <w:spacing w:after="120"/>
        <w:ind w:left="1800"/>
        <w:contextualSpacing/>
        <w:rPr>
          <w:rFonts w:ascii="Tahoma" w:eastAsia="Tahoma" w:hAnsi="Tahoma" w:cs="Tahoma"/>
          <w:color w:val="000000"/>
        </w:rPr>
      </w:pPr>
      <w:r w:rsidRPr="00571C4B">
        <w:rPr>
          <w:rFonts w:ascii="Tahoma" w:eastAsia="Tahoma" w:hAnsi="Tahoma" w:cs="Tahoma"/>
          <w:b/>
          <w:bCs/>
          <w:color w:val="000000"/>
          <w:u w:val="single"/>
        </w:rPr>
        <w:t>Infrastructure that is used for the sole purpose of supporting ZEVs that provide essential city services and are vehicles upfitted to meet such a need (i.e. street sweepers and sanitation trucks) are not required to be Public Access.</w:t>
      </w:r>
    </w:p>
    <w:p w14:paraId="3B10A213" w14:textId="163E8743" w:rsidR="008E6DCC" w:rsidRPr="00571C4B" w:rsidRDefault="008E6DCC" w:rsidP="00243835">
      <w:pPr>
        <w:numPr>
          <w:ilvl w:val="0"/>
          <w:numId w:val="12"/>
        </w:numPr>
        <w:spacing w:after="120"/>
        <w:ind w:left="1800"/>
        <w:contextualSpacing/>
        <w:rPr>
          <w:rFonts w:ascii="Tahoma" w:eastAsia="Tahoma" w:hAnsi="Tahoma" w:cs="Tahoma"/>
          <w:color w:val="000000"/>
        </w:rPr>
      </w:pPr>
      <w:r w:rsidRPr="00571C4B">
        <w:rPr>
          <w:rFonts w:ascii="Tahoma" w:eastAsia="Tahoma" w:hAnsi="Tahoma" w:cs="Tahoma"/>
          <w:b/>
          <w:bCs/>
          <w:color w:val="000000"/>
          <w:u w:val="single"/>
        </w:rPr>
        <w:t>If the Applicant is a school district and their blueprint implementation project is solely for charging and/or refueling school buses, there is no Public Access requirement for their project.</w:t>
      </w:r>
    </w:p>
    <w:p w14:paraId="08269942" w14:textId="2D2B80FF" w:rsidR="008E6DCC" w:rsidRPr="00C155CB" w:rsidRDefault="008E6DCC" w:rsidP="00243835">
      <w:pPr>
        <w:numPr>
          <w:ilvl w:val="0"/>
          <w:numId w:val="12"/>
        </w:numPr>
        <w:spacing w:after="120"/>
        <w:ind w:left="1800"/>
        <w:contextualSpacing/>
        <w:rPr>
          <w:rFonts w:ascii="Tahoma" w:eastAsia="Tahoma" w:hAnsi="Tahoma" w:cs="Tahoma"/>
          <w:color w:val="000000"/>
        </w:rPr>
      </w:pPr>
      <w:r w:rsidRPr="0474F321">
        <w:rPr>
          <w:rFonts w:ascii="Tahoma" w:eastAsia="Tahoma" w:hAnsi="Tahoma" w:cs="Tahoma"/>
          <w:b/>
          <w:color w:val="000000" w:themeColor="text1"/>
          <w:u w:val="single"/>
        </w:rPr>
        <w:t>If the Applicant is a transit agency and their blueprint implementation project is solely for charging and/or refueling their transit buses, then there is no Public Access requirement for their project.</w:t>
      </w:r>
    </w:p>
    <w:p w14:paraId="42F9D68C" w14:textId="77777777" w:rsidR="00C155CB" w:rsidRPr="00571C4B" w:rsidRDefault="00C155CB" w:rsidP="00C155CB">
      <w:pPr>
        <w:spacing w:after="120"/>
        <w:ind w:left="1800"/>
        <w:contextualSpacing/>
        <w:rPr>
          <w:rFonts w:ascii="Tahoma" w:eastAsia="Tahoma" w:hAnsi="Tahoma" w:cs="Tahoma"/>
          <w:color w:val="000000"/>
        </w:rPr>
      </w:pPr>
    </w:p>
    <w:p w14:paraId="162D1E99" w14:textId="1900D7E5" w:rsidR="0474F321" w:rsidRDefault="391A0165" w:rsidP="00C155CB">
      <w:pPr>
        <w:spacing w:after="120"/>
        <w:ind w:left="1440"/>
        <w:rPr>
          <w:rFonts w:ascii="Tahoma" w:eastAsia="Tahoma" w:hAnsi="Tahoma" w:cs="Tahoma"/>
          <w:color w:val="000000" w:themeColor="text1"/>
        </w:rPr>
      </w:pPr>
      <w:r w:rsidRPr="00C155CB">
        <w:rPr>
          <w:rFonts w:ascii="Tahoma" w:eastAsia="Tahoma" w:hAnsi="Tahoma" w:cs="Tahoma"/>
          <w:b/>
          <w:bCs/>
          <w:color w:val="000000" w:themeColor="text1"/>
          <w:u w:val="single"/>
        </w:rPr>
        <w:t xml:space="preserve">Applicants proposing to support blueprint implementation on behalf of </w:t>
      </w:r>
      <w:r w:rsidRPr="00C155CB">
        <w:rPr>
          <w:rFonts w:ascii="Tahoma" w:eastAsia="Calibri" w:hAnsi="Tahoma" w:cs="Tahoma"/>
          <w:b/>
          <w:bCs/>
          <w:u w:val="single"/>
        </w:rPr>
        <w:t>a public entity must adhere to all requirements established for public entities. Exceptions will apply only for the specific vehicle types as described above.</w:t>
      </w:r>
    </w:p>
    <w:p w14:paraId="510B8FD3" w14:textId="77777777" w:rsidR="00AD679D" w:rsidRDefault="00AD679D" w:rsidP="00AD679D">
      <w:pPr>
        <w:ind w:left="1440"/>
        <w:rPr>
          <w:rFonts w:ascii="Tahoma" w:eastAsia="Tahoma" w:hAnsi="Tahoma" w:cs="Tahoma"/>
        </w:rPr>
      </w:pPr>
      <w:r w:rsidRPr="00566C23">
        <w:rPr>
          <w:rFonts w:ascii="Tahoma" w:eastAsia="Tahoma" w:hAnsi="Tahoma" w:cs="Tahoma"/>
        </w:rPr>
        <w:t xml:space="preserve">In cases where access to secure or fenced yards is not feasible for safety or operational reasons, applicants may consider installing public-accessible infrastructure outside the fenced area. For example, chargers could be installed in a publicly accessible area of the property, such as a parking lot or designated </w:t>
      </w:r>
      <w:r w:rsidRPr="00566C23">
        <w:rPr>
          <w:rFonts w:ascii="Tahoma" w:eastAsia="Tahoma" w:hAnsi="Tahoma" w:cs="Tahoma"/>
        </w:rPr>
        <w:lastRenderedPageBreak/>
        <w:t>zone outside the secured perimeter. Publicly dedicated equipment can also be built at a different location.</w:t>
      </w:r>
    </w:p>
    <w:p w14:paraId="23A061F8" w14:textId="77777777" w:rsidR="00C155CB" w:rsidRDefault="00C155CB" w:rsidP="00C155CB">
      <w:pPr>
        <w:spacing w:after="120"/>
        <w:ind w:left="1440"/>
        <w:rPr>
          <w:rFonts w:ascii="Tahoma" w:eastAsia="Tahoma" w:hAnsi="Tahoma" w:cs="Tahoma"/>
          <w:color w:val="000000" w:themeColor="text1"/>
        </w:rPr>
      </w:pPr>
    </w:p>
    <w:p w14:paraId="7F195FF5" w14:textId="41AE9A74" w:rsidR="00156E25" w:rsidRPr="00571C4B" w:rsidRDefault="00156E25" w:rsidP="00243835">
      <w:pPr>
        <w:pStyle w:val="ListParagraph"/>
        <w:ind w:left="1440" w:hanging="720"/>
        <w:rPr>
          <w:rFonts w:ascii="Tahoma" w:hAnsi="Tahoma" w:cs="Tahoma"/>
          <w:b/>
          <w:bCs/>
        </w:rPr>
      </w:pPr>
      <w:r w:rsidRPr="00571C4B">
        <w:rPr>
          <w:rFonts w:ascii="Tahoma" w:hAnsi="Tahoma" w:cs="Tahoma"/>
          <w:b/>
          <w:bCs/>
        </w:rPr>
        <w:t>Q17</w:t>
      </w:r>
      <w:proofErr w:type="gramStart"/>
      <w:r w:rsidRPr="00571C4B">
        <w:rPr>
          <w:rFonts w:ascii="Tahoma" w:hAnsi="Tahoma" w:cs="Tahoma"/>
          <w:b/>
          <w:bCs/>
        </w:rPr>
        <w:t xml:space="preserve">: </w:t>
      </w:r>
      <w:r w:rsidR="00243835" w:rsidRPr="00571C4B">
        <w:rPr>
          <w:rFonts w:ascii="Tahoma" w:hAnsi="Tahoma" w:cs="Tahoma"/>
          <w:b/>
          <w:bCs/>
        </w:rPr>
        <w:tab/>
      </w:r>
      <w:r w:rsidRPr="00571C4B">
        <w:rPr>
          <w:rFonts w:ascii="Tahoma" w:hAnsi="Tahoma" w:cs="Tahoma"/>
          <w:b/>
          <w:bCs/>
        </w:rPr>
        <w:t>Many</w:t>
      </w:r>
      <w:proofErr w:type="gramEnd"/>
      <w:r w:rsidRPr="00571C4B">
        <w:rPr>
          <w:rFonts w:ascii="Tahoma" w:hAnsi="Tahoma" w:cs="Tahoma"/>
          <w:b/>
          <w:bCs/>
        </w:rPr>
        <w:t xml:space="preserve"> public entities, like school districts and transit agencies, operate sites that are not open to the </w:t>
      </w:r>
      <w:proofErr w:type="gramStart"/>
      <w:r w:rsidRPr="00571C4B">
        <w:rPr>
          <w:rFonts w:ascii="Tahoma" w:hAnsi="Tahoma" w:cs="Tahoma"/>
          <w:b/>
          <w:bCs/>
        </w:rPr>
        <w:t>general public</w:t>
      </w:r>
      <w:proofErr w:type="gramEnd"/>
      <w:r w:rsidRPr="00571C4B">
        <w:rPr>
          <w:rFonts w:ascii="Tahoma" w:hAnsi="Tahoma" w:cs="Tahoma"/>
          <w:b/>
          <w:bCs/>
        </w:rPr>
        <w:t xml:space="preserve"> but still serve an essential public function. Would the CEC clarify whether these are considered Private Access or Public Access? </w:t>
      </w:r>
    </w:p>
    <w:p w14:paraId="0B8333C4" w14:textId="77777777" w:rsidR="00156E25" w:rsidRPr="00571C4B" w:rsidRDefault="00156E25" w:rsidP="00243835">
      <w:pPr>
        <w:pStyle w:val="ListParagraph"/>
        <w:ind w:left="1440" w:hanging="720"/>
        <w:rPr>
          <w:rFonts w:ascii="Tahoma" w:hAnsi="Tahoma" w:cs="Tahoma"/>
          <w:b/>
          <w:bCs/>
        </w:rPr>
      </w:pPr>
    </w:p>
    <w:p w14:paraId="6268CF2B" w14:textId="22B24837" w:rsidR="00190EFB" w:rsidRPr="00571C4B" w:rsidRDefault="00156E25" w:rsidP="00243835">
      <w:pPr>
        <w:pStyle w:val="ListParagraph"/>
        <w:ind w:left="1440" w:hanging="720"/>
        <w:rPr>
          <w:rFonts w:ascii="Tahoma" w:hAnsi="Tahoma" w:cs="Tahoma"/>
          <w:b/>
          <w:bCs/>
          <w:u w:val="single"/>
        </w:rPr>
      </w:pPr>
      <w:r w:rsidRPr="00571C4B">
        <w:rPr>
          <w:rFonts w:ascii="Tahoma" w:hAnsi="Tahoma" w:cs="Tahoma"/>
        </w:rPr>
        <w:t>A17:</w:t>
      </w:r>
      <w:r w:rsidRPr="00571C4B">
        <w:rPr>
          <w:rFonts w:ascii="Tahoma" w:hAnsi="Tahoma" w:cs="Tahoma"/>
          <w:b/>
          <w:bCs/>
        </w:rPr>
        <w:t xml:space="preserve"> </w:t>
      </w:r>
      <w:r w:rsidR="00243835" w:rsidRPr="00571C4B">
        <w:rPr>
          <w:rFonts w:ascii="Tahoma" w:hAnsi="Tahoma" w:cs="Tahoma"/>
          <w:b/>
          <w:bCs/>
        </w:rPr>
        <w:tab/>
      </w:r>
      <w:r w:rsidRPr="00571C4B">
        <w:rPr>
          <w:rFonts w:ascii="Tahoma" w:hAnsi="Tahoma" w:cs="Tahoma"/>
        </w:rPr>
        <w:t xml:space="preserve">The CEC would consider this to be Private Access, or Shared Access if another fleet is using infrastructure at the depot. </w:t>
      </w:r>
      <w:r w:rsidR="004B5B62">
        <w:rPr>
          <w:rFonts w:ascii="Tahoma" w:hAnsi="Tahoma" w:cs="Tahoma"/>
        </w:rPr>
        <w:t>[</w:t>
      </w:r>
      <w:r w:rsidRPr="004B5B62">
        <w:rPr>
          <w:rFonts w:ascii="Tahoma" w:hAnsi="Tahoma" w:cs="Tahoma"/>
          <w:strike/>
        </w:rPr>
        <w:t>For the purposes of this solicitation, a school district’s or transit agency’s depot must propose infrastructure with at least 25% of the charging ports/hydrogen fueling positions available as Public Access during normal operating hours. The remaining 75% of infrastructure may be Public, Shared, or Private Access.</w:t>
      </w:r>
      <w:r w:rsidR="004B5B62">
        <w:rPr>
          <w:rFonts w:ascii="Tahoma" w:hAnsi="Tahoma" w:cs="Tahoma"/>
        </w:rPr>
        <w:t>]</w:t>
      </w:r>
      <w:r w:rsidRPr="00571C4B">
        <w:rPr>
          <w:rFonts w:ascii="Tahoma" w:hAnsi="Tahoma" w:cs="Tahoma"/>
          <w:b/>
          <w:bCs/>
        </w:rPr>
        <w:t xml:space="preserve"> </w:t>
      </w:r>
      <w:r w:rsidRPr="00571C4B">
        <w:rPr>
          <w:rFonts w:ascii="Tahoma" w:hAnsi="Tahoma" w:cs="Tahoma"/>
          <w:b/>
          <w:bCs/>
          <w:u w:val="single"/>
        </w:rPr>
        <w:t xml:space="preserve">Please see Section II.B.2 </w:t>
      </w:r>
      <w:r w:rsidR="00566FA0">
        <w:rPr>
          <w:rFonts w:ascii="Tahoma" w:hAnsi="Tahoma" w:cs="Tahoma"/>
          <w:b/>
          <w:bCs/>
          <w:u w:val="single"/>
        </w:rPr>
        <w:t xml:space="preserve">of Addendum 6 </w:t>
      </w:r>
      <w:r w:rsidRPr="00571C4B">
        <w:rPr>
          <w:rFonts w:ascii="Tahoma" w:hAnsi="Tahoma" w:cs="Tahoma"/>
          <w:b/>
          <w:bCs/>
          <w:u w:val="single"/>
        </w:rPr>
        <w:t>for more information about Public Access requirements.</w:t>
      </w:r>
    </w:p>
    <w:p w14:paraId="4D683921" w14:textId="77777777" w:rsidR="00B96E79" w:rsidRPr="00571C4B" w:rsidRDefault="00B96E79" w:rsidP="00243835">
      <w:pPr>
        <w:spacing w:after="120"/>
        <w:ind w:left="1440" w:hanging="720"/>
        <w:rPr>
          <w:rFonts w:ascii="Tahoma" w:hAnsi="Tahoma" w:cs="Tahoma"/>
          <w:b/>
          <w:bCs/>
        </w:rPr>
      </w:pPr>
    </w:p>
    <w:p w14:paraId="4407C126" w14:textId="39CD90F5" w:rsidR="00652B1A" w:rsidRPr="00571C4B" w:rsidRDefault="00652B1A" w:rsidP="00953290">
      <w:pPr>
        <w:spacing w:after="120"/>
        <w:ind w:left="1440" w:hanging="720"/>
        <w:rPr>
          <w:rFonts w:ascii="Tahoma" w:hAnsi="Tahoma" w:cs="Tahoma"/>
          <w:b/>
          <w:u w:val="single"/>
        </w:rPr>
      </w:pPr>
      <w:r w:rsidRPr="00571C4B">
        <w:rPr>
          <w:rFonts w:ascii="Tahoma" w:hAnsi="Tahoma" w:cs="Tahoma"/>
          <w:b/>
          <w:bCs/>
        </w:rPr>
        <w:t>Q18</w:t>
      </w:r>
      <w:proofErr w:type="gramStart"/>
      <w:r w:rsidRPr="00571C4B">
        <w:rPr>
          <w:rFonts w:ascii="Tahoma" w:hAnsi="Tahoma" w:cs="Tahoma"/>
          <w:b/>
          <w:bCs/>
        </w:rPr>
        <w:t>:</w:t>
      </w:r>
      <w:r w:rsidRPr="00571C4B">
        <w:rPr>
          <w:rFonts w:ascii="Tahoma" w:hAnsi="Tahoma" w:cs="Tahoma"/>
          <w:bCs/>
        </w:rPr>
        <w:t xml:space="preserve"> </w:t>
      </w:r>
      <w:r w:rsidR="00243835" w:rsidRPr="00571C4B">
        <w:rPr>
          <w:rFonts w:ascii="Tahoma" w:hAnsi="Tahoma" w:cs="Tahoma"/>
          <w:bCs/>
        </w:rPr>
        <w:tab/>
      </w:r>
      <w:r w:rsidRPr="00571C4B">
        <w:rPr>
          <w:rFonts w:ascii="Tahoma" w:hAnsi="Tahoma" w:cs="Tahoma"/>
          <w:b/>
          <w:bCs/>
        </w:rPr>
        <w:t>The</w:t>
      </w:r>
      <w:proofErr w:type="gramEnd"/>
      <w:r w:rsidRPr="00571C4B">
        <w:rPr>
          <w:rFonts w:ascii="Tahoma" w:hAnsi="Tahoma" w:cs="Tahoma"/>
          <w:b/>
          <w:bCs/>
        </w:rPr>
        <w:t xml:space="preserve"> new solicitation addendum requires sites to be open 25% of the time to the </w:t>
      </w:r>
      <w:proofErr w:type="gramStart"/>
      <w:r w:rsidRPr="00571C4B">
        <w:rPr>
          <w:rFonts w:ascii="Tahoma" w:hAnsi="Tahoma" w:cs="Tahoma"/>
          <w:b/>
          <w:bCs/>
        </w:rPr>
        <w:t>general public</w:t>
      </w:r>
      <w:proofErr w:type="gramEnd"/>
      <w:r w:rsidRPr="00571C4B">
        <w:rPr>
          <w:rFonts w:ascii="Tahoma" w:hAnsi="Tahoma" w:cs="Tahoma"/>
          <w:b/>
          <w:bCs/>
        </w:rPr>
        <w:t xml:space="preserve">. If a site is required to be open to the </w:t>
      </w:r>
      <w:proofErr w:type="gramStart"/>
      <w:r w:rsidRPr="00571C4B">
        <w:rPr>
          <w:rFonts w:ascii="Tahoma" w:hAnsi="Tahoma" w:cs="Tahoma"/>
          <w:b/>
          <w:bCs/>
        </w:rPr>
        <w:t>general public</w:t>
      </w:r>
      <w:proofErr w:type="gramEnd"/>
      <w:r w:rsidRPr="00571C4B">
        <w:rPr>
          <w:rFonts w:ascii="Tahoma" w:hAnsi="Tahoma" w:cs="Tahoma"/>
          <w:b/>
          <w:bCs/>
        </w:rPr>
        <w:t xml:space="preserve"> for part of the time, would those chargers then be subject to the same regulations and requirements as retail and public EVSE?</w:t>
      </w:r>
    </w:p>
    <w:p w14:paraId="7889AB30" w14:textId="0C2D652B" w:rsidR="00652B1A" w:rsidRPr="00571C4B" w:rsidRDefault="00652B1A" w:rsidP="00243835">
      <w:pPr>
        <w:spacing w:after="120"/>
        <w:ind w:left="1440" w:hanging="720"/>
        <w:rPr>
          <w:rFonts w:ascii="Tahoma" w:hAnsi="Tahoma" w:cs="Tahoma"/>
          <w:b/>
          <w:u w:val="single"/>
        </w:rPr>
      </w:pPr>
      <w:r w:rsidRPr="00571C4B">
        <w:rPr>
          <w:rFonts w:ascii="Tahoma" w:hAnsi="Tahoma" w:cs="Tahoma"/>
          <w:bCs/>
        </w:rPr>
        <w:t xml:space="preserve">A18: </w:t>
      </w:r>
      <w:r w:rsidR="00243835" w:rsidRPr="00571C4B">
        <w:rPr>
          <w:rFonts w:ascii="Tahoma" w:hAnsi="Tahoma" w:cs="Tahoma"/>
          <w:bCs/>
        </w:rPr>
        <w:tab/>
      </w:r>
      <w:r w:rsidRPr="00571C4B">
        <w:rPr>
          <w:rFonts w:ascii="Tahoma" w:hAnsi="Tahoma" w:cs="Tahoma"/>
          <w:bCs/>
        </w:rPr>
        <w:t>The requirement is not that the sites be open to the public 25% of the time. Under Section II B., the requirement is “For infrastructure projects providing charging or fueling for the fleets of public entities (other than California state government agencies, which are ineligible under this GFO</w:t>
      </w:r>
      <w:r w:rsidR="00BF610D" w:rsidRPr="00BF610D">
        <w:rPr>
          <w:rFonts w:ascii="Tahoma" w:hAnsi="Tahoma" w:cs="Tahoma"/>
          <w:b/>
          <w:u w:val="single"/>
        </w:rPr>
        <w:t>,</w:t>
      </w:r>
      <w:r w:rsidRPr="00BF610D">
        <w:rPr>
          <w:rFonts w:ascii="Tahoma" w:hAnsi="Tahoma" w:cs="Tahoma"/>
          <w:b/>
          <w:u w:val="single"/>
        </w:rPr>
        <w:t xml:space="preserve"> </w:t>
      </w:r>
      <w:r w:rsidRPr="00571C4B">
        <w:rPr>
          <w:rFonts w:ascii="Tahoma" w:hAnsi="Tahoma" w:cs="Tahoma"/>
          <w:b/>
          <w:bCs/>
          <w:u w:val="single"/>
        </w:rPr>
        <w:t>and entities covered by the exceptions listed in Section II.B.2</w:t>
      </w:r>
      <w:r w:rsidR="00850620">
        <w:rPr>
          <w:rFonts w:ascii="Tahoma" w:hAnsi="Tahoma" w:cs="Tahoma"/>
          <w:b/>
          <w:bCs/>
          <w:u w:val="single"/>
        </w:rPr>
        <w:t xml:space="preserve"> in Addendum 6</w:t>
      </w:r>
      <w:r w:rsidRPr="00571C4B">
        <w:rPr>
          <w:rFonts w:ascii="Tahoma" w:hAnsi="Tahoma" w:cs="Tahoma"/>
          <w:bCs/>
        </w:rPr>
        <w:t>), applicants must propose infrastructure with at least 25% of the charging ports/hydrogen fueling positions available as Public Access during normal operating hours. The remaining 75% of infrastructure may be Public, Shared, or Private Access.”</w:t>
      </w:r>
    </w:p>
    <w:p w14:paraId="1897715C" w14:textId="77777777" w:rsidR="003C780B" w:rsidRPr="00566C23" w:rsidRDefault="003C780B" w:rsidP="003C780B">
      <w:pPr>
        <w:spacing w:after="120"/>
        <w:ind w:left="1440" w:hanging="720"/>
        <w:rPr>
          <w:rFonts w:ascii="Tahoma" w:eastAsia="Tahoma" w:hAnsi="Tahoma" w:cs="Tahoma"/>
          <w:b/>
        </w:rPr>
      </w:pPr>
      <w:r w:rsidRPr="00566C23">
        <w:rPr>
          <w:rFonts w:ascii="Tahoma" w:eastAsia="Tahoma" w:hAnsi="Tahoma" w:cs="Tahoma"/>
          <w:b/>
        </w:rPr>
        <w:t>Q1</w:t>
      </w:r>
      <w:r>
        <w:rPr>
          <w:rFonts w:ascii="Tahoma" w:eastAsia="Tahoma" w:hAnsi="Tahoma" w:cs="Tahoma"/>
          <w:b/>
        </w:rPr>
        <w:t>9</w:t>
      </w:r>
      <w:r w:rsidRPr="00566C23">
        <w:rPr>
          <w:rFonts w:ascii="Tahoma" w:eastAsia="Tahoma" w:hAnsi="Tahoma" w:cs="Tahoma"/>
          <w:b/>
        </w:rPr>
        <w:t xml:space="preserve">: </w:t>
      </w:r>
      <w:r w:rsidRPr="000A6E3F">
        <w:rPr>
          <w:rFonts w:ascii="Tahoma" w:hAnsi="Tahoma" w:cs="Tahoma"/>
        </w:rPr>
        <w:tab/>
      </w:r>
      <w:r w:rsidRPr="00566C23">
        <w:rPr>
          <w:rFonts w:ascii="Tahoma" w:eastAsia="Tahoma" w:hAnsi="Tahoma" w:cs="Tahoma"/>
          <w:b/>
        </w:rPr>
        <w:t xml:space="preserve">Does the 25% public access requirement apply to public entities that are applying for </w:t>
      </w:r>
      <w:r w:rsidRPr="00566C23">
        <w:rPr>
          <w:rFonts w:ascii="Tahoma" w:eastAsia="Tahoma" w:hAnsi="Tahoma" w:cs="Tahoma"/>
          <w:b/>
          <w:i/>
        </w:rPr>
        <w:t>non-road, private-access chargers</w:t>
      </w:r>
      <w:r w:rsidRPr="00566C23">
        <w:rPr>
          <w:rFonts w:ascii="Tahoma" w:eastAsia="Tahoma" w:hAnsi="Tahoma" w:cs="Tahoma"/>
          <w:b/>
        </w:rPr>
        <w:t xml:space="preserve">? </w:t>
      </w:r>
    </w:p>
    <w:p w14:paraId="04E4954A" w14:textId="77777777" w:rsidR="003C780B" w:rsidRPr="00566C23" w:rsidRDefault="003C780B" w:rsidP="003C780B">
      <w:pPr>
        <w:ind w:left="720" w:hanging="720"/>
        <w:rPr>
          <w:rFonts w:ascii="Tahoma" w:eastAsia="Tahoma" w:hAnsi="Tahoma" w:cs="Tahoma"/>
          <w:b/>
        </w:rPr>
      </w:pPr>
    </w:p>
    <w:p w14:paraId="503FFA91" w14:textId="068476FB" w:rsidR="003C780B" w:rsidRPr="00566C23" w:rsidRDefault="003C780B" w:rsidP="003C780B">
      <w:pPr>
        <w:spacing w:after="120"/>
        <w:ind w:left="1440" w:hanging="720"/>
        <w:rPr>
          <w:rFonts w:ascii="Tahoma" w:eastAsia="Tahoma" w:hAnsi="Tahoma" w:cs="Tahoma"/>
        </w:rPr>
      </w:pPr>
      <w:r w:rsidRPr="00566C23">
        <w:rPr>
          <w:rFonts w:ascii="Tahoma" w:eastAsia="Tahoma" w:hAnsi="Tahoma" w:cs="Tahoma"/>
        </w:rPr>
        <w:t>A1</w:t>
      </w:r>
      <w:r>
        <w:rPr>
          <w:rFonts w:ascii="Tahoma" w:eastAsia="Tahoma" w:hAnsi="Tahoma" w:cs="Tahoma"/>
        </w:rPr>
        <w:t>9</w:t>
      </w:r>
      <w:r w:rsidRPr="00566C23">
        <w:rPr>
          <w:rFonts w:ascii="Tahoma" w:eastAsia="Tahoma" w:hAnsi="Tahoma" w:cs="Tahoma"/>
        </w:rPr>
        <w:t>:</w:t>
      </w:r>
      <w:r w:rsidRPr="000A6E3F">
        <w:rPr>
          <w:rFonts w:ascii="Tahoma" w:hAnsi="Tahoma" w:cs="Tahoma"/>
        </w:rPr>
        <w:tab/>
      </w:r>
      <w:r w:rsidRPr="00566C23">
        <w:rPr>
          <w:rFonts w:ascii="Tahoma" w:eastAsia="Tahoma" w:hAnsi="Tahoma" w:cs="Tahoma"/>
        </w:rPr>
        <w:t xml:space="preserve"> </w:t>
      </w:r>
      <w:r>
        <w:rPr>
          <w:rFonts w:ascii="Tahoma" w:eastAsia="Tahoma" w:hAnsi="Tahoma" w:cs="Tahoma"/>
        </w:rPr>
        <w:t>[</w:t>
      </w:r>
      <w:r w:rsidRPr="00177BC8">
        <w:rPr>
          <w:rFonts w:ascii="Tahoma" w:eastAsia="Tahoma" w:hAnsi="Tahoma" w:cs="Tahoma"/>
          <w:strike/>
        </w:rPr>
        <w:t>Yes.</w:t>
      </w:r>
      <w:r>
        <w:rPr>
          <w:rFonts w:ascii="Tahoma" w:eastAsia="Tahoma" w:hAnsi="Tahoma" w:cs="Tahoma"/>
        </w:rPr>
        <w:t xml:space="preserve">] </w:t>
      </w:r>
      <w:r w:rsidR="00224B30">
        <w:rPr>
          <w:rFonts w:ascii="Tahoma" w:eastAsia="Tahoma" w:hAnsi="Tahoma" w:cs="Tahoma"/>
          <w:b/>
          <w:bCs/>
          <w:u w:val="single"/>
        </w:rPr>
        <w:t>Please s</w:t>
      </w:r>
      <w:r>
        <w:rPr>
          <w:rFonts w:ascii="Tahoma" w:eastAsia="Tahoma" w:hAnsi="Tahoma" w:cs="Tahoma"/>
          <w:b/>
          <w:bCs/>
          <w:u w:val="single"/>
        </w:rPr>
        <w:t>ee</w:t>
      </w:r>
      <w:r w:rsidRPr="00177BC8">
        <w:rPr>
          <w:rFonts w:ascii="Tahoma" w:eastAsia="Tahoma" w:hAnsi="Tahoma" w:cs="Tahoma"/>
          <w:b/>
          <w:bCs/>
          <w:u w:val="single"/>
        </w:rPr>
        <w:t xml:space="preserve"> </w:t>
      </w:r>
      <w:r w:rsidR="009C0DD1">
        <w:rPr>
          <w:rFonts w:ascii="Tahoma" w:eastAsia="Tahoma" w:hAnsi="Tahoma" w:cs="Tahoma"/>
          <w:b/>
          <w:bCs/>
          <w:u w:val="single"/>
        </w:rPr>
        <w:t xml:space="preserve">exceptions to </w:t>
      </w:r>
      <w:r w:rsidR="00594533">
        <w:rPr>
          <w:rFonts w:ascii="Tahoma" w:eastAsia="Tahoma" w:hAnsi="Tahoma" w:cs="Tahoma"/>
          <w:b/>
          <w:bCs/>
          <w:u w:val="single"/>
        </w:rPr>
        <w:t>P</w:t>
      </w:r>
      <w:r w:rsidR="008F6CBF">
        <w:rPr>
          <w:rFonts w:ascii="Tahoma" w:eastAsia="Tahoma" w:hAnsi="Tahoma" w:cs="Tahoma"/>
          <w:b/>
          <w:bCs/>
          <w:u w:val="single"/>
        </w:rPr>
        <w:t xml:space="preserve">ublic </w:t>
      </w:r>
      <w:r w:rsidR="00594533">
        <w:rPr>
          <w:rFonts w:ascii="Tahoma" w:eastAsia="Tahoma" w:hAnsi="Tahoma" w:cs="Tahoma"/>
          <w:b/>
          <w:bCs/>
          <w:u w:val="single"/>
        </w:rPr>
        <w:t>A</w:t>
      </w:r>
      <w:r w:rsidR="008F6CBF">
        <w:rPr>
          <w:rFonts w:ascii="Tahoma" w:eastAsia="Tahoma" w:hAnsi="Tahoma" w:cs="Tahoma"/>
          <w:b/>
          <w:bCs/>
          <w:u w:val="single"/>
        </w:rPr>
        <w:t xml:space="preserve">ccess requirements in </w:t>
      </w:r>
      <w:r w:rsidRPr="00177BC8">
        <w:rPr>
          <w:rFonts w:ascii="Tahoma" w:eastAsia="Tahoma" w:hAnsi="Tahoma" w:cs="Tahoma"/>
          <w:b/>
          <w:bCs/>
          <w:u w:val="single"/>
        </w:rPr>
        <w:t xml:space="preserve">Section II.B.2. </w:t>
      </w:r>
      <w:r w:rsidR="008F6CBF">
        <w:rPr>
          <w:rFonts w:ascii="Tahoma" w:eastAsia="Tahoma" w:hAnsi="Tahoma" w:cs="Tahoma"/>
          <w:b/>
          <w:bCs/>
          <w:u w:val="single"/>
        </w:rPr>
        <w:t>in</w:t>
      </w:r>
      <w:r w:rsidRPr="00177BC8">
        <w:rPr>
          <w:rFonts w:ascii="Tahoma" w:eastAsia="Tahoma" w:hAnsi="Tahoma" w:cs="Tahoma"/>
          <w:b/>
          <w:bCs/>
          <w:u w:val="single"/>
        </w:rPr>
        <w:t xml:space="preserve"> Addendum 6.</w:t>
      </w:r>
    </w:p>
    <w:p w14:paraId="7EB7D7F1" w14:textId="77777777" w:rsidR="00065F85" w:rsidRDefault="00065F85" w:rsidP="00243835">
      <w:pPr>
        <w:ind w:left="1440" w:hanging="720"/>
        <w:rPr>
          <w:rFonts w:ascii="Tahoma" w:hAnsi="Tahoma" w:cs="Tahoma"/>
          <w:b/>
        </w:rPr>
      </w:pPr>
    </w:p>
    <w:p w14:paraId="771DB995" w14:textId="58A2F5AD" w:rsidR="00A50796" w:rsidRPr="00571C4B" w:rsidRDefault="00A50796" w:rsidP="00243835">
      <w:pPr>
        <w:ind w:left="1440" w:hanging="720"/>
        <w:rPr>
          <w:rFonts w:ascii="Tahoma" w:hAnsi="Tahoma" w:cs="Tahoma"/>
          <w:b/>
        </w:rPr>
      </w:pPr>
      <w:r w:rsidRPr="00571C4B">
        <w:rPr>
          <w:rFonts w:ascii="Tahoma" w:hAnsi="Tahoma" w:cs="Tahoma"/>
          <w:b/>
        </w:rPr>
        <w:t xml:space="preserve">Q20: </w:t>
      </w:r>
      <w:r w:rsidR="00243835" w:rsidRPr="00571C4B">
        <w:rPr>
          <w:rFonts w:ascii="Tahoma" w:hAnsi="Tahoma" w:cs="Tahoma"/>
          <w:b/>
        </w:rPr>
        <w:tab/>
      </w:r>
      <w:r w:rsidRPr="00571C4B">
        <w:rPr>
          <w:rFonts w:ascii="Tahoma" w:hAnsi="Tahoma" w:cs="Tahoma"/>
          <w:b/>
        </w:rPr>
        <w:t xml:space="preserve">Would a school district be required to comply with payment system requirements for public charging? Public school districts are not well-positioned to handle financial transactions or store sensitive user/payment data. Installing and operating a secure point-of-sale system is both costly and outside the core mission of this type of project which is to deliver students safely to and from school. Will CEC </w:t>
      </w:r>
      <w:r w:rsidRPr="00571C4B">
        <w:rPr>
          <w:rFonts w:ascii="Tahoma" w:hAnsi="Tahoma" w:cs="Tahoma"/>
          <w:b/>
        </w:rPr>
        <w:lastRenderedPageBreak/>
        <w:t xml:space="preserve">provide funding to cover these point-of-sale systems, and will applicants be allowed (or expected) to partner with third-party operators who can handle payments and data security? </w:t>
      </w:r>
    </w:p>
    <w:p w14:paraId="4A657E3E" w14:textId="77777777" w:rsidR="00A50796" w:rsidRPr="00571C4B" w:rsidRDefault="00A50796" w:rsidP="00243835">
      <w:pPr>
        <w:ind w:left="1440" w:hanging="720"/>
        <w:rPr>
          <w:rFonts w:ascii="Tahoma" w:hAnsi="Tahoma" w:cs="Tahoma"/>
          <w:b/>
          <w:u w:val="single"/>
        </w:rPr>
      </w:pPr>
    </w:p>
    <w:p w14:paraId="32A8E6C4" w14:textId="0150D70D" w:rsidR="00A50796" w:rsidRPr="00571C4B" w:rsidRDefault="00A50796" w:rsidP="00243835">
      <w:pPr>
        <w:spacing w:after="120"/>
        <w:ind w:left="1440" w:hanging="720"/>
        <w:rPr>
          <w:rFonts w:ascii="Tahoma" w:hAnsi="Tahoma" w:cs="Tahoma"/>
          <w:bCs/>
        </w:rPr>
      </w:pPr>
      <w:r w:rsidRPr="00571C4B">
        <w:rPr>
          <w:rFonts w:ascii="Tahoma" w:hAnsi="Tahoma" w:cs="Tahoma"/>
          <w:bCs/>
        </w:rPr>
        <w:t xml:space="preserve">A20: </w:t>
      </w:r>
      <w:r w:rsidR="00243835" w:rsidRPr="00571C4B">
        <w:rPr>
          <w:rFonts w:ascii="Tahoma" w:hAnsi="Tahoma" w:cs="Tahoma"/>
          <w:bCs/>
        </w:rPr>
        <w:tab/>
      </w:r>
      <w:r w:rsidRPr="00571C4B">
        <w:rPr>
          <w:rFonts w:ascii="Tahoma" w:hAnsi="Tahoma" w:cs="Tahoma"/>
          <w:b/>
          <w:u w:val="single"/>
        </w:rPr>
        <w:t xml:space="preserve">Please see exceptions to Public Access requirements in </w:t>
      </w:r>
      <w:r w:rsidR="00A75C00" w:rsidRPr="00571C4B">
        <w:rPr>
          <w:rFonts w:ascii="Tahoma" w:hAnsi="Tahoma" w:cs="Tahoma"/>
          <w:b/>
          <w:u w:val="single"/>
        </w:rPr>
        <w:t>S</w:t>
      </w:r>
      <w:r w:rsidRPr="00571C4B">
        <w:rPr>
          <w:rFonts w:ascii="Tahoma" w:hAnsi="Tahoma" w:cs="Tahoma"/>
          <w:b/>
          <w:u w:val="single"/>
        </w:rPr>
        <w:t>ection II.B.2</w:t>
      </w:r>
      <w:r w:rsidR="004876CD">
        <w:rPr>
          <w:rFonts w:ascii="Tahoma" w:hAnsi="Tahoma" w:cs="Tahoma"/>
          <w:b/>
          <w:u w:val="single"/>
        </w:rPr>
        <w:t xml:space="preserve"> in Addendum 6</w:t>
      </w:r>
      <w:r w:rsidRPr="00571C4B">
        <w:rPr>
          <w:rFonts w:ascii="Tahoma" w:hAnsi="Tahoma" w:cs="Tahoma"/>
          <w:b/>
          <w:u w:val="single"/>
        </w:rPr>
        <w:t xml:space="preserve">. If </w:t>
      </w:r>
      <w:r w:rsidR="00A75C00" w:rsidRPr="00571C4B">
        <w:rPr>
          <w:rFonts w:ascii="Tahoma" w:hAnsi="Tahoma" w:cs="Tahoma"/>
          <w:b/>
          <w:u w:val="single"/>
        </w:rPr>
        <w:t>the equipment</w:t>
      </w:r>
      <w:r w:rsidRPr="00571C4B">
        <w:rPr>
          <w:rFonts w:ascii="Tahoma" w:hAnsi="Tahoma" w:cs="Tahoma"/>
          <w:b/>
          <w:u w:val="single"/>
        </w:rPr>
        <w:t xml:space="preserve"> </w:t>
      </w:r>
      <w:proofErr w:type="gramStart"/>
      <w:r w:rsidRPr="00571C4B">
        <w:rPr>
          <w:rFonts w:ascii="Tahoma" w:hAnsi="Tahoma" w:cs="Tahoma"/>
          <w:b/>
          <w:u w:val="single"/>
        </w:rPr>
        <w:t>will be</w:t>
      </w:r>
      <w:proofErr w:type="gramEnd"/>
      <w:r w:rsidRPr="00571C4B">
        <w:rPr>
          <w:rFonts w:ascii="Tahoma" w:hAnsi="Tahoma" w:cs="Tahoma"/>
          <w:b/>
          <w:u w:val="single"/>
        </w:rPr>
        <w:t xml:space="preserve"> 100% public access, it must meet the requirements for public access charging stations listed in Section II.C. Minimum Technical Requirements for Electric Vehicle Charging</w:t>
      </w:r>
      <w:r w:rsidR="00EA0170" w:rsidRPr="00571C4B">
        <w:rPr>
          <w:rFonts w:ascii="Tahoma" w:hAnsi="Tahoma" w:cs="Tahoma"/>
          <w:b/>
          <w:u w:val="single"/>
        </w:rPr>
        <w:t xml:space="preserve"> Stations</w:t>
      </w:r>
      <w:r w:rsidRPr="00571C4B">
        <w:rPr>
          <w:rFonts w:ascii="Tahoma" w:hAnsi="Tahoma" w:cs="Tahoma"/>
          <w:b/>
          <w:u w:val="single"/>
        </w:rPr>
        <w:t xml:space="preserve">. </w:t>
      </w:r>
      <w:r w:rsidRPr="00571C4B">
        <w:rPr>
          <w:rFonts w:ascii="Tahoma" w:hAnsi="Tahoma" w:cs="Tahoma"/>
          <w:bCs/>
        </w:rPr>
        <w:t xml:space="preserve">There is no requirement for chargers to have a </w:t>
      </w:r>
      <w:proofErr w:type="gramStart"/>
      <w:r w:rsidRPr="00571C4B">
        <w:rPr>
          <w:rFonts w:ascii="Tahoma" w:hAnsi="Tahoma" w:cs="Tahoma"/>
          <w:bCs/>
        </w:rPr>
        <w:t>point of sale</w:t>
      </w:r>
      <w:proofErr w:type="gramEnd"/>
      <w:r w:rsidRPr="00571C4B">
        <w:rPr>
          <w:rFonts w:ascii="Tahoma" w:hAnsi="Tahoma" w:cs="Tahoma"/>
          <w:bCs/>
        </w:rPr>
        <w:t xml:space="preserve"> system. Nonetheless, point of sale systems are eligible reimbursable and match costs. Third-party operators may be included as an Applicant’s match share. </w:t>
      </w:r>
    </w:p>
    <w:p w14:paraId="14A9C9AB" w14:textId="77777777" w:rsidR="00A50796" w:rsidRPr="00571C4B" w:rsidRDefault="00A50796" w:rsidP="00243835">
      <w:pPr>
        <w:ind w:left="720"/>
        <w:rPr>
          <w:rFonts w:ascii="Tahoma" w:hAnsi="Tahoma" w:cs="Tahoma"/>
          <w:b/>
          <w:u w:val="single"/>
        </w:rPr>
      </w:pPr>
    </w:p>
    <w:p w14:paraId="50AA5E24" w14:textId="59C37E17" w:rsidR="00A50796" w:rsidRPr="00571C4B" w:rsidRDefault="00A50796" w:rsidP="00243835">
      <w:pPr>
        <w:spacing w:after="120"/>
        <w:ind w:left="1440" w:hanging="720"/>
        <w:rPr>
          <w:rFonts w:ascii="Tahoma" w:hAnsi="Tahoma" w:cs="Tahoma"/>
          <w:b/>
        </w:rPr>
      </w:pPr>
      <w:r w:rsidRPr="00571C4B">
        <w:rPr>
          <w:rFonts w:ascii="Tahoma" w:hAnsi="Tahoma" w:cs="Tahoma"/>
          <w:b/>
        </w:rPr>
        <w:t xml:space="preserve">Q21: The new public access requirement will likely cause additional maintenance burdens for applicants. Public chargers are significantly more expensive to maintain than private fleet chargers, and they’re also more susceptible to vandalism or damage. If a public-facing unit is vandalized and needs to be fully replaced, that could represent a very large unplanned expense for a school district. Can CEC clarify who would be responsible for covering these maintenance and replacement costs — the grantee, the district, or would there be supplemental funding available? </w:t>
      </w:r>
    </w:p>
    <w:p w14:paraId="32EA6DAF" w14:textId="77777777" w:rsidR="00A50796" w:rsidRPr="00571C4B" w:rsidRDefault="00A50796" w:rsidP="00243835">
      <w:pPr>
        <w:ind w:left="720"/>
        <w:rPr>
          <w:rFonts w:ascii="Tahoma" w:hAnsi="Tahoma" w:cs="Tahoma"/>
          <w:b/>
          <w:u w:val="single"/>
        </w:rPr>
      </w:pPr>
    </w:p>
    <w:p w14:paraId="667EADE9" w14:textId="1E516820" w:rsidR="00A50796" w:rsidRPr="00571C4B" w:rsidRDefault="00A50796" w:rsidP="00243835">
      <w:pPr>
        <w:spacing w:after="120"/>
        <w:ind w:left="1440" w:hanging="720"/>
        <w:rPr>
          <w:rFonts w:ascii="Tahoma" w:hAnsi="Tahoma" w:cs="Tahoma"/>
          <w:b/>
          <w:u w:val="single"/>
        </w:rPr>
      </w:pPr>
      <w:r w:rsidRPr="00571C4B">
        <w:rPr>
          <w:rFonts w:ascii="Tahoma" w:hAnsi="Tahoma" w:cs="Tahoma"/>
          <w:bCs/>
        </w:rPr>
        <w:t xml:space="preserve">A21: </w:t>
      </w:r>
      <w:r w:rsidRPr="00571C4B">
        <w:rPr>
          <w:rFonts w:ascii="Tahoma" w:hAnsi="Tahoma" w:cs="Tahoma"/>
          <w:bCs/>
        </w:rPr>
        <w:tab/>
        <w:t xml:space="preserve">Equipment maintenance (i.e. maintenance for chargers used to recharge school buses) for the term of the agreement may be included as an Applicant’s match share. The entity responsible for covering maintenance and replacement costs would be the grantee. </w:t>
      </w:r>
      <w:r w:rsidRPr="00571C4B">
        <w:rPr>
          <w:rFonts w:ascii="Tahoma" w:hAnsi="Tahoma" w:cs="Tahoma"/>
          <w:b/>
          <w:u w:val="single"/>
        </w:rPr>
        <w:t>Moreover, if the Applicant is a school district and their blueprint implementation project is solely for charging and/or refueling their vehicles (i.e. school buses), there is no Public Access requirement for their project.</w:t>
      </w:r>
      <w:r w:rsidR="000E13B9">
        <w:rPr>
          <w:rFonts w:ascii="Tahoma" w:hAnsi="Tahoma" w:cs="Tahoma"/>
          <w:b/>
          <w:u w:val="single"/>
        </w:rPr>
        <w:t xml:space="preserve"> See exceptions to Public Access requirements in Section II.B.2 in Addendum 6.</w:t>
      </w:r>
    </w:p>
    <w:p w14:paraId="45C7BF81" w14:textId="77777777" w:rsidR="00E128D0" w:rsidRPr="00571C4B" w:rsidRDefault="00E128D0" w:rsidP="00E128D0">
      <w:pPr>
        <w:ind w:left="1440" w:hanging="720"/>
        <w:rPr>
          <w:rFonts w:ascii="Tahoma" w:hAnsi="Tahoma" w:cs="Tahoma"/>
          <w:b/>
          <w:u w:val="single"/>
        </w:rPr>
      </w:pPr>
    </w:p>
    <w:p w14:paraId="6180050A" w14:textId="77777777" w:rsidR="00E128D0" w:rsidRPr="00571C4B" w:rsidRDefault="00E128D0" w:rsidP="00E128D0">
      <w:pPr>
        <w:ind w:left="1440" w:hanging="720"/>
        <w:rPr>
          <w:rFonts w:ascii="Tahoma" w:hAnsi="Tahoma" w:cs="Tahoma"/>
          <w:b/>
          <w:u w:val="single"/>
        </w:rPr>
      </w:pPr>
      <w:r w:rsidRPr="00571C4B">
        <w:rPr>
          <w:rFonts w:ascii="Tahoma" w:hAnsi="Tahoma" w:cs="Tahoma"/>
          <w:b/>
        </w:rPr>
        <w:t xml:space="preserve">Q26: </w:t>
      </w:r>
      <w:r w:rsidRPr="00571C4B">
        <w:rPr>
          <w:rFonts w:ascii="Tahoma" w:hAnsi="Tahoma" w:cs="Tahoma"/>
          <w:b/>
        </w:rPr>
        <w:tab/>
        <w:t xml:space="preserve">The Application Manual suggests Level 2 chargers may be eligible if they support MDHD battery electric vehicles (BEVs), but only DCFC outputs are listed in the funding table, and Section C states each port must provide at least 60 kW. Are Level 2 chargers eligible for CEC funding under this GFO if all other criteria are met (e.g., supporting at least two MDHD BEVs per charger)? </w:t>
      </w:r>
    </w:p>
    <w:p w14:paraId="074E4CB8" w14:textId="77777777" w:rsidR="00E128D0" w:rsidRPr="00571C4B" w:rsidRDefault="00E128D0" w:rsidP="00E128D0">
      <w:pPr>
        <w:ind w:left="1440" w:hanging="720"/>
        <w:rPr>
          <w:rFonts w:ascii="Tahoma" w:hAnsi="Tahoma" w:cs="Tahoma"/>
          <w:b/>
          <w:u w:val="single"/>
        </w:rPr>
      </w:pPr>
    </w:p>
    <w:p w14:paraId="61E1DA86" w14:textId="77777777" w:rsidR="00E128D0" w:rsidRPr="00571C4B" w:rsidRDefault="00E128D0" w:rsidP="00E128D0">
      <w:pPr>
        <w:ind w:left="1440" w:hanging="720"/>
        <w:rPr>
          <w:rFonts w:ascii="Tahoma" w:hAnsi="Tahoma" w:cs="Tahoma"/>
          <w:bCs/>
        </w:rPr>
      </w:pPr>
      <w:r w:rsidRPr="00571C4B">
        <w:rPr>
          <w:rFonts w:ascii="Tahoma" w:hAnsi="Tahoma" w:cs="Tahoma"/>
          <w:bCs/>
        </w:rPr>
        <w:t xml:space="preserve">A26: </w:t>
      </w:r>
      <w:r w:rsidRPr="00571C4B">
        <w:rPr>
          <w:rFonts w:ascii="Tahoma" w:hAnsi="Tahoma" w:cs="Tahoma"/>
          <w:bCs/>
        </w:rPr>
        <w:tab/>
        <w:t xml:space="preserve">Please see Addendum </w:t>
      </w:r>
      <w:r w:rsidRPr="00571C4B">
        <w:rPr>
          <w:rFonts w:ascii="Tahoma" w:hAnsi="Tahoma" w:cs="Tahoma"/>
          <w:b/>
          <w:u w:val="single"/>
        </w:rPr>
        <w:t>6</w:t>
      </w:r>
      <w:r w:rsidRPr="00571C4B">
        <w:rPr>
          <w:rFonts w:ascii="Tahoma" w:hAnsi="Tahoma" w:cs="Tahoma"/>
          <w:bCs/>
        </w:rPr>
        <w:t>[</w:t>
      </w:r>
      <w:r w:rsidRPr="00571C4B">
        <w:rPr>
          <w:rFonts w:ascii="Tahoma" w:hAnsi="Tahoma" w:cs="Tahoma"/>
          <w:bCs/>
          <w:strike/>
        </w:rPr>
        <w:t>5</w:t>
      </w:r>
      <w:r w:rsidRPr="00571C4B">
        <w:rPr>
          <w:rFonts w:ascii="Tahoma" w:hAnsi="Tahoma" w:cs="Tahoma"/>
          <w:bCs/>
        </w:rPr>
        <w:t>]. Level 2 chargers are eligible for CEC funding.</w:t>
      </w:r>
    </w:p>
    <w:p w14:paraId="6CC95A36" w14:textId="77777777" w:rsidR="00E128D0" w:rsidRPr="00571C4B" w:rsidRDefault="00E128D0" w:rsidP="00E128D0">
      <w:pPr>
        <w:ind w:left="1440" w:hanging="720"/>
        <w:rPr>
          <w:rFonts w:ascii="Tahoma" w:hAnsi="Tahoma" w:cs="Tahoma"/>
          <w:b/>
          <w:u w:val="single"/>
        </w:rPr>
      </w:pPr>
    </w:p>
    <w:p w14:paraId="042675B4" w14:textId="77777777" w:rsidR="007606B0" w:rsidRPr="00571C4B" w:rsidRDefault="007606B0" w:rsidP="007606B0">
      <w:pPr>
        <w:ind w:left="1440" w:hanging="720"/>
        <w:rPr>
          <w:rFonts w:ascii="Tahoma" w:eastAsia="Times New Roman" w:hAnsi="Tahoma" w:cs="Tahoma"/>
          <w:b/>
          <w:bCs/>
          <w:color w:val="000000"/>
        </w:rPr>
      </w:pPr>
      <w:r w:rsidRPr="00571C4B">
        <w:rPr>
          <w:rFonts w:ascii="Tahoma" w:hAnsi="Tahoma" w:cs="Tahoma"/>
          <w:b/>
          <w:bCs/>
        </w:rPr>
        <w:t>Q28:</w:t>
      </w:r>
      <w:r w:rsidRPr="00571C4B">
        <w:rPr>
          <w:rFonts w:ascii="Tahoma" w:hAnsi="Tahoma" w:cs="Tahoma"/>
        </w:rPr>
        <w:tab/>
      </w:r>
      <w:r w:rsidRPr="00571C4B">
        <w:rPr>
          <w:rFonts w:ascii="Tahoma" w:eastAsia="Times New Roman" w:hAnsi="Tahoma" w:cs="Tahoma"/>
          <w:b/>
          <w:color w:val="000000" w:themeColor="text1"/>
        </w:rPr>
        <w:t xml:space="preserve">Why are minimums on simultaneous power levels included in the solicitation? Many MDHD applications do not need more than Level 2, </w:t>
      </w:r>
      <w:r w:rsidRPr="00571C4B">
        <w:rPr>
          <w:rFonts w:ascii="Tahoma" w:eastAsia="Times New Roman" w:hAnsi="Tahoma" w:cs="Tahoma"/>
          <w:b/>
          <w:color w:val="000000" w:themeColor="text1"/>
        </w:rPr>
        <w:lastRenderedPageBreak/>
        <w:t xml:space="preserve">and this will inflate costs. Typical bidirectional equipment is 60kW as well, which makes this difficult for school </w:t>
      </w:r>
      <w:r w:rsidRPr="00571C4B">
        <w:rPr>
          <w:rFonts w:ascii="Tahoma" w:eastAsia="Times New Roman" w:hAnsi="Tahoma" w:cs="Tahoma"/>
          <w:b/>
          <w:bCs/>
          <w:color w:val="000000" w:themeColor="text1"/>
        </w:rPr>
        <w:t xml:space="preserve">districts. </w:t>
      </w:r>
    </w:p>
    <w:p w14:paraId="527E271F" w14:textId="77777777" w:rsidR="007606B0" w:rsidRPr="00571C4B" w:rsidRDefault="007606B0" w:rsidP="007606B0">
      <w:pPr>
        <w:ind w:left="1440" w:hanging="720"/>
        <w:rPr>
          <w:rFonts w:ascii="Tahoma" w:eastAsia="Times New Roman" w:hAnsi="Tahoma" w:cs="Tahoma"/>
          <w:color w:val="000000" w:themeColor="text1"/>
        </w:rPr>
      </w:pPr>
    </w:p>
    <w:p w14:paraId="4CAFBAF6" w14:textId="77777777" w:rsidR="007606B0" w:rsidRPr="00571C4B" w:rsidRDefault="007606B0" w:rsidP="007606B0">
      <w:pPr>
        <w:ind w:left="1440" w:hanging="720"/>
        <w:rPr>
          <w:rFonts w:ascii="Tahoma" w:hAnsi="Tahoma" w:cs="Tahoma"/>
        </w:rPr>
      </w:pPr>
      <w:r w:rsidRPr="00571C4B">
        <w:rPr>
          <w:rFonts w:ascii="Tahoma" w:eastAsia="Times New Roman" w:hAnsi="Tahoma" w:cs="Tahoma"/>
          <w:color w:val="000000" w:themeColor="text1"/>
        </w:rPr>
        <w:t>A28:</w:t>
      </w:r>
      <w:r w:rsidRPr="00571C4B">
        <w:rPr>
          <w:rFonts w:ascii="Tahoma" w:hAnsi="Tahoma" w:cs="Tahoma"/>
        </w:rPr>
        <w:tab/>
        <w:t xml:space="preserve">Please see Addendum </w:t>
      </w:r>
      <w:r w:rsidRPr="00571C4B">
        <w:rPr>
          <w:rFonts w:ascii="Tahoma" w:hAnsi="Tahoma" w:cs="Tahoma"/>
          <w:b/>
          <w:bCs/>
          <w:u w:val="single"/>
        </w:rPr>
        <w:t>6</w:t>
      </w:r>
      <w:r w:rsidRPr="00571C4B">
        <w:rPr>
          <w:rFonts w:ascii="Tahoma" w:hAnsi="Tahoma" w:cs="Tahoma"/>
        </w:rPr>
        <w:t>[</w:t>
      </w:r>
      <w:r w:rsidRPr="00571C4B">
        <w:rPr>
          <w:rFonts w:ascii="Tahoma" w:hAnsi="Tahoma" w:cs="Tahoma"/>
          <w:strike/>
        </w:rPr>
        <w:t>5</w:t>
      </w:r>
      <w:r w:rsidRPr="00571C4B">
        <w:rPr>
          <w:rFonts w:ascii="Tahoma" w:hAnsi="Tahoma" w:cs="Tahoma"/>
        </w:rPr>
        <w:t xml:space="preserve">] for new power level requirements (Section II.B.3). </w:t>
      </w:r>
      <w:r w:rsidRPr="00571C4B">
        <w:rPr>
          <w:rFonts w:ascii="Tahoma" w:eastAsia="Tahoma" w:hAnsi="Tahoma" w:cs="Tahoma"/>
        </w:rPr>
        <w:t>Level 2 chargers are eligible for CEC funding.</w:t>
      </w:r>
    </w:p>
    <w:p w14:paraId="0CA43C06" w14:textId="77777777" w:rsidR="007606B0" w:rsidRPr="00571C4B" w:rsidRDefault="007606B0" w:rsidP="007606B0">
      <w:pPr>
        <w:ind w:left="1440" w:hanging="720"/>
        <w:rPr>
          <w:rFonts w:ascii="Tahoma" w:hAnsi="Tahoma" w:cs="Tahoma"/>
        </w:rPr>
      </w:pPr>
      <w:r w:rsidRPr="00571C4B">
        <w:rPr>
          <w:rFonts w:ascii="Tahoma" w:eastAsia="Times New Roman" w:hAnsi="Tahoma" w:cs="Tahoma"/>
          <w:color w:val="000000" w:themeColor="text1"/>
        </w:rPr>
        <w:tab/>
      </w:r>
    </w:p>
    <w:p w14:paraId="139F5EB1" w14:textId="77777777" w:rsidR="007606B0" w:rsidRPr="00571C4B" w:rsidRDefault="007606B0" w:rsidP="007606B0">
      <w:pPr>
        <w:ind w:left="1440"/>
        <w:rPr>
          <w:rFonts w:ascii="Tahoma" w:hAnsi="Tahoma" w:cs="Tahoma"/>
        </w:rPr>
      </w:pPr>
      <w:r w:rsidRPr="00571C4B">
        <w:rPr>
          <w:rFonts w:ascii="Tahoma" w:hAnsi="Tahoma" w:cs="Tahoma"/>
        </w:rPr>
        <w:t xml:space="preserve">Additionally, minimums on simultaneous power levels are required if the electric vehicle charging station </w:t>
      </w:r>
      <w:proofErr w:type="gramStart"/>
      <w:r w:rsidRPr="00571C4B">
        <w:rPr>
          <w:rFonts w:ascii="Tahoma" w:hAnsi="Tahoma" w:cs="Tahoma"/>
        </w:rPr>
        <w:t>will be</w:t>
      </w:r>
      <w:proofErr w:type="gramEnd"/>
      <w:r w:rsidRPr="00571C4B">
        <w:rPr>
          <w:rFonts w:ascii="Tahoma" w:hAnsi="Tahoma" w:cs="Tahoma"/>
        </w:rPr>
        <w:t xml:space="preserve"> open for public access, and each charging station port must be capable of providing at least 200 kW (Section II.B.3.). If Automated Load Management (ALM) is being utilized, each charging station port must be capable of simultaneously providing at least 150 kW when all ports are in use. This requirement aims to provide sufficient charging speed for larger vehicles, facilitating efficient operations and reducing downtime. If the charging equipment is not for public use, the simultaneous power level minimums do not apply.</w:t>
      </w:r>
    </w:p>
    <w:p w14:paraId="64005BBB" w14:textId="77777777" w:rsidR="007606B0" w:rsidRPr="00571C4B" w:rsidRDefault="007606B0" w:rsidP="007606B0">
      <w:pPr>
        <w:ind w:left="1440" w:hanging="720"/>
        <w:rPr>
          <w:rFonts w:ascii="Tahoma" w:hAnsi="Tahoma" w:cs="Tahoma"/>
          <w:b/>
          <w:bCs/>
        </w:rPr>
      </w:pPr>
    </w:p>
    <w:p w14:paraId="7CCBEDF2" w14:textId="77777777" w:rsidR="007606B0" w:rsidRPr="00571C4B" w:rsidRDefault="007606B0" w:rsidP="007606B0">
      <w:pPr>
        <w:ind w:left="1440" w:hanging="720"/>
        <w:rPr>
          <w:rFonts w:ascii="Tahoma" w:eastAsia="Times New Roman" w:hAnsi="Tahoma" w:cs="Tahoma"/>
          <w:b/>
          <w:bCs/>
          <w:color w:val="000000"/>
        </w:rPr>
      </w:pPr>
      <w:r w:rsidRPr="00571C4B">
        <w:rPr>
          <w:rFonts w:ascii="Tahoma" w:hAnsi="Tahoma" w:cs="Tahoma"/>
          <w:b/>
          <w:bCs/>
        </w:rPr>
        <w:t>Q29:</w:t>
      </w:r>
      <w:r w:rsidRPr="00571C4B">
        <w:rPr>
          <w:rFonts w:ascii="Tahoma" w:hAnsi="Tahoma" w:cs="Tahoma"/>
        </w:rPr>
        <w:tab/>
      </w:r>
      <w:r w:rsidRPr="00571C4B">
        <w:rPr>
          <w:rFonts w:ascii="Tahoma" w:eastAsia="Times New Roman" w:hAnsi="Tahoma" w:cs="Tahoma"/>
          <w:b/>
          <w:color w:val="000000" w:themeColor="text1"/>
        </w:rPr>
        <w:t xml:space="preserve">Could </w:t>
      </w:r>
      <w:r w:rsidRPr="00571C4B">
        <w:rPr>
          <w:rFonts w:ascii="Tahoma" w:eastAsia="Times New Roman" w:hAnsi="Tahoma" w:cs="Tahoma"/>
          <w:b/>
          <w:bCs/>
        </w:rPr>
        <w:t>an application be eligible if it makes the case that a per-port power capacity below 80kW is in the economic and operational interest of the project?</w:t>
      </w:r>
    </w:p>
    <w:p w14:paraId="36745506" w14:textId="77777777" w:rsidR="007606B0" w:rsidRPr="00571C4B" w:rsidRDefault="007606B0" w:rsidP="007606B0">
      <w:pPr>
        <w:ind w:left="1440" w:hanging="720"/>
        <w:rPr>
          <w:rFonts w:ascii="Tahoma" w:hAnsi="Tahoma" w:cs="Tahoma"/>
        </w:rPr>
      </w:pPr>
    </w:p>
    <w:p w14:paraId="27EEA79D" w14:textId="77777777" w:rsidR="007606B0" w:rsidRPr="00571C4B" w:rsidRDefault="007606B0" w:rsidP="007606B0">
      <w:pPr>
        <w:ind w:left="1440" w:hanging="720"/>
        <w:rPr>
          <w:rFonts w:ascii="Tahoma" w:hAnsi="Tahoma" w:cs="Tahoma"/>
          <w:b/>
          <w:bCs/>
        </w:rPr>
      </w:pPr>
      <w:r w:rsidRPr="00571C4B">
        <w:rPr>
          <w:rFonts w:ascii="Tahoma" w:hAnsi="Tahoma" w:cs="Tahoma"/>
        </w:rPr>
        <w:t>A29:</w:t>
      </w:r>
      <w:r w:rsidRPr="00571C4B">
        <w:rPr>
          <w:rFonts w:ascii="Tahoma" w:hAnsi="Tahoma" w:cs="Tahoma"/>
        </w:rPr>
        <w:tab/>
        <w:t xml:space="preserve">Please see Addendum </w:t>
      </w:r>
      <w:r w:rsidRPr="00571C4B">
        <w:rPr>
          <w:rFonts w:ascii="Tahoma" w:hAnsi="Tahoma" w:cs="Tahoma"/>
          <w:b/>
          <w:bCs/>
          <w:u w:val="single"/>
        </w:rPr>
        <w:t>6</w:t>
      </w:r>
      <w:r w:rsidRPr="00571C4B">
        <w:rPr>
          <w:rFonts w:ascii="Tahoma" w:hAnsi="Tahoma" w:cs="Tahoma"/>
        </w:rPr>
        <w:t>[</w:t>
      </w:r>
      <w:r w:rsidRPr="00571C4B">
        <w:rPr>
          <w:rFonts w:ascii="Tahoma" w:hAnsi="Tahoma" w:cs="Tahoma"/>
          <w:strike/>
        </w:rPr>
        <w:t>5</w:t>
      </w:r>
      <w:r w:rsidRPr="00571C4B">
        <w:rPr>
          <w:rFonts w:ascii="Tahoma" w:hAnsi="Tahoma" w:cs="Tahoma"/>
        </w:rPr>
        <w:t>] for power level requirements. If the electric vehicle charging station will be Private Access or Shared Access, each charging port must be capable of at least Level 2 charging. (Section II.B.3). If the electric vehicle charging station will be Public Access, each charging station port must be capable of providing at least 200 kW. This requirement is designed to ensure that the infrastructure supports the deployment of and performance needs of medium- and heavy-duty zero-emission vehicles.</w:t>
      </w:r>
    </w:p>
    <w:p w14:paraId="002D96F0" w14:textId="77777777" w:rsidR="00E128D0" w:rsidRPr="00571C4B" w:rsidRDefault="00E128D0" w:rsidP="00E128D0">
      <w:pPr>
        <w:ind w:left="1440" w:hanging="720"/>
        <w:rPr>
          <w:rFonts w:ascii="Tahoma" w:hAnsi="Tahoma" w:cs="Tahoma"/>
          <w:b/>
          <w:u w:val="single"/>
        </w:rPr>
      </w:pPr>
    </w:p>
    <w:p w14:paraId="152582D3" w14:textId="77777777" w:rsidR="0076608A" w:rsidRPr="00571C4B" w:rsidRDefault="0076608A" w:rsidP="00243835">
      <w:pPr>
        <w:ind w:left="1440" w:hanging="720"/>
        <w:rPr>
          <w:rFonts w:ascii="Tahoma" w:eastAsia="Tahoma" w:hAnsi="Tahoma" w:cs="Tahoma"/>
          <w:b/>
          <w:color w:val="000000"/>
        </w:rPr>
      </w:pPr>
      <w:r w:rsidRPr="00571C4B">
        <w:rPr>
          <w:rFonts w:ascii="Tahoma" w:eastAsia="Tahoma" w:hAnsi="Tahoma" w:cs="Tahoma"/>
          <w:b/>
        </w:rPr>
        <w:t>Q32:</w:t>
      </w:r>
      <w:r w:rsidRPr="00571C4B">
        <w:rPr>
          <w:rFonts w:ascii="Tahoma" w:eastAsia="Calibri" w:hAnsi="Tahoma" w:cs="Tahoma"/>
        </w:rPr>
        <w:tab/>
      </w:r>
      <w:r w:rsidRPr="00571C4B">
        <w:rPr>
          <w:rFonts w:ascii="Tahoma" w:eastAsia="Tahoma" w:hAnsi="Tahoma" w:cs="Tahoma"/>
          <w:b/>
        </w:rPr>
        <w:t xml:space="preserve">The GFO Vehicle Deployment Requirements state: “... the fleet that is being provided with charging...must commit to...[a]t least three MDHD EVs per DC fast charger proposed for CEC funding.” Thus, if the project seeks to install 27 DC fast chargers, then the fleet must commit at least 81 MDHD EVs to the project. Do these Vehicle Deployment Requirements apply to off-road equipment or specialty vehicles? </w:t>
      </w:r>
    </w:p>
    <w:p w14:paraId="5B188B61" w14:textId="77777777" w:rsidR="0076608A" w:rsidRPr="00571C4B" w:rsidRDefault="0076608A" w:rsidP="00243835">
      <w:pPr>
        <w:ind w:left="1440"/>
        <w:rPr>
          <w:rFonts w:ascii="Tahoma" w:eastAsia="Tahoma" w:hAnsi="Tahoma" w:cs="Tahoma"/>
        </w:rPr>
      </w:pPr>
    </w:p>
    <w:p w14:paraId="57A7E0F4" w14:textId="21365645" w:rsidR="0076608A" w:rsidRPr="00571C4B" w:rsidRDefault="0076608A" w:rsidP="00243835">
      <w:pPr>
        <w:ind w:left="1440" w:hanging="720"/>
        <w:rPr>
          <w:rFonts w:ascii="Tahoma" w:eastAsia="Tahoma" w:hAnsi="Tahoma" w:cs="Tahoma"/>
        </w:rPr>
      </w:pPr>
      <w:r w:rsidRPr="00571C4B">
        <w:rPr>
          <w:rFonts w:ascii="Tahoma" w:eastAsia="Tahoma" w:hAnsi="Tahoma" w:cs="Tahoma"/>
        </w:rPr>
        <w:t xml:space="preserve">A32: </w:t>
      </w:r>
      <w:r w:rsidRPr="00571C4B">
        <w:rPr>
          <w:rFonts w:ascii="Calibri" w:eastAsia="Calibri" w:hAnsi="Calibri" w:cs="Arial"/>
          <w:sz w:val="22"/>
          <w:szCs w:val="22"/>
        </w:rPr>
        <w:tab/>
      </w:r>
      <w:r w:rsidRPr="00571C4B">
        <w:rPr>
          <w:rFonts w:ascii="Tahoma" w:eastAsia="Tahoma" w:hAnsi="Tahoma" w:cs="Tahoma"/>
        </w:rPr>
        <w:t xml:space="preserve">Please see Addendum </w:t>
      </w:r>
      <w:r w:rsidR="00F62106" w:rsidRPr="00571C4B">
        <w:rPr>
          <w:rFonts w:ascii="Tahoma" w:hAnsi="Tahoma" w:cs="Tahoma"/>
          <w:b/>
          <w:bCs/>
          <w:u w:val="single"/>
        </w:rPr>
        <w:t>6</w:t>
      </w:r>
      <w:r w:rsidR="00F62106" w:rsidRPr="00571C4B">
        <w:rPr>
          <w:rFonts w:ascii="Tahoma" w:eastAsia="Tahoma" w:hAnsi="Tahoma" w:cs="Tahoma"/>
        </w:rPr>
        <w:t>[</w:t>
      </w:r>
      <w:r w:rsidR="00F62106" w:rsidRPr="00571C4B">
        <w:rPr>
          <w:rFonts w:ascii="Tahoma" w:eastAsia="Tahoma" w:hAnsi="Tahoma" w:cs="Tahoma"/>
          <w:strike/>
        </w:rPr>
        <w:t>5</w:t>
      </w:r>
      <w:r w:rsidR="00F62106" w:rsidRPr="00571C4B">
        <w:rPr>
          <w:rFonts w:ascii="Tahoma" w:hAnsi="Tahoma" w:cs="Tahoma"/>
        </w:rPr>
        <w:t>]</w:t>
      </w:r>
      <w:r w:rsidRPr="00571C4B">
        <w:rPr>
          <w:rFonts w:ascii="Tahoma" w:eastAsia="Tahoma" w:hAnsi="Tahoma" w:cs="Tahoma"/>
        </w:rPr>
        <w:t>. A commitment of at least one (1) specialty vehicle, off-road equipment/vehicle, or non-road vehicle is required per charging port or refueling position.</w:t>
      </w:r>
    </w:p>
    <w:p w14:paraId="5E6DCCE0" w14:textId="77777777" w:rsidR="0076608A" w:rsidRPr="00571C4B" w:rsidRDefault="0076608A" w:rsidP="00243835">
      <w:pPr>
        <w:ind w:left="1440" w:hanging="720"/>
        <w:rPr>
          <w:rFonts w:ascii="Tahoma" w:eastAsia="Tahoma" w:hAnsi="Tahoma" w:cs="Tahoma"/>
          <w:b/>
          <w:bCs/>
        </w:rPr>
      </w:pPr>
    </w:p>
    <w:p w14:paraId="35599E38" w14:textId="77777777" w:rsidR="0076608A" w:rsidRPr="00571C4B" w:rsidRDefault="0076608A" w:rsidP="00243835">
      <w:pPr>
        <w:ind w:left="1440" w:hanging="720"/>
        <w:rPr>
          <w:rFonts w:ascii="Tahoma" w:eastAsia="Tahoma" w:hAnsi="Tahoma" w:cs="Tahoma"/>
          <w:b/>
          <w:color w:val="000000"/>
        </w:rPr>
      </w:pPr>
      <w:r w:rsidRPr="00571C4B">
        <w:rPr>
          <w:rFonts w:ascii="Tahoma" w:eastAsia="Tahoma" w:hAnsi="Tahoma" w:cs="Tahoma"/>
          <w:b/>
        </w:rPr>
        <w:t xml:space="preserve">Q33: </w:t>
      </w:r>
      <w:r w:rsidRPr="00571C4B">
        <w:rPr>
          <w:rFonts w:ascii="Tahoma" w:eastAsia="Calibri" w:hAnsi="Tahoma" w:cs="Tahoma"/>
        </w:rPr>
        <w:tab/>
      </w:r>
      <w:r w:rsidRPr="00571C4B">
        <w:rPr>
          <w:rFonts w:ascii="Tahoma" w:eastAsia="Tahoma" w:hAnsi="Tahoma" w:cs="Tahoma"/>
          <w:b/>
        </w:rPr>
        <w:t xml:space="preserve">Does each port count as a “DC fast charger” in the context of this text from the GFO: “... the fleet that is being provided with charging...must commit to...[a]t least three MDHD EVs per DC fast charger proposed for CEC funding.”  </w:t>
      </w:r>
    </w:p>
    <w:p w14:paraId="4A1792F3" w14:textId="77777777" w:rsidR="0076608A" w:rsidRPr="00571C4B" w:rsidRDefault="0076608A" w:rsidP="00243835">
      <w:pPr>
        <w:ind w:left="1440" w:hanging="720"/>
        <w:rPr>
          <w:rFonts w:ascii="Tahoma" w:eastAsia="Tahoma" w:hAnsi="Tahoma" w:cs="Tahoma"/>
        </w:rPr>
      </w:pPr>
    </w:p>
    <w:p w14:paraId="056D4E7F" w14:textId="42CCCFD1" w:rsidR="0076608A" w:rsidRPr="00571C4B" w:rsidRDefault="0076608A" w:rsidP="00243835">
      <w:pPr>
        <w:ind w:left="1440" w:hanging="720"/>
        <w:rPr>
          <w:rFonts w:ascii="Tahoma" w:eastAsia="Tahoma" w:hAnsi="Tahoma" w:cs="Tahoma"/>
          <w:i/>
          <w:iCs/>
        </w:rPr>
      </w:pPr>
      <w:r w:rsidRPr="00571C4B">
        <w:rPr>
          <w:rFonts w:ascii="Tahoma" w:eastAsia="Tahoma" w:hAnsi="Tahoma" w:cs="Tahoma"/>
        </w:rPr>
        <w:lastRenderedPageBreak/>
        <w:t xml:space="preserve">A33: </w:t>
      </w:r>
      <w:r w:rsidRPr="00571C4B">
        <w:rPr>
          <w:rFonts w:ascii="Calibri" w:eastAsia="Calibri" w:hAnsi="Calibri" w:cs="Arial"/>
          <w:sz w:val="22"/>
          <w:szCs w:val="22"/>
        </w:rPr>
        <w:tab/>
      </w:r>
      <w:r w:rsidRPr="00571C4B">
        <w:rPr>
          <w:rFonts w:ascii="Tahoma" w:eastAsia="Tahoma" w:hAnsi="Tahoma" w:cs="Tahoma"/>
        </w:rPr>
        <w:t xml:space="preserve">Please see Addendum </w:t>
      </w:r>
      <w:r w:rsidR="00F62106" w:rsidRPr="00571C4B">
        <w:rPr>
          <w:rFonts w:ascii="Tahoma" w:hAnsi="Tahoma" w:cs="Tahoma"/>
          <w:b/>
          <w:bCs/>
          <w:u w:val="single"/>
        </w:rPr>
        <w:t>6</w:t>
      </w:r>
      <w:r w:rsidR="00F62106" w:rsidRPr="00571C4B">
        <w:rPr>
          <w:rFonts w:ascii="Tahoma" w:eastAsia="Tahoma" w:hAnsi="Tahoma" w:cs="Tahoma"/>
        </w:rPr>
        <w:t>[</w:t>
      </w:r>
      <w:r w:rsidR="00F62106" w:rsidRPr="00571C4B">
        <w:rPr>
          <w:rFonts w:ascii="Tahoma" w:eastAsia="Tahoma" w:hAnsi="Tahoma" w:cs="Tahoma"/>
          <w:strike/>
        </w:rPr>
        <w:t>5</w:t>
      </w:r>
      <w:r w:rsidR="00F62106" w:rsidRPr="00571C4B">
        <w:rPr>
          <w:rFonts w:ascii="Tahoma" w:hAnsi="Tahoma" w:cs="Tahoma"/>
        </w:rPr>
        <w:t>]</w:t>
      </w:r>
      <w:r w:rsidRPr="00571C4B">
        <w:rPr>
          <w:rFonts w:ascii="Tahoma" w:eastAsia="Tahoma" w:hAnsi="Tahoma" w:cs="Tahoma"/>
        </w:rPr>
        <w:t xml:space="preserve">. The fleet that is being provided with charging or fueling must commit to “[a]t least three MDHD EVs per charging port proposed for CEC funding”, where the charging port is defined as </w:t>
      </w:r>
      <w:r w:rsidRPr="00571C4B">
        <w:rPr>
          <w:rFonts w:ascii="Tahoma" w:eastAsia="Tahoma" w:hAnsi="Tahoma" w:cs="Tahoma"/>
          <w:i/>
          <w:iCs/>
        </w:rPr>
        <w:t xml:space="preserve">“The system within a charger that charges one electric vehicle. A charging port may have multiple connectors, but it can provide power to charge only one electric vehicle through one connector at a time.” </w:t>
      </w:r>
    </w:p>
    <w:p w14:paraId="453E873F" w14:textId="77777777" w:rsidR="0079259F" w:rsidRPr="00571C4B" w:rsidRDefault="0079259F" w:rsidP="00243835">
      <w:pPr>
        <w:ind w:left="1440" w:hanging="720"/>
        <w:rPr>
          <w:rFonts w:ascii="Tahoma" w:eastAsia="Tahoma" w:hAnsi="Tahoma" w:cs="Tahoma"/>
          <w:i/>
          <w:iCs/>
          <w:color w:val="000000"/>
        </w:rPr>
      </w:pPr>
    </w:p>
    <w:p w14:paraId="5D68B740" w14:textId="77777777" w:rsidR="0079259F" w:rsidRPr="00571C4B" w:rsidRDefault="0079259F" w:rsidP="0079259F">
      <w:pPr>
        <w:ind w:left="1440" w:hanging="720"/>
        <w:rPr>
          <w:rFonts w:ascii="Tahoma" w:eastAsia="Tahoma" w:hAnsi="Tahoma" w:cs="Tahoma"/>
          <w:color w:val="000000" w:themeColor="text1"/>
        </w:rPr>
      </w:pPr>
      <w:r w:rsidRPr="00571C4B">
        <w:rPr>
          <w:rFonts w:ascii="Tahoma" w:eastAsia="Tahoma" w:hAnsi="Tahoma" w:cs="Tahoma"/>
          <w:b/>
        </w:rPr>
        <w:t>Q40:</w:t>
      </w:r>
      <w:r w:rsidRPr="00571C4B">
        <w:rPr>
          <w:rFonts w:ascii="Tahoma" w:hAnsi="Tahoma" w:cs="Tahoma"/>
        </w:rPr>
        <w:tab/>
      </w:r>
      <w:r w:rsidRPr="00571C4B">
        <w:rPr>
          <w:rFonts w:ascii="Tahoma" w:eastAsia="Tahoma" w:hAnsi="Tahoma" w:cs="Tahoma"/>
          <w:b/>
        </w:rPr>
        <w:t>In the GFO, one of the success criteria is average daily vehicle miles traveled (VMT). While this works well for projects deploying infrastructure that will serve MDHD trucks, VMT does not seem to be a good way of measuring the success of off-road or specialty equipment, such as forklifts, cargo handling equipment, or industrial equipment. Can you explain if VMT applies equally to such equipment and, if not, provide an alternative metric?’</w:t>
      </w:r>
      <w:r w:rsidRPr="00571C4B">
        <w:rPr>
          <w:rFonts w:ascii="Tahoma" w:eastAsia="Tahoma" w:hAnsi="Tahoma" w:cs="Tahoma"/>
        </w:rPr>
        <w:t xml:space="preserve"> </w:t>
      </w:r>
    </w:p>
    <w:p w14:paraId="154AFF80" w14:textId="77777777" w:rsidR="0079259F" w:rsidRPr="00571C4B" w:rsidRDefault="0079259F" w:rsidP="0079259F">
      <w:pPr>
        <w:ind w:left="1440" w:hanging="720"/>
        <w:rPr>
          <w:rFonts w:ascii="Tahoma" w:eastAsia="Tahoma" w:hAnsi="Tahoma" w:cs="Tahoma"/>
        </w:rPr>
      </w:pPr>
    </w:p>
    <w:p w14:paraId="793889FE" w14:textId="77777777" w:rsidR="0079259F" w:rsidRPr="00571C4B" w:rsidRDefault="0079259F" w:rsidP="0079259F">
      <w:pPr>
        <w:ind w:left="1440" w:hanging="720"/>
        <w:rPr>
          <w:rFonts w:ascii="Tahoma" w:eastAsia="Tahoma" w:hAnsi="Tahoma" w:cs="Tahoma"/>
        </w:rPr>
      </w:pPr>
      <w:r w:rsidRPr="00571C4B">
        <w:rPr>
          <w:rFonts w:ascii="Tahoma" w:eastAsia="Tahoma" w:hAnsi="Tahoma" w:cs="Tahoma"/>
        </w:rPr>
        <w:t xml:space="preserve">A40: </w:t>
      </w:r>
      <w:r w:rsidRPr="00571C4B">
        <w:rPr>
          <w:rFonts w:ascii="Tahoma" w:hAnsi="Tahoma" w:cs="Tahoma"/>
        </w:rPr>
        <w:tab/>
      </w:r>
      <w:r w:rsidRPr="00571C4B">
        <w:rPr>
          <w:rFonts w:ascii="Tahoma" w:eastAsia="Tahoma" w:hAnsi="Tahoma" w:cs="Tahoma"/>
        </w:rPr>
        <w:t xml:space="preserve">Please see Addendum </w:t>
      </w:r>
      <w:r w:rsidRPr="00571C4B">
        <w:rPr>
          <w:rFonts w:ascii="Tahoma" w:hAnsi="Tahoma" w:cs="Tahoma"/>
          <w:b/>
          <w:bCs/>
          <w:u w:val="single"/>
        </w:rPr>
        <w:t>6</w:t>
      </w:r>
      <w:r w:rsidRPr="00571C4B">
        <w:rPr>
          <w:rFonts w:ascii="Tahoma" w:hAnsi="Tahoma" w:cs="Tahoma"/>
        </w:rPr>
        <w:t>[</w:t>
      </w:r>
      <w:r w:rsidRPr="00571C4B">
        <w:rPr>
          <w:rFonts w:ascii="Tahoma" w:hAnsi="Tahoma" w:cs="Tahoma"/>
          <w:strike/>
        </w:rPr>
        <w:t>5</w:t>
      </w:r>
      <w:r w:rsidRPr="00571C4B">
        <w:rPr>
          <w:rFonts w:ascii="Tahoma" w:hAnsi="Tahoma" w:cs="Tahoma"/>
        </w:rPr>
        <w:t>]</w:t>
      </w:r>
      <w:r w:rsidRPr="00571C4B">
        <w:rPr>
          <w:rFonts w:ascii="Tahoma" w:eastAsia="Tahoma" w:hAnsi="Tahoma" w:cs="Tahoma"/>
        </w:rPr>
        <w:t xml:space="preserve">. In place of vehicle miles traveled, applicants must provide operations and average daily engine hours, as well as number of engine hours and fuel volume to be replaced by zero-emission alternatives for specialty, off-road, or non-road applications. </w:t>
      </w:r>
    </w:p>
    <w:p w14:paraId="00A1E206" w14:textId="77777777" w:rsidR="0079259F" w:rsidRPr="00571C4B" w:rsidRDefault="0079259F" w:rsidP="00243835">
      <w:pPr>
        <w:ind w:left="1440" w:hanging="720"/>
        <w:rPr>
          <w:rFonts w:ascii="Tahoma" w:eastAsia="Tahoma" w:hAnsi="Tahoma" w:cs="Tahoma"/>
          <w:i/>
          <w:iCs/>
          <w:color w:val="000000"/>
        </w:rPr>
      </w:pPr>
    </w:p>
    <w:p w14:paraId="0ABEF1F5" w14:textId="24E2AD98" w:rsidR="004A6BA3" w:rsidRPr="00571C4B" w:rsidRDefault="00156E25" w:rsidP="00243835">
      <w:pPr>
        <w:spacing w:after="120"/>
        <w:ind w:left="1440"/>
        <w:rPr>
          <w:rFonts w:ascii="Tahoma" w:hAnsi="Tahoma" w:cs="Tahoma"/>
          <w:b/>
          <w:u w:val="single"/>
        </w:rPr>
      </w:pPr>
      <w:r w:rsidRPr="00571C4B">
        <w:rPr>
          <w:rFonts w:ascii="Tahoma" w:hAnsi="Tahoma" w:cs="Tahoma"/>
          <w:b/>
          <w:u w:val="single"/>
        </w:rPr>
        <w:br/>
      </w:r>
    </w:p>
    <w:p w14:paraId="6A1E59F0" w14:textId="1F8719D2" w:rsidR="500B1B36" w:rsidRPr="00571C4B" w:rsidRDefault="001F246E" w:rsidP="2FECB163">
      <w:pPr>
        <w:spacing w:line="259" w:lineRule="auto"/>
      </w:pPr>
      <w:r w:rsidRPr="00571C4B">
        <w:rPr>
          <w:rFonts w:ascii="Tahoma" w:hAnsi="Tahoma" w:cs="Tahoma"/>
          <w:b/>
          <w:bCs/>
        </w:rPr>
        <w:t>Enrico Palo</w:t>
      </w:r>
    </w:p>
    <w:p w14:paraId="7BE46C3E" w14:textId="1B2B8157" w:rsidR="00CA59EA" w:rsidRPr="00920094" w:rsidRDefault="00B1122A" w:rsidP="00AD0BD5">
      <w:pPr>
        <w:rPr>
          <w:rFonts w:ascii="Tahoma" w:hAnsi="Tahoma" w:cs="Tahoma"/>
          <w:b/>
        </w:rPr>
      </w:pPr>
      <w:r w:rsidRPr="00571C4B">
        <w:rPr>
          <w:rFonts w:ascii="Tahoma" w:hAnsi="Tahoma" w:cs="Tahoma"/>
          <w:b/>
        </w:rPr>
        <w:t>Commission Agreement Officer</w:t>
      </w:r>
    </w:p>
    <w:sectPr w:rsidR="00CA59EA" w:rsidRPr="00920094" w:rsidSect="00BA556B">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ADF0" w14:textId="77777777" w:rsidR="00580B4B" w:rsidRDefault="00580B4B" w:rsidP="00F86D2B">
      <w:r>
        <w:separator/>
      </w:r>
    </w:p>
  </w:endnote>
  <w:endnote w:type="continuationSeparator" w:id="0">
    <w:p w14:paraId="6C9123D5" w14:textId="77777777" w:rsidR="00580B4B" w:rsidRDefault="00580B4B" w:rsidP="00F86D2B">
      <w:r>
        <w:continuationSeparator/>
      </w:r>
    </w:p>
  </w:endnote>
  <w:endnote w:type="continuationNotice" w:id="1">
    <w:p w14:paraId="271C4023" w14:textId="77777777" w:rsidR="00580B4B" w:rsidRDefault="00580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00C"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3EA3343B"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403AB6">
    <w:pPr>
      <w:pStyle w:val="Footer"/>
      <w:ind w:hanging="108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D486" w14:textId="77777777" w:rsidR="00580B4B" w:rsidRDefault="00580B4B" w:rsidP="00F86D2B">
      <w:r>
        <w:separator/>
      </w:r>
    </w:p>
  </w:footnote>
  <w:footnote w:type="continuationSeparator" w:id="0">
    <w:p w14:paraId="62BC7E9C" w14:textId="77777777" w:rsidR="00580B4B" w:rsidRDefault="00580B4B" w:rsidP="00F86D2B">
      <w:r>
        <w:continuationSeparator/>
      </w:r>
    </w:p>
  </w:footnote>
  <w:footnote w:type="continuationNotice" w:id="1">
    <w:p w14:paraId="095A8E39" w14:textId="77777777" w:rsidR="00580B4B" w:rsidRDefault="00580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7A1F"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986F28">
    <w:pPr>
      <w:pStyle w:val="Header"/>
      <w:ind w:hanging="720"/>
      <w:jc w:val="center"/>
    </w:pPr>
    <w:r>
      <w:rPr>
        <w:noProof/>
      </w:rPr>
      <w:drawing>
        <wp:inline distT="0" distB="0" distL="0" distR="0" wp14:anchorId="59ACF5EB" wp14:editId="3BF8E39E">
          <wp:extent cx="7458324" cy="883691"/>
          <wp:effectExtent l="0" t="0" r="0" b="0"/>
          <wp:docPr id="1851822862" name="Picture 1851822862"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480734" cy="88634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63D"/>
    <w:multiLevelType w:val="hybridMultilevel"/>
    <w:tmpl w:val="F814A9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0B1E"/>
    <w:multiLevelType w:val="hybridMultilevel"/>
    <w:tmpl w:val="A3F80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3407B"/>
    <w:multiLevelType w:val="hybridMultilevel"/>
    <w:tmpl w:val="92204332"/>
    <w:lvl w:ilvl="0" w:tplc="FFFFFFFF">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10210"/>
    <w:multiLevelType w:val="hybridMultilevel"/>
    <w:tmpl w:val="A10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C0B3F"/>
    <w:multiLevelType w:val="hybridMultilevel"/>
    <w:tmpl w:val="EF924478"/>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1B2CBFC8">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B80C40"/>
    <w:multiLevelType w:val="hybridMultilevel"/>
    <w:tmpl w:val="F5F6A298"/>
    <w:lvl w:ilvl="0" w:tplc="22DA6E6E">
      <w:start w:val="1"/>
      <w:numFmt w:val="bullet"/>
      <w:lvlText w:val=""/>
      <w:lvlJc w:val="left"/>
      <w:pPr>
        <w:ind w:left="360" w:hanging="360"/>
      </w:pPr>
      <w:rPr>
        <w:rFonts w:ascii="Symbol" w:hAnsi="Symbol" w:hint="default"/>
      </w:rPr>
    </w:lvl>
    <w:lvl w:ilvl="1" w:tplc="0AB8A4CC">
      <w:start w:val="1"/>
      <w:numFmt w:val="bullet"/>
      <w:lvlText w:val="o"/>
      <w:lvlJc w:val="left"/>
      <w:pPr>
        <w:ind w:left="1080" w:hanging="360"/>
      </w:pPr>
      <w:rPr>
        <w:rFonts w:ascii="Courier New" w:hAnsi="Courier New" w:hint="default"/>
      </w:rPr>
    </w:lvl>
    <w:lvl w:ilvl="2" w:tplc="AE1AC68E">
      <w:start w:val="1"/>
      <w:numFmt w:val="bullet"/>
      <w:lvlText w:val=""/>
      <w:lvlJc w:val="left"/>
      <w:pPr>
        <w:ind w:left="1800" w:hanging="360"/>
      </w:pPr>
      <w:rPr>
        <w:rFonts w:ascii="Wingdings" w:hAnsi="Wingdings" w:hint="default"/>
      </w:rPr>
    </w:lvl>
    <w:lvl w:ilvl="3" w:tplc="DCAA029E" w:tentative="1">
      <w:start w:val="1"/>
      <w:numFmt w:val="bullet"/>
      <w:lvlText w:val=""/>
      <w:lvlJc w:val="left"/>
      <w:pPr>
        <w:ind w:left="2520" w:hanging="360"/>
      </w:pPr>
      <w:rPr>
        <w:rFonts w:ascii="Symbol" w:hAnsi="Symbol" w:hint="default"/>
      </w:rPr>
    </w:lvl>
    <w:lvl w:ilvl="4" w:tplc="DB7A7CDA" w:tentative="1">
      <w:start w:val="1"/>
      <w:numFmt w:val="bullet"/>
      <w:lvlText w:val="o"/>
      <w:lvlJc w:val="left"/>
      <w:pPr>
        <w:ind w:left="3240" w:hanging="360"/>
      </w:pPr>
      <w:rPr>
        <w:rFonts w:ascii="Courier New" w:hAnsi="Courier New" w:hint="default"/>
      </w:rPr>
    </w:lvl>
    <w:lvl w:ilvl="5" w:tplc="165E5C7E" w:tentative="1">
      <w:start w:val="1"/>
      <w:numFmt w:val="bullet"/>
      <w:lvlText w:val=""/>
      <w:lvlJc w:val="left"/>
      <w:pPr>
        <w:ind w:left="3960" w:hanging="360"/>
      </w:pPr>
      <w:rPr>
        <w:rFonts w:ascii="Wingdings" w:hAnsi="Wingdings" w:hint="default"/>
      </w:rPr>
    </w:lvl>
    <w:lvl w:ilvl="6" w:tplc="C888C550" w:tentative="1">
      <w:start w:val="1"/>
      <w:numFmt w:val="bullet"/>
      <w:lvlText w:val=""/>
      <w:lvlJc w:val="left"/>
      <w:pPr>
        <w:ind w:left="4680" w:hanging="360"/>
      </w:pPr>
      <w:rPr>
        <w:rFonts w:ascii="Symbol" w:hAnsi="Symbol" w:hint="default"/>
      </w:rPr>
    </w:lvl>
    <w:lvl w:ilvl="7" w:tplc="3B88278E" w:tentative="1">
      <w:start w:val="1"/>
      <w:numFmt w:val="bullet"/>
      <w:lvlText w:val="o"/>
      <w:lvlJc w:val="left"/>
      <w:pPr>
        <w:ind w:left="5400" w:hanging="360"/>
      </w:pPr>
      <w:rPr>
        <w:rFonts w:ascii="Courier New" w:hAnsi="Courier New" w:hint="default"/>
      </w:rPr>
    </w:lvl>
    <w:lvl w:ilvl="8" w:tplc="FFE8EF20" w:tentative="1">
      <w:start w:val="1"/>
      <w:numFmt w:val="bullet"/>
      <w:lvlText w:val=""/>
      <w:lvlJc w:val="left"/>
      <w:pPr>
        <w:ind w:left="6120" w:hanging="360"/>
      </w:pPr>
      <w:rPr>
        <w:rFonts w:ascii="Wingdings" w:hAnsi="Wingdings" w:hint="default"/>
      </w:rPr>
    </w:lvl>
  </w:abstractNum>
  <w:abstractNum w:abstractNumId="10" w15:restartNumberingAfterBreak="0">
    <w:nsid w:val="54046B1A"/>
    <w:multiLevelType w:val="hybridMultilevel"/>
    <w:tmpl w:val="97760B5A"/>
    <w:lvl w:ilvl="0" w:tplc="FFFFFFFF">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E9E0DA4"/>
    <w:multiLevelType w:val="hybridMultilevel"/>
    <w:tmpl w:val="E51876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3A37EB8"/>
    <w:multiLevelType w:val="hybridMultilevel"/>
    <w:tmpl w:val="E44497E4"/>
    <w:lvl w:ilvl="0" w:tplc="8ED28DB6">
      <w:start w:val="1"/>
      <w:numFmt w:val="decimal"/>
      <w:lvlText w:val="%1."/>
      <w:lvlJc w:val="left"/>
      <w:pPr>
        <w:ind w:left="1800" w:hanging="360"/>
      </w:pPr>
      <w:rPr>
        <w:rFonts w:eastAsiaTheme="minorEastAsia"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1F7511"/>
    <w:multiLevelType w:val="hybridMultilevel"/>
    <w:tmpl w:val="7478955C"/>
    <w:lvl w:ilvl="0" w:tplc="FFFFFFFF">
      <w:start w:val="1"/>
      <w:numFmt w:val="decimal"/>
      <w:lvlText w:val="%1."/>
      <w:lvlJc w:val="left"/>
      <w:pPr>
        <w:ind w:left="360" w:hanging="360"/>
      </w:pPr>
      <w:rPr>
        <w:rFonts w:hint="default"/>
        <w:b/>
        <w:bCs/>
      </w:rPr>
    </w:lvl>
    <w:lvl w:ilvl="1" w:tplc="4D70551E">
      <w:start w:val="1"/>
      <w:numFmt w:val="lowerRoman"/>
      <w:lvlText w:val="%2."/>
      <w:lvlJc w:val="right"/>
      <w:pPr>
        <w:ind w:left="1080" w:hanging="360"/>
      </w:pPr>
      <w:rPr>
        <w:b w:val="0"/>
        <w:bCs w:val="0"/>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42884978">
    <w:abstractNumId w:val="8"/>
  </w:num>
  <w:num w:numId="2" w16cid:durableId="850022999">
    <w:abstractNumId w:val="5"/>
  </w:num>
  <w:num w:numId="3" w16cid:durableId="1293973762">
    <w:abstractNumId w:val="1"/>
  </w:num>
  <w:num w:numId="4" w16cid:durableId="1862087584">
    <w:abstractNumId w:val="3"/>
  </w:num>
  <w:num w:numId="5" w16cid:durableId="1434744100">
    <w:abstractNumId w:val="7"/>
  </w:num>
  <w:num w:numId="6" w16cid:durableId="1056470891">
    <w:abstractNumId w:val="2"/>
  </w:num>
  <w:num w:numId="7" w16cid:durableId="1389038589">
    <w:abstractNumId w:val="0"/>
  </w:num>
  <w:num w:numId="8" w16cid:durableId="1393037437">
    <w:abstractNumId w:val="13"/>
  </w:num>
  <w:num w:numId="9" w16cid:durableId="1671299166">
    <w:abstractNumId w:val="4"/>
  </w:num>
  <w:num w:numId="10" w16cid:durableId="597638409">
    <w:abstractNumId w:val="10"/>
  </w:num>
  <w:num w:numId="11" w16cid:durableId="474183292">
    <w:abstractNumId w:val="6"/>
  </w:num>
  <w:num w:numId="12" w16cid:durableId="79065717">
    <w:abstractNumId w:val="9"/>
  </w:num>
  <w:num w:numId="13" w16cid:durableId="1858419070">
    <w:abstractNumId w:val="12"/>
  </w:num>
  <w:num w:numId="14" w16cid:durableId="73624488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CFA"/>
    <w:rsid w:val="00005D84"/>
    <w:rsid w:val="00005DA1"/>
    <w:rsid w:val="000063B5"/>
    <w:rsid w:val="00006980"/>
    <w:rsid w:val="00006CBE"/>
    <w:rsid w:val="000073B8"/>
    <w:rsid w:val="00007C86"/>
    <w:rsid w:val="00007E4C"/>
    <w:rsid w:val="00011FBD"/>
    <w:rsid w:val="00013BAA"/>
    <w:rsid w:val="00013BB8"/>
    <w:rsid w:val="0001408A"/>
    <w:rsid w:val="000147FB"/>
    <w:rsid w:val="00015969"/>
    <w:rsid w:val="000172D2"/>
    <w:rsid w:val="00017C73"/>
    <w:rsid w:val="00020457"/>
    <w:rsid w:val="0002369F"/>
    <w:rsid w:val="00024043"/>
    <w:rsid w:val="000244B8"/>
    <w:rsid w:val="00025D4F"/>
    <w:rsid w:val="00027125"/>
    <w:rsid w:val="00027CBA"/>
    <w:rsid w:val="00030112"/>
    <w:rsid w:val="00030CD7"/>
    <w:rsid w:val="00033827"/>
    <w:rsid w:val="00035D03"/>
    <w:rsid w:val="00035DE2"/>
    <w:rsid w:val="00036B01"/>
    <w:rsid w:val="00037F66"/>
    <w:rsid w:val="0003818E"/>
    <w:rsid w:val="00041BD1"/>
    <w:rsid w:val="000436F7"/>
    <w:rsid w:val="000442AD"/>
    <w:rsid w:val="00046233"/>
    <w:rsid w:val="0004705B"/>
    <w:rsid w:val="0004705D"/>
    <w:rsid w:val="000510AC"/>
    <w:rsid w:val="00051294"/>
    <w:rsid w:val="00053B0A"/>
    <w:rsid w:val="00054EC6"/>
    <w:rsid w:val="000557AC"/>
    <w:rsid w:val="000564FC"/>
    <w:rsid w:val="00057AB2"/>
    <w:rsid w:val="00060591"/>
    <w:rsid w:val="00060A6F"/>
    <w:rsid w:val="000611BE"/>
    <w:rsid w:val="0006377F"/>
    <w:rsid w:val="00063941"/>
    <w:rsid w:val="00063B9D"/>
    <w:rsid w:val="00063CC7"/>
    <w:rsid w:val="000653A6"/>
    <w:rsid w:val="00065F85"/>
    <w:rsid w:val="00066161"/>
    <w:rsid w:val="00066DDE"/>
    <w:rsid w:val="00067503"/>
    <w:rsid w:val="000677AE"/>
    <w:rsid w:val="000678CE"/>
    <w:rsid w:val="0007042E"/>
    <w:rsid w:val="000705C3"/>
    <w:rsid w:val="00071316"/>
    <w:rsid w:val="00071594"/>
    <w:rsid w:val="000728DA"/>
    <w:rsid w:val="00074E58"/>
    <w:rsid w:val="00076083"/>
    <w:rsid w:val="000768E7"/>
    <w:rsid w:val="000808CB"/>
    <w:rsid w:val="000816BE"/>
    <w:rsid w:val="00081864"/>
    <w:rsid w:val="00082D36"/>
    <w:rsid w:val="000833C2"/>
    <w:rsid w:val="00084005"/>
    <w:rsid w:val="000862CF"/>
    <w:rsid w:val="0009064B"/>
    <w:rsid w:val="00090D4B"/>
    <w:rsid w:val="00091227"/>
    <w:rsid w:val="000922CE"/>
    <w:rsid w:val="00092DF0"/>
    <w:rsid w:val="00093184"/>
    <w:rsid w:val="000936CF"/>
    <w:rsid w:val="00094A74"/>
    <w:rsid w:val="000965FD"/>
    <w:rsid w:val="0009684A"/>
    <w:rsid w:val="00096A8B"/>
    <w:rsid w:val="0009741A"/>
    <w:rsid w:val="00097BFF"/>
    <w:rsid w:val="000A0FA4"/>
    <w:rsid w:val="000A133D"/>
    <w:rsid w:val="000A2B9D"/>
    <w:rsid w:val="000A4B2E"/>
    <w:rsid w:val="000A560E"/>
    <w:rsid w:val="000A57C0"/>
    <w:rsid w:val="000A6CE7"/>
    <w:rsid w:val="000A763B"/>
    <w:rsid w:val="000B06C0"/>
    <w:rsid w:val="000B2DF5"/>
    <w:rsid w:val="000B39C3"/>
    <w:rsid w:val="000B3A58"/>
    <w:rsid w:val="000B6028"/>
    <w:rsid w:val="000B6ADA"/>
    <w:rsid w:val="000B71AD"/>
    <w:rsid w:val="000C09AE"/>
    <w:rsid w:val="000C16AE"/>
    <w:rsid w:val="000C2B73"/>
    <w:rsid w:val="000C3FC1"/>
    <w:rsid w:val="000C435B"/>
    <w:rsid w:val="000C69AF"/>
    <w:rsid w:val="000C7E59"/>
    <w:rsid w:val="000D0AC9"/>
    <w:rsid w:val="000D4A7B"/>
    <w:rsid w:val="000D53E1"/>
    <w:rsid w:val="000D6791"/>
    <w:rsid w:val="000D79C3"/>
    <w:rsid w:val="000E01FA"/>
    <w:rsid w:val="000E0A56"/>
    <w:rsid w:val="000E13B9"/>
    <w:rsid w:val="000E15B0"/>
    <w:rsid w:val="000E31D6"/>
    <w:rsid w:val="000E433B"/>
    <w:rsid w:val="000E6CD9"/>
    <w:rsid w:val="000F0D5B"/>
    <w:rsid w:val="000F2180"/>
    <w:rsid w:val="000F3E5F"/>
    <w:rsid w:val="000F57C6"/>
    <w:rsid w:val="000F5BE1"/>
    <w:rsid w:val="000F7242"/>
    <w:rsid w:val="00103791"/>
    <w:rsid w:val="00104045"/>
    <w:rsid w:val="00105A42"/>
    <w:rsid w:val="00106742"/>
    <w:rsid w:val="00106C10"/>
    <w:rsid w:val="0010753C"/>
    <w:rsid w:val="00110B2A"/>
    <w:rsid w:val="00111D57"/>
    <w:rsid w:val="0011258C"/>
    <w:rsid w:val="00113B54"/>
    <w:rsid w:val="001151E5"/>
    <w:rsid w:val="00117CB8"/>
    <w:rsid w:val="00117E0A"/>
    <w:rsid w:val="00121791"/>
    <w:rsid w:val="00122045"/>
    <w:rsid w:val="001235F9"/>
    <w:rsid w:val="00123E80"/>
    <w:rsid w:val="0012416A"/>
    <w:rsid w:val="0012428F"/>
    <w:rsid w:val="00124EA0"/>
    <w:rsid w:val="00124FD9"/>
    <w:rsid w:val="001261BE"/>
    <w:rsid w:val="0012661F"/>
    <w:rsid w:val="00130CF4"/>
    <w:rsid w:val="0013208E"/>
    <w:rsid w:val="00133B4E"/>
    <w:rsid w:val="0013506C"/>
    <w:rsid w:val="00135B57"/>
    <w:rsid w:val="00136450"/>
    <w:rsid w:val="00136F30"/>
    <w:rsid w:val="00140123"/>
    <w:rsid w:val="0014043C"/>
    <w:rsid w:val="00142AD3"/>
    <w:rsid w:val="001448B6"/>
    <w:rsid w:val="001449AA"/>
    <w:rsid w:val="001457B1"/>
    <w:rsid w:val="00146C62"/>
    <w:rsid w:val="0014731B"/>
    <w:rsid w:val="001473AF"/>
    <w:rsid w:val="001477A0"/>
    <w:rsid w:val="00147B16"/>
    <w:rsid w:val="00147FBD"/>
    <w:rsid w:val="00151711"/>
    <w:rsid w:val="00153027"/>
    <w:rsid w:val="001534E0"/>
    <w:rsid w:val="0015411D"/>
    <w:rsid w:val="0015481B"/>
    <w:rsid w:val="001549B5"/>
    <w:rsid w:val="0015602E"/>
    <w:rsid w:val="00156E25"/>
    <w:rsid w:val="001570B1"/>
    <w:rsid w:val="00157F88"/>
    <w:rsid w:val="00160236"/>
    <w:rsid w:val="0016033C"/>
    <w:rsid w:val="0016187E"/>
    <w:rsid w:val="00162611"/>
    <w:rsid w:val="00163485"/>
    <w:rsid w:val="00164745"/>
    <w:rsid w:val="0016639C"/>
    <w:rsid w:val="001665C7"/>
    <w:rsid w:val="00167654"/>
    <w:rsid w:val="0017030F"/>
    <w:rsid w:val="001716C3"/>
    <w:rsid w:val="0017258F"/>
    <w:rsid w:val="00174A2D"/>
    <w:rsid w:val="00174E34"/>
    <w:rsid w:val="001760FE"/>
    <w:rsid w:val="00176857"/>
    <w:rsid w:val="00176A45"/>
    <w:rsid w:val="00183BEA"/>
    <w:rsid w:val="0018440F"/>
    <w:rsid w:val="00185140"/>
    <w:rsid w:val="00185E8D"/>
    <w:rsid w:val="001864C1"/>
    <w:rsid w:val="00187140"/>
    <w:rsid w:val="00187E1A"/>
    <w:rsid w:val="00190B05"/>
    <w:rsid w:val="00190EFB"/>
    <w:rsid w:val="0019128A"/>
    <w:rsid w:val="00191607"/>
    <w:rsid w:val="001927C0"/>
    <w:rsid w:val="00192A55"/>
    <w:rsid w:val="001936D5"/>
    <w:rsid w:val="00193972"/>
    <w:rsid w:val="00193CBF"/>
    <w:rsid w:val="0019407E"/>
    <w:rsid w:val="00194DC6"/>
    <w:rsid w:val="00195364"/>
    <w:rsid w:val="00196F52"/>
    <w:rsid w:val="00197C74"/>
    <w:rsid w:val="001A137C"/>
    <w:rsid w:val="001A2082"/>
    <w:rsid w:val="001A5B69"/>
    <w:rsid w:val="001A5D66"/>
    <w:rsid w:val="001A7FEC"/>
    <w:rsid w:val="001B0F25"/>
    <w:rsid w:val="001B1804"/>
    <w:rsid w:val="001B1AB3"/>
    <w:rsid w:val="001B24E2"/>
    <w:rsid w:val="001B2889"/>
    <w:rsid w:val="001B2D6F"/>
    <w:rsid w:val="001B6312"/>
    <w:rsid w:val="001C2ED2"/>
    <w:rsid w:val="001C3201"/>
    <w:rsid w:val="001C3CDA"/>
    <w:rsid w:val="001C4AE1"/>
    <w:rsid w:val="001C5631"/>
    <w:rsid w:val="001C605E"/>
    <w:rsid w:val="001C6A3B"/>
    <w:rsid w:val="001C72CA"/>
    <w:rsid w:val="001D04F4"/>
    <w:rsid w:val="001D0DEE"/>
    <w:rsid w:val="001D1BAA"/>
    <w:rsid w:val="001D1C3D"/>
    <w:rsid w:val="001D3FB8"/>
    <w:rsid w:val="001D48CF"/>
    <w:rsid w:val="001D4D40"/>
    <w:rsid w:val="001D6C4D"/>
    <w:rsid w:val="001D6CF5"/>
    <w:rsid w:val="001E0201"/>
    <w:rsid w:val="001E4C6B"/>
    <w:rsid w:val="001E6852"/>
    <w:rsid w:val="001E73D1"/>
    <w:rsid w:val="001F0E43"/>
    <w:rsid w:val="001F1FC1"/>
    <w:rsid w:val="001F246E"/>
    <w:rsid w:val="001F26E8"/>
    <w:rsid w:val="001F2E2E"/>
    <w:rsid w:val="001F3152"/>
    <w:rsid w:val="001F478B"/>
    <w:rsid w:val="001F5214"/>
    <w:rsid w:val="001F62F3"/>
    <w:rsid w:val="001F6300"/>
    <w:rsid w:val="002007A1"/>
    <w:rsid w:val="00203587"/>
    <w:rsid w:val="00203B46"/>
    <w:rsid w:val="00204718"/>
    <w:rsid w:val="0020542A"/>
    <w:rsid w:val="00205D2C"/>
    <w:rsid w:val="00205D3F"/>
    <w:rsid w:val="0020648F"/>
    <w:rsid w:val="00206D7E"/>
    <w:rsid w:val="00210F3E"/>
    <w:rsid w:val="00211859"/>
    <w:rsid w:val="002121E7"/>
    <w:rsid w:val="002137AE"/>
    <w:rsid w:val="002168C6"/>
    <w:rsid w:val="00216A85"/>
    <w:rsid w:val="00216E59"/>
    <w:rsid w:val="00221367"/>
    <w:rsid w:val="00221879"/>
    <w:rsid w:val="00221C82"/>
    <w:rsid w:val="002243F4"/>
    <w:rsid w:val="0022489D"/>
    <w:rsid w:val="00224B30"/>
    <w:rsid w:val="002256A0"/>
    <w:rsid w:val="002267A1"/>
    <w:rsid w:val="002267D6"/>
    <w:rsid w:val="00227C4F"/>
    <w:rsid w:val="002312F4"/>
    <w:rsid w:val="00232147"/>
    <w:rsid w:val="00233693"/>
    <w:rsid w:val="00235022"/>
    <w:rsid w:val="00235167"/>
    <w:rsid w:val="00242B10"/>
    <w:rsid w:val="00242D2C"/>
    <w:rsid w:val="00243835"/>
    <w:rsid w:val="002454C4"/>
    <w:rsid w:val="002462BF"/>
    <w:rsid w:val="00246921"/>
    <w:rsid w:val="00250E38"/>
    <w:rsid w:val="00250E96"/>
    <w:rsid w:val="002512E1"/>
    <w:rsid w:val="0025265A"/>
    <w:rsid w:val="00252EA8"/>
    <w:rsid w:val="0025343E"/>
    <w:rsid w:val="002540AB"/>
    <w:rsid w:val="00254D04"/>
    <w:rsid w:val="00255BCA"/>
    <w:rsid w:val="00256800"/>
    <w:rsid w:val="00256C04"/>
    <w:rsid w:val="002572D4"/>
    <w:rsid w:val="002577F3"/>
    <w:rsid w:val="00261A28"/>
    <w:rsid w:val="00262018"/>
    <w:rsid w:val="00262D0D"/>
    <w:rsid w:val="00262EBE"/>
    <w:rsid w:val="00263646"/>
    <w:rsid w:val="002636E7"/>
    <w:rsid w:val="0026385E"/>
    <w:rsid w:val="00263C52"/>
    <w:rsid w:val="00264EA1"/>
    <w:rsid w:val="002652F2"/>
    <w:rsid w:val="00265ED6"/>
    <w:rsid w:val="00265F4C"/>
    <w:rsid w:val="00266739"/>
    <w:rsid w:val="002670B3"/>
    <w:rsid w:val="002670D4"/>
    <w:rsid w:val="0026739C"/>
    <w:rsid w:val="002675E9"/>
    <w:rsid w:val="002713ED"/>
    <w:rsid w:val="002729BC"/>
    <w:rsid w:val="002747CF"/>
    <w:rsid w:val="00274C4C"/>
    <w:rsid w:val="0027534D"/>
    <w:rsid w:val="002753C1"/>
    <w:rsid w:val="002803CB"/>
    <w:rsid w:val="00281BB0"/>
    <w:rsid w:val="0028219B"/>
    <w:rsid w:val="002829DB"/>
    <w:rsid w:val="002850A6"/>
    <w:rsid w:val="00292E6D"/>
    <w:rsid w:val="00292F10"/>
    <w:rsid w:val="00293842"/>
    <w:rsid w:val="00293F3F"/>
    <w:rsid w:val="00294C1C"/>
    <w:rsid w:val="002977F8"/>
    <w:rsid w:val="002A0650"/>
    <w:rsid w:val="002A2C80"/>
    <w:rsid w:val="002A312D"/>
    <w:rsid w:val="002A330A"/>
    <w:rsid w:val="002A5123"/>
    <w:rsid w:val="002A5E73"/>
    <w:rsid w:val="002A5E85"/>
    <w:rsid w:val="002A5F7A"/>
    <w:rsid w:val="002A6474"/>
    <w:rsid w:val="002B1A5D"/>
    <w:rsid w:val="002B319C"/>
    <w:rsid w:val="002B34B4"/>
    <w:rsid w:val="002B3D9A"/>
    <w:rsid w:val="002B4FE5"/>
    <w:rsid w:val="002B6615"/>
    <w:rsid w:val="002B6A4A"/>
    <w:rsid w:val="002C3A9E"/>
    <w:rsid w:val="002C6259"/>
    <w:rsid w:val="002D020F"/>
    <w:rsid w:val="002D0ACB"/>
    <w:rsid w:val="002D11A5"/>
    <w:rsid w:val="002D15E5"/>
    <w:rsid w:val="002D3F4D"/>
    <w:rsid w:val="002D506D"/>
    <w:rsid w:val="002D5573"/>
    <w:rsid w:val="002D5865"/>
    <w:rsid w:val="002D5924"/>
    <w:rsid w:val="002D74C3"/>
    <w:rsid w:val="002E01BB"/>
    <w:rsid w:val="002E0E7A"/>
    <w:rsid w:val="002E1315"/>
    <w:rsid w:val="002E33EF"/>
    <w:rsid w:val="002E34FB"/>
    <w:rsid w:val="002E4955"/>
    <w:rsid w:val="002E4B36"/>
    <w:rsid w:val="002E4EAD"/>
    <w:rsid w:val="002E6E83"/>
    <w:rsid w:val="002E7F62"/>
    <w:rsid w:val="002F0950"/>
    <w:rsid w:val="002F2B94"/>
    <w:rsid w:val="002F3357"/>
    <w:rsid w:val="002F39EE"/>
    <w:rsid w:val="002F407D"/>
    <w:rsid w:val="00300FB1"/>
    <w:rsid w:val="00303130"/>
    <w:rsid w:val="0030410C"/>
    <w:rsid w:val="00304875"/>
    <w:rsid w:val="00305227"/>
    <w:rsid w:val="0030692B"/>
    <w:rsid w:val="00306AA9"/>
    <w:rsid w:val="00306C82"/>
    <w:rsid w:val="003077B7"/>
    <w:rsid w:val="00310A6B"/>
    <w:rsid w:val="00310A92"/>
    <w:rsid w:val="00311FCA"/>
    <w:rsid w:val="00313A53"/>
    <w:rsid w:val="00313B02"/>
    <w:rsid w:val="003142CC"/>
    <w:rsid w:val="0031556C"/>
    <w:rsid w:val="00315EC9"/>
    <w:rsid w:val="003169A7"/>
    <w:rsid w:val="003172B7"/>
    <w:rsid w:val="00320AD2"/>
    <w:rsid w:val="00321832"/>
    <w:rsid w:val="0032209C"/>
    <w:rsid w:val="00322998"/>
    <w:rsid w:val="00323D65"/>
    <w:rsid w:val="00325ED4"/>
    <w:rsid w:val="003273DD"/>
    <w:rsid w:val="00330581"/>
    <w:rsid w:val="00331BA0"/>
    <w:rsid w:val="00332A3E"/>
    <w:rsid w:val="00333768"/>
    <w:rsid w:val="00335863"/>
    <w:rsid w:val="00337025"/>
    <w:rsid w:val="00337D83"/>
    <w:rsid w:val="00340ABF"/>
    <w:rsid w:val="00344417"/>
    <w:rsid w:val="00345ED3"/>
    <w:rsid w:val="003468DD"/>
    <w:rsid w:val="00346A69"/>
    <w:rsid w:val="00346B06"/>
    <w:rsid w:val="003526C5"/>
    <w:rsid w:val="00352EF2"/>
    <w:rsid w:val="00353364"/>
    <w:rsid w:val="0035371B"/>
    <w:rsid w:val="00353981"/>
    <w:rsid w:val="00355865"/>
    <w:rsid w:val="00355CE1"/>
    <w:rsid w:val="00356C62"/>
    <w:rsid w:val="00356E1A"/>
    <w:rsid w:val="00356F9C"/>
    <w:rsid w:val="00360B10"/>
    <w:rsid w:val="00360BE0"/>
    <w:rsid w:val="00360ED1"/>
    <w:rsid w:val="00361917"/>
    <w:rsid w:val="0036761D"/>
    <w:rsid w:val="0037114C"/>
    <w:rsid w:val="003714BA"/>
    <w:rsid w:val="003729D0"/>
    <w:rsid w:val="00373169"/>
    <w:rsid w:val="003744CB"/>
    <w:rsid w:val="00375727"/>
    <w:rsid w:val="00375A65"/>
    <w:rsid w:val="00375F4A"/>
    <w:rsid w:val="0037614B"/>
    <w:rsid w:val="00376F8E"/>
    <w:rsid w:val="00377E7A"/>
    <w:rsid w:val="0038240B"/>
    <w:rsid w:val="00382D10"/>
    <w:rsid w:val="00385634"/>
    <w:rsid w:val="00387642"/>
    <w:rsid w:val="00390969"/>
    <w:rsid w:val="00391FC2"/>
    <w:rsid w:val="003938F1"/>
    <w:rsid w:val="00396780"/>
    <w:rsid w:val="00397367"/>
    <w:rsid w:val="003A0639"/>
    <w:rsid w:val="003A14C0"/>
    <w:rsid w:val="003A1602"/>
    <w:rsid w:val="003A3A36"/>
    <w:rsid w:val="003A4749"/>
    <w:rsid w:val="003A605D"/>
    <w:rsid w:val="003A62F7"/>
    <w:rsid w:val="003A685E"/>
    <w:rsid w:val="003B0CF8"/>
    <w:rsid w:val="003B149F"/>
    <w:rsid w:val="003B1A9F"/>
    <w:rsid w:val="003B23FF"/>
    <w:rsid w:val="003B2535"/>
    <w:rsid w:val="003B2D4A"/>
    <w:rsid w:val="003B38FD"/>
    <w:rsid w:val="003B39C4"/>
    <w:rsid w:val="003B40A3"/>
    <w:rsid w:val="003B4C06"/>
    <w:rsid w:val="003B4DF6"/>
    <w:rsid w:val="003B6E88"/>
    <w:rsid w:val="003B787B"/>
    <w:rsid w:val="003C0B8E"/>
    <w:rsid w:val="003C19A2"/>
    <w:rsid w:val="003C36DE"/>
    <w:rsid w:val="003C47B8"/>
    <w:rsid w:val="003C55A4"/>
    <w:rsid w:val="003C60F2"/>
    <w:rsid w:val="003C6E6E"/>
    <w:rsid w:val="003C746B"/>
    <w:rsid w:val="003C780B"/>
    <w:rsid w:val="003C7B84"/>
    <w:rsid w:val="003D0C68"/>
    <w:rsid w:val="003D21A6"/>
    <w:rsid w:val="003D50D5"/>
    <w:rsid w:val="003D575C"/>
    <w:rsid w:val="003D5F92"/>
    <w:rsid w:val="003D738A"/>
    <w:rsid w:val="003E05A6"/>
    <w:rsid w:val="003E0914"/>
    <w:rsid w:val="003E0AD6"/>
    <w:rsid w:val="003E0D2D"/>
    <w:rsid w:val="003E3459"/>
    <w:rsid w:val="003E3CF9"/>
    <w:rsid w:val="003E404D"/>
    <w:rsid w:val="003E404F"/>
    <w:rsid w:val="003E7824"/>
    <w:rsid w:val="003F0F25"/>
    <w:rsid w:val="003F1FDC"/>
    <w:rsid w:val="003F3137"/>
    <w:rsid w:val="003F3ABD"/>
    <w:rsid w:val="003F3B07"/>
    <w:rsid w:val="003F3D3C"/>
    <w:rsid w:val="003F62A8"/>
    <w:rsid w:val="003F6DB4"/>
    <w:rsid w:val="003F6FD8"/>
    <w:rsid w:val="004007FD"/>
    <w:rsid w:val="00400838"/>
    <w:rsid w:val="0040233B"/>
    <w:rsid w:val="00403AB6"/>
    <w:rsid w:val="00403DAB"/>
    <w:rsid w:val="00403E49"/>
    <w:rsid w:val="00405296"/>
    <w:rsid w:val="00405FE4"/>
    <w:rsid w:val="004076CF"/>
    <w:rsid w:val="004104AF"/>
    <w:rsid w:val="00410AC7"/>
    <w:rsid w:val="00413695"/>
    <w:rsid w:val="004140C9"/>
    <w:rsid w:val="00415DE9"/>
    <w:rsid w:val="00416213"/>
    <w:rsid w:val="00416704"/>
    <w:rsid w:val="00416845"/>
    <w:rsid w:val="00416ABE"/>
    <w:rsid w:val="00417AED"/>
    <w:rsid w:val="00421966"/>
    <w:rsid w:val="004276CE"/>
    <w:rsid w:val="00427DF2"/>
    <w:rsid w:val="00430859"/>
    <w:rsid w:val="004318AF"/>
    <w:rsid w:val="00432FB1"/>
    <w:rsid w:val="00433228"/>
    <w:rsid w:val="00434543"/>
    <w:rsid w:val="00434A01"/>
    <w:rsid w:val="00435278"/>
    <w:rsid w:val="004354E2"/>
    <w:rsid w:val="00436340"/>
    <w:rsid w:val="0043787E"/>
    <w:rsid w:val="004379A5"/>
    <w:rsid w:val="00437D5F"/>
    <w:rsid w:val="00444F2A"/>
    <w:rsid w:val="00445151"/>
    <w:rsid w:val="00447F86"/>
    <w:rsid w:val="004504D5"/>
    <w:rsid w:val="00450815"/>
    <w:rsid w:val="00451977"/>
    <w:rsid w:val="00455EAE"/>
    <w:rsid w:val="00456FB3"/>
    <w:rsid w:val="0045786A"/>
    <w:rsid w:val="0046003A"/>
    <w:rsid w:val="00463011"/>
    <w:rsid w:val="00463B37"/>
    <w:rsid w:val="0046470B"/>
    <w:rsid w:val="00464A50"/>
    <w:rsid w:val="00467859"/>
    <w:rsid w:val="00470EF0"/>
    <w:rsid w:val="00471C5A"/>
    <w:rsid w:val="00472C70"/>
    <w:rsid w:val="00473AD0"/>
    <w:rsid w:val="00474F40"/>
    <w:rsid w:val="00475B35"/>
    <w:rsid w:val="00476D38"/>
    <w:rsid w:val="004772EB"/>
    <w:rsid w:val="0048178F"/>
    <w:rsid w:val="00481B8A"/>
    <w:rsid w:val="00481D74"/>
    <w:rsid w:val="00483F19"/>
    <w:rsid w:val="00483F3B"/>
    <w:rsid w:val="004848CD"/>
    <w:rsid w:val="004851CB"/>
    <w:rsid w:val="004863F6"/>
    <w:rsid w:val="0048657F"/>
    <w:rsid w:val="004876CD"/>
    <w:rsid w:val="0049154D"/>
    <w:rsid w:val="00491630"/>
    <w:rsid w:val="00492395"/>
    <w:rsid w:val="00493781"/>
    <w:rsid w:val="0049454E"/>
    <w:rsid w:val="00495D9E"/>
    <w:rsid w:val="00496116"/>
    <w:rsid w:val="004965B0"/>
    <w:rsid w:val="00496850"/>
    <w:rsid w:val="0049713B"/>
    <w:rsid w:val="004977A8"/>
    <w:rsid w:val="004A092D"/>
    <w:rsid w:val="004A0E02"/>
    <w:rsid w:val="004A0E8F"/>
    <w:rsid w:val="004A14D0"/>
    <w:rsid w:val="004A1AAA"/>
    <w:rsid w:val="004A316B"/>
    <w:rsid w:val="004A3C3C"/>
    <w:rsid w:val="004A3FE3"/>
    <w:rsid w:val="004A45E3"/>
    <w:rsid w:val="004A4C18"/>
    <w:rsid w:val="004A69AA"/>
    <w:rsid w:val="004A6BA3"/>
    <w:rsid w:val="004B2C25"/>
    <w:rsid w:val="004B35B5"/>
    <w:rsid w:val="004B5B62"/>
    <w:rsid w:val="004B77A1"/>
    <w:rsid w:val="004C2F0F"/>
    <w:rsid w:val="004C625B"/>
    <w:rsid w:val="004C666C"/>
    <w:rsid w:val="004C7D27"/>
    <w:rsid w:val="004D0158"/>
    <w:rsid w:val="004D128F"/>
    <w:rsid w:val="004D4CB7"/>
    <w:rsid w:val="004D5823"/>
    <w:rsid w:val="004D6D92"/>
    <w:rsid w:val="004E0805"/>
    <w:rsid w:val="004E1EA3"/>
    <w:rsid w:val="004E2138"/>
    <w:rsid w:val="004E37FB"/>
    <w:rsid w:val="004E45E3"/>
    <w:rsid w:val="004E64D2"/>
    <w:rsid w:val="004E72B5"/>
    <w:rsid w:val="004EEFCF"/>
    <w:rsid w:val="004F0C72"/>
    <w:rsid w:val="004F14FE"/>
    <w:rsid w:val="004F1541"/>
    <w:rsid w:val="004F2BCA"/>
    <w:rsid w:val="004F2D10"/>
    <w:rsid w:val="004F3FF0"/>
    <w:rsid w:val="004F477F"/>
    <w:rsid w:val="004F5603"/>
    <w:rsid w:val="004F6401"/>
    <w:rsid w:val="004F76BA"/>
    <w:rsid w:val="00500234"/>
    <w:rsid w:val="0050279B"/>
    <w:rsid w:val="00503C6B"/>
    <w:rsid w:val="00504CE0"/>
    <w:rsid w:val="00505C2A"/>
    <w:rsid w:val="00505F62"/>
    <w:rsid w:val="005073E9"/>
    <w:rsid w:val="005100D5"/>
    <w:rsid w:val="00510A48"/>
    <w:rsid w:val="005115EC"/>
    <w:rsid w:val="0051175D"/>
    <w:rsid w:val="00511B5D"/>
    <w:rsid w:val="00511D19"/>
    <w:rsid w:val="00511F4E"/>
    <w:rsid w:val="00512A41"/>
    <w:rsid w:val="00513658"/>
    <w:rsid w:val="00513978"/>
    <w:rsid w:val="00513D75"/>
    <w:rsid w:val="00514143"/>
    <w:rsid w:val="0051550D"/>
    <w:rsid w:val="00515618"/>
    <w:rsid w:val="00515927"/>
    <w:rsid w:val="00515A05"/>
    <w:rsid w:val="005201E6"/>
    <w:rsid w:val="005234AD"/>
    <w:rsid w:val="00524EA9"/>
    <w:rsid w:val="00525E2C"/>
    <w:rsid w:val="00527817"/>
    <w:rsid w:val="005307F4"/>
    <w:rsid w:val="00530F97"/>
    <w:rsid w:val="00532B97"/>
    <w:rsid w:val="00532C32"/>
    <w:rsid w:val="00533562"/>
    <w:rsid w:val="00534797"/>
    <w:rsid w:val="0053616E"/>
    <w:rsid w:val="00536616"/>
    <w:rsid w:val="00537A58"/>
    <w:rsid w:val="0054094D"/>
    <w:rsid w:val="00541330"/>
    <w:rsid w:val="00541DB3"/>
    <w:rsid w:val="0054205E"/>
    <w:rsid w:val="005427D3"/>
    <w:rsid w:val="00544461"/>
    <w:rsid w:val="005445F9"/>
    <w:rsid w:val="00544845"/>
    <w:rsid w:val="005454B5"/>
    <w:rsid w:val="00545635"/>
    <w:rsid w:val="00546140"/>
    <w:rsid w:val="00546779"/>
    <w:rsid w:val="00547FB1"/>
    <w:rsid w:val="005504D3"/>
    <w:rsid w:val="00551452"/>
    <w:rsid w:val="00551ACF"/>
    <w:rsid w:val="005524C8"/>
    <w:rsid w:val="00552BB9"/>
    <w:rsid w:val="00554C47"/>
    <w:rsid w:val="00555064"/>
    <w:rsid w:val="00555607"/>
    <w:rsid w:val="00555FC3"/>
    <w:rsid w:val="005561A1"/>
    <w:rsid w:val="005568CA"/>
    <w:rsid w:val="00557271"/>
    <w:rsid w:val="005573C8"/>
    <w:rsid w:val="005608A7"/>
    <w:rsid w:val="00561990"/>
    <w:rsid w:val="005631B1"/>
    <w:rsid w:val="00565241"/>
    <w:rsid w:val="00566D9C"/>
    <w:rsid w:val="00566FA0"/>
    <w:rsid w:val="00571664"/>
    <w:rsid w:val="00571C4B"/>
    <w:rsid w:val="00572577"/>
    <w:rsid w:val="00573655"/>
    <w:rsid w:val="005738B6"/>
    <w:rsid w:val="0057562D"/>
    <w:rsid w:val="0057598D"/>
    <w:rsid w:val="005779C0"/>
    <w:rsid w:val="00577D95"/>
    <w:rsid w:val="00580B4B"/>
    <w:rsid w:val="00580EDD"/>
    <w:rsid w:val="00581124"/>
    <w:rsid w:val="0058138E"/>
    <w:rsid w:val="005826B3"/>
    <w:rsid w:val="0058323A"/>
    <w:rsid w:val="0058395D"/>
    <w:rsid w:val="0058670A"/>
    <w:rsid w:val="00586AE9"/>
    <w:rsid w:val="005879A0"/>
    <w:rsid w:val="00593743"/>
    <w:rsid w:val="00594533"/>
    <w:rsid w:val="0059473D"/>
    <w:rsid w:val="00595C9E"/>
    <w:rsid w:val="0059609D"/>
    <w:rsid w:val="00596595"/>
    <w:rsid w:val="00596960"/>
    <w:rsid w:val="0059750C"/>
    <w:rsid w:val="00597734"/>
    <w:rsid w:val="005A0066"/>
    <w:rsid w:val="005A266E"/>
    <w:rsid w:val="005A3623"/>
    <w:rsid w:val="005A47F6"/>
    <w:rsid w:val="005A4968"/>
    <w:rsid w:val="005A4B19"/>
    <w:rsid w:val="005A6B50"/>
    <w:rsid w:val="005B3285"/>
    <w:rsid w:val="005B451E"/>
    <w:rsid w:val="005B5E51"/>
    <w:rsid w:val="005B61B8"/>
    <w:rsid w:val="005B645F"/>
    <w:rsid w:val="005C013C"/>
    <w:rsid w:val="005C2A35"/>
    <w:rsid w:val="005C33FC"/>
    <w:rsid w:val="005C3C6A"/>
    <w:rsid w:val="005C73E0"/>
    <w:rsid w:val="005D1DB4"/>
    <w:rsid w:val="005D32E7"/>
    <w:rsid w:val="005D4EE4"/>
    <w:rsid w:val="005D57D4"/>
    <w:rsid w:val="005D5C4A"/>
    <w:rsid w:val="005D7090"/>
    <w:rsid w:val="005E1E2D"/>
    <w:rsid w:val="005E34EA"/>
    <w:rsid w:val="005E4822"/>
    <w:rsid w:val="005E4C5B"/>
    <w:rsid w:val="005E5713"/>
    <w:rsid w:val="005E5A04"/>
    <w:rsid w:val="005E62D0"/>
    <w:rsid w:val="005E6FA2"/>
    <w:rsid w:val="005F2060"/>
    <w:rsid w:val="005F55B6"/>
    <w:rsid w:val="005F79FD"/>
    <w:rsid w:val="00600575"/>
    <w:rsid w:val="00601F17"/>
    <w:rsid w:val="006024D1"/>
    <w:rsid w:val="006024EA"/>
    <w:rsid w:val="006025AA"/>
    <w:rsid w:val="00603E43"/>
    <w:rsid w:val="00603EFD"/>
    <w:rsid w:val="00604043"/>
    <w:rsid w:val="00604530"/>
    <w:rsid w:val="00606ED7"/>
    <w:rsid w:val="006072C8"/>
    <w:rsid w:val="0060779F"/>
    <w:rsid w:val="00607934"/>
    <w:rsid w:val="00610ACF"/>
    <w:rsid w:val="00612AE0"/>
    <w:rsid w:val="00613EC3"/>
    <w:rsid w:val="00614E46"/>
    <w:rsid w:val="006157EC"/>
    <w:rsid w:val="00615E32"/>
    <w:rsid w:val="006172CE"/>
    <w:rsid w:val="006241B1"/>
    <w:rsid w:val="00624429"/>
    <w:rsid w:val="0062485E"/>
    <w:rsid w:val="00625B2A"/>
    <w:rsid w:val="0062615E"/>
    <w:rsid w:val="00627607"/>
    <w:rsid w:val="0062788E"/>
    <w:rsid w:val="00630520"/>
    <w:rsid w:val="006330B9"/>
    <w:rsid w:val="00634AB5"/>
    <w:rsid w:val="00635721"/>
    <w:rsid w:val="00640BB6"/>
    <w:rsid w:val="0064142B"/>
    <w:rsid w:val="00642441"/>
    <w:rsid w:val="00642D10"/>
    <w:rsid w:val="00643061"/>
    <w:rsid w:val="00644AB7"/>
    <w:rsid w:val="0064527B"/>
    <w:rsid w:val="00646CD2"/>
    <w:rsid w:val="0064776D"/>
    <w:rsid w:val="0065002A"/>
    <w:rsid w:val="006507AC"/>
    <w:rsid w:val="006511D6"/>
    <w:rsid w:val="00651919"/>
    <w:rsid w:val="006525EE"/>
    <w:rsid w:val="00652B1A"/>
    <w:rsid w:val="00654040"/>
    <w:rsid w:val="0065465F"/>
    <w:rsid w:val="00654BE4"/>
    <w:rsid w:val="0065703A"/>
    <w:rsid w:val="006575F3"/>
    <w:rsid w:val="00657D5A"/>
    <w:rsid w:val="00661706"/>
    <w:rsid w:val="006621DF"/>
    <w:rsid w:val="00662548"/>
    <w:rsid w:val="00662A16"/>
    <w:rsid w:val="00663283"/>
    <w:rsid w:val="00665665"/>
    <w:rsid w:val="00670F1F"/>
    <w:rsid w:val="00671F8A"/>
    <w:rsid w:val="0067221B"/>
    <w:rsid w:val="006731E4"/>
    <w:rsid w:val="00673BF4"/>
    <w:rsid w:val="00674D7D"/>
    <w:rsid w:val="006757C4"/>
    <w:rsid w:val="0067702F"/>
    <w:rsid w:val="00677E50"/>
    <w:rsid w:val="006804D7"/>
    <w:rsid w:val="00680AB8"/>
    <w:rsid w:val="00680EA5"/>
    <w:rsid w:val="00680FC7"/>
    <w:rsid w:val="00681CAD"/>
    <w:rsid w:val="00685F5C"/>
    <w:rsid w:val="006866B1"/>
    <w:rsid w:val="00687606"/>
    <w:rsid w:val="00693450"/>
    <w:rsid w:val="00693454"/>
    <w:rsid w:val="006939D5"/>
    <w:rsid w:val="00693DDE"/>
    <w:rsid w:val="006947EC"/>
    <w:rsid w:val="006951D1"/>
    <w:rsid w:val="00696DE0"/>
    <w:rsid w:val="00696E2F"/>
    <w:rsid w:val="006972F9"/>
    <w:rsid w:val="00697408"/>
    <w:rsid w:val="006A0281"/>
    <w:rsid w:val="006A1814"/>
    <w:rsid w:val="006A44A6"/>
    <w:rsid w:val="006A57AF"/>
    <w:rsid w:val="006A5A55"/>
    <w:rsid w:val="006B0267"/>
    <w:rsid w:val="006B135B"/>
    <w:rsid w:val="006B13F0"/>
    <w:rsid w:val="006B5394"/>
    <w:rsid w:val="006B5BD5"/>
    <w:rsid w:val="006B6D49"/>
    <w:rsid w:val="006B7B75"/>
    <w:rsid w:val="006C1977"/>
    <w:rsid w:val="006C3488"/>
    <w:rsid w:val="006C5445"/>
    <w:rsid w:val="006C56EA"/>
    <w:rsid w:val="006C60D5"/>
    <w:rsid w:val="006C6272"/>
    <w:rsid w:val="006C6B91"/>
    <w:rsid w:val="006C7442"/>
    <w:rsid w:val="006D3827"/>
    <w:rsid w:val="006D4420"/>
    <w:rsid w:val="006D459B"/>
    <w:rsid w:val="006D498C"/>
    <w:rsid w:val="006D4D3C"/>
    <w:rsid w:val="006D4DD8"/>
    <w:rsid w:val="006D6734"/>
    <w:rsid w:val="006D6AD0"/>
    <w:rsid w:val="006D7942"/>
    <w:rsid w:val="006E146A"/>
    <w:rsid w:val="006E4D15"/>
    <w:rsid w:val="006E64FC"/>
    <w:rsid w:val="006F02CF"/>
    <w:rsid w:val="006F0D38"/>
    <w:rsid w:val="006F1401"/>
    <w:rsid w:val="006F1578"/>
    <w:rsid w:val="006F1B0E"/>
    <w:rsid w:val="006F6339"/>
    <w:rsid w:val="007032F3"/>
    <w:rsid w:val="0070468C"/>
    <w:rsid w:val="007046B1"/>
    <w:rsid w:val="00705C51"/>
    <w:rsid w:val="007063FC"/>
    <w:rsid w:val="007079B2"/>
    <w:rsid w:val="00711A5F"/>
    <w:rsid w:val="00712D01"/>
    <w:rsid w:val="007134AE"/>
    <w:rsid w:val="00716C87"/>
    <w:rsid w:val="00717D22"/>
    <w:rsid w:val="0072006A"/>
    <w:rsid w:val="00720723"/>
    <w:rsid w:val="00721011"/>
    <w:rsid w:val="0072118B"/>
    <w:rsid w:val="007211FC"/>
    <w:rsid w:val="00721986"/>
    <w:rsid w:val="007247DE"/>
    <w:rsid w:val="007248ED"/>
    <w:rsid w:val="00724A93"/>
    <w:rsid w:val="00730840"/>
    <w:rsid w:val="00731C4D"/>
    <w:rsid w:val="00732160"/>
    <w:rsid w:val="00732CB7"/>
    <w:rsid w:val="0073342D"/>
    <w:rsid w:val="00734C5A"/>
    <w:rsid w:val="007350B5"/>
    <w:rsid w:val="00735A3E"/>
    <w:rsid w:val="007371BA"/>
    <w:rsid w:val="00737402"/>
    <w:rsid w:val="0073776C"/>
    <w:rsid w:val="0074316B"/>
    <w:rsid w:val="00743ADF"/>
    <w:rsid w:val="007443E1"/>
    <w:rsid w:val="00744EE3"/>
    <w:rsid w:val="00745F00"/>
    <w:rsid w:val="007463AF"/>
    <w:rsid w:val="00746790"/>
    <w:rsid w:val="0074779B"/>
    <w:rsid w:val="00747BAC"/>
    <w:rsid w:val="007504F1"/>
    <w:rsid w:val="00751C0F"/>
    <w:rsid w:val="0075247D"/>
    <w:rsid w:val="00752F4B"/>
    <w:rsid w:val="00755723"/>
    <w:rsid w:val="00755AE6"/>
    <w:rsid w:val="00756B22"/>
    <w:rsid w:val="00757A25"/>
    <w:rsid w:val="007606B0"/>
    <w:rsid w:val="00760913"/>
    <w:rsid w:val="00761F8B"/>
    <w:rsid w:val="00762BBF"/>
    <w:rsid w:val="00763145"/>
    <w:rsid w:val="00763547"/>
    <w:rsid w:val="00763863"/>
    <w:rsid w:val="00763870"/>
    <w:rsid w:val="00763E7F"/>
    <w:rsid w:val="00764102"/>
    <w:rsid w:val="00764361"/>
    <w:rsid w:val="0076608A"/>
    <w:rsid w:val="007668C2"/>
    <w:rsid w:val="0077041B"/>
    <w:rsid w:val="0077166A"/>
    <w:rsid w:val="00772408"/>
    <w:rsid w:val="0077265A"/>
    <w:rsid w:val="0077301E"/>
    <w:rsid w:val="00774D24"/>
    <w:rsid w:val="00774EA9"/>
    <w:rsid w:val="00777798"/>
    <w:rsid w:val="0078154A"/>
    <w:rsid w:val="0078171C"/>
    <w:rsid w:val="00781E8B"/>
    <w:rsid w:val="00783717"/>
    <w:rsid w:val="00784246"/>
    <w:rsid w:val="00785421"/>
    <w:rsid w:val="00785667"/>
    <w:rsid w:val="00787349"/>
    <w:rsid w:val="007900F2"/>
    <w:rsid w:val="0079120A"/>
    <w:rsid w:val="00791211"/>
    <w:rsid w:val="00791376"/>
    <w:rsid w:val="00791606"/>
    <w:rsid w:val="0079259F"/>
    <w:rsid w:val="00793199"/>
    <w:rsid w:val="00794224"/>
    <w:rsid w:val="00794E88"/>
    <w:rsid w:val="00796B1D"/>
    <w:rsid w:val="007971BE"/>
    <w:rsid w:val="007A04FE"/>
    <w:rsid w:val="007A08E9"/>
    <w:rsid w:val="007A4D50"/>
    <w:rsid w:val="007A5535"/>
    <w:rsid w:val="007A565F"/>
    <w:rsid w:val="007A5DD3"/>
    <w:rsid w:val="007A6776"/>
    <w:rsid w:val="007A7AAB"/>
    <w:rsid w:val="007A7C71"/>
    <w:rsid w:val="007A7DF0"/>
    <w:rsid w:val="007B07C2"/>
    <w:rsid w:val="007B235E"/>
    <w:rsid w:val="007B243B"/>
    <w:rsid w:val="007B314A"/>
    <w:rsid w:val="007B3CC9"/>
    <w:rsid w:val="007B3F87"/>
    <w:rsid w:val="007B455C"/>
    <w:rsid w:val="007B7048"/>
    <w:rsid w:val="007C03A5"/>
    <w:rsid w:val="007C05B7"/>
    <w:rsid w:val="007C05D5"/>
    <w:rsid w:val="007C2815"/>
    <w:rsid w:val="007C3C42"/>
    <w:rsid w:val="007C556E"/>
    <w:rsid w:val="007C5894"/>
    <w:rsid w:val="007C6C8A"/>
    <w:rsid w:val="007C795F"/>
    <w:rsid w:val="007D05C8"/>
    <w:rsid w:val="007D07E0"/>
    <w:rsid w:val="007D291E"/>
    <w:rsid w:val="007D2ED3"/>
    <w:rsid w:val="007D3517"/>
    <w:rsid w:val="007D36DE"/>
    <w:rsid w:val="007D3F58"/>
    <w:rsid w:val="007D521C"/>
    <w:rsid w:val="007D545A"/>
    <w:rsid w:val="007D58D0"/>
    <w:rsid w:val="007D7DB4"/>
    <w:rsid w:val="007E172C"/>
    <w:rsid w:val="007E1C46"/>
    <w:rsid w:val="007E4256"/>
    <w:rsid w:val="007E47D3"/>
    <w:rsid w:val="007E77CF"/>
    <w:rsid w:val="007E7A4E"/>
    <w:rsid w:val="007E7DCF"/>
    <w:rsid w:val="007F0365"/>
    <w:rsid w:val="007F2BA5"/>
    <w:rsid w:val="007F36D3"/>
    <w:rsid w:val="007F5C82"/>
    <w:rsid w:val="007F5E9A"/>
    <w:rsid w:val="007F6063"/>
    <w:rsid w:val="007F751E"/>
    <w:rsid w:val="007F79C6"/>
    <w:rsid w:val="007F7AA4"/>
    <w:rsid w:val="008008AA"/>
    <w:rsid w:val="00803029"/>
    <w:rsid w:val="00803E15"/>
    <w:rsid w:val="0080408D"/>
    <w:rsid w:val="0080478D"/>
    <w:rsid w:val="00804FCD"/>
    <w:rsid w:val="00805AD3"/>
    <w:rsid w:val="00806195"/>
    <w:rsid w:val="0080669E"/>
    <w:rsid w:val="0080736B"/>
    <w:rsid w:val="00807BAD"/>
    <w:rsid w:val="00807D47"/>
    <w:rsid w:val="00812FE0"/>
    <w:rsid w:val="00813991"/>
    <w:rsid w:val="0081533B"/>
    <w:rsid w:val="0081551E"/>
    <w:rsid w:val="008176B3"/>
    <w:rsid w:val="008200ED"/>
    <w:rsid w:val="00820122"/>
    <w:rsid w:val="008213B2"/>
    <w:rsid w:val="00824ADB"/>
    <w:rsid w:val="008253F2"/>
    <w:rsid w:val="00825AFC"/>
    <w:rsid w:val="00825D3E"/>
    <w:rsid w:val="008264C3"/>
    <w:rsid w:val="008267FC"/>
    <w:rsid w:val="00826E92"/>
    <w:rsid w:val="00830D80"/>
    <w:rsid w:val="00831C8C"/>
    <w:rsid w:val="0083275C"/>
    <w:rsid w:val="00833081"/>
    <w:rsid w:val="00833949"/>
    <w:rsid w:val="00833DDE"/>
    <w:rsid w:val="00833F61"/>
    <w:rsid w:val="00835AFC"/>
    <w:rsid w:val="00840C0C"/>
    <w:rsid w:val="00841D92"/>
    <w:rsid w:val="00842176"/>
    <w:rsid w:val="008426D2"/>
    <w:rsid w:val="00845A7B"/>
    <w:rsid w:val="00845D34"/>
    <w:rsid w:val="00846985"/>
    <w:rsid w:val="00850620"/>
    <w:rsid w:val="00850701"/>
    <w:rsid w:val="00851970"/>
    <w:rsid w:val="008529C6"/>
    <w:rsid w:val="008604AC"/>
    <w:rsid w:val="00860A6B"/>
    <w:rsid w:val="00864FF0"/>
    <w:rsid w:val="00865159"/>
    <w:rsid w:val="0087224D"/>
    <w:rsid w:val="00872F35"/>
    <w:rsid w:val="00873303"/>
    <w:rsid w:val="008738AD"/>
    <w:rsid w:val="00873B6E"/>
    <w:rsid w:val="00874988"/>
    <w:rsid w:val="00874C1A"/>
    <w:rsid w:val="00876362"/>
    <w:rsid w:val="00876492"/>
    <w:rsid w:val="0087650F"/>
    <w:rsid w:val="00876B2B"/>
    <w:rsid w:val="0087776A"/>
    <w:rsid w:val="008803FC"/>
    <w:rsid w:val="00880C0B"/>
    <w:rsid w:val="00881565"/>
    <w:rsid w:val="00883B62"/>
    <w:rsid w:val="00885647"/>
    <w:rsid w:val="00886249"/>
    <w:rsid w:val="00886310"/>
    <w:rsid w:val="00887F04"/>
    <w:rsid w:val="00890B17"/>
    <w:rsid w:val="00891290"/>
    <w:rsid w:val="00891410"/>
    <w:rsid w:val="0089264A"/>
    <w:rsid w:val="00896B6A"/>
    <w:rsid w:val="00897F5B"/>
    <w:rsid w:val="008A4634"/>
    <w:rsid w:val="008A6E2D"/>
    <w:rsid w:val="008B11D3"/>
    <w:rsid w:val="008B4FD3"/>
    <w:rsid w:val="008B5615"/>
    <w:rsid w:val="008B72AA"/>
    <w:rsid w:val="008B73B2"/>
    <w:rsid w:val="008B740B"/>
    <w:rsid w:val="008C0BBF"/>
    <w:rsid w:val="008C224D"/>
    <w:rsid w:val="008C2CBD"/>
    <w:rsid w:val="008C45EF"/>
    <w:rsid w:val="008C7223"/>
    <w:rsid w:val="008C7F64"/>
    <w:rsid w:val="008C7FA4"/>
    <w:rsid w:val="008D0F26"/>
    <w:rsid w:val="008D3709"/>
    <w:rsid w:val="008D421C"/>
    <w:rsid w:val="008D6A11"/>
    <w:rsid w:val="008D7347"/>
    <w:rsid w:val="008D7686"/>
    <w:rsid w:val="008E1433"/>
    <w:rsid w:val="008E2179"/>
    <w:rsid w:val="008E292A"/>
    <w:rsid w:val="008E3926"/>
    <w:rsid w:val="008E4794"/>
    <w:rsid w:val="008E4CC9"/>
    <w:rsid w:val="008E664E"/>
    <w:rsid w:val="008E6DCC"/>
    <w:rsid w:val="008E6E7E"/>
    <w:rsid w:val="008E7852"/>
    <w:rsid w:val="008E78F8"/>
    <w:rsid w:val="008F1EC9"/>
    <w:rsid w:val="008F35C1"/>
    <w:rsid w:val="008F4981"/>
    <w:rsid w:val="008F4A9C"/>
    <w:rsid w:val="008F4EE9"/>
    <w:rsid w:val="008F5031"/>
    <w:rsid w:val="008F5B28"/>
    <w:rsid w:val="008F6CBF"/>
    <w:rsid w:val="008F7767"/>
    <w:rsid w:val="008F7BB2"/>
    <w:rsid w:val="009006CE"/>
    <w:rsid w:val="00900C1C"/>
    <w:rsid w:val="00901DB9"/>
    <w:rsid w:val="00904F8C"/>
    <w:rsid w:val="009057B4"/>
    <w:rsid w:val="0090646F"/>
    <w:rsid w:val="00910710"/>
    <w:rsid w:val="009108CA"/>
    <w:rsid w:val="009121F5"/>
    <w:rsid w:val="009124AA"/>
    <w:rsid w:val="00913475"/>
    <w:rsid w:val="00914E2B"/>
    <w:rsid w:val="0091694C"/>
    <w:rsid w:val="00917995"/>
    <w:rsid w:val="00917C0C"/>
    <w:rsid w:val="00920094"/>
    <w:rsid w:val="009208B8"/>
    <w:rsid w:val="009208E6"/>
    <w:rsid w:val="0092105D"/>
    <w:rsid w:val="009230DB"/>
    <w:rsid w:val="0092347D"/>
    <w:rsid w:val="00923C09"/>
    <w:rsid w:val="00923C0F"/>
    <w:rsid w:val="009245F9"/>
    <w:rsid w:val="00925908"/>
    <w:rsid w:val="00926356"/>
    <w:rsid w:val="00926DAF"/>
    <w:rsid w:val="00927C8B"/>
    <w:rsid w:val="00930F91"/>
    <w:rsid w:val="0093107C"/>
    <w:rsid w:val="00931275"/>
    <w:rsid w:val="00931993"/>
    <w:rsid w:val="00931EAB"/>
    <w:rsid w:val="0093211A"/>
    <w:rsid w:val="00932BB7"/>
    <w:rsid w:val="00933F79"/>
    <w:rsid w:val="00934A76"/>
    <w:rsid w:val="00934FF9"/>
    <w:rsid w:val="00936AA9"/>
    <w:rsid w:val="009406CE"/>
    <w:rsid w:val="009407F5"/>
    <w:rsid w:val="009414B2"/>
    <w:rsid w:val="00943552"/>
    <w:rsid w:val="00943EDF"/>
    <w:rsid w:val="009453FA"/>
    <w:rsid w:val="0094608C"/>
    <w:rsid w:val="00946327"/>
    <w:rsid w:val="00947906"/>
    <w:rsid w:val="00950714"/>
    <w:rsid w:val="00950AF4"/>
    <w:rsid w:val="0095255D"/>
    <w:rsid w:val="00953290"/>
    <w:rsid w:val="00955766"/>
    <w:rsid w:val="00957692"/>
    <w:rsid w:val="00957DD8"/>
    <w:rsid w:val="0096014C"/>
    <w:rsid w:val="009609B3"/>
    <w:rsid w:val="00961E96"/>
    <w:rsid w:val="00962BB3"/>
    <w:rsid w:val="00964764"/>
    <w:rsid w:val="009662E3"/>
    <w:rsid w:val="00966E0A"/>
    <w:rsid w:val="00970562"/>
    <w:rsid w:val="009719FB"/>
    <w:rsid w:val="0097247B"/>
    <w:rsid w:val="009739B0"/>
    <w:rsid w:val="00973EF8"/>
    <w:rsid w:val="0097477F"/>
    <w:rsid w:val="00974BB8"/>
    <w:rsid w:val="00975332"/>
    <w:rsid w:val="00975F62"/>
    <w:rsid w:val="009763DA"/>
    <w:rsid w:val="00976840"/>
    <w:rsid w:val="00976D9E"/>
    <w:rsid w:val="00976E0E"/>
    <w:rsid w:val="009778CE"/>
    <w:rsid w:val="00982582"/>
    <w:rsid w:val="00983FF2"/>
    <w:rsid w:val="0098479F"/>
    <w:rsid w:val="00986316"/>
    <w:rsid w:val="00986F28"/>
    <w:rsid w:val="009872D6"/>
    <w:rsid w:val="0098796E"/>
    <w:rsid w:val="009904BD"/>
    <w:rsid w:val="00991A4A"/>
    <w:rsid w:val="00993CAB"/>
    <w:rsid w:val="0099664B"/>
    <w:rsid w:val="00997E05"/>
    <w:rsid w:val="009A02B8"/>
    <w:rsid w:val="009A0452"/>
    <w:rsid w:val="009A0B3E"/>
    <w:rsid w:val="009A17EF"/>
    <w:rsid w:val="009A37ED"/>
    <w:rsid w:val="009A3926"/>
    <w:rsid w:val="009A496C"/>
    <w:rsid w:val="009A53A0"/>
    <w:rsid w:val="009A72B6"/>
    <w:rsid w:val="009B0980"/>
    <w:rsid w:val="009B19E1"/>
    <w:rsid w:val="009B2456"/>
    <w:rsid w:val="009B3212"/>
    <w:rsid w:val="009B4218"/>
    <w:rsid w:val="009B48FA"/>
    <w:rsid w:val="009B4AC9"/>
    <w:rsid w:val="009B528C"/>
    <w:rsid w:val="009B53A0"/>
    <w:rsid w:val="009B695C"/>
    <w:rsid w:val="009B6E75"/>
    <w:rsid w:val="009B7817"/>
    <w:rsid w:val="009B7B6A"/>
    <w:rsid w:val="009C0DD1"/>
    <w:rsid w:val="009C30C0"/>
    <w:rsid w:val="009C3566"/>
    <w:rsid w:val="009C49F8"/>
    <w:rsid w:val="009C5F2F"/>
    <w:rsid w:val="009C657A"/>
    <w:rsid w:val="009C744D"/>
    <w:rsid w:val="009C7D74"/>
    <w:rsid w:val="009D047E"/>
    <w:rsid w:val="009D19BD"/>
    <w:rsid w:val="009D23F9"/>
    <w:rsid w:val="009D2A18"/>
    <w:rsid w:val="009D2AA2"/>
    <w:rsid w:val="009D405B"/>
    <w:rsid w:val="009E0886"/>
    <w:rsid w:val="009E08FD"/>
    <w:rsid w:val="009E11DE"/>
    <w:rsid w:val="009E4146"/>
    <w:rsid w:val="009E442D"/>
    <w:rsid w:val="009E4554"/>
    <w:rsid w:val="009E4F20"/>
    <w:rsid w:val="009E609D"/>
    <w:rsid w:val="009E6C35"/>
    <w:rsid w:val="009E754B"/>
    <w:rsid w:val="009F0200"/>
    <w:rsid w:val="009F0221"/>
    <w:rsid w:val="009F2EBA"/>
    <w:rsid w:val="009F3084"/>
    <w:rsid w:val="009F4B67"/>
    <w:rsid w:val="00A00179"/>
    <w:rsid w:val="00A004CC"/>
    <w:rsid w:val="00A01634"/>
    <w:rsid w:val="00A03DFA"/>
    <w:rsid w:val="00A045D2"/>
    <w:rsid w:val="00A05143"/>
    <w:rsid w:val="00A05672"/>
    <w:rsid w:val="00A05F6E"/>
    <w:rsid w:val="00A0626A"/>
    <w:rsid w:val="00A07BCC"/>
    <w:rsid w:val="00A07E9C"/>
    <w:rsid w:val="00A141CA"/>
    <w:rsid w:val="00A143D3"/>
    <w:rsid w:val="00A14FE4"/>
    <w:rsid w:val="00A15FA8"/>
    <w:rsid w:val="00A16EED"/>
    <w:rsid w:val="00A17202"/>
    <w:rsid w:val="00A207F2"/>
    <w:rsid w:val="00A20A18"/>
    <w:rsid w:val="00A21809"/>
    <w:rsid w:val="00A21FC3"/>
    <w:rsid w:val="00A23EF9"/>
    <w:rsid w:val="00A24295"/>
    <w:rsid w:val="00A24C47"/>
    <w:rsid w:val="00A26129"/>
    <w:rsid w:val="00A27654"/>
    <w:rsid w:val="00A27B4C"/>
    <w:rsid w:val="00A302C5"/>
    <w:rsid w:val="00A309EB"/>
    <w:rsid w:val="00A30FAE"/>
    <w:rsid w:val="00A31411"/>
    <w:rsid w:val="00A3384C"/>
    <w:rsid w:val="00A338B3"/>
    <w:rsid w:val="00A33904"/>
    <w:rsid w:val="00A34831"/>
    <w:rsid w:val="00A35336"/>
    <w:rsid w:val="00A368CB"/>
    <w:rsid w:val="00A36CF5"/>
    <w:rsid w:val="00A36D04"/>
    <w:rsid w:val="00A407DD"/>
    <w:rsid w:val="00A415DD"/>
    <w:rsid w:val="00A41A30"/>
    <w:rsid w:val="00A44069"/>
    <w:rsid w:val="00A4449E"/>
    <w:rsid w:val="00A44A86"/>
    <w:rsid w:val="00A44D62"/>
    <w:rsid w:val="00A50796"/>
    <w:rsid w:val="00A54469"/>
    <w:rsid w:val="00A552C2"/>
    <w:rsid w:val="00A55FCE"/>
    <w:rsid w:val="00A56636"/>
    <w:rsid w:val="00A568D1"/>
    <w:rsid w:val="00A62B62"/>
    <w:rsid w:val="00A63C03"/>
    <w:rsid w:val="00A64C45"/>
    <w:rsid w:val="00A67079"/>
    <w:rsid w:val="00A673A4"/>
    <w:rsid w:val="00A6749F"/>
    <w:rsid w:val="00A70637"/>
    <w:rsid w:val="00A70DFA"/>
    <w:rsid w:val="00A7125B"/>
    <w:rsid w:val="00A71CE9"/>
    <w:rsid w:val="00A72C3A"/>
    <w:rsid w:val="00A73089"/>
    <w:rsid w:val="00A74376"/>
    <w:rsid w:val="00A744D7"/>
    <w:rsid w:val="00A75C00"/>
    <w:rsid w:val="00A76860"/>
    <w:rsid w:val="00A77266"/>
    <w:rsid w:val="00A77648"/>
    <w:rsid w:val="00A77A07"/>
    <w:rsid w:val="00A77F4B"/>
    <w:rsid w:val="00A809C3"/>
    <w:rsid w:val="00A82448"/>
    <w:rsid w:val="00A82558"/>
    <w:rsid w:val="00A82982"/>
    <w:rsid w:val="00A84E83"/>
    <w:rsid w:val="00A879C1"/>
    <w:rsid w:val="00A90DC6"/>
    <w:rsid w:val="00A91094"/>
    <w:rsid w:val="00A9319D"/>
    <w:rsid w:val="00A96083"/>
    <w:rsid w:val="00A960A4"/>
    <w:rsid w:val="00A96E09"/>
    <w:rsid w:val="00AA3B54"/>
    <w:rsid w:val="00AA3F95"/>
    <w:rsid w:val="00AA6912"/>
    <w:rsid w:val="00AA7AC1"/>
    <w:rsid w:val="00AB0469"/>
    <w:rsid w:val="00AB095D"/>
    <w:rsid w:val="00AB1401"/>
    <w:rsid w:val="00AB1FBF"/>
    <w:rsid w:val="00AB3231"/>
    <w:rsid w:val="00AB45E0"/>
    <w:rsid w:val="00AB5098"/>
    <w:rsid w:val="00AB5858"/>
    <w:rsid w:val="00AB5F23"/>
    <w:rsid w:val="00AB65DD"/>
    <w:rsid w:val="00AC29DF"/>
    <w:rsid w:val="00AC60CA"/>
    <w:rsid w:val="00AC6D09"/>
    <w:rsid w:val="00AC6DA2"/>
    <w:rsid w:val="00AC6E48"/>
    <w:rsid w:val="00AC73FC"/>
    <w:rsid w:val="00AD021C"/>
    <w:rsid w:val="00AD06A6"/>
    <w:rsid w:val="00AD0BD5"/>
    <w:rsid w:val="00AD1D37"/>
    <w:rsid w:val="00AD21FC"/>
    <w:rsid w:val="00AD253D"/>
    <w:rsid w:val="00AD383D"/>
    <w:rsid w:val="00AD5870"/>
    <w:rsid w:val="00AD5FEE"/>
    <w:rsid w:val="00AD675E"/>
    <w:rsid w:val="00AD679D"/>
    <w:rsid w:val="00AD68A2"/>
    <w:rsid w:val="00AD6A34"/>
    <w:rsid w:val="00AD7584"/>
    <w:rsid w:val="00AD764E"/>
    <w:rsid w:val="00AD7825"/>
    <w:rsid w:val="00AD7B13"/>
    <w:rsid w:val="00AE0320"/>
    <w:rsid w:val="00AE05B9"/>
    <w:rsid w:val="00AE08C9"/>
    <w:rsid w:val="00AE1291"/>
    <w:rsid w:val="00AE1D13"/>
    <w:rsid w:val="00AE2B23"/>
    <w:rsid w:val="00AE2CB4"/>
    <w:rsid w:val="00AE3D3E"/>
    <w:rsid w:val="00AE4003"/>
    <w:rsid w:val="00AE4413"/>
    <w:rsid w:val="00AE5C20"/>
    <w:rsid w:val="00AE5F71"/>
    <w:rsid w:val="00AF0869"/>
    <w:rsid w:val="00AF2371"/>
    <w:rsid w:val="00AF56D5"/>
    <w:rsid w:val="00B03AD3"/>
    <w:rsid w:val="00B04C95"/>
    <w:rsid w:val="00B04ECB"/>
    <w:rsid w:val="00B05919"/>
    <w:rsid w:val="00B100D6"/>
    <w:rsid w:val="00B10CF8"/>
    <w:rsid w:val="00B10DB6"/>
    <w:rsid w:val="00B10F20"/>
    <w:rsid w:val="00B1122A"/>
    <w:rsid w:val="00B117E0"/>
    <w:rsid w:val="00B11AE4"/>
    <w:rsid w:val="00B13851"/>
    <w:rsid w:val="00B13ED9"/>
    <w:rsid w:val="00B15DF0"/>
    <w:rsid w:val="00B15EFD"/>
    <w:rsid w:val="00B2153F"/>
    <w:rsid w:val="00B2160E"/>
    <w:rsid w:val="00B21C3B"/>
    <w:rsid w:val="00B22BF4"/>
    <w:rsid w:val="00B237BB"/>
    <w:rsid w:val="00B24F07"/>
    <w:rsid w:val="00B2526A"/>
    <w:rsid w:val="00B257DE"/>
    <w:rsid w:val="00B2651A"/>
    <w:rsid w:val="00B30487"/>
    <w:rsid w:val="00B30EFA"/>
    <w:rsid w:val="00B33439"/>
    <w:rsid w:val="00B335CE"/>
    <w:rsid w:val="00B33F69"/>
    <w:rsid w:val="00B36854"/>
    <w:rsid w:val="00B40211"/>
    <w:rsid w:val="00B404CE"/>
    <w:rsid w:val="00B4195E"/>
    <w:rsid w:val="00B41CF9"/>
    <w:rsid w:val="00B42C3A"/>
    <w:rsid w:val="00B4508D"/>
    <w:rsid w:val="00B462FC"/>
    <w:rsid w:val="00B4733D"/>
    <w:rsid w:val="00B50873"/>
    <w:rsid w:val="00B50F59"/>
    <w:rsid w:val="00B51D4C"/>
    <w:rsid w:val="00B51E59"/>
    <w:rsid w:val="00B52D50"/>
    <w:rsid w:val="00B534CB"/>
    <w:rsid w:val="00B55552"/>
    <w:rsid w:val="00B5607E"/>
    <w:rsid w:val="00B564F9"/>
    <w:rsid w:val="00B570A1"/>
    <w:rsid w:val="00B5781C"/>
    <w:rsid w:val="00B57F6D"/>
    <w:rsid w:val="00B60597"/>
    <w:rsid w:val="00B60A00"/>
    <w:rsid w:val="00B64DB2"/>
    <w:rsid w:val="00B65DC6"/>
    <w:rsid w:val="00B6646A"/>
    <w:rsid w:val="00B672EF"/>
    <w:rsid w:val="00B72B61"/>
    <w:rsid w:val="00B759EA"/>
    <w:rsid w:val="00B80C34"/>
    <w:rsid w:val="00B80E72"/>
    <w:rsid w:val="00B811C0"/>
    <w:rsid w:val="00B811F9"/>
    <w:rsid w:val="00B82679"/>
    <w:rsid w:val="00B84D31"/>
    <w:rsid w:val="00B85F4A"/>
    <w:rsid w:val="00B8624A"/>
    <w:rsid w:val="00B86C96"/>
    <w:rsid w:val="00B90413"/>
    <w:rsid w:val="00B906E9"/>
    <w:rsid w:val="00B91162"/>
    <w:rsid w:val="00B93AF0"/>
    <w:rsid w:val="00B94AC3"/>
    <w:rsid w:val="00B965DF"/>
    <w:rsid w:val="00B96A16"/>
    <w:rsid w:val="00B96E79"/>
    <w:rsid w:val="00B97014"/>
    <w:rsid w:val="00BA1317"/>
    <w:rsid w:val="00BA200D"/>
    <w:rsid w:val="00BA243D"/>
    <w:rsid w:val="00BA25AD"/>
    <w:rsid w:val="00BA2B9D"/>
    <w:rsid w:val="00BA3A63"/>
    <w:rsid w:val="00BA3F4C"/>
    <w:rsid w:val="00BA49E9"/>
    <w:rsid w:val="00BA556B"/>
    <w:rsid w:val="00BA55D6"/>
    <w:rsid w:val="00BA56CE"/>
    <w:rsid w:val="00BA5A6D"/>
    <w:rsid w:val="00BA5C46"/>
    <w:rsid w:val="00BA6653"/>
    <w:rsid w:val="00BA7174"/>
    <w:rsid w:val="00BA7219"/>
    <w:rsid w:val="00BA74E0"/>
    <w:rsid w:val="00BB03D9"/>
    <w:rsid w:val="00BB09AB"/>
    <w:rsid w:val="00BB1836"/>
    <w:rsid w:val="00BB1D22"/>
    <w:rsid w:val="00BB2CCD"/>
    <w:rsid w:val="00BB3B50"/>
    <w:rsid w:val="00BB4489"/>
    <w:rsid w:val="00BB563A"/>
    <w:rsid w:val="00BB5DCD"/>
    <w:rsid w:val="00BC184D"/>
    <w:rsid w:val="00BC33FB"/>
    <w:rsid w:val="00BC60FE"/>
    <w:rsid w:val="00BC6ADB"/>
    <w:rsid w:val="00BC6F1F"/>
    <w:rsid w:val="00BC7287"/>
    <w:rsid w:val="00BC76F0"/>
    <w:rsid w:val="00BD0032"/>
    <w:rsid w:val="00BD0439"/>
    <w:rsid w:val="00BD043B"/>
    <w:rsid w:val="00BD07DD"/>
    <w:rsid w:val="00BD0D14"/>
    <w:rsid w:val="00BD3438"/>
    <w:rsid w:val="00BD4B6C"/>
    <w:rsid w:val="00BD5FAA"/>
    <w:rsid w:val="00BD6C0F"/>
    <w:rsid w:val="00BD70A7"/>
    <w:rsid w:val="00BD77BE"/>
    <w:rsid w:val="00BD7B80"/>
    <w:rsid w:val="00BE0D81"/>
    <w:rsid w:val="00BE3E0B"/>
    <w:rsid w:val="00BE400E"/>
    <w:rsid w:val="00BE4049"/>
    <w:rsid w:val="00BE7A05"/>
    <w:rsid w:val="00BE7D18"/>
    <w:rsid w:val="00BF0705"/>
    <w:rsid w:val="00BF25A6"/>
    <w:rsid w:val="00BF2C96"/>
    <w:rsid w:val="00BF610D"/>
    <w:rsid w:val="00BF6CAE"/>
    <w:rsid w:val="00C00FE8"/>
    <w:rsid w:val="00C00FFC"/>
    <w:rsid w:val="00C018A9"/>
    <w:rsid w:val="00C01C97"/>
    <w:rsid w:val="00C0245B"/>
    <w:rsid w:val="00C02DC5"/>
    <w:rsid w:val="00C03527"/>
    <w:rsid w:val="00C03DF2"/>
    <w:rsid w:val="00C043A7"/>
    <w:rsid w:val="00C04BBB"/>
    <w:rsid w:val="00C0566C"/>
    <w:rsid w:val="00C0572D"/>
    <w:rsid w:val="00C071BB"/>
    <w:rsid w:val="00C07D3A"/>
    <w:rsid w:val="00C142B7"/>
    <w:rsid w:val="00C155CB"/>
    <w:rsid w:val="00C165F5"/>
    <w:rsid w:val="00C20555"/>
    <w:rsid w:val="00C2116D"/>
    <w:rsid w:val="00C22AD3"/>
    <w:rsid w:val="00C22EED"/>
    <w:rsid w:val="00C2336E"/>
    <w:rsid w:val="00C23390"/>
    <w:rsid w:val="00C2375A"/>
    <w:rsid w:val="00C245E1"/>
    <w:rsid w:val="00C270BC"/>
    <w:rsid w:val="00C27B94"/>
    <w:rsid w:val="00C27C83"/>
    <w:rsid w:val="00C27DFD"/>
    <w:rsid w:val="00C30713"/>
    <w:rsid w:val="00C313DE"/>
    <w:rsid w:val="00C314AB"/>
    <w:rsid w:val="00C315CE"/>
    <w:rsid w:val="00C31A87"/>
    <w:rsid w:val="00C337E4"/>
    <w:rsid w:val="00C33828"/>
    <w:rsid w:val="00C33FE7"/>
    <w:rsid w:val="00C34765"/>
    <w:rsid w:val="00C35C9F"/>
    <w:rsid w:val="00C37BD8"/>
    <w:rsid w:val="00C400C9"/>
    <w:rsid w:val="00C40432"/>
    <w:rsid w:val="00C406C1"/>
    <w:rsid w:val="00C41076"/>
    <w:rsid w:val="00C52B57"/>
    <w:rsid w:val="00C53FF3"/>
    <w:rsid w:val="00C552EC"/>
    <w:rsid w:val="00C5631C"/>
    <w:rsid w:val="00C63056"/>
    <w:rsid w:val="00C634F1"/>
    <w:rsid w:val="00C6502E"/>
    <w:rsid w:val="00C65B9A"/>
    <w:rsid w:val="00C66F57"/>
    <w:rsid w:val="00C67037"/>
    <w:rsid w:val="00C67D94"/>
    <w:rsid w:val="00C70602"/>
    <w:rsid w:val="00C722C4"/>
    <w:rsid w:val="00C73A1F"/>
    <w:rsid w:val="00C73D9D"/>
    <w:rsid w:val="00C7445E"/>
    <w:rsid w:val="00C7633D"/>
    <w:rsid w:val="00C76B90"/>
    <w:rsid w:val="00C76F1C"/>
    <w:rsid w:val="00C773DC"/>
    <w:rsid w:val="00C77571"/>
    <w:rsid w:val="00C777E3"/>
    <w:rsid w:val="00C77D6A"/>
    <w:rsid w:val="00C813A5"/>
    <w:rsid w:val="00C82D00"/>
    <w:rsid w:val="00C82FCE"/>
    <w:rsid w:val="00C83639"/>
    <w:rsid w:val="00C83A74"/>
    <w:rsid w:val="00C83F63"/>
    <w:rsid w:val="00C85257"/>
    <w:rsid w:val="00C868F2"/>
    <w:rsid w:val="00C87940"/>
    <w:rsid w:val="00C90306"/>
    <w:rsid w:val="00C91CCE"/>
    <w:rsid w:val="00C91F1B"/>
    <w:rsid w:val="00C9411B"/>
    <w:rsid w:val="00C94212"/>
    <w:rsid w:val="00C94770"/>
    <w:rsid w:val="00C9551A"/>
    <w:rsid w:val="00C956AF"/>
    <w:rsid w:val="00C95D7F"/>
    <w:rsid w:val="00C95FE7"/>
    <w:rsid w:val="00C96BDD"/>
    <w:rsid w:val="00C97C61"/>
    <w:rsid w:val="00C97CEF"/>
    <w:rsid w:val="00CA012F"/>
    <w:rsid w:val="00CA0A80"/>
    <w:rsid w:val="00CA16CB"/>
    <w:rsid w:val="00CA2124"/>
    <w:rsid w:val="00CA4725"/>
    <w:rsid w:val="00CA4A92"/>
    <w:rsid w:val="00CA59EA"/>
    <w:rsid w:val="00CA5C27"/>
    <w:rsid w:val="00CA5FD6"/>
    <w:rsid w:val="00CA6B2B"/>
    <w:rsid w:val="00CA766D"/>
    <w:rsid w:val="00CA7866"/>
    <w:rsid w:val="00CA7ADA"/>
    <w:rsid w:val="00CB02B9"/>
    <w:rsid w:val="00CB3D8B"/>
    <w:rsid w:val="00CB53D3"/>
    <w:rsid w:val="00CB577B"/>
    <w:rsid w:val="00CB6657"/>
    <w:rsid w:val="00CB716D"/>
    <w:rsid w:val="00CB7ADA"/>
    <w:rsid w:val="00CC0077"/>
    <w:rsid w:val="00CC0BAF"/>
    <w:rsid w:val="00CC178E"/>
    <w:rsid w:val="00CC2B47"/>
    <w:rsid w:val="00CC3518"/>
    <w:rsid w:val="00CC38CC"/>
    <w:rsid w:val="00CC4048"/>
    <w:rsid w:val="00CC53C7"/>
    <w:rsid w:val="00CC66FF"/>
    <w:rsid w:val="00CD0F6A"/>
    <w:rsid w:val="00CD1F64"/>
    <w:rsid w:val="00CD31C2"/>
    <w:rsid w:val="00CD354D"/>
    <w:rsid w:val="00CD63CC"/>
    <w:rsid w:val="00CD6D70"/>
    <w:rsid w:val="00CD7A1A"/>
    <w:rsid w:val="00CE1EC3"/>
    <w:rsid w:val="00CE41A5"/>
    <w:rsid w:val="00CE4624"/>
    <w:rsid w:val="00CF3AFB"/>
    <w:rsid w:val="00CF3C82"/>
    <w:rsid w:val="00CF43C0"/>
    <w:rsid w:val="00CF51FB"/>
    <w:rsid w:val="00CF605A"/>
    <w:rsid w:val="00CF6676"/>
    <w:rsid w:val="00CF7036"/>
    <w:rsid w:val="00CF77F4"/>
    <w:rsid w:val="00CF7FA5"/>
    <w:rsid w:val="00D00FED"/>
    <w:rsid w:val="00D0111A"/>
    <w:rsid w:val="00D01D82"/>
    <w:rsid w:val="00D05E1C"/>
    <w:rsid w:val="00D06754"/>
    <w:rsid w:val="00D073E8"/>
    <w:rsid w:val="00D077DF"/>
    <w:rsid w:val="00D10746"/>
    <w:rsid w:val="00D10C00"/>
    <w:rsid w:val="00D10CD4"/>
    <w:rsid w:val="00D153E6"/>
    <w:rsid w:val="00D15A00"/>
    <w:rsid w:val="00D1731F"/>
    <w:rsid w:val="00D17966"/>
    <w:rsid w:val="00D22FF9"/>
    <w:rsid w:val="00D23474"/>
    <w:rsid w:val="00D238C0"/>
    <w:rsid w:val="00D23A43"/>
    <w:rsid w:val="00D23DC2"/>
    <w:rsid w:val="00D2465B"/>
    <w:rsid w:val="00D25D62"/>
    <w:rsid w:val="00D264AD"/>
    <w:rsid w:val="00D273FF"/>
    <w:rsid w:val="00D301D6"/>
    <w:rsid w:val="00D32C3D"/>
    <w:rsid w:val="00D32E77"/>
    <w:rsid w:val="00D33013"/>
    <w:rsid w:val="00D3336B"/>
    <w:rsid w:val="00D34B86"/>
    <w:rsid w:val="00D3505A"/>
    <w:rsid w:val="00D411B7"/>
    <w:rsid w:val="00D4211B"/>
    <w:rsid w:val="00D431C2"/>
    <w:rsid w:val="00D43269"/>
    <w:rsid w:val="00D43B83"/>
    <w:rsid w:val="00D44167"/>
    <w:rsid w:val="00D44921"/>
    <w:rsid w:val="00D45737"/>
    <w:rsid w:val="00D46579"/>
    <w:rsid w:val="00D5182F"/>
    <w:rsid w:val="00D5515C"/>
    <w:rsid w:val="00D55B08"/>
    <w:rsid w:val="00D55BD4"/>
    <w:rsid w:val="00D56B08"/>
    <w:rsid w:val="00D57271"/>
    <w:rsid w:val="00D578E9"/>
    <w:rsid w:val="00D57D7A"/>
    <w:rsid w:val="00D606C8"/>
    <w:rsid w:val="00D60C84"/>
    <w:rsid w:val="00D618D9"/>
    <w:rsid w:val="00D63B5C"/>
    <w:rsid w:val="00D641B5"/>
    <w:rsid w:val="00D64751"/>
    <w:rsid w:val="00D64A06"/>
    <w:rsid w:val="00D65A8A"/>
    <w:rsid w:val="00D66430"/>
    <w:rsid w:val="00D673D0"/>
    <w:rsid w:val="00D678DD"/>
    <w:rsid w:val="00D7065B"/>
    <w:rsid w:val="00D7223C"/>
    <w:rsid w:val="00D722DE"/>
    <w:rsid w:val="00D727DC"/>
    <w:rsid w:val="00D72F77"/>
    <w:rsid w:val="00D74A74"/>
    <w:rsid w:val="00D758B1"/>
    <w:rsid w:val="00D75B95"/>
    <w:rsid w:val="00D7691D"/>
    <w:rsid w:val="00D8072E"/>
    <w:rsid w:val="00D813CF"/>
    <w:rsid w:val="00D83113"/>
    <w:rsid w:val="00D843FE"/>
    <w:rsid w:val="00D85DBE"/>
    <w:rsid w:val="00D86A1D"/>
    <w:rsid w:val="00D879AB"/>
    <w:rsid w:val="00D87C37"/>
    <w:rsid w:val="00D87FF0"/>
    <w:rsid w:val="00D903C5"/>
    <w:rsid w:val="00D9165C"/>
    <w:rsid w:val="00D91A7F"/>
    <w:rsid w:val="00D92317"/>
    <w:rsid w:val="00D93715"/>
    <w:rsid w:val="00D95DDB"/>
    <w:rsid w:val="00D9711B"/>
    <w:rsid w:val="00D97E86"/>
    <w:rsid w:val="00DA0166"/>
    <w:rsid w:val="00DA034F"/>
    <w:rsid w:val="00DA07CE"/>
    <w:rsid w:val="00DA0F42"/>
    <w:rsid w:val="00DA0F7A"/>
    <w:rsid w:val="00DA1C3D"/>
    <w:rsid w:val="00DA33A2"/>
    <w:rsid w:val="00DA4AAD"/>
    <w:rsid w:val="00DA4EDA"/>
    <w:rsid w:val="00DA5630"/>
    <w:rsid w:val="00DA6AC9"/>
    <w:rsid w:val="00DA7551"/>
    <w:rsid w:val="00DA77F2"/>
    <w:rsid w:val="00DB1FA4"/>
    <w:rsid w:val="00DB2A4D"/>
    <w:rsid w:val="00DB2B39"/>
    <w:rsid w:val="00DB52F5"/>
    <w:rsid w:val="00DB53FE"/>
    <w:rsid w:val="00DB61B4"/>
    <w:rsid w:val="00DB7946"/>
    <w:rsid w:val="00DC0646"/>
    <w:rsid w:val="00DC1BDF"/>
    <w:rsid w:val="00DC3626"/>
    <w:rsid w:val="00DC4C0E"/>
    <w:rsid w:val="00DC585F"/>
    <w:rsid w:val="00DC7524"/>
    <w:rsid w:val="00DC758A"/>
    <w:rsid w:val="00DC7DDF"/>
    <w:rsid w:val="00DD1309"/>
    <w:rsid w:val="00DD18A0"/>
    <w:rsid w:val="00DD1C8B"/>
    <w:rsid w:val="00DD653E"/>
    <w:rsid w:val="00DE1A16"/>
    <w:rsid w:val="00DE1B51"/>
    <w:rsid w:val="00DE20DA"/>
    <w:rsid w:val="00DE232E"/>
    <w:rsid w:val="00DE23E9"/>
    <w:rsid w:val="00DE31D2"/>
    <w:rsid w:val="00DE419E"/>
    <w:rsid w:val="00DE708C"/>
    <w:rsid w:val="00DF02CF"/>
    <w:rsid w:val="00DF08AB"/>
    <w:rsid w:val="00DF0CE3"/>
    <w:rsid w:val="00DF0F62"/>
    <w:rsid w:val="00DF133F"/>
    <w:rsid w:val="00DF34BD"/>
    <w:rsid w:val="00DF3867"/>
    <w:rsid w:val="00DF6247"/>
    <w:rsid w:val="00DF67D9"/>
    <w:rsid w:val="00E00366"/>
    <w:rsid w:val="00E014EE"/>
    <w:rsid w:val="00E01528"/>
    <w:rsid w:val="00E047C7"/>
    <w:rsid w:val="00E04ADE"/>
    <w:rsid w:val="00E06114"/>
    <w:rsid w:val="00E11BC0"/>
    <w:rsid w:val="00E127CA"/>
    <w:rsid w:val="00E128D0"/>
    <w:rsid w:val="00E12A01"/>
    <w:rsid w:val="00E1306D"/>
    <w:rsid w:val="00E1391D"/>
    <w:rsid w:val="00E13D34"/>
    <w:rsid w:val="00E145B8"/>
    <w:rsid w:val="00E16B2A"/>
    <w:rsid w:val="00E17C65"/>
    <w:rsid w:val="00E20AC4"/>
    <w:rsid w:val="00E210F6"/>
    <w:rsid w:val="00E23090"/>
    <w:rsid w:val="00E23948"/>
    <w:rsid w:val="00E2461D"/>
    <w:rsid w:val="00E272F3"/>
    <w:rsid w:val="00E31648"/>
    <w:rsid w:val="00E316E0"/>
    <w:rsid w:val="00E319B0"/>
    <w:rsid w:val="00E32145"/>
    <w:rsid w:val="00E322AD"/>
    <w:rsid w:val="00E327DE"/>
    <w:rsid w:val="00E32EDE"/>
    <w:rsid w:val="00E346B0"/>
    <w:rsid w:val="00E37F69"/>
    <w:rsid w:val="00E40C4B"/>
    <w:rsid w:val="00E41C2D"/>
    <w:rsid w:val="00E420B6"/>
    <w:rsid w:val="00E438B1"/>
    <w:rsid w:val="00E4559D"/>
    <w:rsid w:val="00E46C5F"/>
    <w:rsid w:val="00E47B80"/>
    <w:rsid w:val="00E5102A"/>
    <w:rsid w:val="00E54CEB"/>
    <w:rsid w:val="00E55399"/>
    <w:rsid w:val="00E55EEC"/>
    <w:rsid w:val="00E5608E"/>
    <w:rsid w:val="00E60C09"/>
    <w:rsid w:val="00E60C78"/>
    <w:rsid w:val="00E610B5"/>
    <w:rsid w:val="00E61304"/>
    <w:rsid w:val="00E626A6"/>
    <w:rsid w:val="00E62715"/>
    <w:rsid w:val="00E649F7"/>
    <w:rsid w:val="00E70186"/>
    <w:rsid w:val="00E70A8C"/>
    <w:rsid w:val="00E72BA9"/>
    <w:rsid w:val="00E72C3A"/>
    <w:rsid w:val="00E74FF1"/>
    <w:rsid w:val="00E75A3B"/>
    <w:rsid w:val="00E75EF5"/>
    <w:rsid w:val="00E80D39"/>
    <w:rsid w:val="00E80ED0"/>
    <w:rsid w:val="00E80FCE"/>
    <w:rsid w:val="00E81B2F"/>
    <w:rsid w:val="00E81E0A"/>
    <w:rsid w:val="00E8264C"/>
    <w:rsid w:val="00E8320B"/>
    <w:rsid w:val="00E8363A"/>
    <w:rsid w:val="00E84A4D"/>
    <w:rsid w:val="00E84A78"/>
    <w:rsid w:val="00E85516"/>
    <w:rsid w:val="00E868FB"/>
    <w:rsid w:val="00E86BAC"/>
    <w:rsid w:val="00E86C98"/>
    <w:rsid w:val="00E91364"/>
    <w:rsid w:val="00E92103"/>
    <w:rsid w:val="00E92D86"/>
    <w:rsid w:val="00E9387A"/>
    <w:rsid w:val="00E93B33"/>
    <w:rsid w:val="00E95AA9"/>
    <w:rsid w:val="00E95E81"/>
    <w:rsid w:val="00E97199"/>
    <w:rsid w:val="00EA0170"/>
    <w:rsid w:val="00EA040A"/>
    <w:rsid w:val="00EA044B"/>
    <w:rsid w:val="00EA30CF"/>
    <w:rsid w:val="00EA3844"/>
    <w:rsid w:val="00EA3A5C"/>
    <w:rsid w:val="00EA3F34"/>
    <w:rsid w:val="00EA4478"/>
    <w:rsid w:val="00EA4B3F"/>
    <w:rsid w:val="00EA4F6E"/>
    <w:rsid w:val="00EA583D"/>
    <w:rsid w:val="00EA58ED"/>
    <w:rsid w:val="00EA5BB2"/>
    <w:rsid w:val="00EA7BDE"/>
    <w:rsid w:val="00EB09C6"/>
    <w:rsid w:val="00EB0AB7"/>
    <w:rsid w:val="00EB23CA"/>
    <w:rsid w:val="00EB23EB"/>
    <w:rsid w:val="00EB3A96"/>
    <w:rsid w:val="00EB5577"/>
    <w:rsid w:val="00EB64CF"/>
    <w:rsid w:val="00EB7062"/>
    <w:rsid w:val="00EB7097"/>
    <w:rsid w:val="00EB70FC"/>
    <w:rsid w:val="00EC1136"/>
    <w:rsid w:val="00EC1819"/>
    <w:rsid w:val="00EC417A"/>
    <w:rsid w:val="00EC5CD3"/>
    <w:rsid w:val="00EC7B9C"/>
    <w:rsid w:val="00ED18F1"/>
    <w:rsid w:val="00ED316B"/>
    <w:rsid w:val="00ED4D2D"/>
    <w:rsid w:val="00ED55A6"/>
    <w:rsid w:val="00ED7737"/>
    <w:rsid w:val="00EE107C"/>
    <w:rsid w:val="00EE395F"/>
    <w:rsid w:val="00EE6CEC"/>
    <w:rsid w:val="00EE6EC7"/>
    <w:rsid w:val="00EE6FED"/>
    <w:rsid w:val="00EE7957"/>
    <w:rsid w:val="00EF305B"/>
    <w:rsid w:val="00EF5F93"/>
    <w:rsid w:val="00F01215"/>
    <w:rsid w:val="00F0318E"/>
    <w:rsid w:val="00F0319D"/>
    <w:rsid w:val="00F03E40"/>
    <w:rsid w:val="00F04A42"/>
    <w:rsid w:val="00F053EC"/>
    <w:rsid w:val="00F061A1"/>
    <w:rsid w:val="00F072C6"/>
    <w:rsid w:val="00F10DFF"/>
    <w:rsid w:val="00F11CEB"/>
    <w:rsid w:val="00F12B2F"/>
    <w:rsid w:val="00F1381B"/>
    <w:rsid w:val="00F138E0"/>
    <w:rsid w:val="00F1429D"/>
    <w:rsid w:val="00F14552"/>
    <w:rsid w:val="00F14875"/>
    <w:rsid w:val="00F14AFF"/>
    <w:rsid w:val="00F15C08"/>
    <w:rsid w:val="00F17C96"/>
    <w:rsid w:val="00F20D55"/>
    <w:rsid w:val="00F20EAE"/>
    <w:rsid w:val="00F21755"/>
    <w:rsid w:val="00F220FC"/>
    <w:rsid w:val="00F22AD4"/>
    <w:rsid w:val="00F23F72"/>
    <w:rsid w:val="00F2506F"/>
    <w:rsid w:val="00F25347"/>
    <w:rsid w:val="00F25C8E"/>
    <w:rsid w:val="00F26232"/>
    <w:rsid w:val="00F26729"/>
    <w:rsid w:val="00F30FBF"/>
    <w:rsid w:val="00F32050"/>
    <w:rsid w:val="00F32058"/>
    <w:rsid w:val="00F329E8"/>
    <w:rsid w:val="00F33C6C"/>
    <w:rsid w:val="00F33FE7"/>
    <w:rsid w:val="00F34717"/>
    <w:rsid w:val="00F35411"/>
    <w:rsid w:val="00F35480"/>
    <w:rsid w:val="00F36546"/>
    <w:rsid w:val="00F36D45"/>
    <w:rsid w:val="00F37E83"/>
    <w:rsid w:val="00F41CCA"/>
    <w:rsid w:val="00F42A9E"/>
    <w:rsid w:val="00F43868"/>
    <w:rsid w:val="00F43AC1"/>
    <w:rsid w:val="00F4411E"/>
    <w:rsid w:val="00F44808"/>
    <w:rsid w:val="00F515AE"/>
    <w:rsid w:val="00F51D15"/>
    <w:rsid w:val="00F52A59"/>
    <w:rsid w:val="00F536D1"/>
    <w:rsid w:val="00F5417F"/>
    <w:rsid w:val="00F5423D"/>
    <w:rsid w:val="00F55DF9"/>
    <w:rsid w:val="00F5653B"/>
    <w:rsid w:val="00F600B1"/>
    <w:rsid w:val="00F62106"/>
    <w:rsid w:val="00F64A04"/>
    <w:rsid w:val="00F65591"/>
    <w:rsid w:val="00F70A66"/>
    <w:rsid w:val="00F713D9"/>
    <w:rsid w:val="00F730B0"/>
    <w:rsid w:val="00F7353A"/>
    <w:rsid w:val="00F73926"/>
    <w:rsid w:val="00F74293"/>
    <w:rsid w:val="00F74D44"/>
    <w:rsid w:val="00F7696E"/>
    <w:rsid w:val="00F8192D"/>
    <w:rsid w:val="00F81BEA"/>
    <w:rsid w:val="00F8324B"/>
    <w:rsid w:val="00F84D5F"/>
    <w:rsid w:val="00F84DA7"/>
    <w:rsid w:val="00F84E40"/>
    <w:rsid w:val="00F85278"/>
    <w:rsid w:val="00F85526"/>
    <w:rsid w:val="00F85C38"/>
    <w:rsid w:val="00F85C3E"/>
    <w:rsid w:val="00F85D69"/>
    <w:rsid w:val="00F86697"/>
    <w:rsid w:val="00F86D2B"/>
    <w:rsid w:val="00F90769"/>
    <w:rsid w:val="00F907F3"/>
    <w:rsid w:val="00F90F6B"/>
    <w:rsid w:val="00F91DCE"/>
    <w:rsid w:val="00F927A5"/>
    <w:rsid w:val="00F92C5E"/>
    <w:rsid w:val="00F930BD"/>
    <w:rsid w:val="00F93710"/>
    <w:rsid w:val="00F947AC"/>
    <w:rsid w:val="00F95D8D"/>
    <w:rsid w:val="00F95DB1"/>
    <w:rsid w:val="00F967DF"/>
    <w:rsid w:val="00F96F53"/>
    <w:rsid w:val="00F97A78"/>
    <w:rsid w:val="00FA2F49"/>
    <w:rsid w:val="00FA372C"/>
    <w:rsid w:val="00FA3AC6"/>
    <w:rsid w:val="00FA3F7D"/>
    <w:rsid w:val="00FA592A"/>
    <w:rsid w:val="00FA64EB"/>
    <w:rsid w:val="00FA69FD"/>
    <w:rsid w:val="00FA7FD8"/>
    <w:rsid w:val="00FB0CD4"/>
    <w:rsid w:val="00FB0EA8"/>
    <w:rsid w:val="00FB415A"/>
    <w:rsid w:val="00FB4B85"/>
    <w:rsid w:val="00FB5303"/>
    <w:rsid w:val="00FB5EEF"/>
    <w:rsid w:val="00FB7806"/>
    <w:rsid w:val="00FC2D14"/>
    <w:rsid w:val="00FC2E10"/>
    <w:rsid w:val="00FC4728"/>
    <w:rsid w:val="00FC47E2"/>
    <w:rsid w:val="00FC63F5"/>
    <w:rsid w:val="00FD00F3"/>
    <w:rsid w:val="00FD1620"/>
    <w:rsid w:val="00FD2542"/>
    <w:rsid w:val="00FD26B5"/>
    <w:rsid w:val="00FD31E0"/>
    <w:rsid w:val="00FD3FE9"/>
    <w:rsid w:val="00FD41EB"/>
    <w:rsid w:val="00FD441B"/>
    <w:rsid w:val="00FD596F"/>
    <w:rsid w:val="00FD5F77"/>
    <w:rsid w:val="00FD61AC"/>
    <w:rsid w:val="00FD7C6E"/>
    <w:rsid w:val="00FE2773"/>
    <w:rsid w:val="00FE31AA"/>
    <w:rsid w:val="00FE3595"/>
    <w:rsid w:val="00FE5320"/>
    <w:rsid w:val="00FE63A3"/>
    <w:rsid w:val="00FF14B5"/>
    <w:rsid w:val="00FF2675"/>
    <w:rsid w:val="00FF363C"/>
    <w:rsid w:val="00FF3C00"/>
    <w:rsid w:val="00FF5805"/>
    <w:rsid w:val="00FF5BA9"/>
    <w:rsid w:val="00FF7117"/>
    <w:rsid w:val="00FF7303"/>
    <w:rsid w:val="023E72DD"/>
    <w:rsid w:val="032014FF"/>
    <w:rsid w:val="0474F321"/>
    <w:rsid w:val="06CEB1BF"/>
    <w:rsid w:val="06E9E4A8"/>
    <w:rsid w:val="06FF9887"/>
    <w:rsid w:val="07E6AC85"/>
    <w:rsid w:val="08C99D21"/>
    <w:rsid w:val="09151448"/>
    <w:rsid w:val="0954EC99"/>
    <w:rsid w:val="09940A47"/>
    <w:rsid w:val="0AB28F54"/>
    <w:rsid w:val="0CDE3617"/>
    <w:rsid w:val="0D9DC20C"/>
    <w:rsid w:val="0DAADCA1"/>
    <w:rsid w:val="0DBB5828"/>
    <w:rsid w:val="0DC949ED"/>
    <w:rsid w:val="0DFB8102"/>
    <w:rsid w:val="0E37A318"/>
    <w:rsid w:val="0F3693EB"/>
    <w:rsid w:val="108AD476"/>
    <w:rsid w:val="11E5FB92"/>
    <w:rsid w:val="12228BC8"/>
    <w:rsid w:val="122F953E"/>
    <w:rsid w:val="125A3DC7"/>
    <w:rsid w:val="12EEDF39"/>
    <w:rsid w:val="12F5B478"/>
    <w:rsid w:val="13D93AF7"/>
    <w:rsid w:val="14167674"/>
    <w:rsid w:val="16FBF3B6"/>
    <w:rsid w:val="17125072"/>
    <w:rsid w:val="1800B309"/>
    <w:rsid w:val="18C46D17"/>
    <w:rsid w:val="18CADD46"/>
    <w:rsid w:val="19E6F2DF"/>
    <w:rsid w:val="1A7A3CCD"/>
    <w:rsid w:val="1AAD7C30"/>
    <w:rsid w:val="1B75446D"/>
    <w:rsid w:val="1C1F3A18"/>
    <w:rsid w:val="1C8F382A"/>
    <w:rsid w:val="1CC0890E"/>
    <w:rsid w:val="1CED7256"/>
    <w:rsid w:val="1F020BF3"/>
    <w:rsid w:val="1F55542A"/>
    <w:rsid w:val="201D6A2A"/>
    <w:rsid w:val="204D1D67"/>
    <w:rsid w:val="20C97E63"/>
    <w:rsid w:val="2342CFD3"/>
    <w:rsid w:val="23BA20C6"/>
    <w:rsid w:val="23CB2C6B"/>
    <w:rsid w:val="23DAF934"/>
    <w:rsid w:val="23F4DB2B"/>
    <w:rsid w:val="2407BBC1"/>
    <w:rsid w:val="25A02DD7"/>
    <w:rsid w:val="25ECEADF"/>
    <w:rsid w:val="26A48A3C"/>
    <w:rsid w:val="26ABAA1B"/>
    <w:rsid w:val="274C0677"/>
    <w:rsid w:val="280B5F05"/>
    <w:rsid w:val="282FB273"/>
    <w:rsid w:val="284E95FB"/>
    <w:rsid w:val="2893DB27"/>
    <w:rsid w:val="28CE4799"/>
    <w:rsid w:val="29E1349B"/>
    <w:rsid w:val="29E72730"/>
    <w:rsid w:val="29F8E530"/>
    <w:rsid w:val="2A1F8EB2"/>
    <w:rsid w:val="2A7A4F8E"/>
    <w:rsid w:val="2A96AAA8"/>
    <w:rsid w:val="2ACEB206"/>
    <w:rsid w:val="2AFC7ABA"/>
    <w:rsid w:val="2B249ABB"/>
    <w:rsid w:val="2B9FDF5B"/>
    <w:rsid w:val="2C538143"/>
    <w:rsid w:val="2E114FE2"/>
    <w:rsid w:val="2FECB163"/>
    <w:rsid w:val="30404046"/>
    <w:rsid w:val="306B0D54"/>
    <w:rsid w:val="30D2BE5B"/>
    <w:rsid w:val="30DE83BD"/>
    <w:rsid w:val="31163121"/>
    <w:rsid w:val="329A82B1"/>
    <w:rsid w:val="32D67CCB"/>
    <w:rsid w:val="33022F10"/>
    <w:rsid w:val="3340129D"/>
    <w:rsid w:val="34820857"/>
    <w:rsid w:val="34C67D2A"/>
    <w:rsid w:val="35E65CD7"/>
    <w:rsid w:val="363576A6"/>
    <w:rsid w:val="37E61136"/>
    <w:rsid w:val="37FE6ED4"/>
    <w:rsid w:val="38136EDA"/>
    <w:rsid w:val="3842A9E7"/>
    <w:rsid w:val="390F0A72"/>
    <w:rsid w:val="391A0165"/>
    <w:rsid w:val="3ABFF17D"/>
    <w:rsid w:val="3C4CD800"/>
    <w:rsid w:val="3D5294F7"/>
    <w:rsid w:val="3D7165C6"/>
    <w:rsid w:val="3D9FBCEB"/>
    <w:rsid w:val="3DD501D6"/>
    <w:rsid w:val="3E07790D"/>
    <w:rsid w:val="3F7416C0"/>
    <w:rsid w:val="4006F6AD"/>
    <w:rsid w:val="40C74B58"/>
    <w:rsid w:val="413A14A1"/>
    <w:rsid w:val="4152C8D3"/>
    <w:rsid w:val="426D7197"/>
    <w:rsid w:val="4277A3C8"/>
    <w:rsid w:val="43198628"/>
    <w:rsid w:val="44230373"/>
    <w:rsid w:val="448B8167"/>
    <w:rsid w:val="44BA3745"/>
    <w:rsid w:val="44C4E4ED"/>
    <w:rsid w:val="45C5FF60"/>
    <w:rsid w:val="45CB42D3"/>
    <w:rsid w:val="465DED30"/>
    <w:rsid w:val="468A7043"/>
    <w:rsid w:val="46BDEEAB"/>
    <w:rsid w:val="48495296"/>
    <w:rsid w:val="48C57877"/>
    <w:rsid w:val="4918AB04"/>
    <w:rsid w:val="4AFE4A67"/>
    <w:rsid w:val="4B785353"/>
    <w:rsid w:val="4B9F3047"/>
    <w:rsid w:val="4C00BA8D"/>
    <w:rsid w:val="4D4B5B13"/>
    <w:rsid w:val="4D4C80AE"/>
    <w:rsid w:val="4D7C6706"/>
    <w:rsid w:val="4DE46645"/>
    <w:rsid w:val="4E497CD9"/>
    <w:rsid w:val="4F3F5618"/>
    <w:rsid w:val="500B1B36"/>
    <w:rsid w:val="509E1228"/>
    <w:rsid w:val="5199A1EE"/>
    <w:rsid w:val="51FBA2E8"/>
    <w:rsid w:val="520BD14C"/>
    <w:rsid w:val="5231C999"/>
    <w:rsid w:val="52521B09"/>
    <w:rsid w:val="52E71F1C"/>
    <w:rsid w:val="52F1C162"/>
    <w:rsid w:val="54109FAF"/>
    <w:rsid w:val="54A32051"/>
    <w:rsid w:val="54C9E59E"/>
    <w:rsid w:val="56046009"/>
    <w:rsid w:val="5626172F"/>
    <w:rsid w:val="56A144DC"/>
    <w:rsid w:val="572595AD"/>
    <w:rsid w:val="5770E9BA"/>
    <w:rsid w:val="57D3816A"/>
    <w:rsid w:val="59972986"/>
    <w:rsid w:val="59E0890A"/>
    <w:rsid w:val="59E793AF"/>
    <w:rsid w:val="5A20D253"/>
    <w:rsid w:val="5B0CE662"/>
    <w:rsid w:val="5B52F3FF"/>
    <w:rsid w:val="5D193FEE"/>
    <w:rsid w:val="5D4F3DC5"/>
    <w:rsid w:val="5E55A65A"/>
    <w:rsid w:val="5F60242C"/>
    <w:rsid w:val="606BBBA1"/>
    <w:rsid w:val="60E052F1"/>
    <w:rsid w:val="62E84F04"/>
    <w:rsid w:val="62F7CE63"/>
    <w:rsid w:val="632BF4A0"/>
    <w:rsid w:val="633D610B"/>
    <w:rsid w:val="6397D304"/>
    <w:rsid w:val="639ABACC"/>
    <w:rsid w:val="643281C8"/>
    <w:rsid w:val="64750C6E"/>
    <w:rsid w:val="65A2108F"/>
    <w:rsid w:val="65B14D97"/>
    <w:rsid w:val="65CFA78F"/>
    <w:rsid w:val="663E1245"/>
    <w:rsid w:val="664E4BF6"/>
    <w:rsid w:val="668FADCD"/>
    <w:rsid w:val="693E293C"/>
    <w:rsid w:val="6A1B212E"/>
    <w:rsid w:val="6BF0E62C"/>
    <w:rsid w:val="6C952B2A"/>
    <w:rsid w:val="6DF39696"/>
    <w:rsid w:val="6E28BA75"/>
    <w:rsid w:val="6F13A07D"/>
    <w:rsid w:val="6F1FD0CC"/>
    <w:rsid w:val="6F3FDA6E"/>
    <w:rsid w:val="6F654CD4"/>
    <w:rsid w:val="71146B22"/>
    <w:rsid w:val="7157A557"/>
    <w:rsid w:val="71ADE2AF"/>
    <w:rsid w:val="71BF1EF5"/>
    <w:rsid w:val="71F93BB1"/>
    <w:rsid w:val="7213DA06"/>
    <w:rsid w:val="72D36FB0"/>
    <w:rsid w:val="73241326"/>
    <w:rsid w:val="739E5687"/>
    <w:rsid w:val="74664E8B"/>
    <w:rsid w:val="7491D9E2"/>
    <w:rsid w:val="74E997E9"/>
    <w:rsid w:val="7562B63C"/>
    <w:rsid w:val="76573138"/>
    <w:rsid w:val="76B59733"/>
    <w:rsid w:val="76D706A0"/>
    <w:rsid w:val="7733B0F3"/>
    <w:rsid w:val="78F69205"/>
    <w:rsid w:val="79624238"/>
    <w:rsid w:val="79A2C8D3"/>
    <w:rsid w:val="7B00825B"/>
    <w:rsid w:val="7C5F3255"/>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4A16C8EF-C404-47A2-A371-DA9DB4EA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D56B08"/>
    <w:pPr>
      <w:keepLines/>
      <w:widowControl w:val="0"/>
      <w:spacing w:after="120"/>
      <w:ind w:left="1980" w:hanging="36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unhideWhenUsed/>
    <w:rsid w:val="00E826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7c3a804d124f351d180a343fd8256516">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f2562e47cfe6c4ffb8151826110331f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1ADB-CDA5-4AA0-9B70-45BAB4D4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4113</Words>
  <Characters>23448</Characters>
  <Application>Microsoft Office Word</Application>
  <DocSecurity>0</DocSecurity>
  <Lines>195</Lines>
  <Paragraphs>55</Paragraphs>
  <ScaleCrop>false</ScaleCrop>
  <Company>Wobschall Design</Company>
  <LinksUpToDate>false</LinksUpToDate>
  <CharactersWithSpaces>27506</CharactersWithSpaces>
  <SharedDoc>false</SharedDoc>
  <HLinks>
    <vt:vector size="6" baseType="variant">
      <vt:variant>
        <vt:i4>4194311</vt:i4>
      </vt:variant>
      <vt:variant>
        <vt:i4>0</vt:i4>
      </vt:variant>
      <vt:variant>
        <vt:i4>0</vt:i4>
      </vt:variant>
      <vt:variant>
        <vt:i4>5</vt:i4>
      </vt:variant>
      <vt:variant>
        <vt:lpwstr>https://www.energy.ca.gov/funding-opportunities/solicitations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Palo, Enrico@Energy</cp:lastModifiedBy>
  <cp:revision>92</cp:revision>
  <cp:lastPrinted>2019-04-08T16:38:00Z</cp:lastPrinted>
  <dcterms:created xsi:type="dcterms:W3CDTF">2025-12-11T19:23:00Z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